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F57C" w14:textId="3024A130" w:rsidR="001C0D1C" w:rsidRDefault="004D52CE">
      <w:pPr>
        <w:pStyle w:val="Heading1"/>
      </w:pPr>
      <w:r>
        <w:t>Toxicant default guideline values for aquatic ecosystem protection</w:t>
      </w:r>
    </w:p>
    <w:p w14:paraId="524A81B3" w14:textId="4DC67C89" w:rsidR="001C0D1C" w:rsidRDefault="00501E8B">
      <w:pPr>
        <w:pStyle w:val="Subtitle"/>
      </w:pPr>
      <w:r>
        <w:t>Zinc</w:t>
      </w:r>
      <w:r w:rsidR="00EE7040">
        <w:t xml:space="preserve"> </w:t>
      </w:r>
      <w:r w:rsidR="004D52CE">
        <w:t xml:space="preserve">in </w:t>
      </w:r>
      <w:r>
        <w:t>marine</w:t>
      </w:r>
      <w:r w:rsidR="004D52CE">
        <w:t xml:space="preserve"> water</w:t>
      </w:r>
    </w:p>
    <w:p w14:paraId="0F5E9269" w14:textId="54247ED7" w:rsidR="001C0D1C" w:rsidRDefault="004D52CE">
      <w:pPr>
        <w:pStyle w:val="Documenttype"/>
      </w:pPr>
      <w:r>
        <w:t>Technical brief</w:t>
      </w:r>
    </w:p>
    <w:p w14:paraId="3A238C94" w14:textId="02E060AC" w:rsidR="001C0D1C" w:rsidRDefault="00586A86">
      <w:pPr>
        <w:pStyle w:val="Publicationdate"/>
        <w:rPr>
          <w:highlight w:val="yellow"/>
        </w:rPr>
      </w:pPr>
      <w:r>
        <w:t>September</w:t>
      </w:r>
      <w:r w:rsidR="00241038">
        <w:t xml:space="preserve"> </w:t>
      </w:r>
      <w:r w:rsidR="00915245">
        <w:t>2021</w:t>
      </w:r>
      <w:r w:rsidR="004D52CE">
        <w:t xml:space="preserve"> </w:t>
      </w:r>
    </w:p>
    <w:p w14:paraId="00D4D9B8" w14:textId="77777777" w:rsidR="001C0D1C" w:rsidRDefault="00E55B1C">
      <w:pPr>
        <w:spacing w:after="0" w:line="240" w:lineRule="auto"/>
        <w:rPr>
          <w:noProof/>
          <w:lang w:eastAsia="en-AU"/>
        </w:rPr>
      </w:pPr>
      <w:r>
        <w:br w:type="page"/>
      </w:r>
    </w:p>
    <w:p w14:paraId="00B1140E" w14:textId="22DDDE2D" w:rsidR="001C0D1C" w:rsidRDefault="00E55B1C">
      <w:pPr>
        <w:rPr>
          <w:sz w:val="18"/>
          <w:szCs w:val="18"/>
        </w:rPr>
      </w:pPr>
      <w:r>
        <w:rPr>
          <w:sz w:val="18"/>
          <w:szCs w:val="18"/>
        </w:rPr>
        <w:lastRenderedPageBreak/>
        <w:t xml:space="preserve">© Commonwealth of Australia </w:t>
      </w:r>
      <w:r w:rsidR="00214C3E">
        <w:rPr>
          <w:sz w:val="18"/>
          <w:szCs w:val="18"/>
        </w:rPr>
        <w:t>2021</w:t>
      </w:r>
    </w:p>
    <w:p w14:paraId="245B1702" w14:textId="77777777" w:rsidR="001C0D1C" w:rsidRDefault="00E55B1C">
      <w:pPr>
        <w:spacing w:after="0"/>
        <w:rPr>
          <w:rFonts w:ascii="Calibri" w:hAnsi="Calibri"/>
          <w:b/>
          <w:sz w:val="18"/>
          <w:szCs w:val="18"/>
        </w:rPr>
      </w:pPr>
      <w:r>
        <w:rPr>
          <w:rFonts w:ascii="Calibri" w:hAnsi="Calibri"/>
          <w:b/>
          <w:sz w:val="18"/>
          <w:szCs w:val="18"/>
        </w:rPr>
        <w:t>Ownership of intellectual property rights</w:t>
      </w:r>
    </w:p>
    <w:p w14:paraId="77789ED6" w14:textId="77777777" w:rsidR="004D52CE" w:rsidRDefault="004D52CE" w:rsidP="004D52CE">
      <w:pPr>
        <w:rPr>
          <w:sz w:val="18"/>
          <w:szCs w:val="18"/>
        </w:rPr>
      </w:pPr>
      <w:r>
        <w:rPr>
          <w:sz w:val="18"/>
          <w:szCs w:val="18"/>
        </w:rPr>
        <w:t>Unless otherwise noted, copyright (and any other intellectual property rights, if any) in this publication is owned by the Commonwealth of Australia (referred to as the Commonwealth).</w:t>
      </w:r>
    </w:p>
    <w:p w14:paraId="6E4B9DFC" w14:textId="77777777" w:rsidR="00B151F6" w:rsidRDefault="00B151F6" w:rsidP="00B151F6">
      <w:pPr>
        <w:spacing w:after="0"/>
        <w:rPr>
          <w:rFonts w:ascii="Calibri" w:hAnsi="Calibri"/>
          <w:b/>
          <w:sz w:val="18"/>
          <w:szCs w:val="18"/>
        </w:rPr>
      </w:pPr>
      <w:r>
        <w:rPr>
          <w:rFonts w:ascii="Calibri" w:hAnsi="Calibri"/>
          <w:b/>
          <w:sz w:val="18"/>
          <w:szCs w:val="18"/>
        </w:rPr>
        <w:t>Creative Commons licence</w:t>
      </w:r>
    </w:p>
    <w:p w14:paraId="65F8BA2A" w14:textId="77777777" w:rsidR="00B151F6" w:rsidRDefault="00B151F6" w:rsidP="00B151F6">
      <w:pPr>
        <w:rPr>
          <w:sz w:val="18"/>
          <w:szCs w:val="18"/>
        </w:rPr>
      </w:pPr>
      <w:r>
        <w:rPr>
          <w:sz w:val="18"/>
          <w:szCs w:val="18"/>
        </w:rPr>
        <w:t>All material in this publication is licensed under a Creative Commons Attribution 4.0 Australia Licence, save for content supplied by third parties, photographic images, logos and the Commonwealth Coat of Arms.</w:t>
      </w:r>
    </w:p>
    <w:p w14:paraId="120AD393" w14:textId="77777777" w:rsidR="00B151F6" w:rsidRDefault="00B151F6" w:rsidP="00B151F6">
      <w:pPr>
        <w:rPr>
          <w:sz w:val="18"/>
          <w:szCs w:val="18"/>
        </w:rPr>
      </w:pPr>
      <w:r>
        <w:rPr>
          <w:noProof/>
          <w:sz w:val="18"/>
          <w:szCs w:val="18"/>
          <w:lang w:eastAsia="en-AU"/>
        </w:rPr>
        <w:drawing>
          <wp:anchor distT="0" distB="0" distL="114300" distR="114300" simplePos="0" relativeHeight="251659264" behindDoc="0" locked="0" layoutInCell="1" allowOverlap="1" wp14:anchorId="3297F2F5" wp14:editId="0A506425">
            <wp:simplePos x="923925" y="2400300"/>
            <wp:positionH relativeFrom="column">
              <wp:align>left</wp:align>
            </wp:positionH>
            <wp:positionV relativeFrom="paragraph">
              <wp:align>top</wp:align>
            </wp:positionV>
            <wp:extent cx="723900" cy="255905"/>
            <wp:effectExtent l="0" t="0" r="0" b="0"/>
            <wp:wrapSquare wrapText="bothSides"/>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255905"/>
                    </a:xfrm>
                    <a:prstGeom prst="rect">
                      <a:avLst/>
                    </a:prstGeom>
                    <a:noFill/>
                    <a:ln w="9525">
                      <a:noFill/>
                      <a:miter lim="800000"/>
                      <a:headEnd/>
                      <a:tailEnd/>
                    </a:ln>
                  </pic:spPr>
                </pic:pic>
              </a:graphicData>
            </a:graphic>
          </wp:anchor>
        </w:drawing>
      </w:r>
      <w:r>
        <w:rPr>
          <w:sz w:val="18"/>
          <w:szCs w:val="18"/>
        </w:rPr>
        <w:br w:type="textWrapping" w:clear="all"/>
        <w:t xml:space="preserve">Creative Commons Attribution 4.0 Australia Licence is a standard form licence agreement that allows you to copy, distribute, transmit and adapt this publication provided you attribute the work. See the </w:t>
      </w:r>
      <w:hyperlink r:id="rId14" w:history="1">
        <w:r>
          <w:rPr>
            <w:rStyle w:val="Hyperlink"/>
            <w:sz w:val="18"/>
            <w:szCs w:val="18"/>
          </w:rPr>
          <w:t>summary of the licence terms</w:t>
        </w:r>
      </w:hyperlink>
      <w:r>
        <w:rPr>
          <w:sz w:val="18"/>
          <w:szCs w:val="18"/>
        </w:rPr>
        <w:t xml:space="preserve"> or the </w:t>
      </w:r>
      <w:hyperlink r:id="rId15" w:history="1">
        <w:r>
          <w:rPr>
            <w:rStyle w:val="Hyperlink"/>
            <w:sz w:val="18"/>
            <w:szCs w:val="18"/>
          </w:rPr>
          <w:t>full licence terms</w:t>
        </w:r>
      </w:hyperlink>
      <w:r>
        <w:rPr>
          <w:sz w:val="18"/>
          <w:szCs w:val="18"/>
        </w:rPr>
        <w:t>.</w:t>
      </w:r>
    </w:p>
    <w:p w14:paraId="44635A9C" w14:textId="77777777" w:rsidR="00B151F6" w:rsidRDefault="00B151F6" w:rsidP="00B151F6">
      <w:pPr>
        <w:rPr>
          <w:sz w:val="18"/>
          <w:szCs w:val="18"/>
        </w:rPr>
      </w:pPr>
      <w:r>
        <w:rPr>
          <w:sz w:val="18"/>
          <w:szCs w:val="18"/>
        </w:rPr>
        <w:t xml:space="preserve">Inquiries about the licence and any use of this document should be emailed to </w:t>
      </w:r>
      <w:hyperlink r:id="rId16" w:history="1">
        <w:r>
          <w:rPr>
            <w:rStyle w:val="Hyperlink"/>
            <w:sz w:val="18"/>
            <w:szCs w:val="18"/>
          </w:rPr>
          <w:t>copyright@agriculture.gov.au</w:t>
        </w:r>
      </w:hyperlink>
      <w:r>
        <w:rPr>
          <w:sz w:val="18"/>
          <w:szCs w:val="18"/>
        </w:rPr>
        <w:t>.</w:t>
      </w:r>
    </w:p>
    <w:p w14:paraId="75C7B75A" w14:textId="77777777" w:rsidR="001C0D1C" w:rsidRDefault="00E55B1C">
      <w:pPr>
        <w:spacing w:after="0"/>
        <w:rPr>
          <w:rFonts w:ascii="Calibri" w:hAnsi="Calibri"/>
          <w:b/>
          <w:sz w:val="18"/>
          <w:szCs w:val="18"/>
        </w:rPr>
      </w:pPr>
      <w:r>
        <w:rPr>
          <w:rFonts w:ascii="Calibri" w:hAnsi="Calibri"/>
          <w:b/>
          <w:sz w:val="18"/>
          <w:szCs w:val="18"/>
        </w:rPr>
        <w:t>Cataloguing data</w:t>
      </w:r>
    </w:p>
    <w:p w14:paraId="0375D770" w14:textId="34A11A99" w:rsidR="00B151F6" w:rsidRDefault="00E55B1C" w:rsidP="00B151F6">
      <w:pPr>
        <w:rPr>
          <w:sz w:val="18"/>
          <w:szCs w:val="18"/>
        </w:rPr>
      </w:pPr>
      <w:r>
        <w:rPr>
          <w:sz w:val="18"/>
          <w:szCs w:val="18"/>
        </w:rPr>
        <w:t xml:space="preserve">This publication (and any material sourced from it) should be attributed as: </w:t>
      </w:r>
      <w:r w:rsidR="00343147">
        <w:rPr>
          <w:sz w:val="18"/>
          <w:szCs w:val="18"/>
        </w:rPr>
        <w:t>ANZG</w:t>
      </w:r>
      <w:r>
        <w:rPr>
          <w:sz w:val="18"/>
          <w:szCs w:val="18"/>
        </w:rPr>
        <w:t xml:space="preserve"> </w:t>
      </w:r>
      <w:r w:rsidR="00214C3E">
        <w:rPr>
          <w:sz w:val="18"/>
          <w:szCs w:val="18"/>
        </w:rPr>
        <w:t>2021</w:t>
      </w:r>
      <w:r>
        <w:rPr>
          <w:sz w:val="18"/>
          <w:szCs w:val="18"/>
        </w:rPr>
        <w:t>,</w:t>
      </w:r>
      <w:r w:rsidR="00DF1801">
        <w:rPr>
          <w:sz w:val="18"/>
          <w:szCs w:val="18"/>
        </w:rPr>
        <w:t xml:space="preserve"> </w:t>
      </w:r>
      <w:r w:rsidR="00B151F6">
        <w:rPr>
          <w:i/>
          <w:sz w:val="18"/>
          <w:szCs w:val="18"/>
        </w:rPr>
        <w:t xml:space="preserve">Toxicant default guideline values for aquatic ecosystem protection: </w:t>
      </w:r>
      <w:r w:rsidR="00033430">
        <w:rPr>
          <w:i/>
          <w:sz w:val="18"/>
          <w:szCs w:val="18"/>
        </w:rPr>
        <w:t>Zinc</w:t>
      </w:r>
      <w:r w:rsidR="00B151F6">
        <w:rPr>
          <w:i/>
          <w:sz w:val="18"/>
          <w:szCs w:val="18"/>
        </w:rPr>
        <w:t xml:space="preserve"> in </w:t>
      </w:r>
      <w:r w:rsidR="00033430">
        <w:rPr>
          <w:i/>
          <w:sz w:val="18"/>
          <w:szCs w:val="18"/>
        </w:rPr>
        <w:t>marine</w:t>
      </w:r>
      <w:r w:rsidR="00B151F6">
        <w:rPr>
          <w:i/>
          <w:sz w:val="18"/>
          <w:szCs w:val="18"/>
        </w:rPr>
        <w:t xml:space="preserve"> water. </w:t>
      </w:r>
      <w:r w:rsidR="00343147">
        <w:rPr>
          <w:sz w:val="18"/>
          <w:szCs w:val="18"/>
        </w:rPr>
        <w:t>Australian and New Zealand Guidelines for Fresh and Marine Water Quality.</w:t>
      </w:r>
      <w:r w:rsidR="00343147" w:rsidRPr="00D47CA4">
        <w:rPr>
          <w:sz w:val="18"/>
          <w:szCs w:val="18"/>
        </w:rPr>
        <w:t xml:space="preserve"> </w:t>
      </w:r>
      <w:r w:rsidR="00B151F6" w:rsidRPr="00D47CA4">
        <w:rPr>
          <w:sz w:val="18"/>
          <w:szCs w:val="18"/>
        </w:rPr>
        <w:t>CC BY 4.0. Australian and New Zealand Governments and Australian state and territory governments, Canberra, ACT, Australia</w:t>
      </w:r>
      <w:r w:rsidR="00B151F6">
        <w:rPr>
          <w:sz w:val="18"/>
          <w:szCs w:val="18"/>
        </w:rPr>
        <w:t>.</w:t>
      </w:r>
    </w:p>
    <w:p w14:paraId="5AD69391" w14:textId="77777777" w:rsidR="00B151F6" w:rsidRDefault="00B151F6" w:rsidP="00B151F6">
      <w:pPr>
        <w:rPr>
          <w:sz w:val="18"/>
          <w:szCs w:val="18"/>
        </w:rPr>
      </w:pPr>
      <w:r>
        <w:rPr>
          <w:sz w:val="18"/>
          <w:szCs w:val="18"/>
        </w:rPr>
        <w:t xml:space="preserve">This publication is available at </w:t>
      </w:r>
      <w:hyperlink r:id="rId17" w:history="1">
        <w:r w:rsidRPr="00017770">
          <w:rPr>
            <w:rStyle w:val="Hyperlink"/>
            <w:sz w:val="18"/>
            <w:szCs w:val="18"/>
          </w:rPr>
          <w:t>waterquality.gov.au/anz-guidelines/guideline-values/default/water-quality-toxicants/toxicants</w:t>
        </w:r>
      </w:hyperlink>
      <w:r>
        <w:rPr>
          <w:sz w:val="18"/>
          <w:szCs w:val="18"/>
        </w:rPr>
        <w:t>.</w:t>
      </w:r>
    </w:p>
    <w:p w14:paraId="3E95282B" w14:textId="77777777" w:rsidR="00824850" w:rsidRDefault="00824850" w:rsidP="00824850">
      <w:pPr>
        <w:spacing w:after="0"/>
        <w:rPr>
          <w:b/>
          <w:sz w:val="18"/>
          <w:szCs w:val="18"/>
        </w:rPr>
      </w:pPr>
      <w:r w:rsidRPr="00824850">
        <w:rPr>
          <w:b/>
          <w:sz w:val="18"/>
          <w:szCs w:val="18"/>
        </w:rPr>
        <w:t>Contact</w:t>
      </w:r>
    </w:p>
    <w:p w14:paraId="66EB3F64" w14:textId="2FB273CC" w:rsidR="00824850" w:rsidRDefault="00E55B1C" w:rsidP="00824850">
      <w:pPr>
        <w:spacing w:after="0"/>
        <w:rPr>
          <w:b/>
          <w:sz w:val="18"/>
          <w:szCs w:val="18"/>
        </w:rPr>
      </w:pPr>
      <w:r>
        <w:rPr>
          <w:sz w:val="18"/>
          <w:szCs w:val="18"/>
        </w:rPr>
        <w:t>Australian Government Department of</w:t>
      </w:r>
      <w:r w:rsidR="00FC6F4A">
        <w:rPr>
          <w:sz w:val="18"/>
          <w:szCs w:val="18"/>
        </w:rPr>
        <w:t xml:space="preserve"> Agriculture, Water and the Environment</w:t>
      </w:r>
    </w:p>
    <w:p w14:paraId="2C59091B" w14:textId="69EBDF01" w:rsidR="001C0D1C" w:rsidRPr="00824850" w:rsidRDefault="00E55B1C" w:rsidP="00824850">
      <w:pPr>
        <w:spacing w:after="0"/>
        <w:rPr>
          <w:b/>
          <w:sz w:val="18"/>
          <w:szCs w:val="18"/>
        </w:rPr>
      </w:pPr>
      <w:r>
        <w:rPr>
          <w:sz w:val="18"/>
          <w:szCs w:val="18"/>
        </w:rPr>
        <w:t>GPO Box 858 Canberra ACT 2601</w:t>
      </w:r>
    </w:p>
    <w:p w14:paraId="6EBF1CEF" w14:textId="77777777" w:rsidR="001C0D1C" w:rsidRDefault="00E55B1C" w:rsidP="00824850">
      <w:pPr>
        <w:spacing w:after="0"/>
        <w:rPr>
          <w:sz w:val="18"/>
          <w:szCs w:val="18"/>
        </w:rPr>
      </w:pPr>
      <w:r>
        <w:rPr>
          <w:sz w:val="18"/>
          <w:szCs w:val="18"/>
        </w:rPr>
        <w:t>Switchboard +61 2 6272 3933 or 1800 900 090</w:t>
      </w:r>
    </w:p>
    <w:p w14:paraId="34C5EBA5" w14:textId="765C1D0C" w:rsidR="001C0D1C" w:rsidRDefault="00E55B1C" w:rsidP="00824850">
      <w:pPr>
        <w:spacing w:after="120"/>
        <w:rPr>
          <w:sz w:val="18"/>
          <w:szCs w:val="18"/>
        </w:rPr>
      </w:pPr>
      <w:r>
        <w:rPr>
          <w:sz w:val="18"/>
          <w:szCs w:val="18"/>
        </w:rPr>
        <w:t xml:space="preserve">Email </w:t>
      </w:r>
      <w:hyperlink r:id="rId18" w:history="1">
        <w:r w:rsidR="00B151F6">
          <w:rPr>
            <w:rStyle w:val="Hyperlink"/>
            <w:sz w:val="18"/>
            <w:szCs w:val="18"/>
          </w:rPr>
          <w:t>waterquality@agriculture.gov.au</w:t>
        </w:r>
      </w:hyperlink>
    </w:p>
    <w:p w14:paraId="26653544" w14:textId="77777777" w:rsidR="00B151F6" w:rsidRDefault="00B151F6" w:rsidP="00B151F6">
      <w:pPr>
        <w:spacing w:after="0"/>
        <w:rPr>
          <w:rFonts w:ascii="Calibri" w:hAnsi="Calibri"/>
          <w:b/>
          <w:sz w:val="18"/>
          <w:szCs w:val="18"/>
        </w:rPr>
      </w:pPr>
      <w:r>
        <w:rPr>
          <w:rFonts w:ascii="Calibri" w:hAnsi="Calibri"/>
          <w:b/>
          <w:sz w:val="18"/>
          <w:szCs w:val="18"/>
        </w:rPr>
        <w:t>Disclaimer</w:t>
      </w:r>
    </w:p>
    <w:p w14:paraId="13B94BB2" w14:textId="77777777" w:rsidR="00B151F6" w:rsidRDefault="00B151F6" w:rsidP="00B151F6">
      <w:pPr>
        <w:spacing w:after="0"/>
        <w:rPr>
          <w:sz w:val="18"/>
          <w:szCs w:val="18"/>
        </w:rPr>
      </w:pPr>
      <w:r>
        <w:rPr>
          <w:sz w:val="18"/>
          <w:szCs w:val="18"/>
        </w:rPr>
        <w:t>The author(s) of this publication, all other entities associated with funding this publication or preparing and compiling this publication, and the publisher of this publication, and their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4699A4E9" w14:textId="77777777" w:rsidR="00B151F6" w:rsidRDefault="00B151F6" w:rsidP="00B151F6">
      <w:pPr>
        <w:spacing w:after="0"/>
        <w:rPr>
          <w:sz w:val="18"/>
          <w:szCs w:val="18"/>
        </w:rPr>
      </w:pPr>
    </w:p>
    <w:p w14:paraId="0F584FCC" w14:textId="77777777" w:rsidR="00B151F6" w:rsidRDefault="00B151F6" w:rsidP="00B151F6">
      <w:pPr>
        <w:spacing w:after="0"/>
        <w:rPr>
          <w:rFonts w:ascii="Calibri" w:hAnsi="Calibri"/>
          <w:b/>
          <w:sz w:val="18"/>
          <w:szCs w:val="18"/>
        </w:rPr>
      </w:pPr>
      <w:r>
        <w:rPr>
          <w:rFonts w:ascii="Calibri" w:hAnsi="Calibri"/>
          <w:b/>
          <w:sz w:val="18"/>
          <w:szCs w:val="18"/>
        </w:rPr>
        <w:t>Acknowledgements</w:t>
      </w:r>
    </w:p>
    <w:p w14:paraId="5D9B5F96" w14:textId="06F73B9F" w:rsidR="001C0D1C" w:rsidRDefault="00033430">
      <w:pPr>
        <w:rPr>
          <w:sz w:val="18"/>
          <w:szCs w:val="18"/>
        </w:rPr>
      </w:pPr>
      <w:r w:rsidRPr="00033430">
        <w:rPr>
          <w:sz w:val="18"/>
          <w:szCs w:val="18"/>
        </w:rPr>
        <w:t xml:space="preserve">These default guideline values (DGVs) were derived by Dr Jennifer Gadd and Dr Chris Hickey, National Institute of Water and Atmospheric Research (NIWA), Auckland/Hamilton, New Zealand. This </w:t>
      </w:r>
      <w:r w:rsidR="00E45AAA">
        <w:rPr>
          <w:sz w:val="18"/>
          <w:szCs w:val="18"/>
        </w:rPr>
        <w:t>technical brief</w:t>
      </w:r>
      <w:r w:rsidR="00E45AAA" w:rsidRPr="00033430">
        <w:rPr>
          <w:sz w:val="18"/>
          <w:szCs w:val="18"/>
        </w:rPr>
        <w:t xml:space="preserve"> </w:t>
      </w:r>
      <w:r w:rsidRPr="00033430">
        <w:rPr>
          <w:sz w:val="18"/>
          <w:szCs w:val="18"/>
        </w:rPr>
        <w:t xml:space="preserve">was internally reviewed by Dr Lisa Golding, </w:t>
      </w:r>
      <w:r>
        <w:rPr>
          <w:sz w:val="18"/>
          <w:szCs w:val="18"/>
        </w:rPr>
        <w:t xml:space="preserve">Dr </w:t>
      </w:r>
      <w:r w:rsidRPr="00033430">
        <w:rPr>
          <w:sz w:val="18"/>
          <w:szCs w:val="18"/>
        </w:rPr>
        <w:t xml:space="preserve">Graeme Batley and </w:t>
      </w:r>
      <w:r>
        <w:rPr>
          <w:sz w:val="18"/>
          <w:szCs w:val="18"/>
        </w:rPr>
        <w:t xml:space="preserve">Dr </w:t>
      </w:r>
      <w:r w:rsidRPr="00033430">
        <w:rPr>
          <w:sz w:val="18"/>
          <w:szCs w:val="18"/>
        </w:rPr>
        <w:t>Jenny Stauber from CSIRO Land and Water, Lucas Heights, NSW, Australia, and independently reviewed by two anonymous peer reviewers</w:t>
      </w:r>
      <w:r w:rsidR="003F4310">
        <w:rPr>
          <w:sz w:val="18"/>
          <w:szCs w:val="18"/>
        </w:rPr>
        <w:t xml:space="preserve"> and </w:t>
      </w:r>
      <w:r w:rsidR="00986529">
        <w:rPr>
          <w:sz w:val="18"/>
          <w:szCs w:val="18"/>
        </w:rPr>
        <w:t xml:space="preserve">by </w:t>
      </w:r>
      <w:r w:rsidR="003F4310">
        <w:rPr>
          <w:sz w:val="18"/>
          <w:szCs w:val="18"/>
        </w:rPr>
        <w:t>two contracted technical advisors, Dr Rick van Dam and Alicia Hogan</w:t>
      </w:r>
      <w:r w:rsidRPr="00033430">
        <w:rPr>
          <w:sz w:val="18"/>
          <w:szCs w:val="18"/>
        </w:rPr>
        <w:t>.</w:t>
      </w:r>
      <w:r w:rsidR="00B151F6">
        <w:rPr>
          <w:sz w:val="18"/>
          <w:szCs w:val="18"/>
        </w:rPr>
        <w:t xml:space="preserve"> </w:t>
      </w:r>
      <w:r w:rsidR="00112984">
        <w:rPr>
          <w:sz w:val="18"/>
          <w:szCs w:val="18"/>
        </w:rPr>
        <w:t>Valuable comments from the public consultation phase are also duly acknowledged.</w:t>
      </w:r>
      <w:r w:rsidR="00586A86">
        <w:rPr>
          <w:sz w:val="18"/>
          <w:szCs w:val="18"/>
        </w:rPr>
        <w:t xml:space="preserve"> </w:t>
      </w:r>
      <w:r w:rsidR="00586A86" w:rsidRPr="00463421">
        <w:rPr>
          <w:sz w:val="18"/>
          <w:szCs w:val="18"/>
        </w:rPr>
        <w:t>The DGVs were also reviewed and approved by jurisdictional technical and policy oversight groups and a National Water Reform Committee, prior to being published</w:t>
      </w:r>
      <w:r w:rsidR="00586A86">
        <w:rPr>
          <w:sz w:val="18"/>
          <w:szCs w:val="18"/>
        </w:rPr>
        <w:t>.</w:t>
      </w:r>
      <w:r w:rsidR="00E55B1C">
        <w:rPr>
          <w:noProof/>
          <w:sz w:val="18"/>
          <w:szCs w:val="18"/>
          <w:lang w:eastAsia="en-AU"/>
        </w:rPr>
        <w:drawing>
          <wp:inline distT="0" distB="0" distL="0" distR="0" wp14:anchorId="21C06E27" wp14:editId="79AF8276">
            <wp:extent cx="5743589" cy="1682496"/>
            <wp:effectExtent l="0" t="0" r="0" b="0"/>
            <wp:docPr id="4" name="Picture 4" descr="A joint project between the New Zealand Government, NSW Government, Victoria State Government, Government of Western Australia, Northern Territory Government, Government of South Australia, Queensland Government, Tasmanian Government and ACT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2834_1216_Water Quality state logos.jpg"/>
                    <pic:cNvPicPr/>
                  </pic:nvPicPr>
                  <pic:blipFill rotWithShape="1">
                    <a:blip r:embed="rId19">
                      <a:extLst>
                        <a:ext uri="{28A0092B-C50C-407E-A947-70E740481C1C}">
                          <a14:useLocalDpi xmlns:a14="http://schemas.microsoft.com/office/drawing/2010/main" val="0"/>
                        </a:ext>
                      </a:extLst>
                    </a:blip>
                    <a:srcRect t="25806"/>
                    <a:stretch/>
                  </pic:blipFill>
                  <pic:spPr bwMode="auto">
                    <a:xfrm>
                      <a:off x="0" y="0"/>
                      <a:ext cx="5759450" cy="1687142"/>
                    </a:xfrm>
                    <a:prstGeom prst="rect">
                      <a:avLst/>
                    </a:prstGeom>
                    <a:ln>
                      <a:noFill/>
                    </a:ln>
                    <a:extLst>
                      <a:ext uri="{53640926-AAD7-44D8-BBD7-CCE9431645EC}">
                        <a14:shadowObscured xmlns:a14="http://schemas.microsoft.com/office/drawing/2010/main"/>
                      </a:ext>
                    </a:extLst>
                  </pic:spPr>
                </pic:pic>
              </a:graphicData>
            </a:graphic>
          </wp:inline>
        </w:drawing>
      </w:r>
    </w:p>
    <w:p w14:paraId="4A316D6E" w14:textId="77777777" w:rsidR="001C0D1C" w:rsidRDefault="00E55B1C">
      <w:pPr>
        <w:pStyle w:val="TOCHeading"/>
      </w:pPr>
      <w:r>
        <w:lastRenderedPageBreak/>
        <w:t>Contents</w:t>
      </w:r>
    </w:p>
    <w:p w14:paraId="2BA510F6" w14:textId="42B93751" w:rsidR="00456AB5" w:rsidRDefault="00E55B1C">
      <w:pPr>
        <w:pStyle w:val="TOC1"/>
        <w:rPr>
          <w:rFonts w:eastAsiaTheme="minorEastAsia"/>
          <w:b w:val="0"/>
          <w:sz w:val="24"/>
          <w:szCs w:val="24"/>
          <w:lang w:eastAsia="en-GB"/>
        </w:rPr>
      </w:pPr>
      <w:r>
        <w:rPr>
          <w:bCs/>
          <w:szCs w:val="24"/>
        </w:rPr>
        <w:fldChar w:fldCharType="begin"/>
      </w:r>
      <w:r>
        <w:rPr>
          <w:bCs/>
          <w:szCs w:val="24"/>
        </w:rPr>
        <w:instrText xml:space="preserve"> TOC \t "Heading 2,1,Heading 3,2" </w:instrText>
      </w:r>
      <w:r>
        <w:rPr>
          <w:bCs/>
          <w:szCs w:val="24"/>
        </w:rPr>
        <w:fldChar w:fldCharType="separate"/>
      </w:r>
      <w:r w:rsidR="00456AB5">
        <w:t>Summary</w:t>
      </w:r>
      <w:r w:rsidR="00456AB5">
        <w:tab/>
      </w:r>
      <w:r w:rsidR="00456AB5">
        <w:fldChar w:fldCharType="begin"/>
      </w:r>
      <w:r w:rsidR="00456AB5">
        <w:instrText xml:space="preserve"> PAGEREF _Toc34814163 \h </w:instrText>
      </w:r>
      <w:r w:rsidR="00456AB5">
        <w:fldChar w:fldCharType="separate"/>
      </w:r>
      <w:r w:rsidR="00EC0AF5">
        <w:t>v</w:t>
      </w:r>
      <w:r w:rsidR="00456AB5">
        <w:fldChar w:fldCharType="end"/>
      </w:r>
    </w:p>
    <w:p w14:paraId="768874D9" w14:textId="5224E15C" w:rsidR="00456AB5" w:rsidRDefault="00456AB5">
      <w:pPr>
        <w:pStyle w:val="TOC1"/>
        <w:rPr>
          <w:rFonts w:eastAsiaTheme="minorEastAsia"/>
          <w:b w:val="0"/>
          <w:sz w:val="24"/>
          <w:szCs w:val="24"/>
          <w:lang w:eastAsia="en-GB"/>
        </w:rPr>
      </w:pPr>
      <w:r w:rsidRPr="00220DB7">
        <w:t>1</w:t>
      </w:r>
      <w:r>
        <w:rPr>
          <w:rFonts w:eastAsiaTheme="minorEastAsia"/>
          <w:b w:val="0"/>
          <w:sz w:val="24"/>
          <w:szCs w:val="24"/>
          <w:lang w:eastAsia="en-GB"/>
        </w:rPr>
        <w:tab/>
      </w:r>
      <w:r>
        <w:t>Introduction</w:t>
      </w:r>
      <w:r>
        <w:tab/>
      </w:r>
      <w:r>
        <w:fldChar w:fldCharType="begin"/>
      </w:r>
      <w:r>
        <w:instrText xml:space="preserve"> PAGEREF _Toc34814164 \h </w:instrText>
      </w:r>
      <w:r>
        <w:fldChar w:fldCharType="separate"/>
      </w:r>
      <w:r w:rsidR="00EC0AF5">
        <w:t>1</w:t>
      </w:r>
      <w:r>
        <w:fldChar w:fldCharType="end"/>
      </w:r>
    </w:p>
    <w:p w14:paraId="6BF78D9C" w14:textId="7ED149FA" w:rsidR="00456AB5" w:rsidRDefault="00456AB5">
      <w:pPr>
        <w:pStyle w:val="TOC1"/>
        <w:rPr>
          <w:rFonts w:eastAsiaTheme="minorEastAsia"/>
          <w:b w:val="0"/>
          <w:sz w:val="24"/>
          <w:szCs w:val="24"/>
          <w:lang w:eastAsia="en-GB"/>
        </w:rPr>
      </w:pPr>
      <w:r w:rsidRPr="00220DB7">
        <w:t>2</w:t>
      </w:r>
      <w:r>
        <w:rPr>
          <w:rFonts w:eastAsiaTheme="minorEastAsia"/>
          <w:b w:val="0"/>
          <w:sz w:val="24"/>
          <w:szCs w:val="24"/>
          <w:lang w:eastAsia="en-GB"/>
        </w:rPr>
        <w:tab/>
      </w:r>
      <w:r>
        <w:t>Aquatic toxicology</w:t>
      </w:r>
      <w:r>
        <w:tab/>
      </w:r>
      <w:r>
        <w:fldChar w:fldCharType="begin"/>
      </w:r>
      <w:r>
        <w:instrText xml:space="preserve"> PAGEREF _Toc34814165 \h </w:instrText>
      </w:r>
      <w:r>
        <w:fldChar w:fldCharType="separate"/>
      </w:r>
      <w:r w:rsidR="00EC0AF5">
        <w:t>2</w:t>
      </w:r>
      <w:r>
        <w:fldChar w:fldCharType="end"/>
      </w:r>
    </w:p>
    <w:p w14:paraId="13007F5A" w14:textId="03EE5ED5" w:rsidR="00456AB5" w:rsidRDefault="00456AB5">
      <w:pPr>
        <w:pStyle w:val="TOC2"/>
        <w:tabs>
          <w:tab w:val="left" w:pos="960"/>
        </w:tabs>
        <w:rPr>
          <w:rFonts w:eastAsiaTheme="minorEastAsia"/>
          <w:sz w:val="24"/>
          <w:szCs w:val="24"/>
          <w:lang w:eastAsia="en-GB"/>
        </w:rPr>
      </w:pPr>
      <w:r>
        <w:t>2.1</w:t>
      </w:r>
      <w:r>
        <w:rPr>
          <w:rFonts w:eastAsiaTheme="minorEastAsia"/>
          <w:sz w:val="24"/>
          <w:szCs w:val="24"/>
          <w:lang w:eastAsia="en-GB"/>
        </w:rPr>
        <w:tab/>
      </w:r>
      <w:r>
        <w:t>Mechanisms of toxicity</w:t>
      </w:r>
      <w:r>
        <w:tab/>
      </w:r>
      <w:r>
        <w:fldChar w:fldCharType="begin"/>
      </w:r>
      <w:r>
        <w:instrText xml:space="preserve"> PAGEREF _Toc34814166 \h </w:instrText>
      </w:r>
      <w:r>
        <w:fldChar w:fldCharType="separate"/>
      </w:r>
      <w:r w:rsidR="00EC0AF5">
        <w:t>2</w:t>
      </w:r>
      <w:r>
        <w:fldChar w:fldCharType="end"/>
      </w:r>
    </w:p>
    <w:p w14:paraId="152265E8" w14:textId="4A99176F" w:rsidR="00456AB5" w:rsidRDefault="00456AB5">
      <w:pPr>
        <w:pStyle w:val="TOC2"/>
        <w:tabs>
          <w:tab w:val="left" w:pos="960"/>
        </w:tabs>
        <w:rPr>
          <w:rFonts w:eastAsiaTheme="minorEastAsia"/>
          <w:sz w:val="24"/>
          <w:szCs w:val="24"/>
          <w:lang w:eastAsia="en-GB"/>
        </w:rPr>
      </w:pPr>
      <w:r>
        <w:t>2.2</w:t>
      </w:r>
      <w:r>
        <w:rPr>
          <w:rFonts w:eastAsiaTheme="minorEastAsia"/>
          <w:sz w:val="24"/>
          <w:szCs w:val="24"/>
          <w:lang w:eastAsia="en-GB"/>
        </w:rPr>
        <w:tab/>
      </w:r>
      <w:r>
        <w:t>Acute toxicity</w:t>
      </w:r>
      <w:r>
        <w:tab/>
      </w:r>
      <w:r>
        <w:fldChar w:fldCharType="begin"/>
      </w:r>
      <w:r>
        <w:instrText xml:space="preserve"> PAGEREF _Toc34814167 \h </w:instrText>
      </w:r>
      <w:r>
        <w:fldChar w:fldCharType="separate"/>
      </w:r>
      <w:r w:rsidR="00EC0AF5">
        <w:t>2</w:t>
      </w:r>
      <w:r>
        <w:fldChar w:fldCharType="end"/>
      </w:r>
    </w:p>
    <w:p w14:paraId="63AC3053" w14:textId="14DB2964" w:rsidR="00456AB5" w:rsidRDefault="00456AB5">
      <w:pPr>
        <w:pStyle w:val="TOC2"/>
        <w:tabs>
          <w:tab w:val="left" w:pos="960"/>
        </w:tabs>
        <w:rPr>
          <w:rFonts w:eastAsiaTheme="minorEastAsia"/>
          <w:sz w:val="24"/>
          <w:szCs w:val="24"/>
          <w:lang w:eastAsia="en-GB"/>
        </w:rPr>
      </w:pPr>
      <w:r>
        <w:t>2.3</w:t>
      </w:r>
      <w:r>
        <w:rPr>
          <w:rFonts w:eastAsiaTheme="minorEastAsia"/>
          <w:sz w:val="24"/>
          <w:szCs w:val="24"/>
          <w:lang w:eastAsia="en-GB"/>
        </w:rPr>
        <w:tab/>
      </w:r>
      <w:r>
        <w:t>Chronic toxicity</w:t>
      </w:r>
      <w:r>
        <w:tab/>
      </w:r>
      <w:r>
        <w:fldChar w:fldCharType="begin"/>
      </w:r>
      <w:r>
        <w:instrText xml:space="preserve"> PAGEREF _Toc34814168 \h </w:instrText>
      </w:r>
      <w:r>
        <w:fldChar w:fldCharType="separate"/>
      </w:r>
      <w:r w:rsidR="00EC0AF5">
        <w:t>3</w:t>
      </w:r>
      <w:r>
        <w:fldChar w:fldCharType="end"/>
      </w:r>
    </w:p>
    <w:p w14:paraId="5FC6BF16" w14:textId="5760D3EB" w:rsidR="00456AB5" w:rsidRDefault="00456AB5">
      <w:pPr>
        <w:pStyle w:val="TOC1"/>
        <w:rPr>
          <w:rFonts w:eastAsiaTheme="minorEastAsia"/>
          <w:b w:val="0"/>
          <w:sz w:val="24"/>
          <w:szCs w:val="24"/>
          <w:lang w:eastAsia="en-GB"/>
        </w:rPr>
      </w:pPr>
      <w:r w:rsidRPr="00220DB7">
        <w:t>3</w:t>
      </w:r>
      <w:r>
        <w:rPr>
          <w:rFonts w:eastAsiaTheme="minorEastAsia"/>
          <w:b w:val="0"/>
          <w:sz w:val="24"/>
          <w:szCs w:val="24"/>
          <w:lang w:eastAsia="en-GB"/>
        </w:rPr>
        <w:tab/>
      </w:r>
      <w:r>
        <w:t>Factors affecting toxicity</w:t>
      </w:r>
      <w:r>
        <w:tab/>
      </w:r>
      <w:r>
        <w:fldChar w:fldCharType="begin"/>
      </w:r>
      <w:r>
        <w:instrText xml:space="preserve"> PAGEREF _Toc34814169 \h </w:instrText>
      </w:r>
      <w:r>
        <w:fldChar w:fldCharType="separate"/>
      </w:r>
      <w:r w:rsidR="00EC0AF5">
        <w:t>4</w:t>
      </w:r>
      <w:r>
        <w:fldChar w:fldCharType="end"/>
      </w:r>
    </w:p>
    <w:p w14:paraId="669D8E26" w14:textId="216506B9" w:rsidR="00456AB5" w:rsidRDefault="00456AB5">
      <w:pPr>
        <w:pStyle w:val="TOC1"/>
        <w:rPr>
          <w:rFonts w:eastAsiaTheme="minorEastAsia"/>
          <w:b w:val="0"/>
          <w:sz w:val="24"/>
          <w:szCs w:val="24"/>
          <w:lang w:eastAsia="en-GB"/>
        </w:rPr>
      </w:pPr>
      <w:r w:rsidRPr="00220DB7">
        <w:t>4</w:t>
      </w:r>
      <w:r>
        <w:rPr>
          <w:rFonts w:eastAsiaTheme="minorEastAsia"/>
          <w:b w:val="0"/>
          <w:sz w:val="24"/>
          <w:szCs w:val="24"/>
          <w:lang w:eastAsia="en-GB"/>
        </w:rPr>
        <w:tab/>
      </w:r>
      <w:r>
        <w:t>Default guideline value derivation</w:t>
      </w:r>
      <w:r>
        <w:tab/>
      </w:r>
      <w:r>
        <w:fldChar w:fldCharType="begin"/>
      </w:r>
      <w:r>
        <w:instrText xml:space="preserve"> PAGEREF _Toc34814170 \h </w:instrText>
      </w:r>
      <w:r>
        <w:fldChar w:fldCharType="separate"/>
      </w:r>
      <w:r w:rsidR="00EC0AF5">
        <w:t>4</w:t>
      </w:r>
      <w:r>
        <w:fldChar w:fldCharType="end"/>
      </w:r>
    </w:p>
    <w:p w14:paraId="45633BDE" w14:textId="437DDC24" w:rsidR="00456AB5" w:rsidRDefault="00456AB5">
      <w:pPr>
        <w:pStyle w:val="TOC2"/>
        <w:tabs>
          <w:tab w:val="left" w:pos="960"/>
        </w:tabs>
        <w:rPr>
          <w:rFonts w:eastAsiaTheme="minorEastAsia"/>
          <w:sz w:val="24"/>
          <w:szCs w:val="24"/>
          <w:lang w:eastAsia="en-GB"/>
        </w:rPr>
      </w:pPr>
      <w:r>
        <w:t>4.1</w:t>
      </w:r>
      <w:r>
        <w:rPr>
          <w:rFonts w:eastAsiaTheme="minorEastAsia"/>
          <w:sz w:val="24"/>
          <w:szCs w:val="24"/>
          <w:lang w:eastAsia="en-GB"/>
        </w:rPr>
        <w:tab/>
      </w:r>
      <w:r>
        <w:t>Toxicity data used in derivation</w:t>
      </w:r>
      <w:r>
        <w:tab/>
      </w:r>
      <w:r>
        <w:fldChar w:fldCharType="begin"/>
      </w:r>
      <w:r>
        <w:instrText xml:space="preserve"> PAGEREF _Toc34814171 \h </w:instrText>
      </w:r>
      <w:r>
        <w:fldChar w:fldCharType="separate"/>
      </w:r>
      <w:r w:rsidR="00EC0AF5">
        <w:t>5</w:t>
      </w:r>
      <w:r>
        <w:fldChar w:fldCharType="end"/>
      </w:r>
    </w:p>
    <w:p w14:paraId="0AFC9B5A" w14:textId="30512CED" w:rsidR="00456AB5" w:rsidRDefault="00456AB5">
      <w:pPr>
        <w:pStyle w:val="TOC2"/>
        <w:tabs>
          <w:tab w:val="left" w:pos="960"/>
        </w:tabs>
        <w:rPr>
          <w:rFonts w:eastAsiaTheme="minorEastAsia"/>
          <w:sz w:val="24"/>
          <w:szCs w:val="24"/>
          <w:lang w:eastAsia="en-GB"/>
        </w:rPr>
      </w:pPr>
      <w:r>
        <w:t>4.2</w:t>
      </w:r>
      <w:r>
        <w:rPr>
          <w:rFonts w:eastAsiaTheme="minorEastAsia"/>
          <w:sz w:val="24"/>
          <w:szCs w:val="24"/>
          <w:lang w:eastAsia="en-GB"/>
        </w:rPr>
        <w:tab/>
      </w:r>
      <w:r>
        <w:t>Species sensitivity distribution</w:t>
      </w:r>
      <w:r>
        <w:tab/>
      </w:r>
      <w:r>
        <w:fldChar w:fldCharType="begin"/>
      </w:r>
      <w:r>
        <w:instrText xml:space="preserve"> PAGEREF _Toc34814172 \h </w:instrText>
      </w:r>
      <w:r>
        <w:fldChar w:fldCharType="separate"/>
      </w:r>
      <w:r w:rsidR="00EC0AF5">
        <w:t>9</w:t>
      </w:r>
      <w:r>
        <w:fldChar w:fldCharType="end"/>
      </w:r>
    </w:p>
    <w:p w14:paraId="17E08E29" w14:textId="5B8B9510" w:rsidR="00456AB5" w:rsidRDefault="00456AB5">
      <w:pPr>
        <w:pStyle w:val="TOC2"/>
        <w:tabs>
          <w:tab w:val="left" w:pos="960"/>
        </w:tabs>
        <w:rPr>
          <w:rFonts w:eastAsiaTheme="minorEastAsia"/>
          <w:sz w:val="24"/>
          <w:szCs w:val="24"/>
          <w:lang w:eastAsia="en-GB"/>
        </w:rPr>
      </w:pPr>
      <w:r>
        <w:t>4.3</w:t>
      </w:r>
      <w:r>
        <w:rPr>
          <w:rFonts w:eastAsiaTheme="minorEastAsia"/>
          <w:sz w:val="24"/>
          <w:szCs w:val="24"/>
          <w:lang w:eastAsia="en-GB"/>
        </w:rPr>
        <w:tab/>
      </w:r>
      <w:r>
        <w:t>Default guideline values</w:t>
      </w:r>
      <w:r>
        <w:tab/>
      </w:r>
      <w:r>
        <w:fldChar w:fldCharType="begin"/>
      </w:r>
      <w:r>
        <w:instrText xml:space="preserve"> PAGEREF _Toc34814173 \h </w:instrText>
      </w:r>
      <w:r>
        <w:fldChar w:fldCharType="separate"/>
      </w:r>
      <w:r w:rsidR="00EC0AF5">
        <w:t>9</w:t>
      </w:r>
      <w:r>
        <w:fldChar w:fldCharType="end"/>
      </w:r>
    </w:p>
    <w:p w14:paraId="1CBA72CB" w14:textId="4F90CB13" w:rsidR="00456AB5" w:rsidRDefault="00456AB5">
      <w:pPr>
        <w:pStyle w:val="TOC2"/>
        <w:tabs>
          <w:tab w:val="left" w:pos="960"/>
        </w:tabs>
        <w:rPr>
          <w:rFonts w:eastAsiaTheme="minorEastAsia"/>
          <w:sz w:val="24"/>
          <w:szCs w:val="24"/>
          <w:lang w:eastAsia="en-GB"/>
        </w:rPr>
      </w:pPr>
      <w:r>
        <w:t>4.4</w:t>
      </w:r>
      <w:r>
        <w:rPr>
          <w:rFonts w:eastAsiaTheme="minorEastAsia"/>
          <w:sz w:val="24"/>
          <w:szCs w:val="24"/>
          <w:lang w:eastAsia="en-GB"/>
        </w:rPr>
        <w:tab/>
      </w:r>
      <w:r>
        <w:t>Reliability classification</w:t>
      </w:r>
      <w:r>
        <w:tab/>
      </w:r>
      <w:r>
        <w:fldChar w:fldCharType="begin"/>
      </w:r>
      <w:r>
        <w:instrText xml:space="preserve"> PAGEREF _Toc34814174 \h </w:instrText>
      </w:r>
      <w:r>
        <w:fldChar w:fldCharType="separate"/>
      </w:r>
      <w:r w:rsidR="00EC0AF5">
        <w:t>10</w:t>
      </w:r>
      <w:r>
        <w:fldChar w:fldCharType="end"/>
      </w:r>
    </w:p>
    <w:p w14:paraId="37D29C8E" w14:textId="1A163DD5" w:rsidR="00456AB5" w:rsidRDefault="00456AB5">
      <w:pPr>
        <w:pStyle w:val="TOC1"/>
        <w:rPr>
          <w:rFonts w:eastAsiaTheme="minorEastAsia"/>
          <w:b w:val="0"/>
          <w:sz w:val="24"/>
          <w:szCs w:val="24"/>
          <w:lang w:eastAsia="en-GB"/>
        </w:rPr>
      </w:pPr>
      <w:r>
        <w:t>Glossary</w:t>
      </w:r>
      <w:r>
        <w:tab/>
      </w:r>
      <w:r>
        <w:fldChar w:fldCharType="begin"/>
      </w:r>
      <w:r>
        <w:instrText xml:space="preserve"> PAGEREF _Toc34814175 \h </w:instrText>
      </w:r>
      <w:r>
        <w:fldChar w:fldCharType="separate"/>
      </w:r>
      <w:r w:rsidR="00EC0AF5">
        <w:t>11</w:t>
      </w:r>
      <w:r>
        <w:fldChar w:fldCharType="end"/>
      </w:r>
    </w:p>
    <w:p w14:paraId="25CCC004" w14:textId="063B985F" w:rsidR="00456AB5" w:rsidRDefault="00456AB5">
      <w:pPr>
        <w:pStyle w:val="TOC1"/>
        <w:rPr>
          <w:rFonts w:eastAsiaTheme="minorEastAsia"/>
          <w:b w:val="0"/>
          <w:sz w:val="24"/>
          <w:szCs w:val="24"/>
          <w:lang w:eastAsia="en-GB"/>
        </w:rPr>
      </w:pPr>
      <w:r>
        <w:t>Appendix A: Recommended actions to assess bioavailable fraction of zinc</w:t>
      </w:r>
      <w:r>
        <w:tab/>
      </w:r>
      <w:r>
        <w:fldChar w:fldCharType="begin"/>
      </w:r>
      <w:r>
        <w:instrText xml:space="preserve"> PAGEREF _Toc34814176 \h </w:instrText>
      </w:r>
      <w:r>
        <w:fldChar w:fldCharType="separate"/>
      </w:r>
      <w:r w:rsidR="00EC0AF5">
        <w:t>13</w:t>
      </w:r>
      <w:r>
        <w:fldChar w:fldCharType="end"/>
      </w:r>
    </w:p>
    <w:p w14:paraId="3AEF176B" w14:textId="3D7B1D79" w:rsidR="00456AB5" w:rsidRDefault="00456AB5">
      <w:pPr>
        <w:pStyle w:val="TOC1"/>
        <w:rPr>
          <w:rFonts w:eastAsiaTheme="minorEastAsia"/>
          <w:b w:val="0"/>
          <w:sz w:val="24"/>
          <w:szCs w:val="24"/>
          <w:lang w:eastAsia="en-GB"/>
        </w:rPr>
      </w:pPr>
      <w:r>
        <w:t>Appendix B: Toxicity data that passed the screening and quality assessment and were used to derive the default guideline values</w:t>
      </w:r>
      <w:r>
        <w:tab/>
      </w:r>
      <w:r>
        <w:fldChar w:fldCharType="begin"/>
      </w:r>
      <w:r>
        <w:instrText xml:space="preserve"> PAGEREF _Toc34814177 \h </w:instrText>
      </w:r>
      <w:r>
        <w:fldChar w:fldCharType="separate"/>
      </w:r>
      <w:r w:rsidR="00EC0AF5">
        <w:t>14</w:t>
      </w:r>
      <w:r>
        <w:fldChar w:fldCharType="end"/>
      </w:r>
    </w:p>
    <w:p w14:paraId="01624608" w14:textId="5BC437A7" w:rsidR="00456AB5" w:rsidRDefault="00456AB5">
      <w:pPr>
        <w:pStyle w:val="TOC1"/>
        <w:rPr>
          <w:rFonts w:eastAsiaTheme="minorEastAsia"/>
          <w:b w:val="0"/>
          <w:sz w:val="24"/>
          <w:szCs w:val="24"/>
          <w:lang w:eastAsia="en-GB"/>
        </w:rPr>
      </w:pPr>
      <w:r>
        <w:t>Appendix C: Chronic toxicity data, New Zealand and Australian species excluded from default guideline value derivation</w:t>
      </w:r>
      <w:r>
        <w:tab/>
      </w:r>
      <w:r>
        <w:fldChar w:fldCharType="begin"/>
      </w:r>
      <w:r>
        <w:instrText xml:space="preserve"> PAGEREF _Toc34814178 \h </w:instrText>
      </w:r>
      <w:r>
        <w:fldChar w:fldCharType="separate"/>
      </w:r>
      <w:r w:rsidR="00EC0AF5">
        <w:t>17</w:t>
      </w:r>
      <w:r>
        <w:fldChar w:fldCharType="end"/>
      </w:r>
    </w:p>
    <w:p w14:paraId="3225526F" w14:textId="091D83CA" w:rsidR="00456AB5" w:rsidRDefault="00456AB5">
      <w:pPr>
        <w:pStyle w:val="TOC1"/>
        <w:rPr>
          <w:rFonts w:eastAsiaTheme="minorEastAsia"/>
          <w:b w:val="0"/>
          <w:sz w:val="24"/>
          <w:szCs w:val="24"/>
          <w:lang w:eastAsia="en-GB"/>
        </w:rPr>
      </w:pPr>
      <w:r>
        <w:t>Appendix D: Guideline value derivation based on preferred toxicity estimates only</w:t>
      </w:r>
      <w:r>
        <w:tab/>
      </w:r>
      <w:r>
        <w:fldChar w:fldCharType="begin"/>
      </w:r>
      <w:r>
        <w:instrText xml:space="preserve"> PAGEREF _Toc34814179 \h </w:instrText>
      </w:r>
      <w:r>
        <w:fldChar w:fldCharType="separate"/>
      </w:r>
      <w:r w:rsidR="00EC0AF5">
        <w:t>19</w:t>
      </w:r>
      <w:r>
        <w:fldChar w:fldCharType="end"/>
      </w:r>
    </w:p>
    <w:p w14:paraId="5CD848A3" w14:textId="0C98F8C6" w:rsidR="00456AB5" w:rsidRDefault="00456AB5">
      <w:pPr>
        <w:pStyle w:val="TOC1"/>
        <w:rPr>
          <w:rFonts w:eastAsiaTheme="minorEastAsia"/>
          <w:b w:val="0"/>
          <w:sz w:val="24"/>
          <w:szCs w:val="24"/>
          <w:lang w:eastAsia="en-GB"/>
        </w:rPr>
      </w:pPr>
      <w:r>
        <w:t>References</w:t>
      </w:r>
      <w:r>
        <w:tab/>
      </w:r>
      <w:r>
        <w:fldChar w:fldCharType="begin"/>
      </w:r>
      <w:r>
        <w:instrText xml:space="preserve"> PAGEREF _Toc34814180 \h </w:instrText>
      </w:r>
      <w:r>
        <w:fldChar w:fldCharType="separate"/>
      </w:r>
      <w:r w:rsidR="00EC0AF5">
        <w:t>21</w:t>
      </w:r>
      <w:r>
        <w:fldChar w:fldCharType="end"/>
      </w:r>
    </w:p>
    <w:p w14:paraId="11B0DAB9" w14:textId="70677229" w:rsidR="001C0D1C" w:rsidRDefault="00E55B1C">
      <w:pPr>
        <w:pStyle w:val="TOCHeading2"/>
      </w:pPr>
      <w:r>
        <w:rPr>
          <w:rFonts w:asciiTheme="minorHAnsi" w:eastAsiaTheme="minorHAnsi" w:hAnsiTheme="minorHAnsi" w:cstheme="minorBidi"/>
          <w:noProof/>
          <w:color w:val="auto"/>
          <w:sz w:val="22"/>
          <w:szCs w:val="24"/>
          <w:lang w:val="en-AU"/>
        </w:rPr>
        <w:fldChar w:fldCharType="end"/>
      </w:r>
      <w:r>
        <w:t>Figures</w:t>
      </w:r>
    </w:p>
    <w:p w14:paraId="17B41962" w14:textId="2023B311" w:rsidR="00A860FE" w:rsidRDefault="00E55B1C" w:rsidP="00E66B98">
      <w:pPr>
        <w:pStyle w:val="TableofFigures"/>
        <w:tabs>
          <w:tab w:val="right" w:leader="dot" w:pos="9060"/>
        </w:tabs>
        <w:spacing w:before="40"/>
        <w:rPr>
          <w:rFonts w:eastAsiaTheme="minorEastAsia"/>
          <w:noProof/>
          <w:lang w:eastAsia="en-AU"/>
        </w:rPr>
      </w:pPr>
      <w:r>
        <w:fldChar w:fldCharType="begin"/>
      </w:r>
      <w:r>
        <w:instrText xml:space="preserve"> TOC \c "Figure" </w:instrText>
      </w:r>
      <w:r>
        <w:fldChar w:fldCharType="separate"/>
      </w:r>
      <w:r w:rsidR="00A860FE">
        <w:rPr>
          <w:noProof/>
        </w:rPr>
        <w:t>Figure 1 Species sensitivity distribution, zinc in marine water</w:t>
      </w:r>
      <w:r w:rsidR="00A860FE">
        <w:rPr>
          <w:noProof/>
        </w:rPr>
        <w:tab/>
      </w:r>
      <w:r w:rsidR="00A860FE">
        <w:rPr>
          <w:noProof/>
        </w:rPr>
        <w:fldChar w:fldCharType="begin"/>
      </w:r>
      <w:r w:rsidR="00A860FE">
        <w:rPr>
          <w:noProof/>
        </w:rPr>
        <w:instrText xml:space="preserve"> PAGEREF _Toc34643504 \h </w:instrText>
      </w:r>
      <w:r w:rsidR="00A860FE">
        <w:rPr>
          <w:noProof/>
        </w:rPr>
      </w:r>
      <w:r w:rsidR="00A860FE">
        <w:rPr>
          <w:noProof/>
        </w:rPr>
        <w:fldChar w:fldCharType="separate"/>
      </w:r>
      <w:r w:rsidR="00EC0AF5">
        <w:rPr>
          <w:noProof/>
        </w:rPr>
        <w:t>9</w:t>
      </w:r>
      <w:r w:rsidR="00A860FE">
        <w:rPr>
          <w:noProof/>
        </w:rPr>
        <w:fldChar w:fldCharType="end"/>
      </w:r>
    </w:p>
    <w:p w14:paraId="17A22399" w14:textId="684DE25F" w:rsidR="001C0D1C" w:rsidRDefault="00E55B1C" w:rsidP="00353E32">
      <w:pPr>
        <w:pStyle w:val="TOCHeading2"/>
        <w:spacing w:before="80"/>
      </w:pPr>
      <w:r>
        <w:rPr>
          <w:rFonts w:ascii="Cambria" w:hAnsi="Cambria"/>
          <w:color w:val="auto"/>
          <w:sz w:val="22"/>
          <w:szCs w:val="24"/>
        </w:rPr>
        <w:fldChar w:fldCharType="end"/>
      </w:r>
      <w:r>
        <w:t>Tables</w:t>
      </w:r>
    </w:p>
    <w:p w14:paraId="2133BC17" w14:textId="586618C2" w:rsidR="00456AB5" w:rsidRDefault="00E55B1C">
      <w:pPr>
        <w:pStyle w:val="TableofFigures"/>
        <w:tabs>
          <w:tab w:val="right" w:leader="dot" w:pos="9060"/>
        </w:tabs>
        <w:rPr>
          <w:rFonts w:eastAsiaTheme="minorEastAsia"/>
          <w:noProof/>
          <w:sz w:val="24"/>
          <w:szCs w:val="24"/>
          <w:lang w:eastAsia="en-GB"/>
        </w:rPr>
      </w:pPr>
      <w:r>
        <w:rPr>
          <w:bCs/>
          <w:szCs w:val="24"/>
        </w:rPr>
        <w:fldChar w:fldCharType="begin"/>
      </w:r>
      <w:r>
        <w:rPr>
          <w:bCs/>
        </w:rPr>
        <w:instrText xml:space="preserve"> TOC \c "Table" </w:instrText>
      </w:r>
      <w:r>
        <w:rPr>
          <w:bCs/>
          <w:szCs w:val="24"/>
        </w:rPr>
        <w:fldChar w:fldCharType="separate"/>
      </w:r>
      <w:r w:rsidR="00456AB5">
        <w:rPr>
          <w:noProof/>
        </w:rPr>
        <w:t>Table 1 Summary of single chronic toxicity values, all species used to derive default guideline values for zinc in marine water</w:t>
      </w:r>
      <w:r w:rsidR="00456AB5">
        <w:rPr>
          <w:noProof/>
        </w:rPr>
        <w:tab/>
      </w:r>
      <w:r w:rsidR="00456AB5">
        <w:rPr>
          <w:noProof/>
        </w:rPr>
        <w:fldChar w:fldCharType="begin"/>
      </w:r>
      <w:r w:rsidR="00456AB5">
        <w:rPr>
          <w:noProof/>
        </w:rPr>
        <w:instrText xml:space="preserve"> PAGEREF _Toc34814126 \h </w:instrText>
      </w:r>
      <w:r w:rsidR="00456AB5">
        <w:rPr>
          <w:noProof/>
        </w:rPr>
      </w:r>
      <w:r w:rsidR="00456AB5">
        <w:rPr>
          <w:noProof/>
        </w:rPr>
        <w:fldChar w:fldCharType="separate"/>
      </w:r>
      <w:r w:rsidR="00EC0AF5">
        <w:rPr>
          <w:noProof/>
        </w:rPr>
        <w:t>8</w:t>
      </w:r>
      <w:r w:rsidR="00456AB5">
        <w:rPr>
          <w:noProof/>
        </w:rPr>
        <w:fldChar w:fldCharType="end"/>
      </w:r>
    </w:p>
    <w:p w14:paraId="58C37820" w14:textId="664FFA26" w:rsidR="00456AB5" w:rsidRDefault="00456AB5">
      <w:pPr>
        <w:pStyle w:val="TableofFigures"/>
        <w:tabs>
          <w:tab w:val="right" w:leader="dot" w:pos="9060"/>
        </w:tabs>
        <w:rPr>
          <w:rFonts w:eastAsiaTheme="minorEastAsia"/>
          <w:noProof/>
          <w:sz w:val="24"/>
          <w:szCs w:val="24"/>
          <w:lang w:eastAsia="en-GB"/>
        </w:rPr>
      </w:pPr>
      <w:r>
        <w:rPr>
          <w:noProof/>
        </w:rPr>
        <w:t>Table 2 Toxicant default guideline values, zinc in marine water, very high reliability</w:t>
      </w:r>
      <w:r>
        <w:rPr>
          <w:noProof/>
        </w:rPr>
        <w:tab/>
      </w:r>
      <w:r>
        <w:rPr>
          <w:noProof/>
        </w:rPr>
        <w:fldChar w:fldCharType="begin"/>
      </w:r>
      <w:r>
        <w:rPr>
          <w:noProof/>
        </w:rPr>
        <w:instrText xml:space="preserve"> PAGEREF _Toc34814127 \h </w:instrText>
      </w:r>
      <w:r>
        <w:rPr>
          <w:noProof/>
        </w:rPr>
      </w:r>
      <w:r>
        <w:rPr>
          <w:noProof/>
        </w:rPr>
        <w:fldChar w:fldCharType="separate"/>
      </w:r>
      <w:r w:rsidR="00EC0AF5">
        <w:rPr>
          <w:noProof/>
        </w:rPr>
        <w:t>10</w:t>
      </w:r>
      <w:r>
        <w:rPr>
          <w:noProof/>
        </w:rPr>
        <w:fldChar w:fldCharType="end"/>
      </w:r>
    </w:p>
    <w:p w14:paraId="187202FD" w14:textId="77777777" w:rsidR="00D769D9" w:rsidRDefault="00E55B1C" w:rsidP="00A64D94">
      <w:pPr>
        <w:pStyle w:val="TOCHeading2"/>
        <w:rPr>
          <w:noProof/>
        </w:rPr>
      </w:pPr>
      <w:r>
        <w:fldChar w:fldCharType="end"/>
      </w:r>
      <w:r w:rsidR="00401C43">
        <w:rPr>
          <w:bCs w:val="0"/>
          <w:szCs w:val="24"/>
        </w:rPr>
        <w:t>Appendix tables</w:t>
      </w:r>
      <w:r w:rsidR="00401C43">
        <w:rPr>
          <w:bCs w:val="0"/>
        </w:rPr>
        <w:fldChar w:fldCharType="begin"/>
      </w:r>
      <w:r w:rsidR="00401C43">
        <w:rPr>
          <w:bCs w:val="0"/>
        </w:rPr>
        <w:instrText xml:space="preserve"> TOC \h \z \c "Table A" </w:instrText>
      </w:r>
      <w:r w:rsidR="00401C43">
        <w:rPr>
          <w:bCs w:val="0"/>
        </w:rPr>
        <w:fldChar w:fldCharType="end"/>
      </w:r>
      <w:r w:rsidR="00401C43">
        <w:rPr>
          <w:bCs w:val="0"/>
        </w:rPr>
        <w:fldChar w:fldCharType="begin"/>
      </w:r>
      <w:r w:rsidR="00401C43">
        <w:rPr>
          <w:bCs w:val="0"/>
        </w:rPr>
        <w:instrText xml:space="preserve"> TOC \h \z \c "Table B" </w:instrText>
      </w:r>
      <w:r w:rsidR="00401C43">
        <w:rPr>
          <w:bCs w:val="0"/>
        </w:rPr>
        <w:fldChar w:fldCharType="separate"/>
      </w:r>
    </w:p>
    <w:p w14:paraId="6319B683" w14:textId="7C786EC5" w:rsidR="00D769D9" w:rsidRDefault="00586A86" w:rsidP="00E66B98">
      <w:pPr>
        <w:pStyle w:val="TableofFigures"/>
        <w:tabs>
          <w:tab w:val="right" w:leader="dot" w:pos="9060"/>
        </w:tabs>
        <w:spacing w:before="40" w:after="0"/>
        <w:rPr>
          <w:noProof/>
        </w:rPr>
      </w:pPr>
      <w:hyperlink w:anchor="_Toc34643507" w:history="1">
        <w:r w:rsidR="00D769D9" w:rsidRPr="00794D3E">
          <w:rPr>
            <w:rStyle w:val="Hyperlink"/>
            <w:noProof/>
          </w:rPr>
          <w:t>Table B 1 Summary, chronic toxicity data that passed screening and quality assessment, zinc in marine water</w:t>
        </w:r>
        <w:r w:rsidR="00D769D9">
          <w:rPr>
            <w:noProof/>
            <w:webHidden/>
          </w:rPr>
          <w:tab/>
        </w:r>
        <w:r w:rsidR="00D769D9">
          <w:rPr>
            <w:noProof/>
            <w:webHidden/>
          </w:rPr>
          <w:fldChar w:fldCharType="begin"/>
        </w:r>
        <w:r w:rsidR="00D769D9">
          <w:rPr>
            <w:noProof/>
            <w:webHidden/>
          </w:rPr>
          <w:instrText xml:space="preserve"> PAGEREF _Toc34643507 \h </w:instrText>
        </w:r>
        <w:r w:rsidR="00D769D9">
          <w:rPr>
            <w:noProof/>
            <w:webHidden/>
          </w:rPr>
        </w:r>
        <w:r w:rsidR="00D769D9">
          <w:rPr>
            <w:noProof/>
            <w:webHidden/>
          </w:rPr>
          <w:fldChar w:fldCharType="separate"/>
        </w:r>
        <w:r w:rsidR="00EC0AF5">
          <w:rPr>
            <w:noProof/>
            <w:webHidden/>
          </w:rPr>
          <w:t>14</w:t>
        </w:r>
        <w:r w:rsidR="00D769D9">
          <w:rPr>
            <w:noProof/>
            <w:webHidden/>
          </w:rPr>
          <w:fldChar w:fldCharType="end"/>
        </w:r>
      </w:hyperlink>
      <w:r w:rsidR="00401C43">
        <w:rPr>
          <w:bCs/>
        </w:rPr>
        <w:fldChar w:fldCharType="end"/>
      </w:r>
      <w:r w:rsidR="00B47A40">
        <w:fldChar w:fldCharType="begin"/>
      </w:r>
      <w:r w:rsidR="00B47A40">
        <w:instrText xml:space="preserve"> TOC \h \z \c "Table C" </w:instrText>
      </w:r>
      <w:r w:rsidR="00B47A40">
        <w:fldChar w:fldCharType="separate"/>
      </w:r>
    </w:p>
    <w:p w14:paraId="18E32C42" w14:textId="7B1BA9BE" w:rsidR="00D769D9" w:rsidRDefault="00586A86" w:rsidP="00E66B98">
      <w:pPr>
        <w:pStyle w:val="TableofFigures"/>
        <w:tabs>
          <w:tab w:val="right" w:leader="dot" w:pos="9060"/>
        </w:tabs>
        <w:spacing w:before="80" w:after="0"/>
        <w:rPr>
          <w:noProof/>
        </w:rPr>
      </w:pPr>
      <w:hyperlink w:anchor="_Toc34643508" w:history="1">
        <w:r w:rsidR="00D769D9" w:rsidRPr="0091199E">
          <w:rPr>
            <w:rStyle w:val="Hyperlink"/>
            <w:noProof/>
          </w:rPr>
          <w:t xml:space="preserve">Table C 1 </w:t>
        </w:r>
        <w:r w:rsidR="00D769D9" w:rsidRPr="0091199E">
          <w:rPr>
            <w:rStyle w:val="Hyperlink"/>
            <w:noProof/>
            <w:lang w:eastAsia="ja-JP"/>
          </w:rPr>
          <w:t>Chronic toxicity data excluded from default guideline value derivation, zinc in marine</w:t>
        </w:r>
        <w:r w:rsidR="00353E32">
          <w:rPr>
            <w:rStyle w:val="Hyperlink"/>
            <w:noProof/>
            <w:lang w:eastAsia="ja-JP"/>
          </w:rPr>
          <w:br/>
        </w:r>
        <w:r w:rsidR="00D769D9" w:rsidRPr="0091199E">
          <w:rPr>
            <w:rStyle w:val="Hyperlink"/>
            <w:noProof/>
            <w:lang w:eastAsia="ja-JP"/>
          </w:rPr>
          <w:t>water</w:t>
        </w:r>
        <w:r w:rsidR="00D769D9">
          <w:rPr>
            <w:noProof/>
            <w:webHidden/>
          </w:rPr>
          <w:tab/>
        </w:r>
        <w:r w:rsidR="00D769D9">
          <w:rPr>
            <w:noProof/>
            <w:webHidden/>
          </w:rPr>
          <w:fldChar w:fldCharType="begin"/>
        </w:r>
        <w:r w:rsidR="00D769D9">
          <w:rPr>
            <w:noProof/>
            <w:webHidden/>
          </w:rPr>
          <w:instrText xml:space="preserve"> PAGEREF _Toc34643508 \h </w:instrText>
        </w:r>
        <w:r w:rsidR="00D769D9">
          <w:rPr>
            <w:noProof/>
            <w:webHidden/>
          </w:rPr>
        </w:r>
        <w:r w:rsidR="00D769D9">
          <w:rPr>
            <w:noProof/>
            <w:webHidden/>
          </w:rPr>
          <w:fldChar w:fldCharType="separate"/>
        </w:r>
        <w:r w:rsidR="00770C8D">
          <w:rPr>
            <w:noProof/>
            <w:webHidden/>
          </w:rPr>
          <w:t>17</w:t>
        </w:r>
        <w:r w:rsidR="00D769D9">
          <w:rPr>
            <w:noProof/>
            <w:webHidden/>
          </w:rPr>
          <w:fldChar w:fldCharType="end"/>
        </w:r>
      </w:hyperlink>
      <w:r w:rsidR="00B47A40">
        <w:rPr>
          <w:noProof/>
        </w:rPr>
        <w:fldChar w:fldCharType="end"/>
      </w:r>
      <w:r w:rsidR="00A64D94">
        <w:fldChar w:fldCharType="begin"/>
      </w:r>
      <w:r w:rsidR="00A64D94">
        <w:instrText xml:space="preserve"> TOC \h \z \c "Table D" </w:instrText>
      </w:r>
      <w:r w:rsidR="00A64D94">
        <w:fldChar w:fldCharType="separate"/>
      </w:r>
    </w:p>
    <w:p w14:paraId="5E259387" w14:textId="3E7F51A4" w:rsidR="00D769D9" w:rsidRDefault="00586A86" w:rsidP="00E66B98">
      <w:pPr>
        <w:pStyle w:val="TableofFigures"/>
        <w:tabs>
          <w:tab w:val="right" w:leader="dot" w:pos="9060"/>
        </w:tabs>
        <w:spacing w:before="80" w:after="100"/>
        <w:rPr>
          <w:rFonts w:eastAsiaTheme="minorEastAsia"/>
          <w:noProof/>
          <w:lang w:eastAsia="en-AU"/>
        </w:rPr>
      </w:pPr>
      <w:hyperlink w:anchor="_Toc34643511" w:history="1">
        <w:r w:rsidR="00D769D9" w:rsidRPr="00D5085D">
          <w:rPr>
            <w:rStyle w:val="Hyperlink"/>
            <w:noProof/>
          </w:rPr>
          <w:t xml:space="preserve">Table D 1 </w:t>
        </w:r>
        <w:r w:rsidR="00D769D9" w:rsidRPr="00D5085D">
          <w:rPr>
            <w:rStyle w:val="Hyperlink"/>
            <w:noProof/>
            <w:lang w:eastAsia="ja-JP"/>
          </w:rPr>
          <w:t>Summary, preferred chronic toxicity data values, zinc in marine water</w:t>
        </w:r>
        <w:r w:rsidR="00D769D9">
          <w:rPr>
            <w:noProof/>
            <w:webHidden/>
          </w:rPr>
          <w:tab/>
        </w:r>
        <w:r w:rsidR="00D769D9">
          <w:rPr>
            <w:noProof/>
            <w:webHidden/>
          </w:rPr>
          <w:fldChar w:fldCharType="begin"/>
        </w:r>
        <w:r w:rsidR="00D769D9">
          <w:rPr>
            <w:noProof/>
            <w:webHidden/>
          </w:rPr>
          <w:instrText xml:space="preserve"> PAGEREF _Toc34643511 \h </w:instrText>
        </w:r>
        <w:r w:rsidR="00D769D9">
          <w:rPr>
            <w:noProof/>
            <w:webHidden/>
          </w:rPr>
        </w:r>
        <w:r w:rsidR="00D769D9">
          <w:rPr>
            <w:noProof/>
            <w:webHidden/>
          </w:rPr>
          <w:fldChar w:fldCharType="separate"/>
        </w:r>
        <w:r w:rsidR="00770C8D">
          <w:rPr>
            <w:noProof/>
            <w:webHidden/>
          </w:rPr>
          <w:t>19</w:t>
        </w:r>
        <w:r w:rsidR="00D769D9">
          <w:rPr>
            <w:noProof/>
            <w:webHidden/>
          </w:rPr>
          <w:fldChar w:fldCharType="end"/>
        </w:r>
      </w:hyperlink>
    </w:p>
    <w:p w14:paraId="6108FA4E" w14:textId="571609A5" w:rsidR="00C20160" w:rsidRPr="00A64D94" w:rsidRDefault="00A64D94" w:rsidP="00353E32">
      <w:pPr>
        <w:pStyle w:val="TOCHeading2"/>
        <w:spacing w:before="80"/>
        <w:rPr>
          <w:szCs w:val="22"/>
        </w:rPr>
      </w:pPr>
      <w:r>
        <w:fldChar w:fldCharType="end"/>
      </w:r>
      <w:r w:rsidR="00C20160">
        <w:t xml:space="preserve">Appendix </w:t>
      </w:r>
      <w:r w:rsidR="00AC7D98">
        <w:t>figures</w:t>
      </w:r>
    </w:p>
    <w:p w14:paraId="5E1A615F" w14:textId="71289913" w:rsidR="00D769D9" w:rsidRDefault="00574301" w:rsidP="00E66B98">
      <w:pPr>
        <w:pStyle w:val="TableofFigures"/>
        <w:tabs>
          <w:tab w:val="right" w:leader="dot" w:pos="9060"/>
        </w:tabs>
        <w:spacing w:before="40" w:after="0"/>
        <w:rPr>
          <w:noProof/>
        </w:rPr>
      </w:pPr>
      <w:r>
        <w:rPr>
          <w:lang w:val="en-US"/>
        </w:rPr>
        <w:fldChar w:fldCharType="begin"/>
      </w:r>
      <w:r>
        <w:rPr>
          <w:lang w:val="en-US"/>
        </w:rPr>
        <w:instrText xml:space="preserve"> TOC \h \z \c "Figure A" </w:instrText>
      </w:r>
      <w:r>
        <w:rPr>
          <w:lang w:val="en-US"/>
        </w:rPr>
        <w:fldChar w:fldCharType="separate"/>
      </w:r>
      <w:hyperlink w:anchor="_Toc34643516" w:history="1">
        <w:r w:rsidR="00D769D9" w:rsidRPr="00042A75">
          <w:rPr>
            <w:rStyle w:val="Hyperlink"/>
            <w:noProof/>
          </w:rPr>
          <w:t>Figure A 1 Actions to assess bioavailable fraction of metals, including zinc</w:t>
        </w:r>
        <w:r w:rsidR="00D769D9">
          <w:rPr>
            <w:noProof/>
            <w:webHidden/>
          </w:rPr>
          <w:tab/>
        </w:r>
        <w:r w:rsidR="00D769D9">
          <w:rPr>
            <w:noProof/>
            <w:webHidden/>
          </w:rPr>
          <w:fldChar w:fldCharType="begin"/>
        </w:r>
        <w:r w:rsidR="00D769D9">
          <w:rPr>
            <w:noProof/>
            <w:webHidden/>
          </w:rPr>
          <w:instrText xml:space="preserve"> PAGEREF _Toc34643516 \h </w:instrText>
        </w:r>
        <w:r w:rsidR="00D769D9">
          <w:rPr>
            <w:noProof/>
            <w:webHidden/>
          </w:rPr>
        </w:r>
        <w:r w:rsidR="00D769D9">
          <w:rPr>
            <w:noProof/>
            <w:webHidden/>
          </w:rPr>
          <w:fldChar w:fldCharType="separate"/>
        </w:r>
        <w:r w:rsidR="00770C8D">
          <w:rPr>
            <w:noProof/>
            <w:webHidden/>
          </w:rPr>
          <w:t>13</w:t>
        </w:r>
        <w:r w:rsidR="00D769D9">
          <w:rPr>
            <w:noProof/>
            <w:webHidden/>
          </w:rPr>
          <w:fldChar w:fldCharType="end"/>
        </w:r>
      </w:hyperlink>
      <w:r>
        <w:rPr>
          <w:lang w:val="en-US"/>
        </w:rPr>
        <w:fldChar w:fldCharType="end"/>
      </w:r>
      <w:r>
        <w:rPr>
          <w:lang w:val="en-US"/>
        </w:rPr>
        <w:fldChar w:fldCharType="begin"/>
      </w:r>
      <w:r>
        <w:rPr>
          <w:lang w:val="en-US"/>
        </w:rPr>
        <w:instrText xml:space="preserve"> TOC \h \z \c "Figure D" </w:instrText>
      </w:r>
      <w:r>
        <w:rPr>
          <w:lang w:val="en-US"/>
        </w:rPr>
        <w:fldChar w:fldCharType="separate"/>
      </w:r>
    </w:p>
    <w:p w14:paraId="687EBC41" w14:textId="27206E58" w:rsidR="00C20160" w:rsidRDefault="00586A86" w:rsidP="00E66B98">
      <w:pPr>
        <w:pStyle w:val="TableofFigures"/>
        <w:tabs>
          <w:tab w:val="right" w:leader="dot" w:pos="9060"/>
        </w:tabs>
        <w:spacing w:before="80" w:after="0"/>
        <w:rPr>
          <w:bCs/>
          <w:szCs w:val="24"/>
        </w:rPr>
      </w:pPr>
      <w:hyperlink w:anchor="_Toc34643520" w:history="1">
        <w:r w:rsidR="00D769D9" w:rsidRPr="000D58AD">
          <w:rPr>
            <w:rStyle w:val="Hyperlink"/>
            <w:noProof/>
          </w:rPr>
          <w:t xml:space="preserve">Figure D 1 </w:t>
        </w:r>
        <w:r w:rsidR="00D769D9" w:rsidRPr="000D58AD">
          <w:rPr>
            <w:rStyle w:val="Hyperlink"/>
            <w:noProof/>
            <w:lang w:eastAsia="ja-JP"/>
          </w:rPr>
          <w:t>Species sensitivity distribution, preferred chronic toxicity estimates only, zinc in marine water</w:t>
        </w:r>
        <w:r w:rsidR="00D769D9">
          <w:rPr>
            <w:noProof/>
            <w:webHidden/>
          </w:rPr>
          <w:tab/>
        </w:r>
        <w:r w:rsidR="00D769D9">
          <w:rPr>
            <w:noProof/>
            <w:webHidden/>
          </w:rPr>
          <w:fldChar w:fldCharType="begin"/>
        </w:r>
        <w:r w:rsidR="00D769D9">
          <w:rPr>
            <w:noProof/>
            <w:webHidden/>
          </w:rPr>
          <w:instrText xml:space="preserve"> PAGEREF _Toc34643520 \h </w:instrText>
        </w:r>
        <w:r w:rsidR="00D769D9">
          <w:rPr>
            <w:noProof/>
            <w:webHidden/>
          </w:rPr>
        </w:r>
        <w:r w:rsidR="00D769D9">
          <w:rPr>
            <w:noProof/>
            <w:webHidden/>
          </w:rPr>
          <w:fldChar w:fldCharType="separate"/>
        </w:r>
        <w:r w:rsidR="00770C8D">
          <w:rPr>
            <w:noProof/>
            <w:webHidden/>
          </w:rPr>
          <w:t>20</w:t>
        </w:r>
        <w:r w:rsidR="00D769D9">
          <w:rPr>
            <w:noProof/>
            <w:webHidden/>
          </w:rPr>
          <w:fldChar w:fldCharType="end"/>
        </w:r>
      </w:hyperlink>
      <w:r w:rsidR="00574301">
        <w:rPr>
          <w:lang w:val="en-US"/>
        </w:rPr>
        <w:fldChar w:fldCharType="end"/>
      </w:r>
      <w:r w:rsidR="00401C43">
        <w:br w:type="page"/>
      </w:r>
    </w:p>
    <w:p w14:paraId="5463ADEF" w14:textId="5FBB8844" w:rsidR="001C0D1C" w:rsidRDefault="00E55B1C" w:rsidP="000106C5">
      <w:pPr>
        <w:pStyle w:val="Heading2"/>
        <w:numPr>
          <w:ilvl w:val="0"/>
          <w:numId w:val="0"/>
        </w:numPr>
        <w:ind w:left="680" w:hanging="680"/>
      </w:pPr>
      <w:bookmarkStart w:id="0" w:name="_Toc34814163"/>
      <w:r>
        <w:lastRenderedPageBreak/>
        <w:t>Summary</w:t>
      </w:r>
      <w:bookmarkEnd w:id="0"/>
    </w:p>
    <w:p w14:paraId="06CD922F" w14:textId="77777777" w:rsidR="00BF0280" w:rsidRDefault="00586A86" w:rsidP="007336AC">
      <w:sdt>
        <w:sdtPr>
          <w:alias w:val="Compulsary - text and location locked to Summary"/>
          <w:tag w:val="Compulsary text"/>
          <w:id w:val="-1841920371"/>
          <w:lock w:val="contentLocked"/>
          <w:placeholder>
            <w:docPart w:val="A8CAEA2CD5EF472BA9D49BD4C6F996EE"/>
          </w:placeholder>
          <w:text/>
        </w:sdtPr>
        <w:sdtEndPr/>
        <w:sdtContent>
          <w:r w:rsidR="00BF0280" w:rsidRPr="00BF6347">
            <w:t xml:space="preserve">The default guideline values (DGVs) and associated information in this technical brief should be used in accordance with the detailed guidance provided in the Australian and New Zealand Guidelines for Fresh and Marine Water Quality website (www.waterquality.gov.au/anz-guidelines). </w:t>
          </w:r>
        </w:sdtContent>
      </w:sdt>
    </w:p>
    <w:p w14:paraId="0455955F" w14:textId="10826E60" w:rsidR="00FD15B7" w:rsidRDefault="00FD15B7" w:rsidP="00FD15B7">
      <w:r>
        <w:t xml:space="preserve">Zinc is widely distributed in the </w:t>
      </w:r>
      <w:r w:rsidR="0009687E">
        <w:t>E</w:t>
      </w:r>
      <w:r>
        <w:t>arth’s crust and is an essential trace element for micro</w:t>
      </w:r>
      <w:r w:rsidR="005155AC">
        <w:t>-</w:t>
      </w:r>
      <w:r>
        <w:t>organisms, plants and animals. The most common use is in galvanised products, including roofing and other building products. The major anthropogenic sources of zinc into marine environments include stormwater, particularly from tyre wear and runoff from galvani</w:t>
      </w:r>
      <w:r w:rsidR="005155AC">
        <w:t>s</w:t>
      </w:r>
      <w:r>
        <w:t>ed iron roofs, metal processing and mining and discharges from municipal wastewater treatment plants</w:t>
      </w:r>
      <w:r w:rsidR="005155AC">
        <w:t xml:space="preserve"> (</w:t>
      </w:r>
      <w:proofErr w:type="spellStart"/>
      <w:r w:rsidR="005155AC">
        <w:t>Malle</w:t>
      </w:r>
      <w:proofErr w:type="spellEnd"/>
      <w:r w:rsidR="005155AC">
        <w:t xml:space="preserve"> 1992, IPCS 2001, </w:t>
      </w:r>
      <w:proofErr w:type="spellStart"/>
      <w:r w:rsidR="005155AC">
        <w:t>Landner</w:t>
      </w:r>
      <w:proofErr w:type="spellEnd"/>
      <w:r w:rsidR="005155AC">
        <w:t xml:space="preserve"> &amp; Reuther 2004)</w:t>
      </w:r>
      <w:r>
        <w:t>.</w:t>
      </w:r>
    </w:p>
    <w:p w14:paraId="62500BE4" w14:textId="4B1B3170" w:rsidR="00FD15B7" w:rsidRDefault="00FD15B7" w:rsidP="00FD15B7">
      <w:r>
        <w:t xml:space="preserve">Since the </w:t>
      </w:r>
      <w:r w:rsidR="000318BA">
        <w:t xml:space="preserve">2000 </w:t>
      </w:r>
      <w:r>
        <w:t xml:space="preserve">revision of the marine zinc </w:t>
      </w:r>
      <w:r w:rsidR="000318BA">
        <w:t>DGVs</w:t>
      </w:r>
      <w:r>
        <w:t>, new data have become available</w:t>
      </w:r>
      <w:r w:rsidR="000318BA">
        <w:t>,</w:t>
      </w:r>
      <w:r>
        <w:t xml:space="preserve"> including good quality </w:t>
      </w:r>
      <w:r w:rsidR="008F4C67">
        <w:t xml:space="preserve">Australasian </w:t>
      </w:r>
      <w:r>
        <w:t xml:space="preserve">species data. </w:t>
      </w:r>
    </w:p>
    <w:p w14:paraId="33E51461" w14:textId="1937C2CE" w:rsidR="00FD15B7" w:rsidRDefault="00FD15B7" w:rsidP="00FD15B7">
      <w:r>
        <w:t xml:space="preserve">Very high reliability DGVs for </w:t>
      </w:r>
      <w:r w:rsidR="00BD35A2">
        <w:t>(</w:t>
      </w:r>
      <w:r>
        <w:t>dissolved</w:t>
      </w:r>
      <w:r w:rsidR="00B03DAF">
        <w:t>; operationally defined as &lt;0.45µm filtered fraction</w:t>
      </w:r>
      <w:r w:rsidR="00BD35A2">
        <w:t>)</w:t>
      </w:r>
      <w:r>
        <w:t xml:space="preserve"> zinc in marine water were derived from chronic (long-term) toxicity </w:t>
      </w:r>
      <w:r w:rsidR="00AF27AA">
        <w:t xml:space="preserve">data for </w:t>
      </w:r>
      <w:r w:rsidR="00DB2E35">
        <w:t xml:space="preserve">16 </w:t>
      </w:r>
      <w:r w:rsidR="00AF27AA">
        <w:t>species</w:t>
      </w:r>
      <w:r>
        <w:t xml:space="preserve">, comprising seven molluscs, two crustaceans, one annelid, </w:t>
      </w:r>
      <w:r w:rsidR="00DB2E35">
        <w:t xml:space="preserve">one </w:t>
      </w:r>
      <w:r>
        <w:t>cnidarian, two macroalga</w:t>
      </w:r>
      <w:r w:rsidR="00AF27AA">
        <w:t>e</w:t>
      </w:r>
      <w:r>
        <w:t>, one green microalga and two diatoms</w:t>
      </w:r>
      <w:r w:rsidR="000E4575">
        <w:t xml:space="preserve"> (</w:t>
      </w:r>
      <w:r w:rsidR="00555697">
        <w:t>Appendix B</w:t>
      </w:r>
      <w:r w:rsidR="001A76F2">
        <w:t xml:space="preserve"> </w:t>
      </w:r>
      <w:r w:rsidR="000E4575">
        <w:t>lists all chronic toxicity data used in the derivation)</w:t>
      </w:r>
      <w:r>
        <w:t xml:space="preserve">. </w:t>
      </w:r>
      <w:r w:rsidR="00BD35A2">
        <w:t xml:space="preserve">The DGVs for </w:t>
      </w:r>
      <w:r w:rsidR="00BD35A2">
        <w:rPr>
          <w:bCs/>
        </w:rPr>
        <w:t>99, 95, 90 and 80% species protection are</w:t>
      </w:r>
      <w:r w:rsidR="00BD35A2">
        <w:t xml:space="preserve"> </w:t>
      </w:r>
      <w:r w:rsidR="005C762B">
        <w:t>3.3</w:t>
      </w:r>
      <w:r w:rsidR="00F739F9">
        <w:t> </w:t>
      </w:r>
      <w:r w:rsidR="00BD35A2">
        <w:rPr>
          <w:rFonts w:cstheme="minorHAnsi"/>
        </w:rPr>
        <w:t>µ</w:t>
      </w:r>
      <w:r w:rsidR="00BD35A2">
        <w:t xml:space="preserve">g/L, </w:t>
      </w:r>
      <w:r w:rsidR="005C762B">
        <w:t>8.0</w:t>
      </w:r>
      <w:r w:rsidR="00F739F9">
        <w:t> </w:t>
      </w:r>
      <w:r w:rsidR="00BD35A2">
        <w:rPr>
          <w:rFonts w:cstheme="minorHAnsi"/>
        </w:rPr>
        <w:t>µ</w:t>
      </w:r>
      <w:r w:rsidR="00BD35A2">
        <w:t xml:space="preserve">g/L, </w:t>
      </w:r>
      <w:r w:rsidR="005C762B">
        <w:t>12</w:t>
      </w:r>
      <w:r w:rsidR="00F739F9">
        <w:t> </w:t>
      </w:r>
      <w:r w:rsidR="00BD35A2">
        <w:rPr>
          <w:rFonts w:cstheme="minorHAnsi"/>
        </w:rPr>
        <w:t>µ</w:t>
      </w:r>
      <w:r w:rsidR="00BD35A2">
        <w:t xml:space="preserve">g/L and </w:t>
      </w:r>
      <w:r w:rsidR="005C762B">
        <w:t>21 </w:t>
      </w:r>
      <w:r w:rsidR="00BD35A2">
        <w:rPr>
          <w:rFonts w:cstheme="minorHAnsi"/>
        </w:rPr>
        <w:t>µ</w:t>
      </w:r>
      <w:r w:rsidR="00BD35A2">
        <w:t xml:space="preserve">g/L, respectively. </w:t>
      </w:r>
      <w:r w:rsidR="00BD35A2" w:rsidRPr="00AE44FC">
        <w:t>The 95%</w:t>
      </w:r>
      <w:r w:rsidR="00AF27AA">
        <w:t xml:space="preserve"> </w:t>
      </w:r>
      <w:r w:rsidR="00BD35A2" w:rsidRPr="00AE44FC">
        <w:rPr>
          <w:bCs/>
        </w:rPr>
        <w:t xml:space="preserve">species protection </w:t>
      </w:r>
      <w:r w:rsidR="00AF27AA">
        <w:rPr>
          <w:bCs/>
        </w:rPr>
        <w:t>DGV may be under-protective</w:t>
      </w:r>
      <w:r w:rsidR="00B008FA">
        <w:rPr>
          <w:bCs/>
        </w:rPr>
        <w:t xml:space="preserve"> for </w:t>
      </w:r>
      <w:r w:rsidR="00B008FA" w:rsidRPr="00835D73">
        <w:rPr>
          <w:bCs/>
        </w:rPr>
        <w:t xml:space="preserve">key </w:t>
      </w:r>
      <w:r w:rsidR="00B008FA">
        <w:rPr>
          <w:bCs/>
        </w:rPr>
        <w:t xml:space="preserve">sensitive </w:t>
      </w:r>
      <w:r w:rsidR="00B008FA" w:rsidRPr="00835D73">
        <w:rPr>
          <w:bCs/>
        </w:rPr>
        <w:t>species (</w:t>
      </w:r>
      <w:r w:rsidR="00B008FA">
        <w:rPr>
          <w:bCs/>
        </w:rPr>
        <w:t>e.g. bivalve molluscs, cnidarians</w:t>
      </w:r>
      <w:r w:rsidR="00B008FA" w:rsidRPr="00835D73">
        <w:rPr>
          <w:bCs/>
        </w:rPr>
        <w:t>)</w:t>
      </w:r>
      <w:r w:rsidR="00AF27AA">
        <w:rPr>
          <w:bCs/>
        </w:rPr>
        <w:t xml:space="preserve">. </w:t>
      </w:r>
      <w:r w:rsidR="00000070">
        <w:rPr>
          <w:bCs/>
        </w:rPr>
        <w:t>Although t</w:t>
      </w:r>
      <w:r w:rsidR="00AF27AA">
        <w:rPr>
          <w:bCs/>
        </w:rPr>
        <w:t xml:space="preserve">he </w:t>
      </w:r>
      <w:r w:rsidR="00AF27AA" w:rsidRPr="00AE44FC">
        <w:t>95%</w:t>
      </w:r>
      <w:r w:rsidR="00AF27AA">
        <w:t xml:space="preserve"> </w:t>
      </w:r>
      <w:r w:rsidR="00AF27AA" w:rsidRPr="00AE44FC">
        <w:rPr>
          <w:bCs/>
        </w:rPr>
        <w:t>species protection</w:t>
      </w:r>
      <w:r w:rsidR="00AF27AA">
        <w:rPr>
          <w:bCs/>
        </w:rPr>
        <w:t xml:space="preserve"> DGV of </w:t>
      </w:r>
      <w:r w:rsidR="005C762B">
        <w:t>8.0</w:t>
      </w:r>
      <w:r w:rsidR="00F739F9">
        <w:t> </w:t>
      </w:r>
      <w:r w:rsidR="00AF27AA">
        <w:rPr>
          <w:rFonts w:cstheme="minorHAnsi"/>
        </w:rPr>
        <w:t>µ</w:t>
      </w:r>
      <w:r w:rsidR="00AF27AA">
        <w:t>g/L</w:t>
      </w:r>
      <w:r w:rsidR="00AF27AA" w:rsidRPr="00AE44FC">
        <w:rPr>
          <w:bCs/>
        </w:rPr>
        <w:t xml:space="preserve"> </w:t>
      </w:r>
      <w:r w:rsidR="00BD35A2" w:rsidRPr="00AE44FC">
        <w:rPr>
          <w:bCs/>
        </w:rPr>
        <w:t>is</w:t>
      </w:r>
      <w:r w:rsidR="00AF27AA">
        <w:rPr>
          <w:bCs/>
        </w:rPr>
        <w:t xml:space="preserve"> still </w:t>
      </w:r>
      <w:r w:rsidR="00BD35A2" w:rsidRPr="00AE44FC">
        <w:rPr>
          <w:bCs/>
        </w:rPr>
        <w:t>recommended for adoption in the assessment of slightly</w:t>
      </w:r>
      <w:r w:rsidR="00F739F9">
        <w:rPr>
          <w:bCs/>
        </w:rPr>
        <w:t>-</w:t>
      </w:r>
      <w:r w:rsidR="00BD35A2" w:rsidRPr="00AE44FC">
        <w:rPr>
          <w:bCs/>
        </w:rPr>
        <w:t>to</w:t>
      </w:r>
      <w:r w:rsidR="00F739F9">
        <w:rPr>
          <w:bCs/>
        </w:rPr>
        <w:t>-</w:t>
      </w:r>
      <w:r w:rsidR="00BD35A2" w:rsidRPr="00AE44FC">
        <w:rPr>
          <w:bCs/>
        </w:rPr>
        <w:t>moderately disturbed ecosystems</w:t>
      </w:r>
      <w:r w:rsidR="00AF27AA">
        <w:rPr>
          <w:bCs/>
        </w:rPr>
        <w:t xml:space="preserve">, the 99% </w:t>
      </w:r>
      <w:r w:rsidR="00AF27AA" w:rsidRPr="00AE44FC">
        <w:rPr>
          <w:bCs/>
        </w:rPr>
        <w:t>species protection</w:t>
      </w:r>
      <w:r w:rsidR="00AF27AA">
        <w:rPr>
          <w:bCs/>
        </w:rPr>
        <w:t xml:space="preserve"> DGV of </w:t>
      </w:r>
      <w:r w:rsidR="005C762B">
        <w:rPr>
          <w:bCs/>
        </w:rPr>
        <w:t>3.3</w:t>
      </w:r>
      <w:r w:rsidR="00F739F9">
        <w:rPr>
          <w:bCs/>
        </w:rPr>
        <w:t> </w:t>
      </w:r>
      <w:r w:rsidR="00AF27AA">
        <w:rPr>
          <w:rFonts w:cstheme="minorHAnsi"/>
        </w:rPr>
        <w:t>µ</w:t>
      </w:r>
      <w:r w:rsidR="00AF27AA">
        <w:t>g/L</w:t>
      </w:r>
      <w:r w:rsidR="00AF27AA" w:rsidRPr="00AE44FC" w:rsidDel="00BD35A2">
        <w:t xml:space="preserve"> </w:t>
      </w:r>
      <w:r w:rsidR="00AF27AA">
        <w:t>could be adopted</w:t>
      </w:r>
      <w:r w:rsidR="00000070">
        <w:t xml:space="preserve"> if </w:t>
      </w:r>
      <w:r w:rsidR="00000070" w:rsidRPr="00835D73">
        <w:rPr>
          <w:bCs/>
        </w:rPr>
        <w:t xml:space="preserve">there are concerns </w:t>
      </w:r>
      <w:r w:rsidR="00000070">
        <w:rPr>
          <w:bCs/>
        </w:rPr>
        <w:t>about the protection of</w:t>
      </w:r>
      <w:r w:rsidR="00000070" w:rsidRPr="00835D73">
        <w:rPr>
          <w:bCs/>
        </w:rPr>
        <w:t xml:space="preserve"> key </w:t>
      </w:r>
      <w:r w:rsidR="00000070">
        <w:rPr>
          <w:bCs/>
        </w:rPr>
        <w:t xml:space="preserve">sensitive </w:t>
      </w:r>
      <w:r w:rsidR="00000070" w:rsidRPr="00835D73">
        <w:rPr>
          <w:bCs/>
        </w:rPr>
        <w:t>species</w:t>
      </w:r>
      <w:r w:rsidR="000318BA" w:rsidRPr="00AE44FC">
        <w:t>.</w:t>
      </w:r>
    </w:p>
    <w:p w14:paraId="764B8BF3" w14:textId="1D01F903" w:rsidR="00FD15B7" w:rsidRDefault="00FD15B7" w:rsidP="00FD15B7">
      <w:r>
        <w:t xml:space="preserve">The Australian and New Zealand guidelines for fresh and marine water quality </w:t>
      </w:r>
      <w:hyperlink r:id="rId20" w:history="1">
        <w:r w:rsidRPr="000318BA">
          <w:rPr>
            <w:rStyle w:val="Hyperlink"/>
          </w:rPr>
          <w:t>website</w:t>
        </w:r>
      </w:hyperlink>
      <w:r>
        <w:t xml:space="preserve"> </w:t>
      </w:r>
      <w:r w:rsidR="005841DE">
        <w:t xml:space="preserve">(ANZG 2018) </w:t>
      </w:r>
      <w:r>
        <w:t xml:space="preserve">provides guidance for evaluating monitoring data against </w:t>
      </w:r>
      <w:r w:rsidR="000318BA">
        <w:t>DGVs</w:t>
      </w:r>
      <w:r>
        <w:t xml:space="preserve"> and recommends a decision scheme that includes consideration of the bioavailable fraction. The guidance for metals</w:t>
      </w:r>
      <w:r w:rsidR="003D1618">
        <w:t xml:space="preserve"> </w:t>
      </w:r>
      <w:r>
        <w:t xml:space="preserve">is provided in </w:t>
      </w:r>
      <w:r w:rsidR="00555697">
        <w:t>Appendix A</w:t>
      </w:r>
      <w:r w:rsidR="003D1618">
        <w:t>, depicted as a decision tree.</w:t>
      </w:r>
    </w:p>
    <w:p w14:paraId="28BAA1CC" w14:textId="32E44DF0" w:rsidR="001C0D1C" w:rsidRDefault="001C0D1C"/>
    <w:p w14:paraId="376A7DC1" w14:textId="77777777" w:rsidR="000F699B" w:rsidRDefault="000F699B">
      <w:pPr>
        <w:sectPr w:rsidR="000F699B">
          <w:headerReference w:type="default" r:id="rId21"/>
          <w:footerReference w:type="default" r:id="rId22"/>
          <w:headerReference w:type="first" r:id="rId23"/>
          <w:pgSz w:w="11906" w:h="16838"/>
          <w:pgMar w:top="1418" w:right="1418" w:bottom="1418" w:left="1418" w:header="567" w:footer="283" w:gutter="0"/>
          <w:pgNumType w:fmt="lowerRoman"/>
          <w:cols w:space="708"/>
          <w:titlePg/>
          <w:docGrid w:linePitch="360"/>
        </w:sectPr>
      </w:pPr>
    </w:p>
    <w:p w14:paraId="1ADDD7A4" w14:textId="711D0ACB" w:rsidR="001C0D1C" w:rsidRDefault="00BF0280">
      <w:pPr>
        <w:pStyle w:val="Heading2"/>
      </w:pPr>
      <w:bookmarkStart w:id="1" w:name="_Toc34814164"/>
      <w:r>
        <w:lastRenderedPageBreak/>
        <w:t>Introduction</w:t>
      </w:r>
      <w:bookmarkEnd w:id="1"/>
    </w:p>
    <w:p w14:paraId="6788FB85" w14:textId="22E60E2A" w:rsidR="00C74F41" w:rsidRDefault="00F27C85" w:rsidP="00F27C85">
      <w:r>
        <w:t>Zinc (Zn)</w:t>
      </w:r>
      <w:r w:rsidR="00586A86">
        <w:t xml:space="preserve"> </w:t>
      </w:r>
      <w:r w:rsidR="00586A86">
        <w:t>(CAS number 7440-66-6)</w:t>
      </w:r>
      <w:r>
        <w:t xml:space="preserve"> is a naturally occurring metallic element with an atomic number of 30. It is an abundant trace element, present in the Earth’s crust at approximately 10</w:t>
      </w:r>
      <w:r w:rsidR="0009687E">
        <w:t>–</w:t>
      </w:r>
      <w:r>
        <w:t>300 parts per million</w:t>
      </w:r>
      <w:r w:rsidR="0009687E">
        <w:t xml:space="preserve"> (</w:t>
      </w:r>
      <w:proofErr w:type="spellStart"/>
      <w:r w:rsidR="0009687E">
        <w:t>Malle</w:t>
      </w:r>
      <w:proofErr w:type="spellEnd"/>
      <w:r w:rsidR="0009687E">
        <w:t xml:space="preserve"> 1992)</w:t>
      </w:r>
      <w:r>
        <w:t>, similar to chromium, copper and nickel</w:t>
      </w:r>
      <w:r w:rsidR="0009687E">
        <w:t xml:space="preserve"> (</w:t>
      </w:r>
      <w:proofErr w:type="spellStart"/>
      <w:r w:rsidR="0009687E">
        <w:t>Landner</w:t>
      </w:r>
      <w:proofErr w:type="spellEnd"/>
      <w:r w:rsidR="0009687E">
        <w:t xml:space="preserve"> &amp; Reuther 2004)</w:t>
      </w:r>
      <w:r>
        <w:t>. It is not naturally found as the native metal</w:t>
      </w:r>
      <w:r w:rsidR="0009687E">
        <w:t>;</w:t>
      </w:r>
      <w:r>
        <w:t xml:space="preserve"> instead</w:t>
      </w:r>
      <w:r w:rsidR="0009687E">
        <w:t>, it</w:t>
      </w:r>
      <w:r>
        <w:t xml:space="preserve"> is predominantly present in the form of </w:t>
      </w:r>
      <w:proofErr w:type="spellStart"/>
      <w:r>
        <w:t>sulfide</w:t>
      </w:r>
      <w:proofErr w:type="spellEnd"/>
      <w:r>
        <w:t xml:space="preserve"> minerals, particularly</w:t>
      </w:r>
      <w:r w:rsidRPr="002365A5">
        <w:t xml:space="preserve"> </w:t>
      </w:r>
      <w:r>
        <w:t>sphalerite (</w:t>
      </w:r>
      <w:proofErr w:type="spellStart"/>
      <w:r>
        <w:t>ZnFeS</w:t>
      </w:r>
      <w:proofErr w:type="spellEnd"/>
      <w:r>
        <w:t xml:space="preserve">) </w:t>
      </w:r>
      <w:r w:rsidR="0009687E">
        <w:t>(IPCS 2001)</w:t>
      </w:r>
      <w:r>
        <w:t xml:space="preserve">. Carbonates and oxides of zinc occur less frequently </w:t>
      </w:r>
      <w:r w:rsidR="00A860FE">
        <w:t>(Stumm &amp; Morgan </w:t>
      </w:r>
      <w:r w:rsidR="0009687E">
        <w:t>1996)</w:t>
      </w:r>
      <w:r>
        <w:t xml:space="preserve">. There are large deposits of zinc minerals in Australia, Canada, </w:t>
      </w:r>
      <w:r w:rsidR="0009687E">
        <w:t xml:space="preserve">the </w:t>
      </w:r>
      <w:r>
        <w:t xml:space="preserve">United States, Peru, China and Iran </w:t>
      </w:r>
      <w:r w:rsidR="0009687E">
        <w:t xml:space="preserve">(IPCS 2001, </w:t>
      </w:r>
      <w:proofErr w:type="spellStart"/>
      <w:r w:rsidR="0009687E">
        <w:t>Landner</w:t>
      </w:r>
      <w:proofErr w:type="spellEnd"/>
      <w:r w:rsidR="0009687E">
        <w:t xml:space="preserve"> &amp; Reuther 2004)</w:t>
      </w:r>
      <w:r>
        <w:t xml:space="preserve">. </w:t>
      </w:r>
    </w:p>
    <w:p w14:paraId="1603D9FC" w14:textId="77B4AF85" w:rsidR="00F27C85" w:rsidRDefault="00C74F41" w:rsidP="00F27C85">
      <w:r>
        <w:t>Zinc</w:t>
      </w:r>
      <w:r w:rsidR="00F27C85">
        <w:t xml:space="preserve"> is now the fourth most commonly used metal (after iron, alumin</w:t>
      </w:r>
      <w:r w:rsidR="00F1770B">
        <w:t>i</w:t>
      </w:r>
      <w:r w:rsidR="00F27C85">
        <w:t>um and copper)</w:t>
      </w:r>
      <w:r w:rsidR="00F27C85" w:rsidRPr="00365EC5">
        <w:t xml:space="preserve"> </w:t>
      </w:r>
      <w:r w:rsidR="00746F8A">
        <w:t>(IPCS 2001)</w:t>
      </w:r>
      <w:r w:rsidR="00F27C85">
        <w:t xml:space="preserve">. The major application of zinc is in </w:t>
      </w:r>
      <w:r w:rsidR="00746F8A">
        <w:t xml:space="preserve">the </w:t>
      </w:r>
      <w:r w:rsidR="00F27C85">
        <w:t>galvani</w:t>
      </w:r>
      <w:r w:rsidR="00746F8A">
        <w:t>s</w:t>
      </w:r>
      <w:r w:rsidR="00F27C85">
        <w:t xml:space="preserve">ing of iron and steel, which accounts for nearly 50% of global zinc use </w:t>
      </w:r>
      <w:r w:rsidR="00746F8A">
        <w:t>(IPCS 2001)</w:t>
      </w:r>
      <w:r w:rsidR="00F27C85">
        <w:t>. Pure zinc has low strength</w:t>
      </w:r>
      <w:r w:rsidR="00746F8A">
        <w:t>,</w:t>
      </w:r>
      <w:r w:rsidR="00F27C85">
        <w:t xml:space="preserve"> so </w:t>
      </w:r>
      <w:r w:rsidR="00746F8A">
        <w:t xml:space="preserve">it </w:t>
      </w:r>
      <w:r w:rsidR="00F27C85">
        <w:t xml:space="preserve">is alloyed with other metals, such as copper to produce brass (the most widely used) or with aluminium, nickel, titanium </w:t>
      </w:r>
      <w:r w:rsidR="00746F8A">
        <w:t xml:space="preserve">or </w:t>
      </w:r>
      <w:r w:rsidR="00F27C85">
        <w:t>magnesium for various uses</w:t>
      </w:r>
      <w:r w:rsidR="00746F8A">
        <w:t>,</w:t>
      </w:r>
      <w:r w:rsidR="00F27C85">
        <w:t xml:space="preserve"> such as casting and bearings </w:t>
      </w:r>
      <w:r w:rsidR="00746F8A">
        <w:t xml:space="preserve">(IPCS 2001, </w:t>
      </w:r>
      <w:proofErr w:type="spellStart"/>
      <w:r w:rsidR="00746F8A">
        <w:t>Landner</w:t>
      </w:r>
      <w:proofErr w:type="spellEnd"/>
      <w:r w:rsidR="00746F8A">
        <w:t xml:space="preserve"> &amp; Reuther 2004)</w:t>
      </w:r>
      <w:r w:rsidR="00F27C85">
        <w:t xml:space="preserve">. </w:t>
      </w:r>
      <w:r w:rsidR="00746F8A">
        <w:t xml:space="preserve">Zinc is also used </w:t>
      </w:r>
      <w:r w:rsidR="00F27C85">
        <w:t>as a reinforcing agent in rubber</w:t>
      </w:r>
      <w:r w:rsidR="00746F8A">
        <w:t xml:space="preserve"> and</w:t>
      </w:r>
      <w:r w:rsidR="00F27C85">
        <w:t xml:space="preserve"> as zinc oxide pigments for paint</w:t>
      </w:r>
      <w:r w:rsidR="00746F8A">
        <w:t>,</w:t>
      </w:r>
      <w:r w:rsidR="00F27C85">
        <w:t xml:space="preserve"> </w:t>
      </w:r>
      <w:r w:rsidR="0078243E">
        <w:t xml:space="preserve">while </w:t>
      </w:r>
      <w:r w:rsidR="00F27C85">
        <w:t xml:space="preserve">various zinc compounds are </w:t>
      </w:r>
      <w:r w:rsidR="0078243E">
        <w:t xml:space="preserve">also </w:t>
      </w:r>
      <w:r w:rsidR="00F27C85">
        <w:t>used for dentistry, medicinal and household products</w:t>
      </w:r>
      <w:r w:rsidR="00746F8A">
        <w:t xml:space="preserve"> (IPCS 2001, </w:t>
      </w:r>
      <w:proofErr w:type="spellStart"/>
      <w:r w:rsidR="00746F8A">
        <w:t>Landner</w:t>
      </w:r>
      <w:proofErr w:type="spellEnd"/>
      <w:r w:rsidR="00746F8A">
        <w:t xml:space="preserve"> &amp; Reuther 2004)</w:t>
      </w:r>
      <w:r w:rsidR="00F27C85">
        <w:t>. Sources of zinc in marine environments include stormwater, particularly from tyre wear in road runoff and runoff from galvani</w:t>
      </w:r>
      <w:r w:rsidR="00746F8A">
        <w:t>s</w:t>
      </w:r>
      <w:r w:rsidR="00F27C85">
        <w:t>ed iron roofs</w:t>
      </w:r>
      <w:r w:rsidR="00A44001">
        <w:t xml:space="preserve"> (Timperley et al. 2005, Kennedy &amp; Sutherland 2008)</w:t>
      </w:r>
      <w:r w:rsidR="00F27C85">
        <w:t>, metal processing and mining</w:t>
      </w:r>
      <w:r w:rsidR="000928F7">
        <w:t>,</w:t>
      </w:r>
      <w:r w:rsidR="00F27C85">
        <w:t xml:space="preserve"> and discharges from municipal wastewater treatment plants.</w:t>
      </w:r>
    </w:p>
    <w:p w14:paraId="2CCE6487" w14:textId="18600E63" w:rsidR="00F27C85" w:rsidRDefault="00F27C85" w:rsidP="00F27C85">
      <w:pPr>
        <w:rPr>
          <w:bCs/>
        </w:rPr>
      </w:pPr>
      <w:r>
        <w:t>Zinc is a transition metal and exists commonly in the +2 oxidation state</w:t>
      </w:r>
      <w:r w:rsidR="000928F7">
        <w:t xml:space="preserve"> (Stumm &amp; Morgan 1996)</w:t>
      </w:r>
      <w:r>
        <w:t>. In saline water, a</w:t>
      </w:r>
      <w:r>
        <w:rPr>
          <w:bCs/>
        </w:rPr>
        <w:t>pproximately 45% of total zinc is present as the free cation</w:t>
      </w:r>
      <w:r w:rsidR="00C468E5">
        <w:rPr>
          <w:bCs/>
        </w:rPr>
        <w:t xml:space="preserve"> (Zn</w:t>
      </w:r>
      <w:r w:rsidR="00C468E5" w:rsidRPr="00C468E5">
        <w:rPr>
          <w:bCs/>
          <w:vertAlign w:val="superscript"/>
        </w:rPr>
        <w:t>2+</w:t>
      </w:r>
      <w:r w:rsidR="00C468E5">
        <w:rPr>
          <w:bCs/>
        </w:rPr>
        <w:t>)</w:t>
      </w:r>
      <w:r>
        <w:rPr>
          <w:bCs/>
        </w:rPr>
        <w:t xml:space="preserve">, </w:t>
      </w:r>
      <w:r w:rsidR="0078243E">
        <w:rPr>
          <w:bCs/>
        </w:rPr>
        <w:t xml:space="preserve">while </w:t>
      </w:r>
      <w:r>
        <w:rPr>
          <w:bCs/>
        </w:rPr>
        <w:t>complexes with chloride also dominate</w:t>
      </w:r>
      <w:r w:rsidR="000928F7">
        <w:rPr>
          <w:bCs/>
        </w:rPr>
        <w:t xml:space="preserve"> (</w:t>
      </w:r>
      <w:proofErr w:type="spellStart"/>
      <w:r w:rsidR="000928F7">
        <w:t>Krauskopf</w:t>
      </w:r>
      <w:proofErr w:type="spellEnd"/>
      <w:r w:rsidR="000928F7">
        <w:t xml:space="preserve"> 1956, Stumm &amp; Morgan 1996)</w:t>
      </w:r>
      <w:r>
        <w:rPr>
          <w:bCs/>
        </w:rPr>
        <w:t xml:space="preserve">. </w:t>
      </w:r>
      <w:bookmarkStart w:id="2" w:name="_Hlk501372388"/>
      <w:r w:rsidRPr="00650FF8">
        <w:t xml:space="preserve">The solubility limit of zinc </w:t>
      </w:r>
      <w:r>
        <w:t xml:space="preserve">in saline water </w:t>
      </w:r>
      <w:r w:rsidRPr="00650FF8">
        <w:t>is approximately 9</w:t>
      </w:r>
      <w:r w:rsidR="000928F7">
        <w:t> </w:t>
      </w:r>
      <w:r>
        <w:t>000</w:t>
      </w:r>
      <w:r w:rsidR="000928F7">
        <w:t> </w:t>
      </w:r>
      <w:r>
        <w:t>µ</w:t>
      </w:r>
      <w:r w:rsidRPr="00650FF8">
        <w:t>g/L (</w:t>
      </w:r>
      <w:r>
        <w:t>CSIRO unpublished data</w:t>
      </w:r>
      <w:r w:rsidRPr="00650FF8">
        <w:t>)</w:t>
      </w:r>
      <w:r>
        <w:t>.</w:t>
      </w:r>
      <w:bookmarkEnd w:id="2"/>
      <w:r>
        <w:t xml:space="preserve"> </w:t>
      </w:r>
      <w:r>
        <w:rPr>
          <w:bCs/>
        </w:rPr>
        <w:t>Adsorption of zinc to suspended particles</w:t>
      </w:r>
      <w:r w:rsidR="000928F7">
        <w:rPr>
          <w:bCs/>
        </w:rPr>
        <w:t>,</w:t>
      </w:r>
      <w:r>
        <w:rPr>
          <w:bCs/>
        </w:rPr>
        <w:t xml:space="preserve"> and </w:t>
      </w:r>
      <w:r w:rsidR="000928F7">
        <w:rPr>
          <w:bCs/>
        </w:rPr>
        <w:t xml:space="preserve">the </w:t>
      </w:r>
      <w:r>
        <w:rPr>
          <w:bCs/>
        </w:rPr>
        <w:t>consequent sedimentation of these particles</w:t>
      </w:r>
      <w:r w:rsidR="000928F7">
        <w:rPr>
          <w:bCs/>
        </w:rPr>
        <w:t>,</w:t>
      </w:r>
      <w:r>
        <w:rPr>
          <w:bCs/>
        </w:rPr>
        <w:t xml:space="preserve"> is a major route</w:t>
      </w:r>
      <w:r w:rsidR="0078243E">
        <w:rPr>
          <w:bCs/>
        </w:rPr>
        <w:t xml:space="preserve"> of removal</w:t>
      </w:r>
      <w:r>
        <w:rPr>
          <w:bCs/>
        </w:rPr>
        <w:t xml:space="preserve"> for zinc</w:t>
      </w:r>
      <w:r w:rsidR="000928F7">
        <w:rPr>
          <w:bCs/>
        </w:rPr>
        <w:t xml:space="preserve"> </w:t>
      </w:r>
      <w:r w:rsidR="0078243E">
        <w:rPr>
          <w:bCs/>
        </w:rPr>
        <w:t xml:space="preserve">from the water column </w:t>
      </w:r>
      <w:r w:rsidR="000928F7">
        <w:rPr>
          <w:bCs/>
        </w:rPr>
        <w:t>(</w:t>
      </w:r>
      <w:r w:rsidR="000928F7">
        <w:t>Stumm &amp; Morgan 1996)</w:t>
      </w:r>
      <w:r>
        <w:rPr>
          <w:bCs/>
        </w:rPr>
        <w:t>. However, under chemically reducing conditions, for example</w:t>
      </w:r>
      <w:r w:rsidR="00C468E5">
        <w:rPr>
          <w:bCs/>
        </w:rPr>
        <w:t>,</w:t>
      </w:r>
      <w:r>
        <w:rPr>
          <w:bCs/>
        </w:rPr>
        <w:t xml:space="preserve"> in anoxic sediments, zinc can desorb from particles and dissociate from iron and manganese inorganic complexes and organic complexes. </w:t>
      </w:r>
      <w:r w:rsidR="000928F7">
        <w:rPr>
          <w:bCs/>
        </w:rPr>
        <w:t>Additionally</w:t>
      </w:r>
      <w:r>
        <w:rPr>
          <w:bCs/>
        </w:rPr>
        <w:t xml:space="preserve">, cations at </w:t>
      </w:r>
      <w:r w:rsidR="000928F7">
        <w:rPr>
          <w:bCs/>
        </w:rPr>
        <w:t xml:space="preserve">a </w:t>
      </w:r>
      <w:r>
        <w:rPr>
          <w:bCs/>
        </w:rPr>
        <w:t>higher concentration, such as calcium, can exchange with zinc attached to organic ligands</w:t>
      </w:r>
      <w:r w:rsidR="000928F7">
        <w:rPr>
          <w:bCs/>
        </w:rPr>
        <w:t xml:space="preserve"> (</w:t>
      </w:r>
      <w:proofErr w:type="spellStart"/>
      <w:r w:rsidR="00CF6008">
        <w:rPr>
          <w:bCs/>
        </w:rPr>
        <w:t>Paalman</w:t>
      </w:r>
      <w:proofErr w:type="spellEnd"/>
      <w:r w:rsidR="00CF6008">
        <w:rPr>
          <w:bCs/>
        </w:rPr>
        <w:t xml:space="preserve"> et al. 1994, </w:t>
      </w:r>
      <w:r w:rsidR="000928F7">
        <w:t>Stumm &amp; Morgan 1996)</w:t>
      </w:r>
      <w:r>
        <w:rPr>
          <w:bCs/>
        </w:rPr>
        <w:t xml:space="preserve">, </w:t>
      </w:r>
      <w:r w:rsidR="000928F7">
        <w:rPr>
          <w:bCs/>
        </w:rPr>
        <w:t xml:space="preserve">which </w:t>
      </w:r>
      <w:r>
        <w:rPr>
          <w:bCs/>
        </w:rPr>
        <w:t>occurs with increasing salinity in estuarine water</w:t>
      </w:r>
      <w:r w:rsidR="00986529">
        <w:rPr>
          <w:bCs/>
        </w:rPr>
        <w:t xml:space="preserve"> (</w:t>
      </w:r>
      <w:proofErr w:type="spellStart"/>
      <w:r w:rsidR="00986529">
        <w:rPr>
          <w:bCs/>
        </w:rPr>
        <w:t>Hatje</w:t>
      </w:r>
      <w:proofErr w:type="spellEnd"/>
      <w:r w:rsidR="00986529">
        <w:rPr>
          <w:bCs/>
        </w:rPr>
        <w:t xml:space="preserve"> et al. </w:t>
      </w:r>
      <w:r w:rsidR="000928F7">
        <w:rPr>
          <w:bCs/>
        </w:rPr>
        <w:t>2003)</w:t>
      </w:r>
      <w:r>
        <w:rPr>
          <w:bCs/>
        </w:rPr>
        <w:t xml:space="preserve">. </w:t>
      </w:r>
    </w:p>
    <w:p w14:paraId="3E71B869" w14:textId="53310800" w:rsidR="00F27C85" w:rsidRPr="00F27C85" w:rsidRDefault="00F27C85" w:rsidP="00F27C85">
      <w:pPr>
        <w:rPr>
          <w:bCs/>
        </w:rPr>
      </w:pPr>
      <w:r w:rsidRPr="00F27C85">
        <w:rPr>
          <w:bCs/>
        </w:rPr>
        <w:t>Background concentrations of zinc in marine water are low and can be difficult to measure accurately, requiring use of ultra-trace techniques and special precautions to avoid sample contamination. In the North Pacific Ocean, zinc is found at 4</w:t>
      </w:r>
      <w:r w:rsidR="00A44001">
        <w:rPr>
          <w:bCs/>
        </w:rPr>
        <w:t>–</w:t>
      </w:r>
      <w:r w:rsidRPr="00F27C85">
        <w:rPr>
          <w:bCs/>
        </w:rPr>
        <w:t>6</w:t>
      </w:r>
      <w:r w:rsidR="00A44001">
        <w:rPr>
          <w:bCs/>
        </w:rPr>
        <w:t> </w:t>
      </w:r>
      <w:r w:rsidRPr="00F27C85">
        <w:rPr>
          <w:bCs/>
        </w:rPr>
        <w:t>ng/L</w:t>
      </w:r>
      <w:r w:rsidR="00A44001">
        <w:rPr>
          <w:bCs/>
        </w:rPr>
        <w:t xml:space="preserve"> (</w:t>
      </w:r>
      <w:proofErr w:type="spellStart"/>
      <w:r w:rsidR="00A44001">
        <w:rPr>
          <w:bCs/>
        </w:rPr>
        <w:t>Bruland</w:t>
      </w:r>
      <w:proofErr w:type="spellEnd"/>
      <w:r w:rsidR="00A44001">
        <w:rPr>
          <w:bCs/>
        </w:rPr>
        <w:t xml:space="preserve"> 1980)</w:t>
      </w:r>
      <w:r w:rsidRPr="00F27C85">
        <w:rPr>
          <w:bCs/>
        </w:rPr>
        <w:t>. In the outer Otago Harbour, New Zealand, total zinc concentrations were 8</w:t>
      </w:r>
      <w:r w:rsidR="00A44001">
        <w:rPr>
          <w:bCs/>
        </w:rPr>
        <w:t>–</w:t>
      </w:r>
      <w:r w:rsidRPr="00F27C85">
        <w:rPr>
          <w:bCs/>
        </w:rPr>
        <w:t>18</w:t>
      </w:r>
      <w:r w:rsidR="00A44001">
        <w:rPr>
          <w:bCs/>
        </w:rPr>
        <w:t> </w:t>
      </w:r>
      <w:r w:rsidRPr="00F27C85">
        <w:rPr>
          <w:bCs/>
        </w:rPr>
        <w:t>ng/L</w:t>
      </w:r>
      <w:r w:rsidR="00A44001">
        <w:rPr>
          <w:bCs/>
        </w:rPr>
        <w:t xml:space="preserve"> (Hunter &amp; Tyler 1987)</w:t>
      </w:r>
      <w:r w:rsidRPr="00F27C85">
        <w:rPr>
          <w:bCs/>
        </w:rPr>
        <w:t>. Measurements off the coast of New South Wales, Australia, indicate total zinc is &lt;22</w:t>
      </w:r>
      <w:r w:rsidR="00A44001">
        <w:rPr>
          <w:bCs/>
        </w:rPr>
        <w:t> </w:t>
      </w:r>
      <w:r w:rsidRPr="00F27C85">
        <w:rPr>
          <w:bCs/>
        </w:rPr>
        <w:t>ng/L</w:t>
      </w:r>
      <w:r w:rsidR="00A860FE">
        <w:rPr>
          <w:bCs/>
        </w:rPr>
        <w:t xml:space="preserve"> (</w:t>
      </w:r>
      <w:proofErr w:type="spellStart"/>
      <w:r w:rsidR="00A860FE">
        <w:rPr>
          <w:bCs/>
        </w:rPr>
        <w:t>Apte</w:t>
      </w:r>
      <w:proofErr w:type="spellEnd"/>
      <w:r w:rsidR="00A860FE">
        <w:rPr>
          <w:bCs/>
        </w:rPr>
        <w:t xml:space="preserve"> et al. </w:t>
      </w:r>
      <w:r w:rsidR="00A44001">
        <w:rPr>
          <w:bCs/>
        </w:rPr>
        <w:t>1998)</w:t>
      </w:r>
      <w:r w:rsidRPr="00F27C85">
        <w:rPr>
          <w:bCs/>
        </w:rPr>
        <w:t>.</w:t>
      </w:r>
    </w:p>
    <w:p w14:paraId="2BBC56E8" w14:textId="3494D01D" w:rsidR="00F27C85" w:rsidRPr="00F27C85" w:rsidRDefault="00F27C85" w:rsidP="00F27C85">
      <w:pPr>
        <w:rPr>
          <w:bCs/>
        </w:rPr>
      </w:pPr>
      <w:r w:rsidRPr="00F27C85">
        <w:rPr>
          <w:bCs/>
        </w:rPr>
        <w:t xml:space="preserve">The ANZECC/ARMCANZ (2000) default </w:t>
      </w:r>
      <w:r w:rsidR="0099293A">
        <w:rPr>
          <w:bCs/>
        </w:rPr>
        <w:t>guideline value</w:t>
      </w:r>
      <w:r w:rsidR="00C468E5">
        <w:rPr>
          <w:bCs/>
        </w:rPr>
        <w:t>s</w:t>
      </w:r>
      <w:r w:rsidR="0099293A">
        <w:rPr>
          <w:bCs/>
        </w:rPr>
        <w:t xml:space="preserve"> (D</w:t>
      </w:r>
      <w:r w:rsidRPr="00F27C85">
        <w:rPr>
          <w:bCs/>
        </w:rPr>
        <w:t>GV</w:t>
      </w:r>
      <w:r w:rsidR="00C468E5">
        <w:rPr>
          <w:bCs/>
        </w:rPr>
        <w:t>s</w:t>
      </w:r>
      <w:r w:rsidR="0099293A">
        <w:rPr>
          <w:bCs/>
        </w:rPr>
        <w:t>)</w:t>
      </w:r>
      <w:r w:rsidRPr="00F27C85">
        <w:rPr>
          <w:bCs/>
        </w:rPr>
        <w:t xml:space="preserve"> for zinc in marine water for 99%, </w:t>
      </w:r>
      <w:r w:rsidR="00C468E5">
        <w:rPr>
          <w:bCs/>
        </w:rPr>
        <w:t xml:space="preserve">95%, </w:t>
      </w:r>
      <w:r w:rsidRPr="00F27C85">
        <w:rPr>
          <w:bCs/>
        </w:rPr>
        <w:t>90% and 80% species protection were 7</w:t>
      </w:r>
      <w:r w:rsidR="0099293A">
        <w:rPr>
          <w:bCs/>
        </w:rPr>
        <w:t> </w:t>
      </w:r>
      <w:proofErr w:type="spellStart"/>
      <w:r w:rsidR="0099293A" w:rsidRPr="00F27C85">
        <w:rPr>
          <w:bCs/>
        </w:rPr>
        <w:t>μg</w:t>
      </w:r>
      <w:proofErr w:type="spellEnd"/>
      <w:r w:rsidR="0099293A" w:rsidRPr="00F27C85">
        <w:rPr>
          <w:bCs/>
        </w:rPr>
        <w:t>/L</w:t>
      </w:r>
      <w:r w:rsidRPr="00F27C85">
        <w:rPr>
          <w:bCs/>
        </w:rPr>
        <w:t xml:space="preserve">, </w:t>
      </w:r>
      <w:r w:rsidR="00C468E5">
        <w:rPr>
          <w:bCs/>
        </w:rPr>
        <w:t xml:space="preserve">15 </w:t>
      </w:r>
      <w:proofErr w:type="spellStart"/>
      <w:r w:rsidR="00C468E5" w:rsidRPr="00F27C85">
        <w:rPr>
          <w:bCs/>
        </w:rPr>
        <w:t>μg</w:t>
      </w:r>
      <w:proofErr w:type="spellEnd"/>
      <w:r w:rsidR="00C468E5" w:rsidRPr="00F27C85">
        <w:rPr>
          <w:bCs/>
        </w:rPr>
        <w:t>/L</w:t>
      </w:r>
      <w:r w:rsidR="00C468E5">
        <w:rPr>
          <w:bCs/>
        </w:rPr>
        <w:t xml:space="preserve">, </w:t>
      </w:r>
      <w:r w:rsidRPr="00F27C85">
        <w:rPr>
          <w:bCs/>
        </w:rPr>
        <w:t>23</w:t>
      </w:r>
      <w:r w:rsidR="0099293A">
        <w:rPr>
          <w:bCs/>
        </w:rPr>
        <w:t> </w:t>
      </w:r>
      <w:proofErr w:type="spellStart"/>
      <w:r w:rsidR="0099293A" w:rsidRPr="00F27C85">
        <w:rPr>
          <w:bCs/>
        </w:rPr>
        <w:t>μg</w:t>
      </w:r>
      <w:proofErr w:type="spellEnd"/>
      <w:r w:rsidR="0099293A" w:rsidRPr="00F27C85">
        <w:rPr>
          <w:bCs/>
        </w:rPr>
        <w:t>/L</w:t>
      </w:r>
      <w:r w:rsidRPr="00F27C85">
        <w:rPr>
          <w:bCs/>
        </w:rPr>
        <w:t xml:space="preserve"> and 43</w:t>
      </w:r>
      <w:r w:rsidR="0099293A">
        <w:rPr>
          <w:bCs/>
        </w:rPr>
        <w:t> </w:t>
      </w:r>
      <w:proofErr w:type="spellStart"/>
      <w:r w:rsidRPr="00F27C85">
        <w:rPr>
          <w:bCs/>
        </w:rPr>
        <w:t>μg</w:t>
      </w:r>
      <w:proofErr w:type="spellEnd"/>
      <w:r w:rsidRPr="00F27C85">
        <w:rPr>
          <w:bCs/>
        </w:rPr>
        <w:t>/L</w:t>
      </w:r>
      <w:r w:rsidR="0099293A">
        <w:rPr>
          <w:bCs/>
        </w:rPr>
        <w:t>,</w:t>
      </w:r>
      <w:r w:rsidRPr="00F27C85">
        <w:rPr>
          <w:bCs/>
        </w:rPr>
        <w:t xml:space="preserve"> respectively. These </w:t>
      </w:r>
      <w:r w:rsidR="0099293A">
        <w:rPr>
          <w:bCs/>
        </w:rPr>
        <w:t>D</w:t>
      </w:r>
      <w:r w:rsidRPr="00F27C85">
        <w:rPr>
          <w:bCs/>
        </w:rPr>
        <w:t>GVs were considered high reliability, derived using the species sensitivity distribution (SSD) method</w:t>
      </w:r>
      <w:r w:rsidR="003A0C61">
        <w:rPr>
          <w:bCs/>
        </w:rPr>
        <w:t xml:space="preserve"> and</w:t>
      </w:r>
      <w:r w:rsidRPr="00F27C85">
        <w:rPr>
          <w:bCs/>
        </w:rPr>
        <w:t xml:space="preserve"> 75 toxicity values representing 24 species from six taxonomic groups (fish, crustaceans, echinoderms, molluscs, annelids and algae). All values were from chronic studies. Only three values were based on </w:t>
      </w:r>
      <w:r w:rsidRPr="00F27C85">
        <w:rPr>
          <w:bCs/>
        </w:rPr>
        <w:lastRenderedPageBreak/>
        <w:t>no observed effect concentrations (NOECs). Most values were based on median effect/inhibition concentrations (EC50/IC50), medi</w:t>
      </w:r>
      <w:r w:rsidR="00C468E5">
        <w:rPr>
          <w:bCs/>
        </w:rPr>
        <w:t>an</w:t>
      </w:r>
      <w:r w:rsidRPr="00F27C85">
        <w:rPr>
          <w:bCs/>
        </w:rPr>
        <w:t xml:space="preserve"> lethal concentrations (LC50), lowest observed effect concentrations (LOECs) or maximum </w:t>
      </w:r>
      <w:r w:rsidR="003E2CD1">
        <w:rPr>
          <w:bCs/>
        </w:rPr>
        <w:t>acceptable</w:t>
      </w:r>
      <w:r w:rsidR="003E2CD1" w:rsidRPr="00F27C85">
        <w:rPr>
          <w:bCs/>
        </w:rPr>
        <w:t xml:space="preserve"> </w:t>
      </w:r>
      <w:r w:rsidRPr="00F27C85">
        <w:rPr>
          <w:bCs/>
        </w:rPr>
        <w:t>toxicant concentrations (MATC), all of which were converted to NOEC</w:t>
      </w:r>
      <w:r w:rsidR="00C468E5">
        <w:rPr>
          <w:bCs/>
        </w:rPr>
        <w:t xml:space="preserve"> equivalent</w:t>
      </w:r>
      <w:r w:rsidRPr="00F27C85">
        <w:rPr>
          <w:bCs/>
        </w:rPr>
        <w:t>s by dividing by 5 for EC/LC50s and 2.5 for LOEC/MATCs. The lowest value was for a diatom</w:t>
      </w:r>
      <w:r w:rsidR="00C468E5" w:rsidRPr="00C468E5">
        <w:rPr>
          <w:rStyle w:val="CommentReference"/>
          <w:sz w:val="22"/>
          <w:szCs w:val="22"/>
        </w:rPr>
        <w:t xml:space="preserve">, </w:t>
      </w:r>
      <w:proofErr w:type="spellStart"/>
      <w:r w:rsidRPr="00F27C85">
        <w:rPr>
          <w:rStyle w:val="Emphasis"/>
        </w:rPr>
        <w:t>Ceratoneis</w:t>
      </w:r>
      <w:proofErr w:type="spellEnd"/>
      <w:r w:rsidRPr="00F27C85">
        <w:rPr>
          <w:rStyle w:val="Emphasis"/>
        </w:rPr>
        <w:t xml:space="preserve"> </w:t>
      </w:r>
      <w:proofErr w:type="spellStart"/>
      <w:r w:rsidRPr="00F27C85">
        <w:rPr>
          <w:rStyle w:val="Emphasis"/>
        </w:rPr>
        <w:t>closterium</w:t>
      </w:r>
      <w:proofErr w:type="spellEnd"/>
      <w:r w:rsidR="00C468E5">
        <w:rPr>
          <w:bCs/>
        </w:rPr>
        <w:t xml:space="preserve"> (</w:t>
      </w:r>
      <w:r w:rsidRPr="00F27C85">
        <w:rPr>
          <w:bCs/>
        </w:rPr>
        <w:t xml:space="preserve">formerly </w:t>
      </w:r>
      <w:proofErr w:type="spellStart"/>
      <w:r w:rsidRPr="00F27C85">
        <w:rPr>
          <w:rStyle w:val="Emphasis"/>
        </w:rPr>
        <w:t>Nitzschia</w:t>
      </w:r>
      <w:proofErr w:type="spellEnd"/>
      <w:r w:rsidRPr="00F27C85">
        <w:rPr>
          <w:rStyle w:val="Emphasis"/>
        </w:rPr>
        <w:t xml:space="preserve"> </w:t>
      </w:r>
      <w:proofErr w:type="spellStart"/>
      <w:r w:rsidRPr="00F27C85">
        <w:rPr>
          <w:rStyle w:val="Emphasis"/>
        </w:rPr>
        <w:t>closterium</w:t>
      </w:r>
      <w:proofErr w:type="spellEnd"/>
      <w:r w:rsidR="00C468E5">
        <w:rPr>
          <w:bCs/>
        </w:rPr>
        <w:t xml:space="preserve">), of 13 </w:t>
      </w:r>
      <w:proofErr w:type="spellStart"/>
      <w:r w:rsidR="00C468E5" w:rsidRPr="00F27C85">
        <w:rPr>
          <w:bCs/>
        </w:rPr>
        <w:t>μg</w:t>
      </w:r>
      <w:proofErr w:type="spellEnd"/>
      <w:r w:rsidR="00C468E5" w:rsidRPr="00F27C85">
        <w:rPr>
          <w:bCs/>
        </w:rPr>
        <w:t>/L</w:t>
      </w:r>
      <w:r w:rsidR="00C468E5">
        <w:rPr>
          <w:bCs/>
        </w:rPr>
        <w:t>,</w:t>
      </w:r>
      <w:r w:rsidRPr="00F27C85">
        <w:rPr>
          <w:bCs/>
        </w:rPr>
        <w:t xml:space="preserve"> converted from a 3-d IC50 (population growth rate) of 65</w:t>
      </w:r>
      <w:r w:rsidR="001D239F">
        <w:rPr>
          <w:bCs/>
        </w:rPr>
        <w:t> </w:t>
      </w:r>
      <w:proofErr w:type="spellStart"/>
      <w:r w:rsidRPr="00F27C85">
        <w:rPr>
          <w:bCs/>
        </w:rPr>
        <w:t>μg</w:t>
      </w:r>
      <w:proofErr w:type="spellEnd"/>
      <w:r w:rsidRPr="00F27C85">
        <w:rPr>
          <w:bCs/>
        </w:rPr>
        <w:t>/L</w:t>
      </w:r>
      <w:r w:rsidR="001D239F">
        <w:rPr>
          <w:bCs/>
        </w:rPr>
        <w:t xml:space="preserve"> (Stauber &amp; Florence 1990)</w:t>
      </w:r>
      <w:r w:rsidRPr="00F27C85">
        <w:rPr>
          <w:bCs/>
        </w:rPr>
        <w:t>.</w:t>
      </w:r>
    </w:p>
    <w:p w14:paraId="06182941" w14:textId="0D859494" w:rsidR="00155797" w:rsidRDefault="00F27C85" w:rsidP="00F27C85">
      <w:pPr>
        <w:rPr>
          <w:bCs/>
          <w:highlight w:val="yellow"/>
        </w:rPr>
      </w:pPr>
      <w:r w:rsidRPr="00F27C85">
        <w:rPr>
          <w:bCs/>
        </w:rPr>
        <w:t xml:space="preserve">This </w:t>
      </w:r>
      <w:r w:rsidR="00757F20">
        <w:rPr>
          <w:bCs/>
        </w:rPr>
        <w:t>technical brief</w:t>
      </w:r>
      <w:r w:rsidRPr="00F27C85">
        <w:rPr>
          <w:bCs/>
        </w:rPr>
        <w:t xml:space="preserve"> provides revised Australian and New Zealand </w:t>
      </w:r>
      <w:r w:rsidR="00757F20">
        <w:rPr>
          <w:bCs/>
        </w:rPr>
        <w:t>D</w:t>
      </w:r>
      <w:r w:rsidRPr="00F27C85">
        <w:rPr>
          <w:bCs/>
        </w:rPr>
        <w:t xml:space="preserve">GVs for dissolved zinc in marine water. </w:t>
      </w:r>
      <w:r w:rsidR="00757F20">
        <w:rPr>
          <w:bCs/>
        </w:rPr>
        <w:t>These DGVs</w:t>
      </w:r>
      <w:r w:rsidR="00757F20" w:rsidRPr="00F27C85">
        <w:rPr>
          <w:bCs/>
        </w:rPr>
        <w:t xml:space="preserve"> </w:t>
      </w:r>
      <w:r w:rsidRPr="00F27C85">
        <w:rPr>
          <w:bCs/>
        </w:rPr>
        <w:t>supersede the ANZECC/ARMCANZ (2000)</w:t>
      </w:r>
      <w:r w:rsidR="00757F20">
        <w:rPr>
          <w:bCs/>
        </w:rPr>
        <w:t xml:space="preserve"> DGVs</w:t>
      </w:r>
      <w:r w:rsidRPr="00F27C85">
        <w:rPr>
          <w:bCs/>
        </w:rPr>
        <w:t xml:space="preserve"> and have drawn upon zinc risk assessments for the European Union</w:t>
      </w:r>
      <w:r w:rsidR="00757F20">
        <w:rPr>
          <w:bCs/>
        </w:rPr>
        <w:t xml:space="preserve"> (JRC-IHCP 2010)</w:t>
      </w:r>
      <w:r w:rsidRPr="00F27C85">
        <w:rPr>
          <w:bCs/>
        </w:rPr>
        <w:t xml:space="preserve"> and revisions of zinc guidelines </w:t>
      </w:r>
      <w:r w:rsidR="00757F20">
        <w:rPr>
          <w:bCs/>
        </w:rPr>
        <w:t>for</w:t>
      </w:r>
      <w:r w:rsidR="00757F20" w:rsidRPr="00F27C85">
        <w:rPr>
          <w:bCs/>
        </w:rPr>
        <w:t xml:space="preserve"> </w:t>
      </w:r>
      <w:r w:rsidRPr="00F27C85">
        <w:rPr>
          <w:bCs/>
        </w:rPr>
        <w:t xml:space="preserve">the United Kingdom </w:t>
      </w:r>
      <w:r w:rsidR="00757F20">
        <w:rPr>
          <w:bCs/>
        </w:rPr>
        <w:t>(</w:t>
      </w:r>
      <w:proofErr w:type="spellStart"/>
      <w:r w:rsidR="00757F20">
        <w:rPr>
          <w:bCs/>
        </w:rPr>
        <w:t>Maycock</w:t>
      </w:r>
      <w:proofErr w:type="spellEnd"/>
      <w:r w:rsidR="00757F20">
        <w:rPr>
          <w:bCs/>
        </w:rPr>
        <w:t xml:space="preserve"> et al. 2012)</w:t>
      </w:r>
      <w:r w:rsidRPr="00F27C85">
        <w:rPr>
          <w:bCs/>
        </w:rPr>
        <w:t>. This revision incorporates data published since 2000</w:t>
      </w:r>
      <w:r w:rsidR="00757F20">
        <w:rPr>
          <w:bCs/>
        </w:rPr>
        <w:t>,</w:t>
      </w:r>
      <w:r w:rsidRPr="00F27C85">
        <w:rPr>
          <w:bCs/>
        </w:rPr>
        <w:t xml:space="preserve"> including chronic data for Australasian species. The revised </w:t>
      </w:r>
      <w:r w:rsidR="000501D1">
        <w:rPr>
          <w:bCs/>
        </w:rPr>
        <w:t>DGV</w:t>
      </w:r>
      <w:r w:rsidR="00320812">
        <w:rPr>
          <w:bCs/>
        </w:rPr>
        <w:t xml:space="preserve"> </w:t>
      </w:r>
      <w:r w:rsidRPr="00F27C85">
        <w:rPr>
          <w:bCs/>
        </w:rPr>
        <w:t xml:space="preserve">derivation process and the data used in the </w:t>
      </w:r>
      <w:r w:rsidR="00320812">
        <w:rPr>
          <w:bCs/>
        </w:rPr>
        <w:t>derivation</w:t>
      </w:r>
      <w:r w:rsidR="00320812" w:rsidRPr="00F27C85">
        <w:rPr>
          <w:bCs/>
        </w:rPr>
        <w:t xml:space="preserve"> </w:t>
      </w:r>
      <w:r w:rsidR="00757F20">
        <w:rPr>
          <w:bCs/>
        </w:rPr>
        <w:t>are</w:t>
      </w:r>
      <w:r w:rsidR="00757F20" w:rsidRPr="00F27C85">
        <w:rPr>
          <w:bCs/>
        </w:rPr>
        <w:t xml:space="preserve"> </w:t>
      </w:r>
      <w:r w:rsidRPr="00F27C85">
        <w:rPr>
          <w:bCs/>
        </w:rPr>
        <w:t>described in Section</w:t>
      </w:r>
      <w:r w:rsidR="002C58D8">
        <w:rPr>
          <w:bCs/>
        </w:rPr>
        <w:t> </w:t>
      </w:r>
      <w:r w:rsidR="002C58D8">
        <w:rPr>
          <w:bCs/>
        </w:rPr>
        <w:fldChar w:fldCharType="begin"/>
      </w:r>
      <w:r w:rsidR="002C58D8">
        <w:rPr>
          <w:bCs/>
        </w:rPr>
        <w:instrText xml:space="preserve"> REF _Ref23163450 \r \h </w:instrText>
      </w:r>
      <w:r w:rsidR="002C58D8">
        <w:rPr>
          <w:bCs/>
        </w:rPr>
      </w:r>
      <w:r w:rsidR="002C58D8">
        <w:rPr>
          <w:bCs/>
        </w:rPr>
        <w:fldChar w:fldCharType="separate"/>
      </w:r>
      <w:r w:rsidR="00A860FE">
        <w:rPr>
          <w:bCs/>
        </w:rPr>
        <w:t>4</w:t>
      </w:r>
      <w:r w:rsidR="002C58D8">
        <w:rPr>
          <w:bCs/>
        </w:rPr>
        <w:fldChar w:fldCharType="end"/>
      </w:r>
      <w:r w:rsidRPr="00F27C85">
        <w:rPr>
          <w:bCs/>
        </w:rPr>
        <w:t>.</w:t>
      </w:r>
    </w:p>
    <w:p w14:paraId="768658E0" w14:textId="1B0C7A38" w:rsidR="00BF0280" w:rsidRDefault="00BF0280" w:rsidP="00BF0280">
      <w:pPr>
        <w:pStyle w:val="Heading2"/>
      </w:pPr>
      <w:bookmarkStart w:id="3" w:name="_Toc34814165"/>
      <w:r>
        <w:t>Aquatic toxicology</w:t>
      </w:r>
      <w:bookmarkEnd w:id="3"/>
    </w:p>
    <w:p w14:paraId="485084CD" w14:textId="154D96F2" w:rsidR="00F27C85" w:rsidRDefault="00F27C85" w:rsidP="00F27C85">
      <w:r>
        <w:t xml:space="preserve">Zinc is an essential trace element for all trophic levels as it has a fundamental role in the structure and function of numerous proteins and in the maintenance of plasma membrane stability </w:t>
      </w:r>
      <w:r w:rsidR="00C7217E">
        <w:t>(IPCS 2001)</w:t>
      </w:r>
      <w:r>
        <w:t xml:space="preserve">. Zinc is found in all tissues of mammals, fish and invertebrates </w:t>
      </w:r>
      <w:r w:rsidR="00C7217E">
        <w:t>(IPCS 2001)</w:t>
      </w:r>
      <w:r>
        <w:t xml:space="preserve">. Deficiencies in zinc can lead to disorders, </w:t>
      </w:r>
      <w:r w:rsidR="00C7217E">
        <w:t xml:space="preserve">which are </w:t>
      </w:r>
      <w:r>
        <w:t xml:space="preserve">well-documented in humans and terrestrial animals and also observed in terrestrial plants. Deficiencies in zinc are relatively rare in aquatic organisms but may be observed in phytoplankton in the open ocean </w:t>
      </w:r>
      <w:r w:rsidR="00C7217E">
        <w:t>(IPCS 2001)</w:t>
      </w:r>
      <w:r>
        <w:t>.</w:t>
      </w:r>
    </w:p>
    <w:p w14:paraId="03130B9C" w14:textId="2AC67A78" w:rsidR="00F7030C" w:rsidRDefault="00F7030C" w:rsidP="00F7030C">
      <w:pPr>
        <w:pStyle w:val="Heading3"/>
      </w:pPr>
      <w:bookmarkStart w:id="4" w:name="_Ref31968878"/>
      <w:bookmarkStart w:id="5" w:name="_Toc34814166"/>
      <w:r>
        <w:t>Mechanisms of toxicity</w:t>
      </w:r>
      <w:bookmarkEnd w:id="4"/>
      <w:bookmarkEnd w:id="5"/>
    </w:p>
    <w:p w14:paraId="18468D69" w14:textId="1D4AFD65" w:rsidR="00F27C85" w:rsidRDefault="00F27C85" w:rsidP="00F27C85">
      <w:r>
        <w:t xml:space="preserve">Most aquatic fauna </w:t>
      </w:r>
      <w:r w:rsidR="00C7217E">
        <w:t>can</w:t>
      </w:r>
      <w:r>
        <w:t xml:space="preserve"> regulate internal zinc concentrations, either by excreting excess zinc</w:t>
      </w:r>
      <w:r w:rsidR="00C7217E">
        <w:t xml:space="preserve"> (Rainbow &amp; </w:t>
      </w:r>
      <w:proofErr w:type="spellStart"/>
      <w:r w:rsidR="00C7217E">
        <w:t>Luoma</w:t>
      </w:r>
      <w:proofErr w:type="spellEnd"/>
      <w:r w:rsidR="00C7217E">
        <w:t xml:space="preserve"> 2011)</w:t>
      </w:r>
      <w:r>
        <w:t xml:space="preserve"> or by storing it in a detoxified form </w:t>
      </w:r>
      <w:r w:rsidR="00C7217E">
        <w:t>(Rainbow et al. 2015)</w:t>
      </w:r>
      <w:r>
        <w:t xml:space="preserve">. However, when zinc intake exceeds </w:t>
      </w:r>
      <w:r w:rsidR="00C468E5">
        <w:t>an organism’s</w:t>
      </w:r>
      <w:r>
        <w:t xml:space="preserve"> detoxifying capacity, metabolically available zinc may accumulate and cause toxicity, primarily by disrupting the internal calcium balance</w:t>
      </w:r>
      <w:r w:rsidR="00C7217E">
        <w:t xml:space="preserve"> (</w:t>
      </w:r>
      <w:proofErr w:type="spellStart"/>
      <w:r w:rsidR="00C7217E">
        <w:t>Hogstrand</w:t>
      </w:r>
      <w:proofErr w:type="spellEnd"/>
      <w:r w:rsidR="00C7217E">
        <w:t xml:space="preserve"> et al. 1995, Clifford &amp; </w:t>
      </w:r>
      <w:proofErr w:type="spellStart"/>
      <w:r w:rsidR="00C7217E">
        <w:t>McGeer</w:t>
      </w:r>
      <w:proofErr w:type="spellEnd"/>
      <w:r w:rsidR="00C7217E">
        <w:t xml:space="preserve"> 2009, </w:t>
      </w:r>
      <w:proofErr w:type="spellStart"/>
      <w:r w:rsidR="00C7217E">
        <w:t>Tellis</w:t>
      </w:r>
      <w:proofErr w:type="spellEnd"/>
      <w:r w:rsidR="00C7217E">
        <w:t xml:space="preserve"> et al. 2014, Niyogi et al. 2016)</w:t>
      </w:r>
      <w:r>
        <w:t>. In freshwater fish species, this can lead to hypocalcaemia and eventually mortality</w:t>
      </w:r>
      <w:r w:rsidR="00F7030C">
        <w:t xml:space="preserve"> (</w:t>
      </w:r>
      <w:proofErr w:type="spellStart"/>
      <w:r w:rsidR="00F7030C">
        <w:t>Hogstrand</w:t>
      </w:r>
      <w:proofErr w:type="spellEnd"/>
      <w:r w:rsidR="00F7030C">
        <w:t xml:space="preserve"> et al. 1995)</w:t>
      </w:r>
      <w:r>
        <w:t>. However, as calcium is at much higher concentrations in marine water, reduced calcium uptake is considered unlikely</w:t>
      </w:r>
      <w:r w:rsidR="00F7030C">
        <w:t>,</w:t>
      </w:r>
      <w:r>
        <w:t xml:space="preserve"> and the mechanism of zinc toxicity to </w:t>
      </w:r>
      <w:r w:rsidR="00C468E5">
        <w:t>marine</w:t>
      </w:r>
      <w:r>
        <w:t xml:space="preserve"> fish is not clear </w:t>
      </w:r>
      <w:r w:rsidR="00F7030C">
        <w:t>(</w:t>
      </w:r>
      <w:proofErr w:type="spellStart"/>
      <w:r w:rsidR="00F7030C">
        <w:t>Hogstrand</w:t>
      </w:r>
      <w:proofErr w:type="spellEnd"/>
      <w:r w:rsidR="00F7030C">
        <w:t xml:space="preserve"> 2012)</w:t>
      </w:r>
      <w:r>
        <w:t>. Nonetheless, elevated concentrations can reduce growth and reproduction and</w:t>
      </w:r>
      <w:r w:rsidR="00F7030C">
        <w:t xml:space="preserve"> </w:t>
      </w:r>
      <w:r>
        <w:t>increase mortality</w:t>
      </w:r>
      <w:r w:rsidR="00F7030C">
        <w:t xml:space="preserve"> (</w:t>
      </w:r>
      <w:proofErr w:type="spellStart"/>
      <w:r w:rsidR="00F7030C">
        <w:t>Hogstrand</w:t>
      </w:r>
      <w:proofErr w:type="spellEnd"/>
      <w:r w:rsidR="00F7030C">
        <w:t xml:space="preserve"> 2012)</w:t>
      </w:r>
      <w:r>
        <w:t xml:space="preserve">. In invertebrates, zinc appears to inhibit oxygen consumption rates and disrupt ammonia excretion </w:t>
      </w:r>
      <w:r w:rsidR="00F7030C">
        <w:t>(Cheung &amp; Cheung 1995, Wu &amp; Chen 2004)</w:t>
      </w:r>
      <w:r>
        <w:t xml:space="preserve">, and elevated concentrations can lead to reduced growth rates and mortality </w:t>
      </w:r>
      <w:r w:rsidR="00F7030C">
        <w:t>(Li et al. 2016)</w:t>
      </w:r>
      <w:r>
        <w:t>. In diatoms, zinc inhibits cell division, resulting in reduced growth rates</w:t>
      </w:r>
      <w:r w:rsidR="00F7030C">
        <w:t xml:space="preserve"> (</w:t>
      </w:r>
      <w:r w:rsidR="00F7030C" w:rsidRPr="00F7030C">
        <w:t>Stauber &amp; Florence</w:t>
      </w:r>
      <w:r w:rsidR="00F7030C">
        <w:t xml:space="preserve"> </w:t>
      </w:r>
      <w:r w:rsidR="00F7030C" w:rsidRPr="00F7030C">
        <w:t>1990</w:t>
      </w:r>
      <w:r w:rsidR="00F7030C">
        <w:t>)</w:t>
      </w:r>
      <w:r>
        <w:t>. As there are various mechanisms of zinc toxicity to aquatic organisms, some of which are common to numerous taxa (e.g. calcium imbalance), zinc toxicity is highly unlikely to exhibit a bi</w:t>
      </w:r>
      <w:r w:rsidR="00F7030C">
        <w:t>modal</w:t>
      </w:r>
      <w:r>
        <w:t xml:space="preserve"> or multimodal relationship.</w:t>
      </w:r>
    </w:p>
    <w:p w14:paraId="5E6453B5" w14:textId="28013D1C" w:rsidR="00F7030C" w:rsidRPr="00F7030C" w:rsidRDefault="00F1770B" w:rsidP="00F7030C">
      <w:pPr>
        <w:pStyle w:val="Heading3"/>
      </w:pPr>
      <w:bookmarkStart w:id="6" w:name="_Toc34814167"/>
      <w:r w:rsidRPr="00F7030C">
        <w:t>Acute</w:t>
      </w:r>
      <w:r w:rsidR="00F7030C" w:rsidRPr="00F7030C">
        <w:t xml:space="preserve"> toxicity</w:t>
      </w:r>
      <w:bookmarkEnd w:id="6"/>
    </w:p>
    <w:p w14:paraId="5FA19291" w14:textId="58A1A7A3" w:rsidR="00F27C85" w:rsidRDefault="00F27C85" w:rsidP="00F27C85">
      <w:r>
        <w:t>The acute toxicity of zinc in marine species ranges from 170</w:t>
      </w:r>
      <w:r w:rsidR="00593B29">
        <w:t> </w:t>
      </w:r>
      <w:proofErr w:type="spellStart"/>
      <w:r>
        <w:t>μg</w:t>
      </w:r>
      <w:proofErr w:type="spellEnd"/>
      <w:r>
        <w:t xml:space="preserve">/L to up to the solubility limit </w:t>
      </w:r>
      <w:r w:rsidR="008F4C67">
        <w:t xml:space="preserve">based on </w:t>
      </w:r>
      <w:r>
        <w:t>24</w:t>
      </w:r>
      <w:r w:rsidR="00593B29">
        <w:t>-h</w:t>
      </w:r>
      <w:r>
        <w:t xml:space="preserve"> to 96-h LC50 and EC50 values </w:t>
      </w:r>
      <w:r w:rsidR="00593B29">
        <w:t>(USEPA 1987, 1996)</w:t>
      </w:r>
      <w:r>
        <w:t xml:space="preserve">. Reviews suggest fish are less sensitive </w:t>
      </w:r>
      <w:r w:rsidR="00593B29">
        <w:t>(JRC-</w:t>
      </w:r>
      <w:r w:rsidR="00593B29">
        <w:lastRenderedPageBreak/>
        <w:t>IHCP</w:t>
      </w:r>
      <w:r w:rsidR="00D15B69">
        <w:t xml:space="preserve"> 2010</w:t>
      </w:r>
      <w:r w:rsidR="00593B29">
        <w:t>)</w:t>
      </w:r>
      <w:r>
        <w:t xml:space="preserve"> (24</w:t>
      </w:r>
      <w:r w:rsidR="00473F18">
        <w:t xml:space="preserve">-h to </w:t>
      </w:r>
      <w:r>
        <w:t>96-h LC50 values generally &gt;10</w:t>
      </w:r>
      <w:r w:rsidR="00593B29">
        <w:t> </w:t>
      </w:r>
      <w:r>
        <w:t>000</w:t>
      </w:r>
      <w:r w:rsidR="00593B29">
        <w:t> </w:t>
      </w:r>
      <w:proofErr w:type="spellStart"/>
      <w:r>
        <w:t>μg</w:t>
      </w:r>
      <w:proofErr w:type="spellEnd"/>
      <w:r>
        <w:t>/L) than crustaceans and molluscs (24</w:t>
      </w:r>
      <w:r w:rsidR="00473F18">
        <w:t xml:space="preserve">-h to </w:t>
      </w:r>
      <w:r>
        <w:t>96-h LC50 values generally 1</w:t>
      </w:r>
      <w:r w:rsidR="00593B29">
        <w:t> </w:t>
      </w:r>
      <w:r>
        <w:t>000</w:t>
      </w:r>
      <w:r w:rsidR="00593B29">
        <w:t>–</w:t>
      </w:r>
      <w:r>
        <w:t>10</w:t>
      </w:r>
      <w:r w:rsidR="00593B29">
        <w:t> </w:t>
      </w:r>
      <w:r>
        <w:t>000</w:t>
      </w:r>
      <w:r w:rsidR="00593B29">
        <w:t> </w:t>
      </w:r>
      <w:proofErr w:type="spellStart"/>
      <w:r>
        <w:t>μg</w:t>
      </w:r>
      <w:proofErr w:type="spellEnd"/>
      <w:r>
        <w:t>/L)</w:t>
      </w:r>
      <w:r w:rsidR="00593B29">
        <w:t xml:space="preserve"> (Janus 1993)</w:t>
      </w:r>
      <w:r>
        <w:t>. Early life stages of invertebrates and fish are generally more sensitive than juveniles and adults</w:t>
      </w:r>
      <w:r w:rsidR="00593B29">
        <w:t xml:space="preserve"> (USEPA 1987)</w:t>
      </w:r>
      <w:r>
        <w:t>. Testing on Australasian species suggests the same pattern, with crustacea</w:t>
      </w:r>
      <w:r w:rsidR="00593B29">
        <w:t>ns</w:t>
      </w:r>
      <w:r>
        <w:t xml:space="preserve"> and molluscs (96-h LC50 values ~400</w:t>
      </w:r>
      <w:r w:rsidR="00593B29">
        <w:t>–</w:t>
      </w:r>
      <w:r>
        <w:t>5</w:t>
      </w:r>
      <w:r w:rsidR="00593B29">
        <w:t> </w:t>
      </w:r>
      <w:r>
        <w:t>000</w:t>
      </w:r>
      <w:r w:rsidR="00593B29">
        <w:t> </w:t>
      </w:r>
      <w:proofErr w:type="spellStart"/>
      <w:r>
        <w:t>μg</w:t>
      </w:r>
      <w:proofErr w:type="spellEnd"/>
      <w:r>
        <w:t>/L) more sensitive than annelids or fish (96-h LC50 values mainly &gt;5</w:t>
      </w:r>
      <w:r w:rsidR="00593B29">
        <w:t> </w:t>
      </w:r>
      <w:r>
        <w:t>000</w:t>
      </w:r>
      <w:r w:rsidR="00593B29">
        <w:t> </w:t>
      </w:r>
      <w:proofErr w:type="spellStart"/>
      <w:r>
        <w:t>μg</w:t>
      </w:r>
      <w:proofErr w:type="spellEnd"/>
      <w:r>
        <w:t xml:space="preserve">/L) </w:t>
      </w:r>
      <w:r w:rsidR="00593B29">
        <w:t>(</w:t>
      </w:r>
      <w:proofErr w:type="spellStart"/>
      <w:r w:rsidR="00593B29">
        <w:t>Markich</w:t>
      </w:r>
      <w:proofErr w:type="spellEnd"/>
      <w:r w:rsidR="00593B29">
        <w:t xml:space="preserve"> et al. 2002, Langdon et al. 2009)</w:t>
      </w:r>
      <w:r>
        <w:t>; however, differences may also be due to different life stages tested. Testing on New Zealand marine fish species using juvenile life stages suggests they may be more sensitive than North American species</w:t>
      </w:r>
      <w:r w:rsidR="00455779">
        <w:t>,</w:t>
      </w:r>
      <w:r>
        <w:t xml:space="preserve"> with </w:t>
      </w:r>
      <w:r w:rsidR="003B531C">
        <w:t xml:space="preserve">96-h </w:t>
      </w:r>
      <w:r>
        <w:t>LC50 values of 1</w:t>
      </w:r>
      <w:r w:rsidR="00455779">
        <w:t> </w:t>
      </w:r>
      <w:r>
        <w:t>830</w:t>
      </w:r>
      <w:r w:rsidR="00455779">
        <w:t> </w:t>
      </w:r>
      <w:proofErr w:type="spellStart"/>
      <w:r>
        <w:t>μg</w:t>
      </w:r>
      <w:proofErr w:type="spellEnd"/>
      <w:r>
        <w:t>/L for sole (</w:t>
      </w:r>
      <w:proofErr w:type="spellStart"/>
      <w:r w:rsidRPr="00F27C85">
        <w:rPr>
          <w:rStyle w:val="Emphasis"/>
        </w:rPr>
        <w:t>Peltorhamphus</w:t>
      </w:r>
      <w:proofErr w:type="spellEnd"/>
      <w:r w:rsidRPr="00F27C85">
        <w:rPr>
          <w:rStyle w:val="Emphasis"/>
        </w:rPr>
        <w:t xml:space="preserve"> </w:t>
      </w:r>
      <w:proofErr w:type="spellStart"/>
      <w:r w:rsidRPr="00F27C85">
        <w:rPr>
          <w:rStyle w:val="Emphasis"/>
        </w:rPr>
        <w:t>latrus</w:t>
      </w:r>
      <w:proofErr w:type="spellEnd"/>
      <w:r>
        <w:t>), 2</w:t>
      </w:r>
      <w:r w:rsidR="00455779">
        <w:t> </w:t>
      </w:r>
      <w:r>
        <w:t>650</w:t>
      </w:r>
      <w:r w:rsidR="00455779">
        <w:t> </w:t>
      </w:r>
      <w:proofErr w:type="spellStart"/>
      <w:r>
        <w:t>μg</w:t>
      </w:r>
      <w:proofErr w:type="spellEnd"/>
      <w:r>
        <w:t>/L for kahawai (</w:t>
      </w:r>
      <w:proofErr w:type="spellStart"/>
      <w:r w:rsidRPr="00F27C85">
        <w:rPr>
          <w:rStyle w:val="Emphasis"/>
        </w:rPr>
        <w:t>Arripis</w:t>
      </w:r>
      <w:proofErr w:type="spellEnd"/>
      <w:r w:rsidRPr="00F27C85">
        <w:rPr>
          <w:rStyle w:val="Emphasis"/>
        </w:rPr>
        <w:t xml:space="preserve"> trutta</w:t>
      </w:r>
      <w:r>
        <w:t>) and 2</w:t>
      </w:r>
      <w:r w:rsidR="00455779">
        <w:t> </w:t>
      </w:r>
      <w:r>
        <w:t>710</w:t>
      </w:r>
      <w:r w:rsidR="00455779">
        <w:t> </w:t>
      </w:r>
      <w:proofErr w:type="spellStart"/>
      <w:r>
        <w:t>μg</w:t>
      </w:r>
      <w:proofErr w:type="spellEnd"/>
      <w:r>
        <w:t>/L for flounder (</w:t>
      </w:r>
      <w:proofErr w:type="spellStart"/>
      <w:r w:rsidRPr="00F27C85">
        <w:rPr>
          <w:rStyle w:val="Emphasis"/>
        </w:rPr>
        <w:t>Rhombosolea</w:t>
      </w:r>
      <w:proofErr w:type="spellEnd"/>
      <w:r w:rsidRPr="00F27C85">
        <w:rPr>
          <w:rStyle w:val="Emphasis"/>
        </w:rPr>
        <w:t xml:space="preserve"> </w:t>
      </w:r>
      <w:proofErr w:type="spellStart"/>
      <w:r w:rsidRPr="00F27C85">
        <w:rPr>
          <w:rStyle w:val="Emphasis"/>
        </w:rPr>
        <w:t>plebia</w:t>
      </w:r>
      <w:proofErr w:type="spellEnd"/>
      <w:r>
        <w:t>)</w:t>
      </w:r>
      <w:r w:rsidR="00455779">
        <w:t xml:space="preserve"> (Hall &amp; Golding 1998)</w:t>
      </w:r>
      <w:r>
        <w:t>. Early life stages of Australasian molluscs</w:t>
      </w:r>
      <w:r w:rsidR="00455779">
        <w:t>,</w:t>
      </w:r>
      <w:r>
        <w:t xml:space="preserve"> crustacea</w:t>
      </w:r>
      <w:r w:rsidR="00593B29">
        <w:t>ns</w:t>
      </w:r>
      <w:r>
        <w:t xml:space="preserve"> </w:t>
      </w:r>
      <w:r w:rsidR="00455779">
        <w:t>and</w:t>
      </w:r>
      <w:r>
        <w:t xml:space="preserve"> echinoderm</w:t>
      </w:r>
      <w:r w:rsidR="00455779">
        <w:t>s</w:t>
      </w:r>
      <w:r>
        <w:t xml:space="preserve"> were much more sensitive than the adults </w:t>
      </w:r>
      <w:r w:rsidR="00455779">
        <w:t>(Markich et al. 2002, Langdon et al. 2009)</w:t>
      </w:r>
      <w:r>
        <w:t>.</w:t>
      </w:r>
    </w:p>
    <w:p w14:paraId="3B8614F3" w14:textId="1DD73E6D" w:rsidR="00F7030C" w:rsidRDefault="00F7030C" w:rsidP="00F7030C">
      <w:pPr>
        <w:pStyle w:val="Heading3"/>
      </w:pPr>
      <w:bookmarkStart w:id="7" w:name="_Toc34814168"/>
      <w:r>
        <w:t>Chronic toxicity</w:t>
      </w:r>
      <w:bookmarkEnd w:id="7"/>
    </w:p>
    <w:p w14:paraId="5B2C1E1A" w14:textId="0960114B" w:rsidR="00053C14" w:rsidRDefault="00F27C85" w:rsidP="00F27C85">
      <w:r>
        <w:t xml:space="preserve">Chronic toxicity occurs at lower concentrations than acute toxicity, with chronic LC50 values often around 10-fold lower than acute LC50 values </w:t>
      </w:r>
      <w:r w:rsidR="00D15B69">
        <w:t>(JRC-IHCP 2010)</w:t>
      </w:r>
      <w:r>
        <w:t xml:space="preserve">. For example, for the marine shrimp </w:t>
      </w:r>
      <w:proofErr w:type="spellStart"/>
      <w:r w:rsidRPr="00F27C85">
        <w:rPr>
          <w:rStyle w:val="Emphasis"/>
        </w:rPr>
        <w:t>Callianassa</w:t>
      </w:r>
      <w:proofErr w:type="spellEnd"/>
      <w:r>
        <w:t xml:space="preserve"> </w:t>
      </w:r>
      <w:proofErr w:type="spellStart"/>
      <w:r w:rsidRPr="00F27C85">
        <w:rPr>
          <w:rStyle w:val="Emphasis"/>
        </w:rPr>
        <w:t>australiensis</w:t>
      </w:r>
      <w:proofErr w:type="spellEnd"/>
      <w:r>
        <w:t xml:space="preserve">, the 14-d </w:t>
      </w:r>
      <w:r w:rsidR="00D15B69">
        <w:t xml:space="preserve">chronic </w:t>
      </w:r>
      <w:r>
        <w:t>LC50 value is 1</w:t>
      </w:r>
      <w:r w:rsidR="00D15B69">
        <w:t> </w:t>
      </w:r>
      <w:r>
        <w:t>150</w:t>
      </w:r>
      <w:r w:rsidR="00D15B69">
        <w:t> </w:t>
      </w:r>
      <w:proofErr w:type="spellStart"/>
      <w:r>
        <w:t>μg</w:t>
      </w:r>
      <w:proofErr w:type="spellEnd"/>
      <w:r>
        <w:t xml:space="preserve">/L, compared to the 96-h </w:t>
      </w:r>
      <w:r w:rsidR="00D15B69">
        <w:t xml:space="preserve">acute </w:t>
      </w:r>
      <w:r>
        <w:t>LC50 of 10</w:t>
      </w:r>
      <w:r w:rsidR="00D15B69">
        <w:t> </w:t>
      </w:r>
      <w:r>
        <w:t>200</w:t>
      </w:r>
      <w:r w:rsidR="00D15B69">
        <w:t> </w:t>
      </w:r>
      <w:proofErr w:type="spellStart"/>
      <w:r>
        <w:t>μg</w:t>
      </w:r>
      <w:proofErr w:type="spellEnd"/>
      <w:r>
        <w:t xml:space="preserve">/L </w:t>
      </w:r>
      <w:r w:rsidR="00D15B69">
        <w:t>(</w:t>
      </w:r>
      <w:proofErr w:type="spellStart"/>
      <w:r w:rsidR="00D15B69">
        <w:t>Ahsanullah</w:t>
      </w:r>
      <w:proofErr w:type="spellEnd"/>
      <w:r w:rsidR="00D15B69">
        <w:t xml:space="preserve"> et al. 1981)</w:t>
      </w:r>
      <w:r>
        <w:t>. In a review of zinc toxicity to marine organisms, NOEC values from 3-d to 21-d tests ranged from 10</w:t>
      </w:r>
      <w:r w:rsidR="00D15B69">
        <w:t> </w:t>
      </w:r>
      <w:proofErr w:type="spellStart"/>
      <w:r w:rsidR="00D15B69">
        <w:t>μg</w:t>
      </w:r>
      <w:proofErr w:type="spellEnd"/>
      <w:r w:rsidR="00D15B69">
        <w:t>/L</w:t>
      </w:r>
      <w:r>
        <w:t xml:space="preserve"> to &gt;10</w:t>
      </w:r>
      <w:r w:rsidR="00D15B69">
        <w:t> </w:t>
      </w:r>
      <w:r>
        <w:t>000</w:t>
      </w:r>
      <w:r w:rsidR="00D15B69">
        <w:t> </w:t>
      </w:r>
      <w:proofErr w:type="spellStart"/>
      <w:r>
        <w:t>μg</w:t>
      </w:r>
      <w:proofErr w:type="spellEnd"/>
      <w:r>
        <w:t>/L</w:t>
      </w:r>
      <w:r w:rsidR="00D15B69">
        <w:t>,</w:t>
      </w:r>
      <w:r>
        <w:t xml:space="preserve"> with no clear differences between taxonomic groups </w:t>
      </w:r>
      <w:r w:rsidR="00D15B69">
        <w:t>(JRC-IHCP 2010)</w:t>
      </w:r>
      <w:r>
        <w:t>. Only one study was found on the chronic effects of zinc on marine fish species. This study tested low concentrations of zinc to larvae of Atlantic herring (</w:t>
      </w:r>
      <w:r w:rsidRPr="00F27C85">
        <w:rPr>
          <w:rStyle w:val="Emphasis"/>
        </w:rPr>
        <w:t xml:space="preserve">Clupea </w:t>
      </w:r>
      <w:proofErr w:type="spellStart"/>
      <w:r w:rsidRPr="00F27C85">
        <w:rPr>
          <w:rStyle w:val="Emphasis"/>
        </w:rPr>
        <w:t>harengus</w:t>
      </w:r>
      <w:proofErr w:type="spellEnd"/>
      <w:r>
        <w:t>) and reported developmental effects (jaw/branchial abnormalities) at concentrations of ≥50</w:t>
      </w:r>
      <w:r w:rsidR="006D1606">
        <w:t> </w:t>
      </w:r>
      <w:proofErr w:type="spellStart"/>
      <w:r>
        <w:t>μg</w:t>
      </w:r>
      <w:proofErr w:type="spellEnd"/>
      <w:r>
        <w:t xml:space="preserve">/L and morphological effects at </w:t>
      </w:r>
      <w:r w:rsidR="006D1606">
        <w:t xml:space="preserve">concentrations of </w:t>
      </w:r>
      <w:r>
        <w:t>≥100</w:t>
      </w:r>
      <w:r w:rsidR="006D1606">
        <w:t> </w:t>
      </w:r>
      <w:proofErr w:type="spellStart"/>
      <w:r>
        <w:t>μg</w:t>
      </w:r>
      <w:proofErr w:type="spellEnd"/>
      <w:r>
        <w:t xml:space="preserve">/L </w:t>
      </w:r>
      <w:r w:rsidR="006D1606">
        <w:t>(Somasundaram et al. 1984)</w:t>
      </w:r>
      <w:r>
        <w:t xml:space="preserve">. These concentrations are within the range reported for effects on other taxonomic groups </w:t>
      </w:r>
      <w:r w:rsidR="00BE2F1A">
        <w:t xml:space="preserve">(JRC-IHCP 2010, </w:t>
      </w:r>
      <w:proofErr w:type="spellStart"/>
      <w:r w:rsidR="00BE2F1A">
        <w:t>Maycock</w:t>
      </w:r>
      <w:proofErr w:type="spellEnd"/>
      <w:r w:rsidR="00BE2F1A">
        <w:t xml:space="preserve"> et al. 2012, Markich et al. 2002, Langdon et al. 2009)</w:t>
      </w:r>
      <w:r>
        <w:t xml:space="preserve">. </w:t>
      </w:r>
    </w:p>
    <w:p w14:paraId="45841029" w14:textId="7F1EF444" w:rsidR="00053C14" w:rsidRPr="00053C14" w:rsidRDefault="00053C14" w:rsidP="009D724D">
      <w:r>
        <w:t xml:space="preserve">Limited data on chronic toxicity of zinc to corals indicates large differences in sensitivity. </w:t>
      </w:r>
      <w:r w:rsidRPr="00117487">
        <w:rPr>
          <w:noProof/>
        </w:rPr>
        <w:t xml:space="preserve">Reichelt-Brushett </w:t>
      </w:r>
      <w:r>
        <w:rPr>
          <w:noProof/>
        </w:rPr>
        <w:t>&amp;</w:t>
      </w:r>
      <w:r w:rsidRPr="00117487">
        <w:rPr>
          <w:noProof/>
        </w:rPr>
        <w:t xml:space="preserve"> Harrison </w:t>
      </w:r>
      <w:r>
        <w:rPr>
          <w:noProof/>
        </w:rPr>
        <w:t>(20</w:t>
      </w:r>
      <w:r w:rsidRPr="00117487">
        <w:rPr>
          <w:noProof/>
        </w:rPr>
        <w:t>05</w:t>
      </w:r>
      <w:r>
        <w:rPr>
          <w:noProof/>
        </w:rPr>
        <w:t xml:space="preserve">) reported </w:t>
      </w:r>
      <w:r w:rsidR="009D724D">
        <w:t xml:space="preserve">an approximate 25% reduction in fertilisation of </w:t>
      </w:r>
      <w:r w:rsidR="009D724D" w:rsidRPr="00E14202">
        <w:rPr>
          <w:i/>
          <w:iCs/>
        </w:rPr>
        <w:t>Acropora tenuis</w:t>
      </w:r>
      <w:r w:rsidR="009D724D">
        <w:t xml:space="preserve"> at</w:t>
      </w:r>
      <w:r>
        <w:t xml:space="preserve"> </w:t>
      </w:r>
      <w:r w:rsidR="00B03DAF">
        <w:t xml:space="preserve">nominal zinc concentrations of </w:t>
      </w:r>
      <w:r>
        <w:t>10 </w:t>
      </w:r>
      <w:proofErr w:type="spellStart"/>
      <w:r>
        <w:t>μg</w:t>
      </w:r>
      <w:proofErr w:type="spellEnd"/>
      <w:r>
        <w:t>/L</w:t>
      </w:r>
      <w:r w:rsidR="009D724D">
        <w:t>, making it amongst the most sensitive species reported in the literature</w:t>
      </w:r>
      <w:r>
        <w:t xml:space="preserve">. In contrast, </w:t>
      </w:r>
      <w:r w:rsidR="009D724D">
        <w:t xml:space="preserve">Heyward (1988) reported an approximate 35% reduction in fertilisation of </w:t>
      </w:r>
      <w:proofErr w:type="spellStart"/>
      <w:r w:rsidR="009D724D" w:rsidRPr="009D724D">
        <w:rPr>
          <w:i/>
          <w:iCs/>
        </w:rPr>
        <w:t>Platygura</w:t>
      </w:r>
      <w:proofErr w:type="spellEnd"/>
      <w:r w:rsidR="009D724D" w:rsidRPr="009D724D">
        <w:rPr>
          <w:i/>
          <w:iCs/>
        </w:rPr>
        <w:t xml:space="preserve"> </w:t>
      </w:r>
      <w:proofErr w:type="spellStart"/>
      <w:r w:rsidR="009D724D" w:rsidRPr="009D724D">
        <w:rPr>
          <w:i/>
          <w:iCs/>
        </w:rPr>
        <w:t>ryukyuensis</w:t>
      </w:r>
      <w:proofErr w:type="spellEnd"/>
      <w:r w:rsidR="009D724D">
        <w:t xml:space="preserve"> at 500 </w:t>
      </w:r>
      <w:proofErr w:type="spellStart"/>
      <w:r w:rsidR="009D724D">
        <w:t>μg</w:t>
      </w:r>
      <w:proofErr w:type="spellEnd"/>
      <w:r w:rsidR="009D724D">
        <w:t xml:space="preserve">/L, while </w:t>
      </w:r>
      <w:r w:rsidR="007907A1" w:rsidRPr="00117487">
        <w:rPr>
          <w:noProof/>
        </w:rPr>
        <w:t>Reichelt-</w:t>
      </w:r>
      <w:r w:rsidR="009D724D" w:rsidRPr="00117487">
        <w:rPr>
          <w:noProof/>
        </w:rPr>
        <w:t xml:space="preserve">Brushett </w:t>
      </w:r>
      <w:r w:rsidR="009D724D">
        <w:rPr>
          <w:noProof/>
        </w:rPr>
        <w:t>&amp;</w:t>
      </w:r>
      <w:r w:rsidR="009D724D" w:rsidRPr="00117487">
        <w:rPr>
          <w:noProof/>
        </w:rPr>
        <w:t xml:space="preserve"> Harrison</w:t>
      </w:r>
      <w:r w:rsidR="009D724D">
        <w:rPr>
          <w:noProof/>
        </w:rPr>
        <w:t xml:space="preserve"> (1999)</w:t>
      </w:r>
      <w:r w:rsidR="009D724D">
        <w:t xml:space="preserve"> reported</w:t>
      </w:r>
      <w:r>
        <w:t xml:space="preserve"> no effects on </w:t>
      </w:r>
      <w:proofErr w:type="spellStart"/>
      <w:r w:rsidR="009D724D" w:rsidRPr="009D724D">
        <w:rPr>
          <w:i/>
          <w:iCs/>
          <w:lang w:val="en-GB"/>
        </w:rPr>
        <w:t>Goniastrea</w:t>
      </w:r>
      <w:proofErr w:type="spellEnd"/>
      <w:r w:rsidR="009D724D" w:rsidRPr="009D724D">
        <w:rPr>
          <w:i/>
          <w:iCs/>
          <w:lang w:val="en-GB"/>
        </w:rPr>
        <w:t xml:space="preserve"> aspera</w:t>
      </w:r>
      <w:r w:rsidR="009D724D">
        <w:rPr>
          <w:lang w:val="en-GB"/>
        </w:rPr>
        <w:t xml:space="preserve"> </w:t>
      </w:r>
      <w:r>
        <w:t xml:space="preserve">fertilisation </w:t>
      </w:r>
      <w:r w:rsidR="009D724D">
        <w:t xml:space="preserve">at </w:t>
      </w:r>
      <w:r>
        <w:t xml:space="preserve">500 </w:t>
      </w:r>
      <w:proofErr w:type="spellStart"/>
      <w:r>
        <w:t>μg</w:t>
      </w:r>
      <w:proofErr w:type="spellEnd"/>
      <w:r>
        <w:t>/L</w:t>
      </w:r>
      <w:r w:rsidR="009D724D">
        <w:t xml:space="preserve">. However, none </w:t>
      </w:r>
      <w:r w:rsidR="00B03DAF">
        <w:t xml:space="preserve">of </w:t>
      </w:r>
      <w:r w:rsidR="009D724D">
        <w:t>the</w:t>
      </w:r>
      <w:r w:rsidR="00B03DAF">
        <w:t>se</w:t>
      </w:r>
      <w:r w:rsidR="009D724D">
        <w:t xml:space="preserve"> coral data were based on measured zinc concentrations. Given the limited data and apparently wide range of sensitivity, further research on the toxicity of zinc to corals </w:t>
      </w:r>
      <w:r w:rsidR="00B03DAF">
        <w:t>is required</w:t>
      </w:r>
      <w:r w:rsidR="009D724D">
        <w:t>.</w:t>
      </w:r>
    </w:p>
    <w:p w14:paraId="65ABC325" w14:textId="4D74457F" w:rsidR="00F27C85" w:rsidRPr="00E14202" w:rsidRDefault="00F27C85" w:rsidP="00F27C85">
      <w:pPr>
        <w:rPr>
          <w:highlight w:val="yellow"/>
        </w:rPr>
      </w:pPr>
      <w:r>
        <w:t>Some of the most sensitive</w:t>
      </w:r>
      <w:r w:rsidR="00053C14">
        <w:t xml:space="preserve"> marine</w:t>
      </w:r>
      <w:r>
        <w:t xml:space="preserve"> species </w:t>
      </w:r>
      <w:r w:rsidR="00053C14">
        <w:t xml:space="preserve">to zinc </w:t>
      </w:r>
      <w:r>
        <w:t xml:space="preserve">appear to be diatoms and green algae. For example, based on data reported by Fisher and </w:t>
      </w:r>
      <w:proofErr w:type="spellStart"/>
      <w:r>
        <w:t>Frood</w:t>
      </w:r>
      <w:proofErr w:type="spellEnd"/>
      <w:r>
        <w:t xml:space="preserve"> </w:t>
      </w:r>
      <w:r w:rsidR="007175CB">
        <w:t>(1980)</w:t>
      </w:r>
      <w:r>
        <w:t xml:space="preserve"> for two diatom species found in Australian coastal waters, </w:t>
      </w:r>
      <w:proofErr w:type="spellStart"/>
      <w:r>
        <w:t>Maycock</w:t>
      </w:r>
      <w:proofErr w:type="spellEnd"/>
      <w:r>
        <w:t xml:space="preserve"> et al. </w:t>
      </w:r>
      <w:r w:rsidR="007175CB">
        <w:t>(2012)</w:t>
      </w:r>
      <w:r>
        <w:t xml:space="preserve"> calculated EC10s of 1.4</w:t>
      </w:r>
      <w:r w:rsidR="007175CB">
        <w:t>–</w:t>
      </w:r>
      <w:r>
        <w:t>70</w:t>
      </w:r>
      <w:r w:rsidR="007175CB">
        <w:t> </w:t>
      </w:r>
      <w:proofErr w:type="spellStart"/>
      <w:r>
        <w:t>μg</w:t>
      </w:r>
      <w:proofErr w:type="spellEnd"/>
      <w:r>
        <w:t xml:space="preserve">/L for </w:t>
      </w:r>
      <w:proofErr w:type="spellStart"/>
      <w:r w:rsidRPr="00F27C85">
        <w:rPr>
          <w:rStyle w:val="Emphasis"/>
        </w:rPr>
        <w:t>Skeletonema</w:t>
      </w:r>
      <w:proofErr w:type="spellEnd"/>
      <w:r w:rsidRPr="00F27C85">
        <w:rPr>
          <w:rStyle w:val="Emphasis"/>
        </w:rPr>
        <w:t xml:space="preserve"> </w:t>
      </w:r>
      <w:proofErr w:type="spellStart"/>
      <w:r w:rsidRPr="00F27C85">
        <w:rPr>
          <w:rStyle w:val="Emphasis"/>
        </w:rPr>
        <w:t>costatum</w:t>
      </w:r>
      <w:proofErr w:type="spellEnd"/>
      <w:r>
        <w:t xml:space="preserve"> and 2</w:t>
      </w:r>
      <w:r w:rsidR="007175CB">
        <w:t>–</w:t>
      </w:r>
      <w:r>
        <w:t>47</w:t>
      </w:r>
      <w:r w:rsidR="007175CB">
        <w:t> </w:t>
      </w:r>
      <w:proofErr w:type="spellStart"/>
      <w:r>
        <w:t>μg</w:t>
      </w:r>
      <w:proofErr w:type="spellEnd"/>
      <w:r>
        <w:t xml:space="preserve">/L for </w:t>
      </w:r>
      <w:proofErr w:type="spellStart"/>
      <w:r w:rsidRPr="00F27C85">
        <w:rPr>
          <w:rStyle w:val="Emphasis"/>
        </w:rPr>
        <w:t>Asterionella</w:t>
      </w:r>
      <w:proofErr w:type="spellEnd"/>
      <w:r w:rsidRPr="00F27C85">
        <w:rPr>
          <w:rStyle w:val="Emphasis"/>
        </w:rPr>
        <w:t xml:space="preserve"> japonica</w:t>
      </w:r>
      <w:r>
        <w:t>.</w:t>
      </w:r>
      <w:r w:rsidR="00EC21F8">
        <w:t xml:space="preserve"> </w:t>
      </w:r>
      <w:r w:rsidR="00053C14">
        <w:t xml:space="preserve">The anemone </w:t>
      </w:r>
      <w:proofErr w:type="spellStart"/>
      <w:r w:rsidR="00053C14" w:rsidRPr="005261E6">
        <w:rPr>
          <w:rStyle w:val="Emphasis"/>
        </w:rPr>
        <w:t>Aiptasia</w:t>
      </w:r>
      <w:proofErr w:type="spellEnd"/>
      <w:r w:rsidR="00053C14" w:rsidRPr="005261E6">
        <w:rPr>
          <w:rStyle w:val="Emphasis"/>
        </w:rPr>
        <w:t xml:space="preserve"> </w:t>
      </w:r>
      <w:proofErr w:type="spellStart"/>
      <w:r w:rsidR="00053C14" w:rsidRPr="005261E6">
        <w:rPr>
          <w:rStyle w:val="Emphasis"/>
        </w:rPr>
        <w:t>pulchella</w:t>
      </w:r>
      <w:proofErr w:type="spellEnd"/>
      <w:r w:rsidR="00053C14">
        <w:t xml:space="preserve"> has </w:t>
      </w:r>
      <w:r w:rsidR="00E14202">
        <w:t>also been reported to be highly sensitive to zinc exposure, with a 28-d EC10 of 9</w:t>
      </w:r>
      <w:r w:rsidR="005261E6">
        <w:t> </w:t>
      </w:r>
      <w:proofErr w:type="spellStart"/>
      <w:r w:rsidR="00E14202">
        <w:t>μg</w:t>
      </w:r>
      <w:proofErr w:type="spellEnd"/>
      <w:r w:rsidR="00E14202">
        <w:t xml:space="preserve">/L for </w:t>
      </w:r>
      <w:r w:rsidR="00CE3EBE">
        <w:t xml:space="preserve">reproduction and development </w:t>
      </w:r>
      <w:r w:rsidR="00A860FE">
        <w:t>(Howe et al. 2014)</w:t>
      </w:r>
      <w:r w:rsidR="00053C14">
        <w:t>.</w:t>
      </w:r>
    </w:p>
    <w:p w14:paraId="22D8B396" w14:textId="0157188C" w:rsidR="00A47617" w:rsidRPr="00AE7845" w:rsidRDefault="00A47617" w:rsidP="00A47617">
      <w:pPr>
        <w:pStyle w:val="Heading2"/>
      </w:pPr>
      <w:bookmarkStart w:id="8" w:name="_Ref23163645"/>
      <w:bookmarkStart w:id="9" w:name="_Toc34814169"/>
      <w:r>
        <w:lastRenderedPageBreak/>
        <w:t>Factors affecting toxicity</w:t>
      </w:r>
      <w:bookmarkEnd w:id="8"/>
      <w:bookmarkEnd w:id="9"/>
    </w:p>
    <w:p w14:paraId="661456B3" w14:textId="4DAC903E" w:rsidR="00F27C85" w:rsidRDefault="00F27C85" w:rsidP="00A47617">
      <w:r w:rsidRPr="00F27C85">
        <w:t>The dissolved form of zinc, particular</w:t>
      </w:r>
      <w:r w:rsidR="00557A89">
        <w:t>ly</w:t>
      </w:r>
      <w:r w:rsidRPr="00F27C85">
        <w:t xml:space="preserve"> the free cation Zn</w:t>
      </w:r>
      <w:r w:rsidRPr="00F27C85">
        <w:rPr>
          <w:vertAlign w:val="superscript"/>
        </w:rPr>
        <w:t>2+</w:t>
      </w:r>
      <w:r w:rsidRPr="00F27C85">
        <w:t>, is the most toxic form of zinc</w:t>
      </w:r>
      <w:r w:rsidR="00557A89">
        <w:t xml:space="preserve"> (</w:t>
      </w:r>
      <w:proofErr w:type="spellStart"/>
      <w:r w:rsidR="00557A89">
        <w:t>Hogstrand</w:t>
      </w:r>
      <w:proofErr w:type="spellEnd"/>
      <w:r w:rsidR="00557A89">
        <w:t xml:space="preserve"> 2012)</w:t>
      </w:r>
      <w:r w:rsidRPr="00F27C85">
        <w:t xml:space="preserve">. Approximately 55% of total zinc is present in the dissolved form in saline water </w:t>
      </w:r>
      <w:r w:rsidR="00557A89">
        <w:t>(Stumm &amp; Morgan 1996)</w:t>
      </w:r>
      <w:r w:rsidRPr="00F27C85">
        <w:t xml:space="preserve"> and 45% is attached to suspended particles. Adsorption of zinc to suspended particles and consequent sedimentation of these particles is a major removal route for zinc in water </w:t>
      </w:r>
      <w:r w:rsidR="00557A89">
        <w:t>(Stumm &amp; Morgan 1996)</w:t>
      </w:r>
      <w:r w:rsidRPr="00F27C85">
        <w:t xml:space="preserve">. However, under chemically reducing conditions (e.g. in anoxic sediments), zinc can desorb from particles and dissociate from iron and manganese inorganic complexes and organic complexes. </w:t>
      </w:r>
      <w:r w:rsidR="00557A89">
        <w:t>Additionally</w:t>
      </w:r>
      <w:r w:rsidRPr="00F27C85">
        <w:t xml:space="preserve">, cations present at higher concentrations can exchange with zinc, </w:t>
      </w:r>
      <w:r w:rsidR="00557A89">
        <w:t>which</w:t>
      </w:r>
      <w:r w:rsidR="00557A89" w:rsidRPr="00F27C85">
        <w:t xml:space="preserve"> </w:t>
      </w:r>
      <w:r w:rsidRPr="00F27C85">
        <w:t xml:space="preserve">occurs in estuarine water with increasing salinity </w:t>
      </w:r>
      <w:r w:rsidR="00557A89">
        <w:t>(</w:t>
      </w:r>
      <w:proofErr w:type="spellStart"/>
      <w:r w:rsidR="00557A89">
        <w:t>Paalman</w:t>
      </w:r>
      <w:proofErr w:type="spellEnd"/>
      <w:r w:rsidR="00557A89">
        <w:t xml:space="preserve"> et al. 1994, </w:t>
      </w:r>
      <w:r w:rsidR="00CF6008">
        <w:t xml:space="preserve">Stumm &amp; Morgan 1996, </w:t>
      </w:r>
      <w:proofErr w:type="spellStart"/>
      <w:r w:rsidR="00557A89">
        <w:t>Hatje</w:t>
      </w:r>
      <w:proofErr w:type="spellEnd"/>
      <w:r w:rsidR="00557A89">
        <w:t xml:space="preserve"> et al. 2003)</w:t>
      </w:r>
      <w:r w:rsidRPr="00F27C85">
        <w:t xml:space="preserve">. This can lead to higher zinc concentrations in the mid-salinity zone of tidal creeks and estuaries compared to low-salinity and high-salinity zones </w:t>
      </w:r>
      <w:r w:rsidR="00A76AF9">
        <w:t>(Ellwood et al. 2008)</w:t>
      </w:r>
      <w:r w:rsidRPr="00F27C85">
        <w:t>.</w:t>
      </w:r>
    </w:p>
    <w:p w14:paraId="354F00F9" w14:textId="28F3CDAC" w:rsidR="00F27C85" w:rsidRDefault="00F27C85" w:rsidP="00A47617">
      <w:r w:rsidRPr="00F27C85">
        <w:t>The zinc free cation (Zn</w:t>
      </w:r>
      <w:r w:rsidRPr="00F27C85">
        <w:rPr>
          <w:vertAlign w:val="superscript"/>
        </w:rPr>
        <w:t>2+</w:t>
      </w:r>
      <w:r w:rsidRPr="00F27C85">
        <w:t>) concentration is approximately 80% of the dissolved concentration at the typical salinity, temperature and pH of seawater (35</w:t>
      </w:r>
      <w:r w:rsidR="00A76AF9">
        <w:t> </w:t>
      </w:r>
      <w:r w:rsidRPr="00F27C85">
        <w:t xml:space="preserve">ppt, </w:t>
      </w:r>
      <w:r w:rsidR="00A76AF9" w:rsidRPr="00F27C85">
        <w:t xml:space="preserve">temperature 25°C </w:t>
      </w:r>
      <w:r w:rsidR="00A76AF9">
        <w:t xml:space="preserve">and </w:t>
      </w:r>
      <w:r w:rsidRPr="00F27C85">
        <w:t>pH</w:t>
      </w:r>
      <w:r w:rsidR="00A76AF9">
        <w:t> </w:t>
      </w:r>
      <w:r w:rsidRPr="00F27C85">
        <w:t xml:space="preserve">8.1) </w:t>
      </w:r>
      <w:r w:rsidR="00B10E61">
        <w:t>(</w:t>
      </w:r>
      <w:proofErr w:type="spellStart"/>
      <w:r w:rsidR="00B10E61">
        <w:t>Millero</w:t>
      </w:r>
      <w:proofErr w:type="spellEnd"/>
      <w:r w:rsidR="00B10E61">
        <w:t xml:space="preserve"> et al. </w:t>
      </w:r>
      <w:r w:rsidR="00A76AF9">
        <w:t>2009)</w:t>
      </w:r>
      <w:r w:rsidRPr="00F27C85">
        <w:t>. This proportion</w:t>
      </w:r>
      <w:r w:rsidR="00A76AF9">
        <w:t xml:space="preserve"> of </w:t>
      </w:r>
      <w:r w:rsidR="00A76AF9" w:rsidRPr="00F27C85">
        <w:t>Zn</w:t>
      </w:r>
      <w:r w:rsidR="00A76AF9" w:rsidRPr="00F27C85">
        <w:rPr>
          <w:vertAlign w:val="superscript"/>
        </w:rPr>
        <w:t>2+</w:t>
      </w:r>
      <w:r w:rsidRPr="00F27C85">
        <w:t xml:space="preserve"> increases with decreasing pH to </w:t>
      </w:r>
      <w:r w:rsidR="00A76AF9">
        <w:t>approximately</w:t>
      </w:r>
      <w:r w:rsidR="00A76AF9" w:rsidRPr="00F27C85">
        <w:t xml:space="preserve"> </w:t>
      </w:r>
      <w:r w:rsidRPr="00F27C85">
        <w:t>95% at pH</w:t>
      </w:r>
      <w:r w:rsidR="00A76AF9">
        <w:t> </w:t>
      </w:r>
      <w:r w:rsidRPr="00F27C85">
        <w:t xml:space="preserve">7.4 as hydroxide and carbonate complexes become insignificant </w:t>
      </w:r>
      <w:r w:rsidR="00A76AF9">
        <w:t>(</w:t>
      </w:r>
      <w:proofErr w:type="spellStart"/>
      <w:r w:rsidR="00A76AF9">
        <w:t>Millero</w:t>
      </w:r>
      <w:proofErr w:type="spellEnd"/>
      <w:r w:rsidR="00A76AF9">
        <w:t xml:space="preserve"> et al. 2009)</w:t>
      </w:r>
      <w:r w:rsidRPr="00F27C85">
        <w:t>. Increases in salinity result in lower concentrations of Zn</w:t>
      </w:r>
      <w:r w:rsidRPr="00FE415B">
        <w:rPr>
          <w:vertAlign w:val="superscript"/>
        </w:rPr>
        <w:t>2+</w:t>
      </w:r>
      <w:r w:rsidRPr="00F27C85">
        <w:t xml:space="preserve"> due to complexation with chloride </w:t>
      </w:r>
      <w:r w:rsidR="00A76AF9">
        <w:t>(Stumm &amp; Morgan 1996)</w:t>
      </w:r>
      <w:r w:rsidRPr="00F27C85">
        <w:t>. These changes in zinc speciation with differing pH and salinity affect the toxicity to aquatic organisms. Typically</w:t>
      </w:r>
      <w:r w:rsidR="00A76AF9">
        <w:t>,</w:t>
      </w:r>
      <w:r w:rsidRPr="00F27C85">
        <w:t xml:space="preserve"> LC50 values increase</w:t>
      </w:r>
      <w:r w:rsidR="00B47A40">
        <w:t xml:space="preserve"> (i.e. toxicity decreases)</w:t>
      </w:r>
      <w:r w:rsidRPr="00F27C85">
        <w:t xml:space="preserve"> as salinity increases </w:t>
      </w:r>
      <w:r w:rsidR="00A76AF9">
        <w:t>(Bryant et al. 1985, USEPA 1987, Niyogi et al. 2016)</w:t>
      </w:r>
      <w:r w:rsidRPr="00F27C85">
        <w:t>. For example, mortality rates of sand prawn (</w:t>
      </w:r>
      <w:proofErr w:type="spellStart"/>
      <w:r w:rsidRPr="00FE415B">
        <w:rPr>
          <w:rStyle w:val="Emphasis"/>
        </w:rPr>
        <w:t>Callianassa</w:t>
      </w:r>
      <w:proofErr w:type="spellEnd"/>
      <w:r w:rsidRPr="00FE415B">
        <w:rPr>
          <w:rStyle w:val="Emphasis"/>
        </w:rPr>
        <w:t xml:space="preserve"> </w:t>
      </w:r>
      <w:proofErr w:type="spellStart"/>
      <w:r w:rsidRPr="00FE415B">
        <w:rPr>
          <w:rStyle w:val="Emphasis"/>
        </w:rPr>
        <w:t>kraussi</w:t>
      </w:r>
      <w:proofErr w:type="spellEnd"/>
      <w:r w:rsidRPr="00F27C85">
        <w:t>) larvae and eggs decreased as salinity increased from 20</w:t>
      </w:r>
      <w:r w:rsidR="00A76AF9">
        <w:t> </w:t>
      </w:r>
      <w:r w:rsidR="00A76AF9" w:rsidRPr="00F27C85">
        <w:t>ppt</w:t>
      </w:r>
      <w:r w:rsidRPr="00F27C85">
        <w:t xml:space="preserve"> to 24</w:t>
      </w:r>
      <w:r w:rsidR="00A76AF9">
        <w:t> </w:t>
      </w:r>
      <w:r w:rsidR="00A76AF9" w:rsidRPr="00F27C85">
        <w:t>ppt</w:t>
      </w:r>
      <w:r w:rsidRPr="00F27C85">
        <w:t>, 30</w:t>
      </w:r>
      <w:r w:rsidR="00A76AF9">
        <w:t> </w:t>
      </w:r>
      <w:r w:rsidR="00A76AF9" w:rsidRPr="00F27C85">
        <w:t>ppt</w:t>
      </w:r>
      <w:r w:rsidRPr="00F27C85">
        <w:t xml:space="preserve"> and 35</w:t>
      </w:r>
      <w:r w:rsidR="00A76AF9">
        <w:t> </w:t>
      </w:r>
      <w:r w:rsidRPr="00F27C85">
        <w:t>ppt, at a range of total zinc concentrations from 25</w:t>
      </w:r>
      <w:r w:rsidR="00A76AF9">
        <w:t> </w:t>
      </w:r>
      <w:proofErr w:type="spellStart"/>
      <w:r w:rsidR="00A76AF9" w:rsidRPr="00F27C85">
        <w:t>μg</w:t>
      </w:r>
      <w:proofErr w:type="spellEnd"/>
      <w:r w:rsidR="00A76AF9" w:rsidRPr="00F27C85">
        <w:t>/L</w:t>
      </w:r>
      <w:r w:rsidRPr="00F27C85">
        <w:t xml:space="preserve"> to 500</w:t>
      </w:r>
      <w:r w:rsidR="00A76AF9">
        <w:t> </w:t>
      </w:r>
      <w:proofErr w:type="spellStart"/>
      <w:r w:rsidRPr="00F27C85">
        <w:t>μg</w:t>
      </w:r>
      <w:proofErr w:type="spellEnd"/>
      <w:r w:rsidRPr="00F27C85">
        <w:t xml:space="preserve">/L </w:t>
      </w:r>
      <w:r w:rsidR="00A76AF9">
        <w:t>(Jackson et al. 2005)</w:t>
      </w:r>
      <w:r w:rsidRPr="00F27C85">
        <w:t>. However, this trend is not consistent between species</w:t>
      </w:r>
      <w:r w:rsidR="00A76AF9">
        <w:t>,</w:t>
      </w:r>
      <w:r w:rsidRPr="00F27C85">
        <w:t xml:space="preserve"> with the reverse observed </w:t>
      </w:r>
      <w:r w:rsidR="00CE3EBE">
        <w:t>for</w:t>
      </w:r>
      <w:r w:rsidRPr="00F27C85">
        <w:t xml:space="preserve"> some blue</w:t>
      </w:r>
      <w:r w:rsidR="00A76AF9">
        <w:t>–</w:t>
      </w:r>
      <w:r w:rsidRPr="00F27C85">
        <w:t xml:space="preserve">green algae </w:t>
      </w:r>
      <w:r w:rsidR="00A76AF9">
        <w:t>(Wilson &amp; Freeburg 1980)</w:t>
      </w:r>
      <w:r w:rsidRPr="00F27C85">
        <w:t xml:space="preserve"> and an inconsistent pattern with salinity </w:t>
      </w:r>
      <w:r w:rsidR="00A76AF9">
        <w:t xml:space="preserve">observed </w:t>
      </w:r>
      <w:r w:rsidRPr="00F27C85">
        <w:t xml:space="preserve">for rotifers </w:t>
      </w:r>
      <w:r w:rsidR="00A76AF9">
        <w:t>(Saunders 2012)</w:t>
      </w:r>
      <w:r w:rsidRPr="00F27C85">
        <w:t>.</w:t>
      </w:r>
    </w:p>
    <w:p w14:paraId="53F99B6F" w14:textId="5C52A8F0" w:rsidR="00FE415B" w:rsidRDefault="00FE415B" w:rsidP="00FE415B">
      <w:r>
        <w:t xml:space="preserve">The toxicity of zinc in marine water is also, but to a lesser extent, influenced by temperature, with increasing toxicity </w:t>
      </w:r>
      <w:r w:rsidR="002B270F">
        <w:t xml:space="preserve">observed </w:t>
      </w:r>
      <w:r>
        <w:t xml:space="preserve">at increasing temperature </w:t>
      </w:r>
      <w:r w:rsidR="002B270F">
        <w:t>(USEPA 1987, 1996)</w:t>
      </w:r>
      <w:r>
        <w:t>. This was shown in acute studies using an amphipod (</w:t>
      </w:r>
      <w:proofErr w:type="spellStart"/>
      <w:r w:rsidRPr="00FE415B">
        <w:rPr>
          <w:rStyle w:val="Emphasis"/>
        </w:rPr>
        <w:t>Corophium</w:t>
      </w:r>
      <w:proofErr w:type="spellEnd"/>
      <w:r w:rsidRPr="00FE415B">
        <w:rPr>
          <w:rStyle w:val="Emphasis"/>
        </w:rPr>
        <w:t xml:space="preserve"> </w:t>
      </w:r>
      <w:proofErr w:type="spellStart"/>
      <w:r w:rsidRPr="00FE415B">
        <w:rPr>
          <w:rStyle w:val="Emphasis"/>
        </w:rPr>
        <w:t>volutator</w:t>
      </w:r>
      <w:proofErr w:type="spellEnd"/>
      <w:r>
        <w:t>) and a mollusc (</w:t>
      </w:r>
      <w:proofErr w:type="spellStart"/>
      <w:r w:rsidRPr="00FE415B">
        <w:rPr>
          <w:rStyle w:val="Emphasis"/>
        </w:rPr>
        <w:t>Macoma</w:t>
      </w:r>
      <w:proofErr w:type="spellEnd"/>
      <w:r w:rsidRPr="00FE415B">
        <w:rPr>
          <w:rStyle w:val="Emphasis"/>
        </w:rPr>
        <w:t xml:space="preserve"> </w:t>
      </w:r>
      <w:proofErr w:type="spellStart"/>
      <w:r w:rsidRPr="00FE415B">
        <w:rPr>
          <w:rStyle w:val="Emphasis"/>
        </w:rPr>
        <w:t>balthica</w:t>
      </w:r>
      <w:proofErr w:type="spellEnd"/>
      <w:r>
        <w:t>)</w:t>
      </w:r>
      <w:r w:rsidR="00FD2590">
        <w:t>;</w:t>
      </w:r>
      <w:r>
        <w:t xml:space="preserve"> however, the effect </w:t>
      </w:r>
      <w:r w:rsidR="00FD2590">
        <w:t xml:space="preserve">was </w:t>
      </w:r>
      <w:r>
        <w:t xml:space="preserve">minor as LT50 values generally decreased by a factor of </w:t>
      </w:r>
      <w:r w:rsidR="00FD2590">
        <w:t>&lt;</w:t>
      </w:r>
      <w:r>
        <w:t>2 for an increase in temperature from 5</w:t>
      </w:r>
      <w:r w:rsidR="00FD2590">
        <w:t>°C</w:t>
      </w:r>
      <w:r>
        <w:t xml:space="preserve"> to 15°C </w:t>
      </w:r>
      <w:r w:rsidR="00FD2590">
        <w:t>(Bryant et al. 1985)</w:t>
      </w:r>
      <w:r>
        <w:t>.</w:t>
      </w:r>
    </w:p>
    <w:p w14:paraId="32E5122C" w14:textId="493450B8" w:rsidR="00F27C85" w:rsidRDefault="00FE415B" w:rsidP="00FE415B">
      <w:r>
        <w:t xml:space="preserve">Organic complexes (such as with </w:t>
      </w:r>
      <w:proofErr w:type="spellStart"/>
      <w:r>
        <w:t>humic</w:t>
      </w:r>
      <w:proofErr w:type="spellEnd"/>
      <w:r>
        <w:t xml:space="preserve"> acids) are less important in saline water, as much of the ligand is bound to calcium and magnesium </w:t>
      </w:r>
      <w:r w:rsidR="00FD2590">
        <w:t>(Stumm &amp; Morgan 1996)</w:t>
      </w:r>
      <w:r>
        <w:t>. However</w:t>
      </w:r>
      <w:r w:rsidR="00FD2590">
        <w:t>,</w:t>
      </w:r>
      <w:r>
        <w:t xml:space="preserve"> </w:t>
      </w:r>
      <w:r w:rsidR="00B47A40">
        <w:t xml:space="preserve">a small </w:t>
      </w:r>
      <w:r>
        <w:t>protective effect of DOC ha</w:t>
      </w:r>
      <w:r w:rsidR="00B47A40">
        <w:t>s</w:t>
      </w:r>
      <w:r>
        <w:t xml:space="preserve"> been reported for the rotifer (</w:t>
      </w:r>
      <w:proofErr w:type="spellStart"/>
      <w:r w:rsidRPr="00FE415B">
        <w:rPr>
          <w:rStyle w:val="Emphasis"/>
        </w:rPr>
        <w:t>Brachionus</w:t>
      </w:r>
      <w:proofErr w:type="spellEnd"/>
      <w:r w:rsidRPr="00FE415B">
        <w:rPr>
          <w:rStyle w:val="Emphasis"/>
        </w:rPr>
        <w:t xml:space="preserve"> </w:t>
      </w:r>
      <w:proofErr w:type="spellStart"/>
      <w:r w:rsidRPr="00FE415B">
        <w:rPr>
          <w:rStyle w:val="Emphasis"/>
        </w:rPr>
        <w:t>plicatilis</w:t>
      </w:r>
      <w:proofErr w:type="spellEnd"/>
      <w:r>
        <w:t>) in 48-h zinc exposures, with a</w:t>
      </w:r>
      <w:r w:rsidR="00FD2590">
        <w:t>n</w:t>
      </w:r>
      <w:r>
        <w:t xml:space="preserve"> LC50 value </w:t>
      </w:r>
      <w:r w:rsidR="00FD2590">
        <w:t xml:space="preserve">of approximately </w:t>
      </w:r>
      <w:r>
        <w:t>6</w:t>
      </w:r>
      <w:r w:rsidR="00FD2590">
        <w:t> </w:t>
      </w:r>
      <w:r>
        <w:t>000</w:t>
      </w:r>
      <w:r w:rsidR="00FD2590">
        <w:t> </w:t>
      </w:r>
      <w:proofErr w:type="spellStart"/>
      <w:r>
        <w:t>μg</w:t>
      </w:r>
      <w:proofErr w:type="spellEnd"/>
      <w:r>
        <w:t>/L at DOC of 5</w:t>
      </w:r>
      <w:r w:rsidR="00FD2590">
        <w:t> mg/L</w:t>
      </w:r>
      <w:r>
        <w:t xml:space="preserve"> or 10</w:t>
      </w:r>
      <w:r w:rsidR="00EE099C">
        <w:t> </w:t>
      </w:r>
      <w:r>
        <w:t xml:space="preserve">mg/L, compared to </w:t>
      </w:r>
      <w:r w:rsidR="00B47A40">
        <w:t xml:space="preserve">approximately </w:t>
      </w:r>
      <w:r>
        <w:t>4</w:t>
      </w:r>
      <w:r w:rsidR="00FD2590">
        <w:t> </w:t>
      </w:r>
      <w:r>
        <w:t>500</w:t>
      </w:r>
      <w:r w:rsidR="00FD2590">
        <w:t> </w:t>
      </w:r>
      <w:proofErr w:type="spellStart"/>
      <w:r>
        <w:t>μg</w:t>
      </w:r>
      <w:proofErr w:type="spellEnd"/>
      <w:r>
        <w:t>/L at DOC of 1.4</w:t>
      </w:r>
      <w:r w:rsidR="00FD2590">
        <w:t> </w:t>
      </w:r>
      <w:r>
        <w:t>mg/L</w:t>
      </w:r>
      <w:r w:rsidR="00B47A40">
        <w:t xml:space="preserve"> (Saunders 2012)</w:t>
      </w:r>
      <w:r>
        <w:t>.</w:t>
      </w:r>
    </w:p>
    <w:p w14:paraId="496E4DB8" w14:textId="51F6D880" w:rsidR="00BF0280" w:rsidRDefault="00A47617" w:rsidP="00A47617">
      <w:pPr>
        <w:pStyle w:val="Heading2"/>
      </w:pPr>
      <w:bookmarkStart w:id="10" w:name="_Ref23163450"/>
      <w:bookmarkStart w:id="11" w:name="_Toc34814170"/>
      <w:r>
        <w:t>Default guideline value derivation</w:t>
      </w:r>
      <w:bookmarkEnd w:id="10"/>
      <w:bookmarkEnd w:id="11"/>
    </w:p>
    <w:p w14:paraId="59D60AE6" w14:textId="44E0F623" w:rsidR="00A47617" w:rsidRDefault="00586A86" w:rsidP="00A47617">
      <w:pPr>
        <w:rPr>
          <w:bCs/>
        </w:rPr>
      </w:pPr>
      <w:sdt>
        <w:sdtPr>
          <w:rPr>
            <w:bCs/>
          </w:rPr>
          <w:alias w:val="Compulsary - text and location locked to 4."/>
          <w:tag w:val="Compulsary - text and location locked"/>
          <w:id w:val="1416975399"/>
          <w:placeholder>
            <w:docPart w:val="B20CCC024575420DB346A2897E1BFAA1"/>
          </w:placeholder>
          <w:text/>
        </w:sdtPr>
        <w:sdtEndPr/>
        <w:sdtContent>
          <w:r w:rsidR="008D26E2" w:rsidRPr="0064344A">
            <w:rPr>
              <w:bCs/>
            </w:rPr>
            <w:t>The DGVs were derived in accordance with the method described in Warne et al. (2018) and using Burrlioz 2.0 software.</w:t>
          </w:r>
        </w:sdtContent>
      </w:sdt>
    </w:p>
    <w:p w14:paraId="399E5144" w14:textId="0938491F" w:rsidR="00AF1EC2" w:rsidRPr="00C366D0" w:rsidRDefault="00AF1EC2" w:rsidP="00AF1EC2">
      <w:pPr>
        <w:pStyle w:val="Heading3"/>
      </w:pPr>
      <w:bookmarkStart w:id="12" w:name="_Toc23920387"/>
      <w:bookmarkStart w:id="13" w:name="_Toc23923749"/>
      <w:bookmarkStart w:id="14" w:name="_Toc34814171"/>
      <w:bookmarkEnd w:id="12"/>
      <w:bookmarkEnd w:id="13"/>
      <w:r w:rsidRPr="00AF1EC2">
        <w:lastRenderedPageBreak/>
        <w:t>Toxicity data used in derivation</w:t>
      </w:r>
      <w:bookmarkEnd w:id="14"/>
    </w:p>
    <w:p w14:paraId="3C5D7D75" w14:textId="32CEED21" w:rsidR="008D26E2" w:rsidRDefault="008D26E2" w:rsidP="008D26E2">
      <w:pPr>
        <w:pStyle w:val="Heading4"/>
      </w:pPr>
      <w:r>
        <w:t>Collation of toxicity data</w:t>
      </w:r>
    </w:p>
    <w:p w14:paraId="009E52C9" w14:textId="6F35E861" w:rsidR="00C366D0" w:rsidRDefault="00C366D0" w:rsidP="00C366D0">
      <w:pPr>
        <w:rPr>
          <w:bCs/>
        </w:rPr>
      </w:pPr>
      <w:r w:rsidRPr="00C366D0">
        <w:rPr>
          <w:bCs/>
        </w:rPr>
        <w:t xml:space="preserve">Toxicity data were collated from downloads of the ECOTOX database </w:t>
      </w:r>
      <w:r w:rsidR="00342069">
        <w:rPr>
          <w:bCs/>
        </w:rPr>
        <w:t>(USEPA 2016)</w:t>
      </w:r>
      <w:r w:rsidRPr="00C366D0">
        <w:rPr>
          <w:bCs/>
        </w:rPr>
        <w:t xml:space="preserve">, the ANZECC/ARMCANZ (2000) water quality guidelines and compilations of Australasian toxicity data </w:t>
      </w:r>
      <w:r w:rsidR="00342069">
        <w:rPr>
          <w:bCs/>
        </w:rPr>
        <w:t>(Markich et al. 2002,</w:t>
      </w:r>
      <w:r w:rsidR="00AD75E7">
        <w:rPr>
          <w:bCs/>
        </w:rPr>
        <w:t xml:space="preserve"> </w:t>
      </w:r>
      <w:r w:rsidR="00342069">
        <w:rPr>
          <w:bCs/>
        </w:rPr>
        <w:t>Langdon et al. 2009)</w:t>
      </w:r>
      <w:r w:rsidRPr="00C366D0">
        <w:rPr>
          <w:bCs/>
        </w:rPr>
        <w:t>. These were supplemented by searches using the journal abstracting service Web of Science for studies published during 2015-2016 and not included in the ECOTOX database, and internet searches for Australian and New Zealand toxicity data contained within grey literature, theses or unpublished reports.</w:t>
      </w:r>
    </w:p>
    <w:p w14:paraId="1C5E6CDA" w14:textId="1AC3C81D" w:rsidR="00342069" w:rsidRDefault="00C366D0" w:rsidP="00C366D0">
      <w:pPr>
        <w:rPr>
          <w:bCs/>
        </w:rPr>
      </w:pPr>
      <w:r w:rsidRPr="00C366D0">
        <w:rPr>
          <w:bCs/>
        </w:rPr>
        <w:t xml:space="preserve">The toxicity dataset was restricted to studies conducted over a chronic period (following details in Warne et al. </w:t>
      </w:r>
      <w:r w:rsidR="00342069">
        <w:rPr>
          <w:bCs/>
        </w:rPr>
        <w:t>(2018)</w:t>
      </w:r>
      <w:r w:rsidRPr="00C366D0">
        <w:rPr>
          <w:bCs/>
        </w:rPr>
        <w:t>). Data were only included for studies that measured the zinc concentrations either in the test solutions or in the stock solutions used to produce those</w:t>
      </w:r>
      <w:r w:rsidR="00342069">
        <w:rPr>
          <w:bCs/>
        </w:rPr>
        <w:t>,</w:t>
      </w:r>
      <w:r w:rsidRPr="00C366D0">
        <w:rPr>
          <w:bCs/>
        </w:rPr>
        <w:t xml:space="preserve"> </w:t>
      </w:r>
      <w:r w:rsidR="00342069">
        <w:rPr>
          <w:bCs/>
        </w:rPr>
        <w:t xml:space="preserve">and that </w:t>
      </w:r>
      <w:r w:rsidRPr="00C366D0">
        <w:rPr>
          <w:bCs/>
        </w:rPr>
        <w:t>provided a clear concentration</w:t>
      </w:r>
      <w:r w:rsidR="00342069">
        <w:rPr>
          <w:bCs/>
        </w:rPr>
        <w:t>–</w:t>
      </w:r>
      <w:r w:rsidRPr="00C366D0">
        <w:rPr>
          <w:bCs/>
        </w:rPr>
        <w:t xml:space="preserve">response relationship. Although some studies reported concentrations as total zinc, all zinc in the test solutions was assumed to be dissolved, as the forms of zinc used in toxicity tests are readily soluble salts (provided the concentration used is below the solubility limit in saline water) and, in typical toxicity test media, there are few particulate phases </w:t>
      </w:r>
      <w:r w:rsidR="00B03DAF">
        <w:rPr>
          <w:bCs/>
        </w:rPr>
        <w:t>to which</w:t>
      </w:r>
      <w:r w:rsidR="00B03DAF" w:rsidRPr="00C366D0">
        <w:rPr>
          <w:bCs/>
        </w:rPr>
        <w:t xml:space="preserve"> </w:t>
      </w:r>
      <w:r w:rsidRPr="00C366D0">
        <w:rPr>
          <w:bCs/>
        </w:rPr>
        <w:t xml:space="preserve">zinc would </w:t>
      </w:r>
      <w:r w:rsidR="00E179F9" w:rsidRPr="00C366D0">
        <w:rPr>
          <w:bCs/>
        </w:rPr>
        <w:t>a</w:t>
      </w:r>
      <w:r w:rsidR="00E179F9">
        <w:rPr>
          <w:bCs/>
        </w:rPr>
        <w:t>d</w:t>
      </w:r>
      <w:r w:rsidR="00E179F9" w:rsidRPr="00C366D0">
        <w:rPr>
          <w:bCs/>
        </w:rPr>
        <w:t>sorb</w:t>
      </w:r>
      <w:r w:rsidRPr="00C366D0">
        <w:rPr>
          <w:bCs/>
        </w:rPr>
        <w:t xml:space="preserve">. Therefore, the DGVs are derived as dissolved zinc concentrations. </w:t>
      </w:r>
    </w:p>
    <w:p w14:paraId="5997BC8B" w14:textId="1359467A" w:rsidR="00C366D0" w:rsidRPr="00C366D0" w:rsidRDefault="00C366D0" w:rsidP="00C366D0">
      <w:pPr>
        <w:rPr>
          <w:bCs/>
        </w:rPr>
      </w:pPr>
      <w:r w:rsidRPr="00C366D0">
        <w:rPr>
          <w:bCs/>
        </w:rPr>
        <w:t>Data were restricted to tests with salinity 25–36</w:t>
      </w:r>
      <w:r w:rsidR="00BB4C46">
        <w:rPr>
          <w:bCs/>
        </w:rPr>
        <w:t> </w:t>
      </w:r>
      <w:r w:rsidRPr="00C366D0">
        <w:rPr>
          <w:bCs/>
        </w:rPr>
        <w:t>ppt based on the gu</w:t>
      </w:r>
      <w:r w:rsidR="00A860FE">
        <w:rPr>
          <w:bCs/>
        </w:rPr>
        <w:t>idance provided by Warne et al. </w:t>
      </w:r>
      <w:r w:rsidR="00BB4C46">
        <w:rPr>
          <w:bCs/>
        </w:rPr>
        <w:t>(2018)</w:t>
      </w:r>
      <w:r w:rsidRPr="00C366D0">
        <w:rPr>
          <w:bCs/>
        </w:rPr>
        <w:t>, although studies where the salinity at times exceeded 36</w:t>
      </w:r>
      <w:r w:rsidR="00BB4C46">
        <w:rPr>
          <w:bCs/>
        </w:rPr>
        <w:t> </w:t>
      </w:r>
      <w:r w:rsidRPr="00C366D0">
        <w:rPr>
          <w:bCs/>
        </w:rPr>
        <w:t>ppt were included where the mid-point of the range was approximately 35</w:t>
      </w:r>
      <w:r w:rsidR="00BB4C46">
        <w:rPr>
          <w:bCs/>
        </w:rPr>
        <w:t> </w:t>
      </w:r>
      <w:r w:rsidRPr="00C366D0">
        <w:rPr>
          <w:bCs/>
        </w:rPr>
        <w:t xml:space="preserve">ppt. Antarctic species and any other testing conducted at &lt;1°C were not included in the derivation. Because there is some suggestion that DOC may affect the toxicity of zinc (see </w:t>
      </w:r>
      <w:r w:rsidR="00BB4C46">
        <w:rPr>
          <w:bCs/>
        </w:rPr>
        <w:t>Section </w:t>
      </w:r>
      <w:r w:rsidR="00F95975">
        <w:rPr>
          <w:bCs/>
        </w:rPr>
        <w:fldChar w:fldCharType="begin"/>
      </w:r>
      <w:r w:rsidR="00F95975">
        <w:rPr>
          <w:bCs/>
        </w:rPr>
        <w:instrText xml:space="preserve"> REF _Ref23163645 \r \h </w:instrText>
      </w:r>
      <w:r w:rsidR="00F95975">
        <w:rPr>
          <w:bCs/>
        </w:rPr>
      </w:r>
      <w:r w:rsidR="00F95975">
        <w:rPr>
          <w:bCs/>
        </w:rPr>
        <w:fldChar w:fldCharType="separate"/>
      </w:r>
      <w:r w:rsidR="00A860FE">
        <w:rPr>
          <w:bCs/>
        </w:rPr>
        <w:t>3</w:t>
      </w:r>
      <w:r w:rsidR="00F95975">
        <w:rPr>
          <w:bCs/>
        </w:rPr>
        <w:fldChar w:fldCharType="end"/>
      </w:r>
      <w:r w:rsidRPr="00C366D0">
        <w:rPr>
          <w:bCs/>
        </w:rPr>
        <w:t>), the data were restricted to studies with DOC &lt;2</w:t>
      </w:r>
      <w:r w:rsidR="00BB4C46">
        <w:rPr>
          <w:bCs/>
        </w:rPr>
        <w:t> </w:t>
      </w:r>
      <w:r w:rsidRPr="00C366D0">
        <w:rPr>
          <w:bCs/>
        </w:rPr>
        <w:t xml:space="preserve">mg/L. If a study did not report DOC, it was assumed to have low DOC </w:t>
      </w:r>
      <w:r w:rsidR="00BB4C46">
        <w:rPr>
          <w:bCs/>
        </w:rPr>
        <w:t>(which</w:t>
      </w:r>
      <w:r w:rsidRPr="00C366D0">
        <w:rPr>
          <w:bCs/>
        </w:rPr>
        <w:t xml:space="preserve"> would be found in typical test water</w:t>
      </w:r>
      <w:r w:rsidR="00BB4C46">
        <w:rPr>
          <w:bCs/>
        </w:rPr>
        <w:t>),</w:t>
      </w:r>
      <w:r w:rsidRPr="00C366D0">
        <w:rPr>
          <w:bCs/>
        </w:rPr>
        <w:t xml:space="preserve"> and the study was included in the derivation.</w:t>
      </w:r>
    </w:p>
    <w:p w14:paraId="2D2911F0" w14:textId="4244464A" w:rsidR="00C366D0" w:rsidRPr="00C366D0" w:rsidRDefault="00C366D0" w:rsidP="00C366D0">
      <w:pPr>
        <w:rPr>
          <w:bCs/>
        </w:rPr>
      </w:pPr>
      <w:r w:rsidRPr="00C366D0">
        <w:rPr>
          <w:bCs/>
        </w:rPr>
        <w:t>The</w:t>
      </w:r>
      <w:r w:rsidR="00D01A7E">
        <w:rPr>
          <w:bCs/>
        </w:rPr>
        <w:t xml:space="preserve"> </w:t>
      </w:r>
      <w:r w:rsidR="00E56097">
        <w:rPr>
          <w:bCs/>
        </w:rPr>
        <w:t>data restrictions</w:t>
      </w:r>
      <w:r w:rsidRPr="00C366D0">
        <w:rPr>
          <w:bCs/>
        </w:rPr>
        <w:t xml:space="preserve"> resulted in chronic toxicity data for several Australasian species not being included in </w:t>
      </w:r>
      <w:r w:rsidR="00D01A7E" w:rsidRPr="00C366D0">
        <w:rPr>
          <w:bCs/>
        </w:rPr>
        <w:t>th</w:t>
      </w:r>
      <w:r w:rsidR="00D01A7E">
        <w:rPr>
          <w:bCs/>
        </w:rPr>
        <w:t>e current</w:t>
      </w:r>
      <w:r w:rsidR="00D01A7E" w:rsidRPr="00C366D0">
        <w:rPr>
          <w:bCs/>
        </w:rPr>
        <w:t xml:space="preserve"> </w:t>
      </w:r>
      <w:r w:rsidRPr="00C366D0">
        <w:rPr>
          <w:bCs/>
        </w:rPr>
        <w:t xml:space="preserve">derivation (see </w:t>
      </w:r>
      <w:r w:rsidR="00555697">
        <w:rPr>
          <w:bCs/>
        </w:rPr>
        <w:t>Appendix C</w:t>
      </w:r>
      <w:r w:rsidRPr="00C366D0">
        <w:rPr>
          <w:bCs/>
        </w:rPr>
        <w:t xml:space="preserve">), predominantly due to lack of measurement of zinc in the test media or stock solutions. </w:t>
      </w:r>
      <w:r w:rsidR="00B03DAF">
        <w:rPr>
          <w:bCs/>
        </w:rPr>
        <w:t>The measurement of zinc in test solutions is especially important because zinc is commonly found in many products and o</w:t>
      </w:r>
      <w:r w:rsidR="005D66FB">
        <w:rPr>
          <w:bCs/>
        </w:rPr>
        <w:t>n</w:t>
      </w:r>
      <w:r w:rsidR="00B03DAF">
        <w:rPr>
          <w:bCs/>
        </w:rPr>
        <w:t xml:space="preserve"> surfaces in general, and can easily contamina</w:t>
      </w:r>
      <w:r w:rsidR="005D66FB">
        <w:rPr>
          <w:bCs/>
        </w:rPr>
        <w:t>te</w:t>
      </w:r>
      <w:r w:rsidR="00B03DAF">
        <w:rPr>
          <w:bCs/>
        </w:rPr>
        <w:t xml:space="preserve"> test solutions such that measured concentrations may be higher than nominal concentrations. </w:t>
      </w:r>
      <w:r w:rsidRPr="00C366D0">
        <w:rPr>
          <w:bCs/>
        </w:rPr>
        <w:t xml:space="preserve">Some of these data were included in the derivation of a predicted no effect concentration (PNEC) for zinc in the United Kingdom </w:t>
      </w:r>
      <w:r w:rsidR="00BB4C46">
        <w:rPr>
          <w:bCs/>
        </w:rPr>
        <w:t>(</w:t>
      </w:r>
      <w:proofErr w:type="spellStart"/>
      <w:r w:rsidR="00BB4C46">
        <w:rPr>
          <w:bCs/>
        </w:rPr>
        <w:t>Maycock</w:t>
      </w:r>
      <w:proofErr w:type="spellEnd"/>
      <w:r w:rsidR="00BB4C46">
        <w:rPr>
          <w:bCs/>
        </w:rPr>
        <w:t xml:space="preserve"> et al. 2012)</w:t>
      </w:r>
      <w:r w:rsidRPr="00C366D0">
        <w:rPr>
          <w:bCs/>
        </w:rPr>
        <w:t xml:space="preserve">, as the protocol for this allows </w:t>
      </w:r>
      <w:r w:rsidR="00B8095A">
        <w:rPr>
          <w:bCs/>
        </w:rPr>
        <w:t xml:space="preserve">the </w:t>
      </w:r>
      <w:r w:rsidRPr="00C366D0">
        <w:rPr>
          <w:bCs/>
        </w:rPr>
        <w:t xml:space="preserve">use of nominal concentration data </w:t>
      </w:r>
      <w:r w:rsidR="00B8095A">
        <w:rPr>
          <w:bCs/>
        </w:rPr>
        <w:t>(</w:t>
      </w:r>
      <w:proofErr w:type="spellStart"/>
      <w:r w:rsidR="00B8095A">
        <w:rPr>
          <w:bCs/>
        </w:rPr>
        <w:t>Maycock</w:t>
      </w:r>
      <w:proofErr w:type="spellEnd"/>
      <w:r w:rsidR="00B8095A">
        <w:rPr>
          <w:bCs/>
        </w:rPr>
        <w:t xml:space="preserve"> et al. 2012)</w:t>
      </w:r>
      <w:r w:rsidRPr="00C366D0">
        <w:rPr>
          <w:bCs/>
        </w:rPr>
        <w:t>. The most sensitive of the Australasian species were</w:t>
      </w:r>
      <w:r w:rsidR="00B8095A">
        <w:rPr>
          <w:bCs/>
        </w:rPr>
        <w:t>:</w:t>
      </w:r>
      <w:r w:rsidRPr="00C366D0">
        <w:rPr>
          <w:bCs/>
        </w:rPr>
        <w:t xml:space="preserve"> </w:t>
      </w:r>
      <w:r w:rsidR="007B5F33">
        <w:rPr>
          <w:bCs/>
        </w:rPr>
        <w:t xml:space="preserve">the coral, </w:t>
      </w:r>
      <w:r w:rsidR="007B5F33" w:rsidRPr="007B5F33">
        <w:rPr>
          <w:bCs/>
          <w:i/>
          <w:iCs/>
        </w:rPr>
        <w:t>A. tenuis</w:t>
      </w:r>
      <w:r w:rsidR="007B5F33">
        <w:rPr>
          <w:bCs/>
        </w:rPr>
        <w:t xml:space="preserve">, with a LOEC of 10 </w:t>
      </w:r>
      <w:r w:rsidR="007B5F33" w:rsidRPr="00C366D0">
        <w:rPr>
          <w:bCs/>
        </w:rPr>
        <w:t>µg/L</w:t>
      </w:r>
      <w:r w:rsidR="007B5F33">
        <w:rPr>
          <w:bCs/>
        </w:rPr>
        <w:t xml:space="preserve"> based on fertilisation after 5.5 h (</w:t>
      </w:r>
      <w:r w:rsidR="007B5F33" w:rsidRPr="00117487">
        <w:rPr>
          <w:noProof/>
        </w:rPr>
        <w:t xml:space="preserve">Reichelt-Brushett </w:t>
      </w:r>
      <w:r w:rsidR="007B5F33">
        <w:rPr>
          <w:noProof/>
        </w:rPr>
        <w:t>&amp;</w:t>
      </w:r>
      <w:r w:rsidR="007B5F33" w:rsidRPr="00117487">
        <w:rPr>
          <w:noProof/>
        </w:rPr>
        <w:t xml:space="preserve"> Harrison </w:t>
      </w:r>
      <w:r w:rsidR="007B5F33">
        <w:rPr>
          <w:noProof/>
        </w:rPr>
        <w:t>20</w:t>
      </w:r>
      <w:r w:rsidR="007B5F33" w:rsidRPr="00117487">
        <w:rPr>
          <w:noProof/>
        </w:rPr>
        <w:t>05</w:t>
      </w:r>
      <w:r w:rsidR="007B5F33">
        <w:rPr>
          <w:noProof/>
        </w:rPr>
        <w:t>)</w:t>
      </w:r>
      <w:r w:rsidR="007B5F33">
        <w:rPr>
          <w:bCs/>
        </w:rPr>
        <w:t xml:space="preserve">; </w:t>
      </w:r>
      <w:r w:rsidRPr="00C366D0">
        <w:rPr>
          <w:bCs/>
        </w:rPr>
        <w:t xml:space="preserve">the Australian endemic purple sea urchin, </w:t>
      </w:r>
      <w:proofErr w:type="spellStart"/>
      <w:r w:rsidRPr="00C366D0">
        <w:rPr>
          <w:rStyle w:val="Emphasis"/>
        </w:rPr>
        <w:t>Heliocidaris</w:t>
      </w:r>
      <w:proofErr w:type="spellEnd"/>
      <w:r w:rsidRPr="00C366D0">
        <w:rPr>
          <w:rStyle w:val="Emphasis"/>
        </w:rPr>
        <w:t xml:space="preserve"> </w:t>
      </w:r>
      <w:proofErr w:type="spellStart"/>
      <w:r w:rsidRPr="00C366D0">
        <w:rPr>
          <w:rStyle w:val="Emphasis"/>
        </w:rPr>
        <w:t>erythrogramma</w:t>
      </w:r>
      <w:proofErr w:type="spellEnd"/>
      <w:r w:rsidRPr="00C366D0">
        <w:rPr>
          <w:bCs/>
        </w:rPr>
        <w:t>, with a NOEC of 13</w:t>
      </w:r>
      <w:r w:rsidR="00B8095A">
        <w:rPr>
          <w:bCs/>
        </w:rPr>
        <w:t> </w:t>
      </w:r>
      <w:r w:rsidRPr="00C366D0">
        <w:rPr>
          <w:bCs/>
        </w:rPr>
        <w:t xml:space="preserve">µg/L based on larval development over 6 days </w:t>
      </w:r>
      <w:r w:rsidR="00B8095A">
        <w:rPr>
          <w:bCs/>
        </w:rPr>
        <w:t>(King 1999)</w:t>
      </w:r>
      <w:r w:rsidRPr="00C366D0">
        <w:rPr>
          <w:bCs/>
        </w:rPr>
        <w:t xml:space="preserve">; the Australian </w:t>
      </w:r>
      <w:proofErr w:type="spellStart"/>
      <w:r w:rsidRPr="00C366D0">
        <w:rPr>
          <w:bCs/>
        </w:rPr>
        <w:t>blacklip</w:t>
      </w:r>
      <w:proofErr w:type="spellEnd"/>
      <w:r w:rsidRPr="00C366D0">
        <w:rPr>
          <w:bCs/>
        </w:rPr>
        <w:t xml:space="preserve"> abalone, </w:t>
      </w:r>
      <w:proofErr w:type="spellStart"/>
      <w:r w:rsidRPr="00C366D0">
        <w:rPr>
          <w:rStyle w:val="Emphasis"/>
        </w:rPr>
        <w:t>Haliotis</w:t>
      </w:r>
      <w:proofErr w:type="spellEnd"/>
      <w:r w:rsidRPr="00C366D0">
        <w:rPr>
          <w:rStyle w:val="Emphasis"/>
        </w:rPr>
        <w:t xml:space="preserve"> rubra</w:t>
      </w:r>
      <w:r w:rsidRPr="00C366D0">
        <w:rPr>
          <w:bCs/>
        </w:rPr>
        <w:t>, with an EC10 of 20</w:t>
      </w:r>
      <w:r w:rsidR="00B8095A">
        <w:rPr>
          <w:bCs/>
        </w:rPr>
        <w:t> </w:t>
      </w:r>
      <w:r w:rsidRPr="00C366D0">
        <w:rPr>
          <w:bCs/>
        </w:rPr>
        <w:t xml:space="preserve">µg/L based on embryonic development over 2 days </w:t>
      </w:r>
      <w:r w:rsidR="00B8095A">
        <w:rPr>
          <w:bCs/>
        </w:rPr>
        <w:t>(Gorski &amp; Nugegoda 2006)</w:t>
      </w:r>
      <w:r w:rsidR="00AD75E7">
        <w:rPr>
          <w:bCs/>
        </w:rPr>
        <w:t>;</w:t>
      </w:r>
      <w:r w:rsidRPr="00C366D0">
        <w:rPr>
          <w:bCs/>
        </w:rPr>
        <w:t xml:space="preserve"> and the microalga, </w:t>
      </w:r>
      <w:proofErr w:type="spellStart"/>
      <w:r w:rsidRPr="00C366D0">
        <w:rPr>
          <w:rStyle w:val="Emphasis"/>
        </w:rPr>
        <w:t>Chaetoceros</w:t>
      </w:r>
      <w:proofErr w:type="spellEnd"/>
      <w:r w:rsidRPr="00C366D0">
        <w:rPr>
          <w:bCs/>
        </w:rPr>
        <w:t xml:space="preserve"> </w:t>
      </w:r>
      <w:proofErr w:type="spellStart"/>
      <w:r w:rsidRPr="00C366D0">
        <w:rPr>
          <w:rStyle w:val="Emphasis"/>
        </w:rPr>
        <w:t>compressum</w:t>
      </w:r>
      <w:proofErr w:type="spellEnd"/>
      <w:r w:rsidRPr="00C366D0">
        <w:rPr>
          <w:bCs/>
        </w:rPr>
        <w:t>, with an EC19 of 20</w:t>
      </w:r>
      <w:r w:rsidR="00AD75E7">
        <w:rPr>
          <w:bCs/>
        </w:rPr>
        <w:t> </w:t>
      </w:r>
      <w:r w:rsidRPr="00C366D0">
        <w:rPr>
          <w:bCs/>
        </w:rPr>
        <w:t xml:space="preserve">µg/L based on population growth rate over 3 days </w:t>
      </w:r>
      <w:r w:rsidR="00AD75E7">
        <w:rPr>
          <w:bCs/>
        </w:rPr>
        <w:t xml:space="preserve">(Fisher &amp; </w:t>
      </w:r>
      <w:proofErr w:type="spellStart"/>
      <w:r w:rsidR="00AD75E7">
        <w:rPr>
          <w:bCs/>
        </w:rPr>
        <w:t>Frood</w:t>
      </w:r>
      <w:proofErr w:type="spellEnd"/>
      <w:r w:rsidR="00AD75E7">
        <w:rPr>
          <w:bCs/>
        </w:rPr>
        <w:t xml:space="preserve"> 1984)</w:t>
      </w:r>
      <w:r w:rsidRPr="00C366D0">
        <w:rPr>
          <w:bCs/>
        </w:rPr>
        <w:t>. Based on the dissolved zinc SSD, all of these species are protected by the DGVs for ≥</w:t>
      </w:r>
      <w:r w:rsidR="007B5F33" w:rsidRPr="00C366D0">
        <w:rPr>
          <w:bCs/>
        </w:rPr>
        <w:t>9</w:t>
      </w:r>
      <w:r w:rsidR="007B5F33">
        <w:rPr>
          <w:bCs/>
        </w:rPr>
        <w:t>5</w:t>
      </w:r>
      <w:r w:rsidRPr="00C366D0">
        <w:rPr>
          <w:bCs/>
        </w:rPr>
        <w:t>% species protection</w:t>
      </w:r>
      <w:r w:rsidR="007B5F33">
        <w:rPr>
          <w:bCs/>
        </w:rPr>
        <w:t xml:space="preserve">, although further assessment of the effect of zinc on </w:t>
      </w:r>
      <w:r w:rsidR="007B5F33" w:rsidRPr="007B5F33">
        <w:rPr>
          <w:bCs/>
          <w:i/>
          <w:iCs/>
        </w:rPr>
        <w:t>A. tenuis</w:t>
      </w:r>
      <w:r w:rsidR="00543BC2">
        <w:rPr>
          <w:bCs/>
        </w:rPr>
        <w:t xml:space="preserve"> or related coral species</w:t>
      </w:r>
      <w:r w:rsidR="007B5F33">
        <w:rPr>
          <w:bCs/>
        </w:rPr>
        <w:t xml:space="preserve"> would enable more definitive knowledge of the sensitivity of this species and whether the DGVs are sufficiently protective</w:t>
      </w:r>
      <w:r w:rsidRPr="00C366D0">
        <w:rPr>
          <w:bCs/>
        </w:rPr>
        <w:t>.</w:t>
      </w:r>
    </w:p>
    <w:p w14:paraId="0729C20E" w14:textId="294CE4EF" w:rsidR="00C366D0" w:rsidRDefault="00C366D0" w:rsidP="00C366D0">
      <w:pPr>
        <w:rPr>
          <w:bCs/>
        </w:rPr>
      </w:pPr>
      <w:r w:rsidRPr="00C366D0">
        <w:rPr>
          <w:bCs/>
        </w:rPr>
        <w:lastRenderedPageBreak/>
        <w:t xml:space="preserve">All toxicity data were quality assessed to ensure </w:t>
      </w:r>
      <w:r w:rsidR="00AD75E7">
        <w:rPr>
          <w:bCs/>
        </w:rPr>
        <w:t>their</w:t>
      </w:r>
      <w:r w:rsidR="00AD75E7" w:rsidRPr="00C366D0">
        <w:rPr>
          <w:bCs/>
        </w:rPr>
        <w:t xml:space="preserve"> </w:t>
      </w:r>
      <w:r w:rsidRPr="00C366D0">
        <w:rPr>
          <w:bCs/>
        </w:rPr>
        <w:t xml:space="preserve">suitability for inclusion </w:t>
      </w:r>
      <w:r w:rsidR="00AD75E7">
        <w:rPr>
          <w:bCs/>
        </w:rPr>
        <w:t>(Warne et al. 2018),</w:t>
      </w:r>
      <w:r w:rsidRPr="00C366D0">
        <w:rPr>
          <w:bCs/>
        </w:rPr>
        <w:t xml:space="preserve"> with the exception of data that had already been quality assessed for the ANZECC</w:t>
      </w:r>
      <w:r w:rsidR="00AD75E7">
        <w:rPr>
          <w:bCs/>
        </w:rPr>
        <w:t>/ARMCANZ</w:t>
      </w:r>
      <w:r w:rsidRPr="00C366D0">
        <w:rPr>
          <w:bCs/>
        </w:rPr>
        <w:t xml:space="preserve"> (2000) guidelines or in the Australasian Ecotoxicology Database</w:t>
      </w:r>
      <w:r w:rsidR="00AD75E7">
        <w:rPr>
          <w:bCs/>
        </w:rPr>
        <w:t xml:space="preserve"> (Markich et al. 2002, Langdon et al. 2009)</w:t>
      </w:r>
      <w:r w:rsidRPr="00C366D0">
        <w:rPr>
          <w:bCs/>
        </w:rPr>
        <w:t>.</w:t>
      </w:r>
    </w:p>
    <w:p w14:paraId="7A55E2C7" w14:textId="03EC78F2" w:rsidR="008D26E2" w:rsidRPr="008D26E2" w:rsidRDefault="008D26E2" w:rsidP="008D26E2">
      <w:pPr>
        <w:pStyle w:val="Heading4"/>
      </w:pPr>
      <w:r>
        <w:rPr>
          <w:rStyle w:val="Strong"/>
          <w:b/>
          <w:bCs/>
        </w:rPr>
        <w:t>Use of the toxicity data</w:t>
      </w:r>
    </w:p>
    <w:p w14:paraId="0FCE1EBC" w14:textId="5FD89F04" w:rsidR="00C366D0" w:rsidRDefault="00C366D0" w:rsidP="00C366D0">
      <w:pPr>
        <w:spacing w:before="240"/>
      </w:pPr>
      <w:r>
        <w:t>There were sufficient</w:t>
      </w:r>
      <w:r w:rsidR="00874714">
        <w:t xml:space="preserve"> ‘no or low effect’ data (i.e. four</w:t>
      </w:r>
      <w:r>
        <w:t xml:space="preserve"> EC/</w:t>
      </w:r>
      <w:r w:rsidR="00CF6008">
        <w:t>IC/</w:t>
      </w:r>
      <w:r>
        <w:t xml:space="preserve">LC10 </w:t>
      </w:r>
      <w:r w:rsidR="00874714">
        <w:t xml:space="preserve">values, one </w:t>
      </w:r>
      <w:r>
        <w:t xml:space="preserve">EC20 </w:t>
      </w:r>
      <w:r w:rsidR="00874714">
        <w:t>value and seven</w:t>
      </w:r>
      <w:r>
        <w:t xml:space="preserve"> NOEC </w:t>
      </w:r>
      <w:r w:rsidR="00874714">
        <w:t>values</w:t>
      </w:r>
      <w:r>
        <w:t>) for eight species from six taxonomic groups</w:t>
      </w:r>
      <w:r w:rsidR="00E179F9">
        <w:t xml:space="preserve"> (see Appendix B)</w:t>
      </w:r>
      <w:r>
        <w:t xml:space="preserve"> to enable the derivation of a DGV using the species sensitivity distribution (SSD) method. However, the fit of the SSD model to the data was judged to be poor (see </w:t>
      </w:r>
      <w:r w:rsidR="00555697">
        <w:rPr>
          <w:bCs/>
        </w:rPr>
        <w:t>Appendix D</w:t>
      </w:r>
      <w:r>
        <w:t xml:space="preserve">). Therefore, the </w:t>
      </w:r>
      <w:r w:rsidR="00DD3E01">
        <w:t xml:space="preserve">12 </w:t>
      </w:r>
      <w:r>
        <w:t>chronic EC10</w:t>
      </w:r>
      <w:r w:rsidR="00E179F9">
        <w:t>/EC20</w:t>
      </w:r>
      <w:r>
        <w:t xml:space="preserve">/NOEC </w:t>
      </w:r>
      <w:r w:rsidR="00DD3E01">
        <w:t xml:space="preserve">values for eight species </w:t>
      </w:r>
      <w:r>
        <w:t xml:space="preserve">were supplemented with </w:t>
      </w:r>
      <w:r w:rsidR="00DD3E01">
        <w:t xml:space="preserve">eight </w:t>
      </w:r>
      <w:r w:rsidR="00874714">
        <w:t xml:space="preserve">(acceptable quality) </w:t>
      </w:r>
      <w:r>
        <w:t xml:space="preserve">chronic </w:t>
      </w:r>
      <w:r w:rsidR="00DD3E01">
        <w:t>EC/LC50 values</w:t>
      </w:r>
      <w:r>
        <w:t xml:space="preserve"> </w:t>
      </w:r>
      <w:r w:rsidR="00DD3E01">
        <w:t xml:space="preserve">(converted to negligible effect concentration equivalents) </w:t>
      </w:r>
      <w:r>
        <w:t xml:space="preserve">for </w:t>
      </w:r>
      <w:r w:rsidR="00DD3E01">
        <w:t xml:space="preserve">eight </w:t>
      </w:r>
      <w:r>
        <w:t>Australian and New Zealand species.</w:t>
      </w:r>
    </w:p>
    <w:p w14:paraId="717DD5E1" w14:textId="6F21FB98" w:rsidR="00C366D0" w:rsidRDefault="00C366D0" w:rsidP="00C366D0">
      <w:pPr>
        <w:spacing w:before="240"/>
      </w:pPr>
      <w:r>
        <w:t xml:space="preserve">The resulting </w:t>
      </w:r>
      <w:r w:rsidR="00E64C4F">
        <w:t xml:space="preserve">20 </w:t>
      </w:r>
      <w:r>
        <w:t xml:space="preserve">toxicity </w:t>
      </w:r>
      <w:r w:rsidR="00E64C4F">
        <w:t xml:space="preserve">values </w:t>
      </w:r>
      <w:r>
        <w:t>(</w:t>
      </w:r>
      <w:r w:rsidR="00E179F9">
        <w:t xml:space="preserve">see </w:t>
      </w:r>
      <w:r w:rsidR="00555697">
        <w:rPr>
          <w:bCs/>
        </w:rPr>
        <w:t>Appendix B</w:t>
      </w:r>
      <w:r>
        <w:t xml:space="preserve">) were consolidated to </w:t>
      </w:r>
      <w:r w:rsidR="00E64C4F">
        <w:t xml:space="preserve">16 </w:t>
      </w:r>
      <w:r>
        <w:t>single species values (</w:t>
      </w:r>
      <w:r w:rsidR="00B63BA8">
        <w:fldChar w:fldCharType="begin"/>
      </w:r>
      <w:r w:rsidR="00B63BA8">
        <w:instrText xml:space="preserve"> REF _Ref23163739 \h </w:instrText>
      </w:r>
      <w:r w:rsidR="00B63BA8">
        <w:fldChar w:fldCharType="separate"/>
      </w:r>
      <w:r w:rsidR="00A860FE">
        <w:t>Table </w:t>
      </w:r>
      <w:r w:rsidR="00A860FE">
        <w:rPr>
          <w:noProof/>
        </w:rPr>
        <w:t>1</w:t>
      </w:r>
      <w:r w:rsidR="00B63BA8">
        <w:fldChar w:fldCharType="end"/>
      </w:r>
      <w:r>
        <w:t xml:space="preserve">) for use in the SSD by either calculating geometric means or selecting the </w:t>
      </w:r>
      <w:r w:rsidR="00874714">
        <w:t xml:space="preserve">toxicity value for the </w:t>
      </w:r>
      <w:r>
        <w:t>most sensitive endpoint, life</w:t>
      </w:r>
      <w:r w:rsidR="00267B0C">
        <w:t xml:space="preserve"> </w:t>
      </w:r>
      <w:r>
        <w:t xml:space="preserve">stage and toxicity test duration for each species based on Warne et al. </w:t>
      </w:r>
      <w:r w:rsidR="00267B0C">
        <w:t>(2018)</w:t>
      </w:r>
      <w:r>
        <w:t xml:space="preserve">. </w:t>
      </w:r>
      <w:r w:rsidR="00177B4B">
        <w:t xml:space="preserve">Details of the </w:t>
      </w:r>
      <w:hyperlink r:id="rId24" w:history="1">
        <w:r w:rsidR="00177B4B" w:rsidRPr="00ED45E3">
          <w:rPr>
            <w:rStyle w:val="Hyperlink"/>
          </w:rPr>
          <w:t>data quality assessment</w:t>
        </w:r>
      </w:hyperlink>
      <w:r w:rsidR="00177B4B">
        <w:t xml:space="preserve"> and the </w:t>
      </w:r>
      <w:hyperlink r:id="rId25" w:history="1">
        <w:r w:rsidR="00177B4B" w:rsidRPr="00ED45E3">
          <w:rPr>
            <w:rStyle w:val="Hyperlink"/>
          </w:rPr>
          <w:t>data that passed the quality assessment</w:t>
        </w:r>
      </w:hyperlink>
      <w:r w:rsidR="00177B4B">
        <w:t xml:space="preserve"> are provided as supporting information.</w:t>
      </w:r>
    </w:p>
    <w:p w14:paraId="66D5521A" w14:textId="4F106B82" w:rsidR="00747FAD" w:rsidRDefault="00C366D0" w:rsidP="000B58E7">
      <w:pPr>
        <w:spacing w:before="240"/>
      </w:pPr>
      <w:r>
        <w:t xml:space="preserve">The </w:t>
      </w:r>
      <w:r w:rsidR="0014654E">
        <w:t xml:space="preserve">16 </w:t>
      </w:r>
      <w:r>
        <w:t xml:space="preserve">species </w:t>
      </w:r>
      <w:r w:rsidR="0024544F">
        <w:t xml:space="preserve">represented </w:t>
      </w:r>
      <w:r>
        <w:t xml:space="preserve">in the </w:t>
      </w:r>
      <w:r w:rsidR="0024544F">
        <w:t>dataset</w:t>
      </w:r>
      <w:r>
        <w:t xml:space="preserve"> (</w:t>
      </w:r>
      <w:r w:rsidR="00B63BA8">
        <w:fldChar w:fldCharType="begin"/>
      </w:r>
      <w:r w:rsidR="00B63BA8">
        <w:instrText xml:space="preserve"> REF _Ref23163739 \h </w:instrText>
      </w:r>
      <w:r w:rsidR="00B63BA8">
        <w:fldChar w:fldCharType="separate"/>
      </w:r>
      <w:r w:rsidR="00A860FE">
        <w:t>Table </w:t>
      </w:r>
      <w:r w:rsidR="00A860FE">
        <w:rPr>
          <w:noProof/>
        </w:rPr>
        <w:t>1</w:t>
      </w:r>
      <w:r w:rsidR="00B63BA8">
        <w:fldChar w:fldCharType="end"/>
      </w:r>
      <w:r>
        <w:t xml:space="preserve">) were from </w:t>
      </w:r>
      <w:r w:rsidR="008A3E6F">
        <w:t>seven</w:t>
      </w:r>
      <w:r>
        <w:t xml:space="preserve"> taxonomic groups: green algae (</w:t>
      </w:r>
      <w:r w:rsidR="008A3E6F">
        <w:t>two</w:t>
      </w:r>
      <w:r>
        <w:t xml:space="preserve"> species), brown algae, diatoms (</w:t>
      </w:r>
      <w:r w:rsidR="008A3E6F">
        <w:t>two</w:t>
      </w:r>
      <w:r>
        <w:t xml:space="preserve"> species), cnidarians, annelids, molluscs (</w:t>
      </w:r>
      <w:r w:rsidR="008A3E6F">
        <w:t>seven</w:t>
      </w:r>
      <w:r>
        <w:t xml:space="preserve"> species) and crustaceans (</w:t>
      </w:r>
      <w:r w:rsidR="008A3E6F">
        <w:t>two</w:t>
      </w:r>
      <w:r>
        <w:t xml:space="preserve"> species). There were no data for fish in the </w:t>
      </w:r>
      <w:r w:rsidR="009F749A">
        <w:t xml:space="preserve">dataset </w:t>
      </w:r>
      <w:r>
        <w:t>as the only suitable chronic data</w:t>
      </w:r>
      <w:r w:rsidR="0024544F">
        <w:t xml:space="preserve">, </w:t>
      </w:r>
      <w:r>
        <w:t xml:space="preserve">for the Atlantic herring, </w:t>
      </w:r>
      <w:r w:rsidRPr="00C366D0">
        <w:rPr>
          <w:rStyle w:val="Emphasis"/>
        </w:rPr>
        <w:t>C</w:t>
      </w:r>
      <w:r w:rsidR="0024544F">
        <w:rPr>
          <w:rStyle w:val="Emphasis"/>
        </w:rPr>
        <w:t>.</w:t>
      </w:r>
      <w:r w:rsidRPr="00C366D0">
        <w:rPr>
          <w:rStyle w:val="Emphasis"/>
        </w:rPr>
        <w:t xml:space="preserve"> </w:t>
      </w:r>
      <w:proofErr w:type="spellStart"/>
      <w:r w:rsidRPr="00C366D0">
        <w:rPr>
          <w:rStyle w:val="Emphasis"/>
        </w:rPr>
        <w:t>harengus</w:t>
      </w:r>
      <w:proofErr w:type="spellEnd"/>
      <w:r w:rsidR="0024544F">
        <w:t>,</w:t>
      </w:r>
      <w:r>
        <w:t xml:space="preserve"> did not include measurement of zinc in the test medi</w:t>
      </w:r>
      <w:r w:rsidR="0024544F">
        <w:t>um</w:t>
      </w:r>
      <w:r>
        <w:t xml:space="preserve"> or stock solutions. </w:t>
      </w:r>
      <w:r w:rsidR="00874714">
        <w:t xml:space="preserve">Warne et al. (2018) do not </w:t>
      </w:r>
      <w:r w:rsidR="000B58E7">
        <w:t xml:space="preserve">require that fish </w:t>
      </w:r>
      <w:r w:rsidR="0024544F">
        <w:t xml:space="preserve">must </w:t>
      </w:r>
      <w:r w:rsidR="000B58E7">
        <w:t xml:space="preserve">be one of the four or more taxonomic groups represented in a dataset to be able to derive guideline values using the SSD approach. </w:t>
      </w:r>
      <w:r w:rsidR="009F749A">
        <w:t>There were also no data for corals in the dataset as none of the published coral toxicity data were based on measured zinc concentrations.</w:t>
      </w:r>
    </w:p>
    <w:p w14:paraId="038312CD" w14:textId="7E7CE44F" w:rsidR="00C366D0" w:rsidRDefault="00C366D0" w:rsidP="000B58E7">
      <w:pPr>
        <w:spacing w:before="240"/>
      </w:pPr>
      <w:r>
        <w:t>The relatively even spread of taxa groups across the SSD confirmed the absence of a bi</w:t>
      </w:r>
      <w:r w:rsidR="008A3E6F">
        <w:t>modal</w:t>
      </w:r>
      <w:r w:rsidR="00A53FF5">
        <w:t xml:space="preserve"> or multi</w:t>
      </w:r>
      <w:r>
        <w:t>modal toxicity relationship.</w:t>
      </w:r>
      <w:r w:rsidR="00DE495C">
        <w:t xml:space="preserve"> This is supported by the fact that there are various mechanisms of zinc toxicity to aquatic organisms, some of which are common to numerous taxa (</w:t>
      </w:r>
      <w:r w:rsidR="004168E3">
        <w:t>see Section </w:t>
      </w:r>
      <w:r w:rsidR="004168E3">
        <w:fldChar w:fldCharType="begin"/>
      </w:r>
      <w:r w:rsidR="004168E3">
        <w:instrText xml:space="preserve"> REF _Ref31968878 \r \h </w:instrText>
      </w:r>
      <w:r w:rsidR="004168E3">
        <w:fldChar w:fldCharType="separate"/>
      </w:r>
      <w:r w:rsidR="00A860FE">
        <w:t>2.1</w:t>
      </w:r>
      <w:r w:rsidR="004168E3">
        <w:fldChar w:fldCharType="end"/>
      </w:r>
      <w:r w:rsidR="00DE495C">
        <w:t>).</w:t>
      </w:r>
    </w:p>
    <w:p w14:paraId="5674F1E7" w14:textId="42E73390" w:rsidR="00C366D0" w:rsidRDefault="00C366D0" w:rsidP="00C366D0">
      <w:pPr>
        <w:spacing w:before="240"/>
      </w:pPr>
      <w:r>
        <w:t xml:space="preserve">The ANZECC/ARMCANZ (2000) </w:t>
      </w:r>
      <w:r w:rsidR="008A3E6F">
        <w:t xml:space="preserve">DGVs </w:t>
      </w:r>
      <w:r>
        <w:t xml:space="preserve">for zinc in marine water were based on </w:t>
      </w:r>
      <w:r w:rsidR="00C84826">
        <w:t xml:space="preserve">24 </w:t>
      </w:r>
      <w:r>
        <w:t xml:space="preserve">species, </w:t>
      </w:r>
      <w:r w:rsidR="00C84826">
        <w:t>seven</w:t>
      </w:r>
      <w:r>
        <w:t xml:space="preserve"> more than the current derivation. The decrease in species </w:t>
      </w:r>
      <w:r w:rsidR="0024544F">
        <w:t>used for the current derivation</w:t>
      </w:r>
      <w:r>
        <w:t xml:space="preserve"> is due to: the new classifications for chronic toxicity tests, which require longer test durations than in the 2000 derivation (e.g. adult fish tests now require ≥21-d </w:t>
      </w:r>
      <w:r w:rsidR="00AB4F34">
        <w:t>(Warne et al. 2018)</w:t>
      </w:r>
      <w:r>
        <w:t xml:space="preserve"> compared to ≥7-d </w:t>
      </w:r>
      <w:r w:rsidR="00AB4F34">
        <w:t>(ANZECC/ARMCANZ 2000)</w:t>
      </w:r>
      <w:r>
        <w:t xml:space="preserve">); the preference for using EC10/NOEC data rather than data converted from EC50s; and the preference for using data </w:t>
      </w:r>
      <w:r w:rsidR="000B58E7">
        <w:t xml:space="preserve">published after </w:t>
      </w:r>
      <w:r>
        <w:t>1980.</w:t>
      </w:r>
    </w:p>
    <w:p w14:paraId="5F7103EE" w14:textId="39DAEBAC" w:rsidR="00C366D0" w:rsidRDefault="00C366D0" w:rsidP="00C366D0">
      <w:pPr>
        <w:spacing w:before="240"/>
      </w:pPr>
      <w:r>
        <w:t xml:space="preserve">The toxicity values in the </w:t>
      </w:r>
      <w:r w:rsidR="0024544F">
        <w:t>dataset</w:t>
      </w:r>
      <w:r>
        <w:t xml:space="preserve"> range 200-fold from lowest to highest. The lowest value was</w:t>
      </w:r>
      <w:r w:rsidR="00E64C4F">
        <w:t xml:space="preserve"> a NOEC of</w:t>
      </w:r>
      <w:r>
        <w:t xml:space="preserve"> </w:t>
      </w:r>
      <w:r w:rsidR="00E64C4F">
        <w:t>5 </w:t>
      </w:r>
      <w:proofErr w:type="spellStart"/>
      <w:r>
        <w:t>μg</w:t>
      </w:r>
      <w:proofErr w:type="spellEnd"/>
      <w:r>
        <w:t xml:space="preserve">/L for the </w:t>
      </w:r>
      <w:r w:rsidR="00E64C4F">
        <w:t>doughboy</w:t>
      </w:r>
      <w:r w:rsidR="00E64C4F" w:rsidDel="00E64C4F">
        <w:t xml:space="preserve"> </w:t>
      </w:r>
      <w:r w:rsidR="00E64C4F">
        <w:t xml:space="preserve">scallop </w:t>
      </w:r>
      <w:proofErr w:type="spellStart"/>
      <w:r w:rsidR="00E64C4F" w:rsidRPr="00C366D0">
        <w:rPr>
          <w:rStyle w:val="Emphasis"/>
        </w:rPr>
        <w:t>Mimachlamys</w:t>
      </w:r>
      <w:proofErr w:type="spellEnd"/>
      <w:r w:rsidR="00E64C4F" w:rsidRPr="00C366D0">
        <w:rPr>
          <w:rStyle w:val="Emphasis"/>
        </w:rPr>
        <w:t xml:space="preserve"> </w:t>
      </w:r>
      <w:proofErr w:type="spellStart"/>
      <w:r w:rsidR="00E64C4F" w:rsidRPr="00C366D0">
        <w:rPr>
          <w:rStyle w:val="Emphasis"/>
        </w:rPr>
        <w:t>asperrim</w:t>
      </w:r>
      <w:r w:rsidR="00E64C4F">
        <w:rPr>
          <w:rStyle w:val="Emphasis"/>
        </w:rPr>
        <w:t>a</w:t>
      </w:r>
      <w:proofErr w:type="spellEnd"/>
      <w:r>
        <w:t xml:space="preserve"> based on a </w:t>
      </w:r>
      <w:r w:rsidR="00E64C4F">
        <w:t xml:space="preserve">48-h larval development </w:t>
      </w:r>
      <w:r>
        <w:t xml:space="preserve">test </w:t>
      </w:r>
      <w:r w:rsidR="004344CC">
        <w:t>(</w:t>
      </w:r>
      <w:proofErr w:type="spellStart"/>
      <w:r w:rsidR="00E64C4F">
        <w:t>Krassoi</w:t>
      </w:r>
      <w:proofErr w:type="spellEnd"/>
      <w:r w:rsidR="00E64C4F">
        <w:t xml:space="preserve"> et a. 1997</w:t>
      </w:r>
      <w:r w:rsidR="004344CC">
        <w:t>)</w:t>
      </w:r>
      <w:r w:rsidR="00E64C4F">
        <w:t>.</w:t>
      </w:r>
      <w:r>
        <w:t xml:space="preserve"> The least sensitive species was the Sydney rock oyster </w:t>
      </w:r>
      <w:r w:rsidRPr="00C366D0">
        <w:rPr>
          <w:rStyle w:val="Emphasis"/>
        </w:rPr>
        <w:t>Saccostrea glomerata</w:t>
      </w:r>
      <w:r w:rsidR="0088765B" w:rsidRPr="0088765B">
        <w:t>,</w:t>
      </w:r>
      <w:r w:rsidRPr="0088765B">
        <w:t xml:space="preserve"> with</w:t>
      </w:r>
      <w:r>
        <w:t xml:space="preserve"> an estimated NOEC of 2</w:t>
      </w:r>
      <w:r w:rsidR="0088765B">
        <w:t> </w:t>
      </w:r>
      <w:r>
        <w:t>080</w:t>
      </w:r>
      <w:r w:rsidR="0088765B">
        <w:t> </w:t>
      </w:r>
      <w:proofErr w:type="spellStart"/>
      <w:r>
        <w:t>μg</w:t>
      </w:r>
      <w:proofErr w:type="spellEnd"/>
      <w:r>
        <w:t>/L converted from a 14-day LC50 for larval mortality of 10</w:t>
      </w:r>
      <w:r w:rsidR="0088765B">
        <w:t> </w:t>
      </w:r>
      <w:r>
        <w:t>400</w:t>
      </w:r>
      <w:r w:rsidR="0088765B">
        <w:t> </w:t>
      </w:r>
      <w:proofErr w:type="spellStart"/>
      <w:r>
        <w:t>μg</w:t>
      </w:r>
      <w:proofErr w:type="spellEnd"/>
      <w:r>
        <w:t xml:space="preserve">/L. Although </w:t>
      </w:r>
      <w:r w:rsidR="00B17053">
        <w:t xml:space="preserve">this </w:t>
      </w:r>
      <w:r>
        <w:t xml:space="preserve">LC50 concentration is above </w:t>
      </w:r>
      <w:r w:rsidR="0014654E">
        <w:t xml:space="preserve">the </w:t>
      </w:r>
      <w:r>
        <w:t>solubility limit of 9</w:t>
      </w:r>
      <w:r w:rsidR="00346171">
        <w:t> </w:t>
      </w:r>
      <w:r>
        <w:t>000</w:t>
      </w:r>
      <w:r w:rsidR="00346171">
        <w:t> </w:t>
      </w:r>
      <w:proofErr w:type="spellStart"/>
      <w:r>
        <w:t>μg</w:t>
      </w:r>
      <w:proofErr w:type="spellEnd"/>
      <w:r>
        <w:t xml:space="preserve">/L, it is acceptable to use toxicity values up to twice the solubility limit </w:t>
      </w:r>
      <w:r w:rsidR="00346171">
        <w:t>(Warne et al. 2018)</w:t>
      </w:r>
      <w:r>
        <w:t xml:space="preserve">. </w:t>
      </w:r>
    </w:p>
    <w:p w14:paraId="7A1CC0AB" w14:textId="1E8FE5B3" w:rsidR="00772066" w:rsidRDefault="00C366D0" w:rsidP="003714BB">
      <w:pPr>
        <w:spacing w:before="240"/>
      </w:pPr>
      <w:r>
        <w:lastRenderedPageBreak/>
        <w:t xml:space="preserve">The salinity in the acceptable toxicity tests </w:t>
      </w:r>
      <w:r w:rsidR="00776B0A">
        <w:t xml:space="preserve">mostly </w:t>
      </w:r>
      <w:r>
        <w:t>ranged from 26</w:t>
      </w:r>
      <w:r w:rsidR="00B17053">
        <w:t> ppt</w:t>
      </w:r>
      <w:r>
        <w:t xml:space="preserve"> to 35</w:t>
      </w:r>
      <w:r w:rsidR="00B17053">
        <w:t> </w:t>
      </w:r>
      <w:r>
        <w:t>ppt</w:t>
      </w:r>
      <w:r w:rsidR="00B17053">
        <w:t>,</w:t>
      </w:r>
      <w:r>
        <w:t xml:space="preserve"> with two studies reporting ranges that exceeded 36</w:t>
      </w:r>
      <w:r w:rsidR="00B17053">
        <w:t> </w:t>
      </w:r>
      <w:r>
        <w:t xml:space="preserve">ppt (for giant kelp </w:t>
      </w:r>
      <w:r w:rsidRPr="00C366D0">
        <w:rPr>
          <w:rStyle w:val="Emphasis"/>
        </w:rPr>
        <w:t xml:space="preserve">Macrocystis </w:t>
      </w:r>
      <w:proofErr w:type="spellStart"/>
      <w:r w:rsidRPr="00C366D0">
        <w:rPr>
          <w:rStyle w:val="Emphasis"/>
        </w:rPr>
        <w:t>pyrifera</w:t>
      </w:r>
      <w:proofErr w:type="spellEnd"/>
      <w:r>
        <w:t xml:space="preserve"> at 32</w:t>
      </w:r>
      <w:r w:rsidR="00B17053">
        <w:t>–</w:t>
      </w:r>
      <w:r>
        <w:t>39</w:t>
      </w:r>
      <w:r w:rsidR="00B17053">
        <w:t> </w:t>
      </w:r>
      <w:r>
        <w:t xml:space="preserve">ppt </w:t>
      </w:r>
      <w:r w:rsidR="00B17053">
        <w:t>(Anderson &amp; Hunt 1988)</w:t>
      </w:r>
      <w:r>
        <w:t xml:space="preserve"> and for Australian ghost shrimp </w:t>
      </w:r>
      <w:proofErr w:type="spellStart"/>
      <w:r w:rsidRPr="00C366D0">
        <w:rPr>
          <w:rStyle w:val="Emphasis"/>
        </w:rPr>
        <w:t>Callianassa</w:t>
      </w:r>
      <w:proofErr w:type="spellEnd"/>
      <w:r w:rsidRPr="00C366D0">
        <w:rPr>
          <w:rStyle w:val="Emphasis"/>
        </w:rPr>
        <w:t xml:space="preserve"> </w:t>
      </w:r>
      <w:proofErr w:type="spellStart"/>
      <w:r w:rsidRPr="00C366D0">
        <w:rPr>
          <w:rStyle w:val="Emphasis"/>
        </w:rPr>
        <w:t>australiensis</w:t>
      </w:r>
      <w:proofErr w:type="spellEnd"/>
      <w:r>
        <w:t xml:space="preserve"> at 34</w:t>
      </w:r>
      <w:r w:rsidR="00AA518B">
        <w:t>–</w:t>
      </w:r>
      <w:r>
        <w:t>37.5</w:t>
      </w:r>
      <w:r w:rsidR="00AA518B">
        <w:t> </w:t>
      </w:r>
      <w:r>
        <w:t>ppt). Based on the mid-point of the salinity ranges being ≤36</w:t>
      </w:r>
      <w:r w:rsidR="001B1A5F">
        <w:t> </w:t>
      </w:r>
      <w:r>
        <w:t>ppt, the toxicity values from both tests were included in the derivation. The temperature in the acceptable toxicity tests ranged from 11.5</w:t>
      </w:r>
      <w:r w:rsidR="001B1A5F">
        <w:t>°C</w:t>
      </w:r>
      <w:r>
        <w:t xml:space="preserve"> to 27°C. Nine data were from tests conducted at 25°C or higher and could be considered tropical tests. </w:t>
      </w:r>
      <w:r w:rsidR="00772066">
        <w:rPr>
          <w:b/>
          <w:bCs/>
        </w:rPr>
        <w:br w:type="page"/>
      </w:r>
    </w:p>
    <w:p w14:paraId="1403A0BE" w14:textId="7380187C" w:rsidR="000318BA" w:rsidRDefault="00F95975" w:rsidP="000318BA">
      <w:pPr>
        <w:pStyle w:val="Caption"/>
      </w:pPr>
      <w:bookmarkStart w:id="15" w:name="_Ref23163739"/>
      <w:bookmarkStart w:id="16" w:name="_Toc34814126"/>
      <w:r>
        <w:lastRenderedPageBreak/>
        <w:t>Table</w:t>
      </w:r>
      <w:r w:rsidR="00B63BA8">
        <w:t> </w:t>
      </w:r>
      <w:r w:rsidR="00586A86">
        <w:fldChar w:fldCharType="begin"/>
      </w:r>
      <w:r w:rsidR="00586A86">
        <w:instrText xml:space="preserve"> SEQ Table \* ARABIC </w:instrText>
      </w:r>
      <w:r w:rsidR="00586A86">
        <w:fldChar w:fldCharType="separate"/>
      </w:r>
      <w:r w:rsidR="00A860FE">
        <w:rPr>
          <w:noProof/>
        </w:rPr>
        <w:t>1</w:t>
      </w:r>
      <w:r w:rsidR="00586A86">
        <w:rPr>
          <w:noProof/>
        </w:rPr>
        <w:fldChar w:fldCharType="end"/>
      </w:r>
      <w:bookmarkEnd w:id="15"/>
      <w:r w:rsidR="000318BA">
        <w:t xml:space="preserve"> </w:t>
      </w:r>
      <w:r w:rsidR="000318BA" w:rsidRPr="00006995">
        <w:t>Summary of</w:t>
      </w:r>
      <w:r w:rsidR="000318BA">
        <w:t xml:space="preserve"> single</w:t>
      </w:r>
      <w:r w:rsidR="000318BA" w:rsidRPr="00006995">
        <w:t xml:space="preserve"> </w:t>
      </w:r>
      <w:r w:rsidR="00E02838">
        <w:t xml:space="preserve">chronic </w:t>
      </w:r>
      <w:r w:rsidR="000318BA" w:rsidRPr="00006995">
        <w:t>toxicity values</w:t>
      </w:r>
      <w:r w:rsidR="000318BA">
        <w:t>, all species</w:t>
      </w:r>
      <w:r w:rsidR="000318BA" w:rsidRPr="00006995">
        <w:t xml:space="preserve"> used to derive default guideline values for zinc </w:t>
      </w:r>
      <w:r w:rsidR="000318BA">
        <w:t>in marine water</w:t>
      </w:r>
      <w:bookmarkEnd w:id="16"/>
    </w:p>
    <w:tbl>
      <w:tblPr>
        <w:tblStyle w:val="TableGrid"/>
        <w:tblW w:w="0" w:type="auto"/>
        <w:tblBorders>
          <w:top w:val="single" w:sz="12" w:space="0" w:color="auto"/>
          <w:left w:val="none" w:sz="0" w:space="0" w:color="auto"/>
          <w:right w:val="none" w:sz="0" w:space="0" w:color="auto"/>
          <w:insideV w:val="none" w:sz="0" w:space="0" w:color="auto"/>
        </w:tblBorders>
        <w:tblLook w:val="04A0" w:firstRow="1" w:lastRow="0" w:firstColumn="1" w:lastColumn="0" w:noHBand="0" w:noVBand="1"/>
        <w:tblCaption w:val="Summary of single chronic toxicity values, all species used to derive default guideline values for zinc in marine water"/>
        <w:tblDescription w:val="Table provides a list of the species used to derive the zinc default guideline value, with additional details such as taxonomic group, species, life stage, duration of test, toxicity measure, reported toxicity value, and final toxicity value."/>
      </w:tblPr>
      <w:tblGrid>
        <w:gridCol w:w="1275"/>
        <w:gridCol w:w="1399"/>
        <w:gridCol w:w="1202"/>
        <w:gridCol w:w="1092"/>
        <w:gridCol w:w="1873"/>
        <w:gridCol w:w="1090"/>
        <w:gridCol w:w="1139"/>
      </w:tblGrid>
      <w:tr w:rsidR="000318BA" w14:paraId="16E6B79B" w14:textId="77777777" w:rsidTr="00E64C4F">
        <w:trPr>
          <w:cantSplit/>
          <w:tblHeader/>
        </w:trPr>
        <w:tc>
          <w:tcPr>
            <w:tcW w:w="1275" w:type="dxa"/>
            <w:tcBorders>
              <w:top w:val="single" w:sz="12" w:space="0" w:color="auto"/>
              <w:bottom w:val="single" w:sz="12" w:space="0" w:color="auto"/>
            </w:tcBorders>
          </w:tcPr>
          <w:p w14:paraId="6A3A5E54" w14:textId="655B65E6" w:rsidR="000318BA" w:rsidRDefault="000318BA" w:rsidP="00FD2590">
            <w:pPr>
              <w:pStyle w:val="TableHeading"/>
            </w:pPr>
            <w:r w:rsidRPr="00AD677D">
              <w:t>Taxonomic group (</w:t>
            </w:r>
            <w:r>
              <w:t>p</w:t>
            </w:r>
            <w:r w:rsidRPr="00AD677D">
              <w:t>hylum)</w:t>
            </w:r>
          </w:p>
        </w:tc>
        <w:tc>
          <w:tcPr>
            <w:tcW w:w="1399" w:type="dxa"/>
            <w:tcBorders>
              <w:top w:val="single" w:sz="12" w:space="0" w:color="auto"/>
              <w:bottom w:val="single" w:sz="12" w:space="0" w:color="auto"/>
            </w:tcBorders>
          </w:tcPr>
          <w:p w14:paraId="5C41BD64" w14:textId="77777777" w:rsidR="000318BA" w:rsidRDefault="000318BA" w:rsidP="00FD2590">
            <w:pPr>
              <w:pStyle w:val="TableHeading"/>
            </w:pPr>
            <w:r w:rsidRPr="00AD677D">
              <w:t>Species</w:t>
            </w:r>
          </w:p>
        </w:tc>
        <w:tc>
          <w:tcPr>
            <w:tcW w:w="1202" w:type="dxa"/>
            <w:tcBorders>
              <w:top w:val="single" w:sz="12" w:space="0" w:color="auto"/>
              <w:bottom w:val="single" w:sz="12" w:space="0" w:color="auto"/>
            </w:tcBorders>
          </w:tcPr>
          <w:p w14:paraId="610B8F5A" w14:textId="77777777" w:rsidR="000318BA" w:rsidRDefault="000318BA" w:rsidP="00FD2590">
            <w:pPr>
              <w:pStyle w:val="TableHeading"/>
            </w:pPr>
            <w:r w:rsidRPr="00AD677D">
              <w:t>Life stage</w:t>
            </w:r>
          </w:p>
        </w:tc>
        <w:tc>
          <w:tcPr>
            <w:tcW w:w="1092" w:type="dxa"/>
            <w:tcBorders>
              <w:top w:val="single" w:sz="12" w:space="0" w:color="auto"/>
              <w:bottom w:val="single" w:sz="12" w:space="0" w:color="auto"/>
            </w:tcBorders>
          </w:tcPr>
          <w:p w14:paraId="13874A5D" w14:textId="77777777" w:rsidR="000318BA" w:rsidRDefault="000318BA" w:rsidP="00FD2590">
            <w:pPr>
              <w:pStyle w:val="TableHeading"/>
            </w:pPr>
            <w:r w:rsidRPr="00AD677D">
              <w:t>Duration (d)</w:t>
            </w:r>
          </w:p>
        </w:tc>
        <w:tc>
          <w:tcPr>
            <w:tcW w:w="1873" w:type="dxa"/>
            <w:tcBorders>
              <w:top w:val="single" w:sz="12" w:space="0" w:color="auto"/>
              <w:bottom w:val="single" w:sz="12" w:space="0" w:color="auto"/>
            </w:tcBorders>
          </w:tcPr>
          <w:p w14:paraId="483C7D05" w14:textId="7E61071D" w:rsidR="000318BA" w:rsidRDefault="000318BA" w:rsidP="00FD2590">
            <w:pPr>
              <w:pStyle w:val="TableHeading"/>
            </w:pPr>
            <w:r w:rsidRPr="00AD677D">
              <w:t>Toxicity measure (</w:t>
            </w:r>
            <w:r>
              <w:t>test</w:t>
            </w:r>
            <w:r w:rsidRPr="00AD677D">
              <w:t xml:space="preserve"> endpoint)</w:t>
            </w:r>
          </w:p>
        </w:tc>
        <w:tc>
          <w:tcPr>
            <w:tcW w:w="1090" w:type="dxa"/>
            <w:tcBorders>
              <w:top w:val="single" w:sz="12" w:space="0" w:color="auto"/>
              <w:bottom w:val="single" w:sz="12" w:space="0" w:color="auto"/>
            </w:tcBorders>
          </w:tcPr>
          <w:p w14:paraId="5394FB3D" w14:textId="17E58696" w:rsidR="000318BA" w:rsidRDefault="00EC21F8" w:rsidP="00FD2590">
            <w:pPr>
              <w:pStyle w:val="TableHeading"/>
            </w:pPr>
            <w:r>
              <w:t xml:space="preserve">Reported </w:t>
            </w:r>
            <w:r w:rsidR="000318BA">
              <w:t>t</w:t>
            </w:r>
            <w:r w:rsidR="000318BA" w:rsidRPr="00AD677D">
              <w:t>oxicity value (µg/L)</w:t>
            </w:r>
          </w:p>
        </w:tc>
        <w:tc>
          <w:tcPr>
            <w:tcW w:w="1139" w:type="dxa"/>
            <w:tcBorders>
              <w:top w:val="single" w:sz="12" w:space="0" w:color="auto"/>
              <w:bottom w:val="single" w:sz="12" w:space="0" w:color="auto"/>
            </w:tcBorders>
          </w:tcPr>
          <w:p w14:paraId="15772582" w14:textId="29104667" w:rsidR="000318BA" w:rsidRDefault="007D2A02" w:rsidP="00FD2590">
            <w:pPr>
              <w:pStyle w:val="TableHeading"/>
            </w:pPr>
            <w:r>
              <w:t>Final toxicity</w:t>
            </w:r>
            <w:r w:rsidR="000318BA" w:rsidRPr="00AD677D">
              <w:t xml:space="preserve"> </w:t>
            </w:r>
            <w:r w:rsidR="00EC21F8">
              <w:t>value</w:t>
            </w:r>
            <w:r w:rsidR="000318BA" w:rsidRPr="00AD677D">
              <w:t xml:space="preserve"> </w:t>
            </w:r>
            <w:r w:rsidR="00B10E61" w:rsidRPr="00AD677D">
              <w:t>(µg/L)</w:t>
            </w:r>
          </w:p>
        </w:tc>
      </w:tr>
      <w:tr w:rsidR="000318BA" w14:paraId="322CFB39" w14:textId="77777777" w:rsidTr="00E64C4F">
        <w:trPr>
          <w:cantSplit/>
        </w:trPr>
        <w:tc>
          <w:tcPr>
            <w:tcW w:w="1275" w:type="dxa"/>
            <w:vMerge w:val="restart"/>
            <w:tcBorders>
              <w:top w:val="single" w:sz="12" w:space="0" w:color="auto"/>
            </w:tcBorders>
          </w:tcPr>
          <w:p w14:paraId="2C1E84CF" w14:textId="11F9DB23" w:rsidR="000318BA" w:rsidRDefault="000318BA" w:rsidP="00772066">
            <w:pPr>
              <w:pStyle w:val="TableText"/>
              <w:spacing w:before="50" w:after="50"/>
            </w:pPr>
            <w:r w:rsidRPr="00730619">
              <w:t>Diatom (</w:t>
            </w:r>
            <w:proofErr w:type="spellStart"/>
            <w:r w:rsidRPr="00730619">
              <w:t>Ochrophyta</w:t>
            </w:r>
            <w:proofErr w:type="spellEnd"/>
            <w:r w:rsidRPr="00730619">
              <w:t>)</w:t>
            </w:r>
          </w:p>
        </w:tc>
        <w:tc>
          <w:tcPr>
            <w:tcW w:w="1399" w:type="dxa"/>
            <w:tcBorders>
              <w:top w:val="single" w:sz="12" w:space="0" w:color="auto"/>
            </w:tcBorders>
          </w:tcPr>
          <w:p w14:paraId="29D9C853" w14:textId="77777777" w:rsidR="000318BA" w:rsidRPr="00DC7B98" w:rsidRDefault="000318BA" w:rsidP="00772066">
            <w:pPr>
              <w:pStyle w:val="TableText"/>
              <w:spacing w:before="50" w:after="50"/>
              <w:rPr>
                <w:rStyle w:val="Emphasis"/>
              </w:rPr>
            </w:pPr>
            <w:proofErr w:type="spellStart"/>
            <w:r w:rsidRPr="00DC7B98">
              <w:rPr>
                <w:rStyle w:val="Emphasis"/>
              </w:rPr>
              <w:t>Entomoneis</w:t>
            </w:r>
            <w:proofErr w:type="spellEnd"/>
            <w:r w:rsidRPr="00DC7B98">
              <w:rPr>
                <w:rStyle w:val="Emphasis"/>
              </w:rPr>
              <w:t xml:space="preserve"> </w:t>
            </w:r>
            <w:proofErr w:type="spellStart"/>
            <w:r w:rsidRPr="00DC7B98">
              <w:rPr>
                <w:rStyle w:val="Emphasis"/>
              </w:rPr>
              <w:t>punctulata</w:t>
            </w:r>
            <w:proofErr w:type="spellEnd"/>
          </w:p>
        </w:tc>
        <w:tc>
          <w:tcPr>
            <w:tcW w:w="1202" w:type="dxa"/>
            <w:tcBorders>
              <w:top w:val="single" w:sz="12" w:space="0" w:color="auto"/>
            </w:tcBorders>
          </w:tcPr>
          <w:p w14:paraId="22E6EACD" w14:textId="77777777" w:rsidR="000318BA" w:rsidRDefault="000318BA" w:rsidP="00772066">
            <w:pPr>
              <w:pStyle w:val="TableText"/>
              <w:spacing w:before="50" w:after="50"/>
            </w:pPr>
            <w:r w:rsidRPr="00730619">
              <w:t>Log phase</w:t>
            </w:r>
          </w:p>
        </w:tc>
        <w:tc>
          <w:tcPr>
            <w:tcW w:w="1092" w:type="dxa"/>
            <w:tcBorders>
              <w:top w:val="single" w:sz="12" w:space="0" w:color="auto"/>
            </w:tcBorders>
          </w:tcPr>
          <w:p w14:paraId="0FCA7B5D" w14:textId="77777777" w:rsidR="000318BA" w:rsidRDefault="000318BA" w:rsidP="00772066">
            <w:pPr>
              <w:pStyle w:val="TableText"/>
              <w:spacing w:before="50" w:after="50"/>
            </w:pPr>
            <w:r w:rsidRPr="00730619">
              <w:t>2</w:t>
            </w:r>
          </w:p>
        </w:tc>
        <w:tc>
          <w:tcPr>
            <w:tcW w:w="1873" w:type="dxa"/>
            <w:tcBorders>
              <w:top w:val="single" w:sz="12" w:space="0" w:color="auto"/>
            </w:tcBorders>
          </w:tcPr>
          <w:p w14:paraId="65EB5DCC" w14:textId="77777777" w:rsidR="000318BA" w:rsidRDefault="000318BA" w:rsidP="00772066">
            <w:pPr>
              <w:pStyle w:val="TableText"/>
              <w:spacing w:before="50" w:after="50"/>
            </w:pPr>
            <w:r w:rsidRPr="00730619">
              <w:t xml:space="preserve">EC50 </w:t>
            </w:r>
          </w:p>
          <w:p w14:paraId="117A5219" w14:textId="77777777" w:rsidR="000318BA" w:rsidRDefault="000318BA" w:rsidP="00772066">
            <w:pPr>
              <w:pStyle w:val="TableText"/>
              <w:spacing w:before="50" w:after="50"/>
            </w:pPr>
            <w:r w:rsidRPr="00730619">
              <w:t>(Population growth rate)</w:t>
            </w:r>
          </w:p>
        </w:tc>
        <w:tc>
          <w:tcPr>
            <w:tcW w:w="1090" w:type="dxa"/>
            <w:tcBorders>
              <w:top w:val="single" w:sz="12" w:space="0" w:color="auto"/>
            </w:tcBorders>
          </w:tcPr>
          <w:p w14:paraId="1CAC4DA5" w14:textId="77777777" w:rsidR="000318BA" w:rsidRDefault="000318BA" w:rsidP="00772066">
            <w:pPr>
              <w:pStyle w:val="TableText"/>
              <w:spacing w:before="50" w:after="50"/>
            </w:pPr>
            <w:r w:rsidRPr="00730619">
              <w:t>765</w:t>
            </w:r>
          </w:p>
        </w:tc>
        <w:tc>
          <w:tcPr>
            <w:tcW w:w="1139" w:type="dxa"/>
            <w:tcBorders>
              <w:top w:val="single" w:sz="12" w:space="0" w:color="auto"/>
            </w:tcBorders>
          </w:tcPr>
          <w:p w14:paraId="192B6E23" w14:textId="77777777" w:rsidR="000318BA" w:rsidRDefault="000318BA" w:rsidP="00772066">
            <w:pPr>
              <w:pStyle w:val="TableText"/>
              <w:spacing w:before="50" w:after="50"/>
            </w:pPr>
            <w:r w:rsidRPr="00730619">
              <w:t xml:space="preserve">153 </w:t>
            </w:r>
            <w:r w:rsidRPr="00DC7B98">
              <w:rPr>
                <w:rStyle w:val="Strong"/>
                <w:vertAlign w:val="superscript"/>
              </w:rPr>
              <w:t>a</w:t>
            </w:r>
          </w:p>
        </w:tc>
      </w:tr>
      <w:tr w:rsidR="000318BA" w14:paraId="7E14A6B9" w14:textId="77777777" w:rsidTr="00E64C4F">
        <w:trPr>
          <w:cantSplit/>
        </w:trPr>
        <w:tc>
          <w:tcPr>
            <w:tcW w:w="1275" w:type="dxa"/>
            <w:vMerge/>
          </w:tcPr>
          <w:p w14:paraId="02AE90A1" w14:textId="77777777" w:rsidR="000318BA" w:rsidRDefault="000318BA" w:rsidP="00772066">
            <w:pPr>
              <w:pStyle w:val="TableText"/>
              <w:spacing w:before="50" w:after="50"/>
            </w:pPr>
          </w:p>
        </w:tc>
        <w:tc>
          <w:tcPr>
            <w:tcW w:w="1399" w:type="dxa"/>
          </w:tcPr>
          <w:p w14:paraId="7DEF1892" w14:textId="77777777" w:rsidR="000318BA" w:rsidRPr="00DC7B98" w:rsidRDefault="000318BA" w:rsidP="00772066">
            <w:pPr>
              <w:pStyle w:val="TableText"/>
              <w:spacing w:before="50" w:after="50"/>
              <w:rPr>
                <w:rStyle w:val="Emphasis"/>
              </w:rPr>
            </w:pPr>
            <w:proofErr w:type="spellStart"/>
            <w:r w:rsidRPr="00DC7B98">
              <w:rPr>
                <w:rStyle w:val="Emphasis"/>
              </w:rPr>
              <w:t>Ceratoneis</w:t>
            </w:r>
            <w:proofErr w:type="spellEnd"/>
            <w:r w:rsidRPr="00DC7B98">
              <w:rPr>
                <w:rStyle w:val="Emphasis"/>
              </w:rPr>
              <w:t xml:space="preserve"> </w:t>
            </w:r>
            <w:proofErr w:type="spellStart"/>
            <w:r w:rsidRPr="00DC7B98">
              <w:rPr>
                <w:rStyle w:val="Emphasis"/>
              </w:rPr>
              <w:t>closterium</w:t>
            </w:r>
            <w:proofErr w:type="spellEnd"/>
          </w:p>
        </w:tc>
        <w:tc>
          <w:tcPr>
            <w:tcW w:w="1202" w:type="dxa"/>
          </w:tcPr>
          <w:p w14:paraId="588EA010" w14:textId="77777777" w:rsidR="000318BA" w:rsidRDefault="000318BA" w:rsidP="00772066">
            <w:pPr>
              <w:pStyle w:val="TableText"/>
              <w:spacing w:before="50" w:after="50"/>
            </w:pPr>
            <w:r w:rsidRPr="00CC5F0A">
              <w:t>Log phase</w:t>
            </w:r>
          </w:p>
        </w:tc>
        <w:tc>
          <w:tcPr>
            <w:tcW w:w="1092" w:type="dxa"/>
          </w:tcPr>
          <w:p w14:paraId="729F5C5A" w14:textId="77777777" w:rsidR="000318BA" w:rsidRDefault="000318BA" w:rsidP="00772066">
            <w:pPr>
              <w:pStyle w:val="TableText"/>
              <w:spacing w:before="50" w:after="50"/>
            </w:pPr>
            <w:r w:rsidRPr="00CC5F0A">
              <w:t>3</w:t>
            </w:r>
          </w:p>
        </w:tc>
        <w:tc>
          <w:tcPr>
            <w:tcW w:w="1873" w:type="dxa"/>
          </w:tcPr>
          <w:p w14:paraId="66A6E107" w14:textId="77777777" w:rsidR="000318BA" w:rsidRDefault="000318BA" w:rsidP="00772066">
            <w:pPr>
              <w:pStyle w:val="TableText"/>
              <w:spacing w:before="50" w:after="50"/>
            </w:pPr>
            <w:r w:rsidRPr="00CC5F0A">
              <w:t xml:space="preserve">IC10 </w:t>
            </w:r>
          </w:p>
          <w:p w14:paraId="2B13BECF" w14:textId="77777777" w:rsidR="000318BA" w:rsidRDefault="000318BA" w:rsidP="00772066">
            <w:pPr>
              <w:pStyle w:val="TableText"/>
              <w:spacing w:before="50" w:after="50"/>
            </w:pPr>
            <w:r w:rsidRPr="00CC5F0A">
              <w:t>(Population growth rate)</w:t>
            </w:r>
          </w:p>
        </w:tc>
        <w:tc>
          <w:tcPr>
            <w:tcW w:w="1090" w:type="dxa"/>
          </w:tcPr>
          <w:p w14:paraId="2F8BC8F1" w14:textId="77777777" w:rsidR="000318BA" w:rsidRDefault="000318BA" w:rsidP="00772066">
            <w:pPr>
              <w:pStyle w:val="TableText"/>
              <w:spacing w:before="50" w:after="50"/>
            </w:pPr>
            <w:r w:rsidRPr="00CC5F0A">
              <w:t>84</w:t>
            </w:r>
          </w:p>
        </w:tc>
        <w:tc>
          <w:tcPr>
            <w:tcW w:w="1139" w:type="dxa"/>
          </w:tcPr>
          <w:p w14:paraId="20A892CE" w14:textId="77777777" w:rsidR="000318BA" w:rsidRDefault="000318BA" w:rsidP="00772066">
            <w:pPr>
              <w:pStyle w:val="TableText"/>
              <w:spacing w:before="50" w:after="50"/>
            </w:pPr>
            <w:r w:rsidRPr="00CC5F0A">
              <w:t>84</w:t>
            </w:r>
          </w:p>
        </w:tc>
      </w:tr>
      <w:tr w:rsidR="000318BA" w14:paraId="7CEA9AE5" w14:textId="77777777" w:rsidTr="00E64C4F">
        <w:trPr>
          <w:cantSplit/>
        </w:trPr>
        <w:tc>
          <w:tcPr>
            <w:tcW w:w="1275" w:type="dxa"/>
            <w:vMerge w:val="restart"/>
          </w:tcPr>
          <w:p w14:paraId="794D08C1" w14:textId="39589592" w:rsidR="000318BA" w:rsidRDefault="000318BA" w:rsidP="00772066">
            <w:pPr>
              <w:pStyle w:val="TableText"/>
              <w:spacing w:before="50" w:after="50"/>
            </w:pPr>
            <w:r w:rsidRPr="00F417C2">
              <w:t xml:space="preserve">Green </w:t>
            </w:r>
            <w:r w:rsidR="00BD6594" w:rsidRPr="00F417C2">
              <w:t xml:space="preserve">alga </w:t>
            </w:r>
            <w:r w:rsidRPr="00F417C2">
              <w:t>(Chlorophyta)</w:t>
            </w:r>
          </w:p>
        </w:tc>
        <w:tc>
          <w:tcPr>
            <w:tcW w:w="1399" w:type="dxa"/>
          </w:tcPr>
          <w:p w14:paraId="1B55D691" w14:textId="77777777" w:rsidR="000318BA" w:rsidRPr="00DC7B98" w:rsidRDefault="000318BA" w:rsidP="00772066">
            <w:pPr>
              <w:pStyle w:val="TableText"/>
              <w:spacing w:before="50" w:after="50"/>
              <w:rPr>
                <w:rStyle w:val="Emphasis"/>
              </w:rPr>
            </w:pPr>
            <w:proofErr w:type="spellStart"/>
            <w:r w:rsidRPr="00DC7B98">
              <w:rPr>
                <w:rStyle w:val="Emphasis"/>
              </w:rPr>
              <w:t>Dunaliella</w:t>
            </w:r>
            <w:proofErr w:type="spellEnd"/>
            <w:r w:rsidRPr="00DC7B98">
              <w:rPr>
                <w:rStyle w:val="Emphasis"/>
              </w:rPr>
              <w:t xml:space="preserve"> </w:t>
            </w:r>
            <w:proofErr w:type="spellStart"/>
            <w:r w:rsidRPr="00DC7B98">
              <w:rPr>
                <w:rStyle w:val="Emphasis"/>
              </w:rPr>
              <w:t>tertiolecta</w:t>
            </w:r>
            <w:proofErr w:type="spellEnd"/>
          </w:p>
        </w:tc>
        <w:tc>
          <w:tcPr>
            <w:tcW w:w="1202" w:type="dxa"/>
          </w:tcPr>
          <w:p w14:paraId="4715354B" w14:textId="77777777" w:rsidR="000318BA" w:rsidRDefault="000318BA" w:rsidP="00772066">
            <w:pPr>
              <w:pStyle w:val="TableText"/>
              <w:spacing w:before="50" w:after="50"/>
            </w:pPr>
            <w:r w:rsidRPr="00F417C2">
              <w:t>NR</w:t>
            </w:r>
          </w:p>
        </w:tc>
        <w:tc>
          <w:tcPr>
            <w:tcW w:w="1092" w:type="dxa"/>
          </w:tcPr>
          <w:p w14:paraId="13AA5611" w14:textId="77777777" w:rsidR="000318BA" w:rsidRDefault="000318BA" w:rsidP="00772066">
            <w:pPr>
              <w:pStyle w:val="TableText"/>
              <w:spacing w:before="50" w:after="50"/>
            </w:pPr>
            <w:r w:rsidRPr="00F417C2">
              <w:t>3</w:t>
            </w:r>
          </w:p>
        </w:tc>
        <w:tc>
          <w:tcPr>
            <w:tcW w:w="1873" w:type="dxa"/>
          </w:tcPr>
          <w:p w14:paraId="08B47929" w14:textId="77777777" w:rsidR="000318BA" w:rsidRDefault="000318BA" w:rsidP="00772066">
            <w:pPr>
              <w:pStyle w:val="TableText"/>
              <w:spacing w:before="50" w:after="50"/>
            </w:pPr>
            <w:r w:rsidRPr="00F417C2">
              <w:t xml:space="preserve">EC50 </w:t>
            </w:r>
          </w:p>
          <w:p w14:paraId="0E98C91A" w14:textId="77777777" w:rsidR="000318BA" w:rsidRDefault="000318BA" w:rsidP="00772066">
            <w:pPr>
              <w:pStyle w:val="TableText"/>
              <w:spacing w:before="50" w:after="50"/>
            </w:pPr>
            <w:r w:rsidRPr="00F417C2">
              <w:t>(Mortality)</w:t>
            </w:r>
          </w:p>
        </w:tc>
        <w:tc>
          <w:tcPr>
            <w:tcW w:w="1090" w:type="dxa"/>
          </w:tcPr>
          <w:p w14:paraId="1667AE8F" w14:textId="77777777" w:rsidR="000318BA" w:rsidRDefault="000318BA" w:rsidP="00772066">
            <w:pPr>
              <w:pStyle w:val="TableText"/>
              <w:spacing w:before="50" w:after="50"/>
            </w:pPr>
            <w:r w:rsidRPr="00F417C2">
              <w:t>270</w:t>
            </w:r>
          </w:p>
        </w:tc>
        <w:tc>
          <w:tcPr>
            <w:tcW w:w="1139" w:type="dxa"/>
          </w:tcPr>
          <w:p w14:paraId="22A05BB3" w14:textId="77777777" w:rsidR="000318BA" w:rsidRDefault="000318BA" w:rsidP="00772066">
            <w:pPr>
              <w:pStyle w:val="TableText"/>
              <w:spacing w:before="50" w:after="50"/>
            </w:pPr>
            <w:r w:rsidRPr="00F417C2">
              <w:t xml:space="preserve">54 </w:t>
            </w:r>
            <w:r w:rsidRPr="00DC7B98">
              <w:rPr>
                <w:rStyle w:val="Strong"/>
                <w:vertAlign w:val="superscript"/>
              </w:rPr>
              <w:t>a</w:t>
            </w:r>
          </w:p>
        </w:tc>
      </w:tr>
      <w:tr w:rsidR="000318BA" w14:paraId="518A6EE5" w14:textId="77777777" w:rsidTr="00E64C4F">
        <w:trPr>
          <w:cantSplit/>
        </w:trPr>
        <w:tc>
          <w:tcPr>
            <w:tcW w:w="1275" w:type="dxa"/>
            <w:vMerge/>
          </w:tcPr>
          <w:p w14:paraId="4F453E39" w14:textId="77777777" w:rsidR="000318BA" w:rsidRDefault="000318BA" w:rsidP="00772066">
            <w:pPr>
              <w:pStyle w:val="TableText"/>
              <w:spacing w:before="50" w:after="50"/>
            </w:pPr>
          </w:p>
        </w:tc>
        <w:tc>
          <w:tcPr>
            <w:tcW w:w="1399" w:type="dxa"/>
          </w:tcPr>
          <w:p w14:paraId="2E70F44A" w14:textId="62B9F485" w:rsidR="000318BA" w:rsidRDefault="000318BA" w:rsidP="00772066">
            <w:pPr>
              <w:pStyle w:val="TableText"/>
              <w:spacing w:before="50" w:after="50"/>
            </w:pPr>
            <w:r w:rsidRPr="00DC7B98">
              <w:rPr>
                <w:rStyle w:val="Emphasis"/>
              </w:rPr>
              <w:t xml:space="preserve">Ulva </w:t>
            </w:r>
            <w:proofErr w:type="spellStart"/>
            <w:r w:rsidRPr="00DC7B98">
              <w:rPr>
                <w:rStyle w:val="Emphasis"/>
              </w:rPr>
              <w:t>fasciata</w:t>
            </w:r>
            <w:proofErr w:type="spellEnd"/>
            <w:r w:rsidRPr="00786630">
              <w:t xml:space="preserve"> </w:t>
            </w:r>
          </w:p>
        </w:tc>
        <w:tc>
          <w:tcPr>
            <w:tcW w:w="1202" w:type="dxa"/>
          </w:tcPr>
          <w:p w14:paraId="3E587DB8" w14:textId="77777777" w:rsidR="000318BA" w:rsidRDefault="000318BA" w:rsidP="00772066">
            <w:pPr>
              <w:pStyle w:val="TableText"/>
              <w:spacing w:before="50" w:after="50"/>
            </w:pPr>
            <w:r w:rsidRPr="00786630">
              <w:t>Zoospores</w:t>
            </w:r>
          </w:p>
        </w:tc>
        <w:tc>
          <w:tcPr>
            <w:tcW w:w="1092" w:type="dxa"/>
          </w:tcPr>
          <w:p w14:paraId="63DBD694" w14:textId="77777777" w:rsidR="000318BA" w:rsidRDefault="000318BA" w:rsidP="00772066">
            <w:pPr>
              <w:pStyle w:val="TableText"/>
              <w:spacing w:before="50" w:after="50"/>
            </w:pPr>
            <w:r w:rsidRPr="00786630">
              <w:t>4</w:t>
            </w:r>
          </w:p>
        </w:tc>
        <w:tc>
          <w:tcPr>
            <w:tcW w:w="1873" w:type="dxa"/>
          </w:tcPr>
          <w:p w14:paraId="03C3EAB3" w14:textId="77777777" w:rsidR="000318BA" w:rsidRDefault="000318BA" w:rsidP="00772066">
            <w:pPr>
              <w:pStyle w:val="TableText"/>
              <w:spacing w:before="50" w:after="50"/>
            </w:pPr>
            <w:r w:rsidRPr="00786630">
              <w:t xml:space="preserve">NOEC </w:t>
            </w:r>
          </w:p>
          <w:p w14:paraId="0E0F7CF8" w14:textId="77777777" w:rsidR="000318BA" w:rsidRDefault="000318BA" w:rsidP="00772066">
            <w:pPr>
              <w:pStyle w:val="TableText"/>
              <w:spacing w:before="50" w:after="50"/>
            </w:pPr>
            <w:r>
              <w:t>(Growth/</w:t>
            </w:r>
            <w:r w:rsidRPr="00786630">
              <w:t>Germination)</w:t>
            </w:r>
          </w:p>
        </w:tc>
        <w:tc>
          <w:tcPr>
            <w:tcW w:w="1090" w:type="dxa"/>
          </w:tcPr>
          <w:p w14:paraId="0339E275" w14:textId="77777777" w:rsidR="000318BA" w:rsidRDefault="000318BA" w:rsidP="00772066">
            <w:pPr>
              <w:pStyle w:val="TableText"/>
              <w:spacing w:before="50" w:after="50"/>
            </w:pPr>
            <w:r w:rsidRPr="00786630">
              <w:t>143</w:t>
            </w:r>
          </w:p>
        </w:tc>
        <w:tc>
          <w:tcPr>
            <w:tcW w:w="1139" w:type="dxa"/>
          </w:tcPr>
          <w:p w14:paraId="5EB143FF" w14:textId="77777777" w:rsidR="000318BA" w:rsidRDefault="000318BA" w:rsidP="00772066">
            <w:pPr>
              <w:pStyle w:val="TableText"/>
              <w:spacing w:before="50" w:after="50"/>
            </w:pPr>
            <w:r w:rsidRPr="00786630">
              <w:t>143</w:t>
            </w:r>
          </w:p>
        </w:tc>
      </w:tr>
      <w:tr w:rsidR="000318BA" w14:paraId="37BCCE8D" w14:textId="77777777" w:rsidTr="00E64C4F">
        <w:trPr>
          <w:cantSplit/>
        </w:trPr>
        <w:tc>
          <w:tcPr>
            <w:tcW w:w="1275" w:type="dxa"/>
          </w:tcPr>
          <w:p w14:paraId="46CD2F31" w14:textId="166EE34D" w:rsidR="000318BA" w:rsidRDefault="000318BA" w:rsidP="00772066">
            <w:pPr>
              <w:pStyle w:val="TableText"/>
              <w:spacing w:before="50" w:after="50"/>
            </w:pPr>
            <w:r w:rsidRPr="00433DEC">
              <w:t xml:space="preserve">Brown </w:t>
            </w:r>
            <w:r w:rsidR="00BD6594" w:rsidRPr="00433DEC">
              <w:t xml:space="preserve">alga </w:t>
            </w:r>
            <w:r w:rsidRPr="00433DEC">
              <w:t>(</w:t>
            </w:r>
            <w:proofErr w:type="spellStart"/>
            <w:r w:rsidRPr="00433DEC">
              <w:t>Ochrophyta</w:t>
            </w:r>
            <w:proofErr w:type="spellEnd"/>
            <w:r w:rsidRPr="00433DEC">
              <w:t>)</w:t>
            </w:r>
          </w:p>
        </w:tc>
        <w:tc>
          <w:tcPr>
            <w:tcW w:w="1399" w:type="dxa"/>
          </w:tcPr>
          <w:p w14:paraId="48984923" w14:textId="12E67FCA" w:rsidR="000318BA" w:rsidRDefault="000318BA" w:rsidP="00772066">
            <w:pPr>
              <w:pStyle w:val="TableText"/>
              <w:spacing w:before="50" w:after="50"/>
            </w:pPr>
            <w:r w:rsidRPr="00DC7B98">
              <w:rPr>
                <w:rStyle w:val="Emphasis"/>
              </w:rPr>
              <w:t xml:space="preserve">Macrocystis </w:t>
            </w:r>
            <w:proofErr w:type="spellStart"/>
            <w:r w:rsidRPr="00DC7B98">
              <w:rPr>
                <w:rStyle w:val="Emphasis"/>
              </w:rPr>
              <w:t>pyrifera</w:t>
            </w:r>
            <w:proofErr w:type="spellEnd"/>
            <w:r w:rsidRPr="00433DEC">
              <w:t xml:space="preserve"> </w:t>
            </w:r>
          </w:p>
        </w:tc>
        <w:tc>
          <w:tcPr>
            <w:tcW w:w="1202" w:type="dxa"/>
          </w:tcPr>
          <w:p w14:paraId="153A917E" w14:textId="77777777" w:rsidR="000318BA" w:rsidRDefault="000318BA" w:rsidP="00772066">
            <w:pPr>
              <w:pStyle w:val="TableText"/>
              <w:spacing w:before="50" w:after="50"/>
            </w:pPr>
            <w:r w:rsidRPr="00433DEC">
              <w:t>Zoospores</w:t>
            </w:r>
          </w:p>
        </w:tc>
        <w:tc>
          <w:tcPr>
            <w:tcW w:w="1092" w:type="dxa"/>
          </w:tcPr>
          <w:p w14:paraId="02EC5715" w14:textId="77777777" w:rsidR="000318BA" w:rsidRDefault="000318BA" w:rsidP="00772066">
            <w:pPr>
              <w:pStyle w:val="TableText"/>
              <w:spacing w:before="50" w:after="50"/>
            </w:pPr>
            <w:r w:rsidRPr="00433DEC">
              <w:t>16</w:t>
            </w:r>
          </w:p>
        </w:tc>
        <w:tc>
          <w:tcPr>
            <w:tcW w:w="1873" w:type="dxa"/>
          </w:tcPr>
          <w:p w14:paraId="3FD57EF8" w14:textId="77777777" w:rsidR="000318BA" w:rsidRDefault="000318BA" w:rsidP="00772066">
            <w:pPr>
              <w:pStyle w:val="TableText"/>
              <w:spacing w:before="50" w:after="50"/>
            </w:pPr>
            <w:r w:rsidRPr="00433DEC">
              <w:t xml:space="preserve">NOEC </w:t>
            </w:r>
          </w:p>
          <w:p w14:paraId="7C74CEBA" w14:textId="77777777" w:rsidR="000318BA" w:rsidRDefault="000318BA" w:rsidP="00772066">
            <w:pPr>
              <w:pStyle w:val="TableText"/>
              <w:spacing w:before="50" w:after="50"/>
            </w:pPr>
            <w:r w:rsidRPr="00433DEC">
              <w:t>(Reproduction)</w:t>
            </w:r>
          </w:p>
        </w:tc>
        <w:tc>
          <w:tcPr>
            <w:tcW w:w="1090" w:type="dxa"/>
          </w:tcPr>
          <w:p w14:paraId="282BB639" w14:textId="77777777" w:rsidR="000318BA" w:rsidRDefault="000318BA" w:rsidP="00772066">
            <w:pPr>
              <w:pStyle w:val="TableText"/>
              <w:spacing w:before="50" w:after="50"/>
            </w:pPr>
            <w:r w:rsidRPr="00433DEC">
              <w:t>1</w:t>
            </w:r>
            <w:r>
              <w:t> </w:t>
            </w:r>
            <w:r w:rsidRPr="00433DEC">
              <w:t>070</w:t>
            </w:r>
          </w:p>
        </w:tc>
        <w:tc>
          <w:tcPr>
            <w:tcW w:w="1139" w:type="dxa"/>
          </w:tcPr>
          <w:p w14:paraId="2FFA7DE7" w14:textId="77777777" w:rsidR="000318BA" w:rsidRDefault="000318BA" w:rsidP="00772066">
            <w:pPr>
              <w:pStyle w:val="TableText"/>
              <w:spacing w:before="50" w:after="50"/>
            </w:pPr>
            <w:r w:rsidRPr="00433DEC">
              <w:t>1</w:t>
            </w:r>
            <w:r>
              <w:t> </w:t>
            </w:r>
            <w:r w:rsidRPr="00433DEC">
              <w:t>070</w:t>
            </w:r>
          </w:p>
        </w:tc>
      </w:tr>
      <w:tr w:rsidR="000318BA" w14:paraId="5E90E5F8" w14:textId="77777777" w:rsidTr="00E64C4F">
        <w:trPr>
          <w:cantSplit/>
        </w:trPr>
        <w:tc>
          <w:tcPr>
            <w:tcW w:w="1275" w:type="dxa"/>
          </w:tcPr>
          <w:p w14:paraId="614CC393" w14:textId="3712AB9C" w:rsidR="000318BA" w:rsidRDefault="000318BA" w:rsidP="00772066">
            <w:pPr>
              <w:pStyle w:val="TableText"/>
              <w:spacing w:before="50" w:after="50"/>
            </w:pPr>
            <w:r w:rsidRPr="00433DEC">
              <w:t>Annelid (Annelida)</w:t>
            </w:r>
          </w:p>
        </w:tc>
        <w:tc>
          <w:tcPr>
            <w:tcW w:w="1399" w:type="dxa"/>
          </w:tcPr>
          <w:p w14:paraId="58F7BBC3" w14:textId="2FC12A52" w:rsidR="000318BA" w:rsidRDefault="000318BA" w:rsidP="00772066">
            <w:pPr>
              <w:pStyle w:val="TableText"/>
              <w:spacing w:before="50" w:after="50"/>
            </w:pPr>
            <w:proofErr w:type="spellStart"/>
            <w:r w:rsidRPr="00DC7B98">
              <w:rPr>
                <w:rStyle w:val="Emphasis"/>
              </w:rPr>
              <w:t>Hydroides</w:t>
            </w:r>
            <w:proofErr w:type="spellEnd"/>
            <w:r w:rsidRPr="00DC7B98">
              <w:rPr>
                <w:rStyle w:val="Emphasis"/>
              </w:rPr>
              <w:t xml:space="preserve"> elegans</w:t>
            </w:r>
            <w:r w:rsidRPr="00433DEC">
              <w:t xml:space="preserve"> </w:t>
            </w:r>
          </w:p>
        </w:tc>
        <w:tc>
          <w:tcPr>
            <w:tcW w:w="1202" w:type="dxa"/>
          </w:tcPr>
          <w:p w14:paraId="32EB0E1E" w14:textId="77777777" w:rsidR="000318BA" w:rsidRDefault="000318BA" w:rsidP="00772066">
            <w:pPr>
              <w:pStyle w:val="TableText"/>
              <w:spacing w:before="50" w:after="50"/>
            </w:pPr>
            <w:r w:rsidRPr="00433DEC">
              <w:t>Larvae</w:t>
            </w:r>
          </w:p>
        </w:tc>
        <w:tc>
          <w:tcPr>
            <w:tcW w:w="1092" w:type="dxa"/>
          </w:tcPr>
          <w:p w14:paraId="7E896C69" w14:textId="77777777" w:rsidR="000318BA" w:rsidRDefault="000318BA" w:rsidP="00772066">
            <w:pPr>
              <w:pStyle w:val="TableText"/>
              <w:spacing w:before="50" w:after="50"/>
            </w:pPr>
            <w:r w:rsidRPr="00433DEC">
              <w:t>4</w:t>
            </w:r>
          </w:p>
        </w:tc>
        <w:tc>
          <w:tcPr>
            <w:tcW w:w="1873" w:type="dxa"/>
          </w:tcPr>
          <w:p w14:paraId="7910FE57" w14:textId="77777777" w:rsidR="000318BA" w:rsidRDefault="000318BA" w:rsidP="00772066">
            <w:pPr>
              <w:pStyle w:val="TableText"/>
              <w:spacing w:before="50" w:after="50"/>
            </w:pPr>
            <w:r w:rsidRPr="00433DEC">
              <w:t xml:space="preserve">EC50 </w:t>
            </w:r>
          </w:p>
          <w:p w14:paraId="1BFA35BC" w14:textId="77777777" w:rsidR="000318BA" w:rsidRDefault="000318BA" w:rsidP="00772066">
            <w:pPr>
              <w:pStyle w:val="TableText"/>
              <w:spacing w:before="50" w:after="50"/>
            </w:pPr>
            <w:r w:rsidRPr="00433DEC">
              <w:t>(Development)</w:t>
            </w:r>
          </w:p>
        </w:tc>
        <w:tc>
          <w:tcPr>
            <w:tcW w:w="1090" w:type="dxa"/>
          </w:tcPr>
          <w:p w14:paraId="68EC36F3" w14:textId="77777777" w:rsidR="000318BA" w:rsidRDefault="000318BA" w:rsidP="00772066">
            <w:pPr>
              <w:pStyle w:val="TableText"/>
              <w:spacing w:before="50" w:after="50"/>
            </w:pPr>
            <w:r w:rsidRPr="00433DEC">
              <w:t>119</w:t>
            </w:r>
          </w:p>
        </w:tc>
        <w:tc>
          <w:tcPr>
            <w:tcW w:w="1139" w:type="dxa"/>
          </w:tcPr>
          <w:p w14:paraId="4904F752" w14:textId="77777777" w:rsidR="000318BA" w:rsidRDefault="000318BA" w:rsidP="00772066">
            <w:pPr>
              <w:pStyle w:val="TableText"/>
              <w:spacing w:before="50" w:after="50"/>
            </w:pPr>
            <w:r w:rsidRPr="00433DEC">
              <w:t xml:space="preserve">24 </w:t>
            </w:r>
            <w:r w:rsidRPr="00DC7B98">
              <w:rPr>
                <w:rStyle w:val="Strong"/>
                <w:vertAlign w:val="superscript"/>
              </w:rPr>
              <w:t>a</w:t>
            </w:r>
          </w:p>
        </w:tc>
      </w:tr>
      <w:tr w:rsidR="000318BA" w14:paraId="7F8007B6" w14:textId="77777777" w:rsidTr="00E64C4F">
        <w:trPr>
          <w:cantSplit/>
        </w:trPr>
        <w:tc>
          <w:tcPr>
            <w:tcW w:w="1275" w:type="dxa"/>
          </w:tcPr>
          <w:p w14:paraId="77D34B7C" w14:textId="624E40B5" w:rsidR="000318BA" w:rsidRDefault="000318BA" w:rsidP="00772066">
            <w:pPr>
              <w:pStyle w:val="TableText"/>
              <w:spacing w:before="50" w:after="50"/>
            </w:pPr>
            <w:r w:rsidRPr="00380D7A">
              <w:t>Anemone (Cnidaria)</w:t>
            </w:r>
          </w:p>
        </w:tc>
        <w:tc>
          <w:tcPr>
            <w:tcW w:w="1399" w:type="dxa"/>
          </w:tcPr>
          <w:p w14:paraId="0003BF93" w14:textId="20815FA3" w:rsidR="000318BA" w:rsidRDefault="000318BA" w:rsidP="00772066">
            <w:pPr>
              <w:pStyle w:val="TableText"/>
              <w:spacing w:before="50" w:after="50"/>
            </w:pPr>
            <w:proofErr w:type="spellStart"/>
            <w:r w:rsidRPr="00DC7B98">
              <w:rPr>
                <w:rStyle w:val="Emphasis"/>
              </w:rPr>
              <w:t>Aiptasia</w:t>
            </w:r>
            <w:proofErr w:type="spellEnd"/>
            <w:r w:rsidRPr="00DC7B98">
              <w:rPr>
                <w:rStyle w:val="Emphasis"/>
              </w:rPr>
              <w:t xml:space="preserve"> </w:t>
            </w:r>
            <w:proofErr w:type="spellStart"/>
            <w:r w:rsidRPr="00DC7B98">
              <w:rPr>
                <w:rStyle w:val="Emphasis"/>
              </w:rPr>
              <w:t>pulchella</w:t>
            </w:r>
            <w:proofErr w:type="spellEnd"/>
            <w:r w:rsidRPr="00380D7A">
              <w:t xml:space="preserve"> </w:t>
            </w:r>
          </w:p>
        </w:tc>
        <w:tc>
          <w:tcPr>
            <w:tcW w:w="1202" w:type="dxa"/>
          </w:tcPr>
          <w:p w14:paraId="2AD910B1" w14:textId="77777777" w:rsidR="000318BA" w:rsidRDefault="000318BA" w:rsidP="00772066">
            <w:pPr>
              <w:pStyle w:val="TableText"/>
              <w:spacing w:before="50" w:after="50"/>
            </w:pPr>
            <w:r w:rsidRPr="00380D7A">
              <w:t>Adult</w:t>
            </w:r>
          </w:p>
        </w:tc>
        <w:tc>
          <w:tcPr>
            <w:tcW w:w="1092" w:type="dxa"/>
          </w:tcPr>
          <w:p w14:paraId="6462292C" w14:textId="77777777" w:rsidR="000318BA" w:rsidRDefault="000318BA" w:rsidP="00772066">
            <w:pPr>
              <w:pStyle w:val="TableText"/>
              <w:spacing w:before="50" w:after="50"/>
            </w:pPr>
            <w:r w:rsidRPr="00380D7A">
              <w:t>28</w:t>
            </w:r>
          </w:p>
        </w:tc>
        <w:tc>
          <w:tcPr>
            <w:tcW w:w="1873" w:type="dxa"/>
          </w:tcPr>
          <w:p w14:paraId="24D2609B" w14:textId="77777777" w:rsidR="000318BA" w:rsidRDefault="000318BA" w:rsidP="00772066">
            <w:pPr>
              <w:pStyle w:val="TableText"/>
              <w:spacing w:before="50" w:after="50"/>
            </w:pPr>
            <w:r w:rsidRPr="00380D7A">
              <w:t xml:space="preserve">EC10 </w:t>
            </w:r>
          </w:p>
          <w:p w14:paraId="35D0CD7C" w14:textId="77777777" w:rsidR="000318BA" w:rsidRDefault="000318BA" w:rsidP="00772066">
            <w:pPr>
              <w:pStyle w:val="TableText"/>
              <w:spacing w:before="50" w:after="50"/>
            </w:pPr>
            <w:r w:rsidRPr="00380D7A">
              <w:t>(Reproduction)</w:t>
            </w:r>
          </w:p>
        </w:tc>
        <w:tc>
          <w:tcPr>
            <w:tcW w:w="1090" w:type="dxa"/>
          </w:tcPr>
          <w:p w14:paraId="2667EA36" w14:textId="77777777" w:rsidR="000318BA" w:rsidRDefault="000318BA" w:rsidP="00772066">
            <w:pPr>
              <w:pStyle w:val="TableText"/>
              <w:spacing w:before="50" w:after="50"/>
            </w:pPr>
            <w:r w:rsidRPr="00380D7A">
              <w:t>9</w:t>
            </w:r>
          </w:p>
        </w:tc>
        <w:tc>
          <w:tcPr>
            <w:tcW w:w="1139" w:type="dxa"/>
          </w:tcPr>
          <w:p w14:paraId="7B90DD20" w14:textId="77777777" w:rsidR="000318BA" w:rsidRDefault="000318BA" w:rsidP="00772066">
            <w:pPr>
              <w:pStyle w:val="TableText"/>
              <w:spacing w:before="50" w:after="50"/>
            </w:pPr>
            <w:r w:rsidRPr="00380D7A">
              <w:t>9</w:t>
            </w:r>
          </w:p>
        </w:tc>
      </w:tr>
      <w:tr w:rsidR="000318BA" w14:paraId="07930014" w14:textId="77777777" w:rsidTr="00E64C4F">
        <w:trPr>
          <w:cantSplit/>
        </w:trPr>
        <w:tc>
          <w:tcPr>
            <w:tcW w:w="1275" w:type="dxa"/>
            <w:vMerge w:val="restart"/>
          </w:tcPr>
          <w:p w14:paraId="3D23CC70" w14:textId="6F155311" w:rsidR="000318BA" w:rsidRDefault="000318BA" w:rsidP="00772066">
            <w:pPr>
              <w:pStyle w:val="TableText"/>
              <w:spacing w:before="50" w:after="50"/>
            </w:pPr>
            <w:r w:rsidRPr="00353B5B">
              <w:t>Crustacean (Arthropoda)</w:t>
            </w:r>
          </w:p>
        </w:tc>
        <w:tc>
          <w:tcPr>
            <w:tcW w:w="1399" w:type="dxa"/>
          </w:tcPr>
          <w:p w14:paraId="2166ADBF" w14:textId="1E3EAD82" w:rsidR="000318BA" w:rsidRDefault="000318BA" w:rsidP="00772066">
            <w:pPr>
              <w:pStyle w:val="TableText"/>
              <w:spacing w:before="50" w:after="50"/>
            </w:pPr>
            <w:proofErr w:type="spellStart"/>
            <w:r w:rsidRPr="00DC7B98">
              <w:rPr>
                <w:rStyle w:val="Emphasis"/>
              </w:rPr>
              <w:t>Allorchestes</w:t>
            </w:r>
            <w:proofErr w:type="spellEnd"/>
            <w:r w:rsidRPr="00DC7B98">
              <w:rPr>
                <w:rStyle w:val="Emphasis"/>
              </w:rPr>
              <w:t xml:space="preserve"> </w:t>
            </w:r>
            <w:proofErr w:type="spellStart"/>
            <w:r w:rsidRPr="00DC7B98">
              <w:rPr>
                <w:rStyle w:val="Emphasis"/>
              </w:rPr>
              <w:t>compressa</w:t>
            </w:r>
            <w:proofErr w:type="spellEnd"/>
            <w:r w:rsidRPr="00353B5B">
              <w:t xml:space="preserve"> </w:t>
            </w:r>
          </w:p>
        </w:tc>
        <w:tc>
          <w:tcPr>
            <w:tcW w:w="1202" w:type="dxa"/>
          </w:tcPr>
          <w:p w14:paraId="7B242FAE" w14:textId="77777777" w:rsidR="000318BA" w:rsidRDefault="000318BA" w:rsidP="00772066">
            <w:pPr>
              <w:pStyle w:val="TableText"/>
              <w:spacing w:before="50" w:after="50"/>
            </w:pPr>
            <w:r w:rsidRPr="00353B5B">
              <w:t>Juveniles</w:t>
            </w:r>
          </w:p>
        </w:tc>
        <w:tc>
          <w:tcPr>
            <w:tcW w:w="1092" w:type="dxa"/>
          </w:tcPr>
          <w:p w14:paraId="3646285D" w14:textId="77777777" w:rsidR="000318BA" w:rsidRDefault="000318BA" w:rsidP="00772066">
            <w:pPr>
              <w:pStyle w:val="TableText"/>
              <w:spacing w:before="50" w:after="50"/>
            </w:pPr>
            <w:r w:rsidRPr="00353B5B">
              <w:t>28</w:t>
            </w:r>
          </w:p>
        </w:tc>
        <w:tc>
          <w:tcPr>
            <w:tcW w:w="1873" w:type="dxa"/>
          </w:tcPr>
          <w:p w14:paraId="3C873EE5" w14:textId="77777777" w:rsidR="000318BA" w:rsidRDefault="000318BA" w:rsidP="00772066">
            <w:pPr>
              <w:pStyle w:val="TableText"/>
              <w:spacing w:before="50" w:after="50"/>
            </w:pPr>
            <w:r w:rsidRPr="00353B5B">
              <w:t xml:space="preserve">LC10 </w:t>
            </w:r>
          </w:p>
          <w:p w14:paraId="2B849921" w14:textId="77777777" w:rsidR="000318BA" w:rsidRDefault="000318BA" w:rsidP="00772066">
            <w:pPr>
              <w:pStyle w:val="TableText"/>
              <w:spacing w:before="50" w:after="50"/>
            </w:pPr>
            <w:r w:rsidRPr="00353B5B">
              <w:t>(Mortality)</w:t>
            </w:r>
          </w:p>
        </w:tc>
        <w:tc>
          <w:tcPr>
            <w:tcW w:w="1090" w:type="dxa"/>
          </w:tcPr>
          <w:p w14:paraId="18F35AD6" w14:textId="77777777" w:rsidR="000318BA" w:rsidRDefault="000318BA" w:rsidP="00772066">
            <w:pPr>
              <w:pStyle w:val="TableText"/>
              <w:spacing w:before="50" w:after="50"/>
            </w:pPr>
            <w:r w:rsidRPr="00353B5B">
              <w:t>62</w:t>
            </w:r>
          </w:p>
        </w:tc>
        <w:tc>
          <w:tcPr>
            <w:tcW w:w="1139" w:type="dxa"/>
          </w:tcPr>
          <w:p w14:paraId="4AF08108" w14:textId="77777777" w:rsidR="000318BA" w:rsidRDefault="000318BA" w:rsidP="00772066">
            <w:pPr>
              <w:pStyle w:val="TableText"/>
              <w:spacing w:before="50" w:after="50"/>
            </w:pPr>
            <w:r w:rsidRPr="00353B5B">
              <w:t>62</w:t>
            </w:r>
          </w:p>
        </w:tc>
      </w:tr>
      <w:tr w:rsidR="000318BA" w14:paraId="3AF4E49C" w14:textId="77777777" w:rsidTr="00E64C4F">
        <w:trPr>
          <w:cantSplit/>
        </w:trPr>
        <w:tc>
          <w:tcPr>
            <w:tcW w:w="1275" w:type="dxa"/>
            <w:vMerge/>
          </w:tcPr>
          <w:p w14:paraId="2D76AF85" w14:textId="77777777" w:rsidR="000318BA" w:rsidRDefault="000318BA" w:rsidP="00772066">
            <w:pPr>
              <w:pStyle w:val="TableText"/>
              <w:spacing w:before="50" w:after="50"/>
            </w:pPr>
          </w:p>
        </w:tc>
        <w:tc>
          <w:tcPr>
            <w:tcW w:w="1399" w:type="dxa"/>
          </w:tcPr>
          <w:p w14:paraId="3D385A42" w14:textId="65931E07" w:rsidR="000318BA" w:rsidRDefault="000318BA" w:rsidP="00772066">
            <w:pPr>
              <w:pStyle w:val="TableText"/>
              <w:spacing w:before="50" w:after="50"/>
            </w:pPr>
            <w:proofErr w:type="spellStart"/>
            <w:r w:rsidRPr="00DC7B98">
              <w:rPr>
                <w:rStyle w:val="Emphasis"/>
              </w:rPr>
              <w:t>Callianassa</w:t>
            </w:r>
            <w:proofErr w:type="spellEnd"/>
            <w:r w:rsidRPr="00DC7B98">
              <w:rPr>
                <w:rStyle w:val="Emphasis"/>
              </w:rPr>
              <w:t xml:space="preserve"> </w:t>
            </w:r>
            <w:proofErr w:type="spellStart"/>
            <w:r w:rsidRPr="00DC7B98">
              <w:rPr>
                <w:rStyle w:val="Emphasis"/>
              </w:rPr>
              <w:t>australiensis</w:t>
            </w:r>
            <w:proofErr w:type="spellEnd"/>
            <w:r w:rsidRPr="00353B5B">
              <w:t xml:space="preserve"> </w:t>
            </w:r>
          </w:p>
        </w:tc>
        <w:tc>
          <w:tcPr>
            <w:tcW w:w="1202" w:type="dxa"/>
          </w:tcPr>
          <w:p w14:paraId="35EB60C2" w14:textId="77777777" w:rsidR="000318BA" w:rsidRDefault="000318BA" w:rsidP="00772066">
            <w:pPr>
              <w:pStyle w:val="TableText"/>
              <w:spacing w:before="50" w:after="50"/>
            </w:pPr>
            <w:r w:rsidRPr="00353B5B">
              <w:t>Adult</w:t>
            </w:r>
          </w:p>
        </w:tc>
        <w:tc>
          <w:tcPr>
            <w:tcW w:w="1092" w:type="dxa"/>
          </w:tcPr>
          <w:p w14:paraId="21EBB098" w14:textId="77777777" w:rsidR="000318BA" w:rsidRDefault="000318BA" w:rsidP="00772066">
            <w:pPr>
              <w:pStyle w:val="TableText"/>
              <w:spacing w:before="50" w:after="50"/>
            </w:pPr>
            <w:r w:rsidRPr="00353B5B">
              <w:t>14</w:t>
            </w:r>
          </w:p>
        </w:tc>
        <w:tc>
          <w:tcPr>
            <w:tcW w:w="1873" w:type="dxa"/>
          </w:tcPr>
          <w:p w14:paraId="69E280F2" w14:textId="77777777" w:rsidR="000318BA" w:rsidRDefault="000318BA" w:rsidP="00772066">
            <w:pPr>
              <w:pStyle w:val="TableText"/>
              <w:spacing w:before="50" w:after="50"/>
            </w:pPr>
            <w:r w:rsidRPr="00353B5B">
              <w:t xml:space="preserve">EC50 </w:t>
            </w:r>
          </w:p>
          <w:p w14:paraId="3179B9ED" w14:textId="77777777" w:rsidR="000318BA" w:rsidRDefault="000318BA" w:rsidP="00772066">
            <w:pPr>
              <w:pStyle w:val="TableText"/>
              <w:spacing w:before="50" w:after="50"/>
            </w:pPr>
            <w:r w:rsidRPr="00353B5B">
              <w:t>(Immobilisation)</w:t>
            </w:r>
          </w:p>
        </w:tc>
        <w:tc>
          <w:tcPr>
            <w:tcW w:w="1090" w:type="dxa"/>
          </w:tcPr>
          <w:p w14:paraId="25DE9629" w14:textId="77777777" w:rsidR="000318BA" w:rsidRDefault="000318BA" w:rsidP="00772066">
            <w:pPr>
              <w:pStyle w:val="TableText"/>
              <w:spacing w:before="50" w:after="50"/>
            </w:pPr>
            <w:r w:rsidRPr="00353B5B">
              <w:t>1</w:t>
            </w:r>
            <w:r>
              <w:t> </w:t>
            </w:r>
            <w:r w:rsidRPr="00353B5B">
              <w:t>150</w:t>
            </w:r>
          </w:p>
        </w:tc>
        <w:tc>
          <w:tcPr>
            <w:tcW w:w="1139" w:type="dxa"/>
          </w:tcPr>
          <w:p w14:paraId="67336D4C" w14:textId="77777777" w:rsidR="000318BA" w:rsidRDefault="000318BA" w:rsidP="00772066">
            <w:pPr>
              <w:pStyle w:val="TableText"/>
              <w:spacing w:before="50" w:after="50"/>
            </w:pPr>
            <w:r w:rsidRPr="00353B5B">
              <w:t xml:space="preserve">230 </w:t>
            </w:r>
            <w:r w:rsidRPr="00DC7B98">
              <w:rPr>
                <w:rStyle w:val="Strong"/>
                <w:vertAlign w:val="superscript"/>
              </w:rPr>
              <w:t>a</w:t>
            </w:r>
          </w:p>
        </w:tc>
      </w:tr>
      <w:tr w:rsidR="000318BA" w14:paraId="7BC298E1" w14:textId="77777777" w:rsidTr="00E64C4F">
        <w:trPr>
          <w:cantSplit/>
        </w:trPr>
        <w:tc>
          <w:tcPr>
            <w:tcW w:w="1275" w:type="dxa"/>
            <w:vMerge w:val="restart"/>
          </w:tcPr>
          <w:p w14:paraId="4B6AD57B" w14:textId="2020A1EC" w:rsidR="000318BA" w:rsidRDefault="000318BA" w:rsidP="00772066">
            <w:pPr>
              <w:pStyle w:val="TableText"/>
              <w:spacing w:before="50" w:after="50"/>
            </w:pPr>
            <w:r w:rsidRPr="00820287">
              <w:t>Mollusc</w:t>
            </w:r>
          </w:p>
          <w:p w14:paraId="5FF31301" w14:textId="337B4BD6" w:rsidR="00DA3B48" w:rsidRDefault="00DA3B48" w:rsidP="00772066">
            <w:pPr>
              <w:pStyle w:val="TableText"/>
              <w:spacing w:before="50" w:after="50"/>
            </w:pPr>
            <w:r>
              <w:t>(Mollusca)</w:t>
            </w:r>
          </w:p>
        </w:tc>
        <w:tc>
          <w:tcPr>
            <w:tcW w:w="1399" w:type="dxa"/>
          </w:tcPr>
          <w:p w14:paraId="0B2D0181" w14:textId="57F3EF86" w:rsidR="000318BA" w:rsidRDefault="000318BA" w:rsidP="00772066">
            <w:pPr>
              <w:pStyle w:val="TableText"/>
              <w:spacing w:before="50" w:after="50"/>
            </w:pPr>
            <w:r w:rsidRPr="00DC7B98">
              <w:rPr>
                <w:rStyle w:val="Emphasis"/>
              </w:rPr>
              <w:t>Crassostrea gigas</w:t>
            </w:r>
            <w:r w:rsidRPr="00820287">
              <w:t xml:space="preserve"> </w:t>
            </w:r>
          </w:p>
        </w:tc>
        <w:tc>
          <w:tcPr>
            <w:tcW w:w="1202" w:type="dxa"/>
          </w:tcPr>
          <w:p w14:paraId="589F7A2B" w14:textId="77777777" w:rsidR="000318BA" w:rsidRDefault="000318BA" w:rsidP="00772066">
            <w:pPr>
              <w:pStyle w:val="TableText"/>
              <w:spacing w:before="50" w:after="50"/>
            </w:pPr>
            <w:r w:rsidRPr="00820287">
              <w:t>Embryos</w:t>
            </w:r>
          </w:p>
        </w:tc>
        <w:tc>
          <w:tcPr>
            <w:tcW w:w="1092" w:type="dxa"/>
          </w:tcPr>
          <w:p w14:paraId="791EA852" w14:textId="77777777" w:rsidR="000318BA" w:rsidRDefault="000318BA" w:rsidP="00772066">
            <w:pPr>
              <w:pStyle w:val="TableText"/>
              <w:spacing w:before="50" w:after="50"/>
            </w:pPr>
            <w:r w:rsidRPr="00820287">
              <w:t>2</w:t>
            </w:r>
          </w:p>
        </w:tc>
        <w:tc>
          <w:tcPr>
            <w:tcW w:w="1873" w:type="dxa"/>
          </w:tcPr>
          <w:p w14:paraId="282C56CA" w14:textId="77777777" w:rsidR="000318BA" w:rsidRDefault="000318BA" w:rsidP="00772066">
            <w:pPr>
              <w:pStyle w:val="TableText"/>
              <w:spacing w:before="50" w:after="50"/>
            </w:pPr>
            <w:r w:rsidRPr="00820287">
              <w:t xml:space="preserve">EC50 </w:t>
            </w:r>
          </w:p>
          <w:p w14:paraId="480A46BE" w14:textId="77777777" w:rsidR="000318BA" w:rsidRDefault="000318BA" w:rsidP="00772066">
            <w:pPr>
              <w:pStyle w:val="TableText"/>
              <w:spacing w:before="50" w:after="50"/>
            </w:pPr>
            <w:r w:rsidRPr="00820287">
              <w:t>(Development)</w:t>
            </w:r>
          </w:p>
        </w:tc>
        <w:tc>
          <w:tcPr>
            <w:tcW w:w="1090" w:type="dxa"/>
          </w:tcPr>
          <w:p w14:paraId="4D48CC2D" w14:textId="77777777" w:rsidR="000318BA" w:rsidRDefault="000318BA" w:rsidP="00772066">
            <w:pPr>
              <w:pStyle w:val="TableText"/>
              <w:spacing w:before="50" w:after="50"/>
            </w:pPr>
            <w:r w:rsidRPr="00820287">
              <w:t>119</w:t>
            </w:r>
          </w:p>
        </w:tc>
        <w:tc>
          <w:tcPr>
            <w:tcW w:w="1139" w:type="dxa"/>
          </w:tcPr>
          <w:p w14:paraId="7CCDBC6D" w14:textId="77777777" w:rsidR="000318BA" w:rsidRDefault="000318BA" w:rsidP="00772066">
            <w:pPr>
              <w:pStyle w:val="TableText"/>
              <w:spacing w:before="50" w:after="50"/>
            </w:pPr>
            <w:r w:rsidRPr="00820287">
              <w:t xml:space="preserve">24 </w:t>
            </w:r>
            <w:r w:rsidRPr="00DC7B98">
              <w:rPr>
                <w:rStyle w:val="Strong"/>
                <w:vertAlign w:val="superscript"/>
              </w:rPr>
              <w:t>a</w:t>
            </w:r>
          </w:p>
        </w:tc>
      </w:tr>
      <w:tr w:rsidR="000318BA" w14:paraId="39C06E47" w14:textId="77777777" w:rsidTr="00E64C4F">
        <w:trPr>
          <w:cantSplit/>
        </w:trPr>
        <w:tc>
          <w:tcPr>
            <w:tcW w:w="1275" w:type="dxa"/>
            <w:vMerge/>
          </w:tcPr>
          <w:p w14:paraId="736FF688" w14:textId="77777777" w:rsidR="000318BA" w:rsidRDefault="000318BA" w:rsidP="00772066">
            <w:pPr>
              <w:pStyle w:val="TableText"/>
              <w:spacing w:before="50" w:after="50"/>
            </w:pPr>
          </w:p>
        </w:tc>
        <w:tc>
          <w:tcPr>
            <w:tcW w:w="1399" w:type="dxa"/>
          </w:tcPr>
          <w:p w14:paraId="2951B6EB" w14:textId="4438C09F" w:rsidR="000318BA" w:rsidRDefault="000318BA" w:rsidP="00772066">
            <w:pPr>
              <w:pStyle w:val="TableText"/>
              <w:spacing w:before="50" w:after="50"/>
            </w:pPr>
            <w:proofErr w:type="spellStart"/>
            <w:r w:rsidRPr="00DC7B98">
              <w:rPr>
                <w:rStyle w:val="Emphasis"/>
              </w:rPr>
              <w:t>Haliotis</w:t>
            </w:r>
            <w:proofErr w:type="spellEnd"/>
            <w:r w:rsidRPr="00DC7B98">
              <w:rPr>
                <w:rStyle w:val="Emphasis"/>
              </w:rPr>
              <w:t xml:space="preserve"> </w:t>
            </w:r>
            <w:proofErr w:type="spellStart"/>
            <w:r w:rsidRPr="00DC7B98">
              <w:rPr>
                <w:rStyle w:val="Emphasis"/>
              </w:rPr>
              <w:t>diversicolor</w:t>
            </w:r>
            <w:proofErr w:type="spellEnd"/>
            <w:r>
              <w:t xml:space="preserve"> </w:t>
            </w:r>
          </w:p>
        </w:tc>
        <w:tc>
          <w:tcPr>
            <w:tcW w:w="1202" w:type="dxa"/>
          </w:tcPr>
          <w:p w14:paraId="3EE3246C" w14:textId="50425E8A" w:rsidR="000318BA" w:rsidRDefault="000318BA" w:rsidP="00772066">
            <w:pPr>
              <w:pStyle w:val="TableText"/>
              <w:spacing w:before="50" w:after="50"/>
            </w:pPr>
            <w:r>
              <w:t>NR</w:t>
            </w:r>
          </w:p>
        </w:tc>
        <w:tc>
          <w:tcPr>
            <w:tcW w:w="1092" w:type="dxa"/>
          </w:tcPr>
          <w:p w14:paraId="2AF90EEA" w14:textId="77777777" w:rsidR="000318BA" w:rsidRDefault="000318BA" w:rsidP="00772066">
            <w:pPr>
              <w:pStyle w:val="TableText"/>
              <w:spacing w:before="50" w:after="50"/>
            </w:pPr>
            <w:r w:rsidRPr="00820287">
              <w:t>28</w:t>
            </w:r>
          </w:p>
        </w:tc>
        <w:tc>
          <w:tcPr>
            <w:tcW w:w="1873" w:type="dxa"/>
          </w:tcPr>
          <w:p w14:paraId="2FBDEC05" w14:textId="77777777" w:rsidR="000318BA" w:rsidRDefault="000318BA" w:rsidP="00772066">
            <w:pPr>
              <w:pStyle w:val="TableText"/>
              <w:spacing w:before="50" w:after="50"/>
            </w:pPr>
            <w:r w:rsidRPr="00820287">
              <w:t xml:space="preserve">NOEC </w:t>
            </w:r>
          </w:p>
          <w:p w14:paraId="24143A75" w14:textId="77777777" w:rsidR="000318BA" w:rsidRDefault="000318BA" w:rsidP="00772066">
            <w:pPr>
              <w:pStyle w:val="TableText"/>
              <w:spacing w:before="50" w:after="50"/>
            </w:pPr>
            <w:r w:rsidRPr="00820287">
              <w:t>(Growth)</w:t>
            </w:r>
          </w:p>
        </w:tc>
        <w:tc>
          <w:tcPr>
            <w:tcW w:w="1090" w:type="dxa"/>
          </w:tcPr>
          <w:p w14:paraId="37136EA6" w14:textId="77777777" w:rsidR="000318BA" w:rsidRDefault="000318BA" w:rsidP="00772066">
            <w:pPr>
              <w:pStyle w:val="TableText"/>
              <w:spacing w:before="50" w:after="50"/>
            </w:pPr>
            <w:r w:rsidRPr="00820287">
              <w:t>64</w:t>
            </w:r>
          </w:p>
        </w:tc>
        <w:tc>
          <w:tcPr>
            <w:tcW w:w="1139" w:type="dxa"/>
          </w:tcPr>
          <w:p w14:paraId="7F88AF77" w14:textId="77777777" w:rsidR="000318BA" w:rsidRDefault="000318BA" w:rsidP="00772066">
            <w:pPr>
              <w:pStyle w:val="TableText"/>
              <w:spacing w:before="50" w:after="50"/>
            </w:pPr>
            <w:r w:rsidRPr="00820287">
              <w:t>64</w:t>
            </w:r>
          </w:p>
        </w:tc>
      </w:tr>
      <w:tr w:rsidR="000318BA" w14:paraId="2B6D6DC2" w14:textId="77777777" w:rsidTr="00E64C4F">
        <w:trPr>
          <w:cantSplit/>
        </w:trPr>
        <w:tc>
          <w:tcPr>
            <w:tcW w:w="1275" w:type="dxa"/>
            <w:vMerge/>
          </w:tcPr>
          <w:p w14:paraId="265371FC" w14:textId="77777777" w:rsidR="000318BA" w:rsidRDefault="000318BA" w:rsidP="00772066">
            <w:pPr>
              <w:pStyle w:val="TableText"/>
              <w:spacing w:before="50" w:after="50"/>
            </w:pPr>
          </w:p>
        </w:tc>
        <w:tc>
          <w:tcPr>
            <w:tcW w:w="1399" w:type="dxa"/>
          </w:tcPr>
          <w:p w14:paraId="6A48A25E" w14:textId="1D31B89D" w:rsidR="000318BA" w:rsidRDefault="000318BA" w:rsidP="00772066">
            <w:pPr>
              <w:pStyle w:val="TableText"/>
              <w:spacing w:before="50" w:after="50"/>
            </w:pPr>
            <w:proofErr w:type="spellStart"/>
            <w:r w:rsidRPr="00DC7B98">
              <w:rPr>
                <w:rStyle w:val="Emphasis"/>
              </w:rPr>
              <w:t>Mimachlamys</w:t>
            </w:r>
            <w:proofErr w:type="spellEnd"/>
            <w:r w:rsidRPr="00DC7B98">
              <w:rPr>
                <w:rStyle w:val="Emphasis"/>
              </w:rPr>
              <w:t xml:space="preserve"> </w:t>
            </w:r>
            <w:proofErr w:type="spellStart"/>
            <w:r w:rsidRPr="00DC7B98">
              <w:rPr>
                <w:rStyle w:val="Emphasis"/>
              </w:rPr>
              <w:t>asperrima</w:t>
            </w:r>
            <w:proofErr w:type="spellEnd"/>
            <w:r w:rsidRPr="00156BA3">
              <w:t xml:space="preserve"> </w:t>
            </w:r>
          </w:p>
        </w:tc>
        <w:tc>
          <w:tcPr>
            <w:tcW w:w="1202" w:type="dxa"/>
          </w:tcPr>
          <w:p w14:paraId="7F89D779" w14:textId="77777777" w:rsidR="000318BA" w:rsidRDefault="000318BA" w:rsidP="00772066">
            <w:pPr>
              <w:pStyle w:val="TableText"/>
              <w:spacing w:before="50" w:after="50"/>
            </w:pPr>
            <w:r w:rsidRPr="00156BA3">
              <w:t>Larvae</w:t>
            </w:r>
          </w:p>
        </w:tc>
        <w:tc>
          <w:tcPr>
            <w:tcW w:w="1092" w:type="dxa"/>
          </w:tcPr>
          <w:p w14:paraId="661C294D" w14:textId="77777777" w:rsidR="000318BA" w:rsidRDefault="000318BA" w:rsidP="00772066">
            <w:pPr>
              <w:pStyle w:val="TableText"/>
              <w:spacing w:before="50" w:after="50"/>
            </w:pPr>
            <w:r w:rsidRPr="00156BA3">
              <w:t>2</w:t>
            </w:r>
          </w:p>
        </w:tc>
        <w:tc>
          <w:tcPr>
            <w:tcW w:w="1873" w:type="dxa"/>
          </w:tcPr>
          <w:p w14:paraId="616961D6" w14:textId="77777777" w:rsidR="000318BA" w:rsidRDefault="000318BA" w:rsidP="00772066">
            <w:pPr>
              <w:pStyle w:val="TableText"/>
              <w:spacing w:before="50" w:after="50"/>
            </w:pPr>
            <w:r w:rsidRPr="00156BA3">
              <w:t xml:space="preserve">NOEC </w:t>
            </w:r>
          </w:p>
          <w:p w14:paraId="22DB3A0B" w14:textId="77777777" w:rsidR="000318BA" w:rsidRDefault="000318BA" w:rsidP="00772066">
            <w:pPr>
              <w:pStyle w:val="TableText"/>
              <w:spacing w:before="50" w:after="50"/>
            </w:pPr>
            <w:r w:rsidRPr="00156BA3">
              <w:t>(Development)</w:t>
            </w:r>
          </w:p>
        </w:tc>
        <w:tc>
          <w:tcPr>
            <w:tcW w:w="1090" w:type="dxa"/>
          </w:tcPr>
          <w:p w14:paraId="4F4E6FAB" w14:textId="77777777" w:rsidR="000318BA" w:rsidRDefault="000318BA" w:rsidP="00772066">
            <w:pPr>
              <w:pStyle w:val="TableText"/>
              <w:spacing w:before="50" w:after="50"/>
            </w:pPr>
            <w:r w:rsidRPr="00156BA3">
              <w:t>5</w:t>
            </w:r>
          </w:p>
        </w:tc>
        <w:tc>
          <w:tcPr>
            <w:tcW w:w="1139" w:type="dxa"/>
          </w:tcPr>
          <w:p w14:paraId="0F1ECB64" w14:textId="77777777" w:rsidR="000318BA" w:rsidRDefault="000318BA" w:rsidP="00772066">
            <w:pPr>
              <w:pStyle w:val="TableText"/>
              <w:spacing w:before="50" w:after="50"/>
            </w:pPr>
            <w:r w:rsidRPr="00156BA3">
              <w:t>5</w:t>
            </w:r>
          </w:p>
        </w:tc>
      </w:tr>
      <w:tr w:rsidR="000318BA" w14:paraId="284D67FA" w14:textId="77777777" w:rsidTr="00E64C4F">
        <w:trPr>
          <w:cantSplit/>
        </w:trPr>
        <w:tc>
          <w:tcPr>
            <w:tcW w:w="1275" w:type="dxa"/>
            <w:vMerge/>
          </w:tcPr>
          <w:p w14:paraId="20186852" w14:textId="77777777" w:rsidR="000318BA" w:rsidRDefault="000318BA" w:rsidP="00772066">
            <w:pPr>
              <w:pStyle w:val="TableText"/>
              <w:spacing w:before="50" w:after="50"/>
            </w:pPr>
          </w:p>
        </w:tc>
        <w:tc>
          <w:tcPr>
            <w:tcW w:w="1399" w:type="dxa"/>
          </w:tcPr>
          <w:p w14:paraId="6366D825" w14:textId="178428C4" w:rsidR="000318BA" w:rsidRDefault="000318BA" w:rsidP="00772066">
            <w:pPr>
              <w:pStyle w:val="TableText"/>
              <w:spacing w:before="50" w:after="50"/>
            </w:pPr>
            <w:r w:rsidRPr="00DC7B98">
              <w:rPr>
                <w:rStyle w:val="Emphasis"/>
              </w:rPr>
              <w:t>Mytilus edulis</w:t>
            </w:r>
            <w:r w:rsidRPr="00156BA3">
              <w:t xml:space="preserve"> </w:t>
            </w:r>
          </w:p>
        </w:tc>
        <w:tc>
          <w:tcPr>
            <w:tcW w:w="1202" w:type="dxa"/>
          </w:tcPr>
          <w:p w14:paraId="7B7EF2C8" w14:textId="77777777" w:rsidR="000318BA" w:rsidRDefault="000318BA" w:rsidP="00772066">
            <w:pPr>
              <w:pStyle w:val="TableText"/>
              <w:spacing w:before="50" w:after="50"/>
            </w:pPr>
            <w:r w:rsidRPr="00156BA3">
              <w:t>Eggs/Larvae</w:t>
            </w:r>
          </w:p>
        </w:tc>
        <w:tc>
          <w:tcPr>
            <w:tcW w:w="1092" w:type="dxa"/>
          </w:tcPr>
          <w:p w14:paraId="5034DFB6" w14:textId="77777777" w:rsidR="000318BA" w:rsidRDefault="000318BA" w:rsidP="00772066">
            <w:pPr>
              <w:pStyle w:val="TableText"/>
              <w:spacing w:before="50" w:after="50"/>
            </w:pPr>
            <w:r w:rsidRPr="00156BA3">
              <w:t>2</w:t>
            </w:r>
          </w:p>
        </w:tc>
        <w:tc>
          <w:tcPr>
            <w:tcW w:w="1873" w:type="dxa"/>
          </w:tcPr>
          <w:p w14:paraId="1777291A" w14:textId="77777777" w:rsidR="000318BA" w:rsidRDefault="000318BA" w:rsidP="00772066">
            <w:pPr>
              <w:pStyle w:val="TableText"/>
              <w:spacing w:before="50" w:after="50"/>
            </w:pPr>
            <w:r w:rsidRPr="00156BA3">
              <w:t xml:space="preserve">EC50 </w:t>
            </w:r>
          </w:p>
          <w:p w14:paraId="51709812" w14:textId="77777777" w:rsidR="000318BA" w:rsidRDefault="000318BA" w:rsidP="00772066">
            <w:pPr>
              <w:pStyle w:val="TableText"/>
              <w:spacing w:before="50" w:after="50"/>
            </w:pPr>
            <w:r w:rsidRPr="00156BA3">
              <w:t>(Development)</w:t>
            </w:r>
          </w:p>
        </w:tc>
        <w:tc>
          <w:tcPr>
            <w:tcW w:w="1090" w:type="dxa"/>
          </w:tcPr>
          <w:p w14:paraId="6786CB45" w14:textId="77777777" w:rsidR="000318BA" w:rsidRDefault="000318BA" w:rsidP="00772066">
            <w:pPr>
              <w:pStyle w:val="TableText"/>
              <w:spacing w:before="50" w:after="50"/>
            </w:pPr>
            <w:r w:rsidRPr="00156BA3">
              <w:t>175</w:t>
            </w:r>
          </w:p>
        </w:tc>
        <w:tc>
          <w:tcPr>
            <w:tcW w:w="1139" w:type="dxa"/>
          </w:tcPr>
          <w:p w14:paraId="39310303" w14:textId="77777777" w:rsidR="000318BA" w:rsidRDefault="000318BA" w:rsidP="00772066">
            <w:pPr>
              <w:pStyle w:val="TableText"/>
              <w:spacing w:before="50" w:after="50"/>
            </w:pPr>
            <w:r w:rsidRPr="00156BA3">
              <w:t xml:space="preserve">35 </w:t>
            </w:r>
            <w:r w:rsidRPr="00DC7B98">
              <w:rPr>
                <w:rStyle w:val="Strong"/>
                <w:vertAlign w:val="superscript"/>
              </w:rPr>
              <w:t>a</w:t>
            </w:r>
          </w:p>
        </w:tc>
      </w:tr>
      <w:tr w:rsidR="000318BA" w14:paraId="1B5491A3" w14:textId="77777777" w:rsidTr="00E64C4F">
        <w:trPr>
          <w:cantSplit/>
        </w:trPr>
        <w:tc>
          <w:tcPr>
            <w:tcW w:w="1275" w:type="dxa"/>
            <w:vMerge/>
          </w:tcPr>
          <w:p w14:paraId="3C9AAC26" w14:textId="77777777" w:rsidR="000318BA" w:rsidRDefault="000318BA" w:rsidP="00772066">
            <w:pPr>
              <w:pStyle w:val="TableText"/>
              <w:spacing w:before="50" w:after="50"/>
            </w:pPr>
          </w:p>
        </w:tc>
        <w:tc>
          <w:tcPr>
            <w:tcW w:w="1399" w:type="dxa"/>
          </w:tcPr>
          <w:p w14:paraId="14CB0ED7" w14:textId="441CB6DA" w:rsidR="000318BA" w:rsidRDefault="000318BA" w:rsidP="00772066">
            <w:pPr>
              <w:pStyle w:val="TableText"/>
              <w:spacing w:before="50" w:after="50"/>
            </w:pPr>
            <w:r w:rsidRPr="00DC7B98">
              <w:rPr>
                <w:rStyle w:val="Emphasis"/>
              </w:rPr>
              <w:t>Mytilus galloprovincialis</w:t>
            </w:r>
            <w:r w:rsidRPr="00156BA3">
              <w:t xml:space="preserve"> </w:t>
            </w:r>
          </w:p>
        </w:tc>
        <w:tc>
          <w:tcPr>
            <w:tcW w:w="1202" w:type="dxa"/>
          </w:tcPr>
          <w:p w14:paraId="4D050A33" w14:textId="77777777" w:rsidR="000318BA" w:rsidRDefault="000318BA" w:rsidP="00772066">
            <w:pPr>
              <w:pStyle w:val="TableText"/>
              <w:spacing w:before="50" w:after="50"/>
            </w:pPr>
            <w:r w:rsidRPr="00156BA3">
              <w:t>Embryos</w:t>
            </w:r>
          </w:p>
        </w:tc>
        <w:tc>
          <w:tcPr>
            <w:tcW w:w="1092" w:type="dxa"/>
          </w:tcPr>
          <w:p w14:paraId="556513ED" w14:textId="77777777" w:rsidR="000318BA" w:rsidRDefault="000318BA" w:rsidP="00772066">
            <w:pPr>
              <w:pStyle w:val="TableText"/>
              <w:spacing w:before="50" w:after="50"/>
            </w:pPr>
            <w:r w:rsidRPr="00156BA3">
              <w:t>2</w:t>
            </w:r>
          </w:p>
        </w:tc>
        <w:tc>
          <w:tcPr>
            <w:tcW w:w="1873" w:type="dxa"/>
          </w:tcPr>
          <w:p w14:paraId="21BA5D4A" w14:textId="77777777" w:rsidR="000318BA" w:rsidRDefault="000318BA" w:rsidP="00772066">
            <w:pPr>
              <w:pStyle w:val="TableText"/>
              <w:spacing w:before="50" w:after="50"/>
            </w:pPr>
            <w:r w:rsidRPr="00156BA3">
              <w:t xml:space="preserve">EC50 </w:t>
            </w:r>
          </w:p>
          <w:p w14:paraId="0599B2D5" w14:textId="77777777" w:rsidR="000318BA" w:rsidRDefault="000318BA" w:rsidP="00772066">
            <w:pPr>
              <w:pStyle w:val="TableText"/>
              <w:spacing w:before="50" w:after="50"/>
            </w:pPr>
            <w:r w:rsidRPr="00156BA3">
              <w:t>(Development)</w:t>
            </w:r>
          </w:p>
        </w:tc>
        <w:tc>
          <w:tcPr>
            <w:tcW w:w="1090" w:type="dxa"/>
          </w:tcPr>
          <w:p w14:paraId="746E4BC6" w14:textId="6FF0E712" w:rsidR="000318BA" w:rsidRDefault="000318BA" w:rsidP="00772066">
            <w:pPr>
              <w:pStyle w:val="TableText"/>
              <w:spacing w:before="50" w:after="50"/>
            </w:pPr>
            <w:r w:rsidRPr="00156BA3">
              <w:t>182</w:t>
            </w:r>
            <w:r w:rsidR="00753E00" w:rsidRPr="00A53FF5">
              <w:t xml:space="preserve"> </w:t>
            </w:r>
            <w:r w:rsidR="00E64C4F">
              <w:rPr>
                <w:rStyle w:val="Strong"/>
                <w:vertAlign w:val="superscript"/>
              </w:rPr>
              <w:t>b</w:t>
            </w:r>
          </w:p>
        </w:tc>
        <w:tc>
          <w:tcPr>
            <w:tcW w:w="1139" w:type="dxa"/>
          </w:tcPr>
          <w:p w14:paraId="465DE630" w14:textId="77777777" w:rsidR="000318BA" w:rsidRDefault="000318BA" w:rsidP="00772066">
            <w:pPr>
              <w:pStyle w:val="TableText"/>
              <w:spacing w:before="50" w:after="50"/>
            </w:pPr>
            <w:r w:rsidRPr="00156BA3">
              <w:t xml:space="preserve">36 </w:t>
            </w:r>
            <w:r w:rsidRPr="00DC7B98">
              <w:rPr>
                <w:rStyle w:val="Strong"/>
                <w:vertAlign w:val="superscript"/>
              </w:rPr>
              <w:t>a</w:t>
            </w:r>
          </w:p>
        </w:tc>
      </w:tr>
      <w:tr w:rsidR="000318BA" w14:paraId="5228DBDA" w14:textId="77777777" w:rsidTr="00E64C4F">
        <w:trPr>
          <w:cantSplit/>
        </w:trPr>
        <w:tc>
          <w:tcPr>
            <w:tcW w:w="1275" w:type="dxa"/>
            <w:vMerge/>
          </w:tcPr>
          <w:p w14:paraId="1663D7A9" w14:textId="77777777" w:rsidR="000318BA" w:rsidRDefault="000318BA" w:rsidP="00772066">
            <w:pPr>
              <w:pStyle w:val="TableText"/>
              <w:spacing w:before="50" w:after="50"/>
            </w:pPr>
          </w:p>
        </w:tc>
        <w:tc>
          <w:tcPr>
            <w:tcW w:w="1399" w:type="dxa"/>
            <w:tcBorders>
              <w:bottom w:val="single" w:sz="4" w:space="0" w:color="auto"/>
            </w:tcBorders>
          </w:tcPr>
          <w:p w14:paraId="0F551FC7" w14:textId="1C9FA642" w:rsidR="000318BA" w:rsidRDefault="000318BA" w:rsidP="00772066">
            <w:pPr>
              <w:pStyle w:val="TableText"/>
              <w:spacing w:before="50" w:after="50"/>
            </w:pPr>
            <w:r w:rsidRPr="00DC7B98">
              <w:rPr>
                <w:rStyle w:val="Emphasis"/>
              </w:rPr>
              <w:t xml:space="preserve">Mytilus </w:t>
            </w:r>
            <w:proofErr w:type="spellStart"/>
            <w:r w:rsidRPr="00DC7B98">
              <w:rPr>
                <w:rStyle w:val="Emphasis"/>
              </w:rPr>
              <w:t>trossulus</w:t>
            </w:r>
            <w:proofErr w:type="spellEnd"/>
            <w:r w:rsidRPr="00156BA3">
              <w:t xml:space="preserve"> </w:t>
            </w:r>
          </w:p>
        </w:tc>
        <w:tc>
          <w:tcPr>
            <w:tcW w:w="1202" w:type="dxa"/>
            <w:tcBorders>
              <w:bottom w:val="single" w:sz="4" w:space="0" w:color="auto"/>
            </w:tcBorders>
          </w:tcPr>
          <w:p w14:paraId="4FB0BD4E" w14:textId="77777777" w:rsidR="000318BA" w:rsidRDefault="000318BA" w:rsidP="00772066">
            <w:pPr>
              <w:pStyle w:val="TableText"/>
              <w:spacing w:before="50" w:after="50"/>
            </w:pPr>
            <w:r w:rsidRPr="00156BA3">
              <w:t>Embryos</w:t>
            </w:r>
          </w:p>
        </w:tc>
        <w:tc>
          <w:tcPr>
            <w:tcW w:w="1092" w:type="dxa"/>
            <w:tcBorders>
              <w:bottom w:val="single" w:sz="4" w:space="0" w:color="auto"/>
            </w:tcBorders>
          </w:tcPr>
          <w:p w14:paraId="4A5B3306" w14:textId="77777777" w:rsidR="000318BA" w:rsidRDefault="000318BA" w:rsidP="00772066">
            <w:pPr>
              <w:pStyle w:val="TableText"/>
              <w:spacing w:before="50" w:after="50"/>
            </w:pPr>
            <w:r w:rsidRPr="00156BA3">
              <w:t>2</w:t>
            </w:r>
          </w:p>
        </w:tc>
        <w:tc>
          <w:tcPr>
            <w:tcW w:w="1873" w:type="dxa"/>
            <w:tcBorders>
              <w:bottom w:val="single" w:sz="4" w:space="0" w:color="auto"/>
            </w:tcBorders>
          </w:tcPr>
          <w:p w14:paraId="27C15748" w14:textId="77777777" w:rsidR="000318BA" w:rsidRDefault="000318BA" w:rsidP="00772066">
            <w:pPr>
              <w:pStyle w:val="TableText"/>
              <w:spacing w:before="50" w:after="50"/>
            </w:pPr>
            <w:r w:rsidRPr="00156BA3">
              <w:t xml:space="preserve">EC20 </w:t>
            </w:r>
          </w:p>
          <w:p w14:paraId="3F3E206D" w14:textId="77777777" w:rsidR="000318BA" w:rsidRDefault="000318BA" w:rsidP="00772066">
            <w:pPr>
              <w:pStyle w:val="TableText"/>
              <w:spacing w:before="50" w:after="50"/>
            </w:pPr>
            <w:r w:rsidRPr="00156BA3">
              <w:t>(Development)</w:t>
            </w:r>
          </w:p>
        </w:tc>
        <w:tc>
          <w:tcPr>
            <w:tcW w:w="1090" w:type="dxa"/>
            <w:tcBorders>
              <w:bottom w:val="single" w:sz="4" w:space="0" w:color="auto"/>
            </w:tcBorders>
          </w:tcPr>
          <w:p w14:paraId="4D6EC313" w14:textId="77777777" w:rsidR="000318BA" w:rsidRDefault="000318BA" w:rsidP="00772066">
            <w:pPr>
              <w:pStyle w:val="TableText"/>
              <w:spacing w:before="50" w:after="50"/>
            </w:pPr>
            <w:r w:rsidRPr="00156BA3">
              <w:t>64</w:t>
            </w:r>
          </w:p>
        </w:tc>
        <w:tc>
          <w:tcPr>
            <w:tcW w:w="1139" w:type="dxa"/>
            <w:tcBorders>
              <w:bottom w:val="single" w:sz="4" w:space="0" w:color="auto"/>
            </w:tcBorders>
          </w:tcPr>
          <w:p w14:paraId="2D3E82B3" w14:textId="77777777" w:rsidR="000318BA" w:rsidRDefault="000318BA" w:rsidP="00772066">
            <w:pPr>
              <w:pStyle w:val="TableText"/>
              <w:spacing w:before="50" w:after="50"/>
            </w:pPr>
            <w:r w:rsidRPr="00156BA3">
              <w:t>64</w:t>
            </w:r>
          </w:p>
        </w:tc>
      </w:tr>
      <w:tr w:rsidR="000318BA" w14:paraId="014AC565" w14:textId="77777777" w:rsidTr="00E64C4F">
        <w:trPr>
          <w:cantSplit/>
        </w:trPr>
        <w:tc>
          <w:tcPr>
            <w:tcW w:w="1275" w:type="dxa"/>
            <w:vMerge/>
            <w:tcBorders>
              <w:bottom w:val="single" w:sz="12" w:space="0" w:color="auto"/>
            </w:tcBorders>
          </w:tcPr>
          <w:p w14:paraId="04871756" w14:textId="77777777" w:rsidR="000318BA" w:rsidRDefault="000318BA" w:rsidP="00772066">
            <w:pPr>
              <w:pStyle w:val="TableText"/>
              <w:spacing w:before="50" w:after="50"/>
            </w:pPr>
          </w:p>
        </w:tc>
        <w:tc>
          <w:tcPr>
            <w:tcW w:w="1399" w:type="dxa"/>
            <w:tcBorders>
              <w:top w:val="single" w:sz="4" w:space="0" w:color="auto"/>
              <w:bottom w:val="single" w:sz="12" w:space="0" w:color="auto"/>
            </w:tcBorders>
          </w:tcPr>
          <w:p w14:paraId="4D96E940" w14:textId="33B9FC62" w:rsidR="000318BA" w:rsidRDefault="000318BA" w:rsidP="00772066">
            <w:pPr>
              <w:pStyle w:val="TableText"/>
              <w:spacing w:before="50" w:after="50"/>
            </w:pPr>
            <w:r w:rsidRPr="00DC7B98">
              <w:rPr>
                <w:rStyle w:val="Emphasis"/>
              </w:rPr>
              <w:t>Saccostrea glomerata</w:t>
            </w:r>
            <w:r w:rsidRPr="00156BA3">
              <w:t xml:space="preserve"> </w:t>
            </w:r>
          </w:p>
        </w:tc>
        <w:tc>
          <w:tcPr>
            <w:tcW w:w="1202" w:type="dxa"/>
            <w:tcBorders>
              <w:top w:val="single" w:sz="4" w:space="0" w:color="auto"/>
              <w:bottom w:val="single" w:sz="12" w:space="0" w:color="auto"/>
            </w:tcBorders>
          </w:tcPr>
          <w:p w14:paraId="317F2021" w14:textId="77777777" w:rsidR="000318BA" w:rsidRDefault="000318BA" w:rsidP="00772066">
            <w:pPr>
              <w:pStyle w:val="TableText"/>
              <w:spacing w:before="50" w:after="50"/>
            </w:pPr>
            <w:r w:rsidRPr="00156BA3">
              <w:t>Larvae</w:t>
            </w:r>
          </w:p>
        </w:tc>
        <w:tc>
          <w:tcPr>
            <w:tcW w:w="1092" w:type="dxa"/>
            <w:tcBorders>
              <w:top w:val="single" w:sz="4" w:space="0" w:color="auto"/>
              <w:bottom w:val="single" w:sz="12" w:space="0" w:color="auto"/>
            </w:tcBorders>
          </w:tcPr>
          <w:p w14:paraId="750070B2" w14:textId="77777777" w:rsidR="000318BA" w:rsidRDefault="000318BA" w:rsidP="00772066">
            <w:pPr>
              <w:pStyle w:val="TableText"/>
              <w:spacing w:before="50" w:after="50"/>
            </w:pPr>
            <w:r w:rsidRPr="00156BA3">
              <w:t>14</w:t>
            </w:r>
          </w:p>
        </w:tc>
        <w:tc>
          <w:tcPr>
            <w:tcW w:w="1873" w:type="dxa"/>
            <w:tcBorders>
              <w:top w:val="single" w:sz="4" w:space="0" w:color="auto"/>
              <w:bottom w:val="single" w:sz="12" w:space="0" w:color="auto"/>
            </w:tcBorders>
          </w:tcPr>
          <w:p w14:paraId="2CF04D48" w14:textId="77777777" w:rsidR="000318BA" w:rsidRDefault="000318BA" w:rsidP="00772066">
            <w:pPr>
              <w:pStyle w:val="TableText"/>
              <w:spacing w:before="50" w:after="50"/>
            </w:pPr>
            <w:r w:rsidRPr="00156BA3">
              <w:t xml:space="preserve">LC50 </w:t>
            </w:r>
          </w:p>
          <w:p w14:paraId="19D19D4C" w14:textId="77777777" w:rsidR="000318BA" w:rsidRDefault="000318BA" w:rsidP="00772066">
            <w:pPr>
              <w:pStyle w:val="TableText"/>
              <w:spacing w:before="50" w:after="50"/>
            </w:pPr>
            <w:r w:rsidRPr="00156BA3">
              <w:t>(Mortality)</w:t>
            </w:r>
          </w:p>
        </w:tc>
        <w:tc>
          <w:tcPr>
            <w:tcW w:w="1090" w:type="dxa"/>
            <w:tcBorders>
              <w:top w:val="single" w:sz="4" w:space="0" w:color="auto"/>
              <w:bottom w:val="single" w:sz="12" w:space="0" w:color="auto"/>
            </w:tcBorders>
          </w:tcPr>
          <w:p w14:paraId="198C33CB" w14:textId="77777777" w:rsidR="000318BA" w:rsidRDefault="000318BA" w:rsidP="00772066">
            <w:pPr>
              <w:pStyle w:val="TableText"/>
              <w:spacing w:before="50" w:after="50"/>
            </w:pPr>
            <w:r w:rsidRPr="00156BA3">
              <w:t>10</w:t>
            </w:r>
            <w:r>
              <w:t> </w:t>
            </w:r>
            <w:r w:rsidRPr="00156BA3">
              <w:t>400</w:t>
            </w:r>
          </w:p>
        </w:tc>
        <w:tc>
          <w:tcPr>
            <w:tcW w:w="1139" w:type="dxa"/>
            <w:tcBorders>
              <w:top w:val="single" w:sz="4" w:space="0" w:color="auto"/>
              <w:bottom w:val="single" w:sz="12" w:space="0" w:color="auto"/>
            </w:tcBorders>
          </w:tcPr>
          <w:p w14:paraId="32ABBBA7" w14:textId="77777777" w:rsidR="000318BA" w:rsidRDefault="000318BA" w:rsidP="00772066">
            <w:pPr>
              <w:pStyle w:val="TableText"/>
              <w:spacing w:before="50" w:after="50"/>
            </w:pPr>
            <w:r w:rsidRPr="00156BA3">
              <w:t>2</w:t>
            </w:r>
            <w:r>
              <w:t> </w:t>
            </w:r>
            <w:r w:rsidRPr="00156BA3">
              <w:t xml:space="preserve">080 </w:t>
            </w:r>
            <w:r w:rsidRPr="00DC7B98">
              <w:rPr>
                <w:rStyle w:val="Strong"/>
                <w:vertAlign w:val="superscript"/>
              </w:rPr>
              <w:t>a</w:t>
            </w:r>
          </w:p>
        </w:tc>
      </w:tr>
    </w:tbl>
    <w:p w14:paraId="2C83715C" w14:textId="77777777" w:rsidR="000318BA" w:rsidRDefault="000318BA" w:rsidP="000318BA">
      <w:pPr>
        <w:pStyle w:val="FigureTableNoteSource"/>
      </w:pPr>
      <w:r w:rsidRPr="002161E8">
        <w:t xml:space="preserve">NR </w:t>
      </w:r>
      <w:r>
        <w:t xml:space="preserve">= </w:t>
      </w:r>
      <w:r w:rsidRPr="002161E8">
        <w:t>not reported</w:t>
      </w:r>
      <w:r>
        <w:t>.</w:t>
      </w:r>
    </w:p>
    <w:p w14:paraId="49A09CB5" w14:textId="01B0A732" w:rsidR="000318BA" w:rsidRDefault="000318BA" w:rsidP="000318BA">
      <w:pPr>
        <w:pStyle w:val="FigureTableNoteSource"/>
      </w:pPr>
      <w:r w:rsidRPr="00E674A7">
        <w:rPr>
          <w:rStyle w:val="Strong"/>
        </w:rPr>
        <w:t>a</w:t>
      </w:r>
      <w:r w:rsidRPr="000F1F1A">
        <w:t xml:space="preserve"> Values were chronic LC/EC50 values that were converted to chronic NOEC/EC1</w:t>
      </w:r>
      <w:r>
        <w:t xml:space="preserve">0 values by dividing by 5 </w:t>
      </w:r>
      <w:r w:rsidR="00D72A67">
        <w:t>(</w:t>
      </w:r>
      <w:r w:rsidR="00E674A7">
        <w:t>Warne et al. 2018)</w:t>
      </w:r>
      <w:r>
        <w:t>.</w:t>
      </w:r>
    </w:p>
    <w:p w14:paraId="5A74E0DD" w14:textId="76219FD2" w:rsidR="00753E00" w:rsidRDefault="00E64C4F" w:rsidP="00753E00">
      <w:pPr>
        <w:pStyle w:val="FigureTableNoteSource"/>
      </w:pPr>
      <w:r>
        <w:rPr>
          <w:rStyle w:val="Strong"/>
        </w:rPr>
        <w:t>b</w:t>
      </w:r>
      <w:r w:rsidR="00753E00" w:rsidRPr="000F1F1A">
        <w:t xml:space="preserve"> </w:t>
      </w:r>
      <w:r w:rsidR="00753E00">
        <w:t>Value represents a geometric mean of 27 EC50 values</w:t>
      </w:r>
      <w:r w:rsidR="00907CD6">
        <w:t xml:space="preserve"> (see </w:t>
      </w:r>
      <w:r w:rsidR="00772066">
        <w:t>Appendix B</w:t>
      </w:r>
      <w:r w:rsidR="00986529">
        <w:t xml:space="preserve"> </w:t>
      </w:r>
      <w:r w:rsidR="00907CD6">
        <w:t>for details)</w:t>
      </w:r>
      <w:r w:rsidR="00753E00">
        <w:t>.</w:t>
      </w:r>
    </w:p>
    <w:p w14:paraId="3DB2825C" w14:textId="0F8EC8FD" w:rsidR="001303C0" w:rsidRPr="00A404B8" w:rsidRDefault="001303C0" w:rsidP="001303C0">
      <w:pPr>
        <w:pStyle w:val="Heading3"/>
      </w:pPr>
      <w:bookmarkStart w:id="17" w:name="_Toc23920389"/>
      <w:bookmarkStart w:id="18" w:name="_Toc23923751"/>
      <w:bookmarkStart w:id="19" w:name="_Toc34814172"/>
      <w:bookmarkEnd w:id="17"/>
      <w:bookmarkEnd w:id="18"/>
      <w:r w:rsidRPr="00A404B8">
        <w:lastRenderedPageBreak/>
        <w:t>Species sensitivity distribution</w:t>
      </w:r>
      <w:bookmarkEnd w:id="19"/>
    </w:p>
    <w:p w14:paraId="1B7D9158" w14:textId="6D6F324F" w:rsidR="00006995" w:rsidRDefault="00006995" w:rsidP="001303C0">
      <w:pPr>
        <w:spacing w:after="120"/>
      </w:pPr>
      <w:r w:rsidRPr="00006995">
        <w:t>The cumulative frequency (species sensitivity) distribution (SSD) of the 1</w:t>
      </w:r>
      <w:r w:rsidR="00DB2E35">
        <w:t>6</w:t>
      </w:r>
      <w:r w:rsidRPr="00006995">
        <w:t xml:space="preserve"> marine zinc chronic toxicity data reported in </w:t>
      </w:r>
      <w:r w:rsidR="00B63BA8">
        <w:fldChar w:fldCharType="begin"/>
      </w:r>
      <w:r w:rsidR="00B63BA8">
        <w:instrText xml:space="preserve"> REF _Ref23163739 \h </w:instrText>
      </w:r>
      <w:r w:rsidR="00B63BA8">
        <w:fldChar w:fldCharType="separate"/>
      </w:r>
      <w:r w:rsidR="00A860FE">
        <w:t>Table </w:t>
      </w:r>
      <w:r w:rsidR="00A860FE">
        <w:rPr>
          <w:noProof/>
        </w:rPr>
        <w:t>1</w:t>
      </w:r>
      <w:r w:rsidR="00B63BA8">
        <w:fldChar w:fldCharType="end"/>
      </w:r>
      <w:r w:rsidR="00E02838">
        <w:t xml:space="preserve"> </w:t>
      </w:r>
      <w:r w:rsidRPr="00006995">
        <w:t xml:space="preserve">is shown in </w:t>
      </w:r>
      <w:r w:rsidR="00B63BA8">
        <w:fldChar w:fldCharType="begin"/>
      </w:r>
      <w:r w:rsidR="00B63BA8">
        <w:instrText xml:space="preserve"> REF _Ref23163816 \h </w:instrText>
      </w:r>
      <w:r w:rsidR="00B63BA8">
        <w:fldChar w:fldCharType="separate"/>
      </w:r>
      <w:r w:rsidR="00A860FE">
        <w:t>Figure </w:t>
      </w:r>
      <w:r w:rsidR="00A860FE">
        <w:rPr>
          <w:noProof/>
        </w:rPr>
        <w:t>1</w:t>
      </w:r>
      <w:r w:rsidR="00B63BA8">
        <w:fldChar w:fldCharType="end"/>
      </w:r>
      <w:r w:rsidRPr="00006995">
        <w:t>. The SSD was plotted using the Bu</w:t>
      </w:r>
      <w:r w:rsidR="00CF75EF" w:rsidRPr="00006995">
        <w:t>rrlioz</w:t>
      </w:r>
      <w:r w:rsidRPr="00006995">
        <w:t xml:space="preserve"> 2.0 software. The model provided a good fit to the data (</w:t>
      </w:r>
      <w:r w:rsidR="00B63BA8">
        <w:fldChar w:fldCharType="begin"/>
      </w:r>
      <w:r w:rsidR="00B63BA8">
        <w:instrText xml:space="preserve"> REF _Ref23163816 \h </w:instrText>
      </w:r>
      <w:r w:rsidR="00B63BA8">
        <w:fldChar w:fldCharType="separate"/>
      </w:r>
      <w:r w:rsidR="00A860FE">
        <w:t>Figure </w:t>
      </w:r>
      <w:r w:rsidR="00A860FE">
        <w:rPr>
          <w:noProof/>
        </w:rPr>
        <w:t>1</w:t>
      </w:r>
      <w:r w:rsidR="00B63BA8">
        <w:fldChar w:fldCharType="end"/>
      </w:r>
      <w:r w:rsidRPr="00006995">
        <w:t>).</w:t>
      </w:r>
    </w:p>
    <w:p w14:paraId="05DAE504" w14:textId="715907D2" w:rsidR="00006995" w:rsidRDefault="00DB2E35" w:rsidP="001303C0">
      <w:pPr>
        <w:spacing w:after="120"/>
      </w:pPr>
      <w:r>
        <w:rPr>
          <w:noProof/>
        </w:rPr>
        <w:drawing>
          <wp:inline distT="0" distB="0" distL="0" distR="0" wp14:anchorId="53A2B990" wp14:editId="2F3ADB30">
            <wp:extent cx="4320000" cy="43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6">
                      <a:extLst>
                        <a:ext uri="{28A0092B-C50C-407E-A947-70E740481C1C}">
                          <a14:useLocalDpi xmlns:a14="http://schemas.microsoft.com/office/drawing/2010/main" val="0"/>
                        </a:ext>
                      </a:extLst>
                    </a:blip>
                    <a:stretch>
                      <a:fillRect/>
                    </a:stretch>
                  </pic:blipFill>
                  <pic:spPr>
                    <a:xfrm>
                      <a:off x="0" y="0"/>
                      <a:ext cx="4320000" cy="4320000"/>
                    </a:xfrm>
                    <a:prstGeom prst="rect">
                      <a:avLst/>
                    </a:prstGeom>
                  </pic:spPr>
                </pic:pic>
              </a:graphicData>
            </a:graphic>
          </wp:inline>
        </w:drawing>
      </w:r>
    </w:p>
    <w:p w14:paraId="44ACB878" w14:textId="7ECC3BE7" w:rsidR="00006995" w:rsidRDefault="00B63BA8" w:rsidP="00CD17D3">
      <w:pPr>
        <w:pStyle w:val="Caption"/>
      </w:pPr>
      <w:bookmarkStart w:id="20" w:name="_Ref23163816"/>
      <w:bookmarkStart w:id="21" w:name="_Toc34643504"/>
      <w:r>
        <w:t>Figure </w:t>
      </w:r>
      <w:r w:rsidR="00586A86">
        <w:fldChar w:fldCharType="begin"/>
      </w:r>
      <w:r w:rsidR="00586A86">
        <w:instrText xml:space="preserve"> SEQ Figure \* ARABIC </w:instrText>
      </w:r>
      <w:r w:rsidR="00586A86">
        <w:fldChar w:fldCharType="separate"/>
      </w:r>
      <w:r w:rsidR="00A860FE">
        <w:rPr>
          <w:noProof/>
        </w:rPr>
        <w:t>1</w:t>
      </w:r>
      <w:r w:rsidR="00586A86">
        <w:rPr>
          <w:noProof/>
        </w:rPr>
        <w:fldChar w:fldCharType="end"/>
      </w:r>
      <w:bookmarkEnd w:id="20"/>
      <w:r>
        <w:t xml:space="preserve"> </w:t>
      </w:r>
      <w:r w:rsidR="002161E8" w:rsidRPr="002161E8">
        <w:t xml:space="preserve">Species sensitivity distribution, </w:t>
      </w:r>
      <w:r w:rsidR="002161E8">
        <w:t>zinc</w:t>
      </w:r>
      <w:r w:rsidR="002161E8" w:rsidRPr="002161E8">
        <w:t xml:space="preserve"> in </w:t>
      </w:r>
      <w:r w:rsidR="002161E8">
        <w:t>marine water</w:t>
      </w:r>
      <w:bookmarkEnd w:id="21"/>
    </w:p>
    <w:p w14:paraId="70630233" w14:textId="21753939" w:rsidR="001303C0" w:rsidRPr="00CF75EF" w:rsidRDefault="001303C0" w:rsidP="001303C0">
      <w:pPr>
        <w:pStyle w:val="Heading3"/>
      </w:pPr>
      <w:bookmarkStart w:id="22" w:name="_Ref23163428"/>
      <w:bookmarkStart w:id="23" w:name="_Toc34814173"/>
      <w:r w:rsidRPr="00CF75EF">
        <w:t>Default guideline values</w:t>
      </w:r>
      <w:bookmarkEnd w:id="22"/>
      <w:bookmarkEnd w:id="23"/>
    </w:p>
    <w:p w14:paraId="2B9956F6" w14:textId="04767A5B" w:rsidR="00CF75EF" w:rsidRPr="00CF75EF" w:rsidRDefault="00CF75EF" w:rsidP="00CF75EF">
      <w:r w:rsidRPr="00CF75EF">
        <w:t>It is important that the DGVs (</w:t>
      </w:r>
      <w:r w:rsidR="00B63BA8">
        <w:fldChar w:fldCharType="begin"/>
      </w:r>
      <w:r w:rsidR="00B63BA8">
        <w:instrText xml:space="preserve"> REF _Ref16942043 \h </w:instrText>
      </w:r>
      <w:r w:rsidR="00B63BA8">
        <w:fldChar w:fldCharType="separate"/>
      </w:r>
      <w:r w:rsidR="00A860FE">
        <w:t>Table </w:t>
      </w:r>
      <w:r w:rsidR="00A860FE">
        <w:rPr>
          <w:noProof/>
        </w:rPr>
        <w:t>2</w:t>
      </w:r>
      <w:r w:rsidR="00B63BA8">
        <w:fldChar w:fldCharType="end"/>
      </w:r>
      <w:r w:rsidRPr="00CF75EF">
        <w:t xml:space="preserve">) and associated information in this technical brief are used in accordance with the detailed guidance provided in the Australian and New Zealand Guidelines for Fresh and Marine Water Quality </w:t>
      </w:r>
      <w:hyperlink r:id="rId27" w:history="1">
        <w:r w:rsidRPr="00CF75EF">
          <w:rPr>
            <w:rStyle w:val="Hyperlink"/>
          </w:rPr>
          <w:t>website</w:t>
        </w:r>
      </w:hyperlink>
      <w:r w:rsidR="0026472D" w:rsidRPr="00142772">
        <w:t xml:space="preserve"> </w:t>
      </w:r>
      <w:r w:rsidR="00142772" w:rsidRPr="00142772">
        <w:t>(ANZG 2018).</w:t>
      </w:r>
    </w:p>
    <w:p w14:paraId="6DF1349F" w14:textId="37F6F97A" w:rsidR="005155AC" w:rsidRPr="005155AC" w:rsidRDefault="00C8558E" w:rsidP="005155AC">
      <w:pPr>
        <w:rPr>
          <w:highlight w:val="yellow"/>
        </w:rPr>
      </w:pPr>
      <w:r w:rsidRPr="00C8558E">
        <w:t xml:space="preserve">The DGVs for 99, 95, 90 and 80% species protection are shown in </w:t>
      </w:r>
      <w:r w:rsidR="00B63BA8">
        <w:fldChar w:fldCharType="begin"/>
      </w:r>
      <w:r w:rsidR="00B63BA8">
        <w:instrText xml:space="preserve"> REF _Ref16942043 \h </w:instrText>
      </w:r>
      <w:r w:rsidR="00B63BA8">
        <w:fldChar w:fldCharType="separate"/>
      </w:r>
      <w:r w:rsidR="00A860FE">
        <w:t>Table </w:t>
      </w:r>
      <w:r w:rsidR="00A860FE">
        <w:rPr>
          <w:noProof/>
        </w:rPr>
        <w:t>2</w:t>
      </w:r>
      <w:r w:rsidR="00B63BA8">
        <w:fldChar w:fldCharType="end"/>
      </w:r>
      <w:r w:rsidRPr="00C8558E">
        <w:t>.</w:t>
      </w:r>
      <w:r w:rsidR="00C84826">
        <w:t xml:space="preserve"> </w:t>
      </w:r>
      <w:r w:rsidR="00C84826">
        <w:rPr>
          <w:bCs/>
        </w:rPr>
        <w:t>The DGVs</w:t>
      </w:r>
      <w:r w:rsidR="00C84826" w:rsidRPr="00C366D0">
        <w:rPr>
          <w:bCs/>
        </w:rPr>
        <w:t xml:space="preserve"> </w:t>
      </w:r>
      <w:r w:rsidR="00E133B4">
        <w:rPr>
          <w:bCs/>
        </w:rPr>
        <w:t xml:space="preserve">apply to dissolved </w:t>
      </w:r>
      <w:r w:rsidR="00C84826" w:rsidRPr="00C366D0">
        <w:rPr>
          <w:bCs/>
        </w:rPr>
        <w:t xml:space="preserve">zinc </w:t>
      </w:r>
      <w:r w:rsidR="00E133B4">
        <w:rPr>
          <w:bCs/>
        </w:rPr>
        <w:t>in</w:t>
      </w:r>
      <w:r w:rsidR="00C84826" w:rsidRPr="00C366D0">
        <w:rPr>
          <w:bCs/>
        </w:rPr>
        <w:t xml:space="preserve"> marine water with salinity of 25</w:t>
      </w:r>
      <w:r w:rsidR="00C84826">
        <w:rPr>
          <w:bCs/>
        </w:rPr>
        <w:t>–</w:t>
      </w:r>
      <w:r w:rsidR="00C84826" w:rsidRPr="00C366D0">
        <w:rPr>
          <w:bCs/>
        </w:rPr>
        <w:t xml:space="preserve">36‰ and pH </w:t>
      </w:r>
      <w:r w:rsidR="00C84826">
        <w:rPr>
          <w:bCs/>
        </w:rPr>
        <w:t xml:space="preserve">of </w:t>
      </w:r>
      <w:r w:rsidR="00C84826" w:rsidRPr="00C366D0">
        <w:rPr>
          <w:bCs/>
        </w:rPr>
        <w:t>6.5</w:t>
      </w:r>
      <w:r w:rsidR="00C84826">
        <w:rPr>
          <w:bCs/>
        </w:rPr>
        <w:t>–</w:t>
      </w:r>
      <w:r w:rsidR="00C84826" w:rsidRPr="00C366D0">
        <w:rPr>
          <w:bCs/>
        </w:rPr>
        <w:t xml:space="preserve">8.0. For marine water outside this range, site-specific factors affecting toxicity should be considered, including modelling of metal speciation (see </w:t>
      </w:r>
      <w:r w:rsidR="00772066">
        <w:rPr>
          <w:bCs/>
        </w:rPr>
        <w:t>Appendix A</w:t>
      </w:r>
      <w:r w:rsidR="00C84826" w:rsidRPr="00C366D0">
        <w:rPr>
          <w:bCs/>
        </w:rPr>
        <w:t>).</w:t>
      </w:r>
    </w:p>
    <w:p w14:paraId="5D9B2499" w14:textId="757FA3F1" w:rsidR="00537F6C" w:rsidRDefault="00835D73" w:rsidP="00537F6C">
      <w:pPr>
        <w:rPr>
          <w:bCs/>
        </w:rPr>
      </w:pPr>
      <w:r>
        <w:t>T</w:t>
      </w:r>
      <w:r w:rsidR="00537F6C">
        <w:t>he 9</w:t>
      </w:r>
      <w:r w:rsidR="001F54CC">
        <w:t>5</w:t>
      </w:r>
      <w:r w:rsidR="00537F6C">
        <w:t>% species protection DGV</w:t>
      </w:r>
      <w:r w:rsidR="004D0439">
        <w:t xml:space="preserve"> is </w:t>
      </w:r>
      <w:r>
        <w:t xml:space="preserve">higher than </w:t>
      </w:r>
      <w:r w:rsidR="004D0439">
        <w:t xml:space="preserve">or very close to </w:t>
      </w:r>
      <w:r>
        <w:t xml:space="preserve">the toxicity values for the </w:t>
      </w:r>
      <w:r w:rsidR="001F54CC">
        <w:t xml:space="preserve">two </w:t>
      </w:r>
      <w:r>
        <w:t xml:space="preserve">most sensitive species (see </w:t>
      </w:r>
      <w:r w:rsidR="003F15A0">
        <w:fldChar w:fldCharType="begin"/>
      </w:r>
      <w:r w:rsidR="003F15A0">
        <w:instrText xml:space="preserve"> REF _Ref23163739 \h </w:instrText>
      </w:r>
      <w:r w:rsidR="003F15A0">
        <w:fldChar w:fldCharType="separate"/>
      </w:r>
      <w:r w:rsidR="00A860FE">
        <w:t>Table </w:t>
      </w:r>
      <w:r w:rsidR="00A860FE">
        <w:rPr>
          <w:noProof/>
        </w:rPr>
        <w:t>1</w:t>
      </w:r>
      <w:r w:rsidR="003F15A0">
        <w:fldChar w:fldCharType="end"/>
      </w:r>
      <w:r w:rsidR="003F15A0">
        <w:t xml:space="preserve"> </w:t>
      </w:r>
      <w:r>
        <w:t xml:space="preserve">and </w:t>
      </w:r>
      <w:r w:rsidR="003F15A0">
        <w:fldChar w:fldCharType="begin"/>
      </w:r>
      <w:r w:rsidR="003F15A0">
        <w:instrText xml:space="preserve"> REF _Ref23163816 \h </w:instrText>
      </w:r>
      <w:r w:rsidR="003F15A0">
        <w:fldChar w:fldCharType="separate"/>
      </w:r>
      <w:r w:rsidR="00A860FE">
        <w:t>Figure </w:t>
      </w:r>
      <w:r w:rsidR="00A860FE">
        <w:rPr>
          <w:noProof/>
        </w:rPr>
        <w:t>1</w:t>
      </w:r>
      <w:r w:rsidR="003F15A0">
        <w:fldChar w:fldCharType="end"/>
      </w:r>
      <w:r>
        <w:t>), which is slight</w:t>
      </w:r>
      <w:r w:rsidR="00B550AD">
        <w:t>l</w:t>
      </w:r>
      <w:r>
        <w:t xml:space="preserve">y more than would be expected for a dataset of </w:t>
      </w:r>
      <w:r w:rsidR="004D0439">
        <w:t xml:space="preserve">16 </w:t>
      </w:r>
      <w:r>
        <w:t xml:space="preserve">values (i.e. typically, </w:t>
      </w:r>
      <w:r w:rsidR="004D0439">
        <w:t xml:space="preserve">this </w:t>
      </w:r>
      <w:r w:rsidR="001F54CC">
        <w:t>DGV might be expected to be higher than toxicity data for no more than one species)</w:t>
      </w:r>
      <w:r>
        <w:t xml:space="preserve">. This </w:t>
      </w:r>
      <w:r w:rsidR="004B095B">
        <w:t>suggests</w:t>
      </w:r>
      <w:r>
        <w:t xml:space="preserve"> that </w:t>
      </w:r>
      <w:r w:rsidR="004D0439">
        <w:t xml:space="preserve">the 95% species protection </w:t>
      </w:r>
      <w:r>
        <w:t>DGV</w:t>
      </w:r>
      <w:r w:rsidR="00537F6C">
        <w:t xml:space="preserve"> may not be sufficiently protective of the specified percentage of species</w:t>
      </w:r>
      <w:r w:rsidR="006B0120">
        <w:t xml:space="preserve">. </w:t>
      </w:r>
      <w:r w:rsidR="001F54CC">
        <w:t>For most slightly</w:t>
      </w:r>
      <w:r w:rsidR="0050509B">
        <w:t>-</w:t>
      </w:r>
      <w:r w:rsidR="001F54CC">
        <w:t>to</w:t>
      </w:r>
      <w:r w:rsidR="0050509B">
        <w:t>-</w:t>
      </w:r>
      <w:r w:rsidR="001F54CC">
        <w:t>moderately distur</w:t>
      </w:r>
      <w:r w:rsidR="00B550AD">
        <w:t>b</w:t>
      </w:r>
      <w:r w:rsidR="001F54CC">
        <w:t xml:space="preserve">ed </w:t>
      </w:r>
      <w:r w:rsidR="001F54CC">
        <w:lastRenderedPageBreak/>
        <w:t xml:space="preserve">ecosystems, the 95% species protection value is still </w:t>
      </w:r>
      <w:r w:rsidR="00B550AD">
        <w:t xml:space="preserve">likely to </w:t>
      </w:r>
      <w:r w:rsidR="001F54CC">
        <w:t>be applicable. However, if</w:t>
      </w:r>
      <w:r w:rsidRPr="00835D73">
        <w:rPr>
          <w:bCs/>
        </w:rPr>
        <w:t xml:space="preserve"> there are concerns that the DGV may not offer sufficient protection for key </w:t>
      </w:r>
      <w:r w:rsidR="001F54CC">
        <w:rPr>
          <w:bCs/>
        </w:rPr>
        <w:t xml:space="preserve">sensitive </w:t>
      </w:r>
      <w:r w:rsidRPr="00835D73">
        <w:rPr>
          <w:bCs/>
        </w:rPr>
        <w:t>species (</w:t>
      </w:r>
      <w:r w:rsidR="001F54CC">
        <w:rPr>
          <w:bCs/>
        </w:rPr>
        <w:t xml:space="preserve">e.g. </w:t>
      </w:r>
      <w:r w:rsidR="004D0439">
        <w:rPr>
          <w:bCs/>
        </w:rPr>
        <w:t>bivalve molluscs, cnidarians</w:t>
      </w:r>
      <w:r w:rsidRPr="00835D73">
        <w:rPr>
          <w:bCs/>
        </w:rPr>
        <w:t xml:space="preserve">) in the water body of interest, </w:t>
      </w:r>
      <w:r w:rsidRPr="00835D73">
        <w:t>an increased level of conservatism in the application of the DGVs may be warranted; for example, the</w:t>
      </w:r>
      <w:r w:rsidRPr="00835D73">
        <w:rPr>
          <w:bCs/>
        </w:rPr>
        <w:t xml:space="preserve"> 99% species protection DGV of </w:t>
      </w:r>
      <w:r w:rsidR="004D0439">
        <w:rPr>
          <w:bCs/>
        </w:rPr>
        <w:t>3.3</w:t>
      </w:r>
      <w:r w:rsidR="0050509B">
        <w:rPr>
          <w:bCs/>
        </w:rPr>
        <w:t> </w:t>
      </w:r>
      <w:r w:rsidRPr="00835D73">
        <w:rPr>
          <w:rFonts w:cstheme="minorHAnsi"/>
          <w:bCs/>
        </w:rPr>
        <w:t>µ</w:t>
      </w:r>
      <w:r w:rsidRPr="00835D73">
        <w:rPr>
          <w:bCs/>
        </w:rPr>
        <w:t xml:space="preserve">g/L could be applied to </w:t>
      </w:r>
      <w:r w:rsidR="005841DE">
        <w:rPr>
          <w:bCs/>
        </w:rPr>
        <w:t xml:space="preserve">a </w:t>
      </w:r>
      <w:r w:rsidRPr="00835D73">
        <w:rPr>
          <w:bCs/>
        </w:rPr>
        <w:t>slightly</w:t>
      </w:r>
      <w:r w:rsidR="0050509B">
        <w:rPr>
          <w:bCs/>
        </w:rPr>
        <w:t>-</w:t>
      </w:r>
      <w:r w:rsidRPr="00835D73">
        <w:rPr>
          <w:bCs/>
        </w:rPr>
        <w:t>to</w:t>
      </w:r>
      <w:r w:rsidR="0050509B">
        <w:rPr>
          <w:bCs/>
        </w:rPr>
        <w:t>-</w:t>
      </w:r>
      <w:r w:rsidRPr="00835D73">
        <w:rPr>
          <w:bCs/>
        </w:rPr>
        <w:t>moderately disturbed ecosystem</w:t>
      </w:r>
      <w:r w:rsidR="001F54CC">
        <w:rPr>
          <w:bCs/>
        </w:rPr>
        <w:t>.</w:t>
      </w:r>
    </w:p>
    <w:p w14:paraId="5A18EFBB" w14:textId="77777777" w:rsidR="00772066" w:rsidRDefault="00772066" w:rsidP="00772066">
      <w:pPr>
        <w:pStyle w:val="Caption"/>
      </w:pPr>
      <w:bookmarkStart w:id="24" w:name="_Ref16942043"/>
      <w:bookmarkStart w:id="25" w:name="_Toc34814127"/>
      <w:r>
        <w:t>Table </w:t>
      </w:r>
      <w:r w:rsidR="00586A86">
        <w:fldChar w:fldCharType="begin"/>
      </w:r>
      <w:r w:rsidR="00586A86">
        <w:instrText xml:space="preserve"> SEQ Table \* ARABIC </w:instrText>
      </w:r>
      <w:r w:rsidR="00586A86">
        <w:fldChar w:fldCharType="separate"/>
      </w:r>
      <w:r>
        <w:rPr>
          <w:noProof/>
        </w:rPr>
        <w:t>2</w:t>
      </w:r>
      <w:r w:rsidR="00586A86">
        <w:rPr>
          <w:noProof/>
        </w:rPr>
        <w:fldChar w:fldCharType="end"/>
      </w:r>
      <w:bookmarkEnd w:id="24"/>
      <w:r>
        <w:t xml:space="preserve"> </w:t>
      </w:r>
      <w:r w:rsidRPr="007B07B8">
        <w:t xml:space="preserve">Toxicant default guideline values, </w:t>
      </w:r>
      <w:r>
        <w:t>zinc</w:t>
      </w:r>
      <w:r w:rsidRPr="007B07B8">
        <w:t xml:space="preserve"> in </w:t>
      </w:r>
      <w:r>
        <w:t xml:space="preserve">marine </w:t>
      </w:r>
      <w:r w:rsidRPr="007B07B8">
        <w:t xml:space="preserve">water, </w:t>
      </w:r>
      <w:r>
        <w:t>very high</w:t>
      </w:r>
      <w:r w:rsidRPr="007B07B8">
        <w:t xml:space="preserve"> reliability</w:t>
      </w:r>
      <w:bookmarkEnd w:id="2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oxicant default guideline values, zinc in marine water, very high reliability"/>
        <w:tblDescription w:val="Table shows the default guideline values for a range of protection levels for zinc in marine water. The four levels of species protection are 99, 95, 90 and 80%. The corresponding default guideline values are 1.8, 5.2, 8.9 and 16 (microgram per litre), respectively."/>
      </w:tblPr>
      <w:tblGrid>
        <w:gridCol w:w="4535"/>
        <w:gridCol w:w="4535"/>
      </w:tblGrid>
      <w:tr w:rsidR="00772066" w:rsidRPr="00295D89" w14:paraId="03C49C3C" w14:textId="77777777" w:rsidTr="002347A4">
        <w:trPr>
          <w:tblHeader/>
        </w:trPr>
        <w:tc>
          <w:tcPr>
            <w:tcW w:w="2500" w:type="pct"/>
            <w:tcBorders>
              <w:top w:val="single" w:sz="12" w:space="0" w:color="auto"/>
              <w:bottom w:val="single" w:sz="12" w:space="0" w:color="auto"/>
            </w:tcBorders>
          </w:tcPr>
          <w:p w14:paraId="09B1BE05" w14:textId="77777777" w:rsidR="00772066" w:rsidRPr="00295D89" w:rsidRDefault="00772066" w:rsidP="002347A4">
            <w:pPr>
              <w:pStyle w:val="TableHeading"/>
            </w:pPr>
            <w:r>
              <w:t>Level of</w:t>
            </w:r>
            <w:r w:rsidRPr="00295D89">
              <w:t xml:space="preserve"> species protection (%)</w:t>
            </w:r>
          </w:p>
        </w:tc>
        <w:tc>
          <w:tcPr>
            <w:tcW w:w="2500" w:type="pct"/>
            <w:tcBorders>
              <w:top w:val="single" w:sz="12" w:space="0" w:color="auto"/>
              <w:bottom w:val="single" w:sz="12" w:space="0" w:color="auto"/>
            </w:tcBorders>
          </w:tcPr>
          <w:p w14:paraId="02D36B36" w14:textId="1F5DEA3B" w:rsidR="00772066" w:rsidRPr="00295D89" w:rsidRDefault="00772066" w:rsidP="002347A4">
            <w:pPr>
              <w:pStyle w:val="TableHeading"/>
            </w:pPr>
            <w:r w:rsidRPr="00295D89">
              <w:t>D</w:t>
            </w:r>
            <w:r>
              <w:t xml:space="preserve">GV for zinc in </w:t>
            </w:r>
            <w:r w:rsidR="00DD3E01">
              <w:t xml:space="preserve"> marine water</w:t>
            </w:r>
            <w:r w:rsidR="00DD3E01" w:rsidRPr="00295D89">
              <w:t xml:space="preserve"> </w:t>
            </w:r>
            <w:r w:rsidRPr="00295D89">
              <w:t>(</w:t>
            </w:r>
            <w:r w:rsidRPr="00B63BA8">
              <w:rPr>
                <w:rFonts w:ascii="Symbol" w:hAnsi="Symbol"/>
              </w:rPr>
              <w:t></w:t>
            </w:r>
            <w:r w:rsidRPr="00295D89">
              <w:t>g/L)</w:t>
            </w:r>
            <w:r>
              <w:t xml:space="preserve"> </w:t>
            </w:r>
            <w:r w:rsidRPr="001F2E9C">
              <w:rPr>
                <w:rStyle w:val="Strong"/>
                <w:vertAlign w:val="superscript"/>
              </w:rPr>
              <w:t>a</w:t>
            </w:r>
          </w:p>
        </w:tc>
      </w:tr>
      <w:tr w:rsidR="00772066" w:rsidRPr="00295D89" w14:paraId="00FB74E2" w14:textId="77777777" w:rsidTr="002347A4">
        <w:trPr>
          <w:trHeight w:val="284"/>
        </w:trPr>
        <w:tc>
          <w:tcPr>
            <w:tcW w:w="2500" w:type="pct"/>
            <w:tcBorders>
              <w:top w:val="single" w:sz="12" w:space="0" w:color="auto"/>
              <w:bottom w:val="single" w:sz="4" w:space="0" w:color="auto"/>
            </w:tcBorders>
          </w:tcPr>
          <w:p w14:paraId="28AA6452" w14:textId="77777777" w:rsidR="00772066" w:rsidRPr="00295D89" w:rsidRDefault="00772066" w:rsidP="002347A4">
            <w:pPr>
              <w:pStyle w:val="TableText"/>
            </w:pPr>
            <w:r w:rsidRPr="00295D89">
              <w:t>99</w:t>
            </w:r>
          </w:p>
        </w:tc>
        <w:tc>
          <w:tcPr>
            <w:tcW w:w="2500" w:type="pct"/>
            <w:tcBorders>
              <w:top w:val="single" w:sz="12" w:space="0" w:color="auto"/>
              <w:bottom w:val="single" w:sz="4" w:space="0" w:color="auto"/>
            </w:tcBorders>
          </w:tcPr>
          <w:p w14:paraId="2BD762F1" w14:textId="574561CA" w:rsidR="00772066" w:rsidRPr="00295D89" w:rsidRDefault="002F03CD" w:rsidP="002347A4">
            <w:pPr>
              <w:pStyle w:val="TableText"/>
            </w:pPr>
            <w:r>
              <w:t>3.3</w:t>
            </w:r>
          </w:p>
        </w:tc>
      </w:tr>
      <w:tr w:rsidR="00772066" w:rsidRPr="00295D89" w14:paraId="432C08E7" w14:textId="77777777" w:rsidTr="002347A4">
        <w:trPr>
          <w:trHeight w:val="284"/>
        </w:trPr>
        <w:tc>
          <w:tcPr>
            <w:tcW w:w="2500" w:type="pct"/>
            <w:tcBorders>
              <w:top w:val="single" w:sz="4" w:space="0" w:color="auto"/>
              <w:bottom w:val="single" w:sz="4" w:space="0" w:color="auto"/>
            </w:tcBorders>
          </w:tcPr>
          <w:p w14:paraId="49BFBC35" w14:textId="77777777" w:rsidR="00772066" w:rsidRPr="00295D89" w:rsidRDefault="00772066" w:rsidP="002347A4">
            <w:pPr>
              <w:pStyle w:val="TableText"/>
            </w:pPr>
            <w:r w:rsidRPr="00295D89">
              <w:t>95</w:t>
            </w:r>
          </w:p>
        </w:tc>
        <w:tc>
          <w:tcPr>
            <w:tcW w:w="2500" w:type="pct"/>
            <w:tcBorders>
              <w:top w:val="single" w:sz="4" w:space="0" w:color="auto"/>
              <w:bottom w:val="single" w:sz="4" w:space="0" w:color="auto"/>
            </w:tcBorders>
          </w:tcPr>
          <w:p w14:paraId="5BA424FE" w14:textId="2790A9C4" w:rsidR="00772066" w:rsidRPr="00295D89" w:rsidRDefault="002F03CD" w:rsidP="002347A4">
            <w:pPr>
              <w:pStyle w:val="TableText"/>
            </w:pPr>
            <w:r>
              <w:t>8.0</w:t>
            </w:r>
            <w:r w:rsidR="00772066">
              <w:t xml:space="preserve"> </w:t>
            </w:r>
            <w:r w:rsidR="00772066" w:rsidRPr="00AD75E7">
              <w:rPr>
                <w:rStyle w:val="Strong"/>
                <w:vertAlign w:val="superscript"/>
              </w:rPr>
              <w:t>b</w:t>
            </w:r>
          </w:p>
        </w:tc>
      </w:tr>
      <w:tr w:rsidR="00772066" w:rsidRPr="00295D89" w14:paraId="2D63F75E" w14:textId="77777777" w:rsidTr="002347A4">
        <w:trPr>
          <w:trHeight w:val="284"/>
        </w:trPr>
        <w:tc>
          <w:tcPr>
            <w:tcW w:w="2500" w:type="pct"/>
            <w:tcBorders>
              <w:top w:val="single" w:sz="4" w:space="0" w:color="auto"/>
              <w:bottom w:val="single" w:sz="4" w:space="0" w:color="auto"/>
            </w:tcBorders>
          </w:tcPr>
          <w:p w14:paraId="0B5E5D96" w14:textId="77777777" w:rsidR="00772066" w:rsidRPr="00295D89" w:rsidRDefault="00772066" w:rsidP="002347A4">
            <w:pPr>
              <w:pStyle w:val="TableText"/>
            </w:pPr>
            <w:r w:rsidRPr="00295D89">
              <w:t>90</w:t>
            </w:r>
          </w:p>
        </w:tc>
        <w:tc>
          <w:tcPr>
            <w:tcW w:w="2500" w:type="pct"/>
            <w:tcBorders>
              <w:top w:val="single" w:sz="4" w:space="0" w:color="auto"/>
              <w:bottom w:val="single" w:sz="4" w:space="0" w:color="auto"/>
            </w:tcBorders>
          </w:tcPr>
          <w:p w14:paraId="3E390AE6" w14:textId="5EB92AEE" w:rsidR="00772066" w:rsidRPr="00295D89" w:rsidRDefault="002F03CD" w:rsidP="002347A4">
            <w:pPr>
              <w:pStyle w:val="TableText"/>
            </w:pPr>
            <w:r>
              <w:t>12</w:t>
            </w:r>
            <w:r w:rsidR="00772066">
              <w:t xml:space="preserve"> </w:t>
            </w:r>
          </w:p>
        </w:tc>
      </w:tr>
      <w:tr w:rsidR="00772066" w:rsidRPr="00295D89" w14:paraId="56537F78" w14:textId="77777777" w:rsidTr="002347A4">
        <w:trPr>
          <w:trHeight w:val="284"/>
        </w:trPr>
        <w:tc>
          <w:tcPr>
            <w:tcW w:w="2500" w:type="pct"/>
            <w:tcBorders>
              <w:top w:val="single" w:sz="4" w:space="0" w:color="auto"/>
              <w:bottom w:val="single" w:sz="12" w:space="0" w:color="auto"/>
            </w:tcBorders>
          </w:tcPr>
          <w:p w14:paraId="6F159482" w14:textId="77777777" w:rsidR="00772066" w:rsidRPr="00295D89" w:rsidRDefault="00772066" w:rsidP="002347A4">
            <w:pPr>
              <w:pStyle w:val="TableText"/>
            </w:pPr>
            <w:r w:rsidRPr="00295D89">
              <w:t>80</w:t>
            </w:r>
          </w:p>
        </w:tc>
        <w:tc>
          <w:tcPr>
            <w:tcW w:w="2500" w:type="pct"/>
            <w:tcBorders>
              <w:top w:val="single" w:sz="4" w:space="0" w:color="auto"/>
              <w:bottom w:val="single" w:sz="12" w:space="0" w:color="auto"/>
            </w:tcBorders>
          </w:tcPr>
          <w:p w14:paraId="29EF2462" w14:textId="00B0CE79" w:rsidR="00772066" w:rsidRPr="00295D89" w:rsidRDefault="002F03CD" w:rsidP="002347A4">
            <w:pPr>
              <w:pStyle w:val="TableText"/>
            </w:pPr>
            <w:r>
              <w:t>21</w:t>
            </w:r>
          </w:p>
        </w:tc>
      </w:tr>
    </w:tbl>
    <w:p w14:paraId="5C4DFD74" w14:textId="77777777" w:rsidR="00772066" w:rsidRDefault="00772066" w:rsidP="00772066">
      <w:pPr>
        <w:pStyle w:val="FigureTableNoteSource"/>
      </w:pPr>
      <w:proofErr w:type="spellStart"/>
      <w:r w:rsidRPr="001F2E9C">
        <w:rPr>
          <w:rStyle w:val="Strong"/>
        </w:rPr>
        <w:t>a</w:t>
      </w:r>
      <w:proofErr w:type="spellEnd"/>
      <w:r w:rsidRPr="001F2E9C">
        <w:rPr>
          <w:rStyle w:val="Strong"/>
        </w:rPr>
        <w:t xml:space="preserve"> </w:t>
      </w:r>
      <w:r w:rsidRPr="00FD15B7">
        <w:t>The DGVs apply to water with salinity 25</w:t>
      </w:r>
      <w:r>
        <w:t>–</w:t>
      </w:r>
      <w:r w:rsidRPr="00FD15B7">
        <w:t>36 ppt</w:t>
      </w:r>
      <w:r>
        <w:t xml:space="preserve"> and pH 6.5–8.0.</w:t>
      </w:r>
    </w:p>
    <w:p w14:paraId="024988FC" w14:textId="0F8C8370" w:rsidR="00772066" w:rsidRPr="00537F6C" w:rsidRDefault="00772066" w:rsidP="00772066">
      <w:pPr>
        <w:pStyle w:val="FigureTableNoteSource"/>
      </w:pPr>
      <w:r w:rsidRPr="00AD75E7">
        <w:rPr>
          <w:rStyle w:val="Strong"/>
        </w:rPr>
        <w:t>b</w:t>
      </w:r>
      <w:r w:rsidRPr="00AD75E7">
        <w:t xml:space="preserve"> DGV may not </w:t>
      </w:r>
      <w:r>
        <w:t>be sufficiently protective of the specified percentage of species</w:t>
      </w:r>
      <w:r w:rsidR="00D776CE">
        <w:t xml:space="preserve"> (see text for details).</w:t>
      </w:r>
      <w:r>
        <w:t xml:space="preserve"> </w:t>
      </w:r>
    </w:p>
    <w:p w14:paraId="19D62889" w14:textId="5F3CC40B" w:rsidR="001303C0" w:rsidRPr="00082B25" w:rsidRDefault="001303C0" w:rsidP="001303C0">
      <w:pPr>
        <w:pStyle w:val="Heading3"/>
      </w:pPr>
      <w:bookmarkStart w:id="26" w:name="_Toc34814174"/>
      <w:r w:rsidRPr="00082B25">
        <w:t>Reliability classification</w:t>
      </w:r>
      <w:bookmarkEnd w:id="26"/>
    </w:p>
    <w:p w14:paraId="5F4B44B7" w14:textId="71DDEC1D" w:rsidR="001303C0" w:rsidRPr="00082B25" w:rsidRDefault="001303C0" w:rsidP="001303C0">
      <w:pPr>
        <w:rPr>
          <w:lang w:eastAsia="ja-JP"/>
        </w:rPr>
      </w:pPr>
      <w:r w:rsidRPr="00082B25">
        <w:rPr>
          <w:lang w:eastAsia="ja-JP"/>
        </w:rPr>
        <w:t xml:space="preserve">The </w:t>
      </w:r>
      <w:r w:rsidR="00FF59A4">
        <w:rPr>
          <w:lang w:eastAsia="ja-JP"/>
        </w:rPr>
        <w:t xml:space="preserve">zinc in marine water </w:t>
      </w:r>
      <w:r w:rsidRPr="00082B25">
        <w:rPr>
          <w:lang w:eastAsia="ja-JP"/>
        </w:rPr>
        <w:t xml:space="preserve">DGVs have a </w:t>
      </w:r>
      <w:r w:rsidR="00FF59A4">
        <w:rPr>
          <w:lang w:eastAsia="ja-JP"/>
        </w:rPr>
        <w:t>very high</w:t>
      </w:r>
      <w:r w:rsidRPr="00082B25">
        <w:rPr>
          <w:lang w:eastAsia="ja-JP"/>
        </w:rPr>
        <w:t xml:space="preserve"> reliability classification (Warne et al. 2018) based on the outcomes for the following three criteria:</w:t>
      </w:r>
    </w:p>
    <w:p w14:paraId="6597F8E5" w14:textId="21E62096" w:rsidR="001303C0" w:rsidRPr="00082B25" w:rsidRDefault="001303C0" w:rsidP="001303C0">
      <w:pPr>
        <w:pStyle w:val="ListBullet"/>
        <w:rPr>
          <w:lang w:eastAsia="ja-JP"/>
        </w:rPr>
      </w:pPr>
      <w:r w:rsidRPr="00082B25">
        <w:rPr>
          <w:lang w:eastAsia="ja-JP"/>
        </w:rPr>
        <w:t>Sample size—</w:t>
      </w:r>
      <w:r w:rsidR="00177B4B">
        <w:rPr>
          <w:lang w:eastAsia="ja-JP"/>
        </w:rPr>
        <w:t xml:space="preserve">16 </w:t>
      </w:r>
      <w:r w:rsidR="00FF59A4">
        <w:rPr>
          <w:lang w:eastAsia="ja-JP"/>
        </w:rPr>
        <w:t>(</w:t>
      </w:r>
      <w:r w:rsidR="002674AC">
        <w:rPr>
          <w:lang w:eastAsia="ja-JP"/>
        </w:rPr>
        <w:t>preferred</w:t>
      </w:r>
      <w:r w:rsidR="00FF59A4">
        <w:rPr>
          <w:lang w:eastAsia="ja-JP"/>
        </w:rPr>
        <w:t>)</w:t>
      </w:r>
    </w:p>
    <w:p w14:paraId="12344FEC" w14:textId="28B2961F" w:rsidR="001303C0" w:rsidRPr="00082B25" w:rsidRDefault="001303C0" w:rsidP="00FF59A4">
      <w:pPr>
        <w:pStyle w:val="ListBullet"/>
        <w:rPr>
          <w:lang w:eastAsia="ja-JP"/>
        </w:rPr>
      </w:pPr>
      <w:r w:rsidRPr="00082B25">
        <w:rPr>
          <w:lang w:eastAsia="ja-JP"/>
        </w:rPr>
        <w:t>Type of toxicity data—</w:t>
      </w:r>
      <w:r w:rsidR="00FF59A4">
        <w:rPr>
          <w:lang w:eastAsia="ja-JP"/>
        </w:rPr>
        <w:t>c</w:t>
      </w:r>
      <w:r w:rsidR="00FF59A4" w:rsidRPr="00FF59A4">
        <w:rPr>
          <w:lang w:eastAsia="ja-JP"/>
        </w:rPr>
        <w:t xml:space="preserve">hronic EC10-20, NOEC and converted chronic EC50/LC50/LOEC </w:t>
      </w:r>
    </w:p>
    <w:p w14:paraId="7BEAC555" w14:textId="23F43296" w:rsidR="001303C0" w:rsidRPr="00082B25" w:rsidRDefault="001303C0" w:rsidP="001303C0">
      <w:pPr>
        <w:pStyle w:val="ListBullet"/>
        <w:rPr>
          <w:lang w:eastAsia="ja-JP"/>
        </w:rPr>
      </w:pPr>
      <w:r w:rsidRPr="00082B25">
        <w:rPr>
          <w:lang w:eastAsia="ja-JP"/>
        </w:rPr>
        <w:t>SSD model fit—</w:t>
      </w:r>
      <w:r w:rsidR="00FF59A4">
        <w:rPr>
          <w:lang w:eastAsia="ja-JP"/>
        </w:rPr>
        <w:t>good</w:t>
      </w:r>
      <w:r w:rsidRPr="00082B25">
        <w:rPr>
          <w:lang w:eastAsia="ja-JP"/>
        </w:rPr>
        <w:t xml:space="preserve"> (Inverse Weibull model).</w:t>
      </w:r>
    </w:p>
    <w:p w14:paraId="08B1DCF0" w14:textId="534B2F2E" w:rsidR="001303C0" w:rsidRDefault="00B550AD" w:rsidP="003F15A0">
      <w:pPr>
        <w:rPr>
          <w:lang w:eastAsia="ja-JP"/>
        </w:rPr>
      </w:pPr>
      <w:r>
        <w:rPr>
          <w:lang w:eastAsia="ja-JP"/>
        </w:rPr>
        <w:t>However, i</w:t>
      </w:r>
      <w:r w:rsidR="00C24590">
        <w:rPr>
          <w:lang w:eastAsia="ja-JP"/>
        </w:rPr>
        <w:t xml:space="preserve">t is important to </w:t>
      </w:r>
      <w:r w:rsidR="0017419D">
        <w:rPr>
          <w:lang w:eastAsia="ja-JP"/>
        </w:rPr>
        <w:t>recognise</w:t>
      </w:r>
      <w:r w:rsidR="00C24590">
        <w:rPr>
          <w:lang w:eastAsia="ja-JP"/>
        </w:rPr>
        <w:t xml:space="preserve"> that </w:t>
      </w:r>
      <w:r w:rsidR="00AC4CB6">
        <w:rPr>
          <w:lang w:eastAsia="ja-JP"/>
        </w:rPr>
        <w:t xml:space="preserve">eight </w:t>
      </w:r>
      <w:r w:rsidR="00C24590">
        <w:rPr>
          <w:lang w:eastAsia="ja-JP"/>
        </w:rPr>
        <w:t xml:space="preserve">of the </w:t>
      </w:r>
      <w:r w:rsidR="00AC4CB6">
        <w:rPr>
          <w:lang w:eastAsia="ja-JP"/>
        </w:rPr>
        <w:t xml:space="preserve">16 </w:t>
      </w:r>
      <w:r w:rsidR="00C24590">
        <w:rPr>
          <w:lang w:eastAsia="ja-JP"/>
        </w:rPr>
        <w:t>final toxicity values in the dataset were based on converted chronic EC/LC50s, which introduce</w:t>
      </w:r>
      <w:r w:rsidR="0017419D">
        <w:rPr>
          <w:lang w:eastAsia="ja-JP"/>
        </w:rPr>
        <w:t>s</w:t>
      </w:r>
      <w:r w:rsidR="00C24590">
        <w:rPr>
          <w:lang w:eastAsia="ja-JP"/>
        </w:rPr>
        <w:t xml:space="preserve"> a</w:t>
      </w:r>
      <w:r w:rsidR="0017419D">
        <w:rPr>
          <w:lang w:eastAsia="ja-JP"/>
        </w:rPr>
        <w:t>n additional</w:t>
      </w:r>
      <w:r w:rsidR="00C24590">
        <w:rPr>
          <w:lang w:eastAsia="ja-JP"/>
        </w:rPr>
        <w:t xml:space="preserve"> degree of uncertainty into the </w:t>
      </w:r>
      <w:r w:rsidR="0017419D">
        <w:rPr>
          <w:lang w:eastAsia="ja-JP"/>
        </w:rPr>
        <w:t xml:space="preserve">DGVs that </w:t>
      </w:r>
      <w:r w:rsidR="006A5371">
        <w:rPr>
          <w:lang w:eastAsia="ja-JP"/>
        </w:rPr>
        <w:t xml:space="preserve">is not reflected </w:t>
      </w:r>
      <w:r w:rsidR="00776B0A">
        <w:rPr>
          <w:lang w:eastAsia="ja-JP"/>
        </w:rPr>
        <w:t>in</w:t>
      </w:r>
      <w:r w:rsidR="0017419D">
        <w:rPr>
          <w:lang w:eastAsia="ja-JP"/>
        </w:rPr>
        <w:t xml:space="preserve"> the very high reliability classification.</w:t>
      </w:r>
      <w:r w:rsidR="00B62833">
        <w:rPr>
          <w:lang w:eastAsia="ja-JP"/>
        </w:rPr>
        <w:t xml:space="preserve"> Despite this</w:t>
      </w:r>
      <w:r w:rsidR="009072BD">
        <w:rPr>
          <w:lang w:eastAsia="ja-JP"/>
        </w:rPr>
        <w:t xml:space="preserve"> uncertainty</w:t>
      </w:r>
      <w:r w:rsidR="00B62833">
        <w:rPr>
          <w:lang w:eastAsia="ja-JP"/>
        </w:rPr>
        <w:t>, the current DGVs are considered a marked improvement on the ANZECC/ARMCANZ (2000) values.</w:t>
      </w:r>
      <w:r w:rsidR="007118EF">
        <w:rPr>
          <w:lang w:eastAsia="ja-JP"/>
        </w:rPr>
        <w:t xml:space="preserve"> </w:t>
      </w:r>
    </w:p>
    <w:p w14:paraId="6BADB2E8" w14:textId="01B55636" w:rsidR="008078C2" w:rsidRDefault="008078C2">
      <w:pPr>
        <w:spacing w:after="0" w:line="240" w:lineRule="auto"/>
        <w:rPr>
          <w:lang w:eastAsia="ja-JP"/>
        </w:rPr>
      </w:pPr>
      <w:r>
        <w:rPr>
          <w:lang w:eastAsia="ja-JP"/>
        </w:rPr>
        <w:br w:type="page"/>
      </w:r>
    </w:p>
    <w:p w14:paraId="2A75AA25" w14:textId="668C3C2B" w:rsidR="000756BD" w:rsidRDefault="001303C0" w:rsidP="001303C0">
      <w:pPr>
        <w:pStyle w:val="Heading2"/>
        <w:numPr>
          <w:ilvl w:val="0"/>
          <w:numId w:val="0"/>
        </w:numPr>
      </w:pPr>
      <w:bookmarkStart w:id="27" w:name="_Toc34814175"/>
      <w:r>
        <w:lastRenderedPageBreak/>
        <w:t>Glossary</w:t>
      </w:r>
      <w:bookmarkEnd w:id="27"/>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1303C0" w:rsidRPr="00E043F5" w14:paraId="7B4234B7" w14:textId="77777777" w:rsidTr="003B2BD4">
        <w:trPr>
          <w:cantSplit/>
          <w:tblHeader/>
        </w:trPr>
        <w:tc>
          <w:tcPr>
            <w:tcW w:w="1509" w:type="pct"/>
            <w:tcBorders>
              <w:top w:val="single" w:sz="12" w:space="0" w:color="auto"/>
              <w:bottom w:val="single" w:sz="12" w:space="0" w:color="auto"/>
            </w:tcBorders>
          </w:tcPr>
          <w:p w14:paraId="538DCD28" w14:textId="77777777" w:rsidR="001303C0" w:rsidRPr="00E043F5" w:rsidRDefault="001303C0" w:rsidP="007336AC">
            <w:pPr>
              <w:pStyle w:val="TableHeading"/>
              <w:rPr>
                <w:lang w:eastAsia="ja-JP"/>
              </w:rPr>
            </w:pPr>
            <w:r w:rsidRPr="00E043F5">
              <w:rPr>
                <w:lang w:eastAsia="ja-JP"/>
              </w:rPr>
              <w:t>Term</w:t>
            </w:r>
          </w:p>
        </w:tc>
        <w:tc>
          <w:tcPr>
            <w:tcW w:w="3491" w:type="pct"/>
            <w:tcBorders>
              <w:top w:val="single" w:sz="12" w:space="0" w:color="auto"/>
              <w:bottom w:val="single" w:sz="12" w:space="0" w:color="auto"/>
            </w:tcBorders>
          </w:tcPr>
          <w:p w14:paraId="0204551F" w14:textId="77777777" w:rsidR="001303C0" w:rsidRPr="00E043F5" w:rsidRDefault="001303C0" w:rsidP="007336AC">
            <w:pPr>
              <w:pStyle w:val="TableHeading"/>
              <w:rPr>
                <w:lang w:eastAsia="ja-JP"/>
              </w:rPr>
            </w:pPr>
            <w:r w:rsidRPr="00E043F5">
              <w:rPr>
                <w:lang w:eastAsia="ja-JP"/>
              </w:rPr>
              <w:t>Definition</w:t>
            </w:r>
          </w:p>
        </w:tc>
      </w:tr>
      <w:tr w:rsidR="001303C0" w:rsidRPr="000106C5" w14:paraId="14D47F02" w14:textId="77777777" w:rsidTr="003B2BD4">
        <w:trPr>
          <w:cantSplit/>
        </w:trPr>
        <w:tc>
          <w:tcPr>
            <w:tcW w:w="1509" w:type="pct"/>
            <w:tcBorders>
              <w:top w:val="single" w:sz="12" w:space="0" w:color="auto"/>
              <w:bottom w:val="single" w:sz="4" w:space="0" w:color="auto"/>
            </w:tcBorders>
          </w:tcPr>
          <w:p w14:paraId="35ED4200" w14:textId="77777777" w:rsidR="001303C0" w:rsidRPr="00E043F5" w:rsidRDefault="001303C0" w:rsidP="007336AC">
            <w:pPr>
              <w:pStyle w:val="TableText"/>
              <w:rPr>
                <w:lang w:eastAsia="ja-JP"/>
              </w:rPr>
            </w:pPr>
            <w:r w:rsidRPr="00E043F5">
              <w:rPr>
                <w:lang w:eastAsia="ja-JP"/>
              </w:rPr>
              <w:t>acute toxicity</w:t>
            </w:r>
          </w:p>
        </w:tc>
        <w:tc>
          <w:tcPr>
            <w:tcW w:w="3491" w:type="pct"/>
            <w:tcBorders>
              <w:top w:val="single" w:sz="12" w:space="0" w:color="auto"/>
              <w:bottom w:val="single" w:sz="4" w:space="0" w:color="auto"/>
            </w:tcBorders>
          </w:tcPr>
          <w:p w14:paraId="6A09CB98" w14:textId="0207EE54" w:rsidR="001303C0" w:rsidRPr="00E043F5" w:rsidRDefault="00E043F5" w:rsidP="007336AC">
            <w:pPr>
              <w:pStyle w:val="TableText"/>
              <w:rPr>
                <w:lang w:eastAsia="ja-JP"/>
              </w:rPr>
            </w:pPr>
            <w:r w:rsidRPr="00E043F5">
              <w:rPr>
                <w:lang w:eastAsia="ja-JP"/>
              </w:rPr>
              <w:t xml:space="preserve">A lethal or adverse sub-lethal effect that occurs </w:t>
            </w:r>
            <w:r w:rsidR="00BC5192" w:rsidRPr="00BC5192">
              <w:rPr>
                <w:lang w:eastAsia="ja-JP"/>
              </w:rPr>
              <w:t>as the result of a short exposure period to a chemical relative to the organism’s life span.</w:t>
            </w:r>
          </w:p>
        </w:tc>
      </w:tr>
      <w:tr w:rsidR="001303C0" w:rsidRPr="00E043F5" w14:paraId="2EE19981" w14:textId="77777777" w:rsidTr="003B2BD4">
        <w:trPr>
          <w:cantSplit/>
        </w:trPr>
        <w:tc>
          <w:tcPr>
            <w:tcW w:w="1509" w:type="pct"/>
            <w:tcBorders>
              <w:top w:val="single" w:sz="4" w:space="0" w:color="auto"/>
              <w:bottom w:val="single" w:sz="4" w:space="0" w:color="auto"/>
            </w:tcBorders>
          </w:tcPr>
          <w:p w14:paraId="37383757" w14:textId="77777777" w:rsidR="001303C0" w:rsidRPr="00E043F5" w:rsidRDefault="001303C0" w:rsidP="007336AC">
            <w:pPr>
              <w:pStyle w:val="TableText"/>
              <w:rPr>
                <w:lang w:eastAsia="ja-JP"/>
              </w:rPr>
            </w:pPr>
            <w:r w:rsidRPr="00E043F5">
              <w:rPr>
                <w:lang w:eastAsia="ja-JP"/>
              </w:rPr>
              <w:t>ANZECC</w:t>
            </w:r>
          </w:p>
        </w:tc>
        <w:tc>
          <w:tcPr>
            <w:tcW w:w="3491" w:type="pct"/>
            <w:tcBorders>
              <w:top w:val="single" w:sz="4" w:space="0" w:color="auto"/>
              <w:bottom w:val="single" w:sz="4" w:space="0" w:color="auto"/>
            </w:tcBorders>
          </w:tcPr>
          <w:p w14:paraId="02AFD741" w14:textId="5446BFD7" w:rsidR="001303C0" w:rsidRPr="00E043F5" w:rsidRDefault="001303C0" w:rsidP="007336AC">
            <w:pPr>
              <w:pStyle w:val="TableText"/>
              <w:rPr>
                <w:lang w:eastAsia="ja-JP"/>
              </w:rPr>
            </w:pPr>
            <w:r w:rsidRPr="00E043F5">
              <w:rPr>
                <w:lang w:eastAsia="ja-JP"/>
              </w:rPr>
              <w:t>Australian and New Zealand Environment and Conservation Council</w:t>
            </w:r>
            <w:r w:rsidR="00BC5192">
              <w:rPr>
                <w:lang w:eastAsia="ja-JP"/>
              </w:rPr>
              <w:t>.</w:t>
            </w:r>
          </w:p>
        </w:tc>
      </w:tr>
      <w:tr w:rsidR="001303C0" w:rsidRPr="000106C5" w14:paraId="52CA7CA4" w14:textId="77777777" w:rsidTr="003B2BD4">
        <w:trPr>
          <w:cantSplit/>
        </w:trPr>
        <w:tc>
          <w:tcPr>
            <w:tcW w:w="1509" w:type="pct"/>
            <w:tcBorders>
              <w:top w:val="single" w:sz="4" w:space="0" w:color="auto"/>
              <w:bottom w:val="single" w:sz="4" w:space="0" w:color="auto"/>
            </w:tcBorders>
          </w:tcPr>
          <w:p w14:paraId="1FCAA8E2" w14:textId="77777777" w:rsidR="001303C0" w:rsidRPr="00E043F5" w:rsidRDefault="001303C0" w:rsidP="007336AC">
            <w:pPr>
              <w:pStyle w:val="TableText"/>
              <w:rPr>
                <w:lang w:eastAsia="ja-JP"/>
              </w:rPr>
            </w:pPr>
            <w:r w:rsidRPr="00E043F5">
              <w:rPr>
                <w:lang w:eastAsia="ja-JP"/>
              </w:rPr>
              <w:t>ARMCANZ</w:t>
            </w:r>
          </w:p>
        </w:tc>
        <w:tc>
          <w:tcPr>
            <w:tcW w:w="3491" w:type="pct"/>
            <w:tcBorders>
              <w:top w:val="single" w:sz="4" w:space="0" w:color="auto"/>
              <w:bottom w:val="single" w:sz="4" w:space="0" w:color="auto"/>
            </w:tcBorders>
          </w:tcPr>
          <w:p w14:paraId="3CBDA75D" w14:textId="393A87FA" w:rsidR="001303C0" w:rsidRPr="00E043F5" w:rsidRDefault="001303C0" w:rsidP="007336AC">
            <w:pPr>
              <w:pStyle w:val="TableText"/>
              <w:rPr>
                <w:lang w:eastAsia="ja-JP"/>
              </w:rPr>
            </w:pPr>
            <w:r w:rsidRPr="00E043F5">
              <w:rPr>
                <w:lang w:eastAsia="ja-JP"/>
              </w:rPr>
              <w:t>Agricultural and Resource Management Council of Australia and New Zealand</w:t>
            </w:r>
            <w:r w:rsidR="00BC5192">
              <w:rPr>
                <w:lang w:eastAsia="ja-JP"/>
              </w:rPr>
              <w:t>.</w:t>
            </w:r>
          </w:p>
        </w:tc>
      </w:tr>
      <w:tr w:rsidR="001303C0" w:rsidRPr="000106C5" w14:paraId="2004086C" w14:textId="77777777" w:rsidTr="003B2BD4">
        <w:trPr>
          <w:cantSplit/>
        </w:trPr>
        <w:tc>
          <w:tcPr>
            <w:tcW w:w="1509" w:type="pct"/>
            <w:tcBorders>
              <w:top w:val="single" w:sz="4" w:space="0" w:color="auto"/>
              <w:bottom w:val="single" w:sz="4" w:space="0" w:color="auto"/>
            </w:tcBorders>
          </w:tcPr>
          <w:p w14:paraId="3D1C81F6" w14:textId="77777777" w:rsidR="001303C0" w:rsidRPr="00E043F5" w:rsidRDefault="001303C0" w:rsidP="007336AC">
            <w:pPr>
              <w:pStyle w:val="TableText"/>
              <w:rPr>
                <w:lang w:eastAsia="ja-JP"/>
              </w:rPr>
            </w:pPr>
            <w:r w:rsidRPr="00E043F5">
              <w:rPr>
                <w:lang w:eastAsia="ja-JP"/>
              </w:rPr>
              <w:t>chronic toxicity</w:t>
            </w:r>
          </w:p>
        </w:tc>
        <w:tc>
          <w:tcPr>
            <w:tcW w:w="3491" w:type="pct"/>
            <w:tcBorders>
              <w:top w:val="single" w:sz="4" w:space="0" w:color="auto"/>
              <w:bottom w:val="single" w:sz="4" w:space="0" w:color="auto"/>
            </w:tcBorders>
          </w:tcPr>
          <w:p w14:paraId="09B280CE" w14:textId="38031224" w:rsidR="001303C0" w:rsidRPr="00E043F5" w:rsidRDefault="00E043F5" w:rsidP="00B465DD">
            <w:pPr>
              <w:pStyle w:val="TableText"/>
              <w:rPr>
                <w:lang w:eastAsia="ja-JP"/>
              </w:rPr>
            </w:pPr>
            <w:r w:rsidRPr="00E043F5">
              <w:rPr>
                <w:lang w:eastAsia="ja-JP"/>
              </w:rPr>
              <w:t xml:space="preserve">A lethal or sublethal adverse effect that occurs after exposure to a chemical for a period of time that is a substantial portion of the organism’s life span or an adverse effect on a sensitive early life stage. </w:t>
            </w:r>
          </w:p>
        </w:tc>
      </w:tr>
      <w:tr w:rsidR="001303C0" w:rsidRPr="000106C5" w14:paraId="4926BC66" w14:textId="77777777" w:rsidTr="003B2BD4">
        <w:trPr>
          <w:cantSplit/>
        </w:trPr>
        <w:tc>
          <w:tcPr>
            <w:tcW w:w="1509" w:type="pct"/>
            <w:tcBorders>
              <w:top w:val="single" w:sz="4" w:space="0" w:color="auto"/>
              <w:bottom w:val="single" w:sz="4" w:space="0" w:color="auto"/>
            </w:tcBorders>
          </w:tcPr>
          <w:p w14:paraId="55C3E9CE" w14:textId="77777777" w:rsidR="001303C0" w:rsidRPr="00E043F5" w:rsidRDefault="001303C0" w:rsidP="007336AC">
            <w:pPr>
              <w:pStyle w:val="TableText"/>
              <w:rPr>
                <w:lang w:eastAsia="ja-JP"/>
              </w:rPr>
            </w:pPr>
            <w:r w:rsidRPr="00E043F5">
              <w:rPr>
                <w:lang w:eastAsia="ja-JP"/>
              </w:rPr>
              <w:t>default guideline value (DGV)</w:t>
            </w:r>
          </w:p>
        </w:tc>
        <w:tc>
          <w:tcPr>
            <w:tcW w:w="3491" w:type="pct"/>
            <w:tcBorders>
              <w:top w:val="single" w:sz="4" w:space="0" w:color="auto"/>
              <w:bottom w:val="single" w:sz="4" w:space="0" w:color="auto"/>
            </w:tcBorders>
          </w:tcPr>
          <w:p w14:paraId="57ED641E" w14:textId="5019C12B" w:rsidR="001303C0" w:rsidRPr="00E043F5" w:rsidRDefault="00B465DD" w:rsidP="007336AC">
            <w:pPr>
              <w:pStyle w:val="TableText"/>
              <w:rPr>
                <w:lang w:eastAsia="ja-JP"/>
              </w:rPr>
            </w:pPr>
            <w:r>
              <w:rPr>
                <w:lang w:eastAsia="ja-JP"/>
              </w:rPr>
              <w:t>A</w:t>
            </w:r>
            <w:r w:rsidRPr="00B465DD">
              <w:rPr>
                <w:lang w:eastAsia="ja-JP"/>
              </w:rPr>
              <w:t xml:space="preserve"> guideline value recommended for generic application in the absence of a more specific guideline value (e.g. a site-specific guideline value) in the Australian and New Zealand Guidelines for Fresh and Marine Water Quality. Formerly known as ‘trigger values’.</w:t>
            </w:r>
          </w:p>
        </w:tc>
      </w:tr>
      <w:tr w:rsidR="00E043F5" w:rsidRPr="000106C5" w14:paraId="6225AD22" w14:textId="77777777" w:rsidTr="003B2BD4">
        <w:trPr>
          <w:cantSplit/>
        </w:trPr>
        <w:tc>
          <w:tcPr>
            <w:tcW w:w="1509" w:type="pct"/>
            <w:tcBorders>
              <w:top w:val="single" w:sz="4" w:space="0" w:color="auto"/>
              <w:bottom w:val="single" w:sz="4" w:space="0" w:color="auto"/>
            </w:tcBorders>
          </w:tcPr>
          <w:p w14:paraId="694879CC" w14:textId="7D1684A1" w:rsidR="00E043F5" w:rsidRPr="00E043F5" w:rsidRDefault="00E043F5" w:rsidP="007336AC">
            <w:pPr>
              <w:pStyle w:val="TableText"/>
              <w:rPr>
                <w:lang w:eastAsia="ja-JP"/>
              </w:rPr>
            </w:pPr>
            <w:r w:rsidRPr="00841669">
              <w:t>DOC</w:t>
            </w:r>
          </w:p>
        </w:tc>
        <w:tc>
          <w:tcPr>
            <w:tcW w:w="3491" w:type="pct"/>
            <w:tcBorders>
              <w:top w:val="single" w:sz="4" w:space="0" w:color="auto"/>
              <w:bottom w:val="single" w:sz="4" w:space="0" w:color="auto"/>
            </w:tcBorders>
          </w:tcPr>
          <w:p w14:paraId="1C757C13" w14:textId="384A20D2" w:rsidR="00E043F5" w:rsidRPr="00E043F5" w:rsidRDefault="00E043F5" w:rsidP="007336AC">
            <w:pPr>
              <w:pStyle w:val="TableText"/>
              <w:rPr>
                <w:lang w:eastAsia="ja-JP"/>
              </w:rPr>
            </w:pPr>
            <w:r w:rsidRPr="00841669">
              <w:t>Dissolved organic carbon</w:t>
            </w:r>
            <w:r w:rsidR="00B465DD">
              <w:t>.</w:t>
            </w:r>
          </w:p>
        </w:tc>
      </w:tr>
      <w:tr w:rsidR="001303C0" w:rsidRPr="000106C5" w14:paraId="67F6BDD1" w14:textId="77777777" w:rsidTr="003B2BD4">
        <w:trPr>
          <w:cantSplit/>
        </w:trPr>
        <w:tc>
          <w:tcPr>
            <w:tcW w:w="1509" w:type="pct"/>
            <w:tcBorders>
              <w:top w:val="single" w:sz="4" w:space="0" w:color="auto"/>
              <w:bottom w:val="single" w:sz="4" w:space="0" w:color="auto"/>
            </w:tcBorders>
          </w:tcPr>
          <w:p w14:paraId="6E16654D" w14:textId="1E5C8E1F" w:rsidR="001303C0" w:rsidRPr="00E043F5" w:rsidRDefault="001303C0" w:rsidP="00E043F5">
            <w:pPr>
              <w:pStyle w:val="TableText"/>
              <w:rPr>
                <w:lang w:eastAsia="ja-JP"/>
              </w:rPr>
            </w:pPr>
            <w:r w:rsidRPr="00E043F5">
              <w:rPr>
                <w:lang w:eastAsia="ja-JP"/>
              </w:rPr>
              <w:t xml:space="preserve">EC50 </w:t>
            </w:r>
            <w:r w:rsidR="00B465DD">
              <w:rPr>
                <w:lang w:eastAsia="ja-JP"/>
              </w:rPr>
              <w:t>(</w:t>
            </w:r>
            <w:r w:rsidR="00B465DD" w:rsidRPr="00B465DD">
              <w:rPr>
                <w:lang w:eastAsia="ja-JP"/>
              </w:rPr>
              <w:t>median effective concentration</w:t>
            </w:r>
            <w:r w:rsidR="00B465DD">
              <w:rPr>
                <w:lang w:eastAsia="ja-JP"/>
              </w:rPr>
              <w:t>)</w:t>
            </w:r>
          </w:p>
        </w:tc>
        <w:tc>
          <w:tcPr>
            <w:tcW w:w="3491" w:type="pct"/>
            <w:tcBorders>
              <w:top w:val="single" w:sz="4" w:space="0" w:color="auto"/>
              <w:bottom w:val="single" w:sz="4" w:space="0" w:color="auto"/>
            </w:tcBorders>
          </w:tcPr>
          <w:p w14:paraId="6C39296A" w14:textId="37C9C814" w:rsidR="001303C0" w:rsidRPr="00E043F5" w:rsidRDefault="00B465DD" w:rsidP="00B465DD">
            <w:pPr>
              <w:pStyle w:val="TableText"/>
              <w:rPr>
                <w:lang w:eastAsia="ja-JP"/>
              </w:rPr>
            </w:pPr>
            <w:r>
              <w:rPr>
                <w:lang w:eastAsia="ja-JP"/>
              </w:rPr>
              <w:t>T</w:t>
            </w:r>
            <w:r w:rsidRPr="00B465DD">
              <w:rPr>
                <w:lang w:eastAsia="ja-JP"/>
              </w:rPr>
              <w:t>he concentration of a substance in water or sediment that is estimated to produce a 50% change in the response being measured or a certain effect in 50% of the test organisms relative to the control response, under specified conditions.</w:t>
            </w:r>
          </w:p>
        </w:tc>
      </w:tr>
      <w:tr w:rsidR="00E043F5" w:rsidRPr="000106C5" w14:paraId="109B094B" w14:textId="77777777" w:rsidTr="003B2BD4">
        <w:trPr>
          <w:cantSplit/>
        </w:trPr>
        <w:tc>
          <w:tcPr>
            <w:tcW w:w="1509" w:type="pct"/>
            <w:tcBorders>
              <w:top w:val="single" w:sz="4" w:space="0" w:color="auto"/>
              <w:bottom w:val="single" w:sz="4" w:space="0" w:color="auto"/>
            </w:tcBorders>
          </w:tcPr>
          <w:p w14:paraId="6629240C" w14:textId="7872E4D4" w:rsidR="00E043F5" w:rsidRPr="00E043F5" w:rsidRDefault="00E043F5" w:rsidP="00E043F5">
            <w:pPr>
              <w:pStyle w:val="TableText"/>
              <w:rPr>
                <w:lang w:eastAsia="ja-JP"/>
              </w:rPr>
            </w:pPr>
            <w:r w:rsidRPr="007F0DA8">
              <w:t>ECx</w:t>
            </w:r>
          </w:p>
        </w:tc>
        <w:tc>
          <w:tcPr>
            <w:tcW w:w="3491" w:type="pct"/>
            <w:tcBorders>
              <w:top w:val="single" w:sz="4" w:space="0" w:color="auto"/>
              <w:bottom w:val="single" w:sz="4" w:space="0" w:color="auto"/>
            </w:tcBorders>
          </w:tcPr>
          <w:p w14:paraId="5358CC1B" w14:textId="530D8214" w:rsidR="00E043F5" w:rsidRPr="00E043F5" w:rsidRDefault="00B465DD" w:rsidP="007336AC">
            <w:pPr>
              <w:pStyle w:val="TableText"/>
              <w:rPr>
                <w:lang w:eastAsia="ja-JP"/>
              </w:rPr>
            </w:pPr>
            <w:r>
              <w:t>T</w:t>
            </w:r>
            <w:r w:rsidRPr="00B465DD">
              <w:t>he concentration of a substance in water or sediment that is estimated to produce an x% change in the response being measured or a certain effect in x% of the test organisms, under specified conditions.</w:t>
            </w:r>
          </w:p>
        </w:tc>
      </w:tr>
      <w:tr w:rsidR="001303C0" w:rsidRPr="000106C5" w14:paraId="07F4616F" w14:textId="77777777" w:rsidTr="003B2BD4">
        <w:trPr>
          <w:cantSplit/>
        </w:trPr>
        <w:tc>
          <w:tcPr>
            <w:tcW w:w="1509" w:type="pct"/>
            <w:tcBorders>
              <w:top w:val="single" w:sz="4" w:space="0" w:color="auto"/>
              <w:bottom w:val="single" w:sz="4" w:space="0" w:color="auto"/>
            </w:tcBorders>
          </w:tcPr>
          <w:p w14:paraId="7FDCF3EE" w14:textId="77777777" w:rsidR="001303C0" w:rsidRPr="00E043F5" w:rsidRDefault="001303C0" w:rsidP="007336AC">
            <w:pPr>
              <w:pStyle w:val="TableText"/>
              <w:rPr>
                <w:lang w:eastAsia="ja-JP"/>
              </w:rPr>
            </w:pPr>
            <w:r w:rsidRPr="00E043F5">
              <w:rPr>
                <w:lang w:eastAsia="ja-JP"/>
              </w:rPr>
              <w:t>endpoint</w:t>
            </w:r>
          </w:p>
        </w:tc>
        <w:tc>
          <w:tcPr>
            <w:tcW w:w="3491" w:type="pct"/>
            <w:tcBorders>
              <w:top w:val="single" w:sz="4" w:space="0" w:color="auto"/>
              <w:bottom w:val="single" w:sz="4" w:space="0" w:color="auto"/>
            </w:tcBorders>
          </w:tcPr>
          <w:p w14:paraId="5A86FF13" w14:textId="484418CD" w:rsidR="001303C0" w:rsidRPr="00E043F5" w:rsidRDefault="00B465DD" w:rsidP="007336AC">
            <w:pPr>
              <w:pStyle w:val="TableText"/>
              <w:rPr>
                <w:lang w:eastAsia="ja-JP"/>
              </w:rPr>
            </w:pPr>
            <w:r>
              <w:rPr>
                <w:lang w:eastAsia="ja-JP"/>
              </w:rPr>
              <w:t>T</w:t>
            </w:r>
            <w:r w:rsidRPr="00B465DD">
              <w:rPr>
                <w:lang w:eastAsia="ja-JP"/>
              </w:rPr>
              <w:t>he specific response of an organism that is measured in a toxicity test (e.g. mortality, growth, a particular biomarker).</w:t>
            </w:r>
          </w:p>
        </w:tc>
      </w:tr>
      <w:tr w:rsidR="001303C0" w:rsidRPr="000106C5" w14:paraId="770A37F1" w14:textId="77777777" w:rsidTr="003B2BD4">
        <w:trPr>
          <w:cantSplit/>
        </w:trPr>
        <w:tc>
          <w:tcPr>
            <w:tcW w:w="1509" w:type="pct"/>
            <w:tcBorders>
              <w:top w:val="single" w:sz="4" w:space="0" w:color="auto"/>
              <w:bottom w:val="single" w:sz="4" w:space="0" w:color="auto"/>
            </w:tcBorders>
          </w:tcPr>
          <w:p w14:paraId="454A9785" w14:textId="77783AA6" w:rsidR="001303C0" w:rsidRPr="00E043F5" w:rsidRDefault="001303C0" w:rsidP="00B465DD">
            <w:pPr>
              <w:pStyle w:val="TableText"/>
              <w:rPr>
                <w:lang w:eastAsia="ja-JP"/>
              </w:rPr>
            </w:pPr>
            <w:r w:rsidRPr="00E043F5">
              <w:rPr>
                <w:lang w:eastAsia="ja-JP"/>
              </w:rPr>
              <w:t xml:space="preserve">guideline value </w:t>
            </w:r>
          </w:p>
        </w:tc>
        <w:tc>
          <w:tcPr>
            <w:tcW w:w="3491" w:type="pct"/>
            <w:tcBorders>
              <w:top w:val="single" w:sz="4" w:space="0" w:color="auto"/>
              <w:bottom w:val="single" w:sz="4" w:space="0" w:color="auto"/>
            </w:tcBorders>
          </w:tcPr>
          <w:p w14:paraId="59A3ABFF" w14:textId="743A94A7" w:rsidR="001303C0" w:rsidRPr="00E043F5" w:rsidRDefault="00B465DD" w:rsidP="007336AC">
            <w:pPr>
              <w:pStyle w:val="TableText"/>
              <w:rPr>
                <w:lang w:eastAsia="ja-JP"/>
              </w:rPr>
            </w:pPr>
            <w:r>
              <w:rPr>
                <w:lang w:eastAsia="ja-JP"/>
              </w:rPr>
              <w:t>A</w:t>
            </w:r>
            <w:r w:rsidRPr="00B465DD">
              <w:rPr>
                <w:lang w:eastAsia="ja-JP"/>
              </w:rPr>
              <w:t xml:space="preserve"> measurable quantity (e.g. concentration) or condition of an indicator for a specific community value below which (or above which, in the case of stressors such as pH, dissolved oxygen and many biodiversity responses) there is considered to be a low risk of unacceptable effects occurring to that community value. Guideline values for more than one indicator should be used simultaneously in a multiple lines of evidence approach. (Also refer to default guideline value and site-specific guideline value.)</w:t>
            </w:r>
          </w:p>
        </w:tc>
      </w:tr>
      <w:tr w:rsidR="00F739F9" w:rsidRPr="000106C5" w14:paraId="5C8F620F" w14:textId="77777777" w:rsidTr="003B2BD4">
        <w:trPr>
          <w:cantSplit/>
        </w:trPr>
        <w:tc>
          <w:tcPr>
            <w:tcW w:w="1509" w:type="pct"/>
            <w:tcBorders>
              <w:top w:val="single" w:sz="4" w:space="0" w:color="auto"/>
              <w:bottom w:val="single" w:sz="4" w:space="0" w:color="auto"/>
            </w:tcBorders>
          </w:tcPr>
          <w:p w14:paraId="411B5E72" w14:textId="6A159C85" w:rsidR="00F739F9" w:rsidRPr="00E043F5" w:rsidRDefault="00F739F9" w:rsidP="00B465DD">
            <w:pPr>
              <w:pStyle w:val="TableText"/>
              <w:rPr>
                <w:lang w:eastAsia="ja-JP"/>
              </w:rPr>
            </w:pPr>
            <w:r w:rsidRPr="00F739F9">
              <w:rPr>
                <w:lang w:eastAsia="ja-JP"/>
              </w:rPr>
              <w:t>IC50</w:t>
            </w:r>
          </w:p>
        </w:tc>
        <w:tc>
          <w:tcPr>
            <w:tcW w:w="3491" w:type="pct"/>
            <w:tcBorders>
              <w:top w:val="single" w:sz="4" w:space="0" w:color="auto"/>
              <w:bottom w:val="single" w:sz="4" w:space="0" w:color="auto"/>
            </w:tcBorders>
          </w:tcPr>
          <w:p w14:paraId="52031D7F" w14:textId="6E21642E" w:rsidR="00F739F9" w:rsidRDefault="00F739F9" w:rsidP="00F739F9">
            <w:pPr>
              <w:pStyle w:val="TableText"/>
              <w:rPr>
                <w:lang w:eastAsia="ja-JP"/>
              </w:rPr>
            </w:pPr>
            <w:r>
              <w:rPr>
                <w:lang w:eastAsia="ja-JP"/>
              </w:rPr>
              <w:t>T</w:t>
            </w:r>
            <w:r w:rsidRPr="00F739F9">
              <w:rPr>
                <w:lang w:eastAsia="ja-JP"/>
              </w:rPr>
              <w:t>he concentration of a substance in water or sediment that is estimated to produce a 50% inhibition of the response being measured in test organisms, relative to the control response, under specified conditions.</w:t>
            </w:r>
          </w:p>
        </w:tc>
      </w:tr>
      <w:tr w:rsidR="00E043F5" w:rsidRPr="000106C5" w14:paraId="21084AA3" w14:textId="77777777" w:rsidTr="003B2BD4">
        <w:trPr>
          <w:cantSplit/>
        </w:trPr>
        <w:tc>
          <w:tcPr>
            <w:tcW w:w="1509" w:type="pct"/>
            <w:tcBorders>
              <w:top w:val="single" w:sz="4" w:space="0" w:color="auto"/>
              <w:bottom w:val="single" w:sz="4" w:space="0" w:color="auto"/>
            </w:tcBorders>
          </w:tcPr>
          <w:p w14:paraId="31EB3807" w14:textId="6F94D194" w:rsidR="00E043F5" w:rsidRPr="00E043F5" w:rsidRDefault="00E043F5" w:rsidP="007336AC">
            <w:pPr>
              <w:pStyle w:val="TableText"/>
              <w:rPr>
                <w:lang w:eastAsia="ja-JP"/>
              </w:rPr>
            </w:pPr>
            <w:proofErr w:type="spellStart"/>
            <w:r w:rsidRPr="007C44D0">
              <w:t>ICx</w:t>
            </w:r>
            <w:proofErr w:type="spellEnd"/>
          </w:p>
        </w:tc>
        <w:tc>
          <w:tcPr>
            <w:tcW w:w="3491" w:type="pct"/>
            <w:tcBorders>
              <w:top w:val="single" w:sz="4" w:space="0" w:color="auto"/>
              <w:bottom w:val="single" w:sz="4" w:space="0" w:color="auto"/>
            </w:tcBorders>
          </w:tcPr>
          <w:p w14:paraId="27D13C70" w14:textId="0665BFC9" w:rsidR="00E043F5" w:rsidRPr="00E043F5" w:rsidRDefault="00B465DD" w:rsidP="007336AC">
            <w:pPr>
              <w:pStyle w:val="TableText"/>
              <w:rPr>
                <w:lang w:eastAsia="ja-JP"/>
              </w:rPr>
            </w:pPr>
            <w:r>
              <w:t>T</w:t>
            </w:r>
            <w:r w:rsidRPr="00B465DD">
              <w:t>he concentration of a substance in water or sediment that is estimated to produce an x% inhibition of the response being measured in test organisms relative to the control response, under specified conditions.</w:t>
            </w:r>
          </w:p>
        </w:tc>
      </w:tr>
      <w:tr w:rsidR="00F739F9" w:rsidRPr="000106C5" w14:paraId="7B39A4F5" w14:textId="77777777" w:rsidTr="003B2BD4">
        <w:trPr>
          <w:cantSplit/>
        </w:trPr>
        <w:tc>
          <w:tcPr>
            <w:tcW w:w="1509" w:type="pct"/>
            <w:tcBorders>
              <w:top w:val="single" w:sz="4" w:space="0" w:color="auto"/>
              <w:bottom w:val="single" w:sz="4" w:space="0" w:color="auto"/>
            </w:tcBorders>
          </w:tcPr>
          <w:p w14:paraId="48B7E3F1" w14:textId="0F1BE2DB" w:rsidR="00F739F9" w:rsidRPr="007C44D0" w:rsidRDefault="00F739F9" w:rsidP="007336AC">
            <w:pPr>
              <w:pStyle w:val="TableText"/>
            </w:pPr>
            <w:r w:rsidRPr="00F739F9">
              <w:t>LC5</w:t>
            </w:r>
            <w:r>
              <w:t>0 (median lethal concentration)</w:t>
            </w:r>
          </w:p>
        </w:tc>
        <w:tc>
          <w:tcPr>
            <w:tcW w:w="3491" w:type="pct"/>
            <w:tcBorders>
              <w:top w:val="single" w:sz="4" w:space="0" w:color="auto"/>
              <w:bottom w:val="single" w:sz="4" w:space="0" w:color="auto"/>
            </w:tcBorders>
          </w:tcPr>
          <w:p w14:paraId="51B0805F" w14:textId="4F333580" w:rsidR="00F739F9" w:rsidRDefault="00F739F9" w:rsidP="007336AC">
            <w:pPr>
              <w:pStyle w:val="TableText"/>
            </w:pPr>
            <w:r>
              <w:t>T</w:t>
            </w:r>
            <w:r w:rsidRPr="00F739F9">
              <w:t>he concentration of a substance in water or sediment that is estimated to be lethal to 50% of a group of test organisms, relative to the control response, under specified conditions.</w:t>
            </w:r>
          </w:p>
        </w:tc>
      </w:tr>
      <w:tr w:rsidR="00DD183B" w:rsidRPr="000106C5" w14:paraId="12C03BCE" w14:textId="77777777" w:rsidTr="003B2BD4">
        <w:trPr>
          <w:cantSplit/>
        </w:trPr>
        <w:tc>
          <w:tcPr>
            <w:tcW w:w="1509" w:type="pct"/>
            <w:tcBorders>
              <w:top w:val="single" w:sz="4" w:space="0" w:color="auto"/>
              <w:bottom w:val="single" w:sz="4" w:space="0" w:color="auto"/>
            </w:tcBorders>
          </w:tcPr>
          <w:p w14:paraId="532BCB1C" w14:textId="171FD9FE" w:rsidR="00DD183B" w:rsidRPr="00E043F5" w:rsidRDefault="00DD183B" w:rsidP="007336AC">
            <w:pPr>
              <w:pStyle w:val="TableText"/>
              <w:rPr>
                <w:lang w:eastAsia="ja-JP"/>
              </w:rPr>
            </w:pPr>
            <w:r w:rsidRPr="002301EA">
              <w:t>LCx</w:t>
            </w:r>
          </w:p>
        </w:tc>
        <w:tc>
          <w:tcPr>
            <w:tcW w:w="3491" w:type="pct"/>
            <w:tcBorders>
              <w:top w:val="single" w:sz="4" w:space="0" w:color="auto"/>
              <w:bottom w:val="single" w:sz="4" w:space="0" w:color="auto"/>
            </w:tcBorders>
          </w:tcPr>
          <w:p w14:paraId="521BE22A" w14:textId="087B31E7" w:rsidR="00DD183B" w:rsidRPr="00E043F5" w:rsidRDefault="00B465DD" w:rsidP="007336AC">
            <w:pPr>
              <w:pStyle w:val="TableText"/>
              <w:rPr>
                <w:lang w:eastAsia="ja-JP"/>
              </w:rPr>
            </w:pPr>
            <w:r>
              <w:t>T</w:t>
            </w:r>
            <w:r w:rsidRPr="00B465DD">
              <w:t>he concentration of a substance in water or sediment that is estimated to be lethal to x% of a group of test organisms under specified conditions.</w:t>
            </w:r>
          </w:p>
        </w:tc>
      </w:tr>
      <w:tr w:rsidR="001303C0" w:rsidRPr="000106C5" w14:paraId="4F9353DA" w14:textId="77777777" w:rsidTr="003B2BD4">
        <w:trPr>
          <w:cantSplit/>
        </w:trPr>
        <w:tc>
          <w:tcPr>
            <w:tcW w:w="1509" w:type="pct"/>
            <w:tcBorders>
              <w:top w:val="single" w:sz="4" w:space="0" w:color="auto"/>
              <w:bottom w:val="single" w:sz="4" w:space="0" w:color="auto"/>
            </w:tcBorders>
          </w:tcPr>
          <w:p w14:paraId="6044A1E3" w14:textId="2C9D75D7" w:rsidR="001303C0" w:rsidRPr="00DD183B" w:rsidRDefault="003E2CD1" w:rsidP="003E2CD1">
            <w:pPr>
              <w:pStyle w:val="TableText"/>
              <w:rPr>
                <w:lang w:eastAsia="ja-JP"/>
              </w:rPr>
            </w:pPr>
            <w:r w:rsidRPr="003E2CD1">
              <w:rPr>
                <w:lang w:eastAsia="ja-JP"/>
              </w:rPr>
              <w:t>lowest observed effect concentration (LOEC</w:t>
            </w:r>
            <w:r>
              <w:rPr>
                <w:lang w:eastAsia="ja-JP"/>
              </w:rPr>
              <w:t>)</w:t>
            </w:r>
          </w:p>
        </w:tc>
        <w:tc>
          <w:tcPr>
            <w:tcW w:w="3491" w:type="pct"/>
            <w:tcBorders>
              <w:top w:val="single" w:sz="4" w:space="0" w:color="auto"/>
              <w:bottom w:val="single" w:sz="4" w:space="0" w:color="auto"/>
            </w:tcBorders>
          </w:tcPr>
          <w:p w14:paraId="440359A8" w14:textId="2FBE756D" w:rsidR="001303C0" w:rsidRPr="00DD183B" w:rsidRDefault="003E2CD1" w:rsidP="007336AC">
            <w:pPr>
              <w:pStyle w:val="TableText"/>
              <w:rPr>
                <w:lang w:eastAsia="ja-JP"/>
              </w:rPr>
            </w:pPr>
            <w:r>
              <w:rPr>
                <w:lang w:eastAsia="ja-JP"/>
              </w:rPr>
              <w:t>T</w:t>
            </w:r>
            <w:r w:rsidRPr="003E2CD1">
              <w:rPr>
                <w:lang w:eastAsia="ja-JP"/>
              </w:rPr>
              <w:t>he lowest concentration of a material used in a toxicity test that has a statistically significant adverse effect on the exposed population of test organisms as compared with the controls.</w:t>
            </w:r>
          </w:p>
        </w:tc>
      </w:tr>
      <w:tr w:rsidR="005261E6" w:rsidRPr="000106C5" w14:paraId="21E11120" w14:textId="77777777" w:rsidTr="003B2BD4">
        <w:trPr>
          <w:cantSplit/>
        </w:trPr>
        <w:tc>
          <w:tcPr>
            <w:tcW w:w="1509" w:type="pct"/>
            <w:tcBorders>
              <w:top w:val="single" w:sz="4" w:space="0" w:color="auto"/>
              <w:bottom w:val="single" w:sz="4" w:space="0" w:color="auto"/>
            </w:tcBorders>
          </w:tcPr>
          <w:p w14:paraId="4F0023CA" w14:textId="3CA1E443" w:rsidR="005261E6" w:rsidRPr="003E2CD1" w:rsidRDefault="005261E6" w:rsidP="003E2CD1">
            <w:pPr>
              <w:pStyle w:val="TableText"/>
              <w:rPr>
                <w:lang w:eastAsia="ja-JP"/>
              </w:rPr>
            </w:pPr>
            <w:r>
              <w:rPr>
                <w:lang w:eastAsia="ja-JP"/>
              </w:rPr>
              <w:t>LT50 (median lethal time)</w:t>
            </w:r>
          </w:p>
        </w:tc>
        <w:tc>
          <w:tcPr>
            <w:tcW w:w="3491" w:type="pct"/>
            <w:tcBorders>
              <w:top w:val="single" w:sz="4" w:space="0" w:color="auto"/>
              <w:bottom w:val="single" w:sz="4" w:space="0" w:color="auto"/>
            </w:tcBorders>
          </w:tcPr>
          <w:p w14:paraId="5369EE20" w14:textId="159843C8" w:rsidR="005261E6" w:rsidRDefault="005261E6" w:rsidP="007336AC">
            <w:pPr>
              <w:pStyle w:val="TableText"/>
              <w:rPr>
                <w:lang w:eastAsia="ja-JP"/>
              </w:rPr>
            </w:pPr>
            <w:r w:rsidRPr="005261E6">
              <w:rPr>
                <w:lang w:eastAsia="ja-JP"/>
              </w:rPr>
              <w:t>The time required for a specific concentration of a substance in water or sediment to be lethal to 50% of a group of test organisms, relative to the control respon</w:t>
            </w:r>
            <w:r>
              <w:rPr>
                <w:lang w:eastAsia="ja-JP"/>
              </w:rPr>
              <w:t>se, under specified conditions.</w:t>
            </w:r>
          </w:p>
        </w:tc>
      </w:tr>
      <w:tr w:rsidR="00DD183B" w:rsidRPr="000106C5" w14:paraId="183D4643" w14:textId="77777777" w:rsidTr="003B2BD4">
        <w:trPr>
          <w:cantSplit/>
        </w:trPr>
        <w:tc>
          <w:tcPr>
            <w:tcW w:w="1509" w:type="pct"/>
            <w:tcBorders>
              <w:top w:val="single" w:sz="4" w:space="0" w:color="auto"/>
              <w:bottom w:val="single" w:sz="4" w:space="0" w:color="auto"/>
            </w:tcBorders>
          </w:tcPr>
          <w:p w14:paraId="4DAE962A" w14:textId="0410B477" w:rsidR="00DD183B" w:rsidRPr="000106C5" w:rsidRDefault="003E2CD1" w:rsidP="007336AC">
            <w:pPr>
              <w:pStyle w:val="TableText"/>
              <w:rPr>
                <w:highlight w:val="yellow"/>
                <w:lang w:eastAsia="ja-JP"/>
              </w:rPr>
            </w:pPr>
            <w:r w:rsidRPr="003E2CD1">
              <w:t>maximum acceptable toxicant concentration</w:t>
            </w:r>
            <w:r>
              <w:t xml:space="preserve"> (</w:t>
            </w:r>
            <w:r w:rsidR="00DD183B" w:rsidRPr="002A554D">
              <w:t>MATC</w:t>
            </w:r>
            <w:r>
              <w:t>)</w:t>
            </w:r>
          </w:p>
        </w:tc>
        <w:tc>
          <w:tcPr>
            <w:tcW w:w="3491" w:type="pct"/>
            <w:tcBorders>
              <w:top w:val="single" w:sz="4" w:space="0" w:color="auto"/>
              <w:bottom w:val="single" w:sz="4" w:space="0" w:color="auto"/>
            </w:tcBorders>
          </w:tcPr>
          <w:p w14:paraId="3DC3B681" w14:textId="09B5BA71" w:rsidR="00DD183B" w:rsidRPr="000106C5" w:rsidRDefault="003E2CD1" w:rsidP="003E2CD1">
            <w:pPr>
              <w:pStyle w:val="TableText"/>
              <w:rPr>
                <w:highlight w:val="yellow"/>
              </w:rPr>
            </w:pPr>
            <w:r>
              <w:t>T</w:t>
            </w:r>
            <w:r w:rsidR="00DD183B" w:rsidRPr="002A554D">
              <w:t>he geometric mean of the lowest exposure concentration that causes a statistically significant adverse effect (LOEC) and the highest exposure concentration where no statistically significant effect is observed (NOEC)</w:t>
            </w:r>
            <w:r>
              <w:t>.</w:t>
            </w:r>
          </w:p>
        </w:tc>
      </w:tr>
      <w:tr w:rsidR="001303C0" w:rsidRPr="000106C5" w14:paraId="4FBBB942" w14:textId="77777777" w:rsidTr="003B2BD4">
        <w:trPr>
          <w:cantSplit/>
        </w:trPr>
        <w:tc>
          <w:tcPr>
            <w:tcW w:w="1509" w:type="pct"/>
            <w:tcBorders>
              <w:top w:val="single" w:sz="4" w:space="0" w:color="auto"/>
              <w:bottom w:val="single" w:sz="4" w:space="0" w:color="auto"/>
            </w:tcBorders>
          </w:tcPr>
          <w:p w14:paraId="6204B985" w14:textId="6E9E4505" w:rsidR="001303C0" w:rsidRPr="003B2BD4" w:rsidRDefault="003E2CD1" w:rsidP="003E2CD1">
            <w:pPr>
              <w:pStyle w:val="TableText"/>
              <w:rPr>
                <w:lang w:eastAsia="ja-JP"/>
              </w:rPr>
            </w:pPr>
            <w:r w:rsidRPr="003E2CD1">
              <w:rPr>
                <w:lang w:eastAsia="ja-JP"/>
              </w:rPr>
              <w:lastRenderedPageBreak/>
              <w:t>no observed effect concentration</w:t>
            </w:r>
            <w:r>
              <w:rPr>
                <w:lang w:eastAsia="ja-JP"/>
              </w:rPr>
              <w:t xml:space="preserve"> (</w:t>
            </w:r>
            <w:r w:rsidR="001303C0" w:rsidRPr="003B2BD4">
              <w:rPr>
                <w:lang w:eastAsia="ja-JP"/>
              </w:rPr>
              <w:t>NOEC</w:t>
            </w:r>
            <w:r>
              <w:rPr>
                <w:lang w:eastAsia="ja-JP"/>
              </w:rPr>
              <w:t>)</w:t>
            </w:r>
            <w:r w:rsidR="001303C0" w:rsidRPr="003B2BD4">
              <w:rPr>
                <w:lang w:eastAsia="ja-JP"/>
              </w:rPr>
              <w:t xml:space="preserve"> </w:t>
            </w:r>
          </w:p>
        </w:tc>
        <w:tc>
          <w:tcPr>
            <w:tcW w:w="3491" w:type="pct"/>
            <w:tcBorders>
              <w:top w:val="single" w:sz="4" w:space="0" w:color="auto"/>
              <w:bottom w:val="single" w:sz="4" w:space="0" w:color="auto"/>
            </w:tcBorders>
          </w:tcPr>
          <w:p w14:paraId="6A4E0FA9" w14:textId="48CAC58E" w:rsidR="001303C0" w:rsidRPr="003B2BD4" w:rsidRDefault="00BF2621" w:rsidP="007336AC">
            <w:pPr>
              <w:pStyle w:val="TableText"/>
              <w:rPr>
                <w:lang w:eastAsia="ja-JP"/>
              </w:rPr>
            </w:pPr>
            <w:r>
              <w:rPr>
                <w:lang w:eastAsia="ja-JP"/>
              </w:rPr>
              <w:t>T</w:t>
            </w:r>
            <w:r w:rsidRPr="00BF2621">
              <w:rPr>
                <w:lang w:eastAsia="ja-JP"/>
              </w:rPr>
              <w:t>he highest concentration of a material used in a toxicity test that has no statistically significant adverse effect on the exposed population of test organisms as compared with the controls.</w:t>
            </w:r>
          </w:p>
        </w:tc>
      </w:tr>
      <w:tr w:rsidR="003B2BD4" w:rsidRPr="000106C5" w14:paraId="5A5A59FC" w14:textId="77777777" w:rsidTr="003B2BD4">
        <w:trPr>
          <w:cantSplit/>
        </w:trPr>
        <w:tc>
          <w:tcPr>
            <w:tcW w:w="1509" w:type="pct"/>
            <w:tcBorders>
              <w:top w:val="single" w:sz="4" w:space="0" w:color="auto"/>
              <w:bottom w:val="single" w:sz="4" w:space="0" w:color="auto"/>
            </w:tcBorders>
          </w:tcPr>
          <w:p w14:paraId="5F00D56A" w14:textId="381E20E7" w:rsidR="003B2BD4" w:rsidRPr="003B2BD4" w:rsidRDefault="003B2BD4" w:rsidP="007336AC">
            <w:pPr>
              <w:pStyle w:val="TableText"/>
              <w:rPr>
                <w:lang w:eastAsia="ja-JP"/>
              </w:rPr>
            </w:pPr>
            <w:r w:rsidRPr="0059604F">
              <w:t>PNEC</w:t>
            </w:r>
          </w:p>
        </w:tc>
        <w:tc>
          <w:tcPr>
            <w:tcW w:w="3491" w:type="pct"/>
            <w:tcBorders>
              <w:top w:val="single" w:sz="4" w:space="0" w:color="auto"/>
              <w:bottom w:val="single" w:sz="4" w:space="0" w:color="auto"/>
            </w:tcBorders>
          </w:tcPr>
          <w:p w14:paraId="3E082AAF" w14:textId="044031BF" w:rsidR="003B2BD4" w:rsidRPr="003B2BD4" w:rsidRDefault="003B2BD4" w:rsidP="007336AC">
            <w:pPr>
              <w:pStyle w:val="TableText"/>
              <w:rPr>
                <w:lang w:eastAsia="ja-JP"/>
              </w:rPr>
            </w:pPr>
            <w:r w:rsidRPr="0059604F">
              <w:t xml:space="preserve">Predicted </w:t>
            </w:r>
            <w:r w:rsidR="00BB4C46" w:rsidRPr="0059604F">
              <w:t>no effect concentration</w:t>
            </w:r>
            <w:r w:rsidR="00BB4C46">
              <w:t>.</w:t>
            </w:r>
          </w:p>
        </w:tc>
      </w:tr>
      <w:tr w:rsidR="003B2BD4" w:rsidRPr="000106C5" w14:paraId="2319258F" w14:textId="77777777" w:rsidTr="003B2BD4">
        <w:trPr>
          <w:cantSplit/>
        </w:trPr>
        <w:tc>
          <w:tcPr>
            <w:tcW w:w="1509" w:type="pct"/>
            <w:tcBorders>
              <w:top w:val="single" w:sz="4" w:space="0" w:color="auto"/>
              <w:bottom w:val="single" w:sz="4" w:space="0" w:color="auto"/>
            </w:tcBorders>
          </w:tcPr>
          <w:p w14:paraId="1F90F54C" w14:textId="566EFD56" w:rsidR="003B2BD4" w:rsidRPr="000106C5" w:rsidRDefault="003B2BD4" w:rsidP="00620280">
            <w:pPr>
              <w:pStyle w:val="TableText"/>
              <w:rPr>
                <w:highlight w:val="yellow"/>
              </w:rPr>
            </w:pPr>
            <w:r w:rsidRPr="00921BFE">
              <w:t>ppt</w:t>
            </w:r>
          </w:p>
        </w:tc>
        <w:tc>
          <w:tcPr>
            <w:tcW w:w="3491" w:type="pct"/>
            <w:tcBorders>
              <w:top w:val="single" w:sz="4" w:space="0" w:color="auto"/>
              <w:bottom w:val="single" w:sz="4" w:space="0" w:color="auto"/>
            </w:tcBorders>
          </w:tcPr>
          <w:p w14:paraId="171F33F6" w14:textId="7AF9C001" w:rsidR="003B2BD4" w:rsidRPr="000106C5" w:rsidRDefault="003B2BD4" w:rsidP="00620280">
            <w:pPr>
              <w:pStyle w:val="TableText"/>
              <w:rPr>
                <w:highlight w:val="yellow"/>
              </w:rPr>
            </w:pPr>
            <w:r w:rsidRPr="00921BFE">
              <w:t>Parts per thousand (‰). A measure of salinity.</w:t>
            </w:r>
          </w:p>
        </w:tc>
      </w:tr>
      <w:tr w:rsidR="003B2BD4" w:rsidRPr="000106C5" w14:paraId="290AE093" w14:textId="77777777" w:rsidTr="003B2BD4">
        <w:trPr>
          <w:cantSplit/>
        </w:trPr>
        <w:tc>
          <w:tcPr>
            <w:tcW w:w="1509" w:type="pct"/>
            <w:tcBorders>
              <w:top w:val="single" w:sz="4" w:space="0" w:color="auto"/>
              <w:bottom w:val="single" w:sz="4" w:space="0" w:color="auto"/>
            </w:tcBorders>
          </w:tcPr>
          <w:p w14:paraId="6FBF0445" w14:textId="7C8292F2" w:rsidR="003B2BD4" w:rsidRPr="000106C5" w:rsidRDefault="00BF2621" w:rsidP="00BF2621">
            <w:pPr>
              <w:pStyle w:val="TableText"/>
              <w:rPr>
                <w:highlight w:val="yellow"/>
                <w:lang w:eastAsia="ja-JP"/>
              </w:rPr>
            </w:pPr>
            <w:r>
              <w:t>s</w:t>
            </w:r>
            <w:r w:rsidR="003B2BD4" w:rsidRPr="004A183C">
              <w:t xml:space="preserve">ite-specific </w:t>
            </w:r>
            <w:r>
              <w:t>guideline value</w:t>
            </w:r>
          </w:p>
        </w:tc>
        <w:tc>
          <w:tcPr>
            <w:tcW w:w="3491" w:type="pct"/>
            <w:tcBorders>
              <w:top w:val="single" w:sz="4" w:space="0" w:color="auto"/>
              <w:bottom w:val="single" w:sz="4" w:space="0" w:color="auto"/>
            </w:tcBorders>
          </w:tcPr>
          <w:p w14:paraId="0E13CF78" w14:textId="1B01769E" w:rsidR="003B2BD4" w:rsidRPr="000106C5" w:rsidRDefault="003B2BD4" w:rsidP="007336AC">
            <w:pPr>
              <w:pStyle w:val="TableText"/>
              <w:rPr>
                <w:highlight w:val="yellow"/>
                <w:lang w:eastAsia="ja-JP"/>
              </w:rPr>
            </w:pPr>
            <w:r w:rsidRPr="004A183C">
              <w:t>A guideline value that is relevant to the specific location or conditions that are the focus of a given assessment or issue.</w:t>
            </w:r>
          </w:p>
        </w:tc>
      </w:tr>
      <w:tr w:rsidR="003B2BD4" w:rsidRPr="000106C5" w14:paraId="0EE171E6" w14:textId="77777777" w:rsidTr="003B2BD4">
        <w:trPr>
          <w:cantSplit/>
        </w:trPr>
        <w:tc>
          <w:tcPr>
            <w:tcW w:w="1509" w:type="pct"/>
            <w:tcBorders>
              <w:top w:val="single" w:sz="4" w:space="0" w:color="auto"/>
              <w:bottom w:val="single" w:sz="4" w:space="0" w:color="auto"/>
            </w:tcBorders>
          </w:tcPr>
          <w:p w14:paraId="215620CD" w14:textId="384C3E88" w:rsidR="003B2BD4" w:rsidRPr="000106C5" w:rsidRDefault="00BF2621" w:rsidP="007336AC">
            <w:pPr>
              <w:pStyle w:val="TableText"/>
              <w:rPr>
                <w:highlight w:val="yellow"/>
                <w:lang w:eastAsia="ja-JP"/>
              </w:rPr>
            </w:pPr>
            <w:r>
              <w:t>s</w:t>
            </w:r>
            <w:r w:rsidR="003B2BD4" w:rsidRPr="00AA7D4F">
              <w:t>pecies</w:t>
            </w:r>
            <w:r>
              <w:t xml:space="preserve"> (biological)</w:t>
            </w:r>
          </w:p>
        </w:tc>
        <w:tc>
          <w:tcPr>
            <w:tcW w:w="3491" w:type="pct"/>
            <w:tcBorders>
              <w:top w:val="single" w:sz="4" w:space="0" w:color="auto"/>
              <w:bottom w:val="single" w:sz="4" w:space="0" w:color="auto"/>
            </w:tcBorders>
          </w:tcPr>
          <w:p w14:paraId="00351133" w14:textId="2498DF0B" w:rsidR="003B2BD4" w:rsidRPr="000106C5" w:rsidRDefault="003B2BD4" w:rsidP="007336AC">
            <w:pPr>
              <w:pStyle w:val="TableText"/>
              <w:rPr>
                <w:highlight w:val="yellow"/>
                <w:lang w:eastAsia="ja-JP"/>
              </w:rPr>
            </w:pPr>
            <w:r w:rsidRPr="00AA7D4F">
              <w:t xml:space="preserve">A group of organisms that resemble each other to a greater degree than members of other groups and that form a reproductively isolated group </w:t>
            </w:r>
            <w:r w:rsidR="00BF2621" w:rsidRPr="00BF2621">
              <w:t>that will not produce viable offspring if bred with members of another group.</w:t>
            </w:r>
          </w:p>
        </w:tc>
      </w:tr>
      <w:tr w:rsidR="00BF2621" w:rsidRPr="000106C5" w14:paraId="2A8E3F78" w14:textId="77777777" w:rsidTr="003B2BD4">
        <w:trPr>
          <w:cantSplit/>
        </w:trPr>
        <w:tc>
          <w:tcPr>
            <w:tcW w:w="1509" w:type="pct"/>
            <w:tcBorders>
              <w:top w:val="single" w:sz="4" w:space="0" w:color="auto"/>
              <w:bottom w:val="single" w:sz="4" w:space="0" w:color="auto"/>
            </w:tcBorders>
          </w:tcPr>
          <w:p w14:paraId="57BCD9B7" w14:textId="3307FAEB" w:rsidR="00BF2621" w:rsidRPr="00AA7D4F" w:rsidRDefault="00BF2621" w:rsidP="007336AC">
            <w:pPr>
              <w:pStyle w:val="TableText"/>
            </w:pPr>
            <w:r w:rsidRPr="00BF2621">
              <w:t xml:space="preserve">species </w:t>
            </w:r>
            <w:r>
              <w:t>(chemical)</w:t>
            </w:r>
          </w:p>
        </w:tc>
        <w:tc>
          <w:tcPr>
            <w:tcW w:w="3491" w:type="pct"/>
            <w:tcBorders>
              <w:top w:val="single" w:sz="4" w:space="0" w:color="auto"/>
              <w:bottom w:val="single" w:sz="4" w:space="0" w:color="auto"/>
            </w:tcBorders>
          </w:tcPr>
          <w:p w14:paraId="02F921B1" w14:textId="5B366A6F" w:rsidR="00BF2621" w:rsidRPr="00AA7D4F" w:rsidRDefault="00BF2621" w:rsidP="007336AC">
            <w:pPr>
              <w:pStyle w:val="TableText"/>
            </w:pPr>
            <w:r>
              <w:t>M</w:t>
            </w:r>
            <w:r w:rsidRPr="00BF2621">
              <w:t>ost commonly used for metals, chemical species are different forms of a particular chemical that may include different oxidation states, isotopes, complexes with organic ligands (in the case of metals) or with particulate matter.</w:t>
            </w:r>
          </w:p>
        </w:tc>
      </w:tr>
      <w:tr w:rsidR="001303C0" w:rsidRPr="000106C5" w14:paraId="3573E836" w14:textId="77777777" w:rsidTr="003B2BD4">
        <w:trPr>
          <w:cantSplit/>
        </w:trPr>
        <w:tc>
          <w:tcPr>
            <w:tcW w:w="1509" w:type="pct"/>
            <w:tcBorders>
              <w:top w:val="single" w:sz="4" w:space="0" w:color="auto"/>
              <w:bottom w:val="single" w:sz="4" w:space="0" w:color="auto"/>
            </w:tcBorders>
          </w:tcPr>
          <w:p w14:paraId="79DB4A03" w14:textId="7664B5C6" w:rsidR="001303C0" w:rsidRPr="003B2BD4" w:rsidRDefault="00BF2621" w:rsidP="00BF2621">
            <w:pPr>
              <w:pStyle w:val="TableText"/>
              <w:rPr>
                <w:lang w:eastAsia="ja-JP"/>
              </w:rPr>
            </w:pPr>
            <w:r>
              <w:rPr>
                <w:lang w:eastAsia="ja-JP"/>
              </w:rPr>
              <w:t>S</w:t>
            </w:r>
            <w:r w:rsidRPr="003B2BD4">
              <w:rPr>
                <w:lang w:eastAsia="ja-JP"/>
              </w:rPr>
              <w:t xml:space="preserve">pecies sensitivity distribution </w:t>
            </w:r>
            <w:r>
              <w:rPr>
                <w:lang w:eastAsia="ja-JP"/>
              </w:rPr>
              <w:t>(</w:t>
            </w:r>
            <w:r w:rsidR="003B2BD4" w:rsidRPr="003B2BD4">
              <w:rPr>
                <w:lang w:eastAsia="ja-JP"/>
              </w:rPr>
              <w:t>SSD</w:t>
            </w:r>
            <w:r>
              <w:rPr>
                <w:lang w:eastAsia="ja-JP"/>
              </w:rPr>
              <w:t>)</w:t>
            </w:r>
          </w:p>
        </w:tc>
        <w:tc>
          <w:tcPr>
            <w:tcW w:w="3491" w:type="pct"/>
            <w:tcBorders>
              <w:top w:val="single" w:sz="4" w:space="0" w:color="auto"/>
              <w:bottom w:val="single" w:sz="4" w:space="0" w:color="auto"/>
            </w:tcBorders>
          </w:tcPr>
          <w:p w14:paraId="6CB34BE8" w14:textId="7C840A15" w:rsidR="001303C0" w:rsidRPr="003B2BD4" w:rsidRDefault="00BF2621" w:rsidP="007336AC">
            <w:pPr>
              <w:pStyle w:val="TableText"/>
              <w:rPr>
                <w:lang w:eastAsia="ja-JP"/>
              </w:rPr>
            </w:pPr>
            <w:r>
              <w:rPr>
                <w:lang w:eastAsia="ja-JP"/>
              </w:rPr>
              <w:t>A</w:t>
            </w:r>
            <w:r w:rsidRPr="00BF2621">
              <w:rPr>
                <w:lang w:eastAsia="ja-JP"/>
              </w:rPr>
              <w:t xml:space="preserve"> method that plots the cumulative frequency of species’ sensitivities to a toxicant and fits a statistical distribution to the data. From the distribution, the concentration that should theoretically protect a selected percentage of species can be determined.</w:t>
            </w:r>
          </w:p>
        </w:tc>
      </w:tr>
      <w:tr w:rsidR="001303C0" w:rsidRPr="000106C5" w14:paraId="71228D1A" w14:textId="77777777" w:rsidTr="00BF2621">
        <w:trPr>
          <w:cantSplit/>
        </w:trPr>
        <w:tc>
          <w:tcPr>
            <w:tcW w:w="1509" w:type="pct"/>
            <w:tcBorders>
              <w:top w:val="single" w:sz="4" w:space="0" w:color="auto"/>
              <w:bottom w:val="single" w:sz="4" w:space="0" w:color="auto"/>
            </w:tcBorders>
          </w:tcPr>
          <w:p w14:paraId="3AA02CDE" w14:textId="77777777" w:rsidR="001303C0" w:rsidRPr="003B2BD4" w:rsidRDefault="001303C0" w:rsidP="007336AC">
            <w:pPr>
              <w:pStyle w:val="TableText"/>
              <w:rPr>
                <w:lang w:eastAsia="ja-JP"/>
              </w:rPr>
            </w:pPr>
            <w:r w:rsidRPr="003B2BD4">
              <w:rPr>
                <w:lang w:eastAsia="ja-JP"/>
              </w:rPr>
              <w:t>toxicity</w:t>
            </w:r>
          </w:p>
        </w:tc>
        <w:tc>
          <w:tcPr>
            <w:tcW w:w="3491" w:type="pct"/>
            <w:tcBorders>
              <w:top w:val="single" w:sz="4" w:space="0" w:color="auto"/>
              <w:bottom w:val="single" w:sz="4" w:space="0" w:color="auto"/>
            </w:tcBorders>
          </w:tcPr>
          <w:p w14:paraId="2DE624E7" w14:textId="77777777" w:rsidR="001303C0" w:rsidRPr="003B2BD4" w:rsidRDefault="001303C0" w:rsidP="007336AC">
            <w:pPr>
              <w:pStyle w:val="TableText"/>
              <w:rPr>
                <w:lang w:eastAsia="ja-JP"/>
              </w:rPr>
            </w:pPr>
            <w:r w:rsidRPr="003B2BD4">
              <w:rPr>
                <w:lang w:eastAsia="ja-JP"/>
              </w:rPr>
              <w:t>The inherent potential or capacity of a material to cause adverse effects in a living organism.</w:t>
            </w:r>
          </w:p>
        </w:tc>
      </w:tr>
      <w:tr w:rsidR="001303C0" w:rsidRPr="00585FD8" w14:paraId="0D4D2A0B" w14:textId="77777777" w:rsidTr="00BF2621">
        <w:trPr>
          <w:cantSplit/>
        </w:trPr>
        <w:tc>
          <w:tcPr>
            <w:tcW w:w="1509" w:type="pct"/>
            <w:tcBorders>
              <w:top w:val="single" w:sz="4" w:space="0" w:color="auto"/>
              <w:bottom w:val="single" w:sz="12" w:space="0" w:color="auto"/>
            </w:tcBorders>
          </w:tcPr>
          <w:p w14:paraId="558C20D2" w14:textId="77777777" w:rsidR="001303C0" w:rsidRPr="003B2BD4" w:rsidRDefault="001303C0" w:rsidP="007336AC">
            <w:pPr>
              <w:pStyle w:val="TableText"/>
              <w:rPr>
                <w:lang w:eastAsia="ja-JP"/>
              </w:rPr>
            </w:pPr>
            <w:r w:rsidRPr="003B2BD4">
              <w:rPr>
                <w:lang w:eastAsia="ja-JP"/>
              </w:rPr>
              <w:t>toxicity test</w:t>
            </w:r>
          </w:p>
        </w:tc>
        <w:tc>
          <w:tcPr>
            <w:tcW w:w="3491" w:type="pct"/>
            <w:tcBorders>
              <w:top w:val="single" w:sz="4" w:space="0" w:color="auto"/>
              <w:bottom w:val="single" w:sz="12" w:space="0" w:color="auto"/>
            </w:tcBorders>
          </w:tcPr>
          <w:p w14:paraId="7BD3F439" w14:textId="22513E7A" w:rsidR="001303C0" w:rsidRPr="00585FD8" w:rsidRDefault="003B2BD4" w:rsidP="007336AC">
            <w:pPr>
              <w:pStyle w:val="TableText"/>
              <w:rPr>
                <w:lang w:eastAsia="ja-JP"/>
              </w:rPr>
            </w:pPr>
            <w:r w:rsidRPr="003B2BD4">
              <w:rPr>
                <w:lang w:eastAsia="ja-JP"/>
              </w:rPr>
              <w:t>The means by which the toxicity of a chemical or other test material is determined. A toxicity test is used to measure the degree of response produced by exposure to a specific level of stimulus (or concentration of chemical) for a specified test period</w:t>
            </w:r>
            <w:r w:rsidR="00BF2621">
              <w:rPr>
                <w:lang w:eastAsia="ja-JP"/>
              </w:rPr>
              <w:t>.</w:t>
            </w:r>
          </w:p>
        </w:tc>
      </w:tr>
    </w:tbl>
    <w:p w14:paraId="2A027A0A" w14:textId="77777777" w:rsidR="00006995" w:rsidRDefault="00006995" w:rsidP="001303C0">
      <w:pPr>
        <w:rPr>
          <w:lang w:eastAsia="ja-JP"/>
        </w:rPr>
      </w:pPr>
    </w:p>
    <w:p w14:paraId="3C1088A1" w14:textId="77777777" w:rsidR="00006995" w:rsidRPr="00585FD8" w:rsidRDefault="00006995" w:rsidP="001303C0">
      <w:pPr>
        <w:rPr>
          <w:lang w:eastAsia="ja-JP"/>
        </w:rPr>
      </w:pPr>
    </w:p>
    <w:p w14:paraId="437DA7D6" w14:textId="77777777" w:rsidR="00606A7B" w:rsidRDefault="00606A7B" w:rsidP="001303C0">
      <w:pPr>
        <w:rPr>
          <w:lang w:eastAsia="ja-JP"/>
        </w:rPr>
        <w:sectPr w:rsidR="00606A7B" w:rsidSect="00193A89">
          <w:headerReference w:type="default" r:id="rId28"/>
          <w:headerReference w:type="first" r:id="rId29"/>
          <w:footerReference w:type="first" r:id="rId30"/>
          <w:pgSz w:w="11906" w:h="16838"/>
          <w:pgMar w:top="1418" w:right="1418" w:bottom="1418" w:left="1418" w:header="567" w:footer="283" w:gutter="0"/>
          <w:pgNumType w:start="1"/>
          <w:cols w:space="708"/>
          <w:titlePg/>
          <w:docGrid w:linePitch="360"/>
        </w:sectPr>
      </w:pPr>
    </w:p>
    <w:p w14:paraId="628F211C" w14:textId="6D5F3904" w:rsidR="001C0D1C" w:rsidRDefault="00282714">
      <w:pPr>
        <w:pStyle w:val="Heading2"/>
        <w:numPr>
          <w:ilvl w:val="0"/>
          <w:numId w:val="0"/>
        </w:numPr>
      </w:pPr>
      <w:bookmarkStart w:id="28" w:name="_Ref23163388"/>
      <w:bookmarkStart w:id="29" w:name="_Toc34814176"/>
      <w:r w:rsidRPr="00282714">
        <w:lastRenderedPageBreak/>
        <w:t>Appendix A:</w:t>
      </w:r>
      <w:r w:rsidR="00006995" w:rsidRPr="00006995">
        <w:t xml:space="preserve"> Recommended actions to assess bioavailable fraction of zinc</w:t>
      </w:r>
      <w:bookmarkEnd w:id="28"/>
      <w:bookmarkEnd w:id="29"/>
    </w:p>
    <w:p w14:paraId="1888EE44" w14:textId="2FF89D4F" w:rsidR="005841DE" w:rsidRDefault="005841DE" w:rsidP="00CA70E1">
      <w:r>
        <w:t>A decision tree for evaluating monitoring data against</w:t>
      </w:r>
      <w:r w:rsidR="003F15A0">
        <w:t xml:space="preserve"> default guideline values</w:t>
      </w:r>
      <w:r>
        <w:t xml:space="preserve"> </w:t>
      </w:r>
      <w:r w:rsidR="003F15A0">
        <w:t>(</w:t>
      </w:r>
      <w:r>
        <w:t>DGVs</w:t>
      </w:r>
      <w:r w:rsidR="003F15A0">
        <w:t>)</w:t>
      </w:r>
      <w:r>
        <w:t xml:space="preserve"> </w:t>
      </w:r>
      <w:r w:rsidR="00F60D83">
        <w:t xml:space="preserve">or site-specific guideline values </w:t>
      </w:r>
      <w:r>
        <w:t xml:space="preserve">for </w:t>
      </w:r>
      <w:r w:rsidR="00F60D83">
        <w:t>zinc in marine water</w:t>
      </w:r>
      <w:r>
        <w:t xml:space="preserve">, which includes consideration of the bioavailable fraction, is shown in </w:t>
      </w:r>
      <w:r w:rsidR="003F15A0">
        <w:fldChar w:fldCharType="begin"/>
      </w:r>
      <w:r w:rsidR="003F15A0">
        <w:instrText xml:space="preserve"> REF _Ref31970029 \h </w:instrText>
      </w:r>
      <w:r w:rsidR="003F15A0">
        <w:fldChar w:fldCharType="separate"/>
      </w:r>
      <w:r w:rsidR="00A860FE">
        <w:t>Figure A </w:t>
      </w:r>
      <w:r w:rsidR="00A860FE">
        <w:rPr>
          <w:noProof/>
        </w:rPr>
        <w:t>1</w:t>
      </w:r>
      <w:r w:rsidR="003F15A0">
        <w:fldChar w:fldCharType="end"/>
      </w:r>
      <w:r>
        <w:t>. The outcomes of the process shown here for water chemistry assessment should be used with</w:t>
      </w:r>
      <w:r w:rsidRPr="00006995">
        <w:t xml:space="preserve"> other lines of evidence</w:t>
      </w:r>
      <w:r w:rsidR="00C91EED" w:rsidRPr="00603D83">
        <w:rPr>
          <w:rFonts w:ascii="Calibri" w:eastAsia="Times New Roman" w:hAnsi="Calibri" w:cs="Calibri"/>
          <w:color w:val="000000" w:themeColor="text1"/>
          <w:lang w:eastAsia="en-GB"/>
        </w:rPr>
        <w:t>, for example, biodiversity assessment or direct toxicity assessment,</w:t>
      </w:r>
      <w:r w:rsidRPr="00006995">
        <w:t xml:space="preserve"> in a weight of evidence approach </w:t>
      </w:r>
      <w:r>
        <w:t>to assess</w:t>
      </w:r>
      <w:r w:rsidR="00EC4029">
        <w:t>ing</w:t>
      </w:r>
      <w:r>
        <w:t xml:space="preserve"> overall water quality. </w:t>
      </w:r>
    </w:p>
    <w:p w14:paraId="073114AB" w14:textId="0E3C2B15" w:rsidR="00CA70E1" w:rsidRPr="00CA70E1" w:rsidRDefault="00CA70E1" w:rsidP="00CA70E1">
      <w:r>
        <w:t>With respect to the modelling of bioavailable zinc, it would be necessary to</w:t>
      </w:r>
      <w:r w:rsidRPr="00CA70E1">
        <w:t xml:space="preserve"> consider simple ionic complexes</w:t>
      </w:r>
      <w:r>
        <w:t>;</w:t>
      </w:r>
      <w:r w:rsidRPr="00CA70E1">
        <w:t xml:space="preserve"> however, </w:t>
      </w:r>
      <w:r>
        <w:t>it is also</w:t>
      </w:r>
      <w:r w:rsidRPr="00CA70E1">
        <w:t xml:space="preserve"> know</w:t>
      </w:r>
      <w:r>
        <w:t>n</w:t>
      </w:r>
      <w:r w:rsidRPr="00CA70E1">
        <w:t xml:space="preserve"> that there are colloidal forms and weak ionic complexes that can dissociate and cross biological membranes. </w:t>
      </w:r>
      <w:r w:rsidR="003A54D9">
        <w:t>A</w:t>
      </w:r>
      <w:r w:rsidRPr="00CA70E1">
        <w:t>pproaches such as the biotic ligand model might be a reasonable modelling option</w:t>
      </w:r>
      <w:r w:rsidR="003A54D9">
        <w:t xml:space="preserve"> for some metals, but to date no such model is available for zinc in marine waters</w:t>
      </w:r>
      <w:r w:rsidRPr="00CA70E1">
        <w:t xml:space="preserve">. </w:t>
      </w:r>
      <w:r w:rsidR="003A54D9">
        <w:t xml:space="preserve">Alternatively, speciation modelling is also an option, for example, the </w:t>
      </w:r>
      <w:r w:rsidR="003A54D9" w:rsidRPr="003A54D9">
        <w:t xml:space="preserve">Windermere </w:t>
      </w:r>
      <w:proofErr w:type="spellStart"/>
      <w:r w:rsidR="003A54D9" w:rsidRPr="003A54D9">
        <w:t>Humic</w:t>
      </w:r>
      <w:proofErr w:type="spellEnd"/>
      <w:r w:rsidR="003A54D9" w:rsidRPr="003A54D9">
        <w:t xml:space="preserve"> Aqueous Model (WHAM7)</w:t>
      </w:r>
      <w:r w:rsidR="003A54D9">
        <w:t xml:space="preserve">, which includes a solution speciation model </w:t>
      </w:r>
      <w:r w:rsidR="00CE2E85">
        <w:t>a</w:t>
      </w:r>
      <w:r w:rsidR="003A54D9">
        <w:t xml:space="preserve">s well as sub-models for ion binding to </w:t>
      </w:r>
      <w:proofErr w:type="spellStart"/>
      <w:r w:rsidR="003A54D9">
        <w:t>humic</w:t>
      </w:r>
      <w:proofErr w:type="spellEnd"/>
      <w:r w:rsidR="003A54D9">
        <w:t xml:space="preserve"> and fulvic acids, clay and oxides of iron, aluminium, manganese and silica (UK CEH 2021). </w:t>
      </w:r>
      <w:r w:rsidRPr="00CA70E1">
        <w:t xml:space="preserve">The measurement </w:t>
      </w:r>
      <w:r>
        <w:t>of bioavailable zinc</w:t>
      </w:r>
      <w:r w:rsidRPr="00CA70E1">
        <w:t xml:space="preserve"> involves the use of a range of techniques designed to measure the ‘labile’ fraction of metals that has been shown to correlate with the fraction that is biologically available</w:t>
      </w:r>
      <w:r>
        <w:t xml:space="preserve"> (see Batley et al. 2004). </w:t>
      </w:r>
      <w:r w:rsidRPr="00CA70E1">
        <w:t xml:space="preserve">Currently, the use of </w:t>
      </w:r>
      <w:proofErr w:type="spellStart"/>
      <w:r w:rsidRPr="00CA70E1">
        <w:t>Chelex</w:t>
      </w:r>
      <w:proofErr w:type="spellEnd"/>
      <w:r w:rsidRPr="00CA70E1">
        <w:t xml:space="preserve"> columns and </w:t>
      </w:r>
      <w:r>
        <w:t>diffusive gradients in thin films (DGT)</w:t>
      </w:r>
      <w:r w:rsidRPr="00CA70E1">
        <w:t xml:space="preserve"> are the most widely used approaches.</w:t>
      </w:r>
    </w:p>
    <w:p w14:paraId="15890083" w14:textId="067531E8" w:rsidR="00606A7B" w:rsidRPr="000106C5" w:rsidRDefault="00C91EED" w:rsidP="00006995">
      <w:pPr>
        <w:rPr>
          <w:highlight w:val="yellow"/>
        </w:rPr>
      </w:pPr>
      <w:r>
        <w:rPr>
          <w:noProof/>
        </w:rPr>
        <w:drawing>
          <wp:inline distT="0" distB="0" distL="0" distR="0" wp14:anchorId="0C216D20" wp14:editId="5BDC71D0">
            <wp:extent cx="3900792" cy="386562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40594" cy="3905064"/>
                    </a:xfrm>
                    <a:prstGeom prst="rect">
                      <a:avLst/>
                    </a:prstGeom>
                    <a:noFill/>
                  </pic:spPr>
                </pic:pic>
              </a:graphicData>
            </a:graphic>
          </wp:inline>
        </w:drawing>
      </w:r>
    </w:p>
    <w:p w14:paraId="4782D1D6" w14:textId="59084BA6" w:rsidR="00606A7B" w:rsidRPr="00282714" w:rsidRDefault="00101721" w:rsidP="00101721">
      <w:pPr>
        <w:pStyle w:val="Caption"/>
      </w:pPr>
      <w:bookmarkStart w:id="30" w:name="_Ref31970029"/>
      <w:bookmarkStart w:id="31" w:name="_Toc34643516"/>
      <w:r>
        <w:t>Figure</w:t>
      </w:r>
      <w:r w:rsidR="003F15A0">
        <w:t> </w:t>
      </w:r>
      <w:r>
        <w:t>A</w:t>
      </w:r>
      <w:r w:rsidR="003F15A0">
        <w:t> </w:t>
      </w:r>
      <w:r w:rsidR="00586A86">
        <w:fldChar w:fldCharType="begin"/>
      </w:r>
      <w:r w:rsidR="00586A86">
        <w:instrText xml:space="preserve"> SEQ Figure_A \* ARABIC </w:instrText>
      </w:r>
      <w:r w:rsidR="00586A86">
        <w:fldChar w:fldCharType="separate"/>
      </w:r>
      <w:r w:rsidR="00A860FE">
        <w:rPr>
          <w:noProof/>
        </w:rPr>
        <w:t>1</w:t>
      </w:r>
      <w:r w:rsidR="00586A86">
        <w:rPr>
          <w:noProof/>
        </w:rPr>
        <w:fldChar w:fldCharType="end"/>
      </w:r>
      <w:bookmarkEnd w:id="30"/>
      <w:r w:rsidR="00B63BA8">
        <w:t xml:space="preserve"> </w:t>
      </w:r>
      <w:r w:rsidR="00B87145">
        <w:t>A</w:t>
      </w:r>
      <w:r w:rsidR="00B87145" w:rsidRPr="00006995">
        <w:t>ctions to assess bioavailable fraction of zinc</w:t>
      </w:r>
      <w:bookmarkEnd w:id="31"/>
      <w:r w:rsidR="00C91EED">
        <w:t xml:space="preserve"> in marine water</w:t>
      </w:r>
    </w:p>
    <w:p w14:paraId="094344BC" w14:textId="77777777" w:rsidR="00606A7B" w:rsidRDefault="00606A7B" w:rsidP="00606A7B"/>
    <w:p w14:paraId="74B086F5" w14:textId="77777777" w:rsidR="00606A7B" w:rsidRDefault="00606A7B" w:rsidP="00606A7B">
      <w:pPr>
        <w:sectPr w:rsidR="00606A7B" w:rsidSect="00006995">
          <w:headerReference w:type="default" r:id="rId32"/>
          <w:headerReference w:type="first" r:id="rId33"/>
          <w:footerReference w:type="first" r:id="rId34"/>
          <w:pgSz w:w="11906" w:h="16838"/>
          <w:pgMar w:top="1418" w:right="1418" w:bottom="1418" w:left="1418" w:header="567" w:footer="283" w:gutter="0"/>
          <w:cols w:space="708"/>
          <w:docGrid w:linePitch="360"/>
        </w:sectPr>
      </w:pPr>
    </w:p>
    <w:p w14:paraId="2DC47700" w14:textId="38A1718A" w:rsidR="00606A7B" w:rsidRPr="000106C5" w:rsidRDefault="00282714" w:rsidP="00606A7B">
      <w:pPr>
        <w:pStyle w:val="Heading2"/>
        <w:numPr>
          <w:ilvl w:val="0"/>
          <w:numId w:val="0"/>
        </w:numPr>
        <w:rPr>
          <w:highlight w:val="yellow"/>
        </w:rPr>
      </w:pPr>
      <w:bookmarkStart w:id="32" w:name="_Ref23163329"/>
      <w:bookmarkStart w:id="33" w:name="_Toc34814177"/>
      <w:r w:rsidRPr="00282714">
        <w:lastRenderedPageBreak/>
        <w:t xml:space="preserve">Appendix B: Toxicity data that passed the screening and quality assessment </w:t>
      </w:r>
      <w:r w:rsidR="005841DE">
        <w:t xml:space="preserve">and </w:t>
      </w:r>
      <w:r w:rsidR="00776B0A">
        <w:t xml:space="preserve">were </w:t>
      </w:r>
      <w:r w:rsidR="005841DE">
        <w:t>used to derive the default guideline values</w:t>
      </w:r>
      <w:bookmarkEnd w:id="32"/>
      <w:bookmarkEnd w:id="33"/>
    </w:p>
    <w:p w14:paraId="6515F7D7" w14:textId="455FB786" w:rsidR="00606A7B" w:rsidRDefault="00B63BA8" w:rsidP="00B309FD">
      <w:pPr>
        <w:pStyle w:val="Caption"/>
      </w:pPr>
      <w:bookmarkStart w:id="34" w:name="_Toc23168940"/>
      <w:bookmarkStart w:id="35" w:name="_Toc34643507"/>
      <w:r>
        <w:t>Table B </w:t>
      </w:r>
      <w:r w:rsidR="00586A86">
        <w:fldChar w:fldCharType="begin"/>
      </w:r>
      <w:r w:rsidR="00586A86">
        <w:instrText xml:space="preserve"> SEQ Table_B \* ARABIC </w:instrText>
      </w:r>
      <w:r w:rsidR="00586A86">
        <w:fldChar w:fldCharType="separate"/>
      </w:r>
      <w:r w:rsidR="00A860FE">
        <w:rPr>
          <w:noProof/>
        </w:rPr>
        <w:t>1</w:t>
      </w:r>
      <w:r w:rsidR="00586A86">
        <w:rPr>
          <w:noProof/>
        </w:rPr>
        <w:fldChar w:fldCharType="end"/>
      </w:r>
      <w:r w:rsidR="001A76F2">
        <w:t xml:space="preserve"> </w:t>
      </w:r>
      <w:r w:rsidR="001F30F6" w:rsidRPr="00BE5293">
        <w:t>Summary</w:t>
      </w:r>
      <w:r w:rsidR="00B87145">
        <w:t>,</w:t>
      </w:r>
      <w:r w:rsidR="001F30F6" w:rsidRPr="001F30F6">
        <w:t xml:space="preserve"> </w:t>
      </w:r>
      <w:r w:rsidR="00533AD0">
        <w:t xml:space="preserve">chronic </w:t>
      </w:r>
      <w:r w:rsidR="001F30F6" w:rsidRPr="001F30F6">
        <w:t xml:space="preserve">toxicity data that passed screening and quality </w:t>
      </w:r>
      <w:r w:rsidR="00C601B4">
        <w:t>assessment</w:t>
      </w:r>
      <w:r w:rsidR="00B87145">
        <w:t>, zinc in marine water</w:t>
      </w:r>
      <w:bookmarkEnd w:id="34"/>
      <w:bookmarkEnd w:id="35"/>
    </w:p>
    <w:tbl>
      <w:tblPr>
        <w:tblW w:w="5000" w:type="pct"/>
        <w:tblLook w:val="0600" w:firstRow="0" w:lastRow="0" w:firstColumn="0" w:lastColumn="0" w:noHBand="1" w:noVBand="1"/>
        <w:tblCaption w:val="Summary, chronic toxicity data that passed the screening and quality assessment"/>
        <w:tblDescription w:val="Table lists 17 species with their taxonomic group and species name. The different life stages for each species are provided with the following test information: exposure duration, toxicity measure, salinty, temperature, concentration and reference."/>
      </w:tblPr>
      <w:tblGrid>
        <w:gridCol w:w="1821"/>
        <w:gridCol w:w="1915"/>
        <w:gridCol w:w="1677"/>
        <w:gridCol w:w="1255"/>
        <w:gridCol w:w="1815"/>
        <w:gridCol w:w="977"/>
        <w:gridCol w:w="1255"/>
        <w:gridCol w:w="1397"/>
        <w:gridCol w:w="1890"/>
      </w:tblGrid>
      <w:tr w:rsidR="00160F86" w:rsidRPr="00191EC2" w14:paraId="3343B164" w14:textId="77777777" w:rsidTr="00C82A93">
        <w:trPr>
          <w:cantSplit/>
          <w:tblHeader/>
        </w:trPr>
        <w:tc>
          <w:tcPr>
            <w:tcW w:w="650" w:type="pct"/>
            <w:tcBorders>
              <w:top w:val="single" w:sz="12" w:space="0" w:color="auto"/>
              <w:left w:val="nil"/>
              <w:bottom w:val="single" w:sz="12" w:space="0" w:color="auto"/>
              <w:right w:val="nil"/>
            </w:tcBorders>
            <w:shd w:val="clear" w:color="auto" w:fill="auto"/>
          </w:tcPr>
          <w:p w14:paraId="709D7038" w14:textId="4AFB7272" w:rsidR="001F30F6" w:rsidRPr="00117487" w:rsidRDefault="00BF7913" w:rsidP="0018039E">
            <w:pPr>
              <w:pStyle w:val="TableHeading"/>
            </w:pPr>
            <w:r>
              <w:t>Taxonomic group (p</w:t>
            </w:r>
            <w:r w:rsidR="001F30F6" w:rsidRPr="00117487">
              <w:t>hyl</w:t>
            </w:r>
            <w:r>
              <w:t>um</w:t>
            </w:r>
            <w:r w:rsidR="001F30F6" w:rsidRPr="00117487">
              <w:t>/</w:t>
            </w:r>
            <w:r w:rsidR="0018039E">
              <w:t>d</w:t>
            </w:r>
            <w:r w:rsidR="001F30F6" w:rsidRPr="00117487">
              <w:t>ivision</w:t>
            </w:r>
            <w:r>
              <w:t>)</w:t>
            </w:r>
          </w:p>
        </w:tc>
        <w:tc>
          <w:tcPr>
            <w:tcW w:w="684" w:type="pct"/>
            <w:tcBorders>
              <w:top w:val="single" w:sz="12" w:space="0" w:color="auto"/>
              <w:left w:val="nil"/>
              <w:bottom w:val="single" w:sz="12" w:space="0" w:color="auto"/>
              <w:right w:val="nil"/>
            </w:tcBorders>
            <w:shd w:val="clear" w:color="auto" w:fill="auto"/>
          </w:tcPr>
          <w:p w14:paraId="62E6FBBE" w14:textId="77777777" w:rsidR="001F30F6" w:rsidRPr="00117487" w:rsidRDefault="001F30F6" w:rsidP="002161E8">
            <w:pPr>
              <w:pStyle w:val="TableHeading"/>
            </w:pPr>
            <w:r w:rsidRPr="00117487">
              <w:t>Species</w:t>
            </w:r>
          </w:p>
        </w:tc>
        <w:tc>
          <w:tcPr>
            <w:tcW w:w="599" w:type="pct"/>
            <w:tcBorders>
              <w:top w:val="single" w:sz="12" w:space="0" w:color="auto"/>
              <w:left w:val="nil"/>
              <w:bottom w:val="single" w:sz="12" w:space="0" w:color="auto"/>
              <w:right w:val="nil"/>
            </w:tcBorders>
            <w:shd w:val="clear" w:color="auto" w:fill="auto"/>
          </w:tcPr>
          <w:p w14:paraId="52549B56" w14:textId="77777777" w:rsidR="001F30F6" w:rsidRPr="00117487" w:rsidRDefault="001F30F6" w:rsidP="002161E8">
            <w:pPr>
              <w:pStyle w:val="TableHeading"/>
            </w:pPr>
            <w:r w:rsidRPr="00117487">
              <w:t>Life stage</w:t>
            </w:r>
          </w:p>
        </w:tc>
        <w:tc>
          <w:tcPr>
            <w:tcW w:w="448" w:type="pct"/>
            <w:tcBorders>
              <w:top w:val="single" w:sz="12" w:space="0" w:color="auto"/>
              <w:left w:val="nil"/>
              <w:bottom w:val="single" w:sz="12" w:space="0" w:color="auto"/>
              <w:right w:val="nil"/>
            </w:tcBorders>
            <w:shd w:val="clear" w:color="auto" w:fill="auto"/>
          </w:tcPr>
          <w:p w14:paraId="12D820FD" w14:textId="77777777" w:rsidR="001F30F6" w:rsidRPr="00117487" w:rsidRDefault="001F30F6" w:rsidP="002161E8">
            <w:pPr>
              <w:pStyle w:val="TableHeading"/>
            </w:pPr>
            <w:r w:rsidRPr="00117487">
              <w:t>Exposure duration (d)</w:t>
            </w:r>
          </w:p>
        </w:tc>
        <w:tc>
          <w:tcPr>
            <w:tcW w:w="648" w:type="pct"/>
            <w:tcBorders>
              <w:top w:val="single" w:sz="12" w:space="0" w:color="auto"/>
              <w:left w:val="nil"/>
              <w:bottom w:val="single" w:sz="12" w:space="0" w:color="auto"/>
              <w:right w:val="nil"/>
            </w:tcBorders>
            <w:shd w:val="clear" w:color="auto" w:fill="auto"/>
          </w:tcPr>
          <w:p w14:paraId="08764F39" w14:textId="52D6A82E" w:rsidR="001F30F6" w:rsidRPr="00117487" w:rsidRDefault="001F30F6" w:rsidP="002161E8">
            <w:pPr>
              <w:pStyle w:val="TableHeading"/>
            </w:pPr>
            <w:r w:rsidRPr="00117487">
              <w:t>Toxicity measure (</w:t>
            </w:r>
            <w:r w:rsidR="00BF7913">
              <w:t>t</w:t>
            </w:r>
            <w:r w:rsidRPr="00117487">
              <w:t>est endpoint)</w:t>
            </w:r>
          </w:p>
        </w:tc>
        <w:tc>
          <w:tcPr>
            <w:tcW w:w="349" w:type="pct"/>
            <w:tcBorders>
              <w:top w:val="single" w:sz="12" w:space="0" w:color="auto"/>
              <w:left w:val="nil"/>
              <w:bottom w:val="single" w:sz="12" w:space="0" w:color="auto"/>
              <w:right w:val="nil"/>
            </w:tcBorders>
            <w:shd w:val="clear" w:color="auto" w:fill="auto"/>
          </w:tcPr>
          <w:p w14:paraId="3DC9F1DC" w14:textId="77777777" w:rsidR="001F30F6" w:rsidRPr="00117487" w:rsidRDefault="001F30F6" w:rsidP="002161E8">
            <w:pPr>
              <w:pStyle w:val="TableHeading"/>
            </w:pPr>
            <w:r w:rsidRPr="00117487">
              <w:t>Salinity (</w:t>
            </w:r>
            <w:r>
              <w:t>ppt</w:t>
            </w:r>
            <w:r w:rsidRPr="00117487">
              <w:t>)</w:t>
            </w:r>
          </w:p>
        </w:tc>
        <w:tc>
          <w:tcPr>
            <w:tcW w:w="448" w:type="pct"/>
            <w:tcBorders>
              <w:top w:val="single" w:sz="12" w:space="0" w:color="auto"/>
              <w:left w:val="nil"/>
              <w:bottom w:val="single" w:sz="12" w:space="0" w:color="auto"/>
              <w:right w:val="nil"/>
            </w:tcBorders>
            <w:shd w:val="clear" w:color="auto" w:fill="auto"/>
          </w:tcPr>
          <w:p w14:paraId="07504896" w14:textId="0FFEBEC3" w:rsidR="001F30F6" w:rsidRPr="00117487" w:rsidRDefault="001F30F6" w:rsidP="00BF7913">
            <w:pPr>
              <w:pStyle w:val="TableHeading"/>
            </w:pPr>
            <w:r w:rsidRPr="00117487">
              <w:t>Temp</w:t>
            </w:r>
            <w:r w:rsidR="00BF7913">
              <w:t>erature</w:t>
            </w:r>
            <w:r w:rsidRPr="00117487">
              <w:t xml:space="preserve"> (</w:t>
            </w:r>
            <w:r w:rsidRPr="00117487">
              <w:sym w:font="Symbol" w:char="F0B0"/>
            </w:r>
            <w:r w:rsidRPr="00117487">
              <w:t>C)</w:t>
            </w:r>
          </w:p>
        </w:tc>
        <w:tc>
          <w:tcPr>
            <w:tcW w:w="499" w:type="pct"/>
            <w:tcBorders>
              <w:top w:val="single" w:sz="12" w:space="0" w:color="auto"/>
              <w:left w:val="nil"/>
              <w:bottom w:val="single" w:sz="12" w:space="0" w:color="auto"/>
              <w:right w:val="nil"/>
            </w:tcBorders>
            <w:shd w:val="clear" w:color="auto" w:fill="auto"/>
          </w:tcPr>
          <w:p w14:paraId="2DFD56CB" w14:textId="150C85F4" w:rsidR="001F30F6" w:rsidRPr="00117487" w:rsidRDefault="001F30F6" w:rsidP="007D3764">
            <w:pPr>
              <w:pStyle w:val="TableHeading"/>
            </w:pPr>
            <w:r w:rsidRPr="00117487">
              <w:t>Concentration (µg/L)</w:t>
            </w:r>
          </w:p>
        </w:tc>
        <w:tc>
          <w:tcPr>
            <w:tcW w:w="675" w:type="pct"/>
            <w:tcBorders>
              <w:top w:val="single" w:sz="12" w:space="0" w:color="auto"/>
              <w:left w:val="nil"/>
              <w:bottom w:val="single" w:sz="12" w:space="0" w:color="auto"/>
              <w:right w:val="nil"/>
            </w:tcBorders>
            <w:shd w:val="clear" w:color="auto" w:fill="auto"/>
          </w:tcPr>
          <w:p w14:paraId="6AF77B57" w14:textId="77777777" w:rsidR="001F30F6" w:rsidRPr="00117487" w:rsidRDefault="001F30F6" w:rsidP="002161E8">
            <w:pPr>
              <w:pStyle w:val="TableHeading"/>
            </w:pPr>
            <w:r w:rsidRPr="00117487">
              <w:t>Reference</w:t>
            </w:r>
          </w:p>
        </w:tc>
      </w:tr>
      <w:tr w:rsidR="00160F86" w:rsidRPr="00BF13F5" w14:paraId="36E32922" w14:textId="77777777" w:rsidTr="00C82A93">
        <w:trPr>
          <w:cantSplit/>
        </w:trPr>
        <w:tc>
          <w:tcPr>
            <w:tcW w:w="650" w:type="pct"/>
            <w:tcBorders>
              <w:top w:val="single" w:sz="12" w:space="0" w:color="auto"/>
              <w:left w:val="nil"/>
              <w:right w:val="nil"/>
            </w:tcBorders>
            <w:shd w:val="clear" w:color="auto" w:fill="auto"/>
          </w:tcPr>
          <w:p w14:paraId="07DDA43B" w14:textId="77777777" w:rsidR="00986529" w:rsidRDefault="001F30F6" w:rsidP="00986529">
            <w:pPr>
              <w:pStyle w:val="TableText"/>
            </w:pPr>
            <w:r w:rsidRPr="00117487">
              <w:t>Diatom</w:t>
            </w:r>
          </w:p>
          <w:p w14:paraId="46F91BAD" w14:textId="5CF20E6C" w:rsidR="001F30F6" w:rsidRPr="00117487" w:rsidRDefault="00996FF6" w:rsidP="00986529">
            <w:pPr>
              <w:pStyle w:val="TableText"/>
            </w:pPr>
            <w:r w:rsidRPr="00616DB4">
              <w:t>(</w:t>
            </w:r>
            <w:proofErr w:type="spellStart"/>
            <w:r w:rsidRPr="00616DB4">
              <w:t>Ochrophyta</w:t>
            </w:r>
            <w:proofErr w:type="spellEnd"/>
            <w:r w:rsidRPr="00616DB4">
              <w:t>)</w:t>
            </w:r>
          </w:p>
        </w:tc>
        <w:tc>
          <w:tcPr>
            <w:tcW w:w="684" w:type="pct"/>
            <w:tcBorders>
              <w:top w:val="single" w:sz="12" w:space="0" w:color="auto"/>
              <w:left w:val="nil"/>
              <w:right w:val="nil"/>
            </w:tcBorders>
            <w:shd w:val="clear" w:color="auto" w:fill="auto"/>
          </w:tcPr>
          <w:p w14:paraId="5DA78739" w14:textId="77777777" w:rsidR="001F30F6" w:rsidRPr="007D3764" w:rsidRDefault="001F30F6" w:rsidP="00BF7913">
            <w:pPr>
              <w:pStyle w:val="TableText"/>
              <w:rPr>
                <w:rStyle w:val="Emphasis"/>
              </w:rPr>
            </w:pPr>
            <w:proofErr w:type="spellStart"/>
            <w:r w:rsidRPr="007D3764">
              <w:rPr>
                <w:rStyle w:val="Emphasis"/>
              </w:rPr>
              <w:t>Entomoneis</w:t>
            </w:r>
            <w:proofErr w:type="spellEnd"/>
            <w:r w:rsidRPr="007D3764">
              <w:rPr>
                <w:rStyle w:val="Emphasis"/>
              </w:rPr>
              <w:t xml:space="preserve"> </w:t>
            </w:r>
            <w:proofErr w:type="spellStart"/>
            <w:r w:rsidRPr="007D3764">
              <w:rPr>
                <w:rStyle w:val="Emphasis"/>
              </w:rPr>
              <w:t>punctulata</w:t>
            </w:r>
            <w:proofErr w:type="spellEnd"/>
          </w:p>
        </w:tc>
        <w:tc>
          <w:tcPr>
            <w:tcW w:w="599" w:type="pct"/>
            <w:tcBorders>
              <w:top w:val="single" w:sz="12" w:space="0" w:color="auto"/>
              <w:left w:val="nil"/>
              <w:right w:val="nil"/>
            </w:tcBorders>
            <w:shd w:val="clear" w:color="auto" w:fill="auto"/>
          </w:tcPr>
          <w:p w14:paraId="7EFB8B91" w14:textId="77777777" w:rsidR="001F30F6" w:rsidRPr="00117487" w:rsidRDefault="001F30F6" w:rsidP="002161E8">
            <w:pPr>
              <w:pStyle w:val="TableText"/>
            </w:pPr>
            <w:r w:rsidRPr="00117487">
              <w:t>Log phase growth</w:t>
            </w:r>
          </w:p>
        </w:tc>
        <w:tc>
          <w:tcPr>
            <w:tcW w:w="448" w:type="pct"/>
            <w:tcBorders>
              <w:top w:val="single" w:sz="12" w:space="0" w:color="auto"/>
              <w:left w:val="nil"/>
              <w:right w:val="nil"/>
            </w:tcBorders>
            <w:shd w:val="clear" w:color="auto" w:fill="auto"/>
          </w:tcPr>
          <w:p w14:paraId="13262F2B" w14:textId="77777777" w:rsidR="001F30F6" w:rsidRPr="00117487" w:rsidRDefault="001F30F6" w:rsidP="002161E8">
            <w:pPr>
              <w:pStyle w:val="TableText"/>
            </w:pPr>
            <w:r w:rsidRPr="00117487">
              <w:t>2</w:t>
            </w:r>
          </w:p>
        </w:tc>
        <w:tc>
          <w:tcPr>
            <w:tcW w:w="648" w:type="pct"/>
            <w:tcBorders>
              <w:top w:val="single" w:sz="12" w:space="0" w:color="auto"/>
              <w:left w:val="nil"/>
              <w:right w:val="nil"/>
            </w:tcBorders>
            <w:shd w:val="clear" w:color="auto" w:fill="auto"/>
          </w:tcPr>
          <w:p w14:paraId="46D78AFD" w14:textId="77777777" w:rsidR="00BF7913" w:rsidRDefault="001F30F6" w:rsidP="00BF7913">
            <w:pPr>
              <w:pStyle w:val="TableText"/>
            </w:pPr>
            <w:r w:rsidRPr="00117487">
              <w:t>EC50</w:t>
            </w:r>
          </w:p>
          <w:p w14:paraId="3AEC30E8" w14:textId="55FBE3BA" w:rsidR="001F30F6" w:rsidRPr="00117487" w:rsidRDefault="001F30F6" w:rsidP="00BF7913">
            <w:pPr>
              <w:pStyle w:val="TableText"/>
            </w:pPr>
            <w:r w:rsidRPr="00117487">
              <w:t>(Population)</w:t>
            </w:r>
          </w:p>
        </w:tc>
        <w:tc>
          <w:tcPr>
            <w:tcW w:w="349" w:type="pct"/>
            <w:tcBorders>
              <w:top w:val="single" w:sz="12" w:space="0" w:color="auto"/>
              <w:left w:val="nil"/>
              <w:right w:val="nil"/>
            </w:tcBorders>
            <w:shd w:val="clear" w:color="auto" w:fill="auto"/>
          </w:tcPr>
          <w:p w14:paraId="121CF52C" w14:textId="77777777" w:rsidR="001F30F6" w:rsidRPr="00117487" w:rsidRDefault="001F30F6" w:rsidP="002161E8">
            <w:pPr>
              <w:pStyle w:val="TableText"/>
            </w:pPr>
            <w:r w:rsidRPr="00117487">
              <w:t>34</w:t>
            </w:r>
          </w:p>
        </w:tc>
        <w:tc>
          <w:tcPr>
            <w:tcW w:w="448" w:type="pct"/>
            <w:tcBorders>
              <w:top w:val="single" w:sz="12" w:space="0" w:color="auto"/>
              <w:left w:val="nil"/>
              <w:right w:val="nil"/>
            </w:tcBorders>
            <w:shd w:val="clear" w:color="auto" w:fill="auto"/>
          </w:tcPr>
          <w:p w14:paraId="7BF657FF" w14:textId="77777777" w:rsidR="001F30F6" w:rsidRPr="00117487" w:rsidRDefault="001F30F6" w:rsidP="002161E8">
            <w:pPr>
              <w:pStyle w:val="TableText"/>
            </w:pPr>
            <w:r w:rsidRPr="00117487">
              <w:t>21</w:t>
            </w:r>
          </w:p>
        </w:tc>
        <w:tc>
          <w:tcPr>
            <w:tcW w:w="499" w:type="pct"/>
            <w:tcBorders>
              <w:top w:val="single" w:sz="12" w:space="0" w:color="auto"/>
              <w:left w:val="nil"/>
              <w:right w:val="nil"/>
            </w:tcBorders>
            <w:shd w:val="clear" w:color="auto" w:fill="auto"/>
          </w:tcPr>
          <w:p w14:paraId="349AC8A0" w14:textId="77777777" w:rsidR="001F30F6" w:rsidRPr="00117487" w:rsidRDefault="001F30F6" w:rsidP="002161E8">
            <w:pPr>
              <w:pStyle w:val="TableText"/>
            </w:pPr>
            <w:r w:rsidRPr="00117487">
              <w:t>765</w:t>
            </w:r>
          </w:p>
        </w:tc>
        <w:tc>
          <w:tcPr>
            <w:tcW w:w="675" w:type="pct"/>
            <w:tcBorders>
              <w:top w:val="single" w:sz="12" w:space="0" w:color="auto"/>
              <w:left w:val="nil"/>
              <w:right w:val="nil"/>
            </w:tcBorders>
            <w:shd w:val="clear" w:color="auto" w:fill="auto"/>
          </w:tcPr>
          <w:p w14:paraId="310F66B0" w14:textId="77777777" w:rsidR="001F30F6" w:rsidRPr="00117487" w:rsidRDefault="001F30F6" w:rsidP="002161E8">
            <w:pPr>
              <w:pStyle w:val="TableText"/>
            </w:pPr>
            <w:r w:rsidRPr="00117487">
              <w:rPr>
                <w:noProof/>
              </w:rPr>
              <w:t xml:space="preserve">Franklin et al. </w:t>
            </w:r>
            <w:r>
              <w:rPr>
                <w:noProof/>
              </w:rPr>
              <w:t>(20</w:t>
            </w:r>
            <w:r w:rsidRPr="00117487">
              <w:rPr>
                <w:noProof/>
              </w:rPr>
              <w:t>01)</w:t>
            </w:r>
          </w:p>
        </w:tc>
      </w:tr>
      <w:tr w:rsidR="00C82A93" w:rsidRPr="00BF13F5" w14:paraId="56312D19" w14:textId="77777777" w:rsidTr="00C82A93">
        <w:trPr>
          <w:cantSplit/>
        </w:trPr>
        <w:tc>
          <w:tcPr>
            <w:tcW w:w="3826" w:type="pct"/>
            <w:gridSpan w:val="7"/>
            <w:tcBorders>
              <w:left w:val="nil"/>
              <w:bottom w:val="single" w:sz="4" w:space="0" w:color="auto"/>
              <w:right w:val="nil"/>
            </w:tcBorders>
            <w:shd w:val="clear" w:color="auto" w:fill="auto"/>
          </w:tcPr>
          <w:p w14:paraId="577C8462" w14:textId="1EB623AC" w:rsidR="00BF7913"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5EEF84A2" w14:textId="77777777" w:rsidR="00BF7913" w:rsidRPr="00117487" w:rsidRDefault="00BF7913" w:rsidP="002161E8">
            <w:pPr>
              <w:pStyle w:val="TableText"/>
              <w:rPr>
                <w:b/>
              </w:rPr>
            </w:pPr>
            <w:r w:rsidRPr="00117487">
              <w:rPr>
                <w:b/>
              </w:rPr>
              <w:t>153</w:t>
            </w:r>
            <w:r>
              <w:rPr>
                <w:b/>
              </w:rPr>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25C01D4F" w14:textId="750BE250" w:rsidR="00BF7913" w:rsidRPr="00117487" w:rsidRDefault="00BF7913" w:rsidP="002161E8">
            <w:pPr>
              <w:pStyle w:val="TableText"/>
              <w:rPr>
                <w:b/>
              </w:rPr>
            </w:pPr>
            <w:r w:rsidRPr="00117487">
              <w:rPr>
                <w:b/>
              </w:rPr>
              <w:t>VALUE USED IN SSD</w:t>
            </w:r>
          </w:p>
        </w:tc>
      </w:tr>
      <w:tr w:rsidR="00160F86" w:rsidRPr="00BF13F5" w14:paraId="138727DB" w14:textId="77777777" w:rsidTr="00C82A93">
        <w:trPr>
          <w:cantSplit/>
        </w:trPr>
        <w:tc>
          <w:tcPr>
            <w:tcW w:w="650" w:type="pct"/>
            <w:tcBorders>
              <w:left w:val="nil"/>
              <w:right w:val="nil"/>
            </w:tcBorders>
            <w:shd w:val="clear" w:color="auto" w:fill="auto"/>
          </w:tcPr>
          <w:p w14:paraId="4D203EC5" w14:textId="77777777" w:rsidR="00986529" w:rsidRDefault="00BF7913" w:rsidP="002161E8">
            <w:pPr>
              <w:pStyle w:val="TableText"/>
            </w:pPr>
            <w:r w:rsidRPr="00117487">
              <w:t>Diatom</w:t>
            </w:r>
          </w:p>
          <w:p w14:paraId="379C0A46" w14:textId="5F83F18A" w:rsidR="001F30F6" w:rsidRPr="00117487" w:rsidRDefault="00996FF6" w:rsidP="002161E8">
            <w:pPr>
              <w:pStyle w:val="TableText"/>
            </w:pPr>
            <w:r w:rsidRPr="00616DB4">
              <w:t>(</w:t>
            </w:r>
            <w:proofErr w:type="spellStart"/>
            <w:r w:rsidRPr="00616DB4">
              <w:t>Ochrophyta</w:t>
            </w:r>
            <w:proofErr w:type="spellEnd"/>
            <w:r w:rsidRPr="00616DB4">
              <w:t>)</w:t>
            </w:r>
          </w:p>
        </w:tc>
        <w:tc>
          <w:tcPr>
            <w:tcW w:w="684" w:type="pct"/>
            <w:tcBorders>
              <w:left w:val="nil"/>
              <w:right w:val="nil"/>
            </w:tcBorders>
            <w:shd w:val="clear" w:color="auto" w:fill="auto"/>
          </w:tcPr>
          <w:p w14:paraId="7842F25F" w14:textId="77777777" w:rsidR="001F30F6" w:rsidRPr="007D3764" w:rsidRDefault="001F30F6" w:rsidP="00BF7913">
            <w:pPr>
              <w:pStyle w:val="TableText"/>
              <w:rPr>
                <w:rStyle w:val="Emphasis"/>
              </w:rPr>
            </w:pPr>
            <w:proofErr w:type="spellStart"/>
            <w:r w:rsidRPr="007D3764">
              <w:rPr>
                <w:rStyle w:val="Emphasis"/>
              </w:rPr>
              <w:t>Ceratoneis</w:t>
            </w:r>
            <w:proofErr w:type="spellEnd"/>
            <w:r w:rsidRPr="007D3764">
              <w:rPr>
                <w:rStyle w:val="Emphasis"/>
              </w:rPr>
              <w:t xml:space="preserve"> </w:t>
            </w:r>
            <w:proofErr w:type="spellStart"/>
            <w:r w:rsidRPr="007D3764">
              <w:rPr>
                <w:rStyle w:val="Emphasis"/>
              </w:rPr>
              <w:t>closterium</w:t>
            </w:r>
            <w:proofErr w:type="spellEnd"/>
          </w:p>
        </w:tc>
        <w:tc>
          <w:tcPr>
            <w:tcW w:w="599" w:type="pct"/>
            <w:tcBorders>
              <w:left w:val="nil"/>
              <w:right w:val="nil"/>
            </w:tcBorders>
            <w:shd w:val="clear" w:color="auto" w:fill="auto"/>
          </w:tcPr>
          <w:p w14:paraId="3B5929A3" w14:textId="77777777" w:rsidR="001F30F6" w:rsidRPr="00117487" w:rsidRDefault="001F30F6" w:rsidP="002161E8">
            <w:pPr>
              <w:pStyle w:val="TableText"/>
            </w:pPr>
            <w:r w:rsidRPr="00117487">
              <w:t>Exponential phase</w:t>
            </w:r>
          </w:p>
        </w:tc>
        <w:tc>
          <w:tcPr>
            <w:tcW w:w="448" w:type="pct"/>
            <w:tcBorders>
              <w:left w:val="nil"/>
              <w:right w:val="nil"/>
            </w:tcBorders>
            <w:shd w:val="clear" w:color="auto" w:fill="auto"/>
          </w:tcPr>
          <w:p w14:paraId="669F271B" w14:textId="77777777" w:rsidR="001F30F6" w:rsidRPr="00117487" w:rsidRDefault="001F30F6" w:rsidP="002161E8">
            <w:pPr>
              <w:pStyle w:val="TableText"/>
            </w:pPr>
            <w:r w:rsidRPr="00117487">
              <w:t>3</w:t>
            </w:r>
          </w:p>
        </w:tc>
        <w:tc>
          <w:tcPr>
            <w:tcW w:w="648" w:type="pct"/>
            <w:tcBorders>
              <w:left w:val="nil"/>
              <w:right w:val="nil"/>
            </w:tcBorders>
            <w:shd w:val="clear" w:color="auto" w:fill="auto"/>
          </w:tcPr>
          <w:p w14:paraId="5A0D8593" w14:textId="77777777" w:rsidR="00BF7913" w:rsidRDefault="001F30F6" w:rsidP="00BF7913">
            <w:pPr>
              <w:pStyle w:val="TableText"/>
            </w:pPr>
            <w:r w:rsidRPr="00117487">
              <w:t>IC10</w:t>
            </w:r>
          </w:p>
          <w:p w14:paraId="02AC2F4C" w14:textId="53CA42E0" w:rsidR="001F30F6" w:rsidRPr="00117487" w:rsidRDefault="001F30F6" w:rsidP="00BF7913">
            <w:pPr>
              <w:pStyle w:val="TableText"/>
            </w:pPr>
            <w:r w:rsidRPr="00117487">
              <w:t>(Population)</w:t>
            </w:r>
          </w:p>
        </w:tc>
        <w:tc>
          <w:tcPr>
            <w:tcW w:w="349" w:type="pct"/>
            <w:tcBorders>
              <w:left w:val="nil"/>
              <w:right w:val="nil"/>
            </w:tcBorders>
            <w:shd w:val="clear" w:color="auto" w:fill="auto"/>
          </w:tcPr>
          <w:p w14:paraId="229F2D16" w14:textId="77777777" w:rsidR="001F30F6" w:rsidRPr="00117487" w:rsidRDefault="001F30F6" w:rsidP="002161E8">
            <w:pPr>
              <w:pStyle w:val="TableText"/>
            </w:pPr>
            <w:r w:rsidRPr="00117487">
              <w:t>34</w:t>
            </w:r>
          </w:p>
        </w:tc>
        <w:tc>
          <w:tcPr>
            <w:tcW w:w="448" w:type="pct"/>
            <w:tcBorders>
              <w:left w:val="nil"/>
              <w:right w:val="nil"/>
            </w:tcBorders>
            <w:shd w:val="clear" w:color="auto" w:fill="auto"/>
          </w:tcPr>
          <w:p w14:paraId="4F915A7E" w14:textId="77777777" w:rsidR="001F30F6" w:rsidRPr="00117487" w:rsidRDefault="001F30F6" w:rsidP="002161E8">
            <w:pPr>
              <w:pStyle w:val="TableText"/>
            </w:pPr>
            <w:r w:rsidRPr="00117487">
              <w:t>27</w:t>
            </w:r>
          </w:p>
        </w:tc>
        <w:tc>
          <w:tcPr>
            <w:tcW w:w="499" w:type="pct"/>
            <w:tcBorders>
              <w:left w:val="nil"/>
              <w:right w:val="nil"/>
            </w:tcBorders>
            <w:shd w:val="clear" w:color="auto" w:fill="auto"/>
          </w:tcPr>
          <w:p w14:paraId="164978C8" w14:textId="77777777" w:rsidR="001F30F6" w:rsidRPr="00117487" w:rsidRDefault="001F30F6" w:rsidP="002161E8">
            <w:pPr>
              <w:pStyle w:val="TableText"/>
            </w:pPr>
            <w:r w:rsidRPr="00117487">
              <w:t>84</w:t>
            </w:r>
          </w:p>
        </w:tc>
        <w:tc>
          <w:tcPr>
            <w:tcW w:w="675" w:type="pct"/>
            <w:tcBorders>
              <w:left w:val="nil"/>
              <w:right w:val="nil"/>
            </w:tcBorders>
            <w:shd w:val="clear" w:color="auto" w:fill="auto"/>
          </w:tcPr>
          <w:p w14:paraId="1BAB3E71" w14:textId="77777777" w:rsidR="001F30F6" w:rsidRPr="00117487" w:rsidRDefault="001F30F6" w:rsidP="002161E8">
            <w:pPr>
              <w:pStyle w:val="TableText"/>
            </w:pPr>
            <w:r w:rsidRPr="00117487">
              <w:rPr>
                <w:noProof/>
              </w:rPr>
              <w:t xml:space="preserve">Johnson et al. </w:t>
            </w:r>
            <w:r>
              <w:rPr>
                <w:noProof/>
              </w:rPr>
              <w:t>(20</w:t>
            </w:r>
            <w:r w:rsidRPr="00117487">
              <w:rPr>
                <w:noProof/>
              </w:rPr>
              <w:t>07)</w:t>
            </w:r>
          </w:p>
        </w:tc>
      </w:tr>
      <w:tr w:rsidR="00C82A93" w:rsidRPr="00BF13F5" w14:paraId="1E5FF137" w14:textId="77777777" w:rsidTr="00C82A93">
        <w:trPr>
          <w:cantSplit/>
        </w:trPr>
        <w:tc>
          <w:tcPr>
            <w:tcW w:w="3826" w:type="pct"/>
            <w:gridSpan w:val="7"/>
            <w:tcBorders>
              <w:left w:val="nil"/>
              <w:bottom w:val="single" w:sz="4" w:space="0" w:color="auto"/>
              <w:right w:val="nil"/>
            </w:tcBorders>
            <w:shd w:val="clear" w:color="auto" w:fill="auto"/>
          </w:tcPr>
          <w:p w14:paraId="5A0DCF44" w14:textId="2A37AFFE" w:rsidR="00BF7913"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5ED53CB7" w14:textId="77777777" w:rsidR="00BF7913" w:rsidRPr="00117487" w:rsidRDefault="00BF7913" w:rsidP="002161E8">
            <w:pPr>
              <w:pStyle w:val="TableText"/>
              <w:rPr>
                <w:b/>
              </w:rPr>
            </w:pPr>
            <w:r w:rsidRPr="00117487">
              <w:rPr>
                <w:b/>
              </w:rPr>
              <w:t>84</w:t>
            </w:r>
          </w:p>
        </w:tc>
        <w:tc>
          <w:tcPr>
            <w:tcW w:w="675" w:type="pct"/>
            <w:tcBorders>
              <w:left w:val="nil"/>
              <w:bottom w:val="single" w:sz="4" w:space="0" w:color="auto"/>
              <w:right w:val="nil"/>
            </w:tcBorders>
            <w:shd w:val="clear" w:color="auto" w:fill="auto"/>
          </w:tcPr>
          <w:p w14:paraId="35873097" w14:textId="70499B81" w:rsidR="00BF7913" w:rsidRPr="00117487" w:rsidRDefault="00BF7913" w:rsidP="002161E8">
            <w:pPr>
              <w:pStyle w:val="TableText"/>
              <w:rPr>
                <w:b/>
              </w:rPr>
            </w:pPr>
            <w:r w:rsidRPr="00117487">
              <w:rPr>
                <w:b/>
              </w:rPr>
              <w:t>VALUE USED IN SSD</w:t>
            </w:r>
          </w:p>
        </w:tc>
      </w:tr>
      <w:tr w:rsidR="00160F86" w:rsidRPr="00BF13F5" w14:paraId="47E4C361" w14:textId="77777777" w:rsidTr="00C82A93">
        <w:trPr>
          <w:cantSplit/>
        </w:trPr>
        <w:tc>
          <w:tcPr>
            <w:tcW w:w="650" w:type="pct"/>
            <w:tcBorders>
              <w:left w:val="nil"/>
              <w:right w:val="nil"/>
            </w:tcBorders>
            <w:shd w:val="clear" w:color="auto" w:fill="auto"/>
          </w:tcPr>
          <w:p w14:paraId="0311F542" w14:textId="77777777" w:rsidR="00160F86" w:rsidRDefault="001F30F6" w:rsidP="00160F86">
            <w:pPr>
              <w:pStyle w:val="TableText"/>
            </w:pPr>
            <w:r w:rsidRPr="00117487">
              <w:t xml:space="preserve">Green </w:t>
            </w:r>
            <w:r w:rsidR="009061CA" w:rsidRPr="00117487">
              <w:t>alga</w:t>
            </w:r>
          </w:p>
          <w:p w14:paraId="61B59515" w14:textId="62FA9035" w:rsidR="001F30F6" w:rsidRPr="00117487" w:rsidRDefault="00996FF6" w:rsidP="00160F86">
            <w:pPr>
              <w:pStyle w:val="TableText"/>
            </w:pPr>
            <w:r>
              <w:t>(Chlorophyta)</w:t>
            </w:r>
          </w:p>
        </w:tc>
        <w:tc>
          <w:tcPr>
            <w:tcW w:w="684" w:type="pct"/>
            <w:tcBorders>
              <w:left w:val="nil"/>
              <w:right w:val="nil"/>
            </w:tcBorders>
            <w:shd w:val="clear" w:color="auto" w:fill="auto"/>
          </w:tcPr>
          <w:p w14:paraId="0E25391F" w14:textId="77777777" w:rsidR="001F30F6" w:rsidRPr="007D3764" w:rsidRDefault="001F30F6" w:rsidP="00BF7913">
            <w:pPr>
              <w:pStyle w:val="TableText"/>
              <w:rPr>
                <w:rStyle w:val="Emphasis"/>
              </w:rPr>
            </w:pPr>
            <w:proofErr w:type="spellStart"/>
            <w:r w:rsidRPr="007D3764">
              <w:rPr>
                <w:rStyle w:val="Emphasis"/>
              </w:rPr>
              <w:t>Dunalliella</w:t>
            </w:r>
            <w:proofErr w:type="spellEnd"/>
            <w:r w:rsidRPr="007D3764">
              <w:rPr>
                <w:rStyle w:val="Emphasis"/>
              </w:rPr>
              <w:t xml:space="preserve"> </w:t>
            </w:r>
            <w:proofErr w:type="spellStart"/>
            <w:r w:rsidRPr="007D3764">
              <w:rPr>
                <w:rStyle w:val="Emphasis"/>
              </w:rPr>
              <w:t>tertiolecta</w:t>
            </w:r>
            <w:proofErr w:type="spellEnd"/>
          </w:p>
        </w:tc>
        <w:tc>
          <w:tcPr>
            <w:tcW w:w="599" w:type="pct"/>
            <w:tcBorders>
              <w:left w:val="nil"/>
              <w:right w:val="nil"/>
            </w:tcBorders>
            <w:shd w:val="clear" w:color="auto" w:fill="auto"/>
          </w:tcPr>
          <w:p w14:paraId="450D22B8" w14:textId="1C7BAF45" w:rsidR="001F30F6" w:rsidRPr="00117487" w:rsidRDefault="002161E8" w:rsidP="002161E8">
            <w:pPr>
              <w:pStyle w:val="TableText"/>
            </w:pPr>
            <w:r>
              <w:t>NR</w:t>
            </w:r>
          </w:p>
        </w:tc>
        <w:tc>
          <w:tcPr>
            <w:tcW w:w="448" w:type="pct"/>
            <w:tcBorders>
              <w:left w:val="nil"/>
              <w:right w:val="nil"/>
            </w:tcBorders>
            <w:shd w:val="clear" w:color="auto" w:fill="auto"/>
          </w:tcPr>
          <w:p w14:paraId="23F9B91F" w14:textId="77777777" w:rsidR="001F30F6" w:rsidRPr="00117487" w:rsidRDefault="001F30F6" w:rsidP="002161E8">
            <w:pPr>
              <w:pStyle w:val="TableText"/>
            </w:pPr>
            <w:r w:rsidRPr="00117487">
              <w:t>3</w:t>
            </w:r>
          </w:p>
        </w:tc>
        <w:tc>
          <w:tcPr>
            <w:tcW w:w="648" w:type="pct"/>
            <w:tcBorders>
              <w:left w:val="nil"/>
              <w:right w:val="nil"/>
            </w:tcBorders>
            <w:shd w:val="clear" w:color="auto" w:fill="auto"/>
          </w:tcPr>
          <w:p w14:paraId="39FF9948" w14:textId="77777777" w:rsidR="00BF7913" w:rsidRDefault="001F30F6" w:rsidP="00BF7913">
            <w:pPr>
              <w:pStyle w:val="TableText"/>
            </w:pPr>
            <w:r w:rsidRPr="00117487">
              <w:t>EC50</w:t>
            </w:r>
          </w:p>
          <w:p w14:paraId="3E3FB0A8" w14:textId="1DA833D4" w:rsidR="001F30F6" w:rsidRPr="00117487" w:rsidRDefault="001F30F6" w:rsidP="00BF7913">
            <w:pPr>
              <w:pStyle w:val="TableText"/>
            </w:pPr>
            <w:r w:rsidRPr="00117487">
              <w:t>(</w:t>
            </w:r>
            <w:r>
              <w:t>Growth</w:t>
            </w:r>
            <w:r w:rsidRPr="00117487">
              <w:t>)</w:t>
            </w:r>
          </w:p>
        </w:tc>
        <w:tc>
          <w:tcPr>
            <w:tcW w:w="349" w:type="pct"/>
            <w:tcBorders>
              <w:left w:val="nil"/>
              <w:right w:val="nil"/>
            </w:tcBorders>
            <w:shd w:val="clear" w:color="auto" w:fill="auto"/>
          </w:tcPr>
          <w:p w14:paraId="2C68E111" w14:textId="77777777" w:rsidR="001F30F6" w:rsidRPr="00117487" w:rsidRDefault="001F30F6" w:rsidP="002161E8">
            <w:pPr>
              <w:pStyle w:val="TableText"/>
            </w:pPr>
            <w:r w:rsidRPr="00117487">
              <w:t>26</w:t>
            </w:r>
          </w:p>
        </w:tc>
        <w:tc>
          <w:tcPr>
            <w:tcW w:w="448" w:type="pct"/>
            <w:tcBorders>
              <w:left w:val="nil"/>
              <w:right w:val="nil"/>
            </w:tcBorders>
            <w:shd w:val="clear" w:color="auto" w:fill="auto"/>
          </w:tcPr>
          <w:p w14:paraId="4E8F2051" w14:textId="77777777" w:rsidR="001F30F6" w:rsidRPr="00117487" w:rsidRDefault="001F30F6" w:rsidP="002161E8">
            <w:pPr>
              <w:pStyle w:val="TableText"/>
            </w:pPr>
            <w:r w:rsidRPr="00117487">
              <w:t>20</w:t>
            </w:r>
          </w:p>
        </w:tc>
        <w:tc>
          <w:tcPr>
            <w:tcW w:w="499" w:type="pct"/>
            <w:tcBorders>
              <w:left w:val="nil"/>
              <w:right w:val="nil"/>
            </w:tcBorders>
            <w:shd w:val="clear" w:color="auto" w:fill="auto"/>
          </w:tcPr>
          <w:p w14:paraId="63D7A6C7" w14:textId="77777777" w:rsidR="001F30F6" w:rsidRPr="00117487" w:rsidRDefault="001F30F6" w:rsidP="002161E8">
            <w:pPr>
              <w:pStyle w:val="TableText"/>
            </w:pPr>
            <w:r w:rsidRPr="00117487">
              <w:t>270</w:t>
            </w:r>
          </w:p>
        </w:tc>
        <w:tc>
          <w:tcPr>
            <w:tcW w:w="675" w:type="pct"/>
            <w:tcBorders>
              <w:left w:val="nil"/>
              <w:right w:val="nil"/>
            </w:tcBorders>
            <w:shd w:val="clear" w:color="auto" w:fill="auto"/>
          </w:tcPr>
          <w:p w14:paraId="63261AF3" w14:textId="5EE9DEEA" w:rsidR="00BF7913" w:rsidRPr="00117487" w:rsidRDefault="001F30F6" w:rsidP="00BF7913">
            <w:pPr>
              <w:pStyle w:val="TableText"/>
            </w:pPr>
            <w:r w:rsidRPr="00117487">
              <w:rPr>
                <w:noProof/>
              </w:rPr>
              <w:t>H</w:t>
            </w:r>
            <w:r w:rsidR="00BC35A0">
              <w:rPr>
                <w:noProof/>
              </w:rPr>
              <w:t>all and</w:t>
            </w:r>
            <w:r w:rsidRPr="00117487">
              <w:rPr>
                <w:noProof/>
              </w:rPr>
              <w:t xml:space="preserve"> Golding </w:t>
            </w:r>
            <w:r>
              <w:rPr>
                <w:noProof/>
              </w:rPr>
              <w:t>(19</w:t>
            </w:r>
            <w:r w:rsidRPr="00117487">
              <w:rPr>
                <w:noProof/>
              </w:rPr>
              <w:t>98)</w:t>
            </w:r>
          </w:p>
        </w:tc>
      </w:tr>
      <w:tr w:rsidR="00C82A93" w:rsidRPr="00BF13F5" w14:paraId="20A1013B" w14:textId="77777777" w:rsidTr="00C82A93">
        <w:trPr>
          <w:cantSplit/>
        </w:trPr>
        <w:tc>
          <w:tcPr>
            <w:tcW w:w="3826" w:type="pct"/>
            <w:gridSpan w:val="7"/>
            <w:tcBorders>
              <w:left w:val="nil"/>
              <w:bottom w:val="single" w:sz="4" w:space="0" w:color="auto"/>
              <w:right w:val="nil"/>
            </w:tcBorders>
            <w:shd w:val="clear" w:color="auto" w:fill="auto"/>
          </w:tcPr>
          <w:p w14:paraId="16BCEF42" w14:textId="669821A4" w:rsidR="00BF7913"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69337F81" w14:textId="77777777" w:rsidR="00BF7913" w:rsidRPr="00117487" w:rsidRDefault="00BF7913" w:rsidP="002161E8">
            <w:pPr>
              <w:pStyle w:val="TableText"/>
              <w:rPr>
                <w:b/>
              </w:rPr>
            </w:pPr>
            <w:r w:rsidRPr="00117487">
              <w:rPr>
                <w:b/>
              </w:rPr>
              <w:t>54</w:t>
            </w:r>
            <w:r>
              <w:rPr>
                <w:b/>
              </w:rPr>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77AF7178" w14:textId="5CEC2860" w:rsidR="00FE0EF9" w:rsidRPr="00117487" w:rsidRDefault="00BF7913" w:rsidP="00FE0EF9">
            <w:pPr>
              <w:pStyle w:val="TableText"/>
              <w:rPr>
                <w:b/>
              </w:rPr>
            </w:pPr>
            <w:r w:rsidRPr="00117487">
              <w:rPr>
                <w:b/>
              </w:rPr>
              <w:t>VALUE USED IN SSD</w:t>
            </w:r>
          </w:p>
        </w:tc>
      </w:tr>
      <w:tr w:rsidR="00160F86" w:rsidRPr="00BF13F5" w14:paraId="2FE76CF7" w14:textId="77777777" w:rsidTr="00C82A93">
        <w:trPr>
          <w:cantSplit/>
        </w:trPr>
        <w:tc>
          <w:tcPr>
            <w:tcW w:w="650" w:type="pct"/>
            <w:vMerge w:val="restart"/>
            <w:tcBorders>
              <w:top w:val="single" w:sz="4" w:space="0" w:color="auto"/>
              <w:left w:val="nil"/>
              <w:bottom w:val="single" w:sz="4" w:space="0" w:color="auto"/>
              <w:right w:val="nil"/>
            </w:tcBorders>
            <w:shd w:val="clear" w:color="auto" w:fill="auto"/>
          </w:tcPr>
          <w:p w14:paraId="6DCD3B04" w14:textId="77777777" w:rsidR="00986529" w:rsidRDefault="00FE0EF9" w:rsidP="002161E8">
            <w:pPr>
              <w:pStyle w:val="TableText"/>
            </w:pPr>
            <w:r w:rsidRPr="00117487">
              <w:t xml:space="preserve">Green </w:t>
            </w:r>
            <w:r w:rsidR="009061CA" w:rsidRPr="00117487">
              <w:t>alga</w:t>
            </w:r>
          </w:p>
          <w:p w14:paraId="5BB8F8D7" w14:textId="60E35A07" w:rsidR="00FE0EF9" w:rsidRPr="00117487" w:rsidRDefault="00996FF6" w:rsidP="002161E8">
            <w:pPr>
              <w:pStyle w:val="TableText"/>
            </w:pPr>
            <w:r>
              <w:t>(Chlorophyta)</w:t>
            </w:r>
          </w:p>
        </w:tc>
        <w:tc>
          <w:tcPr>
            <w:tcW w:w="684" w:type="pct"/>
            <w:vMerge w:val="restart"/>
            <w:tcBorders>
              <w:top w:val="single" w:sz="4" w:space="0" w:color="auto"/>
              <w:left w:val="nil"/>
              <w:right w:val="nil"/>
            </w:tcBorders>
            <w:shd w:val="clear" w:color="auto" w:fill="auto"/>
          </w:tcPr>
          <w:p w14:paraId="622F4A16" w14:textId="65910BEE" w:rsidR="00FE0EF9" w:rsidRPr="00BF7913" w:rsidRDefault="00FE0EF9" w:rsidP="00986529">
            <w:pPr>
              <w:pStyle w:val="TableText"/>
            </w:pPr>
            <w:r w:rsidRPr="007D3764">
              <w:rPr>
                <w:rStyle w:val="Emphasis"/>
              </w:rPr>
              <w:t xml:space="preserve">Ulva </w:t>
            </w:r>
            <w:proofErr w:type="spellStart"/>
            <w:r w:rsidRPr="007D3764">
              <w:rPr>
                <w:rStyle w:val="Emphasis"/>
              </w:rPr>
              <w:t>fasciata</w:t>
            </w:r>
            <w:proofErr w:type="spellEnd"/>
          </w:p>
        </w:tc>
        <w:tc>
          <w:tcPr>
            <w:tcW w:w="599" w:type="pct"/>
            <w:tcBorders>
              <w:top w:val="single" w:sz="4" w:space="0" w:color="auto"/>
              <w:left w:val="nil"/>
              <w:bottom w:val="single" w:sz="4" w:space="0" w:color="auto"/>
              <w:right w:val="nil"/>
            </w:tcBorders>
            <w:shd w:val="clear" w:color="auto" w:fill="auto"/>
          </w:tcPr>
          <w:p w14:paraId="4B3A231B" w14:textId="77777777" w:rsidR="00FE0EF9" w:rsidRPr="00117487" w:rsidRDefault="00FE0EF9" w:rsidP="002161E8">
            <w:pPr>
              <w:pStyle w:val="TableText"/>
            </w:pPr>
            <w:r w:rsidRPr="00117487">
              <w:t>Zoospores</w:t>
            </w:r>
          </w:p>
        </w:tc>
        <w:tc>
          <w:tcPr>
            <w:tcW w:w="448" w:type="pct"/>
            <w:tcBorders>
              <w:top w:val="single" w:sz="4" w:space="0" w:color="auto"/>
              <w:left w:val="nil"/>
              <w:bottom w:val="single" w:sz="4" w:space="0" w:color="auto"/>
              <w:right w:val="nil"/>
            </w:tcBorders>
            <w:shd w:val="clear" w:color="auto" w:fill="auto"/>
          </w:tcPr>
          <w:p w14:paraId="106198FB" w14:textId="77777777" w:rsidR="00FE0EF9" w:rsidRPr="00117487" w:rsidRDefault="00FE0EF9" w:rsidP="002161E8">
            <w:pPr>
              <w:pStyle w:val="TableText"/>
            </w:pPr>
            <w:r w:rsidRPr="00117487">
              <w:t>4</w:t>
            </w:r>
          </w:p>
        </w:tc>
        <w:tc>
          <w:tcPr>
            <w:tcW w:w="648" w:type="pct"/>
            <w:tcBorders>
              <w:top w:val="single" w:sz="4" w:space="0" w:color="auto"/>
              <w:left w:val="nil"/>
              <w:bottom w:val="single" w:sz="4" w:space="0" w:color="auto"/>
              <w:right w:val="nil"/>
            </w:tcBorders>
            <w:shd w:val="clear" w:color="auto" w:fill="auto"/>
          </w:tcPr>
          <w:p w14:paraId="194405A3" w14:textId="77777777" w:rsidR="00FE0EF9" w:rsidRDefault="00FE0EF9" w:rsidP="00BF7913">
            <w:pPr>
              <w:pStyle w:val="TableText"/>
            </w:pPr>
            <w:r w:rsidRPr="00117487">
              <w:t>NOEC</w:t>
            </w:r>
          </w:p>
          <w:p w14:paraId="0B368451" w14:textId="6198F297" w:rsidR="00FE0EF9" w:rsidRPr="00117487" w:rsidRDefault="00FE0EF9" w:rsidP="00BF7913">
            <w:pPr>
              <w:pStyle w:val="TableText"/>
            </w:pPr>
            <w:r w:rsidRPr="00117487">
              <w:t>(Growth)</w:t>
            </w:r>
          </w:p>
        </w:tc>
        <w:tc>
          <w:tcPr>
            <w:tcW w:w="349" w:type="pct"/>
            <w:tcBorders>
              <w:top w:val="single" w:sz="4" w:space="0" w:color="auto"/>
              <w:left w:val="nil"/>
              <w:bottom w:val="single" w:sz="4" w:space="0" w:color="auto"/>
              <w:right w:val="nil"/>
            </w:tcBorders>
            <w:shd w:val="clear" w:color="auto" w:fill="auto"/>
          </w:tcPr>
          <w:p w14:paraId="457ED491" w14:textId="77777777" w:rsidR="00FE0EF9" w:rsidRPr="00117487" w:rsidRDefault="00FE0EF9" w:rsidP="002161E8">
            <w:pPr>
              <w:pStyle w:val="TableText"/>
            </w:pPr>
            <w:r w:rsidRPr="00117487">
              <w:t>NR</w:t>
            </w:r>
          </w:p>
        </w:tc>
        <w:tc>
          <w:tcPr>
            <w:tcW w:w="448" w:type="pct"/>
            <w:tcBorders>
              <w:top w:val="single" w:sz="4" w:space="0" w:color="auto"/>
              <w:left w:val="nil"/>
              <w:bottom w:val="single" w:sz="4" w:space="0" w:color="auto"/>
              <w:right w:val="nil"/>
            </w:tcBorders>
            <w:shd w:val="clear" w:color="auto" w:fill="auto"/>
          </w:tcPr>
          <w:p w14:paraId="2DADA0E9" w14:textId="77777777" w:rsidR="00FE0EF9" w:rsidRPr="00117487" w:rsidRDefault="00FE0EF9" w:rsidP="002161E8">
            <w:pPr>
              <w:pStyle w:val="TableText"/>
            </w:pPr>
            <w:r w:rsidRPr="00117487">
              <w:t>20</w:t>
            </w:r>
          </w:p>
        </w:tc>
        <w:tc>
          <w:tcPr>
            <w:tcW w:w="499" w:type="pct"/>
            <w:tcBorders>
              <w:top w:val="single" w:sz="4" w:space="0" w:color="auto"/>
              <w:left w:val="nil"/>
              <w:bottom w:val="single" w:sz="4" w:space="0" w:color="auto"/>
              <w:right w:val="nil"/>
            </w:tcBorders>
            <w:shd w:val="clear" w:color="auto" w:fill="auto"/>
          </w:tcPr>
          <w:p w14:paraId="7902C323" w14:textId="77777777" w:rsidR="00FE0EF9" w:rsidRPr="00117487" w:rsidRDefault="00FE0EF9" w:rsidP="002161E8">
            <w:pPr>
              <w:pStyle w:val="TableText"/>
            </w:pPr>
            <w:r w:rsidRPr="00117487">
              <w:t>143</w:t>
            </w:r>
          </w:p>
        </w:tc>
        <w:tc>
          <w:tcPr>
            <w:tcW w:w="675" w:type="pct"/>
            <w:tcBorders>
              <w:top w:val="single" w:sz="4" w:space="0" w:color="auto"/>
              <w:left w:val="nil"/>
              <w:bottom w:val="single" w:sz="4" w:space="0" w:color="auto"/>
              <w:right w:val="nil"/>
            </w:tcBorders>
            <w:shd w:val="clear" w:color="auto" w:fill="auto"/>
          </w:tcPr>
          <w:p w14:paraId="7A051444" w14:textId="68D0E6C3" w:rsidR="00FE0EF9" w:rsidRPr="00117487" w:rsidRDefault="00FE0EF9" w:rsidP="00BC35A0">
            <w:pPr>
              <w:pStyle w:val="TableText"/>
            </w:pPr>
            <w:r w:rsidRPr="00117487">
              <w:rPr>
                <w:noProof/>
              </w:rPr>
              <w:t xml:space="preserve">Hooten </w:t>
            </w:r>
            <w:r w:rsidR="00BC35A0">
              <w:rPr>
                <w:noProof/>
              </w:rPr>
              <w:t>and</w:t>
            </w:r>
            <w:r w:rsidRPr="00117487">
              <w:rPr>
                <w:noProof/>
              </w:rPr>
              <w:t xml:space="preserve"> Carr </w:t>
            </w:r>
            <w:r>
              <w:rPr>
                <w:noProof/>
              </w:rPr>
              <w:t>(19</w:t>
            </w:r>
            <w:r w:rsidRPr="00117487">
              <w:rPr>
                <w:noProof/>
              </w:rPr>
              <w:t>98)</w:t>
            </w:r>
          </w:p>
        </w:tc>
      </w:tr>
      <w:tr w:rsidR="00160F86" w:rsidRPr="00BF13F5" w14:paraId="5BF827F8" w14:textId="77777777" w:rsidTr="00C82A93">
        <w:trPr>
          <w:cantSplit/>
        </w:trPr>
        <w:tc>
          <w:tcPr>
            <w:tcW w:w="650" w:type="pct"/>
            <w:vMerge/>
            <w:tcBorders>
              <w:top w:val="single" w:sz="4" w:space="0" w:color="auto"/>
              <w:left w:val="nil"/>
              <w:bottom w:val="single" w:sz="4" w:space="0" w:color="auto"/>
              <w:right w:val="nil"/>
            </w:tcBorders>
            <w:shd w:val="clear" w:color="auto" w:fill="auto"/>
          </w:tcPr>
          <w:p w14:paraId="5C4C07BC" w14:textId="03D871F0" w:rsidR="00FE0EF9" w:rsidRPr="00117487" w:rsidRDefault="00FE0EF9" w:rsidP="002161E8">
            <w:pPr>
              <w:pStyle w:val="TableText"/>
            </w:pPr>
          </w:p>
        </w:tc>
        <w:tc>
          <w:tcPr>
            <w:tcW w:w="684" w:type="pct"/>
            <w:vMerge/>
            <w:tcBorders>
              <w:left w:val="nil"/>
              <w:right w:val="nil"/>
            </w:tcBorders>
            <w:shd w:val="clear" w:color="auto" w:fill="auto"/>
          </w:tcPr>
          <w:p w14:paraId="6BD1A67D" w14:textId="559561E3" w:rsidR="00FE0EF9" w:rsidRPr="00BF7913" w:rsidRDefault="00FE0EF9" w:rsidP="00BF7913">
            <w:pPr>
              <w:pStyle w:val="TableText"/>
            </w:pPr>
          </w:p>
        </w:tc>
        <w:tc>
          <w:tcPr>
            <w:tcW w:w="599" w:type="pct"/>
            <w:tcBorders>
              <w:top w:val="single" w:sz="4" w:space="0" w:color="auto"/>
              <w:left w:val="nil"/>
              <w:bottom w:val="single" w:sz="4" w:space="0" w:color="auto"/>
              <w:right w:val="nil"/>
            </w:tcBorders>
            <w:shd w:val="clear" w:color="auto" w:fill="auto"/>
          </w:tcPr>
          <w:p w14:paraId="64ECF887" w14:textId="77777777" w:rsidR="00FE0EF9" w:rsidRPr="00117487" w:rsidRDefault="00FE0EF9" w:rsidP="002161E8">
            <w:pPr>
              <w:pStyle w:val="TableText"/>
            </w:pPr>
            <w:r w:rsidRPr="00117487">
              <w:t>Zoospores</w:t>
            </w:r>
          </w:p>
        </w:tc>
        <w:tc>
          <w:tcPr>
            <w:tcW w:w="448" w:type="pct"/>
            <w:tcBorders>
              <w:top w:val="single" w:sz="4" w:space="0" w:color="auto"/>
              <w:left w:val="nil"/>
              <w:bottom w:val="single" w:sz="4" w:space="0" w:color="auto"/>
              <w:right w:val="nil"/>
            </w:tcBorders>
            <w:shd w:val="clear" w:color="auto" w:fill="auto"/>
          </w:tcPr>
          <w:p w14:paraId="72073B44" w14:textId="77777777" w:rsidR="00FE0EF9" w:rsidRPr="00117487" w:rsidRDefault="00FE0EF9" w:rsidP="002161E8">
            <w:pPr>
              <w:pStyle w:val="TableText"/>
            </w:pPr>
            <w:r w:rsidRPr="00117487">
              <w:t>4</w:t>
            </w:r>
          </w:p>
        </w:tc>
        <w:tc>
          <w:tcPr>
            <w:tcW w:w="648" w:type="pct"/>
            <w:tcBorders>
              <w:top w:val="single" w:sz="4" w:space="0" w:color="auto"/>
              <w:left w:val="nil"/>
              <w:bottom w:val="single" w:sz="4" w:space="0" w:color="auto"/>
              <w:right w:val="nil"/>
            </w:tcBorders>
            <w:shd w:val="clear" w:color="auto" w:fill="auto"/>
          </w:tcPr>
          <w:p w14:paraId="54B5F489" w14:textId="77777777" w:rsidR="00FE0EF9" w:rsidRDefault="00FE0EF9" w:rsidP="00BF7913">
            <w:pPr>
              <w:pStyle w:val="TableText"/>
            </w:pPr>
            <w:r w:rsidRPr="00117487">
              <w:t>NOEC</w:t>
            </w:r>
          </w:p>
          <w:p w14:paraId="1A7992F2" w14:textId="6372FE7D" w:rsidR="00FE0EF9" w:rsidRPr="00117487" w:rsidRDefault="00FE0EF9" w:rsidP="00BF7913">
            <w:pPr>
              <w:pStyle w:val="TableText"/>
            </w:pPr>
            <w:r w:rsidRPr="00117487">
              <w:t>(Reproduction)</w:t>
            </w:r>
          </w:p>
        </w:tc>
        <w:tc>
          <w:tcPr>
            <w:tcW w:w="349" w:type="pct"/>
            <w:tcBorders>
              <w:top w:val="single" w:sz="4" w:space="0" w:color="auto"/>
              <w:left w:val="nil"/>
              <w:bottom w:val="single" w:sz="4" w:space="0" w:color="auto"/>
              <w:right w:val="nil"/>
            </w:tcBorders>
            <w:shd w:val="clear" w:color="auto" w:fill="auto"/>
          </w:tcPr>
          <w:p w14:paraId="45070F54" w14:textId="77777777" w:rsidR="00FE0EF9" w:rsidRPr="00117487" w:rsidRDefault="00FE0EF9" w:rsidP="002161E8">
            <w:pPr>
              <w:pStyle w:val="TableText"/>
            </w:pPr>
            <w:r w:rsidRPr="00117487">
              <w:t>NR</w:t>
            </w:r>
          </w:p>
        </w:tc>
        <w:tc>
          <w:tcPr>
            <w:tcW w:w="448" w:type="pct"/>
            <w:tcBorders>
              <w:top w:val="single" w:sz="4" w:space="0" w:color="auto"/>
              <w:left w:val="nil"/>
              <w:bottom w:val="single" w:sz="4" w:space="0" w:color="auto"/>
              <w:right w:val="nil"/>
            </w:tcBorders>
            <w:shd w:val="clear" w:color="auto" w:fill="auto"/>
          </w:tcPr>
          <w:p w14:paraId="3AE3D2F2" w14:textId="77777777" w:rsidR="00FE0EF9" w:rsidRPr="00117487" w:rsidRDefault="00FE0EF9" w:rsidP="002161E8">
            <w:pPr>
              <w:pStyle w:val="TableText"/>
            </w:pPr>
            <w:r w:rsidRPr="00117487">
              <w:t>20</w:t>
            </w:r>
          </w:p>
        </w:tc>
        <w:tc>
          <w:tcPr>
            <w:tcW w:w="499" w:type="pct"/>
            <w:tcBorders>
              <w:top w:val="single" w:sz="4" w:space="0" w:color="auto"/>
              <w:left w:val="nil"/>
              <w:bottom w:val="single" w:sz="4" w:space="0" w:color="auto"/>
              <w:right w:val="nil"/>
            </w:tcBorders>
            <w:shd w:val="clear" w:color="auto" w:fill="auto"/>
          </w:tcPr>
          <w:p w14:paraId="5120680D" w14:textId="77777777" w:rsidR="00FE0EF9" w:rsidRPr="00117487" w:rsidRDefault="00FE0EF9" w:rsidP="002161E8">
            <w:pPr>
              <w:pStyle w:val="TableText"/>
            </w:pPr>
            <w:r w:rsidRPr="00117487">
              <w:t>143</w:t>
            </w:r>
          </w:p>
        </w:tc>
        <w:tc>
          <w:tcPr>
            <w:tcW w:w="675" w:type="pct"/>
            <w:tcBorders>
              <w:top w:val="single" w:sz="4" w:space="0" w:color="auto"/>
              <w:left w:val="nil"/>
              <w:bottom w:val="single" w:sz="4" w:space="0" w:color="auto"/>
              <w:right w:val="nil"/>
            </w:tcBorders>
            <w:shd w:val="clear" w:color="auto" w:fill="auto"/>
          </w:tcPr>
          <w:p w14:paraId="6344A844" w14:textId="5918F76F" w:rsidR="00FE0EF9" w:rsidRPr="00117487" w:rsidRDefault="00FE0EF9" w:rsidP="00BC35A0">
            <w:pPr>
              <w:pStyle w:val="TableText"/>
            </w:pPr>
            <w:r w:rsidRPr="00117487">
              <w:rPr>
                <w:noProof/>
              </w:rPr>
              <w:t xml:space="preserve">Hooten </w:t>
            </w:r>
            <w:r w:rsidR="00BC35A0">
              <w:rPr>
                <w:noProof/>
              </w:rPr>
              <w:t>and</w:t>
            </w:r>
            <w:r w:rsidRPr="00117487">
              <w:rPr>
                <w:noProof/>
              </w:rPr>
              <w:t xml:space="preserve"> Carr </w:t>
            </w:r>
            <w:r>
              <w:rPr>
                <w:noProof/>
              </w:rPr>
              <w:t>(19</w:t>
            </w:r>
            <w:r w:rsidRPr="00117487">
              <w:rPr>
                <w:noProof/>
              </w:rPr>
              <w:t>98)</w:t>
            </w:r>
          </w:p>
        </w:tc>
      </w:tr>
      <w:tr w:rsidR="00160F86" w:rsidRPr="00BF13F5" w14:paraId="02488984" w14:textId="77777777" w:rsidTr="00C82A93">
        <w:trPr>
          <w:cantSplit/>
        </w:trPr>
        <w:tc>
          <w:tcPr>
            <w:tcW w:w="650" w:type="pct"/>
            <w:vMerge/>
            <w:tcBorders>
              <w:top w:val="single" w:sz="4" w:space="0" w:color="auto"/>
              <w:left w:val="nil"/>
              <w:right w:val="nil"/>
            </w:tcBorders>
            <w:shd w:val="clear" w:color="auto" w:fill="auto"/>
          </w:tcPr>
          <w:p w14:paraId="5A224B2E" w14:textId="77777777" w:rsidR="00FE0EF9" w:rsidRPr="00117487" w:rsidRDefault="00FE0EF9" w:rsidP="002161E8">
            <w:pPr>
              <w:pStyle w:val="TableText"/>
            </w:pPr>
          </w:p>
        </w:tc>
        <w:tc>
          <w:tcPr>
            <w:tcW w:w="684" w:type="pct"/>
            <w:vMerge/>
            <w:tcBorders>
              <w:left w:val="nil"/>
              <w:right w:val="nil"/>
            </w:tcBorders>
            <w:shd w:val="clear" w:color="auto" w:fill="auto"/>
          </w:tcPr>
          <w:p w14:paraId="70AB07BD" w14:textId="77777777" w:rsidR="00FE0EF9" w:rsidRPr="00BF7913" w:rsidRDefault="00FE0EF9" w:rsidP="00BF7913">
            <w:pPr>
              <w:pStyle w:val="TableText"/>
            </w:pPr>
          </w:p>
        </w:tc>
        <w:tc>
          <w:tcPr>
            <w:tcW w:w="599" w:type="pct"/>
            <w:tcBorders>
              <w:top w:val="single" w:sz="4" w:space="0" w:color="auto"/>
              <w:left w:val="nil"/>
              <w:right w:val="nil"/>
            </w:tcBorders>
            <w:shd w:val="clear" w:color="auto" w:fill="auto"/>
          </w:tcPr>
          <w:p w14:paraId="6C54CA4E" w14:textId="77777777" w:rsidR="00FE0EF9" w:rsidRPr="00117487" w:rsidRDefault="00FE0EF9" w:rsidP="002161E8">
            <w:pPr>
              <w:pStyle w:val="TableText"/>
            </w:pPr>
            <w:r w:rsidRPr="00117487">
              <w:t>Zoospores</w:t>
            </w:r>
          </w:p>
        </w:tc>
        <w:tc>
          <w:tcPr>
            <w:tcW w:w="448" w:type="pct"/>
            <w:tcBorders>
              <w:top w:val="single" w:sz="4" w:space="0" w:color="auto"/>
              <w:left w:val="nil"/>
              <w:right w:val="nil"/>
            </w:tcBorders>
            <w:shd w:val="clear" w:color="auto" w:fill="auto"/>
          </w:tcPr>
          <w:p w14:paraId="0BE1FAB7" w14:textId="77777777" w:rsidR="00FE0EF9" w:rsidRPr="00117487" w:rsidRDefault="00FE0EF9" w:rsidP="002161E8">
            <w:pPr>
              <w:pStyle w:val="TableText"/>
            </w:pPr>
            <w:r w:rsidRPr="00117487">
              <w:t>4</w:t>
            </w:r>
          </w:p>
        </w:tc>
        <w:tc>
          <w:tcPr>
            <w:tcW w:w="648" w:type="pct"/>
            <w:tcBorders>
              <w:top w:val="single" w:sz="4" w:space="0" w:color="auto"/>
              <w:left w:val="nil"/>
              <w:right w:val="nil"/>
            </w:tcBorders>
            <w:shd w:val="clear" w:color="auto" w:fill="auto"/>
          </w:tcPr>
          <w:p w14:paraId="258AD4BF" w14:textId="77777777" w:rsidR="00FE0EF9" w:rsidRDefault="00FE0EF9" w:rsidP="00BF7913">
            <w:pPr>
              <w:pStyle w:val="TableText"/>
            </w:pPr>
            <w:r w:rsidRPr="00117487">
              <w:t>NOEC</w:t>
            </w:r>
          </w:p>
          <w:p w14:paraId="775BF301" w14:textId="5A107462" w:rsidR="00FE0EF9" w:rsidRPr="00117487" w:rsidRDefault="00FE0EF9" w:rsidP="00BF7913">
            <w:pPr>
              <w:pStyle w:val="TableText"/>
            </w:pPr>
            <w:r w:rsidRPr="00117487">
              <w:t>(Population)</w:t>
            </w:r>
          </w:p>
        </w:tc>
        <w:tc>
          <w:tcPr>
            <w:tcW w:w="349" w:type="pct"/>
            <w:tcBorders>
              <w:top w:val="single" w:sz="4" w:space="0" w:color="auto"/>
              <w:left w:val="nil"/>
              <w:right w:val="nil"/>
            </w:tcBorders>
            <w:shd w:val="clear" w:color="auto" w:fill="auto"/>
          </w:tcPr>
          <w:p w14:paraId="1D8653DE" w14:textId="77777777" w:rsidR="00FE0EF9" w:rsidRPr="00117487" w:rsidRDefault="00FE0EF9" w:rsidP="002161E8">
            <w:pPr>
              <w:pStyle w:val="TableText"/>
            </w:pPr>
            <w:r w:rsidRPr="00117487">
              <w:t>NR</w:t>
            </w:r>
          </w:p>
        </w:tc>
        <w:tc>
          <w:tcPr>
            <w:tcW w:w="448" w:type="pct"/>
            <w:tcBorders>
              <w:top w:val="single" w:sz="4" w:space="0" w:color="auto"/>
              <w:left w:val="nil"/>
              <w:right w:val="nil"/>
            </w:tcBorders>
            <w:shd w:val="clear" w:color="auto" w:fill="auto"/>
          </w:tcPr>
          <w:p w14:paraId="454C31B5" w14:textId="77777777" w:rsidR="00FE0EF9" w:rsidRPr="00117487" w:rsidRDefault="00FE0EF9" w:rsidP="002161E8">
            <w:pPr>
              <w:pStyle w:val="TableText"/>
            </w:pPr>
            <w:r w:rsidRPr="00117487">
              <w:t>20</w:t>
            </w:r>
          </w:p>
        </w:tc>
        <w:tc>
          <w:tcPr>
            <w:tcW w:w="499" w:type="pct"/>
            <w:tcBorders>
              <w:top w:val="single" w:sz="4" w:space="0" w:color="auto"/>
              <w:left w:val="nil"/>
              <w:right w:val="nil"/>
            </w:tcBorders>
            <w:shd w:val="clear" w:color="auto" w:fill="auto"/>
          </w:tcPr>
          <w:p w14:paraId="171BC03A" w14:textId="77777777" w:rsidR="00FE0EF9" w:rsidRPr="00117487" w:rsidRDefault="00FE0EF9" w:rsidP="002161E8">
            <w:pPr>
              <w:pStyle w:val="TableText"/>
            </w:pPr>
            <w:r w:rsidRPr="00117487">
              <w:t>143</w:t>
            </w:r>
          </w:p>
        </w:tc>
        <w:tc>
          <w:tcPr>
            <w:tcW w:w="675" w:type="pct"/>
            <w:tcBorders>
              <w:top w:val="single" w:sz="4" w:space="0" w:color="auto"/>
              <w:left w:val="nil"/>
              <w:right w:val="nil"/>
            </w:tcBorders>
            <w:shd w:val="clear" w:color="auto" w:fill="auto"/>
          </w:tcPr>
          <w:p w14:paraId="1EAA31E3" w14:textId="0017E417" w:rsidR="00FE0EF9" w:rsidRPr="00117487" w:rsidRDefault="00FE0EF9" w:rsidP="00BC35A0">
            <w:pPr>
              <w:pStyle w:val="TableText"/>
            </w:pPr>
            <w:r w:rsidRPr="00117487">
              <w:rPr>
                <w:noProof/>
              </w:rPr>
              <w:t xml:space="preserve">Hooten </w:t>
            </w:r>
            <w:r w:rsidR="00BC35A0">
              <w:rPr>
                <w:noProof/>
              </w:rPr>
              <w:t>and</w:t>
            </w:r>
            <w:r w:rsidRPr="00117487">
              <w:rPr>
                <w:noProof/>
              </w:rPr>
              <w:t xml:space="preserve"> Carr </w:t>
            </w:r>
            <w:r>
              <w:rPr>
                <w:noProof/>
              </w:rPr>
              <w:t>(19</w:t>
            </w:r>
            <w:r w:rsidRPr="00117487">
              <w:rPr>
                <w:noProof/>
              </w:rPr>
              <w:t>98)</w:t>
            </w:r>
          </w:p>
        </w:tc>
      </w:tr>
      <w:tr w:rsidR="00C82A93" w:rsidRPr="00BF13F5" w14:paraId="33B32974" w14:textId="77777777" w:rsidTr="00C82A93">
        <w:trPr>
          <w:cantSplit/>
        </w:trPr>
        <w:tc>
          <w:tcPr>
            <w:tcW w:w="3826" w:type="pct"/>
            <w:gridSpan w:val="7"/>
            <w:tcBorders>
              <w:left w:val="nil"/>
              <w:bottom w:val="single" w:sz="6" w:space="0" w:color="auto"/>
              <w:right w:val="nil"/>
            </w:tcBorders>
            <w:shd w:val="clear" w:color="auto" w:fill="auto"/>
          </w:tcPr>
          <w:p w14:paraId="5207EEC4" w14:textId="50B5C136" w:rsidR="00BF7913" w:rsidRPr="00117487" w:rsidRDefault="007D3764" w:rsidP="002161E8">
            <w:pPr>
              <w:pStyle w:val="TableText"/>
            </w:pPr>
            <w:r>
              <w:t>–</w:t>
            </w:r>
          </w:p>
        </w:tc>
        <w:tc>
          <w:tcPr>
            <w:tcW w:w="499" w:type="pct"/>
            <w:tcBorders>
              <w:left w:val="nil"/>
              <w:bottom w:val="single" w:sz="6" w:space="0" w:color="auto"/>
              <w:right w:val="nil"/>
            </w:tcBorders>
            <w:shd w:val="clear" w:color="auto" w:fill="auto"/>
          </w:tcPr>
          <w:p w14:paraId="155FB5F0" w14:textId="77777777" w:rsidR="00BF7913" w:rsidRPr="00117487" w:rsidRDefault="00BF7913" w:rsidP="002161E8">
            <w:pPr>
              <w:pStyle w:val="TableText"/>
              <w:rPr>
                <w:b/>
              </w:rPr>
            </w:pPr>
            <w:r w:rsidRPr="00117487">
              <w:rPr>
                <w:b/>
              </w:rPr>
              <w:t>143</w:t>
            </w:r>
          </w:p>
        </w:tc>
        <w:tc>
          <w:tcPr>
            <w:tcW w:w="675" w:type="pct"/>
            <w:tcBorders>
              <w:left w:val="nil"/>
              <w:bottom w:val="single" w:sz="6" w:space="0" w:color="auto"/>
              <w:right w:val="nil"/>
            </w:tcBorders>
            <w:shd w:val="clear" w:color="auto" w:fill="auto"/>
          </w:tcPr>
          <w:p w14:paraId="13D37EC6" w14:textId="506A89C2" w:rsidR="00BF7913" w:rsidRPr="00117487" w:rsidRDefault="00BF7913" w:rsidP="002161E8">
            <w:pPr>
              <w:pStyle w:val="TableText"/>
              <w:rPr>
                <w:b/>
              </w:rPr>
            </w:pPr>
            <w:r w:rsidRPr="00117487">
              <w:rPr>
                <w:b/>
              </w:rPr>
              <w:t>VALUE USED IN SSD</w:t>
            </w:r>
          </w:p>
        </w:tc>
      </w:tr>
      <w:tr w:rsidR="00160F86" w:rsidRPr="00BF13F5" w14:paraId="41E4A51E" w14:textId="77777777" w:rsidTr="00C82A93">
        <w:trPr>
          <w:cantSplit/>
        </w:trPr>
        <w:tc>
          <w:tcPr>
            <w:tcW w:w="650" w:type="pct"/>
            <w:vMerge w:val="restart"/>
            <w:tcBorders>
              <w:top w:val="single" w:sz="6" w:space="0" w:color="auto"/>
              <w:left w:val="nil"/>
              <w:right w:val="nil"/>
            </w:tcBorders>
            <w:shd w:val="clear" w:color="auto" w:fill="auto"/>
          </w:tcPr>
          <w:p w14:paraId="088385ED" w14:textId="77777777" w:rsidR="00986529" w:rsidRDefault="00FE0EF9" w:rsidP="00C82A93">
            <w:pPr>
              <w:pStyle w:val="TableText"/>
              <w:keepNext/>
              <w:keepLines/>
            </w:pPr>
            <w:r w:rsidRPr="00117487">
              <w:lastRenderedPageBreak/>
              <w:t xml:space="preserve">Brown </w:t>
            </w:r>
            <w:r w:rsidR="009061CA" w:rsidRPr="00117487">
              <w:t>alga</w:t>
            </w:r>
          </w:p>
          <w:p w14:paraId="7B4A1177" w14:textId="0D01BAC7" w:rsidR="00FE0EF9" w:rsidRPr="00117487" w:rsidRDefault="00996FF6" w:rsidP="00C82A93">
            <w:pPr>
              <w:pStyle w:val="TableText"/>
              <w:keepNext/>
              <w:keepLines/>
            </w:pPr>
            <w:r w:rsidRPr="00616DB4">
              <w:t>(</w:t>
            </w:r>
            <w:proofErr w:type="spellStart"/>
            <w:r w:rsidRPr="00616DB4">
              <w:t>Ochrophyta</w:t>
            </w:r>
            <w:proofErr w:type="spellEnd"/>
            <w:r w:rsidRPr="00616DB4">
              <w:t>)</w:t>
            </w:r>
          </w:p>
        </w:tc>
        <w:tc>
          <w:tcPr>
            <w:tcW w:w="684" w:type="pct"/>
            <w:vMerge w:val="restart"/>
            <w:tcBorders>
              <w:top w:val="single" w:sz="6" w:space="0" w:color="auto"/>
              <w:left w:val="nil"/>
              <w:right w:val="nil"/>
            </w:tcBorders>
            <w:shd w:val="clear" w:color="auto" w:fill="auto"/>
          </w:tcPr>
          <w:p w14:paraId="638D09A0" w14:textId="3FD9EBF4" w:rsidR="00FE0EF9" w:rsidRPr="00BF7913" w:rsidRDefault="00FE0EF9" w:rsidP="00C82A93">
            <w:pPr>
              <w:pStyle w:val="TableText"/>
              <w:keepNext/>
              <w:keepLines/>
            </w:pPr>
            <w:r w:rsidRPr="007D3764">
              <w:rPr>
                <w:rStyle w:val="Emphasis"/>
              </w:rPr>
              <w:t xml:space="preserve">Macrocystis </w:t>
            </w:r>
            <w:proofErr w:type="spellStart"/>
            <w:r w:rsidRPr="007D3764">
              <w:rPr>
                <w:rStyle w:val="Emphasis"/>
              </w:rPr>
              <w:t>pyrifera</w:t>
            </w:r>
            <w:proofErr w:type="spellEnd"/>
          </w:p>
        </w:tc>
        <w:tc>
          <w:tcPr>
            <w:tcW w:w="599" w:type="pct"/>
            <w:tcBorders>
              <w:top w:val="single" w:sz="6" w:space="0" w:color="auto"/>
              <w:left w:val="nil"/>
              <w:right w:val="nil"/>
            </w:tcBorders>
            <w:shd w:val="clear" w:color="auto" w:fill="auto"/>
          </w:tcPr>
          <w:p w14:paraId="34B721A8" w14:textId="77777777" w:rsidR="00FE0EF9" w:rsidRPr="00117487" w:rsidRDefault="00FE0EF9" w:rsidP="00C82A93">
            <w:pPr>
              <w:pStyle w:val="TableText"/>
              <w:keepNext/>
              <w:keepLines/>
            </w:pPr>
            <w:r w:rsidRPr="00117487">
              <w:t>Zoospores</w:t>
            </w:r>
          </w:p>
        </w:tc>
        <w:tc>
          <w:tcPr>
            <w:tcW w:w="448" w:type="pct"/>
            <w:tcBorders>
              <w:top w:val="single" w:sz="6" w:space="0" w:color="auto"/>
              <w:left w:val="nil"/>
              <w:right w:val="nil"/>
            </w:tcBorders>
            <w:shd w:val="clear" w:color="auto" w:fill="auto"/>
          </w:tcPr>
          <w:p w14:paraId="7092FE66" w14:textId="77777777" w:rsidR="00FE0EF9" w:rsidRPr="00117487" w:rsidRDefault="00FE0EF9" w:rsidP="00C82A93">
            <w:pPr>
              <w:pStyle w:val="TableText"/>
              <w:keepNext/>
              <w:keepLines/>
            </w:pPr>
            <w:r w:rsidRPr="00117487">
              <w:t>2</w:t>
            </w:r>
          </w:p>
        </w:tc>
        <w:tc>
          <w:tcPr>
            <w:tcW w:w="648" w:type="pct"/>
            <w:tcBorders>
              <w:top w:val="single" w:sz="6" w:space="0" w:color="auto"/>
              <w:left w:val="nil"/>
              <w:right w:val="nil"/>
            </w:tcBorders>
            <w:shd w:val="clear" w:color="auto" w:fill="auto"/>
          </w:tcPr>
          <w:p w14:paraId="1D349B23" w14:textId="77777777" w:rsidR="00FE0EF9" w:rsidRDefault="00FE0EF9" w:rsidP="00C82A93">
            <w:pPr>
              <w:pStyle w:val="TableText"/>
              <w:keepNext/>
              <w:keepLines/>
            </w:pPr>
            <w:r w:rsidRPr="00117487">
              <w:t>NOEC</w:t>
            </w:r>
          </w:p>
          <w:p w14:paraId="52367D20" w14:textId="06303EA6" w:rsidR="00FE0EF9" w:rsidRPr="00117487" w:rsidRDefault="00FE0EF9" w:rsidP="00C82A93">
            <w:pPr>
              <w:pStyle w:val="TableText"/>
              <w:keepNext/>
              <w:keepLines/>
            </w:pPr>
            <w:r w:rsidRPr="00117487">
              <w:t>(Reproduction)</w:t>
            </w:r>
          </w:p>
        </w:tc>
        <w:tc>
          <w:tcPr>
            <w:tcW w:w="349" w:type="pct"/>
            <w:tcBorders>
              <w:top w:val="single" w:sz="6" w:space="0" w:color="auto"/>
              <w:left w:val="nil"/>
              <w:right w:val="nil"/>
            </w:tcBorders>
            <w:shd w:val="clear" w:color="auto" w:fill="auto"/>
          </w:tcPr>
          <w:p w14:paraId="0F6B0806" w14:textId="2A49FD2C" w:rsidR="00FE0EF9" w:rsidRPr="00117487" w:rsidRDefault="00FE0EF9" w:rsidP="00C82A93">
            <w:pPr>
              <w:pStyle w:val="TableText"/>
              <w:keepNext/>
              <w:keepLines/>
            </w:pPr>
            <w:r w:rsidRPr="00117487">
              <w:t>34</w:t>
            </w:r>
            <w:r w:rsidR="00FE2D2D">
              <w:t>–</w:t>
            </w:r>
            <w:r w:rsidRPr="00117487">
              <w:t>36</w:t>
            </w:r>
          </w:p>
        </w:tc>
        <w:tc>
          <w:tcPr>
            <w:tcW w:w="448" w:type="pct"/>
            <w:tcBorders>
              <w:top w:val="single" w:sz="6" w:space="0" w:color="auto"/>
              <w:left w:val="nil"/>
              <w:right w:val="nil"/>
            </w:tcBorders>
            <w:shd w:val="clear" w:color="auto" w:fill="auto"/>
          </w:tcPr>
          <w:p w14:paraId="181F8807" w14:textId="1DA44977" w:rsidR="00FE0EF9" w:rsidRPr="00117487" w:rsidRDefault="00FE0EF9" w:rsidP="00C82A93">
            <w:pPr>
              <w:pStyle w:val="TableText"/>
              <w:keepNext/>
              <w:keepLines/>
            </w:pPr>
            <w:r w:rsidRPr="00117487">
              <w:t>11.5</w:t>
            </w:r>
            <w:r w:rsidR="00FE2D2D">
              <w:t>–</w:t>
            </w:r>
            <w:r w:rsidRPr="00117487">
              <w:t>17.0</w:t>
            </w:r>
          </w:p>
        </w:tc>
        <w:tc>
          <w:tcPr>
            <w:tcW w:w="499" w:type="pct"/>
            <w:tcBorders>
              <w:top w:val="single" w:sz="6" w:space="0" w:color="auto"/>
              <w:left w:val="nil"/>
              <w:right w:val="nil"/>
            </w:tcBorders>
            <w:shd w:val="clear" w:color="auto" w:fill="auto"/>
          </w:tcPr>
          <w:p w14:paraId="0CB230B7" w14:textId="7F929819" w:rsidR="00FE0EF9" w:rsidRPr="00117487" w:rsidRDefault="00FE0EF9" w:rsidP="00C82A93">
            <w:pPr>
              <w:pStyle w:val="TableText"/>
              <w:keepNext/>
              <w:keepLines/>
            </w:pPr>
            <w:r w:rsidRPr="00117487">
              <w:t>2</w:t>
            </w:r>
            <w:r w:rsidR="00FE2D2D">
              <w:t> </w:t>
            </w:r>
            <w:r w:rsidRPr="00117487">
              <w:t>683</w:t>
            </w:r>
            <w:r w:rsidR="004719F4" w:rsidRPr="003F15A0">
              <w:t xml:space="preserve"> </w:t>
            </w:r>
            <w:r w:rsidR="004719F4" w:rsidRPr="003F15A0">
              <w:rPr>
                <w:rStyle w:val="Strong"/>
                <w:vertAlign w:val="superscript"/>
              </w:rPr>
              <w:t>c</w:t>
            </w:r>
          </w:p>
        </w:tc>
        <w:tc>
          <w:tcPr>
            <w:tcW w:w="675" w:type="pct"/>
            <w:tcBorders>
              <w:top w:val="single" w:sz="6" w:space="0" w:color="auto"/>
              <w:left w:val="nil"/>
              <w:right w:val="nil"/>
            </w:tcBorders>
            <w:shd w:val="clear" w:color="auto" w:fill="auto"/>
          </w:tcPr>
          <w:p w14:paraId="2B038A7D" w14:textId="281CAC5D" w:rsidR="00FE0EF9" w:rsidRPr="00117487" w:rsidRDefault="00FE0EF9" w:rsidP="00C82A93">
            <w:pPr>
              <w:pStyle w:val="TableText"/>
              <w:keepNext/>
              <w:keepLines/>
            </w:pPr>
            <w:r w:rsidRPr="00117487">
              <w:rPr>
                <w:noProof/>
              </w:rPr>
              <w:t xml:space="preserve">Anderson </w:t>
            </w:r>
            <w:r w:rsidR="00BC35A0">
              <w:rPr>
                <w:noProof/>
              </w:rPr>
              <w:t>and</w:t>
            </w:r>
            <w:r w:rsidRPr="00117487">
              <w:rPr>
                <w:noProof/>
              </w:rPr>
              <w:t xml:space="preserve"> Hunt </w:t>
            </w:r>
            <w:r>
              <w:rPr>
                <w:noProof/>
              </w:rPr>
              <w:t>(19</w:t>
            </w:r>
            <w:r w:rsidRPr="00117487">
              <w:rPr>
                <w:noProof/>
              </w:rPr>
              <w:t>88)</w:t>
            </w:r>
          </w:p>
        </w:tc>
      </w:tr>
      <w:tr w:rsidR="00160F86" w:rsidRPr="00BF13F5" w14:paraId="47E9BD86" w14:textId="77777777" w:rsidTr="00C82A93">
        <w:trPr>
          <w:cantSplit/>
        </w:trPr>
        <w:tc>
          <w:tcPr>
            <w:tcW w:w="650" w:type="pct"/>
            <w:vMerge/>
            <w:tcBorders>
              <w:left w:val="nil"/>
              <w:right w:val="nil"/>
            </w:tcBorders>
            <w:shd w:val="clear" w:color="auto" w:fill="auto"/>
          </w:tcPr>
          <w:p w14:paraId="7B9F4337" w14:textId="77777777" w:rsidR="00FE0EF9" w:rsidRPr="00117487" w:rsidRDefault="00FE0EF9" w:rsidP="00C82A93">
            <w:pPr>
              <w:pStyle w:val="TableText"/>
              <w:keepNext/>
              <w:keepLines/>
            </w:pPr>
          </w:p>
        </w:tc>
        <w:tc>
          <w:tcPr>
            <w:tcW w:w="684" w:type="pct"/>
            <w:vMerge/>
            <w:tcBorders>
              <w:left w:val="nil"/>
              <w:right w:val="nil"/>
            </w:tcBorders>
            <w:shd w:val="clear" w:color="auto" w:fill="auto"/>
          </w:tcPr>
          <w:p w14:paraId="27E29496" w14:textId="444AF71A" w:rsidR="00FE0EF9" w:rsidRPr="00BF7913" w:rsidRDefault="00FE0EF9" w:rsidP="00C82A93">
            <w:pPr>
              <w:pStyle w:val="TableText"/>
              <w:keepNext/>
              <w:keepLines/>
            </w:pPr>
          </w:p>
        </w:tc>
        <w:tc>
          <w:tcPr>
            <w:tcW w:w="599" w:type="pct"/>
            <w:tcBorders>
              <w:left w:val="nil"/>
              <w:right w:val="nil"/>
            </w:tcBorders>
            <w:shd w:val="clear" w:color="auto" w:fill="auto"/>
          </w:tcPr>
          <w:p w14:paraId="3A6AFEDB" w14:textId="77777777" w:rsidR="00FE0EF9" w:rsidRPr="00117487" w:rsidRDefault="00FE0EF9" w:rsidP="00C82A93">
            <w:pPr>
              <w:pStyle w:val="TableText"/>
              <w:keepNext/>
              <w:keepLines/>
            </w:pPr>
            <w:r w:rsidRPr="00117487">
              <w:t>Zoospores</w:t>
            </w:r>
          </w:p>
        </w:tc>
        <w:tc>
          <w:tcPr>
            <w:tcW w:w="448" w:type="pct"/>
            <w:tcBorders>
              <w:left w:val="nil"/>
              <w:right w:val="nil"/>
            </w:tcBorders>
            <w:shd w:val="clear" w:color="auto" w:fill="auto"/>
          </w:tcPr>
          <w:p w14:paraId="35BFF286" w14:textId="77777777" w:rsidR="00FE0EF9" w:rsidRPr="00117487" w:rsidRDefault="00FE0EF9" w:rsidP="00C82A93">
            <w:pPr>
              <w:pStyle w:val="TableText"/>
              <w:keepNext/>
              <w:keepLines/>
            </w:pPr>
            <w:r w:rsidRPr="00117487">
              <w:t>16</w:t>
            </w:r>
          </w:p>
        </w:tc>
        <w:tc>
          <w:tcPr>
            <w:tcW w:w="648" w:type="pct"/>
            <w:tcBorders>
              <w:left w:val="nil"/>
              <w:right w:val="nil"/>
            </w:tcBorders>
            <w:shd w:val="clear" w:color="auto" w:fill="auto"/>
          </w:tcPr>
          <w:p w14:paraId="450DD910" w14:textId="77777777" w:rsidR="00FE0EF9" w:rsidRDefault="00FE0EF9" w:rsidP="00C82A93">
            <w:pPr>
              <w:pStyle w:val="TableText"/>
              <w:keepNext/>
              <w:keepLines/>
            </w:pPr>
            <w:r w:rsidRPr="00117487">
              <w:t>NOEC</w:t>
            </w:r>
          </w:p>
          <w:p w14:paraId="1FC7C5CA" w14:textId="3F4D22AA" w:rsidR="00FE0EF9" w:rsidRPr="00117487" w:rsidRDefault="00FE0EF9" w:rsidP="00C82A93">
            <w:pPr>
              <w:pStyle w:val="TableText"/>
              <w:keepNext/>
              <w:keepLines/>
            </w:pPr>
            <w:r w:rsidRPr="00117487">
              <w:t>(Reproduction)</w:t>
            </w:r>
          </w:p>
        </w:tc>
        <w:tc>
          <w:tcPr>
            <w:tcW w:w="349" w:type="pct"/>
            <w:tcBorders>
              <w:left w:val="nil"/>
              <w:right w:val="nil"/>
            </w:tcBorders>
            <w:shd w:val="clear" w:color="auto" w:fill="auto"/>
          </w:tcPr>
          <w:p w14:paraId="4DFB9852" w14:textId="7995FA03" w:rsidR="00FE0EF9" w:rsidRPr="00117487" w:rsidRDefault="00FE0EF9" w:rsidP="00C82A93">
            <w:pPr>
              <w:pStyle w:val="TableText"/>
              <w:keepNext/>
              <w:keepLines/>
            </w:pPr>
            <w:r w:rsidRPr="00117487">
              <w:t>32</w:t>
            </w:r>
            <w:r w:rsidR="00FE2D2D">
              <w:t>–</w:t>
            </w:r>
            <w:r w:rsidRPr="00117487">
              <w:t>39</w:t>
            </w:r>
          </w:p>
        </w:tc>
        <w:tc>
          <w:tcPr>
            <w:tcW w:w="448" w:type="pct"/>
            <w:tcBorders>
              <w:left w:val="nil"/>
              <w:right w:val="nil"/>
            </w:tcBorders>
            <w:shd w:val="clear" w:color="auto" w:fill="auto"/>
          </w:tcPr>
          <w:p w14:paraId="480F55A2" w14:textId="0961BD3B" w:rsidR="00FE0EF9" w:rsidRPr="00117487" w:rsidRDefault="00FE0EF9" w:rsidP="00C82A93">
            <w:pPr>
              <w:pStyle w:val="TableText"/>
              <w:keepNext/>
              <w:keepLines/>
            </w:pPr>
            <w:r w:rsidRPr="00117487">
              <w:t>11.5</w:t>
            </w:r>
            <w:r w:rsidR="00FE2D2D">
              <w:t>–</w:t>
            </w:r>
            <w:r w:rsidRPr="00117487">
              <w:t>17.0</w:t>
            </w:r>
          </w:p>
        </w:tc>
        <w:tc>
          <w:tcPr>
            <w:tcW w:w="499" w:type="pct"/>
            <w:tcBorders>
              <w:left w:val="nil"/>
              <w:right w:val="nil"/>
            </w:tcBorders>
            <w:shd w:val="clear" w:color="auto" w:fill="auto"/>
          </w:tcPr>
          <w:p w14:paraId="0F550B82" w14:textId="5F309BFB" w:rsidR="00FE0EF9" w:rsidRPr="00117487" w:rsidRDefault="00FE0EF9" w:rsidP="00C82A93">
            <w:pPr>
              <w:pStyle w:val="TableText"/>
              <w:keepNext/>
              <w:keepLines/>
            </w:pPr>
            <w:r w:rsidRPr="00117487">
              <w:t>1</w:t>
            </w:r>
            <w:r w:rsidR="00FE2D2D">
              <w:t> </w:t>
            </w:r>
            <w:r w:rsidRPr="00117487">
              <w:t>070</w:t>
            </w:r>
          </w:p>
        </w:tc>
        <w:tc>
          <w:tcPr>
            <w:tcW w:w="675" w:type="pct"/>
            <w:tcBorders>
              <w:left w:val="nil"/>
              <w:right w:val="nil"/>
            </w:tcBorders>
            <w:shd w:val="clear" w:color="auto" w:fill="auto"/>
          </w:tcPr>
          <w:p w14:paraId="4CA74408" w14:textId="69017624" w:rsidR="00FE0EF9" w:rsidRPr="00117487" w:rsidRDefault="00FE0EF9" w:rsidP="00C82A93">
            <w:pPr>
              <w:pStyle w:val="TableText"/>
              <w:keepNext/>
              <w:keepLines/>
            </w:pPr>
            <w:r w:rsidRPr="00117487">
              <w:rPr>
                <w:noProof/>
              </w:rPr>
              <w:t xml:space="preserve">Anderson </w:t>
            </w:r>
            <w:r w:rsidR="00BC35A0">
              <w:rPr>
                <w:noProof/>
              </w:rPr>
              <w:t>and</w:t>
            </w:r>
            <w:r w:rsidRPr="00117487">
              <w:rPr>
                <w:noProof/>
              </w:rPr>
              <w:t xml:space="preserve"> Hunt </w:t>
            </w:r>
            <w:r>
              <w:rPr>
                <w:noProof/>
              </w:rPr>
              <w:t>(19</w:t>
            </w:r>
            <w:r w:rsidRPr="00117487">
              <w:rPr>
                <w:noProof/>
              </w:rPr>
              <w:t>88)</w:t>
            </w:r>
          </w:p>
        </w:tc>
      </w:tr>
      <w:tr w:rsidR="00C82A93" w:rsidRPr="00BF13F5" w14:paraId="2240B2FD" w14:textId="77777777" w:rsidTr="00C82A93">
        <w:trPr>
          <w:cantSplit/>
        </w:trPr>
        <w:tc>
          <w:tcPr>
            <w:tcW w:w="3826" w:type="pct"/>
            <w:gridSpan w:val="7"/>
            <w:tcBorders>
              <w:left w:val="nil"/>
              <w:bottom w:val="single" w:sz="4" w:space="0" w:color="auto"/>
              <w:right w:val="nil"/>
            </w:tcBorders>
            <w:shd w:val="clear" w:color="auto" w:fill="auto"/>
          </w:tcPr>
          <w:p w14:paraId="3D75E261" w14:textId="27007134" w:rsidR="00FE0EF9"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6E7A8B3C" w14:textId="66DCC93E" w:rsidR="00FE0EF9" w:rsidRPr="00117487" w:rsidRDefault="00FE0EF9" w:rsidP="002161E8">
            <w:pPr>
              <w:pStyle w:val="TableText"/>
              <w:rPr>
                <w:b/>
              </w:rPr>
            </w:pPr>
            <w:r w:rsidRPr="00117487">
              <w:rPr>
                <w:b/>
              </w:rPr>
              <w:t>1</w:t>
            </w:r>
            <w:r w:rsidR="00FE2D2D">
              <w:rPr>
                <w:b/>
              </w:rPr>
              <w:t> </w:t>
            </w:r>
            <w:r w:rsidRPr="00117487">
              <w:rPr>
                <w:b/>
              </w:rPr>
              <w:t>070</w:t>
            </w:r>
          </w:p>
        </w:tc>
        <w:tc>
          <w:tcPr>
            <w:tcW w:w="675" w:type="pct"/>
            <w:tcBorders>
              <w:left w:val="nil"/>
              <w:bottom w:val="single" w:sz="4" w:space="0" w:color="auto"/>
              <w:right w:val="nil"/>
            </w:tcBorders>
            <w:shd w:val="clear" w:color="auto" w:fill="auto"/>
          </w:tcPr>
          <w:p w14:paraId="6E3C817E" w14:textId="3309AEE7" w:rsidR="00FE0EF9" w:rsidRPr="00117487" w:rsidRDefault="00FE0EF9" w:rsidP="002161E8">
            <w:pPr>
              <w:pStyle w:val="TableText"/>
              <w:rPr>
                <w:b/>
              </w:rPr>
            </w:pPr>
            <w:r w:rsidRPr="00117487">
              <w:rPr>
                <w:b/>
              </w:rPr>
              <w:t>VALUE USED IN SSD</w:t>
            </w:r>
          </w:p>
        </w:tc>
      </w:tr>
      <w:tr w:rsidR="00160F86" w:rsidRPr="00B355C2" w14:paraId="17C1D907" w14:textId="77777777" w:rsidTr="00C82A93">
        <w:trPr>
          <w:cantSplit/>
        </w:trPr>
        <w:tc>
          <w:tcPr>
            <w:tcW w:w="650" w:type="pct"/>
            <w:tcBorders>
              <w:left w:val="nil"/>
              <w:right w:val="nil"/>
            </w:tcBorders>
            <w:shd w:val="clear" w:color="auto" w:fill="auto"/>
          </w:tcPr>
          <w:p w14:paraId="0738EB34" w14:textId="77777777" w:rsidR="00986529" w:rsidRDefault="001F30F6" w:rsidP="002161E8">
            <w:pPr>
              <w:pStyle w:val="TableText"/>
            </w:pPr>
            <w:r w:rsidRPr="00117487">
              <w:t>Annelid</w:t>
            </w:r>
          </w:p>
          <w:p w14:paraId="271F6343" w14:textId="16671DEA" w:rsidR="001F30F6" w:rsidRPr="00117487" w:rsidRDefault="00996FF6" w:rsidP="002161E8">
            <w:pPr>
              <w:pStyle w:val="TableText"/>
            </w:pPr>
            <w:r>
              <w:t>(Annelida)</w:t>
            </w:r>
          </w:p>
        </w:tc>
        <w:tc>
          <w:tcPr>
            <w:tcW w:w="684" w:type="pct"/>
            <w:tcBorders>
              <w:left w:val="nil"/>
              <w:right w:val="nil"/>
            </w:tcBorders>
            <w:shd w:val="clear" w:color="auto" w:fill="auto"/>
          </w:tcPr>
          <w:p w14:paraId="7A2FC286" w14:textId="29144021" w:rsidR="001F30F6" w:rsidRPr="00BF7913" w:rsidRDefault="001F30F6" w:rsidP="00FE0EF9">
            <w:pPr>
              <w:pStyle w:val="TableText"/>
            </w:pPr>
            <w:proofErr w:type="spellStart"/>
            <w:r w:rsidRPr="007D3764">
              <w:rPr>
                <w:rStyle w:val="Emphasis"/>
              </w:rPr>
              <w:t>Hydroides</w:t>
            </w:r>
            <w:proofErr w:type="spellEnd"/>
            <w:r w:rsidRPr="007D3764">
              <w:rPr>
                <w:rStyle w:val="Emphasis"/>
              </w:rPr>
              <w:t xml:space="preserve"> elegans</w:t>
            </w:r>
          </w:p>
        </w:tc>
        <w:tc>
          <w:tcPr>
            <w:tcW w:w="599" w:type="pct"/>
            <w:tcBorders>
              <w:left w:val="nil"/>
              <w:right w:val="nil"/>
            </w:tcBorders>
            <w:shd w:val="clear" w:color="auto" w:fill="auto"/>
          </w:tcPr>
          <w:p w14:paraId="15468FEF" w14:textId="77777777" w:rsidR="001F30F6" w:rsidRPr="00117487" w:rsidRDefault="001F30F6" w:rsidP="002161E8">
            <w:pPr>
              <w:pStyle w:val="TableText"/>
            </w:pPr>
            <w:r>
              <w:t>Larvae</w:t>
            </w:r>
          </w:p>
        </w:tc>
        <w:tc>
          <w:tcPr>
            <w:tcW w:w="448" w:type="pct"/>
            <w:tcBorders>
              <w:left w:val="nil"/>
              <w:right w:val="nil"/>
            </w:tcBorders>
            <w:shd w:val="clear" w:color="auto" w:fill="auto"/>
          </w:tcPr>
          <w:p w14:paraId="4F0C840A" w14:textId="77777777" w:rsidR="001F30F6" w:rsidRPr="00117487" w:rsidRDefault="001F30F6" w:rsidP="002161E8">
            <w:pPr>
              <w:pStyle w:val="TableText"/>
            </w:pPr>
            <w:r>
              <w:t>4</w:t>
            </w:r>
          </w:p>
        </w:tc>
        <w:tc>
          <w:tcPr>
            <w:tcW w:w="648" w:type="pct"/>
            <w:tcBorders>
              <w:left w:val="nil"/>
              <w:right w:val="nil"/>
            </w:tcBorders>
            <w:shd w:val="clear" w:color="auto" w:fill="auto"/>
          </w:tcPr>
          <w:p w14:paraId="08503038" w14:textId="77777777" w:rsidR="00C82A93" w:rsidRDefault="001F30F6" w:rsidP="002161E8">
            <w:pPr>
              <w:pStyle w:val="TableText"/>
            </w:pPr>
            <w:r w:rsidRPr="00117487">
              <w:t>EC50</w:t>
            </w:r>
          </w:p>
          <w:p w14:paraId="2E3240A9" w14:textId="1ED8E720" w:rsidR="001F30F6" w:rsidRPr="00117487" w:rsidRDefault="001F30F6" w:rsidP="002161E8">
            <w:pPr>
              <w:pStyle w:val="TableText"/>
            </w:pPr>
            <w:r w:rsidRPr="00117487">
              <w:t>(Development)</w:t>
            </w:r>
          </w:p>
        </w:tc>
        <w:tc>
          <w:tcPr>
            <w:tcW w:w="349" w:type="pct"/>
            <w:tcBorders>
              <w:left w:val="nil"/>
              <w:right w:val="nil"/>
            </w:tcBorders>
            <w:shd w:val="clear" w:color="auto" w:fill="auto"/>
          </w:tcPr>
          <w:p w14:paraId="58E762BE" w14:textId="77777777" w:rsidR="001F30F6" w:rsidRPr="00117487" w:rsidRDefault="001F30F6" w:rsidP="002161E8">
            <w:pPr>
              <w:pStyle w:val="TableText"/>
            </w:pPr>
            <w:r w:rsidRPr="00117487">
              <w:t>34</w:t>
            </w:r>
          </w:p>
        </w:tc>
        <w:tc>
          <w:tcPr>
            <w:tcW w:w="448" w:type="pct"/>
            <w:tcBorders>
              <w:left w:val="nil"/>
              <w:right w:val="nil"/>
            </w:tcBorders>
            <w:shd w:val="clear" w:color="auto" w:fill="auto"/>
          </w:tcPr>
          <w:p w14:paraId="3FC3FA93" w14:textId="77777777" w:rsidR="001F30F6" w:rsidRPr="00117487" w:rsidRDefault="001F30F6" w:rsidP="002161E8">
            <w:pPr>
              <w:pStyle w:val="TableText"/>
            </w:pPr>
            <w:r w:rsidRPr="00117487">
              <w:t>28</w:t>
            </w:r>
          </w:p>
        </w:tc>
        <w:tc>
          <w:tcPr>
            <w:tcW w:w="499" w:type="pct"/>
            <w:tcBorders>
              <w:left w:val="nil"/>
              <w:right w:val="nil"/>
            </w:tcBorders>
            <w:shd w:val="clear" w:color="auto" w:fill="auto"/>
          </w:tcPr>
          <w:p w14:paraId="5C70B44A" w14:textId="77777777" w:rsidR="001F30F6" w:rsidRPr="00117487" w:rsidRDefault="001F30F6" w:rsidP="002161E8">
            <w:pPr>
              <w:pStyle w:val="TableText"/>
            </w:pPr>
            <w:r>
              <w:t>119</w:t>
            </w:r>
          </w:p>
        </w:tc>
        <w:tc>
          <w:tcPr>
            <w:tcW w:w="675" w:type="pct"/>
            <w:tcBorders>
              <w:left w:val="nil"/>
              <w:right w:val="nil"/>
            </w:tcBorders>
            <w:shd w:val="clear" w:color="auto" w:fill="auto"/>
          </w:tcPr>
          <w:p w14:paraId="6AC16162" w14:textId="77777777" w:rsidR="001F30F6" w:rsidRPr="00117487" w:rsidRDefault="001F30F6" w:rsidP="002161E8">
            <w:pPr>
              <w:pStyle w:val="TableText"/>
              <w:rPr>
                <w:noProof/>
              </w:rPr>
            </w:pPr>
            <w:r w:rsidRPr="00117487">
              <w:rPr>
                <w:noProof/>
              </w:rPr>
              <w:t xml:space="preserve">Gopalakrishnan et al. </w:t>
            </w:r>
            <w:r>
              <w:rPr>
                <w:noProof/>
              </w:rPr>
              <w:t>(20</w:t>
            </w:r>
            <w:r w:rsidRPr="00117487">
              <w:rPr>
                <w:noProof/>
              </w:rPr>
              <w:t>08)</w:t>
            </w:r>
          </w:p>
        </w:tc>
      </w:tr>
      <w:tr w:rsidR="00C82A93" w:rsidRPr="00BF13F5" w14:paraId="38339B20" w14:textId="77777777" w:rsidTr="00C82A93">
        <w:trPr>
          <w:cantSplit/>
        </w:trPr>
        <w:tc>
          <w:tcPr>
            <w:tcW w:w="3826" w:type="pct"/>
            <w:gridSpan w:val="7"/>
            <w:tcBorders>
              <w:left w:val="nil"/>
              <w:bottom w:val="single" w:sz="4" w:space="0" w:color="auto"/>
              <w:right w:val="nil"/>
            </w:tcBorders>
            <w:shd w:val="clear" w:color="auto" w:fill="auto"/>
          </w:tcPr>
          <w:p w14:paraId="164606DB" w14:textId="7D77FA3F" w:rsidR="00FE0EF9"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1781CDA3" w14:textId="77777777" w:rsidR="00FE0EF9" w:rsidRPr="00117487" w:rsidRDefault="00FE0EF9" w:rsidP="002161E8">
            <w:pPr>
              <w:pStyle w:val="TableText"/>
              <w:rPr>
                <w:b/>
              </w:rPr>
            </w:pPr>
            <w:r>
              <w:rPr>
                <w:b/>
              </w:rPr>
              <w:t xml:space="preserve">24 </w:t>
            </w:r>
            <w:r w:rsidRPr="007D3764">
              <w:rPr>
                <w:rStyle w:val="Strong"/>
                <w:vertAlign w:val="superscript"/>
              </w:rPr>
              <w:t>b</w:t>
            </w:r>
          </w:p>
        </w:tc>
        <w:tc>
          <w:tcPr>
            <w:tcW w:w="675" w:type="pct"/>
            <w:tcBorders>
              <w:left w:val="nil"/>
              <w:bottom w:val="single" w:sz="4" w:space="0" w:color="auto"/>
              <w:right w:val="nil"/>
            </w:tcBorders>
            <w:shd w:val="clear" w:color="auto" w:fill="auto"/>
          </w:tcPr>
          <w:p w14:paraId="69BAA407" w14:textId="4CFC8807" w:rsidR="00FE0EF9" w:rsidRPr="00117487" w:rsidRDefault="00FE0EF9" w:rsidP="002161E8">
            <w:pPr>
              <w:pStyle w:val="TableText"/>
            </w:pPr>
            <w:r>
              <w:rPr>
                <w:b/>
              </w:rPr>
              <w:t>V</w:t>
            </w:r>
            <w:r w:rsidRPr="00117487">
              <w:rPr>
                <w:b/>
              </w:rPr>
              <w:t>ALUE USED IN SSD</w:t>
            </w:r>
            <w:r>
              <w:rPr>
                <w:b/>
              </w:rPr>
              <w:t xml:space="preserve"> </w:t>
            </w:r>
            <w:r>
              <w:rPr>
                <w:b/>
                <w:vertAlign w:val="superscript"/>
              </w:rPr>
              <w:t>b</w:t>
            </w:r>
          </w:p>
        </w:tc>
      </w:tr>
      <w:tr w:rsidR="00160F86" w:rsidRPr="00BF13F5" w14:paraId="64D732DE" w14:textId="77777777" w:rsidTr="00C82A93">
        <w:trPr>
          <w:cantSplit/>
        </w:trPr>
        <w:tc>
          <w:tcPr>
            <w:tcW w:w="650" w:type="pct"/>
            <w:vMerge w:val="restart"/>
            <w:tcBorders>
              <w:top w:val="single" w:sz="4" w:space="0" w:color="auto"/>
              <w:left w:val="nil"/>
              <w:right w:val="nil"/>
            </w:tcBorders>
            <w:shd w:val="clear" w:color="auto" w:fill="auto"/>
          </w:tcPr>
          <w:p w14:paraId="4E729CE4" w14:textId="77777777" w:rsidR="00332A5D" w:rsidRDefault="00332A5D" w:rsidP="002161E8">
            <w:pPr>
              <w:pStyle w:val="TableText"/>
            </w:pPr>
            <w:r>
              <w:t>Anemone</w:t>
            </w:r>
          </w:p>
          <w:p w14:paraId="2ED2FAC2" w14:textId="70DB9295" w:rsidR="00FE0EF9" w:rsidRPr="00117487" w:rsidRDefault="00332A5D" w:rsidP="002161E8">
            <w:pPr>
              <w:pStyle w:val="TableText"/>
            </w:pPr>
            <w:r>
              <w:t>(</w:t>
            </w:r>
            <w:r w:rsidR="00FE0EF9" w:rsidRPr="00117487">
              <w:t>Cnidaria</w:t>
            </w:r>
            <w:r>
              <w:t>)</w:t>
            </w:r>
          </w:p>
        </w:tc>
        <w:tc>
          <w:tcPr>
            <w:tcW w:w="684" w:type="pct"/>
            <w:vMerge w:val="restart"/>
            <w:tcBorders>
              <w:top w:val="single" w:sz="4" w:space="0" w:color="auto"/>
              <w:left w:val="nil"/>
              <w:right w:val="nil"/>
            </w:tcBorders>
            <w:shd w:val="clear" w:color="auto" w:fill="auto"/>
          </w:tcPr>
          <w:p w14:paraId="6EEAC009" w14:textId="2DE910B7" w:rsidR="00FE0EF9" w:rsidRPr="00BF7913" w:rsidRDefault="00FE0EF9" w:rsidP="00986529">
            <w:pPr>
              <w:pStyle w:val="TableText"/>
            </w:pPr>
            <w:proofErr w:type="spellStart"/>
            <w:r w:rsidRPr="007D3764">
              <w:rPr>
                <w:rStyle w:val="Emphasis"/>
              </w:rPr>
              <w:t>Aiptasia</w:t>
            </w:r>
            <w:proofErr w:type="spellEnd"/>
            <w:r w:rsidRPr="007D3764">
              <w:rPr>
                <w:rStyle w:val="Emphasis"/>
              </w:rPr>
              <w:t xml:space="preserve"> </w:t>
            </w:r>
            <w:proofErr w:type="spellStart"/>
            <w:r w:rsidRPr="007D3764">
              <w:rPr>
                <w:rStyle w:val="Emphasis"/>
              </w:rPr>
              <w:t>pulchella</w:t>
            </w:r>
            <w:proofErr w:type="spellEnd"/>
          </w:p>
        </w:tc>
        <w:tc>
          <w:tcPr>
            <w:tcW w:w="599" w:type="pct"/>
            <w:tcBorders>
              <w:top w:val="single" w:sz="4" w:space="0" w:color="auto"/>
              <w:left w:val="nil"/>
              <w:bottom w:val="single" w:sz="4" w:space="0" w:color="auto"/>
              <w:right w:val="nil"/>
            </w:tcBorders>
            <w:shd w:val="clear" w:color="auto" w:fill="auto"/>
          </w:tcPr>
          <w:p w14:paraId="3ED61820" w14:textId="77777777" w:rsidR="00FE0EF9" w:rsidRPr="00117487" w:rsidRDefault="00FE0EF9" w:rsidP="002161E8">
            <w:pPr>
              <w:pStyle w:val="TableText"/>
            </w:pPr>
            <w:r w:rsidRPr="00117487">
              <w:t>Adult</w:t>
            </w:r>
          </w:p>
        </w:tc>
        <w:tc>
          <w:tcPr>
            <w:tcW w:w="448" w:type="pct"/>
            <w:tcBorders>
              <w:top w:val="single" w:sz="4" w:space="0" w:color="auto"/>
              <w:left w:val="nil"/>
              <w:bottom w:val="single" w:sz="4" w:space="0" w:color="auto"/>
              <w:right w:val="nil"/>
            </w:tcBorders>
            <w:shd w:val="clear" w:color="auto" w:fill="auto"/>
          </w:tcPr>
          <w:p w14:paraId="36684B08" w14:textId="77777777" w:rsidR="00FE0EF9" w:rsidRPr="00117487" w:rsidRDefault="00FE0EF9" w:rsidP="002161E8">
            <w:pPr>
              <w:pStyle w:val="TableText"/>
            </w:pPr>
            <w:r w:rsidRPr="00117487">
              <w:t>28</w:t>
            </w:r>
          </w:p>
        </w:tc>
        <w:tc>
          <w:tcPr>
            <w:tcW w:w="648" w:type="pct"/>
            <w:tcBorders>
              <w:top w:val="single" w:sz="4" w:space="0" w:color="auto"/>
              <w:left w:val="nil"/>
              <w:bottom w:val="single" w:sz="4" w:space="0" w:color="auto"/>
              <w:right w:val="nil"/>
            </w:tcBorders>
            <w:shd w:val="clear" w:color="auto" w:fill="auto"/>
          </w:tcPr>
          <w:p w14:paraId="628ECA50" w14:textId="77777777" w:rsidR="00FE0EF9" w:rsidRDefault="00FE0EF9" w:rsidP="00FE0EF9">
            <w:pPr>
              <w:pStyle w:val="TableText"/>
            </w:pPr>
            <w:r w:rsidRPr="00117487">
              <w:t>EC10</w:t>
            </w:r>
          </w:p>
          <w:p w14:paraId="5A134FB7" w14:textId="1AF43A67" w:rsidR="00FE0EF9" w:rsidRPr="00117487" w:rsidRDefault="00FE0EF9" w:rsidP="00FE0EF9">
            <w:pPr>
              <w:pStyle w:val="TableText"/>
            </w:pPr>
            <w:r w:rsidRPr="00117487">
              <w:t>(Reproduction)</w:t>
            </w:r>
          </w:p>
        </w:tc>
        <w:tc>
          <w:tcPr>
            <w:tcW w:w="349" w:type="pct"/>
            <w:tcBorders>
              <w:top w:val="single" w:sz="4" w:space="0" w:color="auto"/>
              <w:left w:val="nil"/>
              <w:bottom w:val="single" w:sz="4" w:space="0" w:color="auto"/>
              <w:right w:val="nil"/>
            </w:tcBorders>
            <w:shd w:val="clear" w:color="auto" w:fill="auto"/>
          </w:tcPr>
          <w:p w14:paraId="31E60935" w14:textId="32934B13" w:rsidR="00FE0EF9" w:rsidRPr="00117487" w:rsidRDefault="00CF6008" w:rsidP="002161E8">
            <w:pPr>
              <w:pStyle w:val="TableText"/>
            </w:pPr>
            <w:r>
              <w:t>NR</w:t>
            </w:r>
          </w:p>
        </w:tc>
        <w:tc>
          <w:tcPr>
            <w:tcW w:w="448" w:type="pct"/>
            <w:tcBorders>
              <w:top w:val="single" w:sz="4" w:space="0" w:color="auto"/>
              <w:left w:val="nil"/>
              <w:bottom w:val="single" w:sz="4" w:space="0" w:color="auto"/>
              <w:right w:val="nil"/>
            </w:tcBorders>
            <w:shd w:val="clear" w:color="auto" w:fill="auto"/>
          </w:tcPr>
          <w:p w14:paraId="60FBF50B" w14:textId="77777777" w:rsidR="00FE0EF9" w:rsidRPr="00117487" w:rsidRDefault="00FE0EF9" w:rsidP="002161E8">
            <w:pPr>
              <w:pStyle w:val="TableText"/>
            </w:pPr>
            <w:r w:rsidRPr="00117487">
              <w:t>25</w:t>
            </w:r>
          </w:p>
        </w:tc>
        <w:tc>
          <w:tcPr>
            <w:tcW w:w="499" w:type="pct"/>
            <w:tcBorders>
              <w:top w:val="single" w:sz="4" w:space="0" w:color="auto"/>
              <w:left w:val="nil"/>
              <w:bottom w:val="single" w:sz="4" w:space="0" w:color="auto"/>
              <w:right w:val="nil"/>
            </w:tcBorders>
            <w:shd w:val="clear" w:color="auto" w:fill="auto"/>
          </w:tcPr>
          <w:p w14:paraId="3CF48914" w14:textId="77777777" w:rsidR="00FE0EF9" w:rsidRPr="00117487" w:rsidRDefault="00FE0EF9" w:rsidP="002161E8">
            <w:pPr>
              <w:pStyle w:val="TableText"/>
            </w:pPr>
            <w:r w:rsidRPr="00117487">
              <w:t>17</w:t>
            </w:r>
          </w:p>
        </w:tc>
        <w:tc>
          <w:tcPr>
            <w:tcW w:w="675" w:type="pct"/>
            <w:tcBorders>
              <w:top w:val="single" w:sz="4" w:space="0" w:color="auto"/>
              <w:left w:val="nil"/>
              <w:bottom w:val="single" w:sz="4" w:space="0" w:color="auto"/>
              <w:right w:val="nil"/>
            </w:tcBorders>
            <w:shd w:val="clear" w:color="auto" w:fill="auto"/>
          </w:tcPr>
          <w:p w14:paraId="0C3B9531" w14:textId="77777777" w:rsidR="00FE0EF9" w:rsidRPr="00117487" w:rsidRDefault="00FE0EF9" w:rsidP="002161E8">
            <w:pPr>
              <w:pStyle w:val="TableText"/>
            </w:pPr>
            <w:r w:rsidRPr="00117487">
              <w:rPr>
                <w:noProof/>
              </w:rPr>
              <w:t xml:space="preserve">Howe et al. </w:t>
            </w:r>
            <w:r>
              <w:rPr>
                <w:noProof/>
              </w:rPr>
              <w:t>(20</w:t>
            </w:r>
            <w:r w:rsidRPr="00117487">
              <w:rPr>
                <w:noProof/>
              </w:rPr>
              <w:t>14)</w:t>
            </w:r>
          </w:p>
        </w:tc>
      </w:tr>
      <w:tr w:rsidR="00160F86" w:rsidRPr="00BF13F5" w14:paraId="7CBA717F" w14:textId="77777777" w:rsidTr="00C82A93">
        <w:trPr>
          <w:cantSplit/>
        </w:trPr>
        <w:tc>
          <w:tcPr>
            <w:tcW w:w="650" w:type="pct"/>
            <w:vMerge/>
            <w:tcBorders>
              <w:left w:val="nil"/>
              <w:right w:val="nil"/>
            </w:tcBorders>
            <w:shd w:val="clear" w:color="auto" w:fill="auto"/>
          </w:tcPr>
          <w:p w14:paraId="2EC76616" w14:textId="77777777" w:rsidR="00FE0EF9" w:rsidRPr="00117487" w:rsidRDefault="00FE0EF9" w:rsidP="002161E8">
            <w:pPr>
              <w:pStyle w:val="TableText"/>
            </w:pPr>
          </w:p>
        </w:tc>
        <w:tc>
          <w:tcPr>
            <w:tcW w:w="684" w:type="pct"/>
            <w:vMerge/>
            <w:tcBorders>
              <w:left w:val="nil"/>
              <w:right w:val="nil"/>
            </w:tcBorders>
            <w:shd w:val="clear" w:color="auto" w:fill="auto"/>
          </w:tcPr>
          <w:p w14:paraId="32A42200" w14:textId="0BFD4103" w:rsidR="00FE0EF9" w:rsidRPr="00BF7913" w:rsidRDefault="00FE0EF9" w:rsidP="00FE0EF9">
            <w:pPr>
              <w:pStyle w:val="TableText"/>
            </w:pPr>
          </w:p>
        </w:tc>
        <w:tc>
          <w:tcPr>
            <w:tcW w:w="599" w:type="pct"/>
            <w:tcBorders>
              <w:top w:val="single" w:sz="4" w:space="0" w:color="auto"/>
              <w:left w:val="nil"/>
              <w:right w:val="nil"/>
            </w:tcBorders>
            <w:shd w:val="clear" w:color="auto" w:fill="auto"/>
          </w:tcPr>
          <w:p w14:paraId="5DB922D4" w14:textId="77777777" w:rsidR="00FE0EF9" w:rsidRPr="00117487" w:rsidRDefault="00FE0EF9" w:rsidP="002161E8">
            <w:pPr>
              <w:pStyle w:val="TableText"/>
            </w:pPr>
            <w:r w:rsidRPr="00117487">
              <w:t>Adult</w:t>
            </w:r>
          </w:p>
        </w:tc>
        <w:tc>
          <w:tcPr>
            <w:tcW w:w="448" w:type="pct"/>
            <w:tcBorders>
              <w:top w:val="single" w:sz="4" w:space="0" w:color="auto"/>
              <w:left w:val="nil"/>
              <w:right w:val="nil"/>
            </w:tcBorders>
            <w:shd w:val="clear" w:color="auto" w:fill="auto"/>
          </w:tcPr>
          <w:p w14:paraId="227A0E23" w14:textId="77777777" w:rsidR="00FE0EF9" w:rsidRPr="00117487" w:rsidRDefault="00FE0EF9" w:rsidP="002161E8">
            <w:pPr>
              <w:pStyle w:val="TableText"/>
            </w:pPr>
            <w:r w:rsidRPr="00117487">
              <w:t>28</w:t>
            </w:r>
          </w:p>
        </w:tc>
        <w:tc>
          <w:tcPr>
            <w:tcW w:w="648" w:type="pct"/>
            <w:tcBorders>
              <w:top w:val="single" w:sz="4" w:space="0" w:color="auto"/>
              <w:left w:val="nil"/>
              <w:right w:val="nil"/>
            </w:tcBorders>
            <w:shd w:val="clear" w:color="auto" w:fill="auto"/>
          </w:tcPr>
          <w:p w14:paraId="62710B0E" w14:textId="77777777" w:rsidR="00FE0EF9" w:rsidRDefault="00FE0EF9" w:rsidP="00FE0EF9">
            <w:pPr>
              <w:pStyle w:val="TableText"/>
            </w:pPr>
            <w:r w:rsidRPr="00117487">
              <w:t>EC10</w:t>
            </w:r>
          </w:p>
          <w:p w14:paraId="3F7D1681" w14:textId="25C2142B" w:rsidR="00FE0EF9" w:rsidRPr="00117487" w:rsidRDefault="00FE0EF9" w:rsidP="00FE0EF9">
            <w:pPr>
              <w:pStyle w:val="TableText"/>
            </w:pPr>
            <w:r w:rsidRPr="00117487">
              <w:t>(Reproduction &amp; Development)</w:t>
            </w:r>
          </w:p>
        </w:tc>
        <w:tc>
          <w:tcPr>
            <w:tcW w:w="349" w:type="pct"/>
            <w:tcBorders>
              <w:top w:val="single" w:sz="4" w:space="0" w:color="auto"/>
              <w:left w:val="nil"/>
              <w:right w:val="nil"/>
            </w:tcBorders>
            <w:shd w:val="clear" w:color="auto" w:fill="auto"/>
          </w:tcPr>
          <w:p w14:paraId="3CD518C6" w14:textId="57B3F5C9" w:rsidR="00FE0EF9" w:rsidRPr="00117487" w:rsidRDefault="00CF6008" w:rsidP="002161E8">
            <w:pPr>
              <w:pStyle w:val="TableText"/>
            </w:pPr>
            <w:r>
              <w:t>NR</w:t>
            </w:r>
          </w:p>
        </w:tc>
        <w:tc>
          <w:tcPr>
            <w:tcW w:w="448" w:type="pct"/>
            <w:tcBorders>
              <w:top w:val="single" w:sz="4" w:space="0" w:color="auto"/>
              <w:left w:val="nil"/>
              <w:right w:val="nil"/>
            </w:tcBorders>
            <w:shd w:val="clear" w:color="auto" w:fill="auto"/>
          </w:tcPr>
          <w:p w14:paraId="56242976" w14:textId="77777777" w:rsidR="00FE0EF9" w:rsidRPr="00117487" w:rsidRDefault="00FE0EF9" w:rsidP="002161E8">
            <w:pPr>
              <w:pStyle w:val="TableText"/>
            </w:pPr>
            <w:r w:rsidRPr="00117487">
              <w:t>25</w:t>
            </w:r>
          </w:p>
        </w:tc>
        <w:tc>
          <w:tcPr>
            <w:tcW w:w="499" w:type="pct"/>
            <w:tcBorders>
              <w:top w:val="single" w:sz="4" w:space="0" w:color="auto"/>
              <w:left w:val="nil"/>
              <w:right w:val="nil"/>
            </w:tcBorders>
            <w:shd w:val="clear" w:color="auto" w:fill="auto"/>
          </w:tcPr>
          <w:p w14:paraId="44578349" w14:textId="77777777" w:rsidR="00FE0EF9" w:rsidRPr="00117487" w:rsidRDefault="00FE0EF9" w:rsidP="002161E8">
            <w:pPr>
              <w:pStyle w:val="TableText"/>
            </w:pPr>
            <w:r w:rsidRPr="00117487">
              <w:t>9</w:t>
            </w:r>
          </w:p>
        </w:tc>
        <w:tc>
          <w:tcPr>
            <w:tcW w:w="675" w:type="pct"/>
            <w:tcBorders>
              <w:top w:val="single" w:sz="4" w:space="0" w:color="auto"/>
              <w:left w:val="nil"/>
              <w:right w:val="nil"/>
            </w:tcBorders>
            <w:shd w:val="clear" w:color="auto" w:fill="auto"/>
          </w:tcPr>
          <w:p w14:paraId="6C54652D" w14:textId="77777777" w:rsidR="00FE0EF9" w:rsidRPr="00117487" w:rsidRDefault="00FE0EF9" w:rsidP="002161E8">
            <w:pPr>
              <w:pStyle w:val="TableText"/>
              <w:rPr>
                <w:noProof/>
              </w:rPr>
            </w:pPr>
            <w:r w:rsidRPr="00117487">
              <w:rPr>
                <w:noProof/>
              </w:rPr>
              <w:t xml:space="preserve">Howe et al. </w:t>
            </w:r>
            <w:r>
              <w:rPr>
                <w:noProof/>
              </w:rPr>
              <w:t>(20</w:t>
            </w:r>
            <w:r w:rsidRPr="00117487">
              <w:rPr>
                <w:noProof/>
              </w:rPr>
              <w:t>14)</w:t>
            </w:r>
          </w:p>
        </w:tc>
      </w:tr>
      <w:tr w:rsidR="00C82A93" w:rsidRPr="00BF13F5" w14:paraId="3B259F1A" w14:textId="77777777" w:rsidTr="00C82A93">
        <w:trPr>
          <w:cantSplit/>
        </w:trPr>
        <w:tc>
          <w:tcPr>
            <w:tcW w:w="3826" w:type="pct"/>
            <w:gridSpan w:val="7"/>
            <w:tcBorders>
              <w:left w:val="nil"/>
              <w:bottom w:val="single" w:sz="4" w:space="0" w:color="auto"/>
              <w:right w:val="nil"/>
            </w:tcBorders>
            <w:shd w:val="clear" w:color="auto" w:fill="auto"/>
          </w:tcPr>
          <w:p w14:paraId="5C3A6A08" w14:textId="2FC14572" w:rsidR="00FE0EF9"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4802A7EC" w14:textId="77777777" w:rsidR="00FE0EF9" w:rsidRPr="00117487" w:rsidRDefault="00FE0EF9" w:rsidP="002161E8">
            <w:pPr>
              <w:pStyle w:val="TableText"/>
              <w:rPr>
                <w:b/>
              </w:rPr>
            </w:pPr>
            <w:r w:rsidRPr="00117487">
              <w:rPr>
                <w:b/>
              </w:rPr>
              <w:t>9</w:t>
            </w:r>
          </w:p>
        </w:tc>
        <w:tc>
          <w:tcPr>
            <w:tcW w:w="675" w:type="pct"/>
            <w:tcBorders>
              <w:left w:val="nil"/>
              <w:bottom w:val="single" w:sz="4" w:space="0" w:color="auto"/>
              <w:right w:val="nil"/>
            </w:tcBorders>
            <w:shd w:val="clear" w:color="auto" w:fill="auto"/>
          </w:tcPr>
          <w:p w14:paraId="28F0DB9B" w14:textId="0C05C39A" w:rsidR="00FE0EF9" w:rsidRPr="00117487" w:rsidRDefault="00FE0EF9" w:rsidP="00FE0EF9">
            <w:pPr>
              <w:pStyle w:val="TableText"/>
              <w:rPr>
                <w:b/>
              </w:rPr>
            </w:pPr>
            <w:r w:rsidRPr="00117487">
              <w:rPr>
                <w:b/>
              </w:rPr>
              <w:t>VALUE USED IN SSD</w:t>
            </w:r>
          </w:p>
        </w:tc>
      </w:tr>
      <w:tr w:rsidR="00160F86" w:rsidRPr="00BF13F5" w14:paraId="4EB71676" w14:textId="77777777" w:rsidTr="00C82A93">
        <w:trPr>
          <w:cantSplit/>
        </w:trPr>
        <w:tc>
          <w:tcPr>
            <w:tcW w:w="650" w:type="pct"/>
            <w:tcBorders>
              <w:top w:val="single" w:sz="4" w:space="0" w:color="auto"/>
              <w:left w:val="nil"/>
              <w:right w:val="nil"/>
            </w:tcBorders>
            <w:shd w:val="clear" w:color="auto" w:fill="auto"/>
          </w:tcPr>
          <w:p w14:paraId="36A041AD" w14:textId="6D2D8ABD" w:rsidR="001F30F6" w:rsidRDefault="001F30F6" w:rsidP="002161E8">
            <w:pPr>
              <w:pStyle w:val="TableText"/>
            </w:pPr>
            <w:r w:rsidRPr="00117487">
              <w:t>Crustacean</w:t>
            </w:r>
          </w:p>
          <w:p w14:paraId="28FFE2D0" w14:textId="475DEF24" w:rsidR="009C37B1" w:rsidRPr="00117487" w:rsidRDefault="009C37B1" w:rsidP="002161E8">
            <w:pPr>
              <w:pStyle w:val="TableText"/>
            </w:pPr>
            <w:r>
              <w:t>(Arthropoda)</w:t>
            </w:r>
          </w:p>
        </w:tc>
        <w:tc>
          <w:tcPr>
            <w:tcW w:w="684" w:type="pct"/>
            <w:tcBorders>
              <w:top w:val="single" w:sz="4" w:space="0" w:color="auto"/>
              <w:left w:val="nil"/>
              <w:right w:val="nil"/>
            </w:tcBorders>
            <w:shd w:val="clear" w:color="auto" w:fill="auto"/>
          </w:tcPr>
          <w:p w14:paraId="7BACFE34" w14:textId="0DBDB705" w:rsidR="001F30F6" w:rsidRPr="00BF7913" w:rsidRDefault="001F30F6" w:rsidP="009061CA">
            <w:pPr>
              <w:pStyle w:val="TableText"/>
            </w:pPr>
            <w:proofErr w:type="spellStart"/>
            <w:r w:rsidRPr="007D3764">
              <w:rPr>
                <w:rStyle w:val="Emphasis"/>
              </w:rPr>
              <w:t>Allorchestes</w:t>
            </w:r>
            <w:proofErr w:type="spellEnd"/>
            <w:r w:rsidRPr="007D3764">
              <w:rPr>
                <w:rStyle w:val="Emphasis"/>
              </w:rPr>
              <w:t xml:space="preserve"> </w:t>
            </w:r>
            <w:proofErr w:type="spellStart"/>
            <w:r w:rsidRPr="007D3764">
              <w:rPr>
                <w:rStyle w:val="Emphasis"/>
              </w:rPr>
              <w:t>compressa</w:t>
            </w:r>
            <w:proofErr w:type="spellEnd"/>
          </w:p>
        </w:tc>
        <w:tc>
          <w:tcPr>
            <w:tcW w:w="599" w:type="pct"/>
            <w:tcBorders>
              <w:top w:val="single" w:sz="4" w:space="0" w:color="auto"/>
              <w:left w:val="nil"/>
              <w:right w:val="nil"/>
            </w:tcBorders>
            <w:shd w:val="clear" w:color="auto" w:fill="auto"/>
          </w:tcPr>
          <w:p w14:paraId="36A11D62" w14:textId="77777777" w:rsidR="001F30F6" w:rsidRPr="00117487" w:rsidRDefault="001F30F6" w:rsidP="002161E8">
            <w:pPr>
              <w:pStyle w:val="TableText"/>
            </w:pPr>
            <w:r w:rsidRPr="00117487">
              <w:t>Juveniles</w:t>
            </w:r>
          </w:p>
        </w:tc>
        <w:tc>
          <w:tcPr>
            <w:tcW w:w="448" w:type="pct"/>
            <w:tcBorders>
              <w:top w:val="single" w:sz="4" w:space="0" w:color="auto"/>
              <w:left w:val="nil"/>
              <w:right w:val="nil"/>
            </w:tcBorders>
            <w:shd w:val="clear" w:color="auto" w:fill="auto"/>
          </w:tcPr>
          <w:p w14:paraId="5DF10241" w14:textId="77777777" w:rsidR="001F30F6" w:rsidRPr="00117487" w:rsidRDefault="001F30F6" w:rsidP="002161E8">
            <w:pPr>
              <w:pStyle w:val="TableText"/>
            </w:pPr>
            <w:r w:rsidRPr="00117487">
              <w:t>28</w:t>
            </w:r>
          </w:p>
        </w:tc>
        <w:tc>
          <w:tcPr>
            <w:tcW w:w="648" w:type="pct"/>
            <w:tcBorders>
              <w:top w:val="single" w:sz="4" w:space="0" w:color="auto"/>
              <w:left w:val="nil"/>
              <w:right w:val="nil"/>
            </w:tcBorders>
            <w:shd w:val="clear" w:color="auto" w:fill="auto"/>
          </w:tcPr>
          <w:p w14:paraId="022C1C52" w14:textId="77777777" w:rsidR="009061CA" w:rsidRDefault="001F30F6" w:rsidP="002161E8">
            <w:pPr>
              <w:pStyle w:val="TableText"/>
            </w:pPr>
            <w:r>
              <w:t>LC10</w:t>
            </w:r>
          </w:p>
          <w:p w14:paraId="01F066A9" w14:textId="4EFBEA6D" w:rsidR="001F30F6" w:rsidRPr="00117487" w:rsidRDefault="001F30F6" w:rsidP="002161E8">
            <w:pPr>
              <w:pStyle w:val="TableText"/>
            </w:pPr>
            <w:r w:rsidRPr="00117487">
              <w:t>(Mortality)</w:t>
            </w:r>
          </w:p>
        </w:tc>
        <w:tc>
          <w:tcPr>
            <w:tcW w:w="349" w:type="pct"/>
            <w:tcBorders>
              <w:top w:val="single" w:sz="4" w:space="0" w:color="auto"/>
              <w:left w:val="nil"/>
              <w:right w:val="nil"/>
            </w:tcBorders>
            <w:shd w:val="clear" w:color="auto" w:fill="auto"/>
          </w:tcPr>
          <w:p w14:paraId="7E9F1C36" w14:textId="77777777" w:rsidR="001F30F6" w:rsidRPr="00117487" w:rsidRDefault="001F30F6" w:rsidP="002161E8">
            <w:pPr>
              <w:pStyle w:val="TableText"/>
            </w:pPr>
            <w:r w:rsidRPr="00117487">
              <w:t>31</w:t>
            </w:r>
          </w:p>
        </w:tc>
        <w:tc>
          <w:tcPr>
            <w:tcW w:w="448" w:type="pct"/>
            <w:tcBorders>
              <w:top w:val="single" w:sz="4" w:space="0" w:color="auto"/>
              <w:left w:val="nil"/>
              <w:right w:val="nil"/>
            </w:tcBorders>
            <w:shd w:val="clear" w:color="auto" w:fill="auto"/>
          </w:tcPr>
          <w:p w14:paraId="390A3403" w14:textId="77777777" w:rsidR="001F30F6" w:rsidRPr="00117487" w:rsidRDefault="001F30F6" w:rsidP="002161E8">
            <w:pPr>
              <w:pStyle w:val="TableText"/>
            </w:pPr>
            <w:r w:rsidRPr="00117487">
              <w:t>19</w:t>
            </w:r>
          </w:p>
        </w:tc>
        <w:tc>
          <w:tcPr>
            <w:tcW w:w="499" w:type="pct"/>
            <w:tcBorders>
              <w:top w:val="single" w:sz="4" w:space="0" w:color="auto"/>
              <w:left w:val="nil"/>
              <w:right w:val="nil"/>
            </w:tcBorders>
            <w:shd w:val="clear" w:color="auto" w:fill="auto"/>
          </w:tcPr>
          <w:p w14:paraId="577A332D" w14:textId="15CE0C7A" w:rsidR="001F30F6" w:rsidRPr="00117487" w:rsidRDefault="001F30F6" w:rsidP="002161E8">
            <w:pPr>
              <w:pStyle w:val="TableText"/>
            </w:pPr>
            <w:r>
              <w:t>61.5</w:t>
            </w:r>
            <w:r w:rsidR="004719F4" w:rsidRPr="004813E4">
              <w:t xml:space="preserve"> </w:t>
            </w:r>
            <w:r w:rsidR="004719F4" w:rsidRPr="004813E4">
              <w:rPr>
                <w:rStyle w:val="Strong"/>
                <w:vertAlign w:val="superscript"/>
              </w:rPr>
              <w:t>d</w:t>
            </w:r>
          </w:p>
        </w:tc>
        <w:tc>
          <w:tcPr>
            <w:tcW w:w="675" w:type="pct"/>
            <w:tcBorders>
              <w:top w:val="single" w:sz="4" w:space="0" w:color="auto"/>
              <w:left w:val="nil"/>
              <w:right w:val="nil"/>
            </w:tcBorders>
            <w:shd w:val="clear" w:color="auto" w:fill="auto"/>
          </w:tcPr>
          <w:p w14:paraId="060A2842" w14:textId="4F56595A" w:rsidR="001F30F6" w:rsidRPr="00117487" w:rsidRDefault="001F30F6" w:rsidP="007D3764">
            <w:pPr>
              <w:pStyle w:val="TableText"/>
            </w:pPr>
            <w:r w:rsidRPr="00117487">
              <w:rPr>
                <w:noProof/>
              </w:rPr>
              <w:t xml:space="preserve">Ahsanullah </w:t>
            </w:r>
            <w:r w:rsidR="007D3764">
              <w:rPr>
                <w:noProof/>
              </w:rPr>
              <w:t>and</w:t>
            </w:r>
            <w:r w:rsidRPr="00117487">
              <w:rPr>
                <w:noProof/>
              </w:rPr>
              <w:t xml:space="preserve"> Williams </w:t>
            </w:r>
            <w:r>
              <w:rPr>
                <w:noProof/>
              </w:rPr>
              <w:t>(19</w:t>
            </w:r>
            <w:r w:rsidRPr="00117487">
              <w:rPr>
                <w:noProof/>
              </w:rPr>
              <w:t>91)</w:t>
            </w:r>
            <w:r w:rsidR="00BC35A0">
              <w:rPr>
                <w:noProof/>
              </w:rPr>
              <w:t xml:space="preserve">, Maycock et. al </w:t>
            </w:r>
            <w:r>
              <w:rPr>
                <w:noProof/>
              </w:rPr>
              <w:t>(2012)</w:t>
            </w:r>
          </w:p>
        </w:tc>
      </w:tr>
      <w:tr w:rsidR="00C82A93" w:rsidRPr="00BF13F5" w14:paraId="316B748D" w14:textId="77777777" w:rsidTr="00C82A93">
        <w:trPr>
          <w:cantSplit/>
        </w:trPr>
        <w:tc>
          <w:tcPr>
            <w:tcW w:w="3826" w:type="pct"/>
            <w:gridSpan w:val="7"/>
            <w:tcBorders>
              <w:left w:val="nil"/>
              <w:bottom w:val="single" w:sz="4" w:space="0" w:color="auto"/>
              <w:right w:val="nil"/>
            </w:tcBorders>
            <w:shd w:val="clear" w:color="auto" w:fill="auto"/>
          </w:tcPr>
          <w:p w14:paraId="70517F25" w14:textId="2A036220"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0187B4A4" w14:textId="77777777" w:rsidR="009061CA" w:rsidRPr="00117487" w:rsidRDefault="009061CA" w:rsidP="002161E8">
            <w:pPr>
              <w:pStyle w:val="TableText"/>
              <w:rPr>
                <w:b/>
              </w:rPr>
            </w:pPr>
            <w:r>
              <w:rPr>
                <w:b/>
              </w:rPr>
              <w:t>62</w:t>
            </w:r>
          </w:p>
        </w:tc>
        <w:tc>
          <w:tcPr>
            <w:tcW w:w="675" w:type="pct"/>
            <w:tcBorders>
              <w:left w:val="nil"/>
              <w:bottom w:val="single" w:sz="4" w:space="0" w:color="auto"/>
              <w:right w:val="nil"/>
            </w:tcBorders>
            <w:shd w:val="clear" w:color="auto" w:fill="auto"/>
          </w:tcPr>
          <w:p w14:paraId="4E29B757" w14:textId="1FD39AD1" w:rsidR="009061CA" w:rsidRPr="00117487" w:rsidRDefault="009061CA" w:rsidP="002161E8">
            <w:pPr>
              <w:pStyle w:val="TableText"/>
              <w:rPr>
                <w:b/>
              </w:rPr>
            </w:pPr>
            <w:r w:rsidRPr="00117487">
              <w:rPr>
                <w:b/>
              </w:rPr>
              <w:t>VALUE USED IN SSD</w:t>
            </w:r>
          </w:p>
        </w:tc>
      </w:tr>
      <w:tr w:rsidR="00160F86" w:rsidRPr="00BF13F5" w14:paraId="2939DC7A" w14:textId="77777777" w:rsidTr="00C82A93">
        <w:trPr>
          <w:cantSplit/>
        </w:trPr>
        <w:tc>
          <w:tcPr>
            <w:tcW w:w="650" w:type="pct"/>
            <w:tcBorders>
              <w:left w:val="nil"/>
              <w:right w:val="nil"/>
            </w:tcBorders>
            <w:shd w:val="clear" w:color="auto" w:fill="auto"/>
          </w:tcPr>
          <w:p w14:paraId="573B6CEF" w14:textId="073066EE" w:rsidR="001F30F6" w:rsidRDefault="009061CA" w:rsidP="002161E8">
            <w:pPr>
              <w:pStyle w:val="TableText"/>
            </w:pPr>
            <w:r w:rsidRPr="00117487">
              <w:t>Crustacean</w:t>
            </w:r>
          </w:p>
          <w:p w14:paraId="02631267" w14:textId="5C8EB439" w:rsidR="009C37B1" w:rsidRPr="00117487" w:rsidRDefault="009C37B1" w:rsidP="002161E8">
            <w:pPr>
              <w:pStyle w:val="TableText"/>
            </w:pPr>
            <w:r>
              <w:t>(Arthropoda)</w:t>
            </w:r>
          </w:p>
        </w:tc>
        <w:tc>
          <w:tcPr>
            <w:tcW w:w="684" w:type="pct"/>
            <w:tcBorders>
              <w:left w:val="nil"/>
              <w:right w:val="nil"/>
            </w:tcBorders>
            <w:shd w:val="clear" w:color="auto" w:fill="auto"/>
          </w:tcPr>
          <w:p w14:paraId="2DC5B058" w14:textId="3EAEAA09" w:rsidR="001F30F6" w:rsidRPr="00BF7913" w:rsidRDefault="001F30F6" w:rsidP="009061CA">
            <w:pPr>
              <w:pStyle w:val="TableText"/>
            </w:pPr>
            <w:proofErr w:type="spellStart"/>
            <w:r w:rsidRPr="007D3764">
              <w:rPr>
                <w:rStyle w:val="Emphasis"/>
              </w:rPr>
              <w:t>Callianassa</w:t>
            </w:r>
            <w:proofErr w:type="spellEnd"/>
            <w:r w:rsidRPr="007D3764">
              <w:rPr>
                <w:rStyle w:val="Emphasis"/>
              </w:rPr>
              <w:t xml:space="preserve"> </w:t>
            </w:r>
            <w:proofErr w:type="spellStart"/>
            <w:r w:rsidRPr="007D3764">
              <w:rPr>
                <w:rStyle w:val="Emphasis"/>
              </w:rPr>
              <w:t>australiensis</w:t>
            </w:r>
            <w:proofErr w:type="spellEnd"/>
            <w:r w:rsidRPr="00BF7913">
              <w:t xml:space="preserve"> </w:t>
            </w:r>
          </w:p>
        </w:tc>
        <w:tc>
          <w:tcPr>
            <w:tcW w:w="599" w:type="pct"/>
            <w:tcBorders>
              <w:left w:val="nil"/>
              <w:right w:val="nil"/>
            </w:tcBorders>
            <w:shd w:val="clear" w:color="auto" w:fill="auto"/>
          </w:tcPr>
          <w:p w14:paraId="140AD8EB" w14:textId="77777777" w:rsidR="001F30F6" w:rsidRPr="00117487" w:rsidRDefault="001F30F6" w:rsidP="002161E8">
            <w:pPr>
              <w:pStyle w:val="TableText"/>
            </w:pPr>
            <w:r w:rsidRPr="00117487">
              <w:t>Adult</w:t>
            </w:r>
          </w:p>
        </w:tc>
        <w:tc>
          <w:tcPr>
            <w:tcW w:w="448" w:type="pct"/>
            <w:tcBorders>
              <w:left w:val="nil"/>
              <w:right w:val="nil"/>
            </w:tcBorders>
            <w:shd w:val="clear" w:color="auto" w:fill="auto"/>
          </w:tcPr>
          <w:p w14:paraId="7F307BA5" w14:textId="77777777" w:rsidR="001F30F6" w:rsidRPr="00117487" w:rsidRDefault="001F30F6" w:rsidP="002161E8">
            <w:pPr>
              <w:pStyle w:val="TableText"/>
            </w:pPr>
            <w:r w:rsidRPr="00117487">
              <w:t>14</w:t>
            </w:r>
          </w:p>
        </w:tc>
        <w:tc>
          <w:tcPr>
            <w:tcW w:w="648" w:type="pct"/>
            <w:tcBorders>
              <w:left w:val="nil"/>
              <w:right w:val="nil"/>
            </w:tcBorders>
            <w:shd w:val="clear" w:color="auto" w:fill="auto"/>
          </w:tcPr>
          <w:p w14:paraId="315D25E6" w14:textId="77777777" w:rsidR="009061CA" w:rsidRDefault="001F30F6" w:rsidP="002161E8">
            <w:pPr>
              <w:pStyle w:val="TableText"/>
            </w:pPr>
            <w:r w:rsidRPr="00117487">
              <w:t>EC50</w:t>
            </w:r>
          </w:p>
          <w:p w14:paraId="020465B3" w14:textId="21B45AA7" w:rsidR="001F30F6" w:rsidRPr="00117487" w:rsidRDefault="001F30F6" w:rsidP="002161E8">
            <w:pPr>
              <w:pStyle w:val="TableText"/>
            </w:pPr>
            <w:r w:rsidRPr="00117487">
              <w:t>(Immobilisation)</w:t>
            </w:r>
          </w:p>
        </w:tc>
        <w:tc>
          <w:tcPr>
            <w:tcW w:w="349" w:type="pct"/>
            <w:tcBorders>
              <w:left w:val="nil"/>
              <w:right w:val="nil"/>
            </w:tcBorders>
            <w:shd w:val="clear" w:color="auto" w:fill="auto"/>
          </w:tcPr>
          <w:p w14:paraId="7DBE4822" w14:textId="7D5423A5" w:rsidR="001F30F6" w:rsidRPr="00117487" w:rsidRDefault="001F30F6" w:rsidP="00FE2D2D">
            <w:pPr>
              <w:pStyle w:val="TableText"/>
            </w:pPr>
            <w:r w:rsidRPr="00117487">
              <w:t>34</w:t>
            </w:r>
            <w:r w:rsidR="00FE2D2D">
              <w:t>–</w:t>
            </w:r>
            <w:r w:rsidRPr="00117487">
              <w:t>38</w:t>
            </w:r>
          </w:p>
        </w:tc>
        <w:tc>
          <w:tcPr>
            <w:tcW w:w="448" w:type="pct"/>
            <w:tcBorders>
              <w:left w:val="nil"/>
              <w:right w:val="nil"/>
            </w:tcBorders>
            <w:shd w:val="clear" w:color="auto" w:fill="auto"/>
          </w:tcPr>
          <w:p w14:paraId="07E244D5" w14:textId="333DF618" w:rsidR="001F30F6" w:rsidRPr="00117487" w:rsidRDefault="001F30F6" w:rsidP="00FE2D2D">
            <w:pPr>
              <w:pStyle w:val="TableText"/>
            </w:pPr>
            <w:r w:rsidRPr="00117487">
              <w:t>18</w:t>
            </w:r>
            <w:r w:rsidR="00FE2D2D">
              <w:t>–</w:t>
            </w:r>
            <w:r w:rsidRPr="00117487">
              <w:t>20</w:t>
            </w:r>
          </w:p>
        </w:tc>
        <w:tc>
          <w:tcPr>
            <w:tcW w:w="499" w:type="pct"/>
            <w:tcBorders>
              <w:left w:val="nil"/>
              <w:right w:val="nil"/>
            </w:tcBorders>
            <w:shd w:val="clear" w:color="auto" w:fill="auto"/>
          </w:tcPr>
          <w:p w14:paraId="0E7748D1" w14:textId="3F21404A" w:rsidR="001F30F6" w:rsidRPr="00117487" w:rsidRDefault="001F30F6" w:rsidP="002161E8">
            <w:pPr>
              <w:pStyle w:val="TableText"/>
            </w:pPr>
            <w:r w:rsidRPr="00117487">
              <w:t>1</w:t>
            </w:r>
            <w:r w:rsidR="00FE2D2D">
              <w:t> </w:t>
            </w:r>
            <w:r w:rsidRPr="00117487">
              <w:t>150</w:t>
            </w:r>
          </w:p>
        </w:tc>
        <w:tc>
          <w:tcPr>
            <w:tcW w:w="675" w:type="pct"/>
            <w:tcBorders>
              <w:left w:val="nil"/>
              <w:right w:val="nil"/>
            </w:tcBorders>
            <w:shd w:val="clear" w:color="auto" w:fill="auto"/>
          </w:tcPr>
          <w:p w14:paraId="11313E90" w14:textId="77777777" w:rsidR="001F30F6" w:rsidRPr="00117487" w:rsidRDefault="001F30F6" w:rsidP="002161E8">
            <w:pPr>
              <w:pStyle w:val="TableText"/>
            </w:pPr>
            <w:r w:rsidRPr="00117487">
              <w:rPr>
                <w:noProof/>
              </w:rPr>
              <w:t xml:space="preserve">Ahsanullah et al. </w:t>
            </w:r>
            <w:r>
              <w:rPr>
                <w:noProof/>
              </w:rPr>
              <w:t>(19</w:t>
            </w:r>
            <w:r w:rsidRPr="00117487">
              <w:rPr>
                <w:noProof/>
              </w:rPr>
              <w:t>81)</w:t>
            </w:r>
          </w:p>
        </w:tc>
      </w:tr>
      <w:tr w:rsidR="00C82A93" w:rsidRPr="00BF13F5" w14:paraId="3CEF95E4" w14:textId="77777777" w:rsidTr="00C82A93">
        <w:trPr>
          <w:cantSplit/>
        </w:trPr>
        <w:tc>
          <w:tcPr>
            <w:tcW w:w="3826" w:type="pct"/>
            <w:gridSpan w:val="7"/>
            <w:tcBorders>
              <w:left w:val="nil"/>
              <w:bottom w:val="single" w:sz="4" w:space="0" w:color="auto"/>
              <w:right w:val="nil"/>
            </w:tcBorders>
            <w:shd w:val="clear" w:color="auto" w:fill="auto"/>
          </w:tcPr>
          <w:p w14:paraId="492FC9E7" w14:textId="7831896E"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496190D6" w14:textId="77777777" w:rsidR="009061CA" w:rsidRPr="00117487" w:rsidRDefault="009061CA" w:rsidP="002161E8">
            <w:pPr>
              <w:pStyle w:val="TableText"/>
              <w:rPr>
                <w:b/>
              </w:rPr>
            </w:pPr>
            <w:r w:rsidRPr="00117487">
              <w:rPr>
                <w:b/>
              </w:rPr>
              <w:t>230</w:t>
            </w:r>
            <w:r w:rsidRPr="00117487">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3EFE4D7D" w14:textId="2090E65E" w:rsidR="009061CA" w:rsidRPr="00117487" w:rsidRDefault="009061CA" w:rsidP="002161E8">
            <w:pPr>
              <w:pStyle w:val="TableText"/>
              <w:rPr>
                <w:b/>
              </w:rPr>
            </w:pPr>
            <w:r w:rsidRPr="00117487">
              <w:rPr>
                <w:b/>
              </w:rPr>
              <w:t>VALUE USED IN SSD</w:t>
            </w:r>
          </w:p>
        </w:tc>
      </w:tr>
      <w:tr w:rsidR="00160F86" w:rsidRPr="00BF13F5" w14:paraId="16AD29EB" w14:textId="77777777" w:rsidTr="00C82A93">
        <w:trPr>
          <w:cantSplit/>
          <w:trHeight w:val="340"/>
        </w:trPr>
        <w:tc>
          <w:tcPr>
            <w:tcW w:w="650" w:type="pct"/>
            <w:tcBorders>
              <w:top w:val="single" w:sz="4" w:space="0" w:color="auto"/>
              <w:left w:val="nil"/>
              <w:right w:val="nil"/>
            </w:tcBorders>
            <w:shd w:val="clear" w:color="auto" w:fill="auto"/>
          </w:tcPr>
          <w:p w14:paraId="74ED2F27" w14:textId="66E96C16" w:rsidR="001F30F6" w:rsidRDefault="001F30F6" w:rsidP="002161E8">
            <w:pPr>
              <w:pStyle w:val="TableText"/>
            </w:pPr>
            <w:r w:rsidRPr="00117487">
              <w:t>Mollusc</w:t>
            </w:r>
          </w:p>
          <w:p w14:paraId="4E5631BB" w14:textId="72D84BDE"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5BBEADF8" w14:textId="0C541AA1" w:rsidR="001F30F6" w:rsidRPr="00BF7913" w:rsidRDefault="001F30F6" w:rsidP="009061CA">
            <w:pPr>
              <w:pStyle w:val="TableText"/>
            </w:pPr>
            <w:r w:rsidRPr="007D3764">
              <w:rPr>
                <w:rStyle w:val="Emphasis"/>
              </w:rPr>
              <w:t>Crassostrea gigas</w:t>
            </w:r>
          </w:p>
        </w:tc>
        <w:tc>
          <w:tcPr>
            <w:tcW w:w="599" w:type="pct"/>
            <w:tcBorders>
              <w:top w:val="single" w:sz="4" w:space="0" w:color="auto"/>
              <w:left w:val="nil"/>
              <w:right w:val="nil"/>
            </w:tcBorders>
            <w:shd w:val="clear" w:color="auto" w:fill="auto"/>
          </w:tcPr>
          <w:p w14:paraId="3D24F788" w14:textId="77777777" w:rsidR="001F30F6" w:rsidRPr="00117487" w:rsidRDefault="001F30F6" w:rsidP="002161E8">
            <w:pPr>
              <w:pStyle w:val="TableText"/>
            </w:pPr>
            <w:r w:rsidRPr="00117487">
              <w:t>Eggs/Larvae</w:t>
            </w:r>
          </w:p>
        </w:tc>
        <w:tc>
          <w:tcPr>
            <w:tcW w:w="448" w:type="pct"/>
            <w:tcBorders>
              <w:top w:val="single" w:sz="4" w:space="0" w:color="auto"/>
              <w:left w:val="nil"/>
              <w:right w:val="nil"/>
            </w:tcBorders>
            <w:shd w:val="clear" w:color="auto" w:fill="auto"/>
          </w:tcPr>
          <w:p w14:paraId="4E390096" w14:textId="77777777" w:rsidR="001F30F6" w:rsidRPr="00117487" w:rsidRDefault="001F30F6" w:rsidP="002161E8">
            <w:pPr>
              <w:pStyle w:val="TableText"/>
            </w:pPr>
            <w:r w:rsidRPr="00117487">
              <w:t>2</w:t>
            </w:r>
          </w:p>
        </w:tc>
        <w:tc>
          <w:tcPr>
            <w:tcW w:w="648" w:type="pct"/>
            <w:tcBorders>
              <w:top w:val="single" w:sz="4" w:space="0" w:color="auto"/>
              <w:left w:val="nil"/>
              <w:right w:val="nil"/>
            </w:tcBorders>
            <w:shd w:val="clear" w:color="auto" w:fill="auto"/>
          </w:tcPr>
          <w:p w14:paraId="558C2C4F" w14:textId="77777777" w:rsidR="009061CA" w:rsidRDefault="001F30F6" w:rsidP="009061CA">
            <w:pPr>
              <w:pStyle w:val="TableText"/>
            </w:pPr>
            <w:r w:rsidRPr="00117487">
              <w:t>EC50</w:t>
            </w:r>
          </w:p>
          <w:p w14:paraId="7BD84EB5" w14:textId="7D8CBA19" w:rsidR="001F30F6" w:rsidRPr="00117487" w:rsidRDefault="001F30F6" w:rsidP="009061CA">
            <w:pPr>
              <w:pStyle w:val="TableText"/>
            </w:pPr>
            <w:r w:rsidRPr="00117487">
              <w:t>(Development)</w:t>
            </w:r>
          </w:p>
        </w:tc>
        <w:tc>
          <w:tcPr>
            <w:tcW w:w="349" w:type="pct"/>
            <w:tcBorders>
              <w:top w:val="single" w:sz="4" w:space="0" w:color="auto"/>
              <w:left w:val="nil"/>
              <w:right w:val="nil"/>
            </w:tcBorders>
            <w:shd w:val="clear" w:color="auto" w:fill="auto"/>
          </w:tcPr>
          <w:p w14:paraId="34507C40" w14:textId="77777777" w:rsidR="001F30F6" w:rsidRPr="00117487" w:rsidRDefault="001F30F6" w:rsidP="002161E8">
            <w:pPr>
              <w:pStyle w:val="TableText"/>
            </w:pPr>
            <w:r w:rsidRPr="00117487">
              <w:t>34</w:t>
            </w:r>
          </w:p>
        </w:tc>
        <w:tc>
          <w:tcPr>
            <w:tcW w:w="448" w:type="pct"/>
            <w:tcBorders>
              <w:top w:val="single" w:sz="4" w:space="0" w:color="auto"/>
              <w:left w:val="nil"/>
              <w:right w:val="nil"/>
            </w:tcBorders>
            <w:shd w:val="clear" w:color="auto" w:fill="auto"/>
          </w:tcPr>
          <w:p w14:paraId="0EBB7EE4" w14:textId="77777777" w:rsidR="001F30F6" w:rsidRPr="00117487" w:rsidRDefault="001F30F6" w:rsidP="002161E8">
            <w:pPr>
              <w:pStyle w:val="TableText"/>
            </w:pPr>
            <w:r w:rsidRPr="00117487">
              <w:t>20</w:t>
            </w:r>
          </w:p>
        </w:tc>
        <w:tc>
          <w:tcPr>
            <w:tcW w:w="499" w:type="pct"/>
            <w:tcBorders>
              <w:top w:val="single" w:sz="4" w:space="0" w:color="auto"/>
              <w:left w:val="nil"/>
              <w:right w:val="nil"/>
            </w:tcBorders>
            <w:shd w:val="clear" w:color="auto" w:fill="auto"/>
          </w:tcPr>
          <w:p w14:paraId="49FFA9EC" w14:textId="77777777" w:rsidR="001F30F6" w:rsidRPr="009E4F2E" w:rsidRDefault="001F30F6" w:rsidP="002161E8">
            <w:pPr>
              <w:pStyle w:val="TableText"/>
              <w:rPr>
                <w:highlight w:val="yellow"/>
              </w:rPr>
            </w:pPr>
            <w:r w:rsidRPr="007A227D">
              <w:t>119</w:t>
            </w:r>
          </w:p>
        </w:tc>
        <w:tc>
          <w:tcPr>
            <w:tcW w:w="675" w:type="pct"/>
            <w:tcBorders>
              <w:top w:val="single" w:sz="4" w:space="0" w:color="auto"/>
              <w:left w:val="nil"/>
              <w:right w:val="nil"/>
            </w:tcBorders>
            <w:shd w:val="clear" w:color="auto" w:fill="auto"/>
          </w:tcPr>
          <w:p w14:paraId="7026AC4E" w14:textId="77777777" w:rsidR="001F30F6" w:rsidRPr="00117487" w:rsidRDefault="001F30F6" w:rsidP="002161E8">
            <w:pPr>
              <w:pStyle w:val="TableText"/>
            </w:pPr>
            <w:r w:rsidRPr="00117487">
              <w:rPr>
                <w:noProof/>
              </w:rPr>
              <w:t xml:space="preserve">Martin et al. </w:t>
            </w:r>
            <w:r>
              <w:rPr>
                <w:noProof/>
              </w:rPr>
              <w:t>(19</w:t>
            </w:r>
            <w:r w:rsidRPr="00117487">
              <w:rPr>
                <w:noProof/>
              </w:rPr>
              <w:t>81)</w:t>
            </w:r>
          </w:p>
        </w:tc>
      </w:tr>
      <w:tr w:rsidR="00C82A93" w:rsidRPr="00BF13F5" w14:paraId="46DC6239" w14:textId="77777777" w:rsidTr="00C82A93">
        <w:trPr>
          <w:cantSplit/>
        </w:trPr>
        <w:tc>
          <w:tcPr>
            <w:tcW w:w="3826" w:type="pct"/>
            <w:gridSpan w:val="7"/>
            <w:tcBorders>
              <w:left w:val="nil"/>
              <w:bottom w:val="single" w:sz="4" w:space="0" w:color="auto"/>
              <w:right w:val="nil"/>
            </w:tcBorders>
            <w:shd w:val="clear" w:color="auto" w:fill="auto"/>
          </w:tcPr>
          <w:p w14:paraId="42BEC66B" w14:textId="5D29F841"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2BCECC4A" w14:textId="77777777" w:rsidR="009061CA" w:rsidRPr="00117487" w:rsidRDefault="009061CA" w:rsidP="002161E8">
            <w:pPr>
              <w:pStyle w:val="TableText"/>
              <w:rPr>
                <w:b/>
              </w:rPr>
            </w:pPr>
            <w:r>
              <w:rPr>
                <w:b/>
              </w:rPr>
              <w:t xml:space="preserve">24 </w:t>
            </w:r>
            <w:r w:rsidRPr="007D3764">
              <w:rPr>
                <w:rStyle w:val="Strong"/>
                <w:vertAlign w:val="superscript"/>
              </w:rPr>
              <w:t>b</w:t>
            </w:r>
          </w:p>
        </w:tc>
        <w:tc>
          <w:tcPr>
            <w:tcW w:w="675" w:type="pct"/>
            <w:tcBorders>
              <w:left w:val="nil"/>
              <w:bottom w:val="single" w:sz="4" w:space="0" w:color="auto"/>
              <w:right w:val="nil"/>
            </w:tcBorders>
            <w:shd w:val="clear" w:color="auto" w:fill="auto"/>
          </w:tcPr>
          <w:p w14:paraId="37800F6C" w14:textId="12F22AAE" w:rsidR="009061CA" w:rsidRPr="00117487" w:rsidRDefault="009061CA" w:rsidP="002161E8">
            <w:pPr>
              <w:pStyle w:val="TableText"/>
              <w:rPr>
                <w:b/>
              </w:rPr>
            </w:pPr>
            <w:r w:rsidRPr="00117487">
              <w:rPr>
                <w:b/>
              </w:rPr>
              <w:t>VALUE USED IN SSD</w:t>
            </w:r>
          </w:p>
        </w:tc>
      </w:tr>
      <w:tr w:rsidR="00160F86" w:rsidRPr="00BF13F5" w14:paraId="1133AE68" w14:textId="77777777" w:rsidTr="00C82A93">
        <w:trPr>
          <w:cantSplit/>
        </w:trPr>
        <w:tc>
          <w:tcPr>
            <w:tcW w:w="650" w:type="pct"/>
            <w:tcBorders>
              <w:top w:val="single" w:sz="4" w:space="0" w:color="auto"/>
              <w:left w:val="nil"/>
              <w:right w:val="nil"/>
            </w:tcBorders>
            <w:shd w:val="clear" w:color="auto" w:fill="auto"/>
          </w:tcPr>
          <w:p w14:paraId="2988310B" w14:textId="23E4679A" w:rsidR="001F30F6" w:rsidRDefault="001F30F6" w:rsidP="002161E8">
            <w:pPr>
              <w:pStyle w:val="TableText"/>
            </w:pPr>
            <w:r w:rsidRPr="00117487">
              <w:t>Mollusc</w:t>
            </w:r>
          </w:p>
          <w:p w14:paraId="0FB10332" w14:textId="72ED6688"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14D44A84" w14:textId="118E5939" w:rsidR="001F30F6" w:rsidRPr="00BF7913" w:rsidRDefault="001F30F6" w:rsidP="009061CA">
            <w:pPr>
              <w:pStyle w:val="TableText"/>
            </w:pPr>
            <w:proofErr w:type="spellStart"/>
            <w:r w:rsidRPr="007D3764">
              <w:rPr>
                <w:rStyle w:val="Emphasis"/>
              </w:rPr>
              <w:t>Haliotis</w:t>
            </w:r>
            <w:proofErr w:type="spellEnd"/>
            <w:r w:rsidRPr="007D3764">
              <w:rPr>
                <w:rStyle w:val="Emphasis"/>
              </w:rPr>
              <w:t xml:space="preserve"> </w:t>
            </w:r>
            <w:proofErr w:type="spellStart"/>
            <w:r w:rsidRPr="007D3764">
              <w:rPr>
                <w:rStyle w:val="Emphasis"/>
              </w:rPr>
              <w:t>diversicolor</w:t>
            </w:r>
            <w:proofErr w:type="spellEnd"/>
          </w:p>
        </w:tc>
        <w:tc>
          <w:tcPr>
            <w:tcW w:w="599" w:type="pct"/>
            <w:tcBorders>
              <w:top w:val="single" w:sz="4" w:space="0" w:color="auto"/>
              <w:left w:val="nil"/>
              <w:right w:val="nil"/>
            </w:tcBorders>
            <w:shd w:val="clear" w:color="auto" w:fill="auto"/>
          </w:tcPr>
          <w:p w14:paraId="2F3B6A05" w14:textId="1D01A52B" w:rsidR="001F30F6" w:rsidRPr="00117487" w:rsidRDefault="002161E8" w:rsidP="002161E8">
            <w:pPr>
              <w:pStyle w:val="TableText"/>
            </w:pPr>
            <w:r>
              <w:t>NR</w:t>
            </w:r>
          </w:p>
        </w:tc>
        <w:tc>
          <w:tcPr>
            <w:tcW w:w="448" w:type="pct"/>
            <w:tcBorders>
              <w:top w:val="single" w:sz="4" w:space="0" w:color="auto"/>
              <w:left w:val="nil"/>
              <w:right w:val="nil"/>
            </w:tcBorders>
            <w:shd w:val="clear" w:color="auto" w:fill="auto"/>
          </w:tcPr>
          <w:p w14:paraId="155F00E9" w14:textId="77777777" w:rsidR="001F30F6" w:rsidRPr="00117487" w:rsidRDefault="001F30F6" w:rsidP="002161E8">
            <w:pPr>
              <w:pStyle w:val="TableText"/>
            </w:pPr>
            <w:r w:rsidRPr="00117487">
              <w:t>28</w:t>
            </w:r>
          </w:p>
        </w:tc>
        <w:tc>
          <w:tcPr>
            <w:tcW w:w="648" w:type="pct"/>
            <w:tcBorders>
              <w:top w:val="single" w:sz="4" w:space="0" w:color="auto"/>
              <w:left w:val="nil"/>
              <w:right w:val="nil"/>
            </w:tcBorders>
            <w:shd w:val="clear" w:color="auto" w:fill="auto"/>
          </w:tcPr>
          <w:p w14:paraId="2968C583" w14:textId="77777777" w:rsidR="009061CA" w:rsidRDefault="001F30F6" w:rsidP="009061CA">
            <w:pPr>
              <w:pStyle w:val="TableText"/>
            </w:pPr>
            <w:r w:rsidRPr="00117487">
              <w:t>NOEC</w:t>
            </w:r>
          </w:p>
          <w:p w14:paraId="78B29BDF" w14:textId="336DFEDE" w:rsidR="001F30F6" w:rsidRPr="00117487" w:rsidRDefault="001F30F6" w:rsidP="009061CA">
            <w:pPr>
              <w:pStyle w:val="TableText"/>
            </w:pPr>
            <w:r w:rsidRPr="00117487">
              <w:t>(Growth)</w:t>
            </w:r>
          </w:p>
        </w:tc>
        <w:tc>
          <w:tcPr>
            <w:tcW w:w="349" w:type="pct"/>
            <w:tcBorders>
              <w:top w:val="single" w:sz="4" w:space="0" w:color="auto"/>
              <w:left w:val="nil"/>
              <w:right w:val="nil"/>
            </w:tcBorders>
            <w:shd w:val="clear" w:color="auto" w:fill="auto"/>
          </w:tcPr>
          <w:p w14:paraId="7712A0CF" w14:textId="77777777" w:rsidR="001F30F6" w:rsidRPr="00117487" w:rsidRDefault="001F30F6" w:rsidP="002161E8">
            <w:pPr>
              <w:pStyle w:val="TableText"/>
            </w:pPr>
            <w:r w:rsidRPr="00117487">
              <w:t>35</w:t>
            </w:r>
          </w:p>
        </w:tc>
        <w:tc>
          <w:tcPr>
            <w:tcW w:w="448" w:type="pct"/>
            <w:tcBorders>
              <w:top w:val="single" w:sz="4" w:space="0" w:color="auto"/>
              <w:left w:val="nil"/>
              <w:right w:val="nil"/>
            </w:tcBorders>
            <w:shd w:val="clear" w:color="auto" w:fill="auto"/>
          </w:tcPr>
          <w:p w14:paraId="20B02D7F" w14:textId="77777777" w:rsidR="001F30F6" w:rsidRPr="00117487" w:rsidRDefault="001F30F6" w:rsidP="002161E8">
            <w:pPr>
              <w:pStyle w:val="TableText"/>
            </w:pPr>
            <w:r w:rsidRPr="00117487">
              <w:t>25</w:t>
            </w:r>
          </w:p>
        </w:tc>
        <w:tc>
          <w:tcPr>
            <w:tcW w:w="499" w:type="pct"/>
            <w:tcBorders>
              <w:top w:val="single" w:sz="4" w:space="0" w:color="auto"/>
              <w:left w:val="nil"/>
              <w:right w:val="nil"/>
            </w:tcBorders>
            <w:shd w:val="clear" w:color="auto" w:fill="auto"/>
          </w:tcPr>
          <w:p w14:paraId="21CE2433" w14:textId="77777777" w:rsidR="001F30F6" w:rsidRPr="00117487" w:rsidRDefault="001F30F6" w:rsidP="002161E8">
            <w:pPr>
              <w:pStyle w:val="TableText"/>
            </w:pPr>
            <w:r w:rsidRPr="00117487">
              <w:t>64</w:t>
            </w:r>
          </w:p>
        </w:tc>
        <w:tc>
          <w:tcPr>
            <w:tcW w:w="675" w:type="pct"/>
            <w:tcBorders>
              <w:top w:val="single" w:sz="4" w:space="0" w:color="auto"/>
              <w:left w:val="nil"/>
              <w:right w:val="nil"/>
            </w:tcBorders>
            <w:shd w:val="clear" w:color="auto" w:fill="auto"/>
          </w:tcPr>
          <w:p w14:paraId="7C4F81CE" w14:textId="77777777" w:rsidR="001F30F6" w:rsidRPr="00117487" w:rsidRDefault="001F30F6" w:rsidP="002161E8">
            <w:pPr>
              <w:pStyle w:val="TableText"/>
            </w:pPr>
            <w:r w:rsidRPr="00117487">
              <w:rPr>
                <w:noProof/>
              </w:rPr>
              <w:t xml:space="preserve">Tsai et al. </w:t>
            </w:r>
            <w:r>
              <w:rPr>
                <w:noProof/>
              </w:rPr>
              <w:t>(20</w:t>
            </w:r>
            <w:r w:rsidRPr="00117487">
              <w:rPr>
                <w:noProof/>
              </w:rPr>
              <w:t>04)</w:t>
            </w:r>
          </w:p>
        </w:tc>
      </w:tr>
      <w:tr w:rsidR="00C82A93" w:rsidRPr="00BF13F5" w14:paraId="17A36E60" w14:textId="77777777" w:rsidTr="00C82A93">
        <w:trPr>
          <w:cantSplit/>
        </w:trPr>
        <w:tc>
          <w:tcPr>
            <w:tcW w:w="3826" w:type="pct"/>
            <w:gridSpan w:val="7"/>
            <w:tcBorders>
              <w:left w:val="nil"/>
              <w:bottom w:val="single" w:sz="4" w:space="0" w:color="auto"/>
              <w:right w:val="nil"/>
            </w:tcBorders>
            <w:shd w:val="clear" w:color="auto" w:fill="auto"/>
          </w:tcPr>
          <w:p w14:paraId="7725805F" w14:textId="4AD5C23A"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74BAC46E" w14:textId="77777777" w:rsidR="009061CA" w:rsidRPr="00117487" w:rsidRDefault="009061CA" w:rsidP="002161E8">
            <w:pPr>
              <w:pStyle w:val="TableText"/>
              <w:rPr>
                <w:b/>
              </w:rPr>
            </w:pPr>
            <w:r w:rsidRPr="00117487">
              <w:rPr>
                <w:b/>
              </w:rPr>
              <w:t>64</w:t>
            </w:r>
          </w:p>
        </w:tc>
        <w:tc>
          <w:tcPr>
            <w:tcW w:w="675" w:type="pct"/>
            <w:tcBorders>
              <w:left w:val="nil"/>
              <w:bottom w:val="single" w:sz="4" w:space="0" w:color="auto"/>
              <w:right w:val="nil"/>
            </w:tcBorders>
            <w:shd w:val="clear" w:color="auto" w:fill="auto"/>
          </w:tcPr>
          <w:p w14:paraId="3C0E9CD5" w14:textId="39FC8BA5" w:rsidR="009061CA" w:rsidRPr="00117487" w:rsidRDefault="009061CA" w:rsidP="002161E8">
            <w:pPr>
              <w:pStyle w:val="TableText"/>
              <w:rPr>
                <w:b/>
              </w:rPr>
            </w:pPr>
            <w:r w:rsidRPr="00117487">
              <w:rPr>
                <w:b/>
              </w:rPr>
              <w:t>VALUE USED IN SSD</w:t>
            </w:r>
          </w:p>
        </w:tc>
      </w:tr>
      <w:tr w:rsidR="00160F86" w:rsidRPr="00BF13F5" w14:paraId="5C1BC363" w14:textId="77777777" w:rsidTr="00C82A93">
        <w:trPr>
          <w:cantSplit/>
        </w:trPr>
        <w:tc>
          <w:tcPr>
            <w:tcW w:w="650" w:type="pct"/>
            <w:tcBorders>
              <w:top w:val="single" w:sz="4" w:space="0" w:color="auto"/>
              <w:left w:val="nil"/>
              <w:right w:val="nil"/>
            </w:tcBorders>
            <w:shd w:val="clear" w:color="auto" w:fill="auto"/>
          </w:tcPr>
          <w:p w14:paraId="03B138C4" w14:textId="0C675019" w:rsidR="001F30F6" w:rsidRDefault="009061CA" w:rsidP="002161E8">
            <w:pPr>
              <w:pStyle w:val="TableText"/>
            </w:pPr>
            <w:r w:rsidRPr="00117487">
              <w:lastRenderedPageBreak/>
              <w:t>Mollusc</w:t>
            </w:r>
          </w:p>
          <w:p w14:paraId="73CE07ED" w14:textId="582EEF3E"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421311FF" w14:textId="62CF1589" w:rsidR="001F30F6" w:rsidRPr="00BF7913" w:rsidRDefault="001F30F6" w:rsidP="009061CA">
            <w:pPr>
              <w:pStyle w:val="TableText"/>
            </w:pPr>
            <w:proofErr w:type="spellStart"/>
            <w:r w:rsidRPr="007D3764">
              <w:rPr>
                <w:rStyle w:val="Emphasis"/>
              </w:rPr>
              <w:t>Mimachlamys</w:t>
            </w:r>
            <w:proofErr w:type="spellEnd"/>
            <w:r w:rsidRPr="007D3764">
              <w:rPr>
                <w:rStyle w:val="Emphasis"/>
              </w:rPr>
              <w:t xml:space="preserve"> </w:t>
            </w:r>
            <w:proofErr w:type="spellStart"/>
            <w:r w:rsidRPr="007D3764">
              <w:rPr>
                <w:rStyle w:val="Emphasis"/>
              </w:rPr>
              <w:t>asperrima</w:t>
            </w:r>
            <w:proofErr w:type="spellEnd"/>
          </w:p>
        </w:tc>
        <w:tc>
          <w:tcPr>
            <w:tcW w:w="599" w:type="pct"/>
            <w:tcBorders>
              <w:top w:val="single" w:sz="4" w:space="0" w:color="auto"/>
              <w:left w:val="nil"/>
              <w:right w:val="nil"/>
            </w:tcBorders>
            <w:shd w:val="clear" w:color="auto" w:fill="auto"/>
          </w:tcPr>
          <w:p w14:paraId="70A64A10" w14:textId="77777777" w:rsidR="001F30F6" w:rsidRPr="00117487" w:rsidRDefault="001F30F6" w:rsidP="002161E8">
            <w:pPr>
              <w:pStyle w:val="TableText"/>
            </w:pPr>
            <w:r w:rsidRPr="00117487">
              <w:t>Larvae</w:t>
            </w:r>
          </w:p>
        </w:tc>
        <w:tc>
          <w:tcPr>
            <w:tcW w:w="448" w:type="pct"/>
            <w:tcBorders>
              <w:top w:val="single" w:sz="4" w:space="0" w:color="auto"/>
              <w:left w:val="nil"/>
              <w:right w:val="nil"/>
            </w:tcBorders>
            <w:shd w:val="clear" w:color="auto" w:fill="auto"/>
          </w:tcPr>
          <w:p w14:paraId="36742D44" w14:textId="77777777" w:rsidR="001F30F6" w:rsidRPr="00117487" w:rsidRDefault="001F30F6" w:rsidP="002161E8">
            <w:pPr>
              <w:pStyle w:val="TableText"/>
            </w:pPr>
            <w:r w:rsidRPr="00117487">
              <w:t>2</w:t>
            </w:r>
          </w:p>
        </w:tc>
        <w:tc>
          <w:tcPr>
            <w:tcW w:w="648" w:type="pct"/>
            <w:tcBorders>
              <w:top w:val="single" w:sz="4" w:space="0" w:color="auto"/>
              <w:left w:val="nil"/>
              <w:right w:val="nil"/>
            </w:tcBorders>
            <w:shd w:val="clear" w:color="auto" w:fill="auto"/>
          </w:tcPr>
          <w:p w14:paraId="6AB2A707" w14:textId="77777777" w:rsidR="009061CA" w:rsidRDefault="001F30F6" w:rsidP="009061CA">
            <w:pPr>
              <w:pStyle w:val="TableText"/>
            </w:pPr>
            <w:r w:rsidRPr="00117487">
              <w:t>NOEC</w:t>
            </w:r>
          </w:p>
          <w:p w14:paraId="21F9614C" w14:textId="62BEB50C" w:rsidR="001F30F6" w:rsidRPr="00117487" w:rsidRDefault="001F30F6" w:rsidP="009061CA">
            <w:pPr>
              <w:pStyle w:val="TableText"/>
            </w:pPr>
            <w:r w:rsidRPr="00117487">
              <w:t>(Development)</w:t>
            </w:r>
          </w:p>
        </w:tc>
        <w:tc>
          <w:tcPr>
            <w:tcW w:w="349" w:type="pct"/>
            <w:tcBorders>
              <w:top w:val="single" w:sz="4" w:space="0" w:color="auto"/>
              <w:left w:val="nil"/>
              <w:right w:val="nil"/>
            </w:tcBorders>
            <w:shd w:val="clear" w:color="auto" w:fill="auto"/>
          </w:tcPr>
          <w:p w14:paraId="7716610B" w14:textId="77777777" w:rsidR="001F30F6" w:rsidRPr="00117487" w:rsidRDefault="001F30F6" w:rsidP="002161E8">
            <w:pPr>
              <w:pStyle w:val="TableText"/>
            </w:pPr>
            <w:r w:rsidRPr="00117487">
              <w:t>33</w:t>
            </w:r>
          </w:p>
        </w:tc>
        <w:tc>
          <w:tcPr>
            <w:tcW w:w="448" w:type="pct"/>
            <w:tcBorders>
              <w:top w:val="single" w:sz="4" w:space="0" w:color="auto"/>
              <w:left w:val="nil"/>
              <w:right w:val="nil"/>
            </w:tcBorders>
            <w:shd w:val="clear" w:color="auto" w:fill="auto"/>
          </w:tcPr>
          <w:p w14:paraId="3095EB4B" w14:textId="77777777" w:rsidR="001F30F6" w:rsidRPr="00117487" w:rsidRDefault="001F30F6" w:rsidP="002161E8">
            <w:pPr>
              <w:pStyle w:val="TableText"/>
            </w:pPr>
            <w:r w:rsidRPr="00117487">
              <w:t>18</w:t>
            </w:r>
          </w:p>
        </w:tc>
        <w:tc>
          <w:tcPr>
            <w:tcW w:w="499" w:type="pct"/>
            <w:tcBorders>
              <w:top w:val="single" w:sz="4" w:space="0" w:color="auto"/>
              <w:left w:val="nil"/>
              <w:right w:val="nil"/>
            </w:tcBorders>
            <w:shd w:val="clear" w:color="auto" w:fill="auto"/>
          </w:tcPr>
          <w:p w14:paraId="02705F50" w14:textId="77777777" w:rsidR="001F30F6" w:rsidRPr="00117487" w:rsidRDefault="001F30F6" w:rsidP="002161E8">
            <w:pPr>
              <w:pStyle w:val="TableText"/>
            </w:pPr>
            <w:r w:rsidRPr="00117487">
              <w:t>5</w:t>
            </w:r>
          </w:p>
        </w:tc>
        <w:tc>
          <w:tcPr>
            <w:tcW w:w="675" w:type="pct"/>
            <w:tcBorders>
              <w:top w:val="single" w:sz="4" w:space="0" w:color="auto"/>
              <w:left w:val="nil"/>
              <w:right w:val="nil"/>
            </w:tcBorders>
            <w:shd w:val="clear" w:color="auto" w:fill="auto"/>
          </w:tcPr>
          <w:p w14:paraId="2C0522FB" w14:textId="77777777" w:rsidR="001F30F6" w:rsidRPr="00117487" w:rsidRDefault="001F30F6" w:rsidP="002161E8">
            <w:pPr>
              <w:pStyle w:val="TableText"/>
            </w:pPr>
            <w:r w:rsidRPr="00117487">
              <w:rPr>
                <w:noProof/>
              </w:rPr>
              <w:t xml:space="preserve">Krassoi et al. </w:t>
            </w:r>
            <w:r>
              <w:rPr>
                <w:noProof/>
              </w:rPr>
              <w:t>(19</w:t>
            </w:r>
            <w:r w:rsidRPr="00117487">
              <w:rPr>
                <w:noProof/>
              </w:rPr>
              <w:t>97)</w:t>
            </w:r>
          </w:p>
        </w:tc>
      </w:tr>
      <w:tr w:rsidR="00C82A93" w:rsidRPr="00BF13F5" w14:paraId="19BA7E81" w14:textId="77777777" w:rsidTr="00C82A93">
        <w:trPr>
          <w:cantSplit/>
        </w:trPr>
        <w:tc>
          <w:tcPr>
            <w:tcW w:w="3826" w:type="pct"/>
            <w:gridSpan w:val="7"/>
            <w:tcBorders>
              <w:left w:val="nil"/>
              <w:bottom w:val="single" w:sz="4" w:space="0" w:color="auto"/>
              <w:right w:val="nil"/>
            </w:tcBorders>
            <w:shd w:val="clear" w:color="auto" w:fill="auto"/>
          </w:tcPr>
          <w:p w14:paraId="33798C2F" w14:textId="46FA7012"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5903B346" w14:textId="77777777" w:rsidR="009061CA" w:rsidRPr="00117487" w:rsidRDefault="009061CA" w:rsidP="002161E8">
            <w:pPr>
              <w:pStyle w:val="TableText"/>
              <w:rPr>
                <w:b/>
              </w:rPr>
            </w:pPr>
            <w:r w:rsidRPr="00117487">
              <w:rPr>
                <w:b/>
              </w:rPr>
              <w:t>5</w:t>
            </w:r>
          </w:p>
        </w:tc>
        <w:tc>
          <w:tcPr>
            <w:tcW w:w="675" w:type="pct"/>
            <w:tcBorders>
              <w:left w:val="nil"/>
              <w:bottom w:val="single" w:sz="4" w:space="0" w:color="auto"/>
              <w:right w:val="nil"/>
            </w:tcBorders>
            <w:shd w:val="clear" w:color="auto" w:fill="auto"/>
          </w:tcPr>
          <w:p w14:paraId="7E017A37" w14:textId="44520212" w:rsidR="009061CA" w:rsidRPr="00117487" w:rsidRDefault="009061CA" w:rsidP="00BC35A0">
            <w:pPr>
              <w:pStyle w:val="TableText"/>
              <w:rPr>
                <w:b/>
              </w:rPr>
            </w:pPr>
            <w:r w:rsidRPr="00117487">
              <w:rPr>
                <w:b/>
              </w:rPr>
              <w:t>VALUE USED IN SSD</w:t>
            </w:r>
          </w:p>
        </w:tc>
      </w:tr>
      <w:tr w:rsidR="00160F86" w:rsidRPr="00BF13F5" w14:paraId="24BC13E7" w14:textId="77777777" w:rsidTr="00C82A93">
        <w:trPr>
          <w:cantSplit/>
        </w:trPr>
        <w:tc>
          <w:tcPr>
            <w:tcW w:w="650" w:type="pct"/>
            <w:tcBorders>
              <w:left w:val="nil"/>
              <w:right w:val="nil"/>
            </w:tcBorders>
            <w:shd w:val="clear" w:color="auto" w:fill="auto"/>
          </w:tcPr>
          <w:p w14:paraId="73905100" w14:textId="727877B1" w:rsidR="001F30F6" w:rsidRDefault="009061CA" w:rsidP="002161E8">
            <w:pPr>
              <w:pStyle w:val="TableText"/>
            </w:pPr>
            <w:r w:rsidRPr="00117487">
              <w:t>Mollusc</w:t>
            </w:r>
          </w:p>
          <w:p w14:paraId="2293CB58" w14:textId="02806929" w:rsidR="009C37B1" w:rsidRPr="00117487" w:rsidRDefault="009C37B1" w:rsidP="002161E8">
            <w:pPr>
              <w:pStyle w:val="TableText"/>
            </w:pPr>
            <w:r>
              <w:t>(Mollusca)</w:t>
            </w:r>
          </w:p>
        </w:tc>
        <w:tc>
          <w:tcPr>
            <w:tcW w:w="684" w:type="pct"/>
            <w:tcBorders>
              <w:left w:val="nil"/>
              <w:right w:val="nil"/>
            </w:tcBorders>
            <w:shd w:val="clear" w:color="auto" w:fill="auto"/>
          </w:tcPr>
          <w:p w14:paraId="1AECB674" w14:textId="0CFF49A2" w:rsidR="001F30F6" w:rsidRPr="00BF7913" w:rsidRDefault="001F30F6" w:rsidP="009061CA">
            <w:pPr>
              <w:pStyle w:val="TableText"/>
            </w:pPr>
            <w:r w:rsidRPr="007D3764">
              <w:rPr>
                <w:rStyle w:val="Emphasis"/>
              </w:rPr>
              <w:t>Mytilus edulis</w:t>
            </w:r>
          </w:p>
        </w:tc>
        <w:tc>
          <w:tcPr>
            <w:tcW w:w="599" w:type="pct"/>
            <w:tcBorders>
              <w:left w:val="nil"/>
              <w:right w:val="nil"/>
            </w:tcBorders>
            <w:shd w:val="clear" w:color="auto" w:fill="auto"/>
          </w:tcPr>
          <w:p w14:paraId="06203E8F" w14:textId="77777777" w:rsidR="001F30F6" w:rsidRPr="00117487" w:rsidRDefault="001F30F6" w:rsidP="002161E8">
            <w:pPr>
              <w:pStyle w:val="TableText"/>
            </w:pPr>
            <w:r w:rsidRPr="00117487">
              <w:t>Eggs/Larvae</w:t>
            </w:r>
          </w:p>
        </w:tc>
        <w:tc>
          <w:tcPr>
            <w:tcW w:w="448" w:type="pct"/>
            <w:tcBorders>
              <w:left w:val="nil"/>
              <w:right w:val="nil"/>
            </w:tcBorders>
            <w:shd w:val="clear" w:color="auto" w:fill="auto"/>
          </w:tcPr>
          <w:p w14:paraId="1E0CB331" w14:textId="77777777" w:rsidR="001F30F6" w:rsidRPr="00117487" w:rsidRDefault="001F30F6" w:rsidP="002161E8">
            <w:pPr>
              <w:pStyle w:val="TableText"/>
            </w:pPr>
            <w:r w:rsidRPr="00117487">
              <w:t>2</w:t>
            </w:r>
          </w:p>
        </w:tc>
        <w:tc>
          <w:tcPr>
            <w:tcW w:w="648" w:type="pct"/>
            <w:tcBorders>
              <w:left w:val="nil"/>
              <w:right w:val="nil"/>
            </w:tcBorders>
            <w:shd w:val="clear" w:color="auto" w:fill="auto"/>
          </w:tcPr>
          <w:p w14:paraId="7BD4F0C5" w14:textId="77777777" w:rsidR="009061CA" w:rsidRDefault="001F30F6" w:rsidP="009061CA">
            <w:pPr>
              <w:pStyle w:val="TableText"/>
            </w:pPr>
            <w:r w:rsidRPr="00117487">
              <w:t>EC50</w:t>
            </w:r>
          </w:p>
          <w:p w14:paraId="68431DF7" w14:textId="3325C308" w:rsidR="001F30F6" w:rsidRPr="00117487" w:rsidRDefault="001F30F6" w:rsidP="009061CA">
            <w:pPr>
              <w:pStyle w:val="TableText"/>
            </w:pPr>
            <w:r w:rsidRPr="00117487">
              <w:t>(Development)</w:t>
            </w:r>
          </w:p>
        </w:tc>
        <w:tc>
          <w:tcPr>
            <w:tcW w:w="349" w:type="pct"/>
            <w:tcBorders>
              <w:left w:val="nil"/>
              <w:right w:val="nil"/>
            </w:tcBorders>
            <w:shd w:val="clear" w:color="auto" w:fill="auto"/>
          </w:tcPr>
          <w:p w14:paraId="71E16B4A" w14:textId="77777777" w:rsidR="001F30F6" w:rsidRPr="00117487" w:rsidRDefault="001F30F6" w:rsidP="002161E8">
            <w:pPr>
              <w:pStyle w:val="TableText"/>
            </w:pPr>
            <w:r w:rsidRPr="00117487">
              <w:t>34</w:t>
            </w:r>
          </w:p>
        </w:tc>
        <w:tc>
          <w:tcPr>
            <w:tcW w:w="448" w:type="pct"/>
            <w:tcBorders>
              <w:left w:val="nil"/>
              <w:right w:val="nil"/>
            </w:tcBorders>
            <w:shd w:val="clear" w:color="auto" w:fill="auto"/>
          </w:tcPr>
          <w:p w14:paraId="6FDDD890" w14:textId="77777777" w:rsidR="001F30F6" w:rsidRPr="00117487" w:rsidRDefault="001F30F6" w:rsidP="002161E8">
            <w:pPr>
              <w:pStyle w:val="TableText"/>
            </w:pPr>
            <w:r w:rsidRPr="00117487">
              <w:t>17</w:t>
            </w:r>
          </w:p>
        </w:tc>
        <w:tc>
          <w:tcPr>
            <w:tcW w:w="499" w:type="pct"/>
            <w:tcBorders>
              <w:left w:val="nil"/>
              <w:right w:val="nil"/>
            </w:tcBorders>
            <w:shd w:val="clear" w:color="auto" w:fill="auto"/>
          </w:tcPr>
          <w:p w14:paraId="2CC9EEB2" w14:textId="77777777" w:rsidR="001F30F6" w:rsidRPr="00117487" w:rsidRDefault="001F30F6" w:rsidP="002161E8">
            <w:pPr>
              <w:pStyle w:val="TableText"/>
            </w:pPr>
            <w:r>
              <w:t>175</w:t>
            </w:r>
          </w:p>
        </w:tc>
        <w:tc>
          <w:tcPr>
            <w:tcW w:w="675" w:type="pct"/>
            <w:tcBorders>
              <w:left w:val="nil"/>
              <w:right w:val="nil"/>
            </w:tcBorders>
            <w:shd w:val="clear" w:color="auto" w:fill="auto"/>
          </w:tcPr>
          <w:p w14:paraId="59D6E92C" w14:textId="77777777" w:rsidR="001F30F6" w:rsidRPr="00117487" w:rsidRDefault="001F30F6" w:rsidP="002161E8">
            <w:pPr>
              <w:pStyle w:val="TableText"/>
            </w:pPr>
            <w:r w:rsidRPr="00117487">
              <w:rPr>
                <w:noProof/>
              </w:rPr>
              <w:t xml:space="preserve">Martin et al. </w:t>
            </w:r>
            <w:r>
              <w:rPr>
                <w:noProof/>
              </w:rPr>
              <w:t>(19</w:t>
            </w:r>
            <w:r w:rsidRPr="00117487">
              <w:rPr>
                <w:noProof/>
              </w:rPr>
              <w:t>81)</w:t>
            </w:r>
          </w:p>
        </w:tc>
      </w:tr>
      <w:tr w:rsidR="00C82A93" w:rsidRPr="00BF13F5" w14:paraId="60E86124" w14:textId="77777777" w:rsidTr="00C82A93">
        <w:trPr>
          <w:cantSplit/>
        </w:trPr>
        <w:tc>
          <w:tcPr>
            <w:tcW w:w="3826" w:type="pct"/>
            <w:gridSpan w:val="7"/>
            <w:tcBorders>
              <w:left w:val="nil"/>
              <w:bottom w:val="single" w:sz="4" w:space="0" w:color="auto"/>
              <w:right w:val="nil"/>
            </w:tcBorders>
            <w:shd w:val="clear" w:color="auto" w:fill="auto"/>
          </w:tcPr>
          <w:p w14:paraId="2D85D1B7" w14:textId="05D650D7"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01CB2503" w14:textId="77777777" w:rsidR="009061CA" w:rsidRPr="00117487" w:rsidRDefault="009061CA" w:rsidP="002161E8">
            <w:pPr>
              <w:pStyle w:val="TableText"/>
              <w:rPr>
                <w:b/>
              </w:rPr>
            </w:pPr>
            <w:r w:rsidRPr="00117487">
              <w:rPr>
                <w:b/>
              </w:rPr>
              <w:t>35</w:t>
            </w:r>
            <w:r>
              <w:rPr>
                <w:b/>
              </w:rPr>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69579B29" w14:textId="15C8278B" w:rsidR="009061CA" w:rsidRPr="00117487" w:rsidRDefault="009061CA" w:rsidP="002161E8">
            <w:pPr>
              <w:pStyle w:val="TableText"/>
              <w:rPr>
                <w:b/>
              </w:rPr>
            </w:pPr>
            <w:r w:rsidRPr="00117487">
              <w:rPr>
                <w:b/>
              </w:rPr>
              <w:t>VALUE USED IN SSD</w:t>
            </w:r>
          </w:p>
        </w:tc>
      </w:tr>
      <w:tr w:rsidR="00160F86" w:rsidRPr="00BF13F5" w14:paraId="4470B496" w14:textId="77777777" w:rsidTr="00C82A93">
        <w:trPr>
          <w:cantSplit/>
        </w:trPr>
        <w:tc>
          <w:tcPr>
            <w:tcW w:w="650" w:type="pct"/>
            <w:tcBorders>
              <w:top w:val="single" w:sz="4" w:space="0" w:color="auto"/>
              <w:left w:val="nil"/>
              <w:right w:val="nil"/>
            </w:tcBorders>
            <w:shd w:val="clear" w:color="auto" w:fill="auto"/>
          </w:tcPr>
          <w:p w14:paraId="583E387A" w14:textId="1294AC60" w:rsidR="001F30F6" w:rsidRDefault="009061CA" w:rsidP="002161E8">
            <w:pPr>
              <w:pStyle w:val="TableText"/>
            </w:pPr>
            <w:r w:rsidRPr="00117487">
              <w:t>Mollusc</w:t>
            </w:r>
          </w:p>
          <w:p w14:paraId="4DE38C7A" w14:textId="6609938F"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2D90FB77" w14:textId="176FBCE8" w:rsidR="001F30F6" w:rsidRPr="00BF7913" w:rsidRDefault="001F30F6" w:rsidP="009061CA">
            <w:pPr>
              <w:pStyle w:val="TableText"/>
            </w:pPr>
            <w:r w:rsidRPr="007D3764">
              <w:rPr>
                <w:rStyle w:val="Emphasis"/>
              </w:rPr>
              <w:t>Mytilus galloprovincialis</w:t>
            </w:r>
          </w:p>
        </w:tc>
        <w:tc>
          <w:tcPr>
            <w:tcW w:w="599" w:type="pct"/>
            <w:tcBorders>
              <w:top w:val="single" w:sz="4" w:space="0" w:color="auto"/>
              <w:left w:val="nil"/>
              <w:right w:val="nil"/>
            </w:tcBorders>
            <w:shd w:val="clear" w:color="auto" w:fill="auto"/>
          </w:tcPr>
          <w:p w14:paraId="2E0BC139" w14:textId="77777777" w:rsidR="001F30F6" w:rsidRPr="00117487" w:rsidRDefault="001F30F6" w:rsidP="002161E8">
            <w:pPr>
              <w:pStyle w:val="TableText"/>
            </w:pPr>
            <w:r w:rsidRPr="00117487">
              <w:t>Embryo</w:t>
            </w:r>
          </w:p>
        </w:tc>
        <w:tc>
          <w:tcPr>
            <w:tcW w:w="448" w:type="pct"/>
            <w:tcBorders>
              <w:top w:val="single" w:sz="4" w:space="0" w:color="auto"/>
              <w:left w:val="nil"/>
              <w:right w:val="nil"/>
            </w:tcBorders>
            <w:shd w:val="clear" w:color="auto" w:fill="auto"/>
          </w:tcPr>
          <w:p w14:paraId="14007C01" w14:textId="77777777" w:rsidR="001F30F6" w:rsidRPr="00117487" w:rsidRDefault="001F30F6" w:rsidP="002161E8">
            <w:pPr>
              <w:pStyle w:val="TableText"/>
            </w:pPr>
            <w:r w:rsidRPr="00117487">
              <w:t>2</w:t>
            </w:r>
          </w:p>
        </w:tc>
        <w:tc>
          <w:tcPr>
            <w:tcW w:w="648" w:type="pct"/>
            <w:tcBorders>
              <w:top w:val="single" w:sz="4" w:space="0" w:color="auto"/>
              <w:left w:val="nil"/>
              <w:right w:val="nil"/>
            </w:tcBorders>
            <w:shd w:val="clear" w:color="auto" w:fill="auto"/>
          </w:tcPr>
          <w:p w14:paraId="0B4CEC33" w14:textId="77777777" w:rsidR="009061CA" w:rsidRDefault="001F30F6" w:rsidP="009061CA">
            <w:pPr>
              <w:pStyle w:val="TableText"/>
            </w:pPr>
            <w:r w:rsidRPr="00117487">
              <w:t>EC50</w:t>
            </w:r>
          </w:p>
          <w:p w14:paraId="71A1F319" w14:textId="210E2457" w:rsidR="001F30F6" w:rsidRPr="00117487" w:rsidRDefault="001F30F6" w:rsidP="009061CA">
            <w:pPr>
              <w:pStyle w:val="TableText"/>
            </w:pPr>
            <w:r w:rsidRPr="00117487">
              <w:t>(Development)</w:t>
            </w:r>
          </w:p>
        </w:tc>
        <w:tc>
          <w:tcPr>
            <w:tcW w:w="349" w:type="pct"/>
            <w:tcBorders>
              <w:top w:val="single" w:sz="4" w:space="0" w:color="auto"/>
              <w:left w:val="nil"/>
              <w:right w:val="nil"/>
            </w:tcBorders>
            <w:shd w:val="clear" w:color="auto" w:fill="auto"/>
          </w:tcPr>
          <w:p w14:paraId="6CF803E2" w14:textId="77777777" w:rsidR="001F30F6" w:rsidRPr="00117487" w:rsidRDefault="001F30F6" w:rsidP="002161E8">
            <w:pPr>
              <w:pStyle w:val="TableText"/>
            </w:pPr>
            <w:r w:rsidRPr="00117487">
              <w:t>34</w:t>
            </w:r>
          </w:p>
        </w:tc>
        <w:tc>
          <w:tcPr>
            <w:tcW w:w="448" w:type="pct"/>
            <w:tcBorders>
              <w:top w:val="single" w:sz="4" w:space="0" w:color="auto"/>
              <w:left w:val="nil"/>
              <w:right w:val="nil"/>
            </w:tcBorders>
            <w:shd w:val="clear" w:color="auto" w:fill="auto"/>
          </w:tcPr>
          <w:p w14:paraId="01B9F469" w14:textId="77777777" w:rsidR="001F30F6" w:rsidRPr="00117487" w:rsidRDefault="001F30F6" w:rsidP="002161E8">
            <w:pPr>
              <w:pStyle w:val="TableText"/>
            </w:pPr>
            <w:r w:rsidRPr="00117487">
              <w:t>20</w:t>
            </w:r>
          </w:p>
        </w:tc>
        <w:tc>
          <w:tcPr>
            <w:tcW w:w="499" w:type="pct"/>
            <w:tcBorders>
              <w:top w:val="single" w:sz="4" w:space="0" w:color="auto"/>
              <w:left w:val="nil"/>
              <w:right w:val="nil"/>
            </w:tcBorders>
            <w:shd w:val="clear" w:color="auto" w:fill="auto"/>
          </w:tcPr>
          <w:p w14:paraId="55E204A2" w14:textId="2E468AE0" w:rsidR="001F30F6" w:rsidRPr="00117487" w:rsidRDefault="001F30F6" w:rsidP="002161E8">
            <w:pPr>
              <w:pStyle w:val="TableText"/>
            </w:pPr>
            <w:r>
              <w:t>182</w:t>
            </w:r>
            <w:r w:rsidR="006141CD" w:rsidRPr="004813E4">
              <w:t xml:space="preserve"> </w:t>
            </w:r>
            <w:r w:rsidR="006141CD" w:rsidRPr="004813E4">
              <w:rPr>
                <w:rStyle w:val="Strong"/>
                <w:vertAlign w:val="superscript"/>
              </w:rPr>
              <w:t>e</w:t>
            </w:r>
          </w:p>
        </w:tc>
        <w:tc>
          <w:tcPr>
            <w:tcW w:w="675" w:type="pct"/>
            <w:tcBorders>
              <w:top w:val="single" w:sz="4" w:space="0" w:color="auto"/>
              <w:left w:val="nil"/>
              <w:right w:val="nil"/>
            </w:tcBorders>
            <w:shd w:val="clear" w:color="auto" w:fill="auto"/>
          </w:tcPr>
          <w:p w14:paraId="5AD8A64D" w14:textId="3927E476" w:rsidR="001F30F6" w:rsidRPr="00117487" w:rsidRDefault="00BC35A0" w:rsidP="002161E8">
            <w:pPr>
              <w:pStyle w:val="TableText"/>
            </w:pPr>
            <w:r>
              <w:rPr>
                <w:noProof/>
              </w:rPr>
              <w:t>Williams and</w:t>
            </w:r>
            <w:r w:rsidR="001F30F6" w:rsidRPr="00117487">
              <w:rPr>
                <w:noProof/>
              </w:rPr>
              <w:t xml:space="preserve"> Hall </w:t>
            </w:r>
            <w:r w:rsidR="001F30F6">
              <w:rPr>
                <w:noProof/>
              </w:rPr>
              <w:t>(19</w:t>
            </w:r>
            <w:r w:rsidR="001F30F6" w:rsidRPr="00117487">
              <w:rPr>
                <w:noProof/>
              </w:rPr>
              <w:t>99)</w:t>
            </w:r>
          </w:p>
        </w:tc>
      </w:tr>
      <w:tr w:rsidR="00C82A93" w:rsidRPr="00BF13F5" w14:paraId="1FAC60CF" w14:textId="77777777" w:rsidTr="00C82A93">
        <w:trPr>
          <w:cantSplit/>
        </w:trPr>
        <w:tc>
          <w:tcPr>
            <w:tcW w:w="3826" w:type="pct"/>
            <w:gridSpan w:val="7"/>
            <w:tcBorders>
              <w:left w:val="nil"/>
              <w:bottom w:val="single" w:sz="4" w:space="0" w:color="auto"/>
              <w:right w:val="nil"/>
            </w:tcBorders>
            <w:shd w:val="clear" w:color="auto" w:fill="auto"/>
          </w:tcPr>
          <w:p w14:paraId="40E78B96" w14:textId="17167927"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0DE2E039" w14:textId="1B5D7CF3" w:rsidR="009061CA" w:rsidRPr="00117487" w:rsidRDefault="009061CA" w:rsidP="002161E8">
            <w:pPr>
              <w:pStyle w:val="TableText"/>
              <w:rPr>
                <w:b/>
              </w:rPr>
            </w:pPr>
            <w:r w:rsidRPr="00117487">
              <w:rPr>
                <w:b/>
              </w:rPr>
              <w:t>36</w:t>
            </w:r>
            <w:r>
              <w:rPr>
                <w:b/>
              </w:rPr>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53C09F4E" w14:textId="422C6F7D" w:rsidR="009061CA" w:rsidRPr="00117487" w:rsidRDefault="009061CA" w:rsidP="002161E8">
            <w:pPr>
              <w:pStyle w:val="TableText"/>
              <w:rPr>
                <w:b/>
              </w:rPr>
            </w:pPr>
            <w:r w:rsidRPr="00117487">
              <w:rPr>
                <w:b/>
              </w:rPr>
              <w:t>VALUE USED IN SSD</w:t>
            </w:r>
          </w:p>
        </w:tc>
      </w:tr>
      <w:tr w:rsidR="00160F86" w:rsidRPr="00BF13F5" w14:paraId="03D5C0E8" w14:textId="77777777" w:rsidTr="00C82A93">
        <w:trPr>
          <w:cantSplit/>
        </w:trPr>
        <w:tc>
          <w:tcPr>
            <w:tcW w:w="650" w:type="pct"/>
            <w:tcBorders>
              <w:top w:val="single" w:sz="4" w:space="0" w:color="auto"/>
              <w:left w:val="nil"/>
              <w:right w:val="nil"/>
            </w:tcBorders>
            <w:shd w:val="clear" w:color="auto" w:fill="auto"/>
          </w:tcPr>
          <w:p w14:paraId="6B4AF4FF" w14:textId="6CA5A814" w:rsidR="001F30F6" w:rsidRDefault="009061CA" w:rsidP="002161E8">
            <w:pPr>
              <w:pStyle w:val="TableText"/>
            </w:pPr>
            <w:r w:rsidRPr="00117487">
              <w:t>Mollusc</w:t>
            </w:r>
          </w:p>
          <w:p w14:paraId="330AA723" w14:textId="35A5DB24"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3ABABD8F" w14:textId="62FA00D4" w:rsidR="001F30F6" w:rsidRPr="00BF7913" w:rsidRDefault="001F30F6" w:rsidP="00BC35A0">
            <w:pPr>
              <w:pStyle w:val="TableText"/>
            </w:pPr>
            <w:r w:rsidRPr="007D3764">
              <w:rPr>
                <w:rStyle w:val="Emphasis"/>
              </w:rPr>
              <w:t xml:space="preserve">Mytilus </w:t>
            </w:r>
            <w:proofErr w:type="spellStart"/>
            <w:r w:rsidRPr="007D3764">
              <w:rPr>
                <w:rStyle w:val="Emphasis"/>
              </w:rPr>
              <w:t>trossulus</w:t>
            </w:r>
            <w:proofErr w:type="spellEnd"/>
          </w:p>
        </w:tc>
        <w:tc>
          <w:tcPr>
            <w:tcW w:w="599" w:type="pct"/>
            <w:tcBorders>
              <w:top w:val="single" w:sz="4" w:space="0" w:color="auto"/>
              <w:left w:val="nil"/>
              <w:right w:val="nil"/>
            </w:tcBorders>
            <w:shd w:val="clear" w:color="auto" w:fill="auto"/>
          </w:tcPr>
          <w:p w14:paraId="2906FA9B" w14:textId="77777777" w:rsidR="001F30F6" w:rsidRPr="00117487" w:rsidRDefault="001F30F6" w:rsidP="002161E8">
            <w:pPr>
              <w:pStyle w:val="TableText"/>
            </w:pPr>
            <w:r w:rsidRPr="00117487">
              <w:t>Embryo</w:t>
            </w:r>
          </w:p>
        </w:tc>
        <w:tc>
          <w:tcPr>
            <w:tcW w:w="448" w:type="pct"/>
            <w:tcBorders>
              <w:top w:val="single" w:sz="4" w:space="0" w:color="auto"/>
              <w:left w:val="nil"/>
              <w:right w:val="nil"/>
            </w:tcBorders>
            <w:shd w:val="clear" w:color="auto" w:fill="auto"/>
          </w:tcPr>
          <w:p w14:paraId="0BC8D61E" w14:textId="77777777" w:rsidR="001F30F6" w:rsidRPr="00117487" w:rsidRDefault="001F30F6" w:rsidP="002161E8">
            <w:pPr>
              <w:pStyle w:val="TableText"/>
            </w:pPr>
            <w:r w:rsidRPr="00117487">
              <w:t>2</w:t>
            </w:r>
          </w:p>
        </w:tc>
        <w:tc>
          <w:tcPr>
            <w:tcW w:w="648" w:type="pct"/>
            <w:tcBorders>
              <w:top w:val="single" w:sz="4" w:space="0" w:color="auto"/>
              <w:left w:val="nil"/>
              <w:right w:val="nil"/>
            </w:tcBorders>
            <w:shd w:val="clear" w:color="auto" w:fill="auto"/>
          </w:tcPr>
          <w:p w14:paraId="3AAA1FB7" w14:textId="77777777" w:rsidR="009061CA" w:rsidRDefault="001F30F6" w:rsidP="009061CA">
            <w:pPr>
              <w:pStyle w:val="TableText"/>
            </w:pPr>
            <w:r w:rsidRPr="00117487">
              <w:t>EC20</w:t>
            </w:r>
          </w:p>
          <w:p w14:paraId="32CAED27" w14:textId="2B8F7B16" w:rsidR="001F30F6" w:rsidRPr="00117487" w:rsidRDefault="001F30F6" w:rsidP="009061CA">
            <w:pPr>
              <w:pStyle w:val="TableText"/>
            </w:pPr>
            <w:r w:rsidRPr="00117487">
              <w:t>(Development)</w:t>
            </w:r>
          </w:p>
        </w:tc>
        <w:tc>
          <w:tcPr>
            <w:tcW w:w="349" w:type="pct"/>
            <w:tcBorders>
              <w:top w:val="single" w:sz="4" w:space="0" w:color="auto"/>
              <w:left w:val="nil"/>
              <w:right w:val="nil"/>
            </w:tcBorders>
            <w:shd w:val="clear" w:color="auto" w:fill="auto"/>
          </w:tcPr>
          <w:p w14:paraId="2DF8CA1C" w14:textId="2A2DF2DD" w:rsidR="001F30F6" w:rsidRPr="00117487" w:rsidRDefault="00CF6008" w:rsidP="002161E8">
            <w:pPr>
              <w:pStyle w:val="TableText"/>
            </w:pPr>
            <w:r>
              <w:t>NR</w:t>
            </w:r>
          </w:p>
        </w:tc>
        <w:tc>
          <w:tcPr>
            <w:tcW w:w="448" w:type="pct"/>
            <w:tcBorders>
              <w:top w:val="single" w:sz="4" w:space="0" w:color="auto"/>
              <w:left w:val="nil"/>
              <w:right w:val="nil"/>
            </w:tcBorders>
            <w:shd w:val="clear" w:color="auto" w:fill="auto"/>
          </w:tcPr>
          <w:p w14:paraId="3C6E5EF3" w14:textId="77777777" w:rsidR="001F30F6" w:rsidRPr="00117487" w:rsidRDefault="001F30F6" w:rsidP="002161E8">
            <w:pPr>
              <w:pStyle w:val="TableText"/>
            </w:pPr>
            <w:r w:rsidRPr="00117487">
              <w:t>20</w:t>
            </w:r>
          </w:p>
        </w:tc>
        <w:tc>
          <w:tcPr>
            <w:tcW w:w="499" w:type="pct"/>
            <w:tcBorders>
              <w:top w:val="single" w:sz="4" w:space="0" w:color="auto"/>
              <w:left w:val="nil"/>
              <w:right w:val="nil"/>
            </w:tcBorders>
            <w:shd w:val="clear" w:color="auto" w:fill="auto"/>
          </w:tcPr>
          <w:p w14:paraId="713D74C1" w14:textId="77777777" w:rsidR="001F30F6" w:rsidRPr="00117487" w:rsidRDefault="001F30F6" w:rsidP="002161E8">
            <w:pPr>
              <w:pStyle w:val="TableText"/>
            </w:pPr>
            <w:r w:rsidRPr="007A227D">
              <w:t>64</w:t>
            </w:r>
          </w:p>
        </w:tc>
        <w:tc>
          <w:tcPr>
            <w:tcW w:w="675" w:type="pct"/>
            <w:tcBorders>
              <w:top w:val="single" w:sz="4" w:space="0" w:color="auto"/>
              <w:left w:val="nil"/>
              <w:right w:val="nil"/>
            </w:tcBorders>
            <w:shd w:val="clear" w:color="auto" w:fill="auto"/>
          </w:tcPr>
          <w:p w14:paraId="5DB50034" w14:textId="77777777" w:rsidR="001F30F6" w:rsidRPr="00117487" w:rsidRDefault="001F30F6" w:rsidP="002161E8">
            <w:pPr>
              <w:pStyle w:val="TableText"/>
            </w:pPr>
            <w:r w:rsidRPr="00117487">
              <w:rPr>
                <w:noProof/>
              </w:rPr>
              <w:t xml:space="preserve">Nadella et al. </w:t>
            </w:r>
            <w:r>
              <w:rPr>
                <w:noProof/>
              </w:rPr>
              <w:t>(20</w:t>
            </w:r>
            <w:r w:rsidRPr="00117487">
              <w:rPr>
                <w:noProof/>
              </w:rPr>
              <w:t>09)</w:t>
            </w:r>
          </w:p>
        </w:tc>
      </w:tr>
      <w:tr w:rsidR="00C82A93" w:rsidRPr="00BF13F5" w14:paraId="4BCD5308" w14:textId="77777777" w:rsidTr="00C82A93">
        <w:trPr>
          <w:cantSplit/>
        </w:trPr>
        <w:tc>
          <w:tcPr>
            <w:tcW w:w="3826" w:type="pct"/>
            <w:gridSpan w:val="7"/>
            <w:tcBorders>
              <w:left w:val="nil"/>
              <w:bottom w:val="single" w:sz="4" w:space="0" w:color="auto"/>
              <w:right w:val="nil"/>
            </w:tcBorders>
            <w:shd w:val="clear" w:color="auto" w:fill="auto"/>
          </w:tcPr>
          <w:p w14:paraId="27D260D6" w14:textId="7AEA2833"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4CD9AA04" w14:textId="77777777" w:rsidR="009061CA" w:rsidRPr="00117487" w:rsidRDefault="009061CA" w:rsidP="002161E8">
            <w:pPr>
              <w:pStyle w:val="TableText"/>
              <w:rPr>
                <w:b/>
              </w:rPr>
            </w:pPr>
            <w:r w:rsidRPr="00117487">
              <w:rPr>
                <w:b/>
              </w:rPr>
              <w:t>64</w:t>
            </w:r>
          </w:p>
        </w:tc>
        <w:tc>
          <w:tcPr>
            <w:tcW w:w="675" w:type="pct"/>
            <w:tcBorders>
              <w:left w:val="nil"/>
              <w:bottom w:val="single" w:sz="4" w:space="0" w:color="auto"/>
              <w:right w:val="nil"/>
            </w:tcBorders>
            <w:shd w:val="clear" w:color="auto" w:fill="auto"/>
          </w:tcPr>
          <w:p w14:paraId="555C2A3D" w14:textId="3744CACA" w:rsidR="009061CA" w:rsidRPr="00117487" w:rsidRDefault="009061CA" w:rsidP="002161E8">
            <w:pPr>
              <w:pStyle w:val="TableText"/>
              <w:rPr>
                <w:b/>
              </w:rPr>
            </w:pPr>
            <w:r w:rsidRPr="00117487">
              <w:rPr>
                <w:b/>
              </w:rPr>
              <w:t>VALUE USED IN SSD</w:t>
            </w:r>
          </w:p>
        </w:tc>
      </w:tr>
      <w:tr w:rsidR="00160F86" w:rsidRPr="00BF13F5" w14:paraId="2C84DA66" w14:textId="77777777" w:rsidTr="00C82A93">
        <w:trPr>
          <w:cantSplit/>
        </w:trPr>
        <w:tc>
          <w:tcPr>
            <w:tcW w:w="650" w:type="pct"/>
            <w:tcBorders>
              <w:top w:val="single" w:sz="4" w:space="0" w:color="auto"/>
              <w:left w:val="nil"/>
              <w:right w:val="nil"/>
            </w:tcBorders>
            <w:shd w:val="clear" w:color="auto" w:fill="auto"/>
          </w:tcPr>
          <w:p w14:paraId="1A23A21E" w14:textId="3FCADBD5" w:rsidR="001F30F6" w:rsidRDefault="009061CA" w:rsidP="002161E8">
            <w:pPr>
              <w:pStyle w:val="TableText"/>
            </w:pPr>
            <w:r w:rsidRPr="00117487">
              <w:t>Mollusc</w:t>
            </w:r>
          </w:p>
          <w:p w14:paraId="1EF730D3" w14:textId="640F2480" w:rsidR="009C37B1" w:rsidRPr="00117487" w:rsidRDefault="009C37B1" w:rsidP="002161E8">
            <w:pPr>
              <w:pStyle w:val="TableText"/>
            </w:pPr>
            <w:r>
              <w:t>(Mollusca)</w:t>
            </w:r>
          </w:p>
        </w:tc>
        <w:tc>
          <w:tcPr>
            <w:tcW w:w="684" w:type="pct"/>
            <w:tcBorders>
              <w:top w:val="single" w:sz="4" w:space="0" w:color="auto"/>
              <w:left w:val="nil"/>
              <w:right w:val="nil"/>
            </w:tcBorders>
            <w:shd w:val="clear" w:color="auto" w:fill="auto"/>
          </w:tcPr>
          <w:p w14:paraId="0C18DD1B" w14:textId="2BFEBDF4" w:rsidR="001F30F6" w:rsidRPr="00BF7913" w:rsidRDefault="001F30F6" w:rsidP="00BC35A0">
            <w:pPr>
              <w:pStyle w:val="TableText"/>
            </w:pPr>
            <w:r w:rsidRPr="007D3764">
              <w:rPr>
                <w:rStyle w:val="Emphasis"/>
              </w:rPr>
              <w:t>Saccostrea glomerata</w:t>
            </w:r>
          </w:p>
        </w:tc>
        <w:tc>
          <w:tcPr>
            <w:tcW w:w="599" w:type="pct"/>
            <w:tcBorders>
              <w:top w:val="single" w:sz="4" w:space="0" w:color="auto"/>
              <w:left w:val="nil"/>
              <w:right w:val="nil"/>
            </w:tcBorders>
            <w:shd w:val="clear" w:color="auto" w:fill="auto"/>
          </w:tcPr>
          <w:p w14:paraId="30E70F1B" w14:textId="77777777" w:rsidR="001F30F6" w:rsidRPr="00117487" w:rsidRDefault="001F30F6" w:rsidP="002161E8">
            <w:pPr>
              <w:pStyle w:val="TableText"/>
            </w:pPr>
            <w:r w:rsidRPr="00117487">
              <w:t>Larvae</w:t>
            </w:r>
          </w:p>
        </w:tc>
        <w:tc>
          <w:tcPr>
            <w:tcW w:w="448" w:type="pct"/>
            <w:tcBorders>
              <w:top w:val="single" w:sz="4" w:space="0" w:color="auto"/>
              <w:left w:val="nil"/>
              <w:right w:val="nil"/>
            </w:tcBorders>
            <w:shd w:val="clear" w:color="auto" w:fill="auto"/>
          </w:tcPr>
          <w:p w14:paraId="2B3B3E6D" w14:textId="77777777" w:rsidR="001F30F6" w:rsidRPr="00117487" w:rsidRDefault="001F30F6" w:rsidP="002161E8">
            <w:pPr>
              <w:pStyle w:val="TableText"/>
            </w:pPr>
            <w:r w:rsidRPr="00117487">
              <w:t>14</w:t>
            </w:r>
          </w:p>
        </w:tc>
        <w:tc>
          <w:tcPr>
            <w:tcW w:w="648" w:type="pct"/>
            <w:tcBorders>
              <w:top w:val="single" w:sz="4" w:space="0" w:color="auto"/>
              <w:left w:val="nil"/>
              <w:right w:val="nil"/>
            </w:tcBorders>
            <w:shd w:val="clear" w:color="auto" w:fill="auto"/>
          </w:tcPr>
          <w:p w14:paraId="37D45108" w14:textId="77777777" w:rsidR="009061CA" w:rsidRDefault="001F30F6" w:rsidP="009061CA">
            <w:pPr>
              <w:pStyle w:val="TableText"/>
            </w:pPr>
            <w:r w:rsidRPr="00117487">
              <w:t>LC50</w:t>
            </w:r>
          </w:p>
          <w:p w14:paraId="1AD6973E" w14:textId="673573AD" w:rsidR="001F30F6" w:rsidRPr="00117487" w:rsidRDefault="001F30F6" w:rsidP="009061CA">
            <w:pPr>
              <w:pStyle w:val="TableText"/>
            </w:pPr>
            <w:r w:rsidRPr="00117487">
              <w:t>(Mortality)</w:t>
            </w:r>
          </w:p>
        </w:tc>
        <w:tc>
          <w:tcPr>
            <w:tcW w:w="349" w:type="pct"/>
            <w:tcBorders>
              <w:top w:val="single" w:sz="4" w:space="0" w:color="auto"/>
              <w:left w:val="nil"/>
              <w:right w:val="nil"/>
            </w:tcBorders>
            <w:shd w:val="clear" w:color="auto" w:fill="auto"/>
          </w:tcPr>
          <w:p w14:paraId="3574EF7B" w14:textId="77777777" w:rsidR="001F30F6" w:rsidRPr="00117487" w:rsidRDefault="001F30F6" w:rsidP="002161E8">
            <w:pPr>
              <w:pStyle w:val="TableText"/>
            </w:pPr>
            <w:r w:rsidRPr="00117487">
              <w:t>34</w:t>
            </w:r>
          </w:p>
        </w:tc>
        <w:tc>
          <w:tcPr>
            <w:tcW w:w="448" w:type="pct"/>
            <w:tcBorders>
              <w:top w:val="single" w:sz="4" w:space="0" w:color="auto"/>
              <w:left w:val="nil"/>
              <w:right w:val="nil"/>
            </w:tcBorders>
            <w:shd w:val="clear" w:color="auto" w:fill="auto"/>
          </w:tcPr>
          <w:p w14:paraId="6213FFDF" w14:textId="77777777" w:rsidR="001F30F6" w:rsidRPr="00117487" w:rsidRDefault="001F30F6" w:rsidP="002161E8">
            <w:pPr>
              <w:pStyle w:val="TableText"/>
            </w:pPr>
            <w:r w:rsidRPr="00117487">
              <w:t>20</w:t>
            </w:r>
          </w:p>
        </w:tc>
        <w:tc>
          <w:tcPr>
            <w:tcW w:w="499" w:type="pct"/>
            <w:tcBorders>
              <w:top w:val="single" w:sz="4" w:space="0" w:color="auto"/>
              <w:left w:val="nil"/>
              <w:right w:val="nil"/>
            </w:tcBorders>
            <w:shd w:val="clear" w:color="auto" w:fill="auto"/>
          </w:tcPr>
          <w:p w14:paraId="344C0513" w14:textId="5F029089" w:rsidR="001F30F6" w:rsidRPr="00117487" w:rsidRDefault="00FE2D2D" w:rsidP="002161E8">
            <w:pPr>
              <w:pStyle w:val="TableText"/>
            </w:pPr>
            <w:r>
              <w:t>10 </w:t>
            </w:r>
            <w:r w:rsidR="001F30F6">
              <w:t>700</w:t>
            </w:r>
          </w:p>
        </w:tc>
        <w:tc>
          <w:tcPr>
            <w:tcW w:w="675" w:type="pct"/>
            <w:tcBorders>
              <w:top w:val="single" w:sz="4" w:space="0" w:color="auto"/>
              <w:left w:val="nil"/>
              <w:right w:val="nil"/>
            </w:tcBorders>
            <w:shd w:val="clear" w:color="auto" w:fill="auto"/>
          </w:tcPr>
          <w:p w14:paraId="636B756E" w14:textId="77777777" w:rsidR="001F30F6" w:rsidRPr="00117487" w:rsidRDefault="001F30F6" w:rsidP="002161E8">
            <w:pPr>
              <w:pStyle w:val="TableText"/>
            </w:pPr>
            <w:r w:rsidRPr="00117487">
              <w:rPr>
                <w:noProof/>
              </w:rPr>
              <w:t xml:space="preserve">Butterfield </w:t>
            </w:r>
            <w:r>
              <w:rPr>
                <w:noProof/>
              </w:rPr>
              <w:t>(19</w:t>
            </w:r>
            <w:r w:rsidRPr="00117487">
              <w:rPr>
                <w:noProof/>
              </w:rPr>
              <w:t>87)</w:t>
            </w:r>
          </w:p>
        </w:tc>
      </w:tr>
      <w:tr w:rsidR="00C82A93" w:rsidRPr="00BF13F5" w14:paraId="5EB2C307" w14:textId="77777777" w:rsidTr="00C82A93">
        <w:trPr>
          <w:cantSplit/>
        </w:trPr>
        <w:tc>
          <w:tcPr>
            <w:tcW w:w="3826" w:type="pct"/>
            <w:gridSpan w:val="7"/>
            <w:tcBorders>
              <w:left w:val="nil"/>
              <w:bottom w:val="single" w:sz="4" w:space="0" w:color="auto"/>
              <w:right w:val="nil"/>
            </w:tcBorders>
            <w:shd w:val="clear" w:color="auto" w:fill="auto"/>
          </w:tcPr>
          <w:p w14:paraId="543052E6" w14:textId="4287C3A0" w:rsidR="009061CA" w:rsidRPr="00117487" w:rsidRDefault="007D3764" w:rsidP="002161E8">
            <w:pPr>
              <w:pStyle w:val="TableText"/>
            </w:pPr>
            <w:r>
              <w:t>–</w:t>
            </w:r>
          </w:p>
        </w:tc>
        <w:tc>
          <w:tcPr>
            <w:tcW w:w="499" w:type="pct"/>
            <w:tcBorders>
              <w:left w:val="nil"/>
              <w:bottom w:val="single" w:sz="4" w:space="0" w:color="auto"/>
              <w:right w:val="nil"/>
            </w:tcBorders>
            <w:shd w:val="clear" w:color="auto" w:fill="auto"/>
          </w:tcPr>
          <w:p w14:paraId="5CE92CA0" w14:textId="006FCD69" w:rsidR="009061CA" w:rsidRPr="00117487" w:rsidRDefault="009061CA" w:rsidP="002161E8">
            <w:pPr>
              <w:pStyle w:val="TableText"/>
              <w:rPr>
                <w:b/>
              </w:rPr>
            </w:pPr>
            <w:r w:rsidRPr="00117487">
              <w:rPr>
                <w:b/>
              </w:rPr>
              <w:t>2</w:t>
            </w:r>
            <w:r w:rsidR="00FE2D2D">
              <w:rPr>
                <w:b/>
              </w:rPr>
              <w:t> </w:t>
            </w:r>
            <w:r w:rsidRPr="00117487">
              <w:rPr>
                <w:b/>
              </w:rPr>
              <w:t>080</w:t>
            </w:r>
            <w:r>
              <w:rPr>
                <w:b/>
              </w:rPr>
              <w:t xml:space="preserve"> </w:t>
            </w:r>
            <w:r w:rsidRPr="007D3764">
              <w:rPr>
                <w:rStyle w:val="Strong"/>
                <w:vertAlign w:val="superscript"/>
              </w:rPr>
              <w:t>b</w:t>
            </w:r>
          </w:p>
        </w:tc>
        <w:tc>
          <w:tcPr>
            <w:tcW w:w="675" w:type="pct"/>
            <w:tcBorders>
              <w:left w:val="nil"/>
              <w:bottom w:val="single" w:sz="4" w:space="0" w:color="auto"/>
              <w:right w:val="nil"/>
            </w:tcBorders>
            <w:shd w:val="clear" w:color="auto" w:fill="auto"/>
          </w:tcPr>
          <w:p w14:paraId="7861E59D" w14:textId="0856B2F8" w:rsidR="009061CA" w:rsidRPr="00117487" w:rsidRDefault="009061CA" w:rsidP="002161E8">
            <w:pPr>
              <w:pStyle w:val="TableText"/>
              <w:rPr>
                <w:b/>
              </w:rPr>
            </w:pPr>
            <w:r w:rsidRPr="00117487">
              <w:rPr>
                <w:b/>
              </w:rPr>
              <w:t>VALUE USED IN SSD</w:t>
            </w:r>
          </w:p>
        </w:tc>
      </w:tr>
    </w:tbl>
    <w:p w14:paraId="7A8C8030" w14:textId="7B1EA918" w:rsidR="002161E8" w:rsidRDefault="002161E8" w:rsidP="007766E9">
      <w:pPr>
        <w:pStyle w:val="FigureTableNoteSource"/>
      </w:pPr>
      <w:r>
        <w:t>NR = not reported.</w:t>
      </w:r>
    </w:p>
    <w:p w14:paraId="14414E61" w14:textId="77777777" w:rsidR="007766E9" w:rsidRDefault="001F30F6" w:rsidP="007766E9">
      <w:pPr>
        <w:pStyle w:val="FigureTableNoteSource"/>
      </w:pPr>
      <w:r w:rsidRPr="007D3764">
        <w:rPr>
          <w:rStyle w:val="Strong"/>
        </w:rPr>
        <w:t>a</w:t>
      </w:r>
      <w:r w:rsidRPr="001F30F6">
        <w:t xml:space="preserve"> Values were chronic LOEC values that were converted to chronic NOEC/EC10 values by dividing by 2.5 (Warne et al. 2018). </w:t>
      </w:r>
    </w:p>
    <w:p w14:paraId="51C54624" w14:textId="77777777" w:rsidR="007766E9" w:rsidRDefault="001F30F6" w:rsidP="007766E9">
      <w:pPr>
        <w:pStyle w:val="FigureTableNoteSource"/>
      </w:pPr>
      <w:r w:rsidRPr="007D3764">
        <w:rPr>
          <w:rStyle w:val="Strong"/>
        </w:rPr>
        <w:t>b</w:t>
      </w:r>
      <w:r w:rsidRPr="001F30F6">
        <w:t xml:space="preserve"> Values were chronic LC/EC50 values that were converted to chronic NOEC/EC10 values by dividing by 5 (Warne et al. 2018). </w:t>
      </w:r>
    </w:p>
    <w:p w14:paraId="1662BA61" w14:textId="617DE698" w:rsidR="004719F4" w:rsidRDefault="007D3764" w:rsidP="007766E9">
      <w:pPr>
        <w:pStyle w:val="FigureTableNoteSource"/>
      </w:pPr>
      <w:r w:rsidRPr="007D3764">
        <w:rPr>
          <w:rStyle w:val="Strong"/>
        </w:rPr>
        <w:t>c</w:t>
      </w:r>
      <w:r w:rsidR="001F30F6" w:rsidRPr="001F30F6">
        <w:t xml:space="preserve"> </w:t>
      </w:r>
      <w:r w:rsidR="004719F4">
        <w:t>Value represents a geometric mean of three NOEC</w:t>
      </w:r>
      <w:r w:rsidR="006141CD">
        <w:t xml:space="preserve"> value</w:t>
      </w:r>
      <w:r w:rsidR="004719F4">
        <w:t>s</w:t>
      </w:r>
      <w:r w:rsidR="006F4DDB">
        <w:t xml:space="preserve"> (1</w:t>
      </w:r>
      <w:r w:rsidR="004813E4">
        <w:t> </w:t>
      </w:r>
      <w:r w:rsidR="006F4DDB">
        <w:t>730, 2</w:t>
      </w:r>
      <w:r w:rsidR="004813E4">
        <w:t> </w:t>
      </w:r>
      <w:r w:rsidR="006F4DDB">
        <w:t>030, 5</w:t>
      </w:r>
      <w:r w:rsidR="004813E4">
        <w:t> </w:t>
      </w:r>
      <w:r w:rsidR="006F4DDB">
        <w:t xml:space="preserve">500 </w:t>
      </w:r>
      <w:proofErr w:type="spellStart"/>
      <w:r w:rsidR="006F4DDB">
        <w:t>μg</w:t>
      </w:r>
      <w:proofErr w:type="spellEnd"/>
      <w:r w:rsidR="006F4DDB">
        <w:t>/L)</w:t>
      </w:r>
      <w:r w:rsidR="004719F4">
        <w:t>.</w:t>
      </w:r>
    </w:p>
    <w:p w14:paraId="0A5AB5A6" w14:textId="59B9422E" w:rsidR="001F30F6" w:rsidRDefault="004719F4" w:rsidP="007766E9">
      <w:pPr>
        <w:pStyle w:val="FigureTableNoteSource"/>
      </w:pPr>
      <w:r w:rsidRPr="004813E4">
        <w:rPr>
          <w:rStyle w:val="Strong"/>
        </w:rPr>
        <w:t>d</w:t>
      </w:r>
      <w:r w:rsidRPr="004719F4">
        <w:rPr>
          <w:b/>
          <w:bCs/>
        </w:rPr>
        <w:t xml:space="preserve"> </w:t>
      </w:r>
      <w:r w:rsidR="00B10B38" w:rsidRPr="001F30F6">
        <w:t>Th</w:t>
      </w:r>
      <w:r w:rsidR="00B10B38">
        <w:t>e</w:t>
      </w:r>
      <w:r w:rsidR="00B10B38" w:rsidRPr="001F30F6">
        <w:t xml:space="preserve"> </w:t>
      </w:r>
      <w:r w:rsidR="001F30F6" w:rsidRPr="001F30F6">
        <w:t xml:space="preserve">LC10 value was derived by </w:t>
      </w:r>
      <w:proofErr w:type="spellStart"/>
      <w:r w:rsidR="001F30F6" w:rsidRPr="001F30F6">
        <w:t>Maycock</w:t>
      </w:r>
      <w:proofErr w:type="spellEnd"/>
      <w:r w:rsidR="001F30F6" w:rsidRPr="001F30F6">
        <w:t xml:space="preserve"> et al. (2012) based on the data reported by </w:t>
      </w:r>
      <w:proofErr w:type="spellStart"/>
      <w:r w:rsidR="001F30F6" w:rsidRPr="001F30F6">
        <w:t>Ahsanullah</w:t>
      </w:r>
      <w:proofErr w:type="spellEnd"/>
      <w:r w:rsidR="001F30F6" w:rsidRPr="001F30F6">
        <w:t xml:space="preserve"> </w:t>
      </w:r>
      <w:r w:rsidR="00D35CCF">
        <w:t>and</w:t>
      </w:r>
      <w:r w:rsidR="001F30F6" w:rsidRPr="001F30F6">
        <w:t xml:space="preserve"> Williams (1991) using Toxicity Relationship Analysis Program (TRAP) from the USEPA National Health and Environmental Effects Research Laboratory (NHEERL). See </w:t>
      </w:r>
      <w:proofErr w:type="spellStart"/>
      <w:r w:rsidR="001F30F6" w:rsidRPr="001F30F6">
        <w:t>Maycock</w:t>
      </w:r>
      <w:proofErr w:type="spellEnd"/>
      <w:r w:rsidR="001F30F6" w:rsidRPr="001F30F6">
        <w:t xml:space="preserve"> et al. (2012) for further details.</w:t>
      </w:r>
    </w:p>
    <w:p w14:paraId="7A532DBA" w14:textId="6738CC7B" w:rsidR="004719F4" w:rsidRDefault="004719F4" w:rsidP="004719F4">
      <w:pPr>
        <w:pStyle w:val="FigureTableNoteSource"/>
      </w:pPr>
      <w:r w:rsidRPr="004813E4">
        <w:rPr>
          <w:rStyle w:val="Strong"/>
        </w:rPr>
        <w:t>e</w:t>
      </w:r>
      <w:r w:rsidRPr="004719F4">
        <w:rPr>
          <w:b/>
          <w:bCs/>
        </w:rPr>
        <w:t xml:space="preserve"> </w:t>
      </w:r>
      <w:r>
        <w:t xml:space="preserve">Value represents a geometric mean of 27 </w:t>
      </w:r>
      <w:r w:rsidR="006141CD">
        <w:t>EC50 values</w:t>
      </w:r>
      <w:r w:rsidR="006F4DDB">
        <w:t xml:space="preserve"> (140, 140, 140, 150, 150, 150, 150, 160, 160, 160, 160, 170, 190, 190, 190, 190, 200, 200, 210, 210, 210, 220, 220, 230, 230, 230, 240</w:t>
      </w:r>
      <w:r w:rsidR="004813E4">
        <w:t> </w:t>
      </w:r>
      <w:proofErr w:type="spellStart"/>
      <w:r w:rsidR="006F4DDB">
        <w:t>μg</w:t>
      </w:r>
      <w:proofErr w:type="spellEnd"/>
      <w:r w:rsidR="006F4DDB">
        <w:t>/L)</w:t>
      </w:r>
      <w:r>
        <w:t>.</w:t>
      </w:r>
    </w:p>
    <w:p w14:paraId="194FBC81" w14:textId="77777777" w:rsidR="007D3764" w:rsidRDefault="007D3764" w:rsidP="007D3764">
      <w:pPr>
        <w:rPr>
          <w:highlight w:val="yellow"/>
        </w:rPr>
      </w:pPr>
    </w:p>
    <w:p w14:paraId="22FF71A3" w14:textId="77777777" w:rsidR="007D3764" w:rsidRPr="007D3764" w:rsidRDefault="007D3764" w:rsidP="007D3764">
      <w:pPr>
        <w:rPr>
          <w:highlight w:val="yellow"/>
        </w:rPr>
        <w:sectPr w:rsidR="007D3764" w:rsidRPr="007D3764" w:rsidSect="007336AC">
          <w:headerReference w:type="default" r:id="rId35"/>
          <w:pgSz w:w="16838" w:h="11906" w:orient="landscape"/>
          <w:pgMar w:top="1418" w:right="1418" w:bottom="1418" w:left="1418" w:header="567" w:footer="283" w:gutter="0"/>
          <w:cols w:space="708"/>
          <w:docGrid w:linePitch="360"/>
        </w:sectPr>
      </w:pPr>
    </w:p>
    <w:p w14:paraId="7F685EEE" w14:textId="3B0E6DA9" w:rsidR="00606A7B" w:rsidRDefault="00D35CCF" w:rsidP="00606A7B">
      <w:pPr>
        <w:pStyle w:val="Heading2"/>
        <w:numPr>
          <w:ilvl w:val="0"/>
          <w:numId w:val="0"/>
        </w:numPr>
      </w:pPr>
      <w:bookmarkStart w:id="36" w:name="_Ref528068950"/>
      <w:bookmarkStart w:id="37" w:name="_Toc4498838"/>
      <w:bookmarkStart w:id="38" w:name="_Ref23163662"/>
      <w:bookmarkStart w:id="39" w:name="_Toc34814178"/>
      <w:r w:rsidRPr="00D35CCF">
        <w:lastRenderedPageBreak/>
        <w:t>Appendix C:</w:t>
      </w:r>
      <w:bookmarkEnd w:id="36"/>
      <w:bookmarkEnd w:id="37"/>
      <w:r w:rsidR="001F30F6" w:rsidRPr="001F30F6">
        <w:t xml:space="preserve"> Chronic toxicity data</w:t>
      </w:r>
      <w:r>
        <w:t>,</w:t>
      </w:r>
      <w:r w:rsidR="001F30F6" w:rsidRPr="001F30F6">
        <w:t xml:space="preserve"> New Zealand and Australian species </w:t>
      </w:r>
      <w:r>
        <w:t xml:space="preserve">excluded from default </w:t>
      </w:r>
      <w:r w:rsidR="001F30F6" w:rsidRPr="001F30F6">
        <w:t xml:space="preserve">guideline </w:t>
      </w:r>
      <w:r>
        <w:t xml:space="preserve">value </w:t>
      </w:r>
      <w:r w:rsidR="001F30F6" w:rsidRPr="001F30F6">
        <w:t>derivation</w:t>
      </w:r>
      <w:bookmarkEnd w:id="38"/>
      <w:bookmarkEnd w:id="39"/>
    </w:p>
    <w:p w14:paraId="1E83985D" w14:textId="041070F1" w:rsidR="001F30F6" w:rsidRPr="0018039E" w:rsidRDefault="00B63BA8" w:rsidP="0018039E">
      <w:pPr>
        <w:pStyle w:val="Caption"/>
        <w:rPr>
          <w:lang w:eastAsia="ja-JP"/>
        </w:rPr>
      </w:pPr>
      <w:bookmarkStart w:id="40" w:name="_Toc34643508"/>
      <w:r>
        <w:t>Table C </w:t>
      </w:r>
      <w:r w:rsidR="00586A86">
        <w:fldChar w:fldCharType="begin"/>
      </w:r>
      <w:r w:rsidR="00586A86">
        <w:instrText xml:space="preserve"> SEQ Table_C \* ARABIC </w:instrText>
      </w:r>
      <w:r w:rsidR="00586A86">
        <w:fldChar w:fldCharType="separate"/>
      </w:r>
      <w:r w:rsidR="00A860FE">
        <w:rPr>
          <w:noProof/>
        </w:rPr>
        <w:t>1</w:t>
      </w:r>
      <w:r w:rsidR="00586A86">
        <w:rPr>
          <w:noProof/>
        </w:rPr>
        <w:fldChar w:fldCharType="end"/>
      </w:r>
      <w:r w:rsidR="001A76F2">
        <w:t xml:space="preserve"> </w:t>
      </w:r>
      <w:r w:rsidR="002409E9">
        <w:rPr>
          <w:lang w:eastAsia="ja-JP"/>
        </w:rPr>
        <w:t>Chronic t</w:t>
      </w:r>
      <w:r w:rsidR="00D35CCF">
        <w:rPr>
          <w:lang w:eastAsia="ja-JP"/>
        </w:rPr>
        <w:t xml:space="preserve">oxicity data excluded from </w:t>
      </w:r>
      <w:r w:rsidR="00D35CCF" w:rsidRPr="00D35CCF">
        <w:rPr>
          <w:lang w:eastAsia="ja-JP"/>
        </w:rPr>
        <w:t>default guideline value derivation</w:t>
      </w:r>
      <w:r w:rsidR="00D35CCF">
        <w:rPr>
          <w:lang w:eastAsia="ja-JP"/>
        </w:rPr>
        <w:t>, zinc in marine water</w:t>
      </w:r>
      <w:bookmarkEnd w:id="40"/>
    </w:p>
    <w:tbl>
      <w:tblPr>
        <w:tblW w:w="5000" w:type="pct"/>
        <w:tblBorders>
          <w:top w:val="single" w:sz="4" w:space="0" w:color="auto"/>
          <w:bottom w:val="single" w:sz="4" w:space="0" w:color="auto"/>
          <w:insideH w:val="single" w:sz="4" w:space="0" w:color="auto"/>
        </w:tblBorders>
        <w:tblLook w:val="0000" w:firstRow="0" w:lastRow="0" w:firstColumn="0" w:lastColumn="0" w:noHBand="0" w:noVBand="0"/>
        <w:tblCaption w:val="Chronic toxicity data excluded from default guideline value derivation, zinc in marine water"/>
        <w:tblDescription w:val="Table lists 16 species with their taxonomic group and species name. The different life stages for each species are provided with the following test information: exposure duration, toxicity measure, salinity, temperature, reported toxicity value, final toxicity value, reason for exclusion and reference."/>
      </w:tblPr>
      <w:tblGrid>
        <w:gridCol w:w="1403"/>
        <w:gridCol w:w="1922"/>
        <w:gridCol w:w="1006"/>
        <w:gridCol w:w="829"/>
        <w:gridCol w:w="1337"/>
        <w:gridCol w:w="953"/>
        <w:gridCol w:w="1122"/>
        <w:gridCol w:w="1062"/>
        <w:gridCol w:w="1261"/>
        <w:gridCol w:w="1681"/>
        <w:gridCol w:w="1426"/>
      </w:tblGrid>
      <w:tr w:rsidR="0018039E" w:rsidRPr="00191EC2" w14:paraId="0C231F06" w14:textId="77777777" w:rsidTr="00F73B08">
        <w:trPr>
          <w:cantSplit/>
          <w:tblHeader/>
        </w:trPr>
        <w:tc>
          <w:tcPr>
            <w:tcW w:w="502" w:type="pct"/>
            <w:tcBorders>
              <w:top w:val="single" w:sz="12" w:space="0" w:color="auto"/>
              <w:bottom w:val="single" w:sz="12" w:space="0" w:color="auto"/>
            </w:tcBorders>
            <w:shd w:val="clear" w:color="auto" w:fill="auto"/>
            <w:tcMar>
              <w:left w:w="85" w:type="dxa"/>
              <w:right w:w="57" w:type="dxa"/>
            </w:tcMar>
          </w:tcPr>
          <w:p w14:paraId="57F9589B" w14:textId="562E1065" w:rsidR="001F30F6" w:rsidRPr="00117487" w:rsidRDefault="0018039E" w:rsidP="00B84342">
            <w:pPr>
              <w:pStyle w:val="TableHeading"/>
            </w:pPr>
            <w:r>
              <w:t xml:space="preserve">Taxonomic group </w:t>
            </w:r>
          </w:p>
        </w:tc>
        <w:tc>
          <w:tcPr>
            <w:tcW w:w="687" w:type="pct"/>
            <w:tcBorders>
              <w:top w:val="single" w:sz="12" w:space="0" w:color="auto"/>
              <w:bottom w:val="single" w:sz="12" w:space="0" w:color="auto"/>
            </w:tcBorders>
            <w:shd w:val="clear" w:color="auto" w:fill="auto"/>
            <w:tcMar>
              <w:left w:w="85" w:type="dxa"/>
              <w:right w:w="57" w:type="dxa"/>
            </w:tcMar>
          </w:tcPr>
          <w:p w14:paraId="13C905DB" w14:textId="5EDEEC52" w:rsidR="001F30F6" w:rsidRPr="00117487" w:rsidRDefault="001F30F6" w:rsidP="000F2BA9">
            <w:pPr>
              <w:pStyle w:val="TableHeading"/>
            </w:pPr>
            <w:r w:rsidRPr="00117487">
              <w:t xml:space="preserve">Species </w:t>
            </w:r>
          </w:p>
        </w:tc>
        <w:tc>
          <w:tcPr>
            <w:tcW w:w="356" w:type="pct"/>
            <w:tcBorders>
              <w:top w:val="single" w:sz="12" w:space="0" w:color="auto"/>
              <w:bottom w:val="single" w:sz="12" w:space="0" w:color="auto"/>
            </w:tcBorders>
            <w:shd w:val="clear" w:color="auto" w:fill="auto"/>
            <w:tcMar>
              <w:left w:w="85" w:type="dxa"/>
              <w:right w:w="57" w:type="dxa"/>
            </w:tcMar>
          </w:tcPr>
          <w:p w14:paraId="21F26A58" w14:textId="77777777" w:rsidR="001F30F6" w:rsidRPr="00117487" w:rsidRDefault="001F30F6" w:rsidP="0018039E">
            <w:pPr>
              <w:pStyle w:val="TableHeading"/>
            </w:pPr>
            <w:r w:rsidRPr="00117487">
              <w:t>Life stage</w:t>
            </w:r>
          </w:p>
        </w:tc>
        <w:tc>
          <w:tcPr>
            <w:tcW w:w="293" w:type="pct"/>
            <w:tcBorders>
              <w:top w:val="single" w:sz="12" w:space="0" w:color="auto"/>
              <w:bottom w:val="single" w:sz="12" w:space="0" w:color="auto"/>
            </w:tcBorders>
            <w:shd w:val="clear" w:color="auto" w:fill="auto"/>
            <w:tcMar>
              <w:left w:w="85" w:type="dxa"/>
              <w:right w:w="57" w:type="dxa"/>
            </w:tcMar>
          </w:tcPr>
          <w:p w14:paraId="6BE665E4" w14:textId="77777777" w:rsidR="001F30F6" w:rsidRPr="00117487" w:rsidRDefault="001F30F6" w:rsidP="0018039E">
            <w:pPr>
              <w:pStyle w:val="TableHeading"/>
            </w:pPr>
            <w:r w:rsidRPr="00117487">
              <w:t>Exposure duration (d)</w:t>
            </w:r>
          </w:p>
        </w:tc>
        <w:tc>
          <w:tcPr>
            <w:tcW w:w="478" w:type="pct"/>
            <w:tcBorders>
              <w:top w:val="single" w:sz="12" w:space="0" w:color="auto"/>
              <w:bottom w:val="single" w:sz="12" w:space="0" w:color="auto"/>
            </w:tcBorders>
            <w:shd w:val="clear" w:color="auto" w:fill="auto"/>
          </w:tcPr>
          <w:p w14:paraId="00DFD750" w14:textId="37ABC997" w:rsidR="001F30F6" w:rsidRPr="00117487" w:rsidRDefault="001F30F6" w:rsidP="0018039E">
            <w:pPr>
              <w:pStyle w:val="TableHeading"/>
            </w:pPr>
            <w:r w:rsidRPr="00117487">
              <w:t>Toxicity measure (</w:t>
            </w:r>
            <w:r w:rsidR="0018039E">
              <w:t>t</w:t>
            </w:r>
            <w:r w:rsidRPr="00117487">
              <w:t>est endpoint)</w:t>
            </w:r>
          </w:p>
        </w:tc>
        <w:tc>
          <w:tcPr>
            <w:tcW w:w="341" w:type="pct"/>
            <w:tcBorders>
              <w:top w:val="single" w:sz="12" w:space="0" w:color="auto"/>
              <w:bottom w:val="single" w:sz="12" w:space="0" w:color="auto"/>
            </w:tcBorders>
            <w:shd w:val="clear" w:color="auto" w:fill="auto"/>
            <w:tcMar>
              <w:left w:w="85" w:type="dxa"/>
              <w:right w:w="57" w:type="dxa"/>
            </w:tcMar>
          </w:tcPr>
          <w:p w14:paraId="2653D8BA" w14:textId="77777777" w:rsidR="001F30F6" w:rsidRPr="00117487" w:rsidRDefault="001F30F6" w:rsidP="0018039E">
            <w:pPr>
              <w:pStyle w:val="TableHeading"/>
            </w:pPr>
            <w:r w:rsidRPr="00117487">
              <w:t>Salinity (</w:t>
            </w:r>
            <w:r>
              <w:t>ppt</w:t>
            </w:r>
            <w:r w:rsidRPr="00117487">
              <w:t>)</w:t>
            </w:r>
          </w:p>
        </w:tc>
        <w:tc>
          <w:tcPr>
            <w:tcW w:w="400" w:type="pct"/>
            <w:tcBorders>
              <w:top w:val="single" w:sz="12" w:space="0" w:color="auto"/>
              <w:bottom w:val="single" w:sz="12" w:space="0" w:color="auto"/>
            </w:tcBorders>
            <w:shd w:val="clear" w:color="auto" w:fill="auto"/>
            <w:tcMar>
              <w:left w:w="85" w:type="dxa"/>
              <w:right w:w="57" w:type="dxa"/>
            </w:tcMar>
          </w:tcPr>
          <w:p w14:paraId="79AE280B" w14:textId="5461792D" w:rsidR="001F30F6" w:rsidRPr="00117487" w:rsidRDefault="001F30F6" w:rsidP="0018039E">
            <w:pPr>
              <w:pStyle w:val="TableHeading"/>
            </w:pPr>
            <w:r w:rsidRPr="00117487">
              <w:t>Temp</w:t>
            </w:r>
            <w:r w:rsidR="0018039E">
              <w:t>erature</w:t>
            </w:r>
            <w:r w:rsidRPr="00117487">
              <w:t xml:space="preserve"> (</w:t>
            </w:r>
            <w:r w:rsidRPr="00117487">
              <w:sym w:font="Symbol" w:char="F0B0"/>
            </w:r>
            <w:r w:rsidRPr="00117487">
              <w:t>C)</w:t>
            </w:r>
          </w:p>
        </w:tc>
        <w:tc>
          <w:tcPr>
            <w:tcW w:w="380" w:type="pct"/>
            <w:tcBorders>
              <w:top w:val="single" w:sz="12" w:space="0" w:color="auto"/>
              <w:bottom w:val="single" w:sz="12" w:space="0" w:color="auto"/>
            </w:tcBorders>
            <w:shd w:val="clear" w:color="auto" w:fill="auto"/>
            <w:tcMar>
              <w:left w:w="85" w:type="dxa"/>
              <w:right w:w="57" w:type="dxa"/>
            </w:tcMar>
          </w:tcPr>
          <w:p w14:paraId="2943167C" w14:textId="3A728C97" w:rsidR="001F30F6" w:rsidRPr="00117487" w:rsidRDefault="002409E9" w:rsidP="0018039E">
            <w:pPr>
              <w:pStyle w:val="TableHeading"/>
            </w:pPr>
            <w:r>
              <w:t>Reported t</w:t>
            </w:r>
            <w:r w:rsidRPr="00117487">
              <w:t xml:space="preserve">oxicity </w:t>
            </w:r>
            <w:r w:rsidR="001F30F6" w:rsidRPr="00117487">
              <w:t>value (µg/L)</w:t>
            </w:r>
          </w:p>
        </w:tc>
        <w:tc>
          <w:tcPr>
            <w:tcW w:w="451" w:type="pct"/>
            <w:tcBorders>
              <w:top w:val="single" w:sz="12" w:space="0" w:color="auto"/>
              <w:bottom w:val="single" w:sz="12" w:space="0" w:color="auto"/>
            </w:tcBorders>
            <w:shd w:val="clear" w:color="auto" w:fill="auto"/>
            <w:tcMar>
              <w:left w:w="85" w:type="dxa"/>
              <w:right w:w="57" w:type="dxa"/>
            </w:tcMar>
          </w:tcPr>
          <w:p w14:paraId="0DC26519" w14:textId="473FD1E5" w:rsidR="001F30F6" w:rsidRPr="00117487" w:rsidRDefault="007D1FD6" w:rsidP="0018039E">
            <w:pPr>
              <w:pStyle w:val="TableHeading"/>
            </w:pPr>
            <w:r>
              <w:t>Final toxicity</w:t>
            </w:r>
            <w:r w:rsidR="002409E9">
              <w:t xml:space="preserve"> value</w:t>
            </w:r>
            <w:r w:rsidR="001F30F6" w:rsidRPr="00117487">
              <w:t xml:space="preserve"> (µg/L)</w:t>
            </w:r>
          </w:p>
        </w:tc>
        <w:tc>
          <w:tcPr>
            <w:tcW w:w="601" w:type="pct"/>
            <w:tcBorders>
              <w:top w:val="single" w:sz="12" w:space="0" w:color="auto"/>
              <w:bottom w:val="single" w:sz="12" w:space="0" w:color="auto"/>
            </w:tcBorders>
            <w:shd w:val="clear" w:color="auto" w:fill="auto"/>
            <w:tcMar>
              <w:left w:w="85" w:type="dxa"/>
              <w:right w:w="57" w:type="dxa"/>
            </w:tcMar>
          </w:tcPr>
          <w:p w14:paraId="75AD1F95" w14:textId="77777777" w:rsidR="001F30F6" w:rsidRPr="00117487" w:rsidRDefault="001F30F6" w:rsidP="0018039E">
            <w:pPr>
              <w:pStyle w:val="TableHeading"/>
            </w:pPr>
            <w:r w:rsidRPr="00117487">
              <w:t>Reason for exclusion</w:t>
            </w:r>
          </w:p>
        </w:tc>
        <w:tc>
          <w:tcPr>
            <w:tcW w:w="510" w:type="pct"/>
            <w:tcBorders>
              <w:top w:val="single" w:sz="12" w:space="0" w:color="auto"/>
              <w:bottom w:val="single" w:sz="12" w:space="0" w:color="auto"/>
            </w:tcBorders>
            <w:shd w:val="clear" w:color="auto" w:fill="auto"/>
            <w:tcMar>
              <w:left w:w="85" w:type="dxa"/>
              <w:right w:w="57" w:type="dxa"/>
            </w:tcMar>
          </w:tcPr>
          <w:p w14:paraId="0DA19D7B" w14:textId="77777777" w:rsidR="001F30F6" w:rsidRPr="00117487" w:rsidRDefault="001F30F6" w:rsidP="0018039E">
            <w:pPr>
              <w:pStyle w:val="TableHeading"/>
            </w:pPr>
            <w:r w:rsidRPr="00117487">
              <w:t>Ref</w:t>
            </w:r>
            <w:r>
              <w:t>erence</w:t>
            </w:r>
          </w:p>
        </w:tc>
      </w:tr>
      <w:tr w:rsidR="009872B5" w:rsidRPr="00C40F31" w14:paraId="6CC9720C" w14:textId="77777777" w:rsidTr="00F73B08">
        <w:trPr>
          <w:cantSplit/>
        </w:trPr>
        <w:tc>
          <w:tcPr>
            <w:tcW w:w="502" w:type="pct"/>
            <w:tcBorders>
              <w:top w:val="single" w:sz="12" w:space="0" w:color="auto"/>
            </w:tcBorders>
            <w:shd w:val="clear" w:color="auto" w:fill="auto"/>
            <w:tcMar>
              <w:left w:w="85" w:type="dxa"/>
              <w:right w:w="57" w:type="dxa"/>
            </w:tcMar>
          </w:tcPr>
          <w:p w14:paraId="756565B8" w14:textId="5D66E8A4" w:rsidR="009872B5" w:rsidRPr="00117487" w:rsidRDefault="009872B5" w:rsidP="0018039E">
            <w:pPr>
              <w:pStyle w:val="TableText"/>
            </w:pPr>
            <w:r>
              <w:t>Cnidarian</w:t>
            </w:r>
            <w:r w:rsidR="00055904">
              <w:t xml:space="preserve"> </w:t>
            </w:r>
            <w:r w:rsidR="00055904">
              <w:br/>
              <w:t>(Coral)</w:t>
            </w:r>
          </w:p>
        </w:tc>
        <w:tc>
          <w:tcPr>
            <w:tcW w:w="687" w:type="pct"/>
            <w:tcBorders>
              <w:top w:val="single" w:sz="12" w:space="0" w:color="auto"/>
            </w:tcBorders>
            <w:shd w:val="clear" w:color="auto" w:fill="auto"/>
            <w:tcMar>
              <w:left w:w="85" w:type="dxa"/>
              <w:right w:w="57" w:type="dxa"/>
            </w:tcMar>
          </w:tcPr>
          <w:p w14:paraId="4DFC32AA" w14:textId="55A88CAE" w:rsidR="009872B5" w:rsidRPr="0018039E" w:rsidRDefault="009872B5" w:rsidP="0018039E">
            <w:pPr>
              <w:pStyle w:val="TableText"/>
              <w:rPr>
                <w:rStyle w:val="Emphasis"/>
              </w:rPr>
            </w:pPr>
            <w:r>
              <w:rPr>
                <w:rStyle w:val="Emphasis"/>
              </w:rPr>
              <w:t>Acropora tenuis</w:t>
            </w:r>
          </w:p>
        </w:tc>
        <w:tc>
          <w:tcPr>
            <w:tcW w:w="356" w:type="pct"/>
            <w:tcBorders>
              <w:top w:val="single" w:sz="12" w:space="0" w:color="auto"/>
            </w:tcBorders>
            <w:shd w:val="clear" w:color="auto" w:fill="auto"/>
            <w:tcMar>
              <w:left w:w="85" w:type="dxa"/>
              <w:right w:w="57" w:type="dxa"/>
            </w:tcMar>
          </w:tcPr>
          <w:p w14:paraId="5F30701C" w14:textId="4E8E76AF" w:rsidR="009872B5" w:rsidRPr="00117487" w:rsidRDefault="009872B5" w:rsidP="0018039E">
            <w:pPr>
              <w:pStyle w:val="TableText"/>
            </w:pPr>
            <w:r>
              <w:t xml:space="preserve">Gametes </w:t>
            </w:r>
          </w:p>
        </w:tc>
        <w:tc>
          <w:tcPr>
            <w:tcW w:w="293" w:type="pct"/>
            <w:tcBorders>
              <w:top w:val="single" w:sz="12" w:space="0" w:color="auto"/>
            </w:tcBorders>
            <w:shd w:val="clear" w:color="auto" w:fill="auto"/>
            <w:tcMar>
              <w:left w:w="85" w:type="dxa"/>
              <w:right w:w="57" w:type="dxa"/>
            </w:tcMar>
          </w:tcPr>
          <w:p w14:paraId="6049BF88" w14:textId="6D41D6D8" w:rsidR="009872B5" w:rsidRPr="00117487" w:rsidRDefault="009872B5" w:rsidP="0018039E">
            <w:pPr>
              <w:pStyle w:val="TableText"/>
            </w:pPr>
            <w:r>
              <w:t>0.229</w:t>
            </w:r>
          </w:p>
        </w:tc>
        <w:tc>
          <w:tcPr>
            <w:tcW w:w="478" w:type="pct"/>
            <w:tcBorders>
              <w:top w:val="single" w:sz="12" w:space="0" w:color="auto"/>
            </w:tcBorders>
          </w:tcPr>
          <w:p w14:paraId="0845AAB0" w14:textId="2013F002" w:rsidR="009872B5" w:rsidRPr="00117487" w:rsidRDefault="009872B5" w:rsidP="0018039E">
            <w:pPr>
              <w:pStyle w:val="TableText"/>
            </w:pPr>
            <w:r>
              <w:t>LOEC (Fertilisation)</w:t>
            </w:r>
          </w:p>
        </w:tc>
        <w:tc>
          <w:tcPr>
            <w:tcW w:w="341" w:type="pct"/>
            <w:tcBorders>
              <w:top w:val="single" w:sz="12" w:space="0" w:color="auto"/>
            </w:tcBorders>
            <w:shd w:val="clear" w:color="auto" w:fill="auto"/>
            <w:tcMar>
              <w:left w:w="85" w:type="dxa"/>
              <w:right w:w="57" w:type="dxa"/>
            </w:tcMar>
          </w:tcPr>
          <w:p w14:paraId="73B1D316" w14:textId="5CB8A1AE" w:rsidR="009872B5" w:rsidRPr="00117487" w:rsidRDefault="009872B5" w:rsidP="0018039E">
            <w:pPr>
              <w:pStyle w:val="TableText"/>
            </w:pPr>
            <w:r>
              <w:t>NR</w:t>
            </w:r>
          </w:p>
        </w:tc>
        <w:tc>
          <w:tcPr>
            <w:tcW w:w="400" w:type="pct"/>
            <w:tcBorders>
              <w:top w:val="single" w:sz="12" w:space="0" w:color="auto"/>
            </w:tcBorders>
            <w:shd w:val="clear" w:color="auto" w:fill="auto"/>
            <w:tcMar>
              <w:left w:w="85" w:type="dxa"/>
              <w:right w:w="57" w:type="dxa"/>
            </w:tcMar>
          </w:tcPr>
          <w:p w14:paraId="07FBF931" w14:textId="12D8E000" w:rsidR="009872B5" w:rsidRPr="00117487" w:rsidRDefault="009872B5" w:rsidP="0018039E">
            <w:pPr>
              <w:pStyle w:val="TableText"/>
            </w:pPr>
            <w:r>
              <w:t>NR</w:t>
            </w:r>
          </w:p>
        </w:tc>
        <w:tc>
          <w:tcPr>
            <w:tcW w:w="380" w:type="pct"/>
            <w:tcBorders>
              <w:top w:val="single" w:sz="12" w:space="0" w:color="auto"/>
            </w:tcBorders>
            <w:shd w:val="clear" w:color="auto" w:fill="auto"/>
            <w:tcMar>
              <w:left w:w="85" w:type="dxa"/>
              <w:right w:w="57" w:type="dxa"/>
            </w:tcMar>
          </w:tcPr>
          <w:p w14:paraId="68938C90" w14:textId="22BD10D7" w:rsidR="009872B5" w:rsidRPr="00117487" w:rsidRDefault="009872B5" w:rsidP="0018039E">
            <w:pPr>
              <w:pStyle w:val="TableText"/>
            </w:pPr>
            <w:r>
              <w:t>10</w:t>
            </w:r>
          </w:p>
        </w:tc>
        <w:tc>
          <w:tcPr>
            <w:tcW w:w="451" w:type="pct"/>
            <w:tcBorders>
              <w:top w:val="single" w:sz="12" w:space="0" w:color="auto"/>
            </w:tcBorders>
            <w:shd w:val="clear" w:color="auto" w:fill="auto"/>
            <w:tcMar>
              <w:left w:w="85" w:type="dxa"/>
              <w:right w:w="57" w:type="dxa"/>
            </w:tcMar>
          </w:tcPr>
          <w:p w14:paraId="7F846040" w14:textId="4FED98E4" w:rsidR="009872B5" w:rsidRPr="00117487" w:rsidRDefault="009872B5" w:rsidP="0018039E">
            <w:pPr>
              <w:pStyle w:val="TableText"/>
            </w:pPr>
            <w:r>
              <w:t>4</w:t>
            </w:r>
            <w:r w:rsidR="00A53360">
              <w:t xml:space="preserve"> </w:t>
            </w:r>
            <w:r w:rsidR="00A53360" w:rsidRPr="00A53360">
              <w:rPr>
                <w:vertAlign w:val="superscript"/>
              </w:rPr>
              <w:t>a</w:t>
            </w:r>
          </w:p>
        </w:tc>
        <w:tc>
          <w:tcPr>
            <w:tcW w:w="601" w:type="pct"/>
            <w:tcBorders>
              <w:top w:val="single" w:sz="12" w:space="0" w:color="auto"/>
            </w:tcBorders>
            <w:shd w:val="clear" w:color="auto" w:fill="auto"/>
            <w:tcMar>
              <w:left w:w="85" w:type="dxa"/>
              <w:right w:w="57" w:type="dxa"/>
            </w:tcMar>
          </w:tcPr>
          <w:p w14:paraId="146D85B1" w14:textId="43AC783E" w:rsidR="009872B5" w:rsidRPr="00117487" w:rsidRDefault="009872B5" w:rsidP="0018039E">
            <w:pPr>
              <w:pStyle w:val="TableText"/>
            </w:pPr>
            <w:r w:rsidRPr="00117487">
              <w:t>No measurement of zinc</w:t>
            </w:r>
          </w:p>
        </w:tc>
        <w:tc>
          <w:tcPr>
            <w:tcW w:w="510" w:type="pct"/>
            <w:tcBorders>
              <w:top w:val="single" w:sz="12" w:space="0" w:color="auto"/>
            </w:tcBorders>
            <w:shd w:val="clear" w:color="auto" w:fill="auto"/>
            <w:tcMar>
              <w:left w:w="85" w:type="dxa"/>
              <w:right w:w="57" w:type="dxa"/>
            </w:tcMar>
          </w:tcPr>
          <w:p w14:paraId="48AE9651" w14:textId="6D2AB58B" w:rsidR="009872B5" w:rsidRPr="00117487" w:rsidRDefault="009872B5" w:rsidP="0018039E">
            <w:pPr>
              <w:pStyle w:val="TableText"/>
              <w:rPr>
                <w:noProof/>
              </w:rPr>
            </w:pPr>
            <w:r w:rsidRPr="009872B5">
              <w:rPr>
                <w:noProof/>
              </w:rPr>
              <w:t>Reichelt-Brushett and Harrison (2005)</w:t>
            </w:r>
          </w:p>
        </w:tc>
      </w:tr>
      <w:tr w:rsidR="0018039E" w:rsidRPr="00C40F31" w14:paraId="725B603F" w14:textId="77777777" w:rsidTr="00F73B08">
        <w:trPr>
          <w:cantSplit/>
        </w:trPr>
        <w:tc>
          <w:tcPr>
            <w:tcW w:w="502" w:type="pct"/>
            <w:tcBorders>
              <w:top w:val="single" w:sz="12" w:space="0" w:color="auto"/>
            </w:tcBorders>
            <w:shd w:val="clear" w:color="auto" w:fill="auto"/>
            <w:tcMar>
              <w:left w:w="85" w:type="dxa"/>
              <w:right w:w="57" w:type="dxa"/>
            </w:tcMar>
          </w:tcPr>
          <w:p w14:paraId="3A69EA85" w14:textId="77777777" w:rsidR="001F30F6" w:rsidRPr="00117487" w:rsidRDefault="001F30F6" w:rsidP="0018039E">
            <w:pPr>
              <w:pStyle w:val="TableText"/>
            </w:pPr>
            <w:r w:rsidRPr="00117487">
              <w:t>Echinoderm</w:t>
            </w:r>
          </w:p>
        </w:tc>
        <w:tc>
          <w:tcPr>
            <w:tcW w:w="687" w:type="pct"/>
            <w:tcBorders>
              <w:top w:val="single" w:sz="12" w:space="0" w:color="auto"/>
            </w:tcBorders>
            <w:shd w:val="clear" w:color="auto" w:fill="auto"/>
            <w:tcMar>
              <w:left w:w="85" w:type="dxa"/>
              <w:right w:w="57" w:type="dxa"/>
            </w:tcMar>
          </w:tcPr>
          <w:p w14:paraId="0C56B2C8" w14:textId="3CA5F9C4" w:rsidR="001F30F6" w:rsidRPr="0018039E" w:rsidRDefault="001F30F6" w:rsidP="0018039E">
            <w:pPr>
              <w:pStyle w:val="TableText"/>
            </w:pPr>
            <w:proofErr w:type="spellStart"/>
            <w:r w:rsidRPr="0018039E">
              <w:rPr>
                <w:rStyle w:val="Emphasis"/>
              </w:rPr>
              <w:t>Heliocidaris</w:t>
            </w:r>
            <w:proofErr w:type="spellEnd"/>
            <w:r w:rsidRPr="0018039E">
              <w:rPr>
                <w:rStyle w:val="Emphasis"/>
              </w:rPr>
              <w:t xml:space="preserve"> </w:t>
            </w:r>
            <w:proofErr w:type="spellStart"/>
            <w:r w:rsidRPr="0018039E">
              <w:rPr>
                <w:rStyle w:val="Emphasis"/>
              </w:rPr>
              <w:t>erythrogramma</w:t>
            </w:r>
            <w:proofErr w:type="spellEnd"/>
            <w:r w:rsidRPr="0018039E">
              <w:t xml:space="preserve"> </w:t>
            </w:r>
          </w:p>
        </w:tc>
        <w:tc>
          <w:tcPr>
            <w:tcW w:w="356" w:type="pct"/>
            <w:tcBorders>
              <w:top w:val="single" w:sz="12" w:space="0" w:color="auto"/>
            </w:tcBorders>
            <w:shd w:val="clear" w:color="auto" w:fill="auto"/>
            <w:tcMar>
              <w:left w:w="85" w:type="dxa"/>
              <w:right w:w="57" w:type="dxa"/>
            </w:tcMar>
          </w:tcPr>
          <w:p w14:paraId="75155A8D" w14:textId="77777777" w:rsidR="001F30F6" w:rsidRPr="00117487" w:rsidRDefault="001F30F6" w:rsidP="0018039E">
            <w:pPr>
              <w:pStyle w:val="TableText"/>
            </w:pPr>
            <w:r w:rsidRPr="00117487">
              <w:t>Larvae</w:t>
            </w:r>
          </w:p>
        </w:tc>
        <w:tc>
          <w:tcPr>
            <w:tcW w:w="293" w:type="pct"/>
            <w:tcBorders>
              <w:top w:val="single" w:sz="12" w:space="0" w:color="auto"/>
            </w:tcBorders>
            <w:shd w:val="clear" w:color="auto" w:fill="auto"/>
            <w:tcMar>
              <w:left w:w="85" w:type="dxa"/>
              <w:right w:w="57" w:type="dxa"/>
            </w:tcMar>
          </w:tcPr>
          <w:p w14:paraId="4F3FC065" w14:textId="77777777" w:rsidR="001F30F6" w:rsidRPr="00117487" w:rsidRDefault="001F30F6" w:rsidP="0018039E">
            <w:pPr>
              <w:pStyle w:val="TableText"/>
            </w:pPr>
            <w:r w:rsidRPr="00117487">
              <w:t>6</w:t>
            </w:r>
          </w:p>
        </w:tc>
        <w:tc>
          <w:tcPr>
            <w:tcW w:w="478" w:type="pct"/>
            <w:tcBorders>
              <w:top w:val="single" w:sz="12" w:space="0" w:color="auto"/>
            </w:tcBorders>
          </w:tcPr>
          <w:p w14:paraId="53D7AE4A" w14:textId="77777777" w:rsidR="0018039E" w:rsidRDefault="001F30F6" w:rsidP="0018039E">
            <w:pPr>
              <w:pStyle w:val="TableText"/>
            </w:pPr>
            <w:r w:rsidRPr="00117487">
              <w:t xml:space="preserve">NOEC </w:t>
            </w:r>
          </w:p>
          <w:p w14:paraId="5BC4AF31" w14:textId="14462154" w:rsidR="001F30F6" w:rsidRPr="00117487" w:rsidRDefault="001F30F6" w:rsidP="0018039E">
            <w:pPr>
              <w:pStyle w:val="TableText"/>
            </w:pPr>
            <w:r w:rsidRPr="00117487">
              <w:t>(Development)</w:t>
            </w:r>
          </w:p>
        </w:tc>
        <w:tc>
          <w:tcPr>
            <w:tcW w:w="341" w:type="pct"/>
            <w:tcBorders>
              <w:top w:val="single" w:sz="12" w:space="0" w:color="auto"/>
            </w:tcBorders>
            <w:shd w:val="clear" w:color="auto" w:fill="auto"/>
            <w:tcMar>
              <w:left w:w="85" w:type="dxa"/>
              <w:right w:w="57" w:type="dxa"/>
            </w:tcMar>
          </w:tcPr>
          <w:p w14:paraId="2381D61A" w14:textId="77777777" w:rsidR="001F30F6" w:rsidRPr="00117487" w:rsidRDefault="001F30F6" w:rsidP="0018039E">
            <w:pPr>
              <w:pStyle w:val="TableText"/>
            </w:pPr>
            <w:r w:rsidRPr="00117487">
              <w:t>35.5</w:t>
            </w:r>
          </w:p>
        </w:tc>
        <w:tc>
          <w:tcPr>
            <w:tcW w:w="400" w:type="pct"/>
            <w:tcBorders>
              <w:top w:val="single" w:sz="12" w:space="0" w:color="auto"/>
            </w:tcBorders>
            <w:shd w:val="clear" w:color="auto" w:fill="auto"/>
            <w:tcMar>
              <w:left w:w="85" w:type="dxa"/>
              <w:right w:w="57" w:type="dxa"/>
            </w:tcMar>
          </w:tcPr>
          <w:p w14:paraId="46FF5B1E" w14:textId="77777777" w:rsidR="001F30F6" w:rsidRPr="00117487" w:rsidRDefault="001F30F6" w:rsidP="0018039E">
            <w:pPr>
              <w:pStyle w:val="TableText"/>
            </w:pPr>
            <w:r w:rsidRPr="00117487">
              <w:t>20</w:t>
            </w:r>
          </w:p>
        </w:tc>
        <w:tc>
          <w:tcPr>
            <w:tcW w:w="380" w:type="pct"/>
            <w:tcBorders>
              <w:top w:val="single" w:sz="12" w:space="0" w:color="auto"/>
            </w:tcBorders>
            <w:shd w:val="clear" w:color="auto" w:fill="auto"/>
            <w:tcMar>
              <w:left w:w="85" w:type="dxa"/>
              <w:right w:w="57" w:type="dxa"/>
            </w:tcMar>
          </w:tcPr>
          <w:p w14:paraId="4D57662A" w14:textId="77777777" w:rsidR="001F30F6" w:rsidRPr="00117487" w:rsidRDefault="001F30F6" w:rsidP="0018039E">
            <w:pPr>
              <w:pStyle w:val="TableText"/>
            </w:pPr>
            <w:r w:rsidRPr="00117487">
              <w:t>13</w:t>
            </w:r>
          </w:p>
        </w:tc>
        <w:tc>
          <w:tcPr>
            <w:tcW w:w="451" w:type="pct"/>
            <w:tcBorders>
              <w:top w:val="single" w:sz="12" w:space="0" w:color="auto"/>
            </w:tcBorders>
            <w:shd w:val="clear" w:color="auto" w:fill="auto"/>
            <w:tcMar>
              <w:left w:w="85" w:type="dxa"/>
              <w:right w:w="57" w:type="dxa"/>
            </w:tcMar>
          </w:tcPr>
          <w:p w14:paraId="2CF7320D" w14:textId="77777777" w:rsidR="001F30F6" w:rsidRPr="00117487" w:rsidRDefault="001F30F6" w:rsidP="0018039E">
            <w:pPr>
              <w:pStyle w:val="TableText"/>
            </w:pPr>
            <w:r w:rsidRPr="00117487">
              <w:t>13</w:t>
            </w:r>
          </w:p>
        </w:tc>
        <w:tc>
          <w:tcPr>
            <w:tcW w:w="601" w:type="pct"/>
            <w:tcBorders>
              <w:top w:val="single" w:sz="12" w:space="0" w:color="auto"/>
            </w:tcBorders>
            <w:shd w:val="clear" w:color="auto" w:fill="auto"/>
            <w:tcMar>
              <w:left w:w="85" w:type="dxa"/>
              <w:right w:w="57" w:type="dxa"/>
            </w:tcMar>
          </w:tcPr>
          <w:p w14:paraId="2247D991" w14:textId="77777777" w:rsidR="001F30F6" w:rsidRPr="00117487" w:rsidRDefault="001F30F6" w:rsidP="0018039E">
            <w:pPr>
              <w:pStyle w:val="TableText"/>
            </w:pPr>
            <w:r w:rsidRPr="00117487">
              <w:t>No measurement of zinc</w:t>
            </w:r>
          </w:p>
        </w:tc>
        <w:tc>
          <w:tcPr>
            <w:tcW w:w="510" w:type="pct"/>
            <w:tcBorders>
              <w:top w:val="single" w:sz="12" w:space="0" w:color="auto"/>
            </w:tcBorders>
            <w:shd w:val="clear" w:color="auto" w:fill="auto"/>
            <w:tcMar>
              <w:left w:w="85" w:type="dxa"/>
              <w:right w:w="57" w:type="dxa"/>
            </w:tcMar>
          </w:tcPr>
          <w:p w14:paraId="39725609" w14:textId="77777777" w:rsidR="001F30F6" w:rsidRPr="00117487" w:rsidRDefault="001F30F6" w:rsidP="0018039E">
            <w:pPr>
              <w:pStyle w:val="TableText"/>
            </w:pPr>
            <w:r w:rsidRPr="00117487">
              <w:rPr>
                <w:noProof/>
              </w:rPr>
              <w:t xml:space="preserve">King </w:t>
            </w:r>
            <w:r>
              <w:rPr>
                <w:noProof/>
              </w:rPr>
              <w:t>(19</w:t>
            </w:r>
            <w:r w:rsidRPr="00117487">
              <w:rPr>
                <w:noProof/>
              </w:rPr>
              <w:t>99)</w:t>
            </w:r>
          </w:p>
        </w:tc>
      </w:tr>
      <w:tr w:rsidR="0018039E" w:rsidRPr="00C40F31" w14:paraId="70F9525A" w14:textId="77777777" w:rsidTr="00F73B08">
        <w:trPr>
          <w:cantSplit/>
        </w:trPr>
        <w:tc>
          <w:tcPr>
            <w:tcW w:w="502" w:type="pct"/>
            <w:shd w:val="clear" w:color="auto" w:fill="auto"/>
            <w:tcMar>
              <w:left w:w="85" w:type="dxa"/>
              <w:right w:w="57" w:type="dxa"/>
            </w:tcMar>
          </w:tcPr>
          <w:p w14:paraId="36884DF1" w14:textId="77777777" w:rsidR="001F30F6" w:rsidRPr="00117487" w:rsidRDefault="001F30F6" w:rsidP="0018039E">
            <w:pPr>
              <w:pStyle w:val="TableText"/>
            </w:pPr>
            <w:r w:rsidRPr="00117487">
              <w:t>Mollusc</w:t>
            </w:r>
          </w:p>
        </w:tc>
        <w:tc>
          <w:tcPr>
            <w:tcW w:w="687" w:type="pct"/>
            <w:shd w:val="clear" w:color="auto" w:fill="auto"/>
            <w:tcMar>
              <w:left w:w="85" w:type="dxa"/>
              <w:right w:w="57" w:type="dxa"/>
            </w:tcMar>
          </w:tcPr>
          <w:p w14:paraId="2622F689" w14:textId="466B982A" w:rsidR="001F30F6" w:rsidRPr="0018039E" w:rsidRDefault="001F30F6" w:rsidP="0018039E">
            <w:pPr>
              <w:pStyle w:val="TableText"/>
            </w:pPr>
            <w:proofErr w:type="spellStart"/>
            <w:r w:rsidRPr="0018039E">
              <w:rPr>
                <w:rStyle w:val="Emphasis"/>
              </w:rPr>
              <w:t>Haliotis</w:t>
            </w:r>
            <w:proofErr w:type="spellEnd"/>
            <w:r w:rsidRPr="0018039E">
              <w:rPr>
                <w:rStyle w:val="Emphasis"/>
              </w:rPr>
              <w:t xml:space="preserve"> rubra </w:t>
            </w:r>
          </w:p>
        </w:tc>
        <w:tc>
          <w:tcPr>
            <w:tcW w:w="356" w:type="pct"/>
            <w:shd w:val="clear" w:color="auto" w:fill="auto"/>
            <w:tcMar>
              <w:left w:w="85" w:type="dxa"/>
              <w:right w:w="57" w:type="dxa"/>
            </w:tcMar>
          </w:tcPr>
          <w:p w14:paraId="2658B366" w14:textId="77777777" w:rsidR="001F30F6" w:rsidRPr="00117487" w:rsidRDefault="001F30F6" w:rsidP="0018039E">
            <w:pPr>
              <w:pStyle w:val="TableText"/>
            </w:pPr>
            <w:r w:rsidRPr="00117487">
              <w:t>Embryo</w:t>
            </w:r>
          </w:p>
        </w:tc>
        <w:tc>
          <w:tcPr>
            <w:tcW w:w="293" w:type="pct"/>
            <w:shd w:val="clear" w:color="auto" w:fill="auto"/>
            <w:tcMar>
              <w:left w:w="85" w:type="dxa"/>
              <w:right w:w="57" w:type="dxa"/>
            </w:tcMar>
          </w:tcPr>
          <w:p w14:paraId="33E70A6D" w14:textId="77777777" w:rsidR="001F30F6" w:rsidRPr="00117487" w:rsidRDefault="001F30F6" w:rsidP="0018039E">
            <w:pPr>
              <w:pStyle w:val="TableText"/>
            </w:pPr>
            <w:r w:rsidRPr="00117487">
              <w:t>2</w:t>
            </w:r>
          </w:p>
        </w:tc>
        <w:tc>
          <w:tcPr>
            <w:tcW w:w="478" w:type="pct"/>
          </w:tcPr>
          <w:p w14:paraId="61796230" w14:textId="77777777" w:rsidR="0018039E" w:rsidRDefault="001F30F6" w:rsidP="0018039E">
            <w:pPr>
              <w:pStyle w:val="TableText"/>
            </w:pPr>
            <w:r w:rsidRPr="00117487">
              <w:t xml:space="preserve">EC10 </w:t>
            </w:r>
          </w:p>
          <w:p w14:paraId="4187BE2E" w14:textId="08B8C101" w:rsidR="001F30F6" w:rsidRPr="00117487" w:rsidRDefault="001F30F6" w:rsidP="0018039E">
            <w:pPr>
              <w:pStyle w:val="TableText"/>
            </w:pPr>
            <w:r w:rsidRPr="00117487">
              <w:t>(Development)</w:t>
            </w:r>
          </w:p>
        </w:tc>
        <w:tc>
          <w:tcPr>
            <w:tcW w:w="341" w:type="pct"/>
            <w:shd w:val="clear" w:color="auto" w:fill="auto"/>
            <w:tcMar>
              <w:left w:w="85" w:type="dxa"/>
              <w:right w:w="57" w:type="dxa"/>
            </w:tcMar>
          </w:tcPr>
          <w:p w14:paraId="0F97C899" w14:textId="77777777" w:rsidR="001F30F6" w:rsidRPr="00117487" w:rsidRDefault="001F30F6" w:rsidP="0018039E">
            <w:pPr>
              <w:pStyle w:val="TableText"/>
            </w:pPr>
            <w:r w:rsidRPr="00117487">
              <w:t>NR</w:t>
            </w:r>
          </w:p>
        </w:tc>
        <w:tc>
          <w:tcPr>
            <w:tcW w:w="400" w:type="pct"/>
            <w:shd w:val="clear" w:color="auto" w:fill="auto"/>
            <w:tcMar>
              <w:left w:w="85" w:type="dxa"/>
              <w:right w:w="57" w:type="dxa"/>
            </w:tcMar>
          </w:tcPr>
          <w:p w14:paraId="4CF75FE9" w14:textId="77777777" w:rsidR="001F30F6" w:rsidRPr="00117487" w:rsidRDefault="001F30F6" w:rsidP="0018039E">
            <w:pPr>
              <w:pStyle w:val="TableText"/>
            </w:pPr>
            <w:r w:rsidRPr="00117487">
              <w:t>20</w:t>
            </w:r>
          </w:p>
        </w:tc>
        <w:tc>
          <w:tcPr>
            <w:tcW w:w="380" w:type="pct"/>
            <w:shd w:val="clear" w:color="auto" w:fill="auto"/>
            <w:tcMar>
              <w:left w:w="85" w:type="dxa"/>
              <w:right w:w="57" w:type="dxa"/>
            </w:tcMar>
          </w:tcPr>
          <w:p w14:paraId="49274EAD" w14:textId="77777777" w:rsidR="001F30F6" w:rsidRPr="00117487" w:rsidRDefault="001F30F6" w:rsidP="0018039E">
            <w:pPr>
              <w:pStyle w:val="TableText"/>
            </w:pPr>
            <w:r w:rsidRPr="00117487">
              <w:t>20</w:t>
            </w:r>
          </w:p>
        </w:tc>
        <w:tc>
          <w:tcPr>
            <w:tcW w:w="451" w:type="pct"/>
            <w:shd w:val="clear" w:color="auto" w:fill="auto"/>
            <w:tcMar>
              <w:left w:w="85" w:type="dxa"/>
              <w:right w:w="57" w:type="dxa"/>
            </w:tcMar>
          </w:tcPr>
          <w:p w14:paraId="0402254F" w14:textId="2ECBE508" w:rsidR="001F30F6" w:rsidRPr="00117487" w:rsidRDefault="001F30F6" w:rsidP="0018039E">
            <w:pPr>
              <w:pStyle w:val="TableText"/>
            </w:pPr>
            <w:r w:rsidRPr="00117487">
              <w:t xml:space="preserve">20 </w:t>
            </w:r>
            <w:r w:rsidR="00A53360">
              <w:rPr>
                <w:rStyle w:val="Strong"/>
                <w:vertAlign w:val="superscript"/>
              </w:rPr>
              <w:t>b</w:t>
            </w:r>
          </w:p>
        </w:tc>
        <w:tc>
          <w:tcPr>
            <w:tcW w:w="601" w:type="pct"/>
            <w:shd w:val="clear" w:color="auto" w:fill="auto"/>
            <w:tcMar>
              <w:left w:w="85" w:type="dxa"/>
              <w:right w:w="57" w:type="dxa"/>
            </w:tcMar>
          </w:tcPr>
          <w:p w14:paraId="615DEEBC"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6B9C947C" w14:textId="2BC40DCC" w:rsidR="001F30F6" w:rsidRPr="00117487" w:rsidRDefault="0018039E" w:rsidP="0018039E">
            <w:pPr>
              <w:pStyle w:val="TableText"/>
            </w:pPr>
            <w:r>
              <w:rPr>
                <w:noProof/>
              </w:rPr>
              <w:t>Gorski and</w:t>
            </w:r>
            <w:r w:rsidR="001F30F6" w:rsidRPr="00117487">
              <w:rPr>
                <w:noProof/>
              </w:rPr>
              <w:t xml:space="preserve"> Nugegoda </w:t>
            </w:r>
            <w:r w:rsidR="001F30F6">
              <w:rPr>
                <w:noProof/>
              </w:rPr>
              <w:t>(20</w:t>
            </w:r>
            <w:r w:rsidR="001F30F6" w:rsidRPr="00117487">
              <w:rPr>
                <w:noProof/>
              </w:rPr>
              <w:t>06)</w:t>
            </w:r>
          </w:p>
        </w:tc>
      </w:tr>
      <w:tr w:rsidR="0018039E" w:rsidRPr="00C40F31" w14:paraId="5D9589BF" w14:textId="77777777" w:rsidTr="00F73B08">
        <w:trPr>
          <w:cantSplit/>
        </w:trPr>
        <w:tc>
          <w:tcPr>
            <w:tcW w:w="502" w:type="pct"/>
            <w:shd w:val="clear" w:color="auto" w:fill="auto"/>
            <w:tcMar>
              <w:left w:w="85" w:type="dxa"/>
              <w:right w:w="57" w:type="dxa"/>
            </w:tcMar>
          </w:tcPr>
          <w:p w14:paraId="27D949E6" w14:textId="77777777" w:rsidR="001F30F6" w:rsidRPr="00117487" w:rsidRDefault="001F30F6" w:rsidP="0018039E">
            <w:pPr>
              <w:pStyle w:val="TableText"/>
            </w:pPr>
            <w:r w:rsidRPr="00117487">
              <w:t>Diatom</w:t>
            </w:r>
          </w:p>
        </w:tc>
        <w:tc>
          <w:tcPr>
            <w:tcW w:w="687" w:type="pct"/>
            <w:shd w:val="clear" w:color="auto" w:fill="auto"/>
            <w:tcMar>
              <w:left w:w="85" w:type="dxa"/>
              <w:right w:w="57" w:type="dxa"/>
            </w:tcMar>
          </w:tcPr>
          <w:p w14:paraId="55F4B221" w14:textId="77777777" w:rsidR="001F30F6" w:rsidRPr="0018039E" w:rsidRDefault="001F30F6" w:rsidP="0018039E">
            <w:pPr>
              <w:pStyle w:val="TableText"/>
              <w:rPr>
                <w:rStyle w:val="Emphasis"/>
              </w:rPr>
            </w:pPr>
            <w:proofErr w:type="spellStart"/>
            <w:r w:rsidRPr="0018039E">
              <w:rPr>
                <w:rStyle w:val="Emphasis"/>
              </w:rPr>
              <w:t>Chaetoceros</w:t>
            </w:r>
            <w:proofErr w:type="spellEnd"/>
            <w:r w:rsidRPr="0018039E">
              <w:rPr>
                <w:rStyle w:val="Emphasis"/>
              </w:rPr>
              <w:t xml:space="preserve"> </w:t>
            </w:r>
            <w:proofErr w:type="spellStart"/>
            <w:r w:rsidRPr="0018039E">
              <w:rPr>
                <w:rStyle w:val="Emphasis"/>
              </w:rPr>
              <w:t>compressum</w:t>
            </w:r>
            <w:proofErr w:type="spellEnd"/>
          </w:p>
        </w:tc>
        <w:tc>
          <w:tcPr>
            <w:tcW w:w="356" w:type="pct"/>
            <w:shd w:val="clear" w:color="auto" w:fill="auto"/>
            <w:tcMar>
              <w:left w:w="85" w:type="dxa"/>
              <w:right w:w="57" w:type="dxa"/>
            </w:tcMar>
          </w:tcPr>
          <w:p w14:paraId="276270F5" w14:textId="77777777" w:rsidR="001F30F6" w:rsidRPr="00117487" w:rsidRDefault="001F30F6" w:rsidP="0018039E">
            <w:pPr>
              <w:pStyle w:val="TableText"/>
            </w:pPr>
            <w:r w:rsidRPr="00117487">
              <w:t>Exponential growth</w:t>
            </w:r>
          </w:p>
        </w:tc>
        <w:tc>
          <w:tcPr>
            <w:tcW w:w="293" w:type="pct"/>
            <w:shd w:val="clear" w:color="auto" w:fill="auto"/>
            <w:tcMar>
              <w:left w:w="85" w:type="dxa"/>
              <w:right w:w="57" w:type="dxa"/>
            </w:tcMar>
          </w:tcPr>
          <w:p w14:paraId="06944019" w14:textId="77777777" w:rsidR="001F30F6" w:rsidRPr="00117487" w:rsidRDefault="001F30F6" w:rsidP="0018039E">
            <w:pPr>
              <w:pStyle w:val="TableText"/>
            </w:pPr>
            <w:r w:rsidRPr="00117487">
              <w:t>3</w:t>
            </w:r>
          </w:p>
        </w:tc>
        <w:tc>
          <w:tcPr>
            <w:tcW w:w="478" w:type="pct"/>
          </w:tcPr>
          <w:p w14:paraId="32D0F69E" w14:textId="77777777" w:rsidR="0018039E" w:rsidRDefault="001F30F6" w:rsidP="0018039E">
            <w:pPr>
              <w:pStyle w:val="TableText"/>
            </w:pPr>
            <w:r w:rsidRPr="00117487">
              <w:t xml:space="preserve">EC19 </w:t>
            </w:r>
          </w:p>
          <w:p w14:paraId="006BB170" w14:textId="1591C82B" w:rsidR="001F30F6" w:rsidRPr="00117487" w:rsidRDefault="001F30F6" w:rsidP="0018039E">
            <w:pPr>
              <w:pStyle w:val="TableText"/>
            </w:pPr>
            <w:r w:rsidRPr="00117487">
              <w:t>(Population growth rate)</w:t>
            </w:r>
          </w:p>
        </w:tc>
        <w:tc>
          <w:tcPr>
            <w:tcW w:w="341" w:type="pct"/>
            <w:shd w:val="clear" w:color="auto" w:fill="auto"/>
            <w:tcMar>
              <w:left w:w="85" w:type="dxa"/>
              <w:right w:w="57" w:type="dxa"/>
            </w:tcMar>
          </w:tcPr>
          <w:p w14:paraId="3E82CB90" w14:textId="76641807" w:rsidR="001F30F6" w:rsidRPr="00117487" w:rsidRDefault="00E56097" w:rsidP="0018039E">
            <w:pPr>
              <w:pStyle w:val="TableText"/>
            </w:pPr>
            <w:r>
              <w:t>NR</w:t>
            </w:r>
          </w:p>
        </w:tc>
        <w:tc>
          <w:tcPr>
            <w:tcW w:w="400" w:type="pct"/>
            <w:shd w:val="clear" w:color="auto" w:fill="auto"/>
            <w:tcMar>
              <w:left w:w="85" w:type="dxa"/>
              <w:right w:w="57" w:type="dxa"/>
            </w:tcMar>
          </w:tcPr>
          <w:p w14:paraId="3AC81DCB" w14:textId="77777777" w:rsidR="001F30F6" w:rsidRPr="00117487" w:rsidRDefault="001F30F6" w:rsidP="0018039E">
            <w:pPr>
              <w:pStyle w:val="TableText"/>
            </w:pPr>
            <w:r w:rsidRPr="00117487">
              <w:t>17</w:t>
            </w:r>
          </w:p>
        </w:tc>
        <w:tc>
          <w:tcPr>
            <w:tcW w:w="380" w:type="pct"/>
            <w:shd w:val="clear" w:color="auto" w:fill="auto"/>
            <w:tcMar>
              <w:left w:w="85" w:type="dxa"/>
              <w:right w:w="57" w:type="dxa"/>
            </w:tcMar>
          </w:tcPr>
          <w:p w14:paraId="2A2BC8D1" w14:textId="77777777" w:rsidR="001F30F6" w:rsidRPr="00117487" w:rsidRDefault="001F30F6" w:rsidP="0018039E">
            <w:pPr>
              <w:pStyle w:val="TableText"/>
            </w:pPr>
            <w:r w:rsidRPr="00117487">
              <w:t>20</w:t>
            </w:r>
          </w:p>
        </w:tc>
        <w:tc>
          <w:tcPr>
            <w:tcW w:w="451" w:type="pct"/>
            <w:shd w:val="clear" w:color="auto" w:fill="auto"/>
            <w:tcMar>
              <w:left w:w="85" w:type="dxa"/>
              <w:right w:w="57" w:type="dxa"/>
            </w:tcMar>
          </w:tcPr>
          <w:p w14:paraId="6CC3CC1F" w14:textId="6C1402BB" w:rsidR="001F30F6" w:rsidRPr="00117487" w:rsidRDefault="001F30F6" w:rsidP="0018039E">
            <w:pPr>
              <w:pStyle w:val="TableText"/>
            </w:pPr>
            <w:r w:rsidRPr="00117487">
              <w:t xml:space="preserve">20 </w:t>
            </w:r>
            <w:r w:rsidR="00A53360">
              <w:rPr>
                <w:rStyle w:val="Strong"/>
                <w:vertAlign w:val="superscript"/>
              </w:rPr>
              <w:t>b</w:t>
            </w:r>
          </w:p>
        </w:tc>
        <w:tc>
          <w:tcPr>
            <w:tcW w:w="601" w:type="pct"/>
            <w:shd w:val="clear" w:color="auto" w:fill="auto"/>
            <w:tcMar>
              <w:left w:w="85" w:type="dxa"/>
              <w:right w:w="57" w:type="dxa"/>
            </w:tcMar>
          </w:tcPr>
          <w:p w14:paraId="2E7AA511"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321B54EB" w14:textId="6AD07EE3" w:rsidR="001F30F6" w:rsidRPr="00117487" w:rsidRDefault="0018039E" w:rsidP="0018039E">
            <w:pPr>
              <w:pStyle w:val="TableText"/>
            </w:pPr>
            <w:r>
              <w:rPr>
                <w:noProof/>
              </w:rPr>
              <w:t>Fisher and</w:t>
            </w:r>
            <w:r w:rsidR="001F30F6" w:rsidRPr="00117487">
              <w:rPr>
                <w:noProof/>
              </w:rPr>
              <w:t xml:space="preserve"> Frood </w:t>
            </w:r>
            <w:r w:rsidR="001F30F6">
              <w:rPr>
                <w:noProof/>
              </w:rPr>
              <w:t>(19</w:t>
            </w:r>
            <w:r w:rsidR="001F30F6" w:rsidRPr="00117487">
              <w:rPr>
                <w:noProof/>
              </w:rPr>
              <w:t>80)</w:t>
            </w:r>
          </w:p>
        </w:tc>
      </w:tr>
      <w:tr w:rsidR="0018039E" w:rsidRPr="00C40F31" w14:paraId="37315D2D" w14:textId="77777777" w:rsidTr="00F73B08">
        <w:trPr>
          <w:cantSplit/>
        </w:trPr>
        <w:tc>
          <w:tcPr>
            <w:tcW w:w="502" w:type="pct"/>
            <w:shd w:val="clear" w:color="auto" w:fill="auto"/>
            <w:tcMar>
              <w:left w:w="85" w:type="dxa"/>
              <w:right w:w="57" w:type="dxa"/>
            </w:tcMar>
          </w:tcPr>
          <w:p w14:paraId="4CD23E13" w14:textId="77777777" w:rsidR="001F30F6" w:rsidRPr="00117487" w:rsidRDefault="001F30F6" w:rsidP="0018039E">
            <w:pPr>
              <w:pStyle w:val="TableText"/>
            </w:pPr>
            <w:r w:rsidRPr="00117487">
              <w:t>Echinoderm</w:t>
            </w:r>
          </w:p>
        </w:tc>
        <w:tc>
          <w:tcPr>
            <w:tcW w:w="687" w:type="pct"/>
            <w:shd w:val="clear" w:color="auto" w:fill="auto"/>
            <w:tcMar>
              <w:left w:w="85" w:type="dxa"/>
              <w:right w:w="57" w:type="dxa"/>
            </w:tcMar>
          </w:tcPr>
          <w:p w14:paraId="38A44900" w14:textId="28B9536F" w:rsidR="001F30F6" w:rsidRPr="0018039E" w:rsidRDefault="001F30F6" w:rsidP="0018039E">
            <w:pPr>
              <w:pStyle w:val="TableText"/>
            </w:pPr>
            <w:proofErr w:type="spellStart"/>
            <w:r w:rsidRPr="0018039E">
              <w:rPr>
                <w:rStyle w:val="Emphasis"/>
              </w:rPr>
              <w:t>Tripneustes</w:t>
            </w:r>
            <w:proofErr w:type="spellEnd"/>
            <w:r w:rsidRPr="0018039E">
              <w:rPr>
                <w:rStyle w:val="Emphasis"/>
              </w:rPr>
              <w:t xml:space="preserve"> </w:t>
            </w:r>
            <w:proofErr w:type="spellStart"/>
            <w:r w:rsidRPr="0018039E">
              <w:rPr>
                <w:rStyle w:val="Emphasis"/>
              </w:rPr>
              <w:t>gratilla</w:t>
            </w:r>
            <w:proofErr w:type="spellEnd"/>
            <w:r w:rsidRPr="0018039E">
              <w:t xml:space="preserve"> </w:t>
            </w:r>
          </w:p>
        </w:tc>
        <w:tc>
          <w:tcPr>
            <w:tcW w:w="356" w:type="pct"/>
            <w:shd w:val="clear" w:color="auto" w:fill="auto"/>
            <w:tcMar>
              <w:left w:w="85" w:type="dxa"/>
              <w:right w:w="57" w:type="dxa"/>
            </w:tcMar>
          </w:tcPr>
          <w:p w14:paraId="119166A2" w14:textId="77777777" w:rsidR="001F30F6" w:rsidRPr="00117487" w:rsidRDefault="001F30F6" w:rsidP="0018039E">
            <w:pPr>
              <w:pStyle w:val="TableText"/>
            </w:pPr>
            <w:r w:rsidRPr="00117487">
              <w:t>Gametes</w:t>
            </w:r>
          </w:p>
        </w:tc>
        <w:tc>
          <w:tcPr>
            <w:tcW w:w="293" w:type="pct"/>
            <w:shd w:val="clear" w:color="auto" w:fill="auto"/>
            <w:tcMar>
              <w:left w:w="85" w:type="dxa"/>
              <w:right w:w="57" w:type="dxa"/>
            </w:tcMar>
          </w:tcPr>
          <w:p w14:paraId="121B2255" w14:textId="77777777" w:rsidR="001F30F6" w:rsidRPr="00117487" w:rsidRDefault="001F30F6" w:rsidP="0018039E">
            <w:pPr>
              <w:pStyle w:val="TableText"/>
            </w:pPr>
            <w:r w:rsidRPr="00117487">
              <w:t>0.25</w:t>
            </w:r>
          </w:p>
        </w:tc>
        <w:tc>
          <w:tcPr>
            <w:tcW w:w="478" w:type="pct"/>
          </w:tcPr>
          <w:p w14:paraId="14B8D903" w14:textId="77777777" w:rsidR="0018039E" w:rsidRDefault="001F30F6" w:rsidP="0018039E">
            <w:pPr>
              <w:pStyle w:val="TableText"/>
            </w:pPr>
            <w:r w:rsidRPr="00117487">
              <w:t xml:space="preserve">NOEC </w:t>
            </w:r>
          </w:p>
          <w:p w14:paraId="3600C350" w14:textId="126A1532" w:rsidR="001F30F6" w:rsidRPr="00117487" w:rsidRDefault="001F30F6" w:rsidP="0018039E">
            <w:pPr>
              <w:pStyle w:val="TableText"/>
            </w:pPr>
            <w:r w:rsidRPr="00117487">
              <w:t>(Development)</w:t>
            </w:r>
          </w:p>
        </w:tc>
        <w:tc>
          <w:tcPr>
            <w:tcW w:w="341" w:type="pct"/>
            <w:shd w:val="clear" w:color="auto" w:fill="auto"/>
            <w:tcMar>
              <w:left w:w="85" w:type="dxa"/>
              <w:right w:w="57" w:type="dxa"/>
            </w:tcMar>
          </w:tcPr>
          <w:p w14:paraId="5651A2E3" w14:textId="77777777" w:rsidR="001F30F6" w:rsidRPr="00117487" w:rsidRDefault="001F30F6" w:rsidP="0018039E">
            <w:pPr>
              <w:pStyle w:val="TableText"/>
            </w:pPr>
            <w:r w:rsidRPr="00117487">
              <w:t>31</w:t>
            </w:r>
          </w:p>
        </w:tc>
        <w:tc>
          <w:tcPr>
            <w:tcW w:w="400" w:type="pct"/>
            <w:shd w:val="clear" w:color="auto" w:fill="auto"/>
            <w:tcMar>
              <w:left w:w="85" w:type="dxa"/>
              <w:right w:w="57" w:type="dxa"/>
            </w:tcMar>
          </w:tcPr>
          <w:p w14:paraId="14E2BB9B" w14:textId="77777777" w:rsidR="001F30F6" w:rsidRPr="00117487" w:rsidRDefault="001F30F6" w:rsidP="0018039E">
            <w:pPr>
              <w:pStyle w:val="TableText"/>
            </w:pPr>
            <w:r w:rsidRPr="00117487">
              <w:t>28</w:t>
            </w:r>
          </w:p>
        </w:tc>
        <w:tc>
          <w:tcPr>
            <w:tcW w:w="380" w:type="pct"/>
            <w:shd w:val="clear" w:color="auto" w:fill="auto"/>
            <w:tcMar>
              <w:left w:w="85" w:type="dxa"/>
              <w:right w:w="57" w:type="dxa"/>
            </w:tcMar>
          </w:tcPr>
          <w:p w14:paraId="5943D451" w14:textId="77777777" w:rsidR="001F30F6" w:rsidRPr="00117487" w:rsidRDefault="001F30F6" w:rsidP="0018039E">
            <w:pPr>
              <w:pStyle w:val="TableText"/>
            </w:pPr>
            <w:r w:rsidRPr="00117487">
              <w:t>25</w:t>
            </w:r>
          </w:p>
        </w:tc>
        <w:tc>
          <w:tcPr>
            <w:tcW w:w="451" w:type="pct"/>
            <w:shd w:val="clear" w:color="auto" w:fill="auto"/>
            <w:tcMar>
              <w:left w:w="85" w:type="dxa"/>
              <w:right w:w="57" w:type="dxa"/>
            </w:tcMar>
          </w:tcPr>
          <w:p w14:paraId="1A350B4F" w14:textId="77777777" w:rsidR="001F30F6" w:rsidRPr="00117487" w:rsidRDefault="001F30F6" w:rsidP="0018039E">
            <w:pPr>
              <w:pStyle w:val="TableText"/>
            </w:pPr>
            <w:r w:rsidRPr="00117487">
              <w:t>25</w:t>
            </w:r>
          </w:p>
        </w:tc>
        <w:tc>
          <w:tcPr>
            <w:tcW w:w="601" w:type="pct"/>
            <w:shd w:val="clear" w:color="auto" w:fill="auto"/>
            <w:tcMar>
              <w:left w:w="85" w:type="dxa"/>
              <w:right w:w="57" w:type="dxa"/>
            </w:tcMar>
          </w:tcPr>
          <w:p w14:paraId="7FFF8E0B"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09F92C9E" w14:textId="407AEBAA" w:rsidR="001F30F6" w:rsidRPr="00117487" w:rsidRDefault="001F30F6" w:rsidP="0018039E">
            <w:pPr>
              <w:pStyle w:val="TableText"/>
            </w:pPr>
            <w:r w:rsidRPr="00117487">
              <w:rPr>
                <w:noProof/>
              </w:rPr>
              <w:t xml:space="preserve">Edullantes </w:t>
            </w:r>
            <w:r w:rsidR="0018039E">
              <w:rPr>
                <w:noProof/>
              </w:rPr>
              <w:t>and</w:t>
            </w:r>
            <w:r w:rsidRPr="00117487">
              <w:rPr>
                <w:noProof/>
              </w:rPr>
              <w:t xml:space="preserve"> Galapate </w:t>
            </w:r>
            <w:r>
              <w:rPr>
                <w:noProof/>
              </w:rPr>
              <w:t>(20</w:t>
            </w:r>
            <w:r w:rsidRPr="00117487">
              <w:rPr>
                <w:noProof/>
              </w:rPr>
              <w:t>14)</w:t>
            </w:r>
          </w:p>
        </w:tc>
      </w:tr>
      <w:tr w:rsidR="0018039E" w:rsidRPr="00C40F31" w14:paraId="3F8F34EA" w14:textId="77777777" w:rsidTr="00F73B08">
        <w:trPr>
          <w:cantSplit/>
        </w:trPr>
        <w:tc>
          <w:tcPr>
            <w:tcW w:w="502" w:type="pct"/>
            <w:shd w:val="clear" w:color="auto" w:fill="auto"/>
            <w:tcMar>
              <w:left w:w="85" w:type="dxa"/>
              <w:right w:w="57" w:type="dxa"/>
            </w:tcMar>
          </w:tcPr>
          <w:p w14:paraId="7BD04E87" w14:textId="78FABC93" w:rsidR="001F30F6" w:rsidRPr="00117487" w:rsidRDefault="001F30F6" w:rsidP="0018039E">
            <w:pPr>
              <w:pStyle w:val="TableText"/>
            </w:pPr>
            <w:r w:rsidRPr="00117487">
              <w:t>Green alga</w:t>
            </w:r>
          </w:p>
        </w:tc>
        <w:tc>
          <w:tcPr>
            <w:tcW w:w="687" w:type="pct"/>
            <w:shd w:val="clear" w:color="auto" w:fill="auto"/>
            <w:tcMar>
              <w:left w:w="85" w:type="dxa"/>
              <w:right w:w="57" w:type="dxa"/>
            </w:tcMar>
          </w:tcPr>
          <w:p w14:paraId="01618051" w14:textId="68C28A6F" w:rsidR="001F30F6" w:rsidRPr="0018039E" w:rsidRDefault="001F30F6" w:rsidP="0018039E">
            <w:pPr>
              <w:pStyle w:val="TableText"/>
            </w:pPr>
            <w:r w:rsidRPr="0018039E">
              <w:rPr>
                <w:rStyle w:val="Emphasis"/>
              </w:rPr>
              <w:t>Ulva intestinalis</w:t>
            </w:r>
            <w:r w:rsidRPr="0018039E">
              <w:t xml:space="preserve"> </w:t>
            </w:r>
          </w:p>
        </w:tc>
        <w:tc>
          <w:tcPr>
            <w:tcW w:w="356" w:type="pct"/>
            <w:shd w:val="clear" w:color="auto" w:fill="auto"/>
            <w:tcMar>
              <w:left w:w="85" w:type="dxa"/>
              <w:right w:w="57" w:type="dxa"/>
            </w:tcMar>
          </w:tcPr>
          <w:p w14:paraId="14844CDD" w14:textId="77777777" w:rsidR="001F30F6" w:rsidRPr="00117487" w:rsidRDefault="001F30F6" w:rsidP="0018039E">
            <w:pPr>
              <w:pStyle w:val="TableText"/>
            </w:pPr>
            <w:r w:rsidRPr="00117487">
              <w:t>Germling</w:t>
            </w:r>
          </w:p>
        </w:tc>
        <w:tc>
          <w:tcPr>
            <w:tcW w:w="293" w:type="pct"/>
            <w:shd w:val="clear" w:color="auto" w:fill="auto"/>
            <w:tcMar>
              <w:left w:w="85" w:type="dxa"/>
              <w:right w:w="57" w:type="dxa"/>
            </w:tcMar>
          </w:tcPr>
          <w:p w14:paraId="32857EEC" w14:textId="77777777" w:rsidR="001F30F6" w:rsidRPr="00117487" w:rsidRDefault="001F30F6" w:rsidP="0018039E">
            <w:pPr>
              <w:pStyle w:val="TableText"/>
            </w:pPr>
            <w:r w:rsidRPr="00117487">
              <w:t>21</w:t>
            </w:r>
          </w:p>
        </w:tc>
        <w:tc>
          <w:tcPr>
            <w:tcW w:w="478" w:type="pct"/>
          </w:tcPr>
          <w:p w14:paraId="25536070" w14:textId="77777777" w:rsidR="0018039E" w:rsidRDefault="001F30F6" w:rsidP="0018039E">
            <w:pPr>
              <w:pStyle w:val="TableText"/>
            </w:pPr>
            <w:r w:rsidRPr="00117487">
              <w:t>NEC</w:t>
            </w:r>
          </w:p>
          <w:p w14:paraId="4662F166" w14:textId="0AA76B9A" w:rsidR="001F30F6" w:rsidRPr="00117487" w:rsidRDefault="001F30F6" w:rsidP="0018039E">
            <w:pPr>
              <w:pStyle w:val="TableText"/>
            </w:pPr>
            <w:r w:rsidRPr="00117487">
              <w:t>(Mortality)</w:t>
            </w:r>
          </w:p>
        </w:tc>
        <w:tc>
          <w:tcPr>
            <w:tcW w:w="341" w:type="pct"/>
            <w:shd w:val="clear" w:color="auto" w:fill="auto"/>
            <w:tcMar>
              <w:left w:w="85" w:type="dxa"/>
              <w:right w:w="57" w:type="dxa"/>
            </w:tcMar>
          </w:tcPr>
          <w:p w14:paraId="5CD3A717" w14:textId="77777777" w:rsidR="001F30F6" w:rsidRPr="00117487" w:rsidRDefault="001F30F6" w:rsidP="0018039E">
            <w:pPr>
              <w:pStyle w:val="TableText"/>
            </w:pPr>
            <w:r w:rsidRPr="00117487">
              <w:t>33</w:t>
            </w:r>
          </w:p>
        </w:tc>
        <w:tc>
          <w:tcPr>
            <w:tcW w:w="400" w:type="pct"/>
            <w:shd w:val="clear" w:color="auto" w:fill="auto"/>
            <w:tcMar>
              <w:left w:w="85" w:type="dxa"/>
              <w:right w:w="57" w:type="dxa"/>
            </w:tcMar>
          </w:tcPr>
          <w:p w14:paraId="3EBDF519" w14:textId="77777777" w:rsidR="001F30F6" w:rsidRPr="00117487" w:rsidRDefault="001F30F6" w:rsidP="0018039E">
            <w:pPr>
              <w:pStyle w:val="TableText"/>
            </w:pPr>
            <w:r w:rsidRPr="00117487">
              <w:t>19.5</w:t>
            </w:r>
          </w:p>
        </w:tc>
        <w:tc>
          <w:tcPr>
            <w:tcW w:w="380" w:type="pct"/>
            <w:shd w:val="clear" w:color="auto" w:fill="auto"/>
            <w:tcMar>
              <w:left w:w="85" w:type="dxa"/>
              <w:right w:w="57" w:type="dxa"/>
            </w:tcMar>
          </w:tcPr>
          <w:p w14:paraId="18708E76" w14:textId="77777777" w:rsidR="001F30F6" w:rsidRPr="00117487" w:rsidRDefault="001F30F6" w:rsidP="0018039E">
            <w:pPr>
              <w:pStyle w:val="TableText"/>
            </w:pPr>
            <w:r w:rsidRPr="00117487">
              <w:t>30</w:t>
            </w:r>
          </w:p>
        </w:tc>
        <w:tc>
          <w:tcPr>
            <w:tcW w:w="451" w:type="pct"/>
            <w:shd w:val="clear" w:color="auto" w:fill="auto"/>
            <w:tcMar>
              <w:left w:w="85" w:type="dxa"/>
              <w:right w:w="57" w:type="dxa"/>
            </w:tcMar>
          </w:tcPr>
          <w:p w14:paraId="3115F832" w14:textId="77777777" w:rsidR="001F30F6" w:rsidRPr="00117487" w:rsidRDefault="001F30F6" w:rsidP="0018039E">
            <w:pPr>
              <w:pStyle w:val="TableText"/>
            </w:pPr>
            <w:r w:rsidRPr="00117487">
              <w:t>30</w:t>
            </w:r>
          </w:p>
        </w:tc>
        <w:tc>
          <w:tcPr>
            <w:tcW w:w="601" w:type="pct"/>
            <w:shd w:val="clear" w:color="auto" w:fill="auto"/>
            <w:tcMar>
              <w:left w:w="85" w:type="dxa"/>
              <w:right w:w="57" w:type="dxa"/>
            </w:tcMar>
          </w:tcPr>
          <w:p w14:paraId="32DF59E6"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3D88AE30" w14:textId="77777777" w:rsidR="001F30F6" w:rsidRPr="00117487" w:rsidRDefault="001F30F6" w:rsidP="0018039E">
            <w:pPr>
              <w:pStyle w:val="TableText"/>
            </w:pPr>
            <w:r w:rsidRPr="00117487">
              <w:rPr>
                <w:noProof/>
              </w:rPr>
              <w:t xml:space="preserve">Girling et al. </w:t>
            </w:r>
            <w:r>
              <w:rPr>
                <w:noProof/>
              </w:rPr>
              <w:t>(20</w:t>
            </w:r>
            <w:r w:rsidRPr="00117487">
              <w:rPr>
                <w:noProof/>
              </w:rPr>
              <w:t>15)</w:t>
            </w:r>
          </w:p>
        </w:tc>
      </w:tr>
      <w:tr w:rsidR="0018039E" w:rsidRPr="00C40F31" w14:paraId="0FFDDCEB" w14:textId="77777777" w:rsidTr="00F73B08">
        <w:trPr>
          <w:cantSplit/>
        </w:trPr>
        <w:tc>
          <w:tcPr>
            <w:tcW w:w="502" w:type="pct"/>
            <w:shd w:val="clear" w:color="auto" w:fill="auto"/>
            <w:tcMar>
              <w:left w:w="85" w:type="dxa"/>
              <w:right w:w="57" w:type="dxa"/>
            </w:tcMar>
          </w:tcPr>
          <w:p w14:paraId="73EDC7CD" w14:textId="77777777" w:rsidR="001F30F6" w:rsidRPr="00117487" w:rsidRDefault="001F30F6" w:rsidP="0018039E">
            <w:pPr>
              <w:pStyle w:val="TableText"/>
            </w:pPr>
            <w:r w:rsidRPr="00117487">
              <w:t>Echinoderm</w:t>
            </w:r>
          </w:p>
        </w:tc>
        <w:tc>
          <w:tcPr>
            <w:tcW w:w="687" w:type="pct"/>
            <w:shd w:val="clear" w:color="auto" w:fill="auto"/>
            <w:tcMar>
              <w:left w:w="85" w:type="dxa"/>
              <w:right w:w="57" w:type="dxa"/>
            </w:tcMar>
          </w:tcPr>
          <w:p w14:paraId="0416F8AA" w14:textId="0A45BE9C" w:rsidR="001F30F6" w:rsidRPr="0018039E" w:rsidRDefault="001F30F6" w:rsidP="0018039E">
            <w:pPr>
              <w:pStyle w:val="TableText"/>
            </w:pPr>
            <w:proofErr w:type="spellStart"/>
            <w:r w:rsidRPr="0018039E">
              <w:rPr>
                <w:rStyle w:val="Emphasis"/>
              </w:rPr>
              <w:t>Centrostephanus</w:t>
            </w:r>
            <w:proofErr w:type="spellEnd"/>
            <w:r w:rsidRPr="0018039E">
              <w:rPr>
                <w:rStyle w:val="Emphasis"/>
              </w:rPr>
              <w:t xml:space="preserve"> </w:t>
            </w:r>
            <w:proofErr w:type="spellStart"/>
            <w:r w:rsidRPr="0018039E">
              <w:rPr>
                <w:rStyle w:val="Emphasis"/>
              </w:rPr>
              <w:t>rodgersii</w:t>
            </w:r>
            <w:proofErr w:type="spellEnd"/>
            <w:r w:rsidRPr="0018039E">
              <w:t xml:space="preserve"> </w:t>
            </w:r>
          </w:p>
        </w:tc>
        <w:tc>
          <w:tcPr>
            <w:tcW w:w="356" w:type="pct"/>
            <w:shd w:val="clear" w:color="auto" w:fill="auto"/>
            <w:tcMar>
              <w:left w:w="85" w:type="dxa"/>
              <w:right w:w="57" w:type="dxa"/>
            </w:tcMar>
          </w:tcPr>
          <w:p w14:paraId="004E4889" w14:textId="77777777" w:rsidR="001F30F6" w:rsidRPr="00117487" w:rsidRDefault="001F30F6" w:rsidP="0018039E">
            <w:pPr>
              <w:pStyle w:val="TableText"/>
            </w:pPr>
            <w:r w:rsidRPr="00117487">
              <w:t>Sperm</w:t>
            </w:r>
          </w:p>
        </w:tc>
        <w:tc>
          <w:tcPr>
            <w:tcW w:w="293" w:type="pct"/>
            <w:shd w:val="clear" w:color="auto" w:fill="auto"/>
            <w:tcMar>
              <w:left w:w="85" w:type="dxa"/>
              <w:right w:w="57" w:type="dxa"/>
            </w:tcMar>
          </w:tcPr>
          <w:p w14:paraId="56415AC7" w14:textId="77777777" w:rsidR="001F30F6" w:rsidRPr="00117487" w:rsidRDefault="001F30F6" w:rsidP="0018039E">
            <w:pPr>
              <w:pStyle w:val="TableText"/>
            </w:pPr>
            <w:r w:rsidRPr="00117487">
              <w:t>0.055</w:t>
            </w:r>
          </w:p>
        </w:tc>
        <w:tc>
          <w:tcPr>
            <w:tcW w:w="478" w:type="pct"/>
          </w:tcPr>
          <w:p w14:paraId="0ABBCF1F" w14:textId="77777777" w:rsidR="0018039E" w:rsidRDefault="001F30F6" w:rsidP="0018039E">
            <w:pPr>
              <w:pStyle w:val="TableText"/>
            </w:pPr>
            <w:r w:rsidRPr="00117487">
              <w:t xml:space="preserve">NOEC </w:t>
            </w:r>
          </w:p>
          <w:p w14:paraId="2444682D" w14:textId="62059554" w:rsidR="001F30F6" w:rsidRPr="00117487" w:rsidRDefault="001F30F6" w:rsidP="0018039E">
            <w:pPr>
              <w:pStyle w:val="TableText"/>
            </w:pPr>
            <w:r w:rsidRPr="00117487">
              <w:t>(Fertilisation)</w:t>
            </w:r>
          </w:p>
        </w:tc>
        <w:tc>
          <w:tcPr>
            <w:tcW w:w="341" w:type="pct"/>
            <w:shd w:val="clear" w:color="auto" w:fill="auto"/>
            <w:tcMar>
              <w:left w:w="85" w:type="dxa"/>
              <w:right w:w="57" w:type="dxa"/>
            </w:tcMar>
          </w:tcPr>
          <w:p w14:paraId="6F5D4D14" w14:textId="77777777" w:rsidR="001F30F6" w:rsidRPr="00117487" w:rsidRDefault="001F30F6" w:rsidP="0018039E">
            <w:pPr>
              <w:pStyle w:val="TableText"/>
            </w:pPr>
            <w:r w:rsidRPr="00117487">
              <w:t>35.5</w:t>
            </w:r>
          </w:p>
        </w:tc>
        <w:tc>
          <w:tcPr>
            <w:tcW w:w="400" w:type="pct"/>
            <w:shd w:val="clear" w:color="auto" w:fill="auto"/>
            <w:tcMar>
              <w:left w:w="85" w:type="dxa"/>
              <w:right w:w="57" w:type="dxa"/>
            </w:tcMar>
          </w:tcPr>
          <w:p w14:paraId="6962E416" w14:textId="77777777" w:rsidR="001F30F6" w:rsidRPr="00117487" w:rsidRDefault="001F30F6" w:rsidP="0018039E">
            <w:pPr>
              <w:pStyle w:val="TableText"/>
            </w:pPr>
            <w:r w:rsidRPr="00117487">
              <w:t>20</w:t>
            </w:r>
          </w:p>
        </w:tc>
        <w:tc>
          <w:tcPr>
            <w:tcW w:w="380" w:type="pct"/>
            <w:shd w:val="clear" w:color="auto" w:fill="auto"/>
            <w:tcMar>
              <w:left w:w="85" w:type="dxa"/>
              <w:right w:w="57" w:type="dxa"/>
            </w:tcMar>
          </w:tcPr>
          <w:p w14:paraId="11D50885" w14:textId="77777777" w:rsidR="001F30F6" w:rsidRPr="00117487" w:rsidRDefault="001F30F6" w:rsidP="0018039E">
            <w:pPr>
              <w:pStyle w:val="TableText"/>
            </w:pPr>
            <w:r w:rsidRPr="00117487">
              <w:t>40</w:t>
            </w:r>
          </w:p>
        </w:tc>
        <w:tc>
          <w:tcPr>
            <w:tcW w:w="451" w:type="pct"/>
            <w:shd w:val="clear" w:color="auto" w:fill="auto"/>
            <w:tcMar>
              <w:left w:w="85" w:type="dxa"/>
              <w:right w:w="57" w:type="dxa"/>
            </w:tcMar>
          </w:tcPr>
          <w:p w14:paraId="34B498B4" w14:textId="77777777" w:rsidR="001F30F6" w:rsidRPr="00117487" w:rsidRDefault="001F30F6" w:rsidP="0018039E">
            <w:pPr>
              <w:pStyle w:val="TableText"/>
            </w:pPr>
            <w:r w:rsidRPr="00117487">
              <w:t>40</w:t>
            </w:r>
          </w:p>
        </w:tc>
        <w:tc>
          <w:tcPr>
            <w:tcW w:w="601" w:type="pct"/>
            <w:shd w:val="clear" w:color="auto" w:fill="auto"/>
            <w:tcMar>
              <w:left w:w="85" w:type="dxa"/>
              <w:right w:w="57" w:type="dxa"/>
            </w:tcMar>
          </w:tcPr>
          <w:p w14:paraId="0F5308AF"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7F80EC80" w14:textId="77777777" w:rsidR="001F30F6" w:rsidRPr="00117487" w:rsidRDefault="001F30F6" w:rsidP="0018039E">
            <w:pPr>
              <w:pStyle w:val="TableText"/>
            </w:pPr>
            <w:r w:rsidRPr="00117487">
              <w:rPr>
                <w:noProof/>
              </w:rPr>
              <w:t xml:space="preserve">King </w:t>
            </w:r>
            <w:r>
              <w:rPr>
                <w:noProof/>
              </w:rPr>
              <w:t>(19</w:t>
            </w:r>
            <w:r w:rsidRPr="00117487">
              <w:rPr>
                <w:noProof/>
              </w:rPr>
              <w:t>99)</w:t>
            </w:r>
          </w:p>
        </w:tc>
      </w:tr>
      <w:tr w:rsidR="0018039E" w:rsidRPr="00C40F31" w14:paraId="5D07236F" w14:textId="77777777" w:rsidTr="00F73B08">
        <w:trPr>
          <w:cantSplit/>
        </w:trPr>
        <w:tc>
          <w:tcPr>
            <w:tcW w:w="502" w:type="pct"/>
            <w:shd w:val="clear" w:color="auto" w:fill="auto"/>
            <w:tcMar>
              <w:left w:w="85" w:type="dxa"/>
              <w:right w:w="57" w:type="dxa"/>
            </w:tcMar>
          </w:tcPr>
          <w:p w14:paraId="1910E4F0" w14:textId="77777777" w:rsidR="001F30F6" w:rsidRPr="00117487" w:rsidRDefault="001F30F6" w:rsidP="0018039E">
            <w:pPr>
              <w:pStyle w:val="TableText"/>
            </w:pPr>
            <w:r w:rsidRPr="00117487">
              <w:t>Echinoderm</w:t>
            </w:r>
          </w:p>
        </w:tc>
        <w:tc>
          <w:tcPr>
            <w:tcW w:w="687" w:type="pct"/>
            <w:shd w:val="clear" w:color="auto" w:fill="auto"/>
            <w:tcMar>
              <w:left w:w="85" w:type="dxa"/>
              <w:right w:w="57" w:type="dxa"/>
            </w:tcMar>
          </w:tcPr>
          <w:p w14:paraId="382B7C31" w14:textId="24B1D882" w:rsidR="001F30F6" w:rsidRPr="0018039E" w:rsidRDefault="001F30F6" w:rsidP="0018039E">
            <w:pPr>
              <w:pStyle w:val="TableText"/>
            </w:pPr>
            <w:proofErr w:type="spellStart"/>
            <w:r w:rsidRPr="0018039E">
              <w:rPr>
                <w:rStyle w:val="Emphasis"/>
              </w:rPr>
              <w:t>Heliocidaris</w:t>
            </w:r>
            <w:proofErr w:type="spellEnd"/>
            <w:r w:rsidRPr="0018039E">
              <w:rPr>
                <w:rStyle w:val="Emphasis"/>
              </w:rPr>
              <w:t xml:space="preserve"> </w:t>
            </w:r>
            <w:r w:rsidR="0018039E" w:rsidRPr="0018039E">
              <w:rPr>
                <w:rStyle w:val="Emphasis"/>
              </w:rPr>
              <w:t>tuberculate</w:t>
            </w:r>
            <w:r w:rsidR="0018039E">
              <w:t xml:space="preserve"> </w:t>
            </w:r>
          </w:p>
        </w:tc>
        <w:tc>
          <w:tcPr>
            <w:tcW w:w="356" w:type="pct"/>
            <w:shd w:val="clear" w:color="auto" w:fill="auto"/>
            <w:tcMar>
              <w:left w:w="85" w:type="dxa"/>
              <w:right w:w="57" w:type="dxa"/>
            </w:tcMar>
          </w:tcPr>
          <w:p w14:paraId="774835B2" w14:textId="77777777" w:rsidR="001F30F6" w:rsidRPr="00117487" w:rsidRDefault="001F30F6" w:rsidP="0018039E">
            <w:pPr>
              <w:pStyle w:val="TableText"/>
            </w:pPr>
            <w:r w:rsidRPr="00117487">
              <w:t>Gametes</w:t>
            </w:r>
          </w:p>
        </w:tc>
        <w:tc>
          <w:tcPr>
            <w:tcW w:w="293" w:type="pct"/>
            <w:shd w:val="clear" w:color="auto" w:fill="auto"/>
            <w:tcMar>
              <w:left w:w="85" w:type="dxa"/>
              <w:right w:w="57" w:type="dxa"/>
            </w:tcMar>
          </w:tcPr>
          <w:p w14:paraId="2840DBF6" w14:textId="77777777" w:rsidR="001F30F6" w:rsidRPr="00117487" w:rsidRDefault="001F30F6" w:rsidP="0018039E">
            <w:pPr>
              <w:pStyle w:val="TableText"/>
            </w:pPr>
            <w:r w:rsidRPr="00117487">
              <w:t>3</w:t>
            </w:r>
          </w:p>
        </w:tc>
        <w:tc>
          <w:tcPr>
            <w:tcW w:w="478" w:type="pct"/>
          </w:tcPr>
          <w:p w14:paraId="0B3E92C8" w14:textId="77777777" w:rsidR="0018039E" w:rsidRDefault="001F30F6" w:rsidP="0018039E">
            <w:pPr>
              <w:pStyle w:val="TableText"/>
            </w:pPr>
            <w:r w:rsidRPr="00117487">
              <w:t xml:space="preserve">NOEC </w:t>
            </w:r>
          </w:p>
          <w:p w14:paraId="5B432E3A" w14:textId="7A91BF45" w:rsidR="001F30F6" w:rsidRPr="00117487" w:rsidRDefault="001F30F6" w:rsidP="0018039E">
            <w:pPr>
              <w:pStyle w:val="TableText"/>
            </w:pPr>
            <w:r w:rsidRPr="00117487">
              <w:t>(Development)</w:t>
            </w:r>
          </w:p>
        </w:tc>
        <w:tc>
          <w:tcPr>
            <w:tcW w:w="341" w:type="pct"/>
            <w:shd w:val="clear" w:color="auto" w:fill="auto"/>
            <w:tcMar>
              <w:left w:w="85" w:type="dxa"/>
              <w:right w:w="57" w:type="dxa"/>
            </w:tcMar>
          </w:tcPr>
          <w:p w14:paraId="3B515A50" w14:textId="77777777" w:rsidR="001F30F6" w:rsidRPr="00117487" w:rsidRDefault="001F30F6" w:rsidP="0018039E">
            <w:pPr>
              <w:pStyle w:val="TableText"/>
            </w:pPr>
            <w:r w:rsidRPr="00117487">
              <w:t>34</w:t>
            </w:r>
          </w:p>
        </w:tc>
        <w:tc>
          <w:tcPr>
            <w:tcW w:w="400" w:type="pct"/>
            <w:shd w:val="clear" w:color="auto" w:fill="auto"/>
            <w:tcMar>
              <w:left w:w="85" w:type="dxa"/>
              <w:right w:w="57" w:type="dxa"/>
            </w:tcMar>
          </w:tcPr>
          <w:p w14:paraId="3B02707A" w14:textId="77777777" w:rsidR="001F30F6" w:rsidRPr="00117487" w:rsidRDefault="001F30F6" w:rsidP="0018039E">
            <w:pPr>
              <w:pStyle w:val="TableText"/>
            </w:pPr>
            <w:r w:rsidRPr="00117487">
              <w:t>18</w:t>
            </w:r>
          </w:p>
        </w:tc>
        <w:tc>
          <w:tcPr>
            <w:tcW w:w="380" w:type="pct"/>
            <w:shd w:val="clear" w:color="auto" w:fill="auto"/>
            <w:tcMar>
              <w:left w:w="85" w:type="dxa"/>
              <w:right w:w="57" w:type="dxa"/>
            </w:tcMar>
          </w:tcPr>
          <w:p w14:paraId="67A1C1BF" w14:textId="77777777" w:rsidR="001F30F6" w:rsidRPr="00117487" w:rsidRDefault="001F30F6" w:rsidP="0018039E">
            <w:pPr>
              <w:pStyle w:val="TableText"/>
            </w:pPr>
            <w:r w:rsidRPr="00117487">
              <w:t>55</w:t>
            </w:r>
          </w:p>
        </w:tc>
        <w:tc>
          <w:tcPr>
            <w:tcW w:w="451" w:type="pct"/>
            <w:shd w:val="clear" w:color="auto" w:fill="auto"/>
            <w:tcMar>
              <w:left w:w="85" w:type="dxa"/>
              <w:right w:w="57" w:type="dxa"/>
            </w:tcMar>
          </w:tcPr>
          <w:p w14:paraId="4392BCE4" w14:textId="77777777" w:rsidR="001F30F6" w:rsidRPr="00117487" w:rsidRDefault="001F30F6" w:rsidP="0018039E">
            <w:pPr>
              <w:pStyle w:val="TableText"/>
            </w:pPr>
            <w:r w:rsidRPr="00117487">
              <w:t>55</w:t>
            </w:r>
          </w:p>
        </w:tc>
        <w:tc>
          <w:tcPr>
            <w:tcW w:w="601" w:type="pct"/>
            <w:shd w:val="clear" w:color="auto" w:fill="auto"/>
            <w:tcMar>
              <w:left w:w="85" w:type="dxa"/>
              <w:right w:w="57" w:type="dxa"/>
            </w:tcMar>
          </w:tcPr>
          <w:p w14:paraId="6F653E02"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1A08C1FF" w14:textId="77777777" w:rsidR="001F30F6" w:rsidRPr="00117487" w:rsidRDefault="001F30F6" w:rsidP="0018039E">
            <w:pPr>
              <w:pStyle w:val="TableText"/>
              <w:rPr>
                <w:noProof/>
              </w:rPr>
            </w:pPr>
            <w:r w:rsidRPr="00117487">
              <w:rPr>
                <w:noProof/>
              </w:rPr>
              <w:t xml:space="preserve">Doyle et al. </w:t>
            </w:r>
            <w:r>
              <w:rPr>
                <w:noProof/>
              </w:rPr>
              <w:t>(20</w:t>
            </w:r>
            <w:r w:rsidRPr="00117487">
              <w:rPr>
                <w:noProof/>
              </w:rPr>
              <w:t>03)</w:t>
            </w:r>
          </w:p>
        </w:tc>
      </w:tr>
      <w:tr w:rsidR="0018039E" w:rsidRPr="00C40F31" w14:paraId="44C1808D" w14:textId="77777777" w:rsidTr="00F73B08">
        <w:trPr>
          <w:cantSplit/>
        </w:trPr>
        <w:tc>
          <w:tcPr>
            <w:tcW w:w="502" w:type="pct"/>
            <w:shd w:val="clear" w:color="auto" w:fill="auto"/>
            <w:tcMar>
              <w:left w:w="85" w:type="dxa"/>
              <w:right w:w="57" w:type="dxa"/>
            </w:tcMar>
          </w:tcPr>
          <w:p w14:paraId="75E74452" w14:textId="77777777" w:rsidR="001F30F6" w:rsidRPr="00117487" w:rsidRDefault="001F30F6" w:rsidP="0018039E">
            <w:pPr>
              <w:pStyle w:val="TableText"/>
            </w:pPr>
            <w:r w:rsidRPr="00117487">
              <w:lastRenderedPageBreak/>
              <w:t>Diatom</w:t>
            </w:r>
          </w:p>
        </w:tc>
        <w:tc>
          <w:tcPr>
            <w:tcW w:w="687" w:type="pct"/>
            <w:shd w:val="clear" w:color="auto" w:fill="auto"/>
            <w:tcMar>
              <w:left w:w="85" w:type="dxa"/>
              <w:right w:w="57" w:type="dxa"/>
            </w:tcMar>
          </w:tcPr>
          <w:p w14:paraId="4434E650" w14:textId="77777777" w:rsidR="001F30F6" w:rsidRPr="0018039E" w:rsidRDefault="001F30F6" w:rsidP="0018039E">
            <w:pPr>
              <w:pStyle w:val="TableText"/>
              <w:rPr>
                <w:rStyle w:val="Emphasis"/>
              </w:rPr>
            </w:pPr>
            <w:proofErr w:type="spellStart"/>
            <w:r w:rsidRPr="0018039E">
              <w:rPr>
                <w:rStyle w:val="Emphasis"/>
              </w:rPr>
              <w:t>Skeletonema</w:t>
            </w:r>
            <w:proofErr w:type="spellEnd"/>
            <w:r w:rsidRPr="0018039E">
              <w:rPr>
                <w:rStyle w:val="Emphasis"/>
              </w:rPr>
              <w:t xml:space="preserve"> </w:t>
            </w:r>
            <w:proofErr w:type="spellStart"/>
            <w:r w:rsidRPr="0018039E">
              <w:rPr>
                <w:rStyle w:val="Emphasis"/>
              </w:rPr>
              <w:t>costatum</w:t>
            </w:r>
            <w:proofErr w:type="spellEnd"/>
          </w:p>
        </w:tc>
        <w:tc>
          <w:tcPr>
            <w:tcW w:w="356" w:type="pct"/>
            <w:shd w:val="clear" w:color="auto" w:fill="auto"/>
            <w:tcMar>
              <w:left w:w="85" w:type="dxa"/>
              <w:right w:w="57" w:type="dxa"/>
            </w:tcMar>
          </w:tcPr>
          <w:p w14:paraId="3C7473E3" w14:textId="77777777" w:rsidR="001F30F6" w:rsidRPr="00117487" w:rsidRDefault="001F30F6" w:rsidP="0018039E">
            <w:pPr>
              <w:pStyle w:val="TableText"/>
            </w:pPr>
            <w:r w:rsidRPr="00117487">
              <w:t>Exponential growth</w:t>
            </w:r>
          </w:p>
        </w:tc>
        <w:tc>
          <w:tcPr>
            <w:tcW w:w="293" w:type="pct"/>
            <w:shd w:val="clear" w:color="auto" w:fill="auto"/>
            <w:tcMar>
              <w:left w:w="85" w:type="dxa"/>
              <w:right w:w="57" w:type="dxa"/>
            </w:tcMar>
          </w:tcPr>
          <w:p w14:paraId="5A8EA9B9" w14:textId="77777777" w:rsidR="001F30F6" w:rsidRPr="00117487" w:rsidRDefault="001F30F6" w:rsidP="0018039E">
            <w:pPr>
              <w:pStyle w:val="TableText"/>
            </w:pPr>
            <w:r w:rsidRPr="00117487">
              <w:t>3</w:t>
            </w:r>
          </w:p>
        </w:tc>
        <w:tc>
          <w:tcPr>
            <w:tcW w:w="478" w:type="pct"/>
          </w:tcPr>
          <w:p w14:paraId="4463B83F" w14:textId="77777777" w:rsidR="0018039E" w:rsidRDefault="001F30F6" w:rsidP="0018039E">
            <w:pPr>
              <w:pStyle w:val="TableText"/>
            </w:pPr>
            <w:r w:rsidRPr="00117487">
              <w:t xml:space="preserve">EC27 </w:t>
            </w:r>
          </w:p>
          <w:p w14:paraId="2E120B61" w14:textId="40A01E3B" w:rsidR="001F30F6" w:rsidRPr="00117487" w:rsidRDefault="001F30F6" w:rsidP="0018039E">
            <w:pPr>
              <w:pStyle w:val="TableText"/>
            </w:pPr>
            <w:r w:rsidRPr="00117487">
              <w:t>(Population growth rate)</w:t>
            </w:r>
          </w:p>
        </w:tc>
        <w:tc>
          <w:tcPr>
            <w:tcW w:w="341" w:type="pct"/>
            <w:shd w:val="clear" w:color="auto" w:fill="auto"/>
            <w:tcMar>
              <w:left w:w="85" w:type="dxa"/>
              <w:right w:w="57" w:type="dxa"/>
            </w:tcMar>
          </w:tcPr>
          <w:p w14:paraId="054B54AB" w14:textId="46215328" w:rsidR="001F30F6" w:rsidRPr="00117487" w:rsidRDefault="00E56097" w:rsidP="0018039E">
            <w:pPr>
              <w:pStyle w:val="TableText"/>
            </w:pPr>
            <w:r>
              <w:t>NR</w:t>
            </w:r>
          </w:p>
        </w:tc>
        <w:tc>
          <w:tcPr>
            <w:tcW w:w="400" w:type="pct"/>
            <w:shd w:val="clear" w:color="auto" w:fill="auto"/>
            <w:tcMar>
              <w:left w:w="85" w:type="dxa"/>
              <w:right w:w="57" w:type="dxa"/>
            </w:tcMar>
          </w:tcPr>
          <w:p w14:paraId="35FBE216" w14:textId="77777777" w:rsidR="001F30F6" w:rsidRPr="00117487" w:rsidRDefault="001F30F6" w:rsidP="0018039E">
            <w:pPr>
              <w:pStyle w:val="TableText"/>
            </w:pPr>
            <w:r w:rsidRPr="00117487">
              <w:t>17</w:t>
            </w:r>
          </w:p>
        </w:tc>
        <w:tc>
          <w:tcPr>
            <w:tcW w:w="380" w:type="pct"/>
            <w:shd w:val="clear" w:color="auto" w:fill="auto"/>
            <w:tcMar>
              <w:left w:w="85" w:type="dxa"/>
              <w:right w:w="57" w:type="dxa"/>
            </w:tcMar>
          </w:tcPr>
          <w:p w14:paraId="1B1D4827" w14:textId="77777777" w:rsidR="001F30F6" w:rsidRPr="00117487" w:rsidRDefault="001F30F6" w:rsidP="0018039E">
            <w:pPr>
              <w:pStyle w:val="TableText"/>
            </w:pPr>
            <w:r w:rsidRPr="00117487">
              <w:t>60</w:t>
            </w:r>
          </w:p>
        </w:tc>
        <w:tc>
          <w:tcPr>
            <w:tcW w:w="451" w:type="pct"/>
            <w:shd w:val="clear" w:color="auto" w:fill="auto"/>
            <w:tcMar>
              <w:left w:w="85" w:type="dxa"/>
              <w:right w:w="57" w:type="dxa"/>
            </w:tcMar>
          </w:tcPr>
          <w:p w14:paraId="4D65B1B2" w14:textId="0573DDA0" w:rsidR="001F30F6" w:rsidRPr="00117487" w:rsidRDefault="001F30F6" w:rsidP="0018039E">
            <w:pPr>
              <w:pStyle w:val="TableText"/>
            </w:pPr>
            <w:r w:rsidRPr="00117487">
              <w:t xml:space="preserve">60 </w:t>
            </w:r>
            <w:r w:rsidR="00A53360">
              <w:rPr>
                <w:rStyle w:val="Strong"/>
                <w:vertAlign w:val="superscript"/>
              </w:rPr>
              <w:t>b</w:t>
            </w:r>
          </w:p>
        </w:tc>
        <w:tc>
          <w:tcPr>
            <w:tcW w:w="601" w:type="pct"/>
            <w:shd w:val="clear" w:color="auto" w:fill="auto"/>
            <w:tcMar>
              <w:left w:w="85" w:type="dxa"/>
              <w:right w:w="57" w:type="dxa"/>
            </w:tcMar>
          </w:tcPr>
          <w:p w14:paraId="515ED5FA"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3E43A945" w14:textId="12B6159D" w:rsidR="001F30F6" w:rsidRPr="00117487" w:rsidRDefault="0018039E" w:rsidP="0018039E">
            <w:pPr>
              <w:pStyle w:val="TableText"/>
            </w:pPr>
            <w:r>
              <w:rPr>
                <w:noProof/>
              </w:rPr>
              <w:t>Fisher and</w:t>
            </w:r>
            <w:r w:rsidR="001F30F6" w:rsidRPr="00117487">
              <w:rPr>
                <w:noProof/>
              </w:rPr>
              <w:t xml:space="preserve"> Frood </w:t>
            </w:r>
            <w:r w:rsidR="001F30F6">
              <w:rPr>
                <w:noProof/>
              </w:rPr>
              <w:t>(19</w:t>
            </w:r>
            <w:r w:rsidR="001F30F6" w:rsidRPr="00117487">
              <w:rPr>
                <w:noProof/>
              </w:rPr>
              <w:t>80)</w:t>
            </w:r>
          </w:p>
        </w:tc>
      </w:tr>
      <w:tr w:rsidR="0018039E" w:rsidRPr="00C40F31" w14:paraId="2F8679D6" w14:textId="77777777" w:rsidTr="00F73B08">
        <w:trPr>
          <w:cantSplit/>
        </w:trPr>
        <w:tc>
          <w:tcPr>
            <w:tcW w:w="502" w:type="pct"/>
            <w:shd w:val="clear" w:color="auto" w:fill="auto"/>
            <w:tcMar>
              <w:left w:w="85" w:type="dxa"/>
              <w:right w:w="57" w:type="dxa"/>
            </w:tcMar>
          </w:tcPr>
          <w:p w14:paraId="4E6D7BCF" w14:textId="77777777" w:rsidR="001F30F6" w:rsidRPr="00117487" w:rsidRDefault="001F30F6" w:rsidP="0018039E">
            <w:pPr>
              <w:pStyle w:val="TableText"/>
            </w:pPr>
            <w:r w:rsidRPr="00117487">
              <w:t>Echinoderm</w:t>
            </w:r>
          </w:p>
        </w:tc>
        <w:tc>
          <w:tcPr>
            <w:tcW w:w="687" w:type="pct"/>
            <w:shd w:val="clear" w:color="auto" w:fill="auto"/>
            <w:tcMar>
              <w:left w:w="85" w:type="dxa"/>
              <w:right w:w="57" w:type="dxa"/>
            </w:tcMar>
          </w:tcPr>
          <w:p w14:paraId="5933A531" w14:textId="55CBCA38" w:rsidR="001F30F6" w:rsidRPr="0018039E" w:rsidRDefault="001F30F6" w:rsidP="0018039E">
            <w:pPr>
              <w:pStyle w:val="TableText"/>
            </w:pPr>
            <w:proofErr w:type="spellStart"/>
            <w:r w:rsidRPr="0018039E">
              <w:rPr>
                <w:rStyle w:val="Emphasis"/>
              </w:rPr>
              <w:t>Centrostephanus</w:t>
            </w:r>
            <w:proofErr w:type="spellEnd"/>
            <w:r w:rsidRPr="0018039E">
              <w:rPr>
                <w:rStyle w:val="Emphasis"/>
              </w:rPr>
              <w:t xml:space="preserve"> </w:t>
            </w:r>
            <w:proofErr w:type="spellStart"/>
            <w:r w:rsidRPr="0018039E">
              <w:rPr>
                <w:rStyle w:val="Emphasis"/>
              </w:rPr>
              <w:t>rodgersii</w:t>
            </w:r>
            <w:proofErr w:type="spellEnd"/>
            <w:r w:rsidRPr="0018039E">
              <w:t xml:space="preserve"> </w:t>
            </w:r>
          </w:p>
        </w:tc>
        <w:tc>
          <w:tcPr>
            <w:tcW w:w="356" w:type="pct"/>
            <w:shd w:val="clear" w:color="auto" w:fill="auto"/>
            <w:tcMar>
              <w:left w:w="85" w:type="dxa"/>
              <w:right w:w="57" w:type="dxa"/>
            </w:tcMar>
          </w:tcPr>
          <w:p w14:paraId="2D551F58" w14:textId="77777777" w:rsidR="001F30F6" w:rsidRPr="00117487" w:rsidRDefault="001F30F6" w:rsidP="0018039E">
            <w:pPr>
              <w:pStyle w:val="TableText"/>
            </w:pPr>
            <w:r w:rsidRPr="00117487">
              <w:t>Larvae</w:t>
            </w:r>
          </w:p>
        </w:tc>
        <w:tc>
          <w:tcPr>
            <w:tcW w:w="293" w:type="pct"/>
            <w:shd w:val="clear" w:color="auto" w:fill="auto"/>
            <w:tcMar>
              <w:left w:w="85" w:type="dxa"/>
              <w:right w:w="57" w:type="dxa"/>
            </w:tcMar>
          </w:tcPr>
          <w:p w14:paraId="35A044F1" w14:textId="77777777" w:rsidR="001F30F6" w:rsidRPr="00117487" w:rsidRDefault="001F30F6" w:rsidP="0018039E">
            <w:pPr>
              <w:pStyle w:val="TableText"/>
            </w:pPr>
            <w:r w:rsidRPr="00117487">
              <w:t>2.8</w:t>
            </w:r>
          </w:p>
        </w:tc>
        <w:tc>
          <w:tcPr>
            <w:tcW w:w="478" w:type="pct"/>
          </w:tcPr>
          <w:p w14:paraId="59B49300" w14:textId="77777777" w:rsidR="0018039E" w:rsidRDefault="001F30F6" w:rsidP="0018039E">
            <w:pPr>
              <w:pStyle w:val="TableText"/>
            </w:pPr>
            <w:r w:rsidRPr="00117487">
              <w:t xml:space="preserve">NOEC </w:t>
            </w:r>
          </w:p>
          <w:p w14:paraId="6081A073" w14:textId="7F785178" w:rsidR="001F30F6" w:rsidRPr="00117487" w:rsidRDefault="001F30F6" w:rsidP="0018039E">
            <w:pPr>
              <w:pStyle w:val="TableText"/>
            </w:pPr>
            <w:r w:rsidRPr="00117487">
              <w:t>(Development)</w:t>
            </w:r>
          </w:p>
        </w:tc>
        <w:tc>
          <w:tcPr>
            <w:tcW w:w="341" w:type="pct"/>
            <w:shd w:val="clear" w:color="auto" w:fill="auto"/>
            <w:tcMar>
              <w:left w:w="85" w:type="dxa"/>
              <w:right w:w="57" w:type="dxa"/>
            </w:tcMar>
          </w:tcPr>
          <w:p w14:paraId="67F53FE1" w14:textId="77777777" w:rsidR="001F30F6" w:rsidRPr="00117487" w:rsidRDefault="001F30F6" w:rsidP="0018039E">
            <w:pPr>
              <w:pStyle w:val="TableText"/>
            </w:pPr>
            <w:r w:rsidRPr="00117487">
              <w:t>35.5</w:t>
            </w:r>
          </w:p>
        </w:tc>
        <w:tc>
          <w:tcPr>
            <w:tcW w:w="400" w:type="pct"/>
            <w:shd w:val="clear" w:color="auto" w:fill="auto"/>
            <w:tcMar>
              <w:left w:w="85" w:type="dxa"/>
              <w:right w:w="57" w:type="dxa"/>
            </w:tcMar>
          </w:tcPr>
          <w:p w14:paraId="46A08E5A" w14:textId="77777777" w:rsidR="001F30F6" w:rsidRPr="00117487" w:rsidRDefault="001F30F6" w:rsidP="0018039E">
            <w:pPr>
              <w:pStyle w:val="TableText"/>
            </w:pPr>
            <w:r w:rsidRPr="00117487">
              <w:t>20</w:t>
            </w:r>
          </w:p>
        </w:tc>
        <w:tc>
          <w:tcPr>
            <w:tcW w:w="380" w:type="pct"/>
            <w:shd w:val="clear" w:color="auto" w:fill="auto"/>
            <w:tcMar>
              <w:left w:w="85" w:type="dxa"/>
              <w:right w:w="57" w:type="dxa"/>
            </w:tcMar>
          </w:tcPr>
          <w:p w14:paraId="1881F6F4" w14:textId="77777777" w:rsidR="001F30F6" w:rsidRPr="00117487" w:rsidRDefault="001F30F6" w:rsidP="0018039E">
            <w:pPr>
              <w:pStyle w:val="TableText"/>
            </w:pPr>
            <w:r w:rsidRPr="00117487">
              <w:t>109</w:t>
            </w:r>
          </w:p>
        </w:tc>
        <w:tc>
          <w:tcPr>
            <w:tcW w:w="451" w:type="pct"/>
            <w:shd w:val="clear" w:color="auto" w:fill="auto"/>
            <w:tcMar>
              <w:left w:w="85" w:type="dxa"/>
              <w:right w:w="57" w:type="dxa"/>
            </w:tcMar>
          </w:tcPr>
          <w:p w14:paraId="4CEBA377" w14:textId="77777777" w:rsidR="001F30F6" w:rsidRPr="00117487" w:rsidRDefault="001F30F6" w:rsidP="0018039E">
            <w:pPr>
              <w:pStyle w:val="TableText"/>
            </w:pPr>
            <w:r w:rsidRPr="00117487">
              <w:t>109</w:t>
            </w:r>
          </w:p>
        </w:tc>
        <w:tc>
          <w:tcPr>
            <w:tcW w:w="601" w:type="pct"/>
            <w:shd w:val="clear" w:color="auto" w:fill="auto"/>
            <w:tcMar>
              <w:left w:w="85" w:type="dxa"/>
              <w:right w:w="57" w:type="dxa"/>
            </w:tcMar>
          </w:tcPr>
          <w:p w14:paraId="06EAE83F"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7CDC6E75" w14:textId="77777777" w:rsidR="001F30F6" w:rsidRPr="00117487" w:rsidRDefault="001F30F6" w:rsidP="0018039E">
            <w:pPr>
              <w:pStyle w:val="TableText"/>
            </w:pPr>
            <w:r w:rsidRPr="00117487">
              <w:rPr>
                <w:noProof/>
              </w:rPr>
              <w:t xml:space="preserve">King </w:t>
            </w:r>
            <w:r>
              <w:rPr>
                <w:noProof/>
              </w:rPr>
              <w:t>(19</w:t>
            </w:r>
            <w:r w:rsidRPr="00117487">
              <w:rPr>
                <w:noProof/>
              </w:rPr>
              <w:t>99)</w:t>
            </w:r>
          </w:p>
        </w:tc>
      </w:tr>
      <w:tr w:rsidR="0018039E" w:rsidRPr="00C40F31" w14:paraId="239B5AB7" w14:textId="77777777" w:rsidTr="00F73B08">
        <w:trPr>
          <w:cantSplit/>
        </w:trPr>
        <w:tc>
          <w:tcPr>
            <w:tcW w:w="502" w:type="pct"/>
            <w:shd w:val="clear" w:color="auto" w:fill="auto"/>
            <w:tcMar>
              <w:left w:w="85" w:type="dxa"/>
              <w:right w:w="57" w:type="dxa"/>
            </w:tcMar>
          </w:tcPr>
          <w:p w14:paraId="54FCDFD5" w14:textId="077FF3D6" w:rsidR="001F30F6" w:rsidRPr="00117487" w:rsidRDefault="001F30F6" w:rsidP="0018039E">
            <w:pPr>
              <w:pStyle w:val="TableText"/>
            </w:pPr>
            <w:r w:rsidRPr="00117487">
              <w:t>Crustacean</w:t>
            </w:r>
          </w:p>
        </w:tc>
        <w:tc>
          <w:tcPr>
            <w:tcW w:w="687" w:type="pct"/>
            <w:shd w:val="clear" w:color="auto" w:fill="auto"/>
            <w:tcMar>
              <w:left w:w="85" w:type="dxa"/>
              <w:right w:w="57" w:type="dxa"/>
            </w:tcMar>
          </w:tcPr>
          <w:p w14:paraId="0423C719" w14:textId="6EC296E2" w:rsidR="001F30F6" w:rsidRPr="0018039E" w:rsidRDefault="001F30F6" w:rsidP="0018039E">
            <w:pPr>
              <w:pStyle w:val="TableText"/>
            </w:pPr>
            <w:proofErr w:type="spellStart"/>
            <w:r w:rsidRPr="0018039E">
              <w:rPr>
                <w:rStyle w:val="Emphasis"/>
              </w:rPr>
              <w:t>Macrophthalmus</w:t>
            </w:r>
            <w:proofErr w:type="spellEnd"/>
            <w:r w:rsidRPr="0018039E">
              <w:rPr>
                <w:rStyle w:val="Emphasis"/>
              </w:rPr>
              <w:t xml:space="preserve"> </w:t>
            </w:r>
            <w:proofErr w:type="spellStart"/>
            <w:r w:rsidRPr="0018039E">
              <w:rPr>
                <w:rStyle w:val="Emphasis"/>
              </w:rPr>
              <w:t>erato</w:t>
            </w:r>
            <w:proofErr w:type="spellEnd"/>
          </w:p>
        </w:tc>
        <w:tc>
          <w:tcPr>
            <w:tcW w:w="356" w:type="pct"/>
            <w:shd w:val="clear" w:color="auto" w:fill="auto"/>
            <w:tcMar>
              <w:left w:w="85" w:type="dxa"/>
              <w:right w:w="57" w:type="dxa"/>
            </w:tcMar>
          </w:tcPr>
          <w:p w14:paraId="6B99BFF4" w14:textId="77777777" w:rsidR="001F30F6" w:rsidRPr="00117487" w:rsidRDefault="001F30F6" w:rsidP="0018039E">
            <w:pPr>
              <w:pStyle w:val="TableText"/>
            </w:pPr>
            <w:proofErr w:type="spellStart"/>
            <w:r w:rsidRPr="00117487">
              <w:t>Zoocytes</w:t>
            </w:r>
            <w:proofErr w:type="spellEnd"/>
          </w:p>
        </w:tc>
        <w:tc>
          <w:tcPr>
            <w:tcW w:w="293" w:type="pct"/>
            <w:shd w:val="clear" w:color="auto" w:fill="auto"/>
            <w:tcMar>
              <w:left w:w="85" w:type="dxa"/>
              <w:right w:w="57" w:type="dxa"/>
            </w:tcMar>
          </w:tcPr>
          <w:p w14:paraId="0465E47D" w14:textId="70A72527" w:rsidR="001F30F6" w:rsidRPr="00117487" w:rsidRDefault="0018039E" w:rsidP="0018039E">
            <w:pPr>
              <w:pStyle w:val="TableText"/>
            </w:pPr>
            <w:r>
              <w:t>4–</w:t>
            </w:r>
            <w:r w:rsidR="001F30F6" w:rsidRPr="00117487">
              <w:t>11</w:t>
            </w:r>
          </w:p>
        </w:tc>
        <w:tc>
          <w:tcPr>
            <w:tcW w:w="478" w:type="pct"/>
          </w:tcPr>
          <w:p w14:paraId="45DA6D11" w14:textId="77777777" w:rsidR="0018039E" w:rsidRDefault="001F30F6" w:rsidP="0018039E">
            <w:pPr>
              <w:pStyle w:val="TableText"/>
            </w:pPr>
            <w:r w:rsidRPr="00117487">
              <w:t xml:space="preserve">NOEC </w:t>
            </w:r>
          </w:p>
          <w:p w14:paraId="53FB31A7" w14:textId="67970468" w:rsidR="001F30F6" w:rsidRPr="00117487" w:rsidRDefault="001F30F6" w:rsidP="0018039E">
            <w:pPr>
              <w:pStyle w:val="TableText"/>
            </w:pPr>
            <w:r w:rsidRPr="00117487">
              <w:t>(Development)</w:t>
            </w:r>
          </w:p>
        </w:tc>
        <w:tc>
          <w:tcPr>
            <w:tcW w:w="341" w:type="pct"/>
            <w:shd w:val="clear" w:color="auto" w:fill="auto"/>
            <w:tcMar>
              <w:left w:w="85" w:type="dxa"/>
              <w:right w:w="57" w:type="dxa"/>
            </w:tcMar>
          </w:tcPr>
          <w:p w14:paraId="66ACADE1" w14:textId="77777777" w:rsidR="001F30F6" w:rsidRPr="00117487" w:rsidRDefault="001F30F6" w:rsidP="0018039E">
            <w:pPr>
              <w:pStyle w:val="TableText"/>
            </w:pPr>
            <w:r w:rsidRPr="00117487">
              <w:t>25</w:t>
            </w:r>
          </w:p>
        </w:tc>
        <w:tc>
          <w:tcPr>
            <w:tcW w:w="400" w:type="pct"/>
            <w:shd w:val="clear" w:color="auto" w:fill="auto"/>
            <w:tcMar>
              <w:left w:w="85" w:type="dxa"/>
              <w:right w:w="57" w:type="dxa"/>
            </w:tcMar>
          </w:tcPr>
          <w:p w14:paraId="09978541" w14:textId="77777777" w:rsidR="001F30F6" w:rsidRPr="00117487" w:rsidRDefault="001F30F6" w:rsidP="0018039E">
            <w:pPr>
              <w:pStyle w:val="TableText"/>
            </w:pPr>
            <w:r w:rsidRPr="00117487">
              <w:t>27</w:t>
            </w:r>
          </w:p>
        </w:tc>
        <w:tc>
          <w:tcPr>
            <w:tcW w:w="380" w:type="pct"/>
            <w:shd w:val="clear" w:color="auto" w:fill="auto"/>
            <w:tcMar>
              <w:left w:w="85" w:type="dxa"/>
              <w:right w:w="57" w:type="dxa"/>
            </w:tcMar>
          </w:tcPr>
          <w:p w14:paraId="14DFD367" w14:textId="77777777" w:rsidR="001F30F6" w:rsidRPr="00117487" w:rsidRDefault="001F30F6" w:rsidP="0018039E">
            <w:pPr>
              <w:pStyle w:val="TableText"/>
            </w:pPr>
            <w:r w:rsidRPr="00117487">
              <w:t>139</w:t>
            </w:r>
          </w:p>
        </w:tc>
        <w:tc>
          <w:tcPr>
            <w:tcW w:w="451" w:type="pct"/>
            <w:shd w:val="clear" w:color="auto" w:fill="auto"/>
            <w:tcMar>
              <w:left w:w="85" w:type="dxa"/>
              <w:right w:w="57" w:type="dxa"/>
            </w:tcMar>
          </w:tcPr>
          <w:p w14:paraId="69BDC027" w14:textId="77777777" w:rsidR="001F30F6" w:rsidRPr="00117487" w:rsidRDefault="001F30F6" w:rsidP="0018039E">
            <w:pPr>
              <w:pStyle w:val="TableText"/>
            </w:pPr>
            <w:r w:rsidRPr="00117487">
              <w:t>139</w:t>
            </w:r>
          </w:p>
        </w:tc>
        <w:tc>
          <w:tcPr>
            <w:tcW w:w="601" w:type="pct"/>
            <w:shd w:val="clear" w:color="auto" w:fill="auto"/>
            <w:tcMar>
              <w:left w:w="85" w:type="dxa"/>
              <w:right w:w="57" w:type="dxa"/>
            </w:tcMar>
          </w:tcPr>
          <w:p w14:paraId="2F8178AD"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14FF5CE4" w14:textId="77777777" w:rsidR="001F30F6" w:rsidRPr="00117487" w:rsidRDefault="001F30F6" w:rsidP="0018039E">
            <w:pPr>
              <w:pStyle w:val="TableText"/>
            </w:pPr>
            <w:r w:rsidRPr="00117487">
              <w:rPr>
                <w:noProof/>
              </w:rPr>
              <w:t xml:space="preserve">Kannupandi et al. </w:t>
            </w:r>
            <w:r>
              <w:rPr>
                <w:noProof/>
              </w:rPr>
              <w:t>(20</w:t>
            </w:r>
            <w:r w:rsidRPr="00117487">
              <w:rPr>
                <w:noProof/>
              </w:rPr>
              <w:t>01)</w:t>
            </w:r>
          </w:p>
        </w:tc>
      </w:tr>
      <w:tr w:rsidR="0018039E" w:rsidRPr="00C40F31" w14:paraId="56CD12A9" w14:textId="77777777" w:rsidTr="00F73B08">
        <w:trPr>
          <w:cantSplit/>
          <w:trHeight w:val="414"/>
        </w:trPr>
        <w:tc>
          <w:tcPr>
            <w:tcW w:w="502" w:type="pct"/>
            <w:shd w:val="clear" w:color="auto" w:fill="auto"/>
            <w:tcMar>
              <w:left w:w="85" w:type="dxa"/>
              <w:right w:w="57" w:type="dxa"/>
            </w:tcMar>
          </w:tcPr>
          <w:p w14:paraId="19F3E7B0" w14:textId="52BA0519" w:rsidR="001F30F6" w:rsidRPr="00117487" w:rsidRDefault="001F30F6" w:rsidP="0018039E">
            <w:pPr>
              <w:pStyle w:val="TableText"/>
            </w:pPr>
            <w:r w:rsidRPr="00117487">
              <w:t>Annelid</w:t>
            </w:r>
          </w:p>
        </w:tc>
        <w:tc>
          <w:tcPr>
            <w:tcW w:w="687" w:type="pct"/>
            <w:shd w:val="clear" w:color="auto" w:fill="auto"/>
            <w:tcMar>
              <w:left w:w="85" w:type="dxa"/>
              <w:right w:w="57" w:type="dxa"/>
            </w:tcMar>
          </w:tcPr>
          <w:p w14:paraId="3D0C102C" w14:textId="1F796461" w:rsidR="001F30F6" w:rsidRPr="0018039E" w:rsidRDefault="001F30F6" w:rsidP="0018039E">
            <w:pPr>
              <w:pStyle w:val="TableText"/>
            </w:pPr>
            <w:r w:rsidRPr="0018039E">
              <w:rPr>
                <w:rStyle w:val="Emphasis"/>
              </w:rPr>
              <w:t>Capitella capitate</w:t>
            </w:r>
            <w:r w:rsidR="0018039E">
              <w:t xml:space="preserve"> </w:t>
            </w:r>
          </w:p>
        </w:tc>
        <w:tc>
          <w:tcPr>
            <w:tcW w:w="356" w:type="pct"/>
            <w:shd w:val="clear" w:color="auto" w:fill="auto"/>
            <w:tcMar>
              <w:left w:w="85" w:type="dxa"/>
              <w:right w:w="57" w:type="dxa"/>
            </w:tcMar>
          </w:tcPr>
          <w:p w14:paraId="12D53B88" w14:textId="77777777" w:rsidR="001F30F6" w:rsidRPr="00117487" w:rsidRDefault="001F30F6" w:rsidP="0018039E">
            <w:pPr>
              <w:pStyle w:val="TableText"/>
            </w:pPr>
            <w:r w:rsidRPr="00117487">
              <w:t>Adult</w:t>
            </w:r>
          </w:p>
        </w:tc>
        <w:tc>
          <w:tcPr>
            <w:tcW w:w="293" w:type="pct"/>
            <w:shd w:val="clear" w:color="auto" w:fill="auto"/>
            <w:tcMar>
              <w:left w:w="85" w:type="dxa"/>
              <w:right w:w="57" w:type="dxa"/>
            </w:tcMar>
          </w:tcPr>
          <w:p w14:paraId="19599831" w14:textId="77777777" w:rsidR="001F30F6" w:rsidRPr="00117487" w:rsidRDefault="001F30F6" w:rsidP="0018039E">
            <w:pPr>
              <w:pStyle w:val="TableText"/>
            </w:pPr>
            <w:r w:rsidRPr="00117487">
              <w:t>28</w:t>
            </w:r>
          </w:p>
        </w:tc>
        <w:tc>
          <w:tcPr>
            <w:tcW w:w="478" w:type="pct"/>
          </w:tcPr>
          <w:p w14:paraId="279104D1" w14:textId="77777777" w:rsidR="0018039E" w:rsidRDefault="001F30F6" w:rsidP="0018039E">
            <w:pPr>
              <w:pStyle w:val="TableText"/>
            </w:pPr>
            <w:r w:rsidRPr="00117487">
              <w:t xml:space="preserve">LC50 </w:t>
            </w:r>
          </w:p>
          <w:p w14:paraId="1D3043BB" w14:textId="01728325" w:rsidR="001F30F6" w:rsidRPr="00117487" w:rsidRDefault="001F30F6" w:rsidP="0018039E">
            <w:pPr>
              <w:pStyle w:val="TableText"/>
            </w:pPr>
            <w:r w:rsidRPr="00117487">
              <w:t>(Mortality)</w:t>
            </w:r>
          </w:p>
        </w:tc>
        <w:tc>
          <w:tcPr>
            <w:tcW w:w="341" w:type="pct"/>
            <w:shd w:val="clear" w:color="auto" w:fill="auto"/>
            <w:tcMar>
              <w:left w:w="85" w:type="dxa"/>
              <w:right w:w="57" w:type="dxa"/>
            </w:tcMar>
          </w:tcPr>
          <w:p w14:paraId="5FA30BB0" w14:textId="0F0C9D3B" w:rsidR="001F30F6" w:rsidRPr="00117487" w:rsidRDefault="002161E8" w:rsidP="0018039E">
            <w:pPr>
              <w:pStyle w:val="TableText"/>
            </w:pPr>
            <w:r>
              <w:t>NR</w:t>
            </w:r>
          </w:p>
        </w:tc>
        <w:tc>
          <w:tcPr>
            <w:tcW w:w="400" w:type="pct"/>
            <w:shd w:val="clear" w:color="auto" w:fill="auto"/>
            <w:tcMar>
              <w:left w:w="85" w:type="dxa"/>
              <w:right w:w="57" w:type="dxa"/>
            </w:tcMar>
          </w:tcPr>
          <w:p w14:paraId="0D0445F8" w14:textId="71F8988D" w:rsidR="001F30F6" w:rsidRPr="00117487" w:rsidRDefault="002161E8" w:rsidP="0018039E">
            <w:pPr>
              <w:pStyle w:val="TableText"/>
            </w:pPr>
            <w:r>
              <w:t>NR</w:t>
            </w:r>
          </w:p>
        </w:tc>
        <w:tc>
          <w:tcPr>
            <w:tcW w:w="380" w:type="pct"/>
            <w:shd w:val="clear" w:color="auto" w:fill="auto"/>
            <w:tcMar>
              <w:left w:w="85" w:type="dxa"/>
              <w:right w:w="57" w:type="dxa"/>
            </w:tcMar>
          </w:tcPr>
          <w:p w14:paraId="77FCE533" w14:textId="736178E8" w:rsidR="001F30F6" w:rsidRPr="00117487" w:rsidRDefault="001F30F6" w:rsidP="0018039E">
            <w:pPr>
              <w:pStyle w:val="TableText"/>
            </w:pPr>
            <w:r w:rsidRPr="00117487">
              <w:t>1</w:t>
            </w:r>
            <w:r w:rsidR="0018039E">
              <w:t> </w:t>
            </w:r>
            <w:r w:rsidRPr="00117487">
              <w:t>250</w:t>
            </w:r>
          </w:p>
        </w:tc>
        <w:tc>
          <w:tcPr>
            <w:tcW w:w="451" w:type="pct"/>
            <w:shd w:val="clear" w:color="auto" w:fill="auto"/>
            <w:tcMar>
              <w:left w:w="85" w:type="dxa"/>
              <w:right w:w="57" w:type="dxa"/>
            </w:tcMar>
          </w:tcPr>
          <w:p w14:paraId="3BF1D8E1" w14:textId="54B127B5" w:rsidR="001F30F6" w:rsidRPr="00117487" w:rsidRDefault="001F30F6" w:rsidP="0018039E">
            <w:pPr>
              <w:pStyle w:val="TableText"/>
            </w:pPr>
            <w:r w:rsidRPr="00117487">
              <w:t>250</w:t>
            </w:r>
            <w:r w:rsidR="00A53360" w:rsidRPr="00117487">
              <w:t xml:space="preserve"> </w:t>
            </w:r>
            <w:r w:rsidR="00A53360">
              <w:rPr>
                <w:rStyle w:val="Strong"/>
                <w:vertAlign w:val="superscript"/>
              </w:rPr>
              <w:t>c</w:t>
            </w:r>
          </w:p>
        </w:tc>
        <w:tc>
          <w:tcPr>
            <w:tcW w:w="601" w:type="pct"/>
            <w:shd w:val="clear" w:color="auto" w:fill="auto"/>
            <w:tcMar>
              <w:left w:w="85" w:type="dxa"/>
              <w:right w:w="57" w:type="dxa"/>
            </w:tcMar>
          </w:tcPr>
          <w:p w14:paraId="4819F340" w14:textId="77777777" w:rsidR="001F30F6" w:rsidRPr="00117487" w:rsidRDefault="001F30F6" w:rsidP="0018039E">
            <w:pPr>
              <w:pStyle w:val="TableText"/>
            </w:pPr>
            <w:r w:rsidRPr="00117487">
              <w:t>No measurement of zinc, study pre-1980</w:t>
            </w:r>
          </w:p>
        </w:tc>
        <w:tc>
          <w:tcPr>
            <w:tcW w:w="510" w:type="pct"/>
            <w:shd w:val="clear" w:color="auto" w:fill="auto"/>
            <w:tcMar>
              <w:left w:w="85" w:type="dxa"/>
              <w:right w:w="57" w:type="dxa"/>
            </w:tcMar>
          </w:tcPr>
          <w:p w14:paraId="2695AAFA" w14:textId="77777777" w:rsidR="001F30F6" w:rsidRPr="00117487" w:rsidRDefault="001F30F6" w:rsidP="0018039E">
            <w:pPr>
              <w:pStyle w:val="TableText"/>
            </w:pPr>
            <w:r w:rsidRPr="00117487">
              <w:rPr>
                <w:noProof/>
              </w:rPr>
              <w:t xml:space="preserve">Reish et al. </w:t>
            </w:r>
            <w:r>
              <w:rPr>
                <w:noProof/>
              </w:rPr>
              <w:t>(19</w:t>
            </w:r>
            <w:r w:rsidRPr="00117487">
              <w:rPr>
                <w:noProof/>
              </w:rPr>
              <w:t>76)</w:t>
            </w:r>
          </w:p>
        </w:tc>
      </w:tr>
      <w:tr w:rsidR="0018039E" w:rsidRPr="00C40F31" w14:paraId="7C735FCA" w14:textId="77777777" w:rsidTr="00F73B08">
        <w:trPr>
          <w:cantSplit/>
        </w:trPr>
        <w:tc>
          <w:tcPr>
            <w:tcW w:w="502" w:type="pct"/>
            <w:shd w:val="clear" w:color="auto" w:fill="auto"/>
            <w:tcMar>
              <w:left w:w="85" w:type="dxa"/>
              <w:right w:w="57" w:type="dxa"/>
            </w:tcMar>
          </w:tcPr>
          <w:p w14:paraId="1451AF12" w14:textId="45627E4D" w:rsidR="001F30F6" w:rsidRPr="00117487" w:rsidRDefault="001F30F6" w:rsidP="0018039E">
            <w:pPr>
              <w:pStyle w:val="TableText"/>
            </w:pPr>
            <w:r w:rsidRPr="00117487">
              <w:t>Annelid</w:t>
            </w:r>
          </w:p>
        </w:tc>
        <w:tc>
          <w:tcPr>
            <w:tcW w:w="687" w:type="pct"/>
            <w:shd w:val="clear" w:color="auto" w:fill="auto"/>
            <w:tcMar>
              <w:left w:w="85" w:type="dxa"/>
              <w:right w:w="57" w:type="dxa"/>
            </w:tcMar>
          </w:tcPr>
          <w:p w14:paraId="1CB5F891" w14:textId="69015B4C" w:rsidR="001F30F6" w:rsidRPr="0018039E" w:rsidRDefault="001F30F6" w:rsidP="0018039E">
            <w:pPr>
              <w:pStyle w:val="TableText"/>
            </w:pPr>
            <w:proofErr w:type="spellStart"/>
            <w:r w:rsidRPr="0018039E">
              <w:rPr>
                <w:rStyle w:val="Emphasis"/>
              </w:rPr>
              <w:t>Ctenodrilus</w:t>
            </w:r>
            <w:proofErr w:type="spellEnd"/>
            <w:r w:rsidRPr="0018039E">
              <w:rPr>
                <w:rStyle w:val="Emphasis"/>
              </w:rPr>
              <w:t xml:space="preserve"> serratus</w:t>
            </w:r>
            <w:r w:rsidRPr="0018039E">
              <w:t xml:space="preserve"> </w:t>
            </w:r>
          </w:p>
        </w:tc>
        <w:tc>
          <w:tcPr>
            <w:tcW w:w="356" w:type="pct"/>
            <w:shd w:val="clear" w:color="auto" w:fill="auto"/>
            <w:tcMar>
              <w:left w:w="85" w:type="dxa"/>
              <w:right w:w="57" w:type="dxa"/>
            </w:tcMar>
          </w:tcPr>
          <w:p w14:paraId="0C0DA0E8" w14:textId="74185909" w:rsidR="001F30F6" w:rsidRPr="00117487" w:rsidRDefault="002161E8" w:rsidP="0018039E">
            <w:pPr>
              <w:pStyle w:val="TableText"/>
            </w:pPr>
            <w:r>
              <w:t>NR</w:t>
            </w:r>
          </w:p>
        </w:tc>
        <w:tc>
          <w:tcPr>
            <w:tcW w:w="293" w:type="pct"/>
            <w:shd w:val="clear" w:color="auto" w:fill="auto"/>
            <w:tcMar>
              <w:left w:w="85" w:type="dxa"/>
              <w:right w:w="57" w:type="dxa"/>
            </w:tcMar>
          </w:tcPr>
          <w:p w14:paraId="01E289AD" w14:textId="77777777" w:rsidR="001F30F6" w:rsidRPr="00117487" w:rsidRDefault="001F30F6" w:rsidP="0018039E">
            <w:pPr>
              <w:pStyle w:val="TableText"/>
            </w:pPr>
            <w:r w:rsidRPr="00117487">
              <w:t>96</w:t>
            </w:r>
          </w:p>
        </w:tc>
        <w:tc>
          <w:tcPr>
            <w:tcW w:w="478" w:type="pct"/>
          </w:tcPr>
          <w:p w14:paraId="211DE548" w14:textId="77777777" w:rsidR="0018039E" w:rsidRDefault="001F30F6" w:rsidP="0018039E">
            <w:pPr>
              <w:pStyle w:val="TableText"/>
            </w:pPr>
            <w:r w:rsidRPr="00117487">
              <w:t xml:space="preserve">LC50 </w:t>
            </w:r>
          </w:p>
          <w:p w14:paraId="6AC85776" w14:textId="12F1AF89" w:rsidR="001F30F6" w:rsidRPr="00117487" w:rsidRDefault="001F30F6" w:rsidP="0018039E">
            <w:pPr>
              <w:pStyle w:val="TableText"/>
            </w:pPr>
            <w:r w:rsidRPr="00117487">
              <w:t>(Mortality)</w:t>
            </w:r>
          </w:p>
        </w:tc>
        <w:tc>
          <w:tcPr>
            <w:tcW w:w="341" w:type="pct"/>
            <w:shd w:val="clear" w:color="auto" w:fill="auto"/>
            <w:tcMar>
              <w:left w:w="85" w:type="dxa"/>
              <w:right w:w="57" w:type="dxa"/>
            </w:tcMar>
          </w:tcPr>
          <w:p w14:paraId="22D02AC1" w14:textId="77777777" w:rsidR="001F30F6" w:rsidRPr="00117487" w:rsidRDefault="001F30F6" w:rsidP="0018039E">
            <w:pPr>
              <w:pStyle w:val="TableText"/>
            </w:pPr>
            <w:r w:rsidRPr="00117487">
              <w:t>32</w:t>
            </w:r>
          </w:p>
        </w:tc>
        <w:tc>
          <w:tcPr>
            <w:tcW w:w="400" w:type="pct"/>
            <w:shd w:val="clear" w:color="auto" w:fill="auto"/>
            <w:tcMar>
              <w:left w:w="85" w:type="dxa"/>
              <w:right w:w="57" w:type="dxa"/>
            </w:tcMar>
          </w:tcPr>
          <w:p w14:paraId="2704F346" w14:textId="77777777" w:rsidR="001F30F6" w:rsidRPr="00117487" w:rsidRDefault="001F30F6" w:rsidP="0018039E">
            <w:pPr>
              <w:pStyle w:val="TableText"/>
            </w:pPr>
            <w:r w:rsidRPr="00117487">
              <w:t>20</w:t>
            </w:r>
          </w:p>
        </w:tc>
        <w:tc>
          <w:tcPr>
            <w:tcW w:w="380" w:type="pct"/>
            <w:shd w:val="clear" w:color="auto" w:fill="auto"/>
            <w:tcMar>
              <w:left w:w="85" w:type="dxa"/>
              <w:right w:w="57" w:type="dxa"/>
            </w:tcMar>
          </w:tcPr>
          <w:p w14:paraId="03F59103" w14:textId="7D683F8F" w:rsidR="001F30F6" w:rsidRPr="00117487" w:rsidRDefault="001F30F6" w:rsidP="0018039E">
            <w:pPr>
              <w:pStyle w:val="TableText"/>
            </w:pPr>
            <w:r w:rsidRPr="00117487">
              <w:t>1</w:t>
            </w:r>
            <w:r w:rsidR="0018039E">
              <w:t> </w:t>
            </w:r>
            <w:r w:rsidRPr="00117487">
              <w:t>750</w:t>
            </w:r>
          </w:p>
        </w:tc>
        <w:tc>
          <w:tcPr>
            <w:tcW w:w="451" w:type="pct"/>
            <w:shd w:val="clear" w:color="auto" w:fill="auto"/>
            <w:tcMar>
              <w:left w:w="85" w:type="dxa"/>
              <w:right w:w="57" w:type="dxa"/>
            </w:tcMar>
          </w:tcPr>
          <w:p w14:paraId="7EC8C5A0" w14:textId="55ED6CB9" w:rsidR="001F30F6" w:rsidRPr="00117487" w:rsidRDefault="001F30F6" w:rsidP="0018039E">
            <w:pPr>
              <w:pStyle w:val="TableText"/>
            </w:pPr>
            <w:r w:rsidRPr="00117487">
              <w:t>350</w:t>
            </w:r>
            <w:r w:rsidR="00A53360" w:rsidRPr="00117487">
              <w:t xml:space="preserve"> </w:t>
            </w:r>
            <w:r w:rsidR="00A53360">
              <w:rPr>
                <w:rStyle w:val="Strong"/>
                <w:vertAlign w:val="superscript"/>
              </w:rPr>
              <w:t>c</w:t>
            </w:r>
          </w:p>
        </w:tc>
        <w:tc>
          <w:tcPr>
            <w:tcW w:w="601" w:type="pct"/>
            <w:shd w:val="clear" w:color="auto" w:fill="auto"/>
            <w:tcMar>
              <w:left w:w="85" w:type="dxa"/>
              <w:right w:w="57" w:type="dxa"/>
            </w:tcMar>
          </w:tcPr>
          <w:p w14:paraId="77528B66" w14:textId="77777777" w:rsidR="001F30F6" w:rsidRPr="00117487" w:rsidRDefault="001F30F6" w:rsidP="0018039E">
            <w:pPr>
              <w:pStyle w:val="TableText"/>
              <w:rPr>
                <w:b/>
              </w:rPr>
            </w:pPr>
            <w:r w:rsidRPr="00117487">
              <w:t>No measurement of zinc, study pre-1980</w:t>
            </w:r>
          </w:p>
        </w:tc>
        <w:tc>
          <w:tcPr>
            <w:tcW w:w="510" w:type="pct"/>
            <w:shd w:val="clear" w:color="auto" w:fill="auto"/>
            <w:tcMar>
              <w:left w:w="85" w:type="dxa"/>
              <w:right w:w="57" w:type="dxa"/>
            </w:tcMar>
          </w:tcPr>
          <w:p w14:paraId="34BAC70F" w14:textId="77777777" w:rsidR="001F30F6" w:rsidRPr="00117487" w:rsidRDefault="001F30F6" w:rsidP="0018039E">
            <w:pPr>
              <w:pStyle w:val="TableText"/>
              <w:rPr>
                <w:b/>
              </w:rPr>
            </w:pPr>
            <w:r w:rsidRPr="00117487">
              <w:rPr>
                <w:noProof/>
              </w:rPr>
              <w:t xml:space="preserve">Reish et al. </w:t>
            </w:r>
            <w:r>
              <w:rPr>
                <w:noProof/>
              </w:rPr>
              <w:t>(19</w:t>
            </w:r>
            <w:r w:rsidRPr="00117487">
              <w:rPr>
                <w:noProof/>
              </w:rPr>
              <w:t>77)</w:t>
            </w:r>
          </w:p>
        </w:tc>
      </w:tr>
      <w:tr w:rsidR="0018039E" w:rsidRPr="00C40F31" w14:paraId="08B06E51" w14:textId="77777777" w:rsidTr="00F73B08">
        <w:trPr>
          <w:cantSplit/>
        </w:trPr>
        <w:tc>
          <w:tcPr>
            <w:tcW w:w="502" w:type="pct"/>
            <w:shd w:val="clear" w:color="auto" w:fill="auto"/>
            <w:tcMar>
              <w:left w:w="85" w:type="dxa"/>
              <w:right w:w="57" w:type="dxa"/>
            </w:tcMar>
          </w:tcPr>
          <w:p w14:paraId="712EC450" w14:textId="6E94313A" w:rsidR="001F30F6" w:rsidRPr="00117487" w:rsidRDefault="001F30F6" w:rsidP="0018039E">
            <w:pPr>
              <w:pStyle w:val="TableText"/>
            </w:pPr>
            <w:r w:rsidRPr="00117487">
              <w:t>Annelid</w:t>
            </w:r>
          </w:p>
        </w:tc>
        <w:tc>
          <w:tcPr>
            <w:tcW w:w="687" w:type="pct"/>
            <w:shd w:val="clear" w:color="auto" w:fill="auto"/>
            <w:tcMar>
              <w:left w:w="85" w:type="dxa"/>
              <w:right w:w="57" w:type="dxa"/>
            </w:tcMar>
          </w:tcPr>
          <w:p w14:paraId="2A2E1B8A" w14:textId="651C93B8" w:rsidR="001F30F6" w:rsidRPr="0018039E" w:rsidRDefault="001F30F6" w:rsidP="0018039E">
            <w:pPr>
              <w:pStyle w:val="TableText"/>
            </w:pPr>
            <w:r w:rsidRPr="0018039E">
              <w:rPr>
                <w:rStyle w:val="Emphasis"/>
              </w:rPr>
              <w:t xml:space="preserve">Capitella </w:t>
            </w:r>
            <w:r w:rsidR="0018039E" w:rsidRPr="0018039E">
              <w:rPr>
                <w:rStyle w:val="Emphasis"/>
              </w:rPr>
              <w:t>capitate</w:t>
            </w:r>
            <w:r w:rsidR="0018039E">
              <w:t xml:space="preserve"> </w:t>
            </w:r>
          </w:p>
        </w:tc>
        <w:tc>
          <w:tcPr>
            <w:tcW w:w="356" w:type="pct"/>
            <w:shd w:val="clear" w:color="auto" w:fill="auto"/>
            <w:tcMar>
              <w:left w:w="85" w:type="dxa"/>
              <w:right w:w="57" w:type="dxa"/>
            </w:tcMar>
          </w:tcPr>
          <w:p w14:paraId="45E334F4" w14:textId="145BF7CD" w:rsidR="001F30F6" w:rsidRPr="00117487" w:rsidRDefault="002161E8" w:rsidP="0018039E">
            <w:pPr>
              <w:pStyle w:val="TableText"/>
            </w:pPr>
            <w:r>
              <w:t>NR</w:t>
            </w:r>
          </w:p>
        </w:tc>
        <w:tc>
          <w:tcPr>
            <w:tcW w:w="293" w:type="pct"/>
            <w:shd w:val="clear" w:color="auto" w:fill="auto"/>
            <w:tcMar>
              <w:left w:w="85" w:type="dxa"/>
              <w:right w:w="57" w:type="dxa"/>
            </w:tcMar>
          </w:tcPr>
          <w:p w14:paraId="38735AD8" w14:textId="77777777" w:rsidR="001F30F6" w:rsidRPr="00117487" w:rsidRDefault="001F30F6" w:rsidP="0018039E">
            <w:pPr>
              <w:pStyle w:val="TableText"/>
            </w:pPr>
            <w:r w:rsidRPr="00117487">
              <w:t>28</w:t>
            </w:r>
          </w:p>
        </w:tc>
        <w:tc>
          <w:tcPr>
            <w:tcW w:w="478" w:type="pct"/>
          </w:tcPr>
          <w:p w14:paraId="5CE7D879" w14:textId="77777777" w:rsidR="0018039E" w:rsidRDefault="001F30F6" w:rsidP="0018039E">
            <w:pPr>
              <w:pStyle w:val="TableText"/>
            </w:pPr>
            <w:r w:rsidRPr="00117487">
              <w:t xml:space="preserve">LC50 </w:t>
            </w:r>
          </w:p>
          <w:p w14:paraId="3C70E104" w14:textId="456876E8" w:rsidR="001F30F6" w:rsidRPr="00117487" w:rsidRDefault="001F30F6" w:rsidP="0018039E">
            <w:pPr>
              <w:pStyle w:val="TableText"/>
            </w:pPr>
            <w:r w:rsidRPr="00117487">
              <w:t>(Mortality)</w:t>
            </w:r>
          </w:p>
        </w:tc>
        <w:tc>
          <w:tcPr>
            <w:tcW w:w="341" w:type="pct"/>
            <w:shd w:val="clear" w:color="auto" w:fill="auto"/>
            <w:tcMar>
              <w:left w:w="85" w:type="dxa"/>
              <w:right w:w="57" w:type="dxa"/>
            </w:tcMar>
          </w:tcPr>
          <w:p w14:paraId="51753A68" w14:textId="77777777" w:rsidR="001F30F6" w:rsidRPr="00117487" w:rsidRDefault="001F30F6" w:rsidP="0018039E">
            <w:pPr>
              <w:pStyle w:val="TableText"/>
            </w:pPr>
            <w:r w:rsidRPr="00117487">
              <w:t>32</w:t>
            </w:r>
          </w:p>
        </w:tc>
        <w:tc>
          <w:tcPr>
            <w:tcW w:w="400" w:type="pct"/>
            <w:shd w:val="clear" w:color="auto" w:fill="auto"/>
            <w:tcMar>
              <w:left w:w="85" w:type="dxa"/>
              <w:right w:w="57" w:type="dxa"/>
            </w:tcMar>
          </w:tcPr>
          <w:p w14:paraId="194E8D76" w14:textId="44A4CF2C" w:rsidR="001F30F6" w:rsidRPr="00117487" w:rsidRDefault="00D35CCF" w:rsidP="0018039E">
            <w:pPr>
              <w:pStyle w:val="TableText"/>
            </w:pPr>
            <w:r>
              <w:t>10–</w:t>
            </w:r>
            <w:r w:rsidR="001F30F6" w:rsidRPr="00117487">
              <w:t>20</w:t>
            </w:r>
          </w:p>
        </w:tc>
        <w:tc>
          <w:tcPr>
            <w:tcW w:w="380" w:type="pct"/>
            <w:shd w:val="clear" w:color="auto" w:fill="auto"/>
            <w:tcMar>
              <w:left w:w="85" w:type="dxa"/>
              <w:right w:w="57" w:type="dxa"/>
            </w:tcMar>
          </w:tcPr>
          <w:p w14:paraId="7595ADFF" w14:textId="235B44B7" w:rsidR="001F30F6" w:rsidRPr="00117487" w:rsidRDefault="001F30F6" w:rsidP="0018039E">
            <w:pPr>
              <w:pStyle w:val="TableText"/>
            </w:pPr>
            <w:r w:rsidRPr="00117487">
              <w:t>2</w:t>
            </w:r>
            <w:r w:rsidR="0018039E">
              <w:t> </w:t>
            </w:r>
            <w:r w:rsidRPr="00117487">
              <w:t>400</w:t>
            </w:r>
          </w:p>
        </w:tc>
        <w:tc>
          <w:tcPr>
            <w:tcW w:w="451" w:type="pct"/>
            <w:shd w:val="clear" w:color="auto" w:fill="auto"/>
            <w:tcMar>
              <w:left w:w="85" w:type="dxa"/>
              <w:right w:w="57" w:type="dxa"/>
            </w:tcMar>
          </w:tcPr>
          <w:p w14:paraId="0A411071" w14:textId="6A7439E0" w:rsidR="001F30F6" w:rsidRPr="00117487" w:rsidRDefault="001F30F6" w:rsidP="0018039E">
            <w:pPr>
              <w:pStyle w:val="TableText"/>
            </w:pPr>
            <w:r w:rsidRPr="00117487">
              <w:t>480</w:t>
            </w:r>
            <w:r w:rsidR="00A53360" w:rsidRPr="00117487">
              <w:t xml:space="preserve"> </w:t>
            </w:r>
            <w:r w:rsidR="00A53360">
              <w:rPr>
                <w:rStyle w:val="Strong"/>
                <w:vertAlign w:val="superscript"/>
              </w:rPr>
              <w:t>c</w:t>
            </w:r>
          </w:p>
        </w:tc>
        <w:tc>
          <w:tcPr>
            <w:tcW w:w="601" w:type="pct"/>
            <w:shd w:val="clear" w:color="auto" w:fill="auto"/>
            <w:tcMar>
              <w:left w:w="85" w:type="dxa"/>
              <w:right w:w="57" w:type="dxa"/>
            </w:tcMar>
          </w:tcPr>
          <w:p w14:paraId="7D207BD0" w14:textId="77777777" w:rsidR="001F30F6" w:rsidRPr="00117487" w:rsidRDefault="001F30F6" w:rsidP="0018039E">
            <w:pPr>
              <w:pStyle w:val="TableText"/>
            </w:pPr>
            <w:r w:rsidRPr="00117487">
              <w:t>No measurement of zinc, study pre-1980</w:t>
            </w:r>
          </w:p>
        </w:tc>
        <w:tc>
          <w:tcPr>
            <w:tcW w:w="510" w:type="pct"/>
            <w:shd w:val="clear" w:color="auto" w:fill="auto"/>
            <w:tcMar>
              <w:left w:w="85" w:type="dxa"/>
              <w:right w:w="57" w:type="dxa"/>
            </w:tcMar>
          </w:tcPr>
          <w:p w14:paraId="623AE6AD" w14:textId="77777777" w:rsidR="001F30F6" w:rsidRPr="00117487" w:rsidRDefault="001F30F6" w:rsidP="0018039E">
            <w:pPr>
              <w:pStyle w:val="TableText"/>
            </w:pPr>
            <w:r w:rsidRPr="00117487">
              <w:rPr>
                <w:noProof/>
              </w:rPr>
              <w:t xml:space="preserve">Reish et al. </w:t>
            </w:r>
            <w:r>
              <w:rPr>
                <w:noProof/>
              </w:rPr>
              <w:t>(19</w:t>
            </w:r>
            <w:r w:rsidRPr="00117487">
              <w:rPr>
                <w:noProof/>
              </w:rPr>
              <w:t>77)</w:t>
            </w:r>
          </w:p>
        </w:tc>
      </w:tr>
      <w:tr w:rsidR="0018039E" w:rsidRPr="00C40F31" w14:paraId="54F40474" w14:textId="77777777" w:rsidTr="00F73B08">
        <w:trPr>
          <w:cantSplit/>
          <w:trHeight w:val="66"/>
        </w:trPr>
        <w:tc>
          <w:tcPr>
            <w:tcW w:w="502" w:type="pct"/>
            <w:shd w:val="clear" w:color="auto" w:fill="auto"/>
            <w:tcMar>
              <w:left w:w="85" w:type="dxa"/>
              <w:right w:w="57" w:type="dxa"/>
            </w:tcMar>
          </w:tcPr>
          <w:p w14:paraId="7384C961" w14:textId="77777777" w:rsidR="001F30F6" w:rsidRPr="00117487" w:rsidRDefault="001F30F6" w:rsidP="0018039E">
            <w:pPr>
              <w:pStyle w:val="TableText"/>
            </w:pPr>
            <w:r w:rsidRPr="00117487">
              <w:t>Crustacean</w:t>
            </w:r>
          </w:p>
        </w:tc>
        <w:tc>
          <w:tcPr>
            <w:tcW w:w="687" w:type="pct"/>
            <w:shd w:val="clear" w:color="auto" w:fill="auto"/>
            <w:tcMar>
              <w:left w:w="85" w:type="dxa"/>
              <w:right w:w="57" w:type="dxa"/>
            </w:tcMar>
          </w:tcPr>
          <w:p w14:paraId="482E71AB" w14:textId="273E33EA" w:rsidR="001F30F6" w:rsidRPr="0018039E" w:rsidRDefault="001F30F6" w:rsidP="0018039E">
            <w:pPr>
              <w:pStyle w:val="TableText"/>
            </w:pPr>
            <w:proofErr w:type="spellStart"/>
            <w:r w:rsidRPr="0018039E">
              <w:rPr>
                <w:rStyle w:val="Emphasis"/>
              </w:rPr>
              <w:t>Tenagomysis</w:t>
            </w:r>
            <w:proofErr w:type="spellEnd"/>
            <w:r w:rsidRPr="0018039E">
              <w:rPr>
                <w:rStyle w:val="Emphasis"/>
              </w:rPr>
              <w:t xml:space="preserve"> </w:t>
            </w:r>
            <w:proofErr w:type="spellStart"/>
            <w:r w:rsidRPr="0018039E">
              <w:rPr>
                <w:rStyle w:val="Emphasis"/>
              </w:rPr>
              <w:t>novaezealandiae</w:t>
            </w:r>
            <w:proofErr w:type="spellEnd"/>
            <w:r w:rsidRPr="0018039E">
              <w:t xml:space="preserve"> </w:t>
            </w:r>
          </w:p>
        </w:tc>
        <w:tc>
          <w:tcPr>
            <w:tcW w:w="356" w:type="pct"/>
            <w:shd w:val="clear" w:color="auto" w:fill="auto"/>
            <w:tcMar>
              <w:left w:w="85" w:type="dxa"/>
              <w:right w:w="57" w:type="dxa"/>
            </w:tcMar>
          </w:tcPr>
          <w:p w14:paraId="38CB8876" w14:textId="77777777" w:rsidR="001F30F6" w:rsidRPr="00117487" w:rsidRDefault="001F30F6" w:rsidP="0018039E">
            <w:pPr>
              <w:pStyle w:val="TableText"/>
            </w:pPr>
            <w:r w:rsidRPr="00117487">
              <w:t>Juvenile</w:t>
            </w:r>
          </w:p>
        </w:tc>
        <w:tc>
          <w:tcPr>
            <w:tcW w:w="293" w:type="pct"/>
            <w:shd w:val="clear" w:color="auto" w:fill="auto"/>
            <w:tcMar>
              <w:left w:w="85" w:type="dxa"/>
              <w:right w:w="57" w:type="dxa"/>
            </w:tcMar>
          </w:tcPr>
          <w:p w14:paraId="733EDA73" w14:textId="77777777" w:rsidR="001F30F6" w:rsidRPr="00117487" w:rsidRDefault="001F30F6" w:rsidP="0018039E">
            <w:pPr>
              <w:pStyle w:val="TableText"/>
            </w:pPr>
            <w:r w:rsidRPr="00117487">
              <w:t>7</w:t>
            </w:r>
          </w:p>
        </w:tc>
        <w:tc>
          <w:tcPr>
            <w:tcW w:w="478" w:type="pct"/>
          </w:tcPr>
          <w:p w14:paraId="53A67573" w14:textId="77777777" w:rsidR="0018039E" w:rsidRDefault="001F30F6" w:rsidP="0018039E">
            <w:pPr>
              <w:pStyle w:val="TableText"/>
            </w:pPr>
            <w:r w:rsidRPr="00117487">
              <w:t xml:space="preserve">NOEC </w:t>
            </w:r>
          </w:p>
          <w:p w14:paraId="4D4F67D6" w14:textId="33F4AE72" w:rsidR="001F30F6" w:rsidRPr="00117487" w:rsidRDefault="001F30F6" w:rsidP="0018039E">
            <w:pPr>
              <w:pStyle w:val="TableText"/>
            </w:pPr>
            <w:r w:rsidRPr="00117487">
              <w:t>(Growth)</w:t>
            </w:r>
          </w:p>
        </w:tc>
        <w:tc>
          <w:tcPr>
            <w:tcW w:w="341" w:type="pct"/>
            <w:shd w:val="clear" w:color="auto" w:fill="auto"/>
            <w:tcMar>
              <w:left w:w="85" w:type="dxa"/>
              <w:right w:w="57" w:type="dxa"/>
            </w:tcMar>
          </w:tcPr>
          <w:p w14:paraId="7A4F5288" w14:textId="77777777" w:rsidR="001F30F6" w:rsidRPr="00117487" w:rsidRDefault="001F30F6" w:rsidP="0018039E">
            <w:pPr>
              <w:pStyle w:val="TableText"/>
            </w:pPr>
            <w:r w:rsidRPr="00117487">
              <w:t>34</w:t>
            </w:r>
          </w:p>
        </w:tc>
        <w:tc>
          <w:tcPr>
            <w:tcW w:w="400" w:type="pct"/>
            <w:shd w:val="clear" w:color="auto" w:fill="auto"/>
            <w:tcMar>
              <w:left w:w="85" w:type="dxa"/>
              <w:right w:w="57" w:type="dxa"/>
            </w:tcMar>
          </w:tcPr>
          <w:p w14:paraId="501E2AC9" w14:textId="77777777" w:rsidR="001F30F6" w:rsidRPr="00117487" w:rsidRDefault="001F30F6" w:rsidP="0018039E">
            <w:pPr>
              <w:pStyle w:val="TableText"/>
            </w:pPr>
            <w:r w:rsidRPr="00117487">
              <w:t>20</w:t>
            </w:r>
          </w:p>
        </w:tc>
        <w:tc>
          <w:tcPr>
            <w:tcW w:w="380" w:type="pct"/>
            <w:shd w:val="clear" w:color="auto" w:fill="auto"/>
            <w:tcMar>
              <w:left w:w="85" w:type="dxa"/>
              <w:right w:w="57" w:type="dxa"/>
            </w:tcMar>
          </w:tcPr>
          <w:p w14:paraId="305C32C5" w14:textId="7F67EC61" w:rsidR="001F30F6" w:rsidRPr="00117487" w:rsidRDefault="001F30F6" w:rsidP="0018039E">
            <w:pPr>
              <w:pStyle w:val="TableText"/>
            </w:pPr>
            <w:r w:rsidRPr="00117487">
              <w:t>1</w:t>
            </w:r>
            <w:r w:rsidR="0018039E">
              <w:t> </w:t>
            </w:r>
            <w:r w:rsidRPr="00117487">
              <w:t>000</w:t>
            </w:r>
          </w:p>
        </w:tc>
        <w:tc>
          <w:tcPr>
            <w:tcW w:w="451" w:type="pct"/>
            <w:shd w:val="clear" w:color="auto" w:fill="auto"/>
            <w:tcMar>
              <w:left w:w="85" w:type="dxa"/>
              <w:right w:w="57" w:type="dxa"/>
            </w:tcMar>
          </w:tcPr>
          <w:p w14:paraId="5C14698F" w14:textId="50E44584" w:rsidR="001F30F6" w:rsidRPr="00117487" w:rsidRDefault="001F30F6" w:rsidP="0018039E">
            <w:pPr>
              <w:pStyle w:val="TableText"/>
            </w:pPr>
            <w:r w:rsidRPr="00117487">
              <w:t>1</w:t>
            </w:r>
            <w:r w:rsidR="0018039E">
              <w:t> </w:t>
            </w:r>
            <w:r w:rsidRPr="00117487">
              <w:t>000</w:t>
            </w:r>
          </w:p>
        </w:tc>
        <w:tc>
          <w:tcPr>
            <w:tcW w:w="601" w:type="pct"/>
            <w:shd w:val="clear" w:color="auto" w:fill="auto"/>
            <w:tcMar>
              <w:left w:w="85" w:type="dxa"/>
              <w:right w:w="57" w:type="dxa"/>
            </w:tcMar>
          </w:tcPr>
          <w:p w14:paraId="1622836B" w14:textId="77777777" w:rsidR="001F30F6" w:rsidRPr="00117487" w:rsidRDefault="001F30F6" w:rsidP="0018039E">
            <w:pPr>
              <w:pStyle w:val="TableText"/>
            </w:pPr>
            <w:r w:rsidRPr="00117487">
              <w:t>No measurement of zinc</w:t>
            </w:r>
          </w:p>
        </w:tc>
        <w:tc>
          <w:tcPr>
            <w:tcW w:w="510" w:type="pct"/>
            <w:shd w:val="clear" w:color="auto" w:fill="auto"/>
            <w:tcMar>
              <w:left w:w="85" w:type="dxa"/>
              <w:right w:w="57" w:type="dxa"/>
            </w:tcMar>
          </w:tcPr>
          <w:p w14:paraId="45186C00" w14:textId="3CFC08BD" w:rsidR="001F30F6" w:rsidRPr="00117487" w:rsidRDefault="0018039E" w:rsidP="0018039E">
            <w:pPr>
              <w:pStyle w:val="TableText"/>
            </w:pPr>
            <w:r>
              <w:rPr>
                <w:noProof/>
              </w:rPr>
              <w:t>Nipper and</w:t>
            </w:r>
            <w:r w:rsidR="001F30F6" w:rsidRPr="00117487">
              <w:rPr>
                <w:noProof/>
              </w:rPr>
              <w:t xml:space="preserve"> Williams </w:t>
            </w:r>
            <w:r w:rsidR="001F30F6">
              <w:rPr>
                <w:noProof/>
              </w:rPr>
              <w:t>(19</w:t>
            </w:r>
            <w:r w:rsidR="001F30F6" w:rsidRPr="00117487">
              <w:rPr>
                <w:noProof/>
              </w:rPr>
              <w:t>97)</w:t>
            </w:r>
          </w:p>
        </w:tc>
      </w:tr>
      <w:tr w:rsidR="0018039E" w:rsidRPr="00C40F31" w14:paraId="041867DA" w14:textId="77777777" w:rsidTr="00F73B08">
        <w:trPr>
          <w:cantSplit/>
          <w:trHeight w:val="82"/>
        </w:trPr>
        <w:tc>
          <w:tcPr>
            <w:tcW w:w="502" w:type="pct"/>
            <w:tcBorders>
              <w:bottom w:val="single" w:sz="4" w:space="0" w:color="auto"/>
            </w:tcBorders>
            <w:shd w:val="clear" w:color="auto" w:fill="auto"/>
            <w:tcMar>
              <w:left w:w="85" w:type="dxa"/>
              <w:right w:w="57" w:type="dxa"/>
            </w:tcMar>
          </w:tcPr>
          <w:p w14:paraId="305BC8C8" w14:textId="4631756E" w:rsidR="001F30F6" w:rsidRPr="00117487" w:rsidRDefault="001F30F6" w:rsidP="0018039E">
            <w:pPr>
              <w:pStyle w:val="TableText"/>
            </w:pPr>
            <w:r w:rsidRPr="00117487">
              <w:t>Brown alga</w:t>
            </w:r>
          </w:p>
        </w:tc>
        <w:tc>
          <w:tcPr>
            <w:tcW w:w="687" w:type="pct"/>
            <w:tcBorders>
              <w:bottom w:val="single" w:sz="4" w:space="0" w:color="auto"/>
            </w:tcBorders>
            <w:shd w:val="clear" w:color="auto" w:fill="auto"/>
            <w:tcMar>
              <w:left w:w="85" w:type="dxa"/>
              <w:right w:w="57" w:type="dxa"/>
            </w:tcMar>
          </w:tcPr>
          <w:p w14:paraId="4C32770C" w14:textId="185A5394" w:rsidR="001F30F6" w:rsidRPr="0018039E" w:rsidRDefault="001F30F6" w:rsidP="0018039E">
            <w:pPr>
              <w:pStyle w:val="TableText"/>
            </w:pPr>
            <w:proofErr w:type="spellStart"/>
            <w:r w:rsidRPr="0018039E">
              <w:rPr>
                <w:rStyle w:val="Emphasis"/>
              </w:rPr>
              <w:t>Hormosira</w:t>
            </w:r>
            <w:proofErr w:type="spellEnd"/>
            <w:r w:rsidRPr="0018039E">
              <w:rPr>
                <w:rStyle w:val="Emphasis"/>
              </w:rPr>
              <w:t xml:space="preserve"> banksia</w:t>
            </w:r>
            <w:r w:rsidRPr="0018039E">
              <w:t xml:space="preserve"> </w:t>
            </w:r>
          </w:p>
        </w:tc>
        <w:tc>
          <w:tcPr>
            <w:tcW w:w="356" w:type="pct"/>
            <w:tcBorders>
              <w:bottom w:val="single" w:sz="4" w:space="0" w:color="auto"/>
            </w:tcBorders>
            <w:shd w:val="clear" w:color="auto" w:fill="auto"/>
            <w:tcMar>
              <w:left w:w="85" w:type="dxa"/>
              <w:right w:w="57" w:type="dxa"/>
            </w:tcMar>
          </w:tcPr>
          <w:p w14:paraId="470DF1C2" w14:textId="77777777" w:rsidR="001F30F6" w:rsidRPr="00117487" w:rsidRDefault="001F30F6" w:rsidP="0018039E">
            <w:pPr>
              <w:pStyle w:val="TableText"/>
            </w:pPr>
            <w:r w:rsidRPr="00117487">
              <w:t>Gamete</w:t>
            </w:r>
          </w:p>
        </w:tc>
        <w:tc>
          <w:tcPr>
            <w:tcW w:w="293" w:type="pct"/>
            <w:tcBorders>
              <w:bottom w:val="single" w:sz="4" w:space="0" w:color="auto"/>
            </w:tcBorders>
            <w:shd w:val="clear" w:color="auto" w:fill="auto"/>
            <w:tcMar>
              <w:left w:w="85" w:type="dxa"/>
              <w:right w:w="57" w:type="dxa"/>
            </w:tcMar>
          </w:tcPr>
          <w:p w14:paraId="7D00769D" w14:textId="77777777" w:rsidR="001F30F6" w:rsidRPr="00117487" w:rsidRDefault="001F30F6" w:rsidP="0018039E">
            <w:pPr>
              <w:pStyle w:val="TableText"/>
            </w:pPr>
            <w:r w:rsidRPr="00117487">
              <w:t>3</w:t>
            </w:r>
          </w:p>
        </w:tc>
        <w:tc>
          <w:tcPr>
            <w:tcW w:w="478" w:type="pct"/>
            <w:tcBorders>
              <w:bottom w:val="single" w:sz="4" w:space="0" w:color="auto"/>
            </w:tcBorders>
          </w:tcPr>
          <w:p w14:paraId="4CD513F2" w14:textId="77777777" w:rsidR="0018039E" w:rsidRDefault="001F30F6" w:rsidP="0018039E">
            <w:pPr>
              <w:pStyle w:val="TableText"/>
            </w:pPr>
            <w:r w:rsidRPr="00117487">
              <w:t xml:space="preserve">EC50 </w:t>
            </w:r>
          </w:p>
          <w:p w14:paraId="15D36EC2" w14:textId="256AFE29" w:rsidR="001F30F6" w:rsidRPr="00117487" w:rsidRDefault="001F30F6" w:rsidP="0018039E">
            <w:pPr>
              <w:pStyle w:val="TableText"/>
            </w:pPr>
            <w:r w:rsidRPr="00117487">
              <w:t>(Growth)</w:t>
            </w:r>
          </w:p>
        </w:tc>
        <w:tc>
          <w:tcPr>
            <w:tcW w:w="341" w:type="pct"/>
            <w:tcBorders>
              <w:bottom w:val="single" w:sz="4" w:space="0" w:color="auto"/>
            </w:tcBorders>
            <w:shd w:val="clear" w:color="auto" w:fill="auto"/>
            <w:tcMar>
              <w:left w:w="85" w:type="dxa"/>
              <w:right w:w="57" w:type="dxa"/>
            </w:tcMar>
          </w:tcPr>
          <w:p w14:paraId="6B4CB668" w14:textId="77777777" w:rsidR="001F30F6" w:rsidRPr="00117487" w:rsidRDefault="001F30F6" w:rsidP="0018039E">
            <w:pPr>
              <w:pStyle w:val="TableText"/>
            </w:pPr>
            <w:r w:rsidRPr="00117487">
              <w:t>35</w:t>
            </w:r>
          </w:p>
        </w:tc>
        <w:tc>
          <w:tcPr>
            <w:tcW w:w="400" w:type="pct"/>
            <w:tcBorders>
              <w:bottom w:val="single" w:sz="4" w:space="0" w:color="auto"/>
            </w:tcBorders>
            <w:shd w:val="clear" w:color="auto" w:fill="auto"/>
            <w:tcMar>
              <w:left w:w="85" w:type="dxa"/>
              <w:right w:w="57" w:type="dxa"/>
            </w:tcMar>
          </w:tcPr>
          <w:p w14:paraId="78FE9AE1" w14:textId="77777777" w:rsidR="001F30F6" w:rsidRPr="00117487" w:rsidRDefault="001F30F6" w:rsidP="0018039E">
            <w:pPr>
              <w:pStyle w:val="TableText"/>
            </w:pPr>
            <w:r w:rsidRPr="00117487">
              <w:t>18</w:t>
            </w:r>
          </w:p>
        </w:tc>
        <w:tc>
          <w:tcPr>
            <w:tcW w:w="380" w:type="pct"/>
            <w:tcBorders>
              <w:bottom w:val="single" w:sz="4" w:space="0" w:color="auto"/>
            </w:tcBorders>
            <w:shd w:val="clear" w:color="auto" w:fill="auto"/>
            <w:tcMar>
              <w:left w:w="85" w:type="dxa"/>
              <w:right w:w="57" w:type="dxa"/>
            </w:tcMar>
          </w:tcPr>
          <w:p w14:paraId="5A88A78B" w14:textId="604BB197" w:rsidR="001F30F6" w:rsidRPr="00117487" w:rsidRDefault="001F30F6" w:rsidP="0018039E">
            <w:pPr>
              <w:pStyle w:val="TableText"/>
            </w:pPr>
            <w:r w:rsidRPr="00117487">
              <w:t>19</w:t>
            </w:r>
            <w:r w:rsidR="0018039E">
              <w:t> </w:t>
            </w:r>
            <w:r w:rsidRPr="00117487">
              <w:t>000</w:t>
            </w:r>
          </w:p>
        </w:tc>
        <w:tc>
          <w:tcPr>
            <w:tcW w:w="451" w:type="pct"/>
            <w:tcBorders>
              <w:bottom w:val="single" w:sz="4" w:space="0" w:color="auto"/>
            </w:tcBorders>
            <w:shd w:val="clear" w:color="auto" w:fill="auto"/>
            <w:tcMar>
              <w:left w:w="85" w:type="dxa"/>
              <w:right w:w="57" w:type="dxa"/>
            </w:tcMar>
          </w:tcPr>
          <w:p w14:paraId="47905870" w14:textId="7F1CA709" w:rsidR="001F30F6" w:rsidRPr="00117487" w:rsidRDefault="001F30F6" w:rsidP="0018039E">
            <w:pPr>
              <w:pStyle w:val="TableText"/>
            </w:pPr>
            <w:r w:rsidRPr="00117487">
              <w:t>3</w:t>
            </w:r>
            <w:r w:rsidR="0018039E">
              <w:t> </w:t>
            </w:r>
            <w:r w:rsidRPr="00117487">
              <w:t>800</w:t>
            </w:r>
            <w:r w:rsidR="00A53360" w:rsidRPr="00117487">
              <w:t xml:space="preserve"> </w:t>
            </w:r>
            <w:r w:rsidR="00A53360">
              <w:rPr>
                <w:rStyle w:val="Strong"/>
                <w:vertAlign w:val="superscript"/>
              </w:rPr>
              <w:t>c</w:t>
            </w:r>
          </w:p>
        </w:tc>
        <w:tc>
          <w:tcPr>
            <w:tcW w:w="601" w:type="pct"/>
            <w:tcBorders>
              <w:bottom w:val="single" w:sz="4" w:space="0" w:color="auto"/>
            </w:tcBorders>
            <w:shd w:val="clear" w:color="auto" w:fill="auto"/>
            <w:tcMar>
              <w:left w:w="85" w:type="dxa"/>
              <w:right w:w="57" w:type="dxa"/>
            </w:tcMar>
          </w:tcPr>
          <w:p w14:paraId="079D8B78" w14:textId="77777777" w:rsidR="001F30F6" w:rsidRPr="00117487" w:rsidRDefault="001F30F6" w:rsidP="0018039E">
            <w:pPr>
              <w:pStyle w:val="TableText"/>
            </w:pPr>
            <w:r w:rsidRPr="00117487">
              <w:t>No measurement of zinc</w:t>
            </w:r>
          </w:p>
        </w:tc>
        <w:tc>
          <w:tcPr>
            <w:tcW w:w="510" w:type="pct"/>
            <w:tcBorders>
              <w:bottom w:val="single" w:sz="4" w:space="0" w:color="auto"/>
            </w:tcBorders>
            <w:shd w:val="clear" w:color="auto" w:fill="auto"/>
            <w:tcMar>
              <w:left w:w="85" w:type="dxa"/>
              <w:right w:w="57" w:type="dxa"/>
            </w:tcMar>
          </w:tcPr>
          <w:p w14:paraId="41FC38B6" w14:textId="77777777" w:rsidR="001F30F6" w:rsidRPr="00117487" w:rsidRDefault="001F30F6" w:rsidP="0018039E">
            <w:pPr>
              <w:pStyle w:val="TableText"/>
            </w:pPr>
            <w:r w:rsidRPr="00117487">
              <w:rPr>
                <w:noProof/>
              </w:rPr>
              <w:t xml:space="preserve">Myers et al. </w:t>
            </w:r>
            <w:r>
              <w:rPr>
                <w:noProof/>
              </w:rPr>
              <w:t>(20</w:t>
            </w:r>
            <w:r w:rsidRPr="00117487">
              <w:rPr>
                <w:noProof/>
              </w:rPr>
              <w:t>06)</w:t>
            </w:r>
          </w:p>
        </w:tc>
      </w:tr>
      <w:tr w:rsidR="0018039E" w:rsidRPr="00C40F31" w14:paraId="68FBCA0F" w14:textId="77777777" w:rsidTr="00F73B08">
        <w:trPr>
          <w:cantSplit/>
          <w:trHeight w:val="66"/>
        </w:trPr>
        <w:tc>
          <w:tcPr>
            <w:tcW w:w="502" w:type="pct"/>
            <w:tcBorders>
              <w:bottom w:val="single" w:sz="12" w:space="0" w:color="auto"/>
            </w:tcBorders>
            <w:shd w:val="clear" w:color="auto" w:fill="auto"/>
            <w:tcMar>
              <w:left w:w="85" w:type="dxa"/>
              <w:right w:w="57" w:type="dxa"/>
            </w:tcMar>
          </w:tcPr>
          <w:p w14:paraId="3754BF7B" w14:textId="7272E46F" w:rsidR="001F30F6" w:rsidRPr="00117487" w:rsidRDefault="001F30F6" w:rsidP="0018039E">
            <w:pPr>
              <w:pStyle w:val="TableText"/>
            </w:pPr>
            <w:r w:rsidRPr="00117487">
              <w:t>Brown alga</w:t>
            </w:r>
          </w:p>
        </w:tc>
        <w:tc>
          <w:tcPr>
            <w:tcW w:w="687" w:type="pct"/>
            <w:tcBorders>
              <w:bottom w:val="single" w:sz="12" w:space="0" w:color="auto"/>
            </w:tcBorders>
            <w:shd w:val="clear" w:color="auto" w:fill="auto"/>
            <w:tcMar>
              <w:left w:w="85" w:type="dxa"/>
              <w:right w:w="57" w:type="dxa"/>
            </w:tcMar>
          </w:tcPr>
          <w:p w14:paraId="4942AEBF" w14:textId="5C4517C0" w:rsidR="001F30F6" w:rsidRPr="0018039E" w:rsidRDefault="001F30F6" w:rsidP="0018039E">
            <w:pPr>
              <w:pStyle w:val="TableText"/>
            </w:pPr>
            <w:proofErr w:type="spellStart"/>
            <w:r w:rsidRPr="0018039E">
              <w:rPr>
                <w:rStyle w:val="Emphasis"/>
              </w:rPr>
              <w:t>Eklonia</w:t>
            </w:r>
            <w:proofErr w:type="spellEnd"/>
            <w:r w:rsidRPr="0018039E">
              <w:rPr>
                <w:rStyle w:val="Emphasis"/>
              </w:rPr>
              <w:t xml:space="preserve"> radiata</w:t>
            </w:r>
            <w:r w:rsidRPr="0018039E">
              <w:t xml:space="preserve"> </w:t>
            </w:r>
          </w:p>
        </w:tc>
        <w:tc>
          <w:tcPr>
            <w:tcW w:w="356" w:type="pct"/>
            <w:tcBorders>
              <w:bottom w:val="single" w:sz="12" w:space="0" w:color="auto"/>
            </w:tcBorders>
            <w:shd w:val="clear" w:color="auto" w:fill="auto"/>
            <w:tcMar>
              <w:left w:w="85" w:type="dxa"/>
              <w:right w:w="57" w:type="dxa"/>
            </w:tcMar>
          </w:tcPr>
          <w:p w14:paraId="1E369FCB" w14:textId="77777777" w:rsidR="001F30F6" w:rsidRPr="00117487" w:rsidRDefault="001F30F6" w:rsidP="0018039E">
            <w:pPr>
              <w:pStyle w:val="TableText"/>
            </w:pPr>
            <w:r w:rsidRPr="00117487">
              <w:t>Gamete</w:t>
            </w:r>
          </w:p>
        </w:tc>
        <w:tc>
          <w:tcPr>
            <w:tcW w:w="293" w:type="pct"/>
            <w:tcBorders>
              <w:bottom w:val="single" w:sz="12" w:space="0" w:color="auto"/>
            </w:tcBorders>
            <w:shd w:val="clear" w:color="auto" w:fill="auto"/>
            <w:tcMar>
              <w:left w:w="85" w:type="dxa"/>
              <w:right w:w="57" w:type="dxa"/>
            </w:tcMar>
          </w:tcPr>
          <w:p w14:paraId="309CF062" w14:textId="77777777" w:rsidR="001F30F6" w:rsidRPr="00117487" w:rsidRDefault="001F30F6" w:rsidP="0018039E">
            <w:pPr>
              <w:pStyle w:val="TableText"/>
            </w:pPr>
            <w:r w:rsidRPr="00117487">
              <w:t>2</w:t>
            </w:r>
          </w:p>
        </w:tc>
        <w:tc>
          <w:tcPr>
            <w:tcW w:w="478" w:type="pct"/>
            <w:tcBorders>
              <w:bottom w:val="single" w:sz="12" w:space="0" w:color="auto"/>
            </w:tcBorders>
          </w:tcPr>
          <w:p w14:paraId="14A53D2B" w14:textId="77777777" w:rsidR="0018039E" w:rsidRDefault="001F30F6" w:rsidP="0018039E">
            <w:pPr>
              <w:pStyle w:val="TableText"/>
            </w:pPr>
            <w:r w:rsidRPr="00117487">
              <w:t xml:space="preserve">NOEC </w:t>
            </w:r>
          </w:p>
          <w:p w14:paraId="0FBEBDF1" w14:textId="22285F08" w:rsidR="001F30F6" w:rsidRPr="00117487" w:rsidRDefault="001F30F6" w:rsidP="0018039E">
            <w:pPr>
              <w:pStyle w:val="TableText"/>
            </w:pPr>
            <w:r w:rsidRPr="00117487">
              <w:t>(Reproduction)</w:t>
            </w:r>
          </w:p>
        </w:tc>
        <w:tc>
          <w:tcPr>
            <w:tcW w:w="341" w:type="pct"/>
            <w:tcBorders>
              <w:bottom w:val="single" w:sz="12" w:space="0" w:color="auto"/>
            </w:tcBorders>
            <w:shd w:val="clear" w:color="auto" w:fill="auto"/>
            <w:tcMar>
              <w:left w:w="85" w:type="dxa"/>
              <w:right w:w="57" w:type="dxa"/>
            </w:tcMar>
          </w:tcPr>
          <w:p w14:paraId="23896DF7" w14:textId="77777777" w:rsidR="001F30F6" w:rsidRPr="00117487" w:rsidRDefault="001F30F6" w:rsidP="0018039E">
            <w:pPr>
              <w:pStyle w:val="TableText"/>
            </w:pPr>
            <w:r w:rsidRPr="00117487">
              <w:t>34</w:t>
            </w:r>
          </w:p>
        </w:tc>
        <w:tc>
          <w:tcPr>
            <w:tcW w:w="400" w:type="pct"/>
            <w:tcBorders>
              <w:bottom w:val="single" w:sz="12" w:space="0" w:color="auto"/>
            </w:tcBorders>
            <w:shd w:val="clear" w:color="auto" w:fill="auto"/>
            <w:tcMar>
              <w:left w:w="85" w:type="dxa"/>
              <w:right w:w="57" w:type="dxa"/>
            </w:tcMar>
          </w:tcPr>
          <w:p w14:paraId="6A4C6509" w14:textId="77777777" w:rsidR="001F30F6" w:rsidRPr="00117487" w:rsidRDefault="001F30F6" w:rsidP="0018039E">
            <w:pPr>
              <w:pStyle w:val="TableText"/>
            </w:pPr>
            <w:r w:rsidRPr="00117487">
              <w:t>20</w:t>
            </w:r>
          </w:p>
        </w:tc>
        <w:tc>
          <w:tcPr>
            <w:tcW w:w="380" w:type="pct"/>
            <w:tcBorders>
              <w:bottom w:val="single" w:sz="12" w:space="0" w:color="auto"/>
            </w:tcBorders>
            <w:shd w:val="clear" w:color="auto" w:fill="auto"/>
            <w:tcMar>
              <w:left w:w="85" w:type="dxa"/>
              <w:right w:w="57" w:type="dxa"/>
            </w:tcMar>
          </w:tcPr>
          <w:p w14:paraId="0FCCEEFA" w14:textId="4C522F02" w:rsidR="001F30F6" w:rsidRPr="00117487" w:rsidRDefault="001F30F6" w:rsidP="0018039E">
            <w:pPr>
              <w:pStyle w:val="TableText"/>
            </w:pPr>
            <w:r w:rsidRPr="00117487">
              <w:t>6</w:t>
            </w:r>
            <w:r w:rsidR="0018039E">
              <w:t> </w:t>
            </w:r>
            <w:r w:rsidRPr="00117487">
              <w:t>350</w:t>
            </w:r>
          </w:p>
        </w:tc>
        <w:tc>
          <w:tcPr>
            <w:tcW w:w="451" w:type="pct"/>
            <w:tcBorders>
              <w:bottom w:val="single" w:sz="12" w:space="0" w:color="auto"/>
            </w:tcBorders>
            <w:shd w:val="clear" w:color="auto" w:fill="auto"/>
            <w:tcMar>
              <w:left w:w="85" w:type="dxa"/>
              <w:right w:w="57" w:type="dxa"/>
            </w:tcMar>
          </w:tcPr>
          <w:p w14:paraId="43F8A517" w14:textId="07E24E53" w:rsidR="001F30F6" w:rsidRPr="00117487" w:rsidRDefault="001F30F6" w:rsidP="0018039E">
            <w:pPr>
              <w:pStyle w:val="TableText"/>
            </w:pPr>
            <w:r w:rsidRPr="00117487">
              <w:t>6</w:t>
            </w:r>
            <w:r w:rsidR="0018039E">
              <w:t> </w:t>
            </w:r>
            <w:r w:rsidRPr="00117487">
              <w:t>350</w:t>
            </w:r>
          </w:p>
        </w:tc>
        <w:tc>
          <w:tcPr>
            <w:tcW w:w="601" w:type="pct"/>
            <w:tcBorders>
              <w:bottom w:val="single" w:sz="12" w:space="0" w:color="auto"/>
            </w:tcBorders>
            <w:shd w:val="clear" w:color="auto" w:fill="auto"/>
            <w:tcMar>
              <w:left w:w="85" w:type="dxa"/>
              <w:right w:w="57" w:type="dxa"/>
            </w:tcMar>
          </w:tcPr>
          <w:p w14:paraId="34E24D01" w14:textId="77777777" w:rsidR="001F30F6" w:rsidRPr="00117487" w:rsidRDefault="001F30F6" w:rsidP="0018039E">
            <w:pPr>
              <w:pStyle w:val="TableText"/>
            </w:pPr>
            <w:r w:rsidRPr="00117487">
              <w:t>No measurement of zinc</w:t>
            </w:r>
          </w:p>
        </w:tc>
        <w:tc>
          <w:tcPr>
            <w:tcW w:w="510" w:type="pct"/>
            <w:tcBorders>
              <w:bottom w:val="single" w:sz="12" w:space="0" w:color="auto"/>
            </w:tcBorders>
            <w:shd w:val="clear" w:color="auto" w:fill="auto"/>
            <w:tcMar>
              <w:left w:w="85" w:type="dxa"/>
              <w:right w:w="57" w:type="dxa"/>
            </w:tcMar>
          </w:tcPr>
          <w:p w14:paraId="68B0FD8C" w14:textId="77777777" w:rsidR="001F30F6" w:rsidRPr="00117487" w:rsidRDefault="001F30F6" w:rsidP="0018039E">
            <w:pPr>
              <w:pStyle w:val="TableText"/>
            </w:pPr>
            <w:r w:rsidRPr="00117487">
              <w:rPr>
                <w:noProof/>
              </w:rPr>
              <w:t xml:space="preserve">Bidwell et al. </w:t>
            </w:r>
            <w:r>
              <w:rPr>
                <w:noProof/>
              </w:rPr>
              <w:t>(19</w:t>
            </w:r>
            <w:r w:rsidRPr="00117487">
              <w:rPr>
                <w:noProof/>
              </w:rPr>
              <w:t>98)</w:t>
            </w:r>
          </w:p>
        </w:tc>
      </w:tr>
    </w:tbl>
    <w:p w14:paraId="183288E7" w14:textId="65BAC083" w:rsidR="002161E8" w:rsidRDefault="002161E8" w:rsidP="0018039E">
      <w:pPr>
        <w:pStyle w:val="FigureTableNoteSource"/>
      </w:pPr>
      <w:r>
        <w:t>NR = not reported.</w:t>
      </w:r>
    </w:p>
    <w:p w14:paraId="07B37174" w14:textId="7C28BEEF" w:rsidR="00A53360" w:rsidRDefault="001F30F6" w:rsidP="0018039E">
      <w:pPr>
        <w:pStyle w:val="FigureTableNoteSource"/>
      </w:pPr>
      <w:r w:rsidRPr="0018039E">
        <w:rPr>
          <w:rStyle w:val="Strong"/>
        </w:rPr>
        <w:t>a</w:t>
      </w:r>
      <w:r w:rsidRPr="001F30F6">
        <w:t xml:space="preserve"> </w:t>
      </w:r>
      <w:r w:rsidR="00A53360">
        <w:t xml:space="preserve">Value converted to a negligible effect (NOEC/EC10) concentration by dividing the reported LOEC by the default conversion factor of 2.5 (Warne et al. 2018). </w:t>
      </w:r>
    </w:p>
    <w:p w14:paraId="3EF259DF" w14:textId="77912CD0" w:rsidR="00A53360" w:rsidRPr="00A53360" w:rsidRDefault="00A53360" w:rsidP="00A53360">
      <w:pPr>
        <w:pStyle w:val="FigureTableNoteSource"/>
      </w:pPr>
      <w:r w:rsidRPr="00A53360">
        <w:rPr>
          <w:b/>
          <w:bCs/>
        </w:rPr>
        <w:t>b</w:t>
      </w:r>
      <w:r>
        <w:t xml:space="preserve"> </w:t>
      </w:r>
      <w:r w:rsidR="001F30F6" w:rsidRPr="001F30F6">
        <w:t>The data have been included in the derivation of a zinc PNEC for the United Kingdom (</w:t>
      </w:r>
      <w:proofErr w:type="spellStart"/>
      <w:r w:rsidR="001F30F6" w:rsidRPr="001F30F6">
        <w:t>Maycock</w:t>
      </w:r>
      <w:proofErr w:type="spellEnd"/>
      <w:r w:rsidR="001F30F6" w:rsidRPr="001F30F6">
        <w:t xml:space="preserve"> et al. </w:t>
      </w:r>
      <w:r w:rsidR="00D01A7E" w:rsidRPr="001F30F6">
        <w:t>201</w:t>
      </w:r>
      <w:r w:rsidR="00D01A7E">
        <w:t>2</w:t>
      </w:r>
      <w:r w:rsidR="001F30F6" w:rsidRPr="001F30F6">
        <w:t>) as the protocol allow</w:t>
      </w:r>
      <w:r w:rsidR="00A80626">
        <w:t>s</w:t>
      </w:r>
      <w:r w:rsidR="001F30F6" w:rsidRPr="001F30F6">
        <w:t xml:space="preserve"> data with nominal concentrations to be used in </w:t>
      </w:r>
      <w:r w:rsidR="002409E9">
        <w:t>PNEC</w:t>
      </w:r>
      <w:r w:rsidR="002409E9" w:rsidRPr="001F30F6">
        <w:t xml:space="preserve"> </w:t>
      </w:r>
      <w:r w:rsidR="001F30F6" w:rsidRPr="001F30F6">
        <w:t>derivation.</w:t>
      </w:r>
    </w:p>
    <w:p w14:paraId="2A764958" w14:textId="695EF439" w:rsidR="00A53360" w:rsidRPr="00A53360" w:rsidRDefault="00A53360" w:rsidP="00A53360">
      <w:pPr>
        <w:pStyle w:val="FigureTableNoteSource"/>
      </w:pPr>
      <w:r>
        <w:rPr>
          <w:b/>
          <w:bCs/>
        </w:rPr>
        <w:t>c</w:t>
      </w:r>
      <w:r>
        <w:t xml:space="preserve"> Value converted to a negligible effect (NOEC/EC10) concentration by dividing the reported EC/LC50 by the default conversion factor of 5 (Warne et al. 2018).</w:t>
      </w:r>
      <w:r w:rsidRPr="001F30F6">
        <w:t>.</w:t>
      </w:r>
    </w:p>
    <w:p w14:paraId="6E91056A" w14:textId="77777777" w:rsidR="001F30F6" w:rsidRDefault="001F30F6" w:rsidP="001F30F6">
      <w:pPr>
        <w:rPr>
          <w:highlight w:val="yellow"/>
          <w:lang w:eastAsia="ja-JP"/>
        </w:rPr>
        <w:sectPr w:rsidR="001F30F6" w:rsidSect="001F30F6">
          <w:pgSz w:w="16838" w:h="11906" w:orient="landscape"/>
          <w:pgMar w:top="1418" w:right="1418" w:bottom="1418" w:left="1418" w:header="567" w:footer="283" w:gutter="0"/>
          <w:cols w:space="708"/>
          <w:titlePg/>
          <w:docGrid w:linePitch="360"/>
        </w:sectPr>
      </w:pPr>
    </w:p>
    <w:p w14:paraId="5EC055FC" w14:textId="43079738" w:rsidR="001F30F6" w:rsidRPr="000106C5" w:rsidRDefault="007117C4" w:rsidP="001F30F6">
      <w:pPr>
        <w:pStyle w:val="Heading2"/>
        <w:numPr>
          <w:ilvl w:val="0"/>
          <w:numId w:val="0"/>
        </w:numPr>
        <w:rPr>
          <w:highlight w:val="yellow"/>
        </w:rPr>
      </w:pPr>
      <w:bookmarkStart w:id="41" w:name="_Ref23163692"/>
      <w:bookmarkStart w:id="42" w:name="_Toc34814179"/>
      <w:r>
        <w:lastRenderedPageBreak/>
        <w:t>Appendix D:</w:t>
      </w:r>
      <w:r w:rsidR="001F30F6" w:rsidRPr="00006995">
        <w:t xml:space="preserve"> </w:t>
      </w:r>
      <w:r w:rsidR="00FD4D8B">
        <w:t>G</w:t>
      </w:r>
      <w:r w:rsidR="001F30F6" w:rsidRPr="001F30F6">
        <w:t xml:space="preserve">uideline </w:t>
      </w:r>
      <w:r w:rsidR="00BE5293">
        <w:t xml:space="preserve">value </w:t>
      </w:r>
      <w:r w:rsidR="001F30F6" w:rsidRPr="001F30F6">
        <w:t>derivation based on preferred toxicity estimates only</w:t>
      </w:r>
      <w:bookmarkEnd w:id="41"/>
      <w:bookmarkEnd w:id="42"/>
    </w:p>
    <w:p w14:paraId="39FE481B" w14:textId="5E2598C8" w:rsidR="001F30F6" w:rsidRDefault="001F30F6" w:rsidP="001F30F6">
      <w:pPr>
        <w:rPr>
          <w:lang w:eastAsia="ja-JP"/>
        </w:rPr>
      </w:pPr>
      <w:r w:rsidRPr="001F30F6">
        <w:rPr>
          <w:lang w:eastAsia="ja-JP"/>
        </w:rPr>
        <w:t xml:space="preserve">Chronic </w:t>
      </w:r>
      <w:r w:rsidR="002409E9">
        <w:rPr>
          <w:lang w:eastAsia="ja-JP"/>
        </w:rPr>
        <w:t xml:space="preserve">toxicity </w:t>
      </w:r>
      <w:r w:rsidRPr="001F30F6">
        <w:rPr>
          <w:lang w:eastAsia="ja-JP"/>
        </w:rPr>
        <w:t xml:space="preserve">data </w:t>
      </w:r>
      <w:r w:rsidR="002409E9">
        <w:rPr>
          <w:lang w:eastAsia="ja-JP"/>
        </w:rPr>
        <w:t>representing only</w:t>
      </w:r>
      <w:r w:rsidR="002409E9" w:rsidRPr="001F30F6">
        <w:rPr>
          <w:lang w:eastAsia="ja-JP"/>
        </w:rPr>
        <w:t xml:space="preserve"> </w:t>
      </w:r>
      <w:r w:rsidR="003C05F9">
        <w:rPr>
          <w:lang w:eastAsia="ja-JP"/>
        </w:rPr>
        <w:t>‘</w:t>
      </w:r>
      <w:r w:rsidR="002409E9">
        <w:rPr>
          <w:lang w:eastAsia="ja-JP"/>
        </w:rPr>
        <w:t>no or low effect’</w:t>
      </w:r>
      <w:r w:rsidRPr="001F30F6">
        <w:rPr>
          <w:lang w:eastAsia="ja-JP"/>
        </w:rPr>
        <w:t xml:space="preserve"> </w:t>
      </w:r>
      <w:r w:rsidR="002409E9">
        <w:rPr>
          <w:lang w:eastAsia="ja-JP"/>
        </w:rPr>
        <w:t>data (based on Warne et al. 2018)</w:t>
      </w:r>
      <w:r w:rsidRPr="001F30F6">
        <w:rPr>
          <w:lang w:eastAsia="ja-JP"/>
        </w:rPr>
        <w:t xml:space="preserve"> are summari</w:t>
      </w:r>
      <w:r w:rsidR="004B6C17">
        <w:rPr>
          <w:lang w:eastAsia="ja-JP"/>
        </w:rPr>
        <w:t>s</w:t>
      </w:r>
      <w:r w:rsidRPr="001F30F6">
        <w:rPr>
          <w:lang w:eastAsia="ja-JP"/>
        </w:rPr>
        <w:t xml:space="preserve">ed in </w:t>
      </w:r>
      <w:r w:rsidR="0052338C">
        <w:rPr>
          <w:lang w:eastAsia="ja-JP"/>
        </w:rPr>
        <w:fldChar w:fldCharType="begin"/>
      </w:r>
      <w:r w:rsidR="0052338C">
        <w:rPr>
          <w:lang w:eastAsia="ja-JP"/>
        </w:rPr>
        <w:instrText xml:space="preserve"> REF _Ref31973976 \h </w:instrText>
      </w:r>
      <w:r w:rsidR="0052338C">
        <w:rPr>
          <w:lang w:eastAsia="ja-JP"/>
        </w:rPr>
      </w:r>
      <w:r w:rsidR="0052338C">
        <w:rPr>
          <w:lang w:eastAsia="ja-JP"/>
        </w:rPr>
        <w:fldChar w:fldCharType="separate"/>
      </w:r>
      <w:r w:rsidR="00A860FE">
        <w:t>Table D </w:t>
      </w:r>
      <w:r w:rsidR="00A860FE">
        <w:rPr>
          <w:noProof/>
        </w:rPr>
        <w:t>1</w:t>
      </w:r>
      <w:r w:rsidR="0052338C">
        <w:rPr>
          <w:lang w:eastAsia="ja-JP"/>
        </w:rPr>
        <w:fldChar w:fldCharType="end"/>
      </w:r>
      <w:r w:rsidRPr="001F30F6">
        <w:rPr>
          <w:lang w:eastAsia="ja-JP"/>
        </w:rPr>
        <w:t xml:space="preserve">. The species sensitivity distribution </w:t>
      </w:r>
      <w:r w:rsidR="00BE5293">
        <w:rPr>
          <w:lang w:eastAsia="ja-JP"/>
        </w:rPr>
        <w:t xml:space="preserve">(SSD) </w:t>
      </w:r>
      <w:r w:rsidRPr="001F30F6">
        <w:rPr>
          <w:lang w:eastAsia="ja-JP"/>
        </w:rPr>
        <w:t xml:space="preserve">based on these data is shown in </w:t>
      </w:r>
      <w:r w:rsidR="0052338C">
        <w:rPr>
          <w:lang w:eastAsia="ja-JP"/>
        </w:rPr>
        <w:fldChar w:fldCharType="begin"/>
      </w:r>
      <w:r w:rsidR="0052338C">
        <w:rPr>
          <w:lang w:eastAsia="ja-JP"/>
        </w:rPr>
        <w:instrText xml:space="preserve"> REF _Ref31974027 \h </w:instrText>
      </w:r>
      <w:r w:rsidR="0052338C">
        <w:rPr>
          <w:lang w:eastAsia="ja-JP"/>
        </w:rPr>
      </w:r>
      <w:r w:rsidR="0052338C">
        <w:rPr>
          <w:lang w:eastAsia="ja-JP"/>
        </w:rPr>
        <w:fldChar w:fldCharType="separate"/>
      </w:r>
      <w:r w:rsidR="00A860FE">
        <w:t>Figure D </w:t>
      </w:r>
      <w:r w:rsidR="00A860FE">
        <w:rPr>
          <w:noProof/>
        </w:rPr>
        <w:t>1</w:t>
      </w:r>
      <w:r w:rsidR="0052338C">
        <w:rPr>
          <w:lang w:eastAsia="ja-JP"/>
        </w:rPr>
        <w:fldChar w:fldCharType="end"/>
      </w:r>
      <w:r w:rsidRPr="001F30F6">
        <w:rPr>
          <w:lang w:eastAsia="ja-JP"/>
        </w:rPr>
        <w:t xml:space="preserve">. The fit of the Burr III model to the data was poor. Based on </w:t>
      </w:r>
      <w:r w:rsidR="002409E9">
        <w:rPr>
          <w:lang w:eastAsia="ja-JP"/>
        </w:rPr>
        <w:t xml:space="preserve">(i) </w:t>
      </w:r>
      <w:r w:rsidRPr="001F30F6">
        <w:rPr>
          <w:lang w:eastAsia="ja-JP"/>
        </w:rPr>
        <w:t xml:space="preserve">the use of </w:t>
      </w:r>
      <w:r w:rsidR="002409E9">
        <w:rPr>
          <w:lang w:eastAsia="ja-JP"/>
        </w:rPr>
        <w:t xml:space="preserve">only these </w:t>
      </w:r>
      <w:r w:rsidRPr="001F30F6">
        <w:rPr>
          <w:lang w:eastAsia="ja-JP"/>
        </w:rPr>
        <w:t xml:space="preserve">chronic data, </w:t>
      </w:r>
      <w:r w:rsidR="002409E9">
        <w:rPr>
          <w:lang w:eastAsia="ja-JP"/>
        </w:rPr>
        <w:t xml:space="preserve">(ii) </w:t>
      </w:r>
      <w:r w:rsidRPr="001F30F6">
        <w:rPr>
          <w:lang w:eastAsia="ja-JP"/>
        </w:rPr>
        <w:t>the number of species (8 species)</w:t>
      </w:r>
      <w:r w:rsidR="002409E9">
        <w:rPr>
          <w:lang w:eastAsia="ja-JP"/>
        </w:rPr>
        <w:t>,</w:t>
      </w:r>
      <w:r w:rsidRPr="001F30F6">
        <w:rPr>
          <w:lang w:eastAsia="ja-JP"/>
        </w:rPr>
        <w:t xml:space="preserve"> and</w:t>
      </w:r>
      <w:r w:rsidR="002409E9">
        <w:rPr>
          <w:lang w:eastAsia="ja-JP"/>
        </w:rPr>
        <w:t xml:space="preserve"> (iii)</w:t>
      </w:r>
      <w:r w:rsidRPr="001F30F6">
        <w:rPr>
          <w:lang w:eastAsia="ja-JP"/>
        </w:rPr>
        <w:t xml:space="preserve"> the poor fit </w:t>
      </w:r>
      <w:r w:rsidR="002409E9">
        <w:rPr>
          <w:lang w:eastAsia="ja-JP"/>
        </w:rPr>
        <w:t>of</w:t>
      </w:r>
      <w:r w:rsidRPr="001F30F6">
        <w:rPr>
          <w:lang w:eastAsia="ja-JP"/>
        </w:rPr>
        <w:t xml:space="preserve"> the SSD, </w:t>
      </w:r>
      <w:r w:rsidR="00776B0A">
        <w:rPr>
          <w:lang w:eastAsia="ja-JP"/>
        </w:rPr>
        <w:t xml:space="preserve">the resulting </w:t>
      </w:r>
      <w:r w:rsidR="002409E9">
        <w:rPr>
          <w:lang w:eastAsia="ja-JP"/>
        </w:rPr>
        <w:t>guideline values</w:t>
      </w:r>
      <w:r w:rsidR="002409E9" w:rsidRPr="001F30F6">
        <w:rPr>
          <w:lang w:eastAsia="ja-JP"/>
        </w:rPr>
        <w:t xml:space="preserve"> </w:t>
      </w:r>
      <w:r w:rsidRPr="001F30F6">
        <w:rPr>
          <w:lang w:eastAsia="ja-JP"/>
        </w:rPr>
        <w:t xml:space="preserve">would have moderate reliability. </w:t>
      </w:r>
      <w:r w:rsidR="002409E9">
        <w:rPr>
          <w:lang w:eastAsia="ja-JP"/>
        </w:rPr>
        <w:t>Therefore, a</w:t>
      </w:r>
      <w:r w:rsidR="002409E9" w:rsidRPr="001F30F6">
        <w:rPr>
          <w:lang w:eastAsia="ja-JP"/>
        </w:rPr>
        <w:t xml:space="preserve">dditional </w:t>
      </w:r>
      <w:r w:rsidRPr="001F30F6">
        <w:rPr>
          <w:lang w:eastAsia="ja-JP"/>
        </w:rPr>
        <w:t xml:space="preserve">data were sought and included in the </w:t>
      </w:r>
      <w:r w:rsidR="003C05F9">
        <w:rPr>
          <w:lang w:eastAsia="ja-JP"/>
        </w:rPr>
        <w:t>default guideline value (</w:t>
      </w:r>
      <w:r w:rsidR="002409E9">
        <w:rPr>
          <w:lang w:eastAsia="ja-JP"/>
        </w:rPr>
        <w:t>DGV</w:t>
      </w:r>
      <w:r w:rsidR="003C05F9">
        <w:rPr>
          <w:lang w:eastAsia="ja-JP"/>
        </w:rPr>
        <w:t>)</w:t>
      </w:r>
      <w:r w:rsidRPr="001F30F6">
        <w:rPr>
          <w:lang w:eastAsia="ja-JP"/>
        </w:rPr>
        <w:t xml:space="preserve"> derivation</w:t>
      </w:r>
      <w:r w:rsidR="002409E9">
        <w:rPr>
          <w:lang w:eastAsia="ja-JP"/>
        </w:rPr>
        <w:t>,</w:t>
      </w:r>
      <w:r w:rsidRPr="001F30F6">
        <w:rPr>
          <w:lang w:eastAsia="ja-JP"/>
        </w:rPr>
        <w:t xml:space="preserve"> to result in a higher reliability set of DGVs</w:t>
      </w:r>
      <w:r w:rsidR="00776B0A">
        <w:rPr>
          <w:lang w:eastAsia="ja-JP"/>
        </w:rPr>
        <w:t xml:space="preserve"> (see </w:t>
      </w:r>
      <w:r w:rsidR="003C05F9">
        <w:rPr>
          <w:lang w:eastAsia="ja-JP"/>
        </w:rPr>
        <w:t>Section </w:t>
      </w:r>
      <w:r w:rsidR="003C05F9">
        <w:rPr>
          <w:lang w:eastAsia="ja-JP"/>
        </w:rPr>
        <w:fldChar w:fldCharType="begin"/>
      </w:r>
      <w:r w:rsidR="003C05F9">
        <w:rPr>
          <w:lang w:eastAsia="ja-JP"/>
        </w:rPr>
        <w:instrText xml:space="preserve"> PAGEREF _Ref23163450 \h </w:instrText>
      </w:r>
      <w:r w:rsidR="003C05F9">
        <w:rPr>
          <w:lang w:eastAsia="ja-JP"/>
        </w:rPr>
      </w:r>
      <w:r w:rsidR="003C05F9">
        <w:rPr>
          <w:lang w:eastAsia="ja-JP"/>
        </w:rPr>
        <w:fldChar w:fldCharType="separate"/>
      </w:r>
      <w:r w:rsidR="003C05F9">
        <w:rPr>
          <w:noProof/>
          <w:lang w:eastAsia="ja-JP"/>
        </w:rPr>
        <w:t>4</w:t>
      </w:r>
      <w:r w:rsidR="003C05F9">
        <w:rPr>
          <w:lang w:eastAsia="ja-JP"/>
        </w:rPr>
        <w:fldChar w:fldCharType="end"/>
      </w:r>
      <w:r w:rsidR="00776B0A">
        <w:rPr>
          <w:lang w:eastAsia="ja-JP"/>
        </w:rPr>
        <w:t>)</w:t>
      </w:r>
      <w:r w:rsidRPr="001F30F6">
        <w:rPr>
          <w:lang w:eastAsia="ja-JP"/>
        </w:rPr>
        <w:t>.</w:t>
      </w:r>
    </w:p>
    <w:p w14:paraId="1B5DEFD7" w14:textId="7DFCC5A6" w:rsidR="001F30F6" w:rsidRDefault="00101721" w:rsidP="00101721">
      <w:pPr>
        <w:pStyle w:val="Caption"/>
        <w:rPr>
          <w:lang w:eastAsia="ja-JP"/>
        </w:rPr>
      </w:pPr>
      <w:bookmarkStart w:id="43" w:name="_Ref31973976"/>
      <w:bookmarkStart w:id="44" w:name="_Toc23169642"/>
      <w:bookmarkStart w:id="45" w:name="_Toc34643511"/>
      <w:r>
        <w:t>Table</w:t>
      </w:r>
      <w:r w:rsidR="0052338C">
        <w:t> </w:t>
      </w:r>
      <w:r>
        <w:t>D</w:t>
      </w:r>
      <w:r w:rsidR="0052338C">
        <w:t> </w:t>
      </w:r>
      <w:r w:rsidR="00586A86">
        <w:fldChar w:fldCharType="begin"/>
      </w:r>
      <w:r w:rsidR="00586A86">
        <w:instrText xml:space="preserve"> SEQ Table_D \* ARABIC </w:instrText>
      </w:r>
      <w:r w:rsidR="00586A86">
        <w:fldChar w:fldCharType="separate"/>
      </w:r>
      <w:r w:rsidR="00A860FE">
        <w:rPr>
          <w:noProof/>
        </w:rPr>
        <w:t>1</w:t>
      </w:r>
      <w:r w:rsidR="00586A86">
        <w:rPr>
          <w:noProof/>
        </w:rPr>
        <w:fldChar w:fldCharType="end"/>
      </w:r>
      <w:bookmarkEnd w:id="43"/>
      <w:r>
        <w:t xml:space="preserve"> </w:t>
      </w:r>
      <w:r w:rsidR="001F30F6" w:rsidRPr="001F30F6">
        <w:rPr>
          <w:lang w:eastAsia="ja-JP"/>
        </w:rPr>
        <w:t>Summary</w:t>
      </w:r>
      <w:r w:rsidR="00C04E37">
        <w:rPr>
          <w:lang w:eastAsia="ja-JP"/>
        </w:rPr>
        <w:t>,</w:t>
      </w:r>
      <w:r w:rsidR="001F30F6" w:rsidRPr="001F30F6">
        <w:rPr>
          <w:lang w:eastAsia="ja-JP"/>
        </w:rPr>
        <w:t xml:space="preserve"> preferred chronic toxicity data values</w:t>
      </w:r>
      <w:r w:rsidR="00C04E37">
        <w:rPr>
          <w:lang w:eastAsia="ja-JP"/>
        </w:rPr>
        <w:t>,</w:t>
      </w:r>
      <w:r w:rsidR="001F30F6" w:rsidRPr="001F30F6">
        <w:rPr>
          <w:lang w:eastAsia="ja-JP"/>
        </w:rPr>
        <w:t xml:space="preserve"> zinc </w:t>
      </w:r>
      <w:r w:rsidR="00C04E37">
        <w:rPr>
          <w:lang w:eastAsia="ja-JP"/>
        </w:rPr>
        <w:t xml:space="preserve">in </w:t>
      </w:r>
      <w:r w:rsidR="001F30F6" w:rsidRPr="001F30F6">
        <w:rPr>
          <w:lang w:eastAsia="ja-JP"/>
        </w:rPr>
        <w:t>marine</w:t>
      </w:r>
      <w:r w:rsidR="00C04E37">
        <w:rPr>
          <w:lang w:eastAsia="ja-JP"/>
        </w:rPr>
        <w:t xml:space="preserve"> water</w:t>
      </w:r>
      <w:bookmarkEnd w:id="44"/>
      <w:bookmarkEnd w:id="45"/>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Caption w:val="Summary, preferred chronic toxicity data values, zinc in marine water"/>
        <w:tblDescription w:val="Table lists 8 species with their taxonomic group and species name. The different life stages for each species are provided with the following test information: exposure duration, toxicity measure, and toxicity value."/>
      </w:tblPr>
      <w:tblGrid>
        <w:gridCol w:w="1328"/>
        <w:gridCol w:w="2238"/>
        <w:gridCol w:w="1246"/>
        <w:gridCol w:w="1248"/>
        <w:gridCol w:w="1660"/>
        <w:gridCol w:w="1350"/>
      </w:tblGrid>
      <w:tr w:rsidR="007D1FD6" w14:paraId="75116305" w14:textId="77777777" w:rsidTr="00F73B08">
        <w:trPr>
          <w:cantSplit/>
          <w:tblHeader/>
        </w:trPr>
        <w:tc>
          <w:tcPr>
            <w:tcW w:w="732" w:type="pct"/>
            <w:tcBorders>
              <w:top w:val="single" w:sz="12" w:space="0" w:color="auto"/>
              <w:bottom w:val="single" w:sz="12" w:space="0" w:color="auto"/>
            </w:tcBorders>
          </w:tcPr>
          <w:p w14:paraId="49420DB9" w14:textId="55819158" w:rsidR="007D1FD6" w:rsidRDefault="007D1FD6" w:rsidP="00E822CD">
            <w:pPr>
              <w:pStyle w:val="TableHeading"/>
              <w:rPr>
                <w:lang w:eastAsia="ja-JP"/>
              </w:rPr>
            </w:pPr>
            <w:r w:rsidRPr="0083109C">
              <w:t>Taxonomic group (</w:t>
            </w:r>
            <w:r>
              <w:t>p</w:t>
            </w:r>
            <w:r w:rsidRPr="0083109C">
              <w:t>hylum)</w:t>
            </w:r>
          </w:p>
        </w:tc>
        <w:tc>
          <w:tcPr>
            <w:tcW w:w="1234" w:type="pct"/>
            <w:tcBorders>
              <w:top w:val="single" w:sz="12" w:space="0" w:color="auto"/>
              <w:bottom w:val="single" w:sz="12" w:space="0" w:color="auto"/>
            </w:tcBorders>
          </w:tcPr>
          <w:p w14:paraId="06153B44" w14:textId="22796FAC" w:rsidR="007D1FD6" w:rsidRDefault="007D1FD6" w:rsidP="00E822CD">
            <w:pPr>
              <w:pStyle w:val="TableHeading"/>
              <w:rPr>
                <w:lang w:eastAsia="ja-JP"/>
              </w:rPr>
            </w:pPr>
            <w:r w:rsidRPr="0083109C">
              <w:t>Species</w:t>
            </w:r>
          </w:p>
        </w:tc>
        <w:tc>
          <w:tcPr>
            <w:tcW w:w="687" w:type="pct"/>
            <w:tcBorders>
              <w:top w:val="single" w:sz="12" w:space="0" w:color="auto"/>
              <w:bottom w:val="single" w:sz="12" w:space="0" w:color="auto"/>
            </w:tcBorders>
          </w:tcPr>
          <w:p w14:paraId="778F56FF" w14:textId="27BDE0E5" w:rsidR="007D1FD6" w:rsidRDefault="007D1FD6" w:rsidP="00E822CD">
            <w:pPr>
              <w:pStyle w:val="TableHeading"/>
              <w:rPr>
                <w:lang w:eastAsia="ja-JP"/>
              </w:rPr>
            </w:pPr>
            <w:r w:rsidRPr="0083109C">
              <w:t>Life stage</w:t>
            </w:r>
          </w:p>
        </w:tc>
        <w:tc>
          <w:tcPr>
            <w:tcW w:w="688" w:type="pct"/>
            <w:tcBorders>
              <w:top w:val="single" w:sz="12" w:space="0" w:color="auto"/>
              <w:bottom w:val="single" w:sz="12" w:space="0" w:color="auto"/>
            </w:tcBorders>
          </w:tcPr>
          <w:p w14:paraId="510976C9" w14:textId="66B1C724" w:rsidR="007D1FD6" w:rsidRDefault="007D1FD6" w:rsidP="00E822CD">
            <w:pPr>
              <w:pStyle w:val="TableHeading"/>
              <w:rPr>
                <w:lang w:eastAsia="ja-JP"/>
              </w:rPr>
            </w:pPr>
            <w:r>
              <w:t>Exposure d</w:t>
            </w:r>
            <w:r w:rsidRPr="0083109C">
              <w:t>uration (d)</w:t>
            </w:r>
          </w:p>
        </w:tc>
        <w:tc>
          <w:tcPr>
            <w:tcW w:w="915" w:type="pct"/>
            <w:tcBorders>
              <w:top w:val="single" w:sz="12" w:space="0" w:color="auto"/>
              <w:bottom w:val="single" w:sz="12" w:space="0" w:color="auto"/>
            </w:tcBorders>
          </w:tcPr>
          <w:p w14:paraId="731EEA7D" w14:textId="4D3198AD" w:rsidR="007D1FD6" w:rsidRDefault="007D1FD6" w:rsidP="00E822CD">
            <w:pPr>
              <w:pStyle w:val="TableHeading"/>
              <w:rPr>
                <w:lang w:eastAsia="ja-JP"/>
              </w:rPr>
            </w:pPr>
            <w:r w:rsidRPr="0083109C">
              <w:t>Toxicity measure (</w:t>
            </w:r>
            <w:r>
              <w:t>test</w:t>
            </w:r>
            <w:r w:rsidRPr="0083109C">
              <w:t xml:space="preserve"> endpoint)</w:t>
            </w:r>
          </w:p>
        </w:tc>
        <w:tc>
          <w:tcPr>
            <w:tcW w:w="744" w:type="pct"/>
            <w:tcBorders>
              <w:top w:val="single" w:sz="12" w:space="0" w:color="auto"/>
              <w:bottom w:val="single" w:sz="12" w:space="0" w:color="auto"/>
            </w:tcBorders>
          </w:tcPr>
          <w:p w14:paraId="0416A5B7" w14:textId="3CB2709C" w:rsidR="007D1FD6" w:rsidRDefault="007D1FD6" w:rsidP="00E822CD">
            <w:pPr>
              <w:pStyle w:val="TableHeading"/>
              <w:rPr>
                <w:lang w:eastAsia="ja-JP"/>
              </w:rPr>
            </w:pPr>
            <w:r>
              <w:t>T</w:t>
            </w:r>
            <w:r w:rsidRPr="0083109C">
              <w:t>oxicity value (µg/L)</w:t>
            </w:r>
          </w:p>
        </w:tc>
      </w:tr>
      <w:tr w:rsidR="007D1FD6" w14:paraId="1243EE6E" w14:textId="77777777" w:rsidTr="00F73B08">
        <w:trPr>
          <w:cantSplit/>
        </w:trPr>
        <w:tc>
          <w:tcPr>
            <w:tcW w:w="732" w:type="pct"/>
            <w:tcBorders>
              <w:top w:val="single" w:sz="12" w:space="0" w:color="auto"/>
            </w:tcBorders>
          </w:tcPr>
          <w:p w14:paraId="3710A6FC" w14:textId="2496D4EF" w:rsidR="007D1FD6" w:rsidRDefault="007D1FD6" w:rsidP="00E822CD">
            <w:pPr>
              <w:pStyle w:val="TableText"/>
              <w:rPr>
                <w:lang w:eastAsia="ja-JP"/>
              </w:rPr>
            </w:pPr>
            <w:r w:rsidRPr="00616DB4">
              <w:t>Diatom (</w:t>
            </w:r>
            <w:proofErr w:type="spellStart"/>
            <w:r w:rsidRPr="00616DB4">
              <w:t>Ochrophyta</w:t>
            </w:r>
            <w:proofErr w:type="spellEnd"/>
            <w:r w:rsidRPr="00616DB4">
              <w:t>)</w:t>
            </w:r>
          </w:p>
        </w:tc>
        <w:tc>
          <w:tcPr>
            <w:tcW w:w="1234" w:type="pct"/>
            <w:tcBorders>
              <w:top w:val="single" w:sz="12" w:space="0" w:color="auto"/>
            </w:tcBorders>
          </w:tcPr>
          <w:p w14:paraId="14E2E83E" w14:textId="12A95DD4" w:rsidR="007D1FD6" w:rsidRPr="00E822CD" w:rsidRDefault="007D1FD6" w:rsidP="00E822CD">
            <w:pPr>
              <w:pStyle w:val="TableText"/>
              <w:rPr>
                <w:rStyle w:val="Emphasis"/>
              </w:rPr>
            </w:pPr>
            <w:proofErr w:type="spellStart"/>
            <w:r w:rsidRPr="00E822CD">
              <w:rPr>
                <w:rStyle w:val="Emphasis"/>
              </w:rPr>
              <w:t>Ceratoneis</w:t>
            </w:r>
            <w:proofErr w:type="spellEnd"/>
            <w:r w:rsidRPr="00E822CD">
              <w:rPr>
                <w:rStyle w:val="Emphasis"/>
              </w:rPr>
              <w:t xml:space="preserve"> </w:t>
            </w:r>
            <w:proofErr w:type="spellStart"/>
            <w:r w:rsidRPr="00E822CD">
              <w:rPr>
                <w:rStyle w:val="Emphasis"/>
              </w:rPr>
              <w:t>closterium</w:t>
            </w:r>
            <w:proofErr w:type="spellEnd"/>
          </w:p>
        </w:tc>
        <w:tc>
          <w:tcPr>
            <w:tcW w:w="687" w:type="pct"/>
            <w:tcBorders>
              <w:top w:val="single" w:sz="12" w:space="0" w:color="auto"/>
            </w:tcBorders>
          </w:tcPr>
          <w:p w14:paraId="5FF44C11" w14:textId="06815B92" w:rsidR="007D1FD6" w:rsidRDefault="007D1FD6" w:rsidP="00E822CD">
            <w:pPr>
              <w:pStyle w:val="TableText"/>
              <w:rPr>
                <w:lang w:eastAsia="ja-JP"/>
              </w:rPr>
            </w:pPr>
            <w:r w:rsidRPr="00616DB4">
              <w:t>Log phase</w:t>
            </w:r>
          </w:p>
        </w:tc>
        <w:tc>
          <w:tcPr>
            <w:tcW w:w="688" w:type="pct"/>
            <w:tcBorders>
              <w:top w:val="single" w:sz="12" w:space="0" w:color="auto"/>
            </w:tcBorders>
          </w:tcPr>
          <w:p w14:paraId="3A171532" w14:textId="2BA2A371" w:rsidR="007D1FD6" w:rsidRDefault="007D1FD6" w:rsidP="00E822CD">
            <w:pPr>
              <w:pStyle w:val="TableText"/>
              <w:rPr>
                <w:lang w:eastAsia="ja-JP"/>
              </w:rPr>
            </w:pPr>
            <w:r w:rsidRPr="00616DB4">
              <w:t>3</w:t>
            </w:r>
          </w:p>
        </w:tc>
        <w:tc>
          <w:tcPr>
            <w:tcW w:w="915" w:type="pct"/>
            <w:tcBorders>
              <w:top w:val="single" w:sz="12" w:space="0" w:color="auto"/>
            </w:tcBorders>
          </w:tcPr>
          <w:p w14:paraId="463AB74C" w14:textId="77777777" w:rsidR="007D1FD6" w:rsidRDefault="007D1FD6" w:rsidP="00E822CD">
            <w:pPr>
              <w:pStyle w:val="TableText"/>
            </w:pPr>
            <w:r w:rsidRPr="00616DB4">
              <w:t xml:space="preserve">IC10 </w:t>
            </w:r>
          </w:p>
          <w:p w14:paraId="22950405" w14:textId="5596BAB2" w:rsidR="007D1FD6" w:rsidRDefault="007D1FD6" w:rsidP="00E822CD">
            <w:pPr>
              <w:pStyle w:val="TableText"/>
              <w:rPr>
                <w:lang w:eastAsia="ja-JP"/>
              </w:rPr>
            </w:pPr>
            <w:r w:rsidRPr="00616DB4">
              <w:t>(Population)</w:t>
            </w:r>
          </w:p>
        </w:tc>
        <w:tc>
          <w:tcPr>
            <w:tcW w:w="744" w:type="pct"/>
            <w:tcBorders>
              <w:top w:val="single" w:sz="12" w:space="0" w:color="auto"/>
            </w:tcBorders>
          </w:tcPr>
          <w:p w14:paraId="49C7FA06" w14:textId="5074F9A0" w:rsidR="007D1FD6" w:rsidRDefault="007D1FD6" w:rsidP="00E822CD">
            <w:pPr>
              <w:pStyle w:val="TableText"/>
              <w:rPr>
                <w:lang w:eastAsia="ja-JP"/>
              </w:rPr>
            </w:pPr>
            <w:r w:rsidRPr="00616DB4">
              <w:t>84</w:t>
            </w:r>
          </w:p>
        </w:tc>
      </w:tr>
      <w:tr w:rsidR="007D1FD6" w14:paraId="0B6CFF3B" w14:textId="77777777" w:rsidTr="00F73B08">
        <w:trPr>
          <w:cantSplit/>
        </w:trPr>
        <w:tc>
          <w:tcPr>
            <w:tcW w:w="732" w:type="pct"/>
          </w:tcPr>
          <w:p w14:paraId="531EAAC1" w14:textId="49739A82" w:rsidR="007D1FD6" w:rsidRDefault="007D1FD6" w:rsidP="00E822CD">
            <w:pPr>
              <w:pStyle w:val="TableText"/>
              <w:rPr>
                <w:lang w:eastAsia="ja-JP"/>
              </w:rPr>
            </w:pPr>
            <w:r w:rsidRPr="00616DB4">
              <w:t>Green alga (Chlorophyta)</w:t>
            </w:r>
          </w:p>
        </w:tc>
        <w:tc>
          <w:tcPr>
            <w:tcW w:w="1234" w:type="pct"/>
          </w:tcPr>
          <w:p w14:paraId="5A89A22D" w14:textId="5E10D1D8" w:rsidR="007D1FD6" w:rsidRDefault="007D1FD6" w:rsidP="00E822CD">
            <w:pPr>
              <w:pStyle w:val="TableText"/>
              <w:rPr>
                <w:lang w:eastAsia="ja-JP"/>
              </w:rPr>
            </w:pPr>
            <w:r w:rsidRPr="00E822CD">
              <w:rPr>
                <w:rStyle w:val="Emphasis"/>
              </w:rPr>
              <w:t xml:space="preserve">Ulva </w:t>
            </w:r>
            <w:proofErr w:type="spellStart"/>
            <w:r w:rsidRPr="00E822CD">
              <w:rPr>
                <w:rStyle w:val="Emphasis"/>
              </w:rPr>
              <w:t>fasciata</w:t>
            </w:r>
            <w:proofErr w:type="spellEnd"/>
            <w:r w:rsidRPr="00616DB4">
              <w:t xml:space="preserve"> </w:t>
            </w:r>
          </w:p>
        </w:tc>
        <w:tc>
          <w:tcPr>
            <w:tcW w:w="687" w:type="pct"/>
          </w:tcPr>
          <w:p w14:paraId="6D1F800C" w14:textId="3C0F7FFB" w:rsidR="007D1FD6" w:rsidRDefault="007D1FD6" w:rsidP="00E822CD">
            <w:pPr>
              <w:pStyle w:val="TableText"/>
              <w:rPr>
                <w:lang w:eastAsia="ja-JP"/>
              </w:rPr>
            </w:pPr>
            <w:r w:rsidRPr="00616DB4">
              <w:t>Zoospores</w:t>
            </w:r>
          </w:p>
        </w:tc>
        <w:tc>
          <w:tcPr>
            <w:tcW w:w="688" w:type="pct"/>
          </w:tcPr>
          <w:p w14:paraId="6C80352F" w14:textId="39ADA650" w:rsidR="007D1FD6" w:rsidRDefault="007D1FD6" w:rsidP="00E822CD">
            <w:pPr>
              <w:pStyle w:val="TableText"/>
              <w:rPr>
                <w:lang w:eastAsia="ja-JP"/>
              </w:rPr>
            </w:pPr>
            <w:r w:rsidRPr="00616DB4">
              <w:t>4</w:t>
            </w:r>
          </w:p>
        </w:tc>
        <w:tc>
          <w:tcPr>
            <w:tcW w:w="915" w:type="pct"/>
          </w:tcPr>
          <w:p w14:paraId="12852193" w14:textId="77777777" w:rsidR="007D1FD6" w:rsidRDefault="007D1FD6" w:rsidP="00E822CD">
            <w:pPr>
              <w:pStyle w:val="TableText"/>
            </w:pPr>
            <w:r w:rsidRPr="00616DB4">
              <w:t xml:space="preserve">NOEC </w:t>
            </w:r>
          </w:p>
          <w:p w14:paraId="0D852A6A" w14:textId="6013C8E1" w:rsidR="007D1FD6" w:rsidRDefault="007D1FD6" w:rsidP="00E822CD">
            <w:pPr>
              <w:pStyle w:val="TableText"/>
              <w:rPr>
                <w:lang w:eastAsia="ja-JP"/>
              </w:rPr>
            </w:pPr>
            <w:r>
              <w:t xml:space="preserve">(Growth/ </w:t>
            </w:r>
            <w:r w:rsidRPr="00616DB4">
              <w:t>Reproduction)</w:t>
            </w:r>
          </w:p>
        </w:tc>
        <w:tc>
          <w:tcPr>
            <w:tcW w:w="744" w:type="pct"/>
          </w:tcPr>
          <w:p w14:paraId="48B8CBFF" w14:textId="776EBFA7" w:rsidR="007D1FD6" w:rsidRDefault="007D1FD6" w:rsidP="00E822CD">
            <w:pPr>
              <w:pStyle w:val="TableText"/>
              <w:rPr>
                <w:lang w:eastAsia="ja-JP"/>
              </w:rPr>
            </w:pPr>
            <w:r w:rsidRPr="00616DB4">
              <w:t>143</w:t>
            </w:r>
          </w:p>
        </w:tc>
      </w:tr>
      <w:tr w:rsidR="007D1FD6" w14:paraId="52102123" w14:textId="77777777" w:rsidTr="00F73B08">
        <w:trPr>
          <w:cantSplit/>
        </w:trPr>
        <w:tc>
          <w:tcPr>
            <w:tcW w:w="732" w:type="pct"/>
          </w:tcPr>
          <w:p w14:paraId="6F883327" w14:textId="72FB4437" w:rsidR="007D1FD6" w:rsidRDefault="007D1FD6" w:rsidP="00E822CD">
            <w:pPr>
              <w:pStyle w:val="TableText"/>
              <w:rPr>
                <w:lang w:eastAsia="ja-JP"/>
              </w:rPr>
            </w:pPr>
            <w:r w:rsidRPr="002F76DB">
              <w:t>Brown alga (</w:t>
            </w:r>
            <w:proofErr w:type="spellStart"/>
            <w:r w:rsidRPr="002F76DB">
              <w:t>Ochrophyta</w:t>
            </w:r>
            <w:proofErr w:type="spellEnd"/>
            <w:r w:rsidRPr="002F76DB">
              <w:t>)</w:t>
            </w:r>
          </w:p>
        </w:tc>
        <w:tc>
          <w:tcPr>
            <w:tcW w:w="1234" w:type="pct"/>
          </w:tcPr>
          <w:p w14:paraId="571F4C43" w14:textId="464F3D23" w:rsidR="007D1FD6" w:rsidRDefault="007D1FD6" w:rsidP="00E822CD">
            <w:pPr>
              <w:pStyle w:val="TableText"/>
              <w:rPr>
                <w:lang w:eastAsia="ja-JP"/>
              </w:rPr>
            </w:pPr>
            <w:r w:rsidRPr="00E822CD">
              <w:rPr>
                <w:rStyle w:val="Emphasis"/>
              </w:rPr>
              <w:t xml:space="preserve">Macrocystis </w:t>
            </w:r>
            <w:proofErr w:type="spellStart"/>
            <w:r w:rsidRPr="00E822CD">
              <w:rPr>
                <w:rStyle w:val="Emphasis"/>
              </w:rPr>
              <w:t>pyrifera</w:t>
            </w:r>
            <w:proofErr w:type="spellEnd"/>
            <w:r w:rsidRPr="002F76DB">
              <w:t xml:space="preserve"> </w:t>
            </w:r>
          </w:p>
        </w:tc>
        <w:tc>
          <w:tcPr>
            <w:tcW w:w="687" w:type="pct"/>
          </w:tcPr>
          <w:p w14:paraId="66BD9229" w14:textId="034C8DF0" w:rsidR="007D1FD6" w:rsidRDefault="007D1FD6" w:rsidP="00E822CD">
            <w:pPr>
              <w:pStyle w:val="TableText"/>
              <w:rPr>
                <w:lang w:eastAsia="ja-JP"/>
              </w:rPr>
            </w:pPr>
            <w:r w:rsidRPr="002F76DB">
              <w:t>Zoospores</w:t>
            </w:r>
          </w:p>
        </w:tc>
        <w:tc>
          <w:tcPr>
            <w:tcW w:w="688" w:type="pct"/>
          </w:tcPr>
          <w:p w14:paraId="119D1759" w14:textId="2AEDE1A4" w:rsidR="007D1FD6" w:rsidRDefault="007D1FD6" w:rsidP="00E822CD">
            <w:pPr>
              <w:pStyle w:val="TableText"/>
              <w:rPr>
                <w:lang w:eastAsia="ja-JP"/>
              </w:rPr>
            </w:pPr>
            <w:r w:rsidRPr="002F76DB">
              <w:t>16</w:t>
            </w:r>
          </w:p>
        </w:tc>
        <w:tc>
          <w:tcPr>
            <w:tcW w:w="915" w:type="pct"/>
          </w:tcPr>
          <w:p w14:paraId="0FF313EF" w14:textId="77777777" w:rsidR="007D1FD6" w:rsidRDefault="007D1FD6" w:rsidP="00E822CD">
            <w:pPr>
              <w:pStyle w:val="TableText"/>
            </w:pPr>
            <w:r w:rsidRPr="002F76DB">
              <w:t xml:space="preserve">NOEC </w:t>
            </w:r>
          </w:p>
          <w:p w14:paraId="52956CC0" w14:textId="7B5066A7" w:rsidR="007D1FD6" w:rsidRDefault="007D1FD6" w:rsidP="00E822CD">
            <w:pPr>
              <w:pStyle w:val="TableText"/>
              <w:rPr>
                <w:lang w:eastAsia="ja-JP"/>
              </w:rPr>
            </w:pPr>
            <w:r w:rsidRPr="002F76DB">
              <w:t>(Reproduction)</w:t>
            </w:r>
          </w:p>
        </w:tc>
        <w:tc>
          <w:tcPr>
            <w:tcW w:w="744" w:type="pct"/>
          </w:tcPr>
          <w:p w14:paraId="4979DD2A" w14:textId="75E7F6F8" w:rsidR="007D1FD6" w:rsidRDefault="007D1FD6" w:rsidP="00E822CD">
            <w:pPr>
              <w:pStyle w:val="TableText"/>
              <w:rPr>
                <w:lang w:eastAsia="ja-JP"/>
              </w:rPr>
            </w:pPr>
            <w:r w:rsidRPr="002F76DB">
              <w:t>1</w:t>
            </w:r>
            <w:r>
              <w:t> </w:t>
            </w:r>
            <w:r w:rsidRPr="002F76DB">
              <w:t>070</w:t>
            </w:r>
          </w:p>
        </w:tc>
      </w:tr>
      <w:tr w:rsidR="007D1FD6" w14:paraId="34ECFDE6" w14:textId="77777777" w:rsidTr="00F73B08">
        <w:trPr>
          <w:cantSplit/>
        </w:trPr>
        <w:tc>
          <w:tcPr>
            <w:tcW w:w="732" w:type="pct"/>
          </w:tcPr>
          <w:p w14:paraId="4FD411CF" w14:textId="2C74EDC3" w:rsidR="007D1FD6" w:rsidRDefault="007D1FD6" w:rsidP="00E822CD">
            <w:pPr>
              <w:pStyle w:val="TableText"/>
              <w:rPr>
                <w:lang w:eastAsia="ja-JP"/>
              </w:rPr>
            </w:pPr>
            <w:r w:rsidRPr="002F76DB">
              <w:t>Anemone (Cnidaria)</w:t>
            </w:r>
          </w:p>
        </w:tc>
        <w:tc>
          <w:tcPr>
            <w:tcW w:w="1234" w:type="pct"/>
          </w:tcPr>
          <w:p w14:paraId="15BC00BA" w14:textId="68E9473F" w:rsidR="007D1FD6" w:rsidRDefault="007D1FD6" w:rsidP="00E822CD">
            <w:pPr>
              <w:pStyle w:val="TableText"/>
              <w:rPr>
                <w:lang w:eastAsia="ja-JP"/>
              </w:rPr>
            </w:pPr>
            <w:proofErr w:type="spellStart"/>
            <w:r w:rsidRPr="00E822CD">
              <w:rPr>
                <w:rStyle w:val="Emphasis"/>
              </w:rPr>
              <w:t>Aiptasia</w:t>
            </w:r>
            <w:proofErr w:type="spellEnd"/>
            <w:r w:rsidRPr="00E822CD">
              <w:rPr>
                <w:rStyle w:val="Emphasis"/>
              </w:rPr>
              <w:t xml:space="preserve"> </w:t>
            </w:r>
            <w:proofErr w:type="spellStart"/>
            <w:r w:rsidRPr="00E822CD">
              <w:rPr>
                <w:rStyle w:val="Emphasis"/>
              </w:rPr>
              <w:t>pulchella</w:t>
            </w:r>
            <w:proofErr w:type="spellEnd"/>
            <w:r w:rsidRPr="002F76DB">
              <w:t xml:space="preserve"> </w:t>
            </w:r>
          </w:p>
        </w:tc>
        <w:tc>
          <w:tcPr>
            <w:tcW w:w="687" w:type="pct"/>
          </w:tcPr>
          <w:p w14:paraId="6874A0D5" w14:textId="1B7D6265" w:rsidR="007D1FD6" w:rsidRDefault="007D1FD6" w:rsidP="00E822CD">
            <w:pPr>
              <w:pStyle w:val="TableText"/>
              <w:rPr>
                <w:lang w:eastAsia="ja-JP"/>
              </w:rPr>
            </w:pPr>
            <w:r w:rsidRPr="002F76DB">
              <w:t>Adult</w:t>
            </w:r>
          </w:p>
        </w:tc>
        <w:tc>
          <w:tcPr>
            <w:tcW w:w="688" w:type="pct"/>
          </w:tcPr>
          <w:p w14:paraId="5D4AED3C" w14:textId="34347DF4" w:rsidR="007D1FD6" w:rsidRDefault="007D1FD6" w:rsidP="00E822CD">
            <w:pPr>
              <w:pStyle w:val="TableText"/>
              <w:rPr>
                <w:lang w:eastAsia="ja-JP"/>
              </w:rPr>
            </w:pPr>
            <w:r w:rsidRPr="002F76DB">
              <w:t>28</w:t>
            </w:r>
          </w:p>
        </w:tc>
        <w:tc>
          <w:tcPr>
            <w:tcW w:w="915" w:type="pct"/>
          </w:tcPr>
          <w:p w14:paraId="567F02A9" w14:textId="77777777" w:rsidR="007D1FD6" w:rsidRDefault="007D1FD6" w:rsidP="00E822CD">
            <w:pPr>
              <w:pStyle w:val="TableText"/>
            </w:pPr>
            <w:r w:rsidRPr="002F76DB">
              <w:t xml:space="preserve">EC10 </w:t>
            </w:r>
          </w:p>
          <w:p w14:paraId="1E7BF92E" w14:textId="6196001C" w:rsidR="007D1FD6" w:rsidRDefault="007D1FD6" w:rsidP="00E822CD">
            <w:pPr>
              <w:pStyle w:val="TableText"/>
              <w:rPr>
                <w:lang w:eastAsia="ja-JP"/>
              </w:rPr>
            </w:pPr>
            <w:r w:rsidRPr="002F76DB">
              <w:t>(Reproduction)</w:t>
            </w:r>
          </w:p>
        </w:tc>
        <w:tc>
          <w:tcPr>
            <w:tcW w:w="744" w:type="pct"/>
          </w:tcPr>
          <w:p w14:paraId="15132025" w14:textId="53817984" w:rsidR="007D1FD6" w:rsidRDefault="007D1FD6" w:rsidP="00E822CD">
            <w:pPr>
              <w:pStyle w:val="TableText"/>
              <w:rPr>
                <w:lang w:eastAsia="ja-JP"/>
              </w:rPr>
            </w:pPr>
            <w:r w:rsidRPr="002F76DB">
              <w:t>9</w:t>
            </w:r>
          </w:p>
        </w:tc>
      </w:tr>
      <w:tr w:rsidR="007D1FD6" w14:paraId="6C1C604E" w14:textId="77777777" w:rsidTr="00F73B08">
        <w:trPr>
          <w:cantSplit/>
        </w:trPr>
        <w:tc>
          <w:tcPr>
            <w:tcW w:w="732" w:type="pct"/>
          </w:tcPr>
          <w:p w14:paraId="02D540D7" w14:textId="1CD22E61" w:rsidR="007D1FD6" w:rsidRDefault="007D1FD6" w:rsidP="00E822CD">
            <w:pPr>
              <w:pStyle w:val="TableText"/>
              <w:rPr>
                <w:lang w:eastAsia="ja-JP"/>
              </w:rPr>
            </w:pPr>
            <w:r w:rsidRPr="002F76DB">
              <w:t>Crustacean (Arthropoda)</w:t>
            </w:r>
          </w:p>
        </w:tc>
        <w:tc>
          <w:tcPr>
            <w:tcW w:w="1234" w:type="pct"/>
          </w:tcPr>
          <w:p w14:paraId="4A253B3E" w14:textId="585F2C6E" w:rsidR="007D1FD6" w:rsidRDefault="007D1FD6" w:rsidP="00E822CD">
            <w:pPr>
              <w:pStyle w:val="TableText"/>
              <w:rPr>
                <w:lang w:eastAsia="ja-JP"/>
              </w:rPr>
            </w:pPr>
            <w:proofErr w:type="spellStart"/>
            <w:r w:rsidRPr="00E822CD">
              <w:rPr>
                <w:rStyle w:val="Emphasis"/>
              </w:rPr>
              <w:t>Allorchestes</w:t>
            </w:r>
            <w:proofErr w:type="spellEnd"/>
            <w:r w:rsidRPr="00E822CD">
              <w:rPr>
                <w:rStyle w:val="Emphasis"/>
              </w:rPr>
              <w:t xml:space="preserve"> </w:t>
            </w:r>
            <w:proofErr w:type="spellStart"/>
            <w:r w:rsidRPr="00E822CD">
              <w:rPr>
                <w:rStyle w:val="Emphasis"/>
              </w:rPr>
              <w:t>compressa</w:t>
            </w:r>
            <w:proofErr w:type="spellEnd"/>
            <w:r w:rsidRPr="002F76DB">
              <w:t xml:space="preserve"> </w:t>
            </w:r>
          </w:p>
        </w:tc>
        <w:tc>
          <w:tcPr>
            <w:tcW w:w="687" w:type="pct"/>
          </w:tcPr>
          <w:p w14:paraId="115E89C7" w14:textId="615608DD" w:rsidR="007D1FD6" w:rsidRDefault="007D1FD6" w:rsidP="00E822CD">
            <w:pPr>
              <w:pStyle w:val="TableText"/>
              <w:rPr>
                <w:lang w:eastAsia="ja-JP"/>
              </w:rPr>
            </w:pPr>
            <w:r w:rsidRPr="002F76DB">
              <w:t>Juveniles</w:t>
            </w:r>
          </w:p>
        </w:tc>
        <w:tc>
          <w:tcPr>
            <w:tcW w:w="688" w:type="pct"/>
          </w:tcPr>
          <w:p w14:paraId="72D85003" w14:textId="3C9EEFC9" w:rsidR="007D1FD6" w:rsidRDefault="007D1FD6" w:rsidP="00E822CD">
            <w:pPr>
              <w:pStyle w:val="TableText"/>
              <w:rPr>
                <w:lang w:eastAsia="ja-JP"/>
              </w:rPr>
            </w:pPr>
            <w:r w:rsidRPr="002F76DB">
              <w:t>28</w:t>
            </w:r>
          </w:p>
        </w:tc>
        <w:tc>
          <w:tcPr>
            <w:tcW w:w="915" w:type="pct"/>
          </w:tcPr>
          <w:p w14:paraId="528F0F88" w14:textId="5A72E3D4" w:rsidR="007D1FD6" w:rsidRDefault="007D1FD6" w:rsidP="00E822CD">
            <w:pPr>
              <w:pStyle w:val="TableText"/>
            </w:pPr>
            <w:r w:rsidRPr="002F76DB">
              <w:t>MEC</w:t>
            </w:r>
            <w:r w:rsidRPr="00BB6E49">
              <w:t xml:space="preserve"> </w:t>
            </w:r>
            <w:r w:rsidRPr="00BB6E49">
              <w:rPr>
                <w:rStyle w:val="Strong"/>
                <w:vertAlign w:val="superscript"/>
              </w:rPr>
              <w:t>a</w:t>
            </w:r>
            <w:r w:rsidRPr="002F76DB">
              <w:t xml:space="preserve"> </w:t>
            </w:r>
          </w:p>
          <w:p w14:paraId="6F82702F" w14:textId="5553BAAF" w:rsidR="007D1FD6" w:rsidRDefault="007D1FD6" w:rsidP="00E822CD">
            <w:pPr>
              <w:pStyle w:val="TableText"/>
              <w:rPr>
                <w:lang w:eastAsia="ja-JP"/>
              </w:rPr>
            </w:pPr>
            <w:r w:rsidRPr="002F76DB">
              <w:t>(Mortality)</w:t>
            </w:r>
          </w:p>
        </w:tc>
        <w:tc>
          <w:tcPr>
            <w:tcW w:w="744" w:type="pct"/>
          </w:tcPr>
          <w:p w14:paraId="7A16A6E5" w14:textId="19669926" w:rsidR="007D1FD6" w:rsidRDefault="007D1FD6" w:rsidP="00E822CD">
            <w:pPr>
              <w:pStyle w:val="TableText"/>
              <w:rPr>
                <w:lang w:eastAsia="ja-JP"/>
              </w:rPr>
            </w:pPr>
            <w:r w:rsidRPr="002F76DB">
              <w:t>99</w:t>
            </w:r>
          </w:p>
        </w:tc>
      </w:tr>
      <w:tr w:rsidR="007D1FD6" w14:paraId="0C8CA090" w14:textId="77777777" w:rsidTr="00F73B08">
        <w:trPr>
          <w:cantSplit/>
        </w:trPr>
        <w:tc>
          <w:tcPr>
            <w:tcW w:w="732" w:type="pct"/>
            <w:vMerge w:val="restart"/>
          </w:tcPr>
          <w:p w14:paraId="17A76E99" w14:textId="2A7887D1" w:rsidR="007D1FD6" w:rsidRDefault="007D1FD6" w:rsidP="00E822CD">
            <w:pPr>
              <w:pStyle w:val="TableText"/>
              <w:rPr>
                <w:lang w:eastAsia="ja-JP"/>
              </w:rPr>
            </w:pPr>
            <w:r w:rsidRPr="006B1C5E">
              <w:t>Mollusc</w:t>
            </w:r>
            <w:r w:rsidR="00772066">
              <w:t xml:space="preserve"> (Mollusca)</w:t>
            </w:r>
          </w:p>
        </w:tc>
        <w:tc>
          <w:tcPr>
            <w:tcW w:w="1234" w:type="pct"/>
          </w:tcPr>
          <w:p w14:paraId="0D4AAA65" w14:textId="56384B0E" w:rsidR="007D1FD6" w:rsidRDefault="007D1FD6" w:rsidP="00E822CD">
            <w:pPr>
              <w:pStyle w:val="TableText"/>
              <w:rPr>
                <w:lang w:eastAsia="ja-JP"/>
              </w:rPr>
            </w:pPr>
            <w:proofErr w:type="spellStart"/>
            <w:r w:rsidRPr="00E822CD">
              <w:rPr>
                <w:rStyle w:val="Emphasis"/>
              </w:rPr>
              <w:t>Haliotis</w:t>
            </w:r>
            <w:proofErr w:type="spellEnd"/>
            <w:r w:rsidRPr="00E822CD">
              <w:rPr>
                <w:rStyle w:val="Emphasis"/>
              </w:rPr>
              <w:t xml:space="preserve"> </w:t>
            </w:r>
            <w:proofErr w:type="spellStart"/>
            <w:r w:rsidRPr="00E822CD">
              <w:rPr>
                <w:rStyle w:val="Emphasis"/>
              </w:rPr>
              <w:t>diversicolor</w:t>
            </w:r>
            <w:proofErr w:type="spellEnd"/>
            <w:r w:rsidRPr="006B1C5E">
              <w:t xml:space="preserve"> </w:t>
            </w:r>
          </w:p>
        </w:tc>
        <w:tc>
          <w:tcPr>
            <w:tcW w:w="687" w:type="pct"/>
          </w:tcPr>
          <w:p w14:paraId="04778AC2" w14:textId="48A442C9" w:rsidR="007D1FD6" w:rsidRDefault="007D1FD6" w:rsidP="00E822CD">
            <w:pPr>
              <w:pStyle w:val="TableText"/>
              <w:rPr>
                <w:lang w:eastAsia="ja-JP"/>
              </w:rPr>
            </w:pPr>
            <w:r>
              <w:t>NR</w:t>
            </w:r>
          </w:p>
        </w:tc>
        <w:tc>
          <w:tcPr>
            <w:tcW w:w="688" w:type="pct"/>
          </w:tcPr>
          <w:p w14:paraId="7912F270" w14:textId="4929E78E" w:rsidR="007D1FD6" w:rsidRDefault="007D1FD6" w:rsidP="00E822CD">
            <w:pPr>
              <w:pStyle w:val="TableText"/>
              <w:rPr>
                <w:lang w:eastAsia="ja-JP"/>
              </w:rPr>
            </w:pPr>
            <w:r w:rsidRPr="006B1C5E">
              <w:t>28</w:t>
            </w:r>
          </w:p>
        </w:tc>
        <w:tc>
          <w:tcPr>
            <w:tcW w:w="915" w:type="pct"/>
          </w:tcPr>
          <w:p w14:paraId="082DA318" w14:textId="77777777" w:rsidR="007D1FD6" w:rsidRDefault="007D1FD6" w:rsidP="00E822CD">
            <w:pPr>
              <w:pStyle w:val="TableText"/>
            </w:pPr>
            <w:r w:rsidRPr="006B1C5E">
              <w:t xml:space="preserve">NOEC </w:t>
            </w:r>
          </w:p>
          <w:p w14:paraId="66EBBB34" w14:textId="59D68930" w:rsidR="007D1FD6" w:rsidRDefault="007D1FD6" w:rsidP="00E822CD">
            <w:pPr>
              <w:pStyle w:val="TableText"/>
              <w:rPr>
                <w:lang w:eastAsia="ja-JP"/>
              </w:rPr>
            </w:pPr>
            <w:r w:rsidRPr="006B1C5E">
              <w:t>(Growth)</w:t>
            </w:r>
          </w:p>
        </w:tc>
        <w:tc>
          <w:tcPr>
            <w:tcW w:w="744" w:type="pct"/>
          </w:tcPr>
          <w:p w14:paraId="7C79B824" w14:textId="43531254" w:rsidR="007D1FD6" w:rsidRDefault="007D1FD6" w:rsidP="00E822CD">
            <w:pPr>
              <w:pStyle w:val="TableText"/>
              <w:rPr>
                <w:lang w:eastAsia="ja-JP"/>
              </w:rPr>
            </w:pPr>
            <w:r w:rsidRPr="006B1C5E">
              <w:t>64</w:t>
            </w:r>
          </w:p>
        </w:tc>
      </w:tr>
      <w:tr w:rsidR="007D1FD6" w14:paraId="7CE1DA81" w14:textId="77777777" w:rsidTr="00F73B08">
        <w:trPr>
          <w:cantSplit/>
        </w:trPr>
        <w:tc>
          <w:tcPr>
            <w:tcW w:w="732" w:type="pct"/>
            <w:vMerge/>
          </w:tcPr>
          <w:p w14:paraId="06353B4A" w14:textId="785111C4" w:rsidR="007D1FD6" w:rsidRDefault="007D1FD6" w:rsidP="00E822CD">
            <w:pPr>
              <w:pStyle w:val="TableText"/>
              <w:rPr>
                <w:lang w:eastAsia="ja-JP"/>
              </w:rPr>
            </w:pPr>
          </w:p>
        </w:tc>
        <w:tc>
          <w:tcPr>
            <w:tcW w:w="1234" w:type="pct"/>
            <w:tcBorders>
              <w:bottom w:val="single" w:sz="4" w:space="0" w:color="auto"/>
            </w:tcBorders>
          </w:tcPr>
          <w:p w14:paraId="4330359D" w14:textId="60A2E5AB" w:rsidR="007D1FD6" w:rsidRDefault="007D1FD6" w:rsidP="00E822CD">
            <w:pPr>
              <w:pStyle w:val="TableText"/>
              <w:rPr>
                <w:lang w:eastAsia="ja-JP"/>
              </w:rPr>
            </w:pPr>
            <w:proofErr w:type="spellStart"/>
            <w:r w:rsidRPr="00E822CD">
              <w:rPr>
                <w:rStyle w:val="Emphasis"/>
              </w:rPr>
              <w:t>Mimachlamys</w:t>
            </w:r>
            <w:proofErr w:type="spellEnd"/>
            <w:r w:rsidRPr="00E822CD">
              <w:rPr>
                <w:rStyle w:val="Emphasis"/>
              </w:rPr>
              <w:t xml:space="preserve"> </w:t>
            </w:r>
            <w:proofErr w:type="spellStart"/>
            <w:r w:rsidRPr="00E822CD">
              <w:rPr>
                <w:rStyle w:val="Emphasis"/>
              </w:rPr>
              <w:t>asperrima</w:t>
            </w:r>
            <w:proofErr w:type="spellEnd"/>
            <w:r w:rsidRPr="00E94ABC">
              <w:t xml:space="preserve"> </w:t>
            </w:r>
          </w:p>
        </w:tc>
        <w:tc>
          <w:tcPr>
            <w:tcW w:w="687" w:type="pct"/>
            <w:tcBorders>
              <w:bottom w:val="single" w:sz="4" w:space="0" w:color="auto"/>
            </w:tcBorders>
          </w:tcPr>
          <w:p w14:paraId="2B859690" w14:textId="752C6E30" w:rsidR="007D1FD6" w:rsidRDefault="007D1FD6" w:rsidP="00E822CD">
            <w:pPr>
              <w:pStyle w:val="TableText"/>
              <w:rPr>
                <w:lang w:eastAsia="ja-JP"/>
              </w:rPr>
            </w:pPr>
            <w:r w:rsidRPr="00E94ABC">
              <w:t>Larvae</w:t>
            </w:r>
          </w:p>
        </w:tc>
        <w:tc>
          <w:tcPr>
            <w:tcW w:w="688" w:type="pct"/>
            <w:tcBorders>
              <w:bottom w:val="single" w:sz="4" w:space="0" w:color="auto"/>
            </w:tcBorders>
          </w:tcPr>
          <w:p w14:paraId="3EEDD393" w14:textId="448C2D09" w:rsidR="007D1FD6" w:rsidRDefault="007D1FD6" w:rsidP="00E822CD">
            <w:pPr>
              <w:pStyle w:val="TableText"/>
              <w:rPr>
                <w:lang w:eastAsia="ja-JP"/>
              </w:rPr>
            </w:pPr>
            <w:r w:rsidRPr="00E94ABC">
              <w:t>2</w:t>
            </w:r>
          </w:p>
        </w:tc>
        <w:tc>
          <w:tcPr>
            <w:tcW w:w="915" w:type="pct"/>
            <w:tcBorders>
              <w:bottom w:val="single" w:sz="4" w:space="0" w:color="auto"/>
            </w:tcBorders>
          </w:tcPr>
          <w:p w14:paraId="1659DC7E" w14:textId="77777777" w:rsidR="007D1FD6" w:rsidRDefault="007D1FD6" w:rsidP="00E822CD">
            <w:pPr>
              <w:pStyle w:val="TableText"/>
            </w:pPr>
            <w:r w:rsidRPr="00E94ABC">
              <w:t xml:space="preserve">NOEC </w:t>
            </w:r>
          </w:p>
          <w:p w14:paraId="44DA9042" w14:textId="106C9063" w:rsidR="007D1FD6" w:rsidRDefault="007D1FD6" w:rsidP="00E822CD">
            <w:pPr>
              <w:pStyle w:val="TableText"/>
              <w:rPr>
                <w:lang w:eastAsia="ja-JP"/>
              </w:rPr>
            </w:pPr>
            <w:r w:rsidRPr="00E94ABC">
              <w:t>(Development)</w:t>
            </w:r>
          </w:p>
        </w:tc>
        <w:tc>
          <w:tcPr>
            <w:tcW w:w="744" w:type="pct"/>
            <w:tcBorders>
              <w:bottom w:val="single" w:sz="4" w:space="0" w:color="auto"/>
            </w:tcBorders>
          </w:tcPr>
          <w:p w14:paraId="0FDD165C" w14:textId="6C5068A3" w:rsidR="007D1FD6" w:rsidRDefault="007D1FD6" w:rsidP="00E822CD">
            <w:pPr>
              <w:pStyle w:val="TableText"/>
              <w:rPr>
                <w:lang w:eastAsia="ja-JP"/>
              </w:rPr>
            </w:pPr>
            <w:r w:rsidRPr="00E94ABC">
              <w:t>5</w:t>
            </w:r>
          </w:p>
        </w:tc>
      </w:tr>
      <w:tr w:rsidR="007D1FD6" w14:paraId="2175304A" w14:textId="77777777" w:rsidTr="00F73B08">
        <w:trPr>
          <w:cantSplit/>
        </w:trPr>
        <w:tc>
          <w:tcPr>
            <w:tcW w:w="732" w:type="pct"/>
            <w:vMerge/>
            <w:tcBorders>
              <w:bottom w:val="single" w:sz="12" w:space="0" w:color="auto"/>
            </w:tcBorders>
          </w:tcPr>
          <w:p w14:paraId="0AC73E2B" w14:textId="59238BF4" w:rsidR="007D1FD6" w:rsidRDefault="007D1FD6" w:rsidP="00E822CD">
            <w:pPr>
              <w:pStyle w:val="TableText"/>
              <w:rPr>
                <w:lang w:eastAsia="ja-JP"/>
              </w:rPr>
            </w:pPr>
          </w:p>
        </w:tc>
        <w:tc>
          <w:tcPr>
            <w:tcW w:w="1234" w:type="pct"/>
            <w:tcBorders>
              <w:bottom w:val="single" w:sz="12" w:space="0" w:color="auto"/>
            </w:tcBorders>
          </w:tcPr>
          <w:p w14:paraId="18A8BBE2" w14:textId="6451CA5A" w:rsidR="007D1FD6" w:rsidRDefault="007D1FD6" w:rsidP="00E822CD">
            <w:pPr>
              <w:pStyle w:val="TableText"/>
              <w:rPr>
                <w:lang w:eastAsia="ja-JP"/>
              </w:rPr>
            </w:pPr>
            <w:r w:rsidRPr="00E822CD">
              <w:rPr>
                <w:rStyle w:val="Emphasis"/>
              </w:rPr>
              <w:t xml:space="preserve">Mytilus </w:t>
            </w:r>
            <w:proofErr w:type="spellStart"/>
            <w:r w:rsidRPr="00E822CD">
              <w:rPr>
                <w:rStyle w:val="Emphasis"/>
              </w:rPr>
              <w:t>trossulus</w:t>
            </w:r>
            <w:proofErr w:type="spellEnd"/>
            <w:r w:rsidRPr="00E94ABC">
              <w:t xml:space="preserve"> </w:t>
            </w:r>
          </w:p>
        </w:tc>
        <w:tc>
          <w:tcPr>
            <w:tcW w:w="687" w:type="pct"/>
            <w:tcBorders>
              <w:bottom w:val="single" w:sz="12" w:space="0" w:color="auto"/>
            </w:tcBorders>
          </w:tcPr>
          <w:p w14:paraId="1C3C92CA" w14:textId="3917A056" w:rsidR="007D1FD6" w:rsidRDefault="007D1FD6" w:rsidP="00E822CD">
            <w:pPr>
              <w:pStyle w:val="TableText"/>
              <w:rPr>
                <w:lang w:eastAsia="ja-JP"/>
              </w:rPr>
            </w:pPr>
            <w:r w:rsidRPr="00E94ABC">
              <w:t>Embryos</w:t>
            </w:r>
          </w:p>
        </w:tc>
        <w:tc>
          <w:tcPr>
            <w:tcW w:w="688" w:type="pct"/>
            <w:tcBorders>
              <w:bottom w:val="single" w:sz="12" w:space="0" w:color="auto"/>
            </w:tcBorders>
          </w:tcPr>
          <w:p w14:paraId="5AD80003" w14:textId="5A6EDF2E" w:rsidR="007D1FD6" w:rsidRDefault="007D1FD6" w:rsidP="00E822CD">
            <w:pPr>
              <w:pStyle w:val="TableText"/>
              <w:rPr>
                <w:lang w:eastAsia="ja-JP"/>
              </w:rPr>
            </w:pPr>
            <w:r w:rsidRPr="00E94ABC">
              <w:t>2</w:t>
            </w:r>
          </w:p>
        </w:tc>
        <w:tc>
          <w:tcPr>
            <w:tcW w:w="915" w:type="pct"/>
            <w:tcBorders>
              <w:bottom w:val="single" w:sz="12" w:space="0" w:color="auto"/>
            </w:tcBorders>
          </w:tcPr>
          <w:p w14:paraId="2FEBEBCD" w14:textId="77777777" w:rsidR="007D1FD6" w:rsidRDefault="007D1FD6" w:rsidP="00E822CD">
            <w:pPr>
              <w:pStyle w:val="TableText"/>
            </w:pPr>
            <w:r w:rsidRPr="00E94ABC">
              <w:t xml:space="preserve">EC20 </w:t>
            </w:r>
          </w:p>
          <w:p w14:paraId="2B854882" w14:textId="08C1D60B" w:rsidR="007D1FD6" w:rsidRDefault="007D1FD6" w:rsidP="00E822CD">
            <w:pPr>
              <w:pStyle w:val="TableText"/>
              <w:rPr>
                <w:lang w:eastAsia="ja-JP"/>
              </w:rPr>
            </w:pPr>
            <w:r w:rsidRPr="00E94ABC">
              <w:t>(Development)</w:t>
            </w:r>
          </w:p>
        </w:tc>
        <w:tc>
          <w:tcPr>
            <w:tcW w:w="744" w:type="pct"/>
            <w:tcBorders>
              <w:bottom w:val="single" w:sz="12" w:space="0" w:color="auto"/>
            </w:tcBorders>
          </w:tcPr>
          <w:p w14:paraId="333B7FC4" w14:textId="1EE9B09A" w:rsidR="007D1FD6" w:rsidRDefault="007D1FD6" w:rsidP="00E822CD">
            <w:pPr>
              <w:pStyle w:val="TableText"/>
              <w:rPr>
                <w:lang w:eastAsia="ja-JP"/>
              </w:rPr>
            </w:pPr>
            <w:r w:rsidRPr="00E94ABC">
              <w:t>64</w:t>
            </w:r>
          </w:p>
        </w:tc>
      </w:tr>
    </w:tbl>
    <w:p w14:paraId="5B835504" w14:textId="414345C6" w:rsidR="00454D39" w:rsidRPr="00454D39" w:rsidRDefault="0069425A" w:rsidP="00454D39">
      <w:pPr>
        <w:pStyle w:val="FigureTableNoteSource"/>
        <w:rPr>
          <w:lang w:eastAsia="ja-JP"/>
        </w:rPr>
      </w:pPr>
      <w:r w:rsidRPr="002161E8">
        <w:rPr>
          <w:lang w:eastAsia="ja-JP"/>
        </w:rPr>
        <w:t>NR = not reported.</w:t>
      </w:r>
    </w:p>
    <w:p w14:paraId="229A08BF" w14:textId="040D245F" w:rsidR="00454D39" w:rsidRPr="00454D39" w:rsidRDefault="00454D39" w:rsidP="00454D39">
      <w:pPr>
        <w:pStyle w:val="FigureTableNoteSource"/>
        <w:rPr>
          <w:lang w:eastAsia="ja-JP"/>
        </w:rPr>
      </w:pPr>
      <w:r w:rsidRPr="00BB6E49">
        <w:rPr>
          <w:rStyle w:val="Strong"/>
        </w:rPr>
        <w:t>a</w:t>
      </w:r>
      <w:r w:rsidRPr="002161E8">
        <w:rPr>
          <w:lang w:eastAsia="ja-JP"/>
        </w:rPr>
        <w:t xml:space="preserve"> </w:t>
      </w:r>
      <w:r>
        <w:rPr>
          <w:lang w:eastAsia="ja-JP"/>
        </w:rPr>
        <w:t xml:space="preserve">MEC: Minimum effect concentration. See </w:t>
      </w:r>
      <w:proofErr w:type="spellStart"/>
      <w:r>
        <w:t>Ahsanullah</w:t>
      </w:r>
      <w:proofErr w:type="spellEnd"/>
      <w:r>
        <w:t xml:space="preserve"> </w:t>
      </w:r>
      <w:r w:rsidR="00BB6E49">
        <w:t>and</w:t>
      </w:r>
      <w:r>
        <w:t xml:space="preserve"> Williams (1991) for details.</w:t>
      </w:r>
    </w:p>
    <w:p w14:paraId="3263E268" w14:textId="77777777" w:rsidR="00D65DE5" w:rsidRPr="00D65DE5" w:rsidRDefault="00D65DE5" w:rsidP="00D65DE5">
      <w:pPr>
        <w:rPr>
          <w:lang w:eastAsia="ja-JP"/>
        </w:rPr>
      </w:pPr>
    </w:p>
    <w:p w14:paraId="2DBFBBDF" w14:textId="32143DC1" w:rsidR="001F30F6" w:rsidRDefault="001F30F6" w:rsidP="001F30F6">
      <w:pPr>
        <w:rPr>
          <w:highlight w:val="yellow"/>
          <w:lang w:eastAsia="ja-JP"/>
        </w:rPr>
      </w:pPr>
      <w:r w:rsidRPr="00153ECE">
        <w:rPr>
          <w:noProof/>
          <w:lang w:eastAsia="en-AU"/>
        </w:rPr>
        <w:lastRenderedPageBreak/>
        <w:drawing>
          <wp:inline distT="0" distB="0" distL="0" distR="0" wp14:anchorId="4D91D613" wp14:editId="474988D0">
            <wp:extent cx="4440326" cy="3906316"/>
            <wp:effectExtent l="0" t="0" r="0" b="0"/>
            <wp:docPr id="6" name="Picture 6" descr="Figure shows the species sensitivity distribution of several species at different concentrations of zinc. NOEC, EC10, EC20, IC10 and MEC values are shown on the figure." title="Species sensitivity distribution, preferred chronic toxicity estimates only, zinc in marine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255" t="7008" r="2202" b="1710"/>
                    <a:stretch/>
                  </pic:blipFill>
                  <pic:spPr bwMode="auto">
                    <a:xfrm>
                      <a:off x="0" y="0"/>
                      <a:ext cx="4449371" cy="3914273"/>
                    </a:xfrm>
                    <a:prstGeom prst="rect">
                      <a:avLst/>
                    </a:prstGeom>
                    <a:noFill/>
                    <a:ln>
                      <a:noFill/>
                    </a:ln>
                    <a:extLst>
                      <a:ext uri="{53640926-AAD7-44D8-BBD7-CCE9431645EC}">
                        <a14:shadowObscured xmlns:a14="http://schemas.microsoft.com/office/drawing/2010/main"/>
                      </a:ext>
                    </a:extLst>
                  </pic:spPr>
                </pic:pic>
              </a:graphicData>
            </a:graphic>
          </wp:inline>
        </w:drawing>
      </w:r>
    </w:p>
    <w:p w14:paraId="4B882144" w14:textId="231316F5" w:rsidR="001F30F6" w:rsidRDefault="00101721" w:rsidP="00101721">
      <w:pPr>
        <w:pStyle w:val="Caption"/>
        <w:rPr>
          <w:lang w:eastAsia="ja-JP"/>
        </w:rPr>
      </w:pPr>
      <w:bookmarkStart w:id="46" w:name="_Ref31974027"/>
      <w:bookmarkStart w:id="47" w:name="_Toc34643520"/>
      <w:r>
        <w:t>Figure</w:t>
      </w:r>
      <w:r w:rsidR="0052338C">
        <w:t> </w:t>
      </w:r>
      <w:r>
        <w:t>D</w:t>
      </w:r>
      <w:r w:rsidR="0052338C">
        <w:t> </w:t>
      </w:r>
      <w:r w:rsidR="00586A86">
        <w:fldChar w:fldCharType="begin"/>
      </w:r>
      <w:r w:rsidR="00586A86">
        <w:instrText xml:space="preserve"> SEQ Figure_D \* ARABIC </w:instrText>
      </w:r>
      <w:r w:rsidR="00586A86">
        <w:fldChar w:fldCharType="separate"/>
      </w:r>
      <w:r w:rsidR="00A860FE">
        <w:rPr>
          <w:noProof/>
        </w:rPr>
        <w:t>1</w:t>
      </w:r>
      <w:r w:rsidR="00586A86">
        <w:rPr>
          <w:noProof/>
        </w:rPr>
        <w:fldChar w:fldCharType="end"/>
      </w:r>
      <w:bookmarkEnd w:id="46"/>
      <w:r>
        <w:t xml:space="preserve"> </w:t>
      </w:r>
      <w:r w:rsidR="00C04E37">
        <w:rPr>
          <w:lang w:eastAsia="ja-JP"/>
        </w:rPr>
        <w:t xml:space="preserve">Species sensitivity distribution, </w:t>
      </w:r>
      <w:r w:rsidR="001F30F6" w:rsidRPr="001F30F6">
        <w:rPr>
          <w:lang w:eastAsia="ja-JP"/>
        </w:rPr>
        <w:t xml:space="preserve">preferred chronic toxicity estimates only, </w:t>
      </w:r>
      <w:r w:rsidR="00C04E37">
        <w:rPr>
          <w:lang w:eastAsia="ja-JP"/>
        </w:rPr>
        <w:t>zinc in marine water</w:t>
      </w:r>
      <w:bookmarkEnd w:id="47"/>
    </w:p>
    <w:p w14:paraId="1A1A9986" w14:textId="09805764" w:rsidR="001652D8" w:rsidRDefault="001652D8">
      <w:pPr>
        <w:spacing w:after="0" w:line="240" w:lineRule="auto"/>
        <w:rPr>
          <w:highlight w:val="yellow"/>
          <w:lang w:eastAsia="ja-JP"/>
        </w:rPr>
      </w:pPr>
      <w:r>
        <w:rPr>
          <w:highlight w:val="yellow"/>
          <w:lang w:eastAsia="ja-JP"/>
        </w:rPr>
        <w:br w:type="page"/>
      </w:r>
    </w:p>
    <w:p w14:paraId="5CE3283A" w14:textId="77777777" w:rsidR="00606A7B" w:rsidRPr="007F538A" w:rsidRDefault="00606A7B" w:rsidP="00606A7B">
      <w:pPr>
        <w:pStyle w:val="Heading2"/>
        <w:numPr>
          <w:ilvl w:val="0"/>
          <w:numId w:val="0"/>
        </w:numPr>
        <w:ind w:left="680" w:hanging="680"/>
      </w:pPr>
      <w:bookmarkStart w:id="48" w:name="_Toc4498839"/>
      <w:bookmarkStart w:id="49" w:name="_Toc34814180"/>
      <w:r w:rsidRPr="007F538A">
        <w:lastRenderedPageBreak/>
        <w:t>References</w:t>
      </w:r>
      <w:bookmarkEnd w:id="48"/>
      <w:bookmarkEnd w:id="49"/>
    </w:p>
    <w:p w14:paraId="7E20210F" w14:textId="77777777" w:rsidR="00A860FE" w:rsidRDefault="00A860FE" w:rsidP="00006995">
      <w:proofErr w:type="spellStart"/>
      <w:r>
        <w:t>Ahsanullah</w:t>
      </w:r>
      <w:proofErr w:type="spellEnd"/>
      <w:r>
        <w:t xml:space="preserve">, M &amp; Williams, AR 1991. Sublethal effects and bioaccumulation of cadmium, chromium, copper and zinc in the marine amphipod </w:t>
      </w:r>
      <w:proofErr w:type="spellStart"/>
      <w:r w:rsidRPr="00DE3523">
        <w:rPr>
          <w:rStyle w:val="Emphasis"/>
        </w:rPr>
        <w:t>Allorchestes</w:t>
      </w:r>
      <w:proofErr w:type="spellEnd"/>
      <w:r w:rsidRPr="00DE3523">
        <w:rPr>
          <w:rStyle w:val="Emphasis"/>
        </w:rPr>
        <w:t xml:space="preserve"> </w:t>
      </w:r>
      <w:proofErr w:type="spellStart"/>
      <w:r w:rsidRPr="00DE3523">
        <w:rPr>
          <w:rStyle w:val="Emphasis"/>
        </w:rPr>
        <w:t>compressa</w:t>
      </w:r>
      <w:proofErr w:type="spellEnd"/>
      <w:r>
        <w:t xml:space="preserve">. </w:t>
      </w:r>
      <w:r w:rsidRPr="00DE3523">
        <w:rPr>
          <w:rStyle w:val="Emphasis"/>
        </w:rPr>
        <w:t>Marine Biology</w:t>
      </w:r>
      <w:r>
        <w:t>, 108, 59–65.</w:t>
      </w:r>
    </w:p>
    <w:p w14:paraId="31A13084" w14:textId="77777777" w:rsidR="00A860FE" w:rsidRDefault="00A860FE" w:rsidP="00006995">
      <w:proofErr w:type="spellStart"/>
      <w:r>
        <w:t>Ahsanullah</w:t>
      </w:r>
      <w:proofErr w:type="spellEnd"/>
      <w:r>
        <w:t xml:space="preserve">, M, </w:t>
      </w:r>
      <w:proofErr w:type="spellStart"/>
      <w:r>
        <w:t>Negilski</w:t>
      </w:r>
      <w:proofErr w:type="spellEnd"/>
      <w:r>
        <w:t xml:space="preserve">, DS &amp; Mobley, MC 1981. Toxicity of zinc, cadmium and copper to the shrimp </w:t>
      </w:r>
      <w:proofErr w:type="spellStart"/>
      <w:r w:rsidRPr="005233C5">
        <w:rPr>
          <w:rStyle w:val="Emphasis"/>
        </w:rPr>
        <w:t>Callianassa</w:t>
      </w:r>
      <w:proofErr w:type="spellEnd"/>
      <w:r w:rsidRPr="005233C5">
        <w:rPr>
          <w:rStyle w:val="Emphasis"/>
        </w:rPr>
        <w:t xml:space="preserve"> </w:t>
      </w:r>
      <w:proofErr w:type="spellStart"/>
      <w:r w:rsidRPr="005233C5">
        <w:rPr>
          <w:rStyle w:val="Emphasis"/>
        </w:rPr>
        <w:t>australiensis</w:t>
      </w:r>
      <w:proofErr w:type="spellEnd"/>
      <w:r>
        <w:t xml:space="preserve">. I. Effects of individual metals. </w:t>
      </w:r>
      <w:r w:rsidRPr="005233C5">
        <w:rPr>
          <w:rStyle w:val="Emphasis"/>
        </w:rPr>
        <w:t>Marine Biology</w:t>
      </w:r>
      <w:r>
        <w:t>, 64, 299–304.</w:t>
      </w:r>
    </w:p>
    <w:p w14:paraId="0FCEF95E" w14:textId="77777777" w:rsidR="00A860FE" w:rsidRDefault="00A860FE" w:rsidP="00006995">
      <w:r>
        <w:t xml:space="preserve">Anderson, BS &amp; Hunt, JW 1988. Bioassay methods for evaluating the toxicity of heavy-metals, biocides and sewage effluent using microscopic stages of giant-kelp </w:t>
      </w:r>
      <w:r w:rsidRPr="00DE3523">
        <w:rPr>
          <w:rStyle w:val="Emphasis"/>
        </w:rPr>
        <w:t xml:space="preserve">Macrocystis </w:t>
      </w:r>
      <w:proofErr w:type="spellStart"/>
      <w:r w:rsidRPr="00DE3523">
        <w:rPr>
          <w:rStyle w:val="Emphasis"/>
        </w:rPr>
        <w:t>pyrifera</w:t>
      </w:r>
      <w:proofErr w:type="spellEnd"/>
      <w:r>
        <w:t xml:space="preserve"> (</w:t>
      </w:r>
      <w:proofErr w:type="spellStart"/>
      <w:r>
        <w:t>Agardh</w:t>
      </w:r>
      <w:proofErr w:type="spellEnd"/>
      <w:r>
        <w:t xml:space="preserve">) – a preliminary report. </w:t>
      </w:r>
      <w:r w:rsidRPr="00DE3523">
        <w:rPr>
          <w:rStyle w:val="Emphasis"/>
        </w:rPr>
        <w:t>Marine Environmental Research</w:t>
      </w:r>
      <w:r>
        <w:t>, 26, 113–134.</w:t>
      </w:r>
    </w:p>
    <w:p w14:paraId="12415495" w14:textId="77777777" w:rsidR="00A860FE" w:rsidRDefault="00A860FE" w:rsidP="00FB298F">
      <w:r>
        <w:t>ANZECC/ARMCANZ 2000. Australian and New Zealand Guidelines for Fresh and Marine Water Quality, Australian and New Zealand Environment and Conservation Council/Agricultural and Resource Management Council of Australia and New Zealand. Canberra, Australia.</w:t>
      </w:r>
    </w:p>
    <w:p w14:paraId="6F568BE7" w14:textId="77777777" w:rsidR="00A860FE" w:rsidRDefault="00A860FE" w:rsidP="0026472D">
      <w:pPr>
        <w:rPr>
          <w:rFonts w:cs="Calibri"/>
        </w:rPr>
      </w:pPr>
      <w:r w:rsidRPr="00E02F1A">
        <w:t>ANZG 2018. Australian and New Zealand Guidelines for Fresh and Marine Water Quality. Australian</w:t>
      </w:r>
      <w:r>
        <w:t xml:space="preserve"> </w:t>
      </w:r>
      <w:r w:rsidRPr="00E02F1A">
        <w:t>and New Zealand Governments and Australian state and territory govern</w:t>
      </w:r>
      <w:r>
        <w:t xml:space="preserve">ments, Canberra, ACT, Australia, </w:t>
      </w:r>
      <w:hyperlink r:id="rId37" w:history="1">
        <w:r w:rsidRPr="00950A15">
          <w:rPr>
            <w:rStyle w:val="Hyperlink"/>
          </w:rPr>
          <w:t>https://www.waterquality.gov.au/anz-guidelines</w:t>
        </w:r>
      </w:hyperlink>
      <w:r w:rsidRPr="00E02F1A">
        <w:t>.</w:t>
      </w:r>
    </w:p>
    <w:p w14:paraId="66420A76" w14:textId="77777777" w:rsidR="00A860FE" w:rsidRDefault="00A860FE" w:rsidP="00006995">
      <w:proofErr w:type="spellStart"/>
      <w:r>
        <w:t>Apte</w:t>
      </w:r>
      <w:proofErr w:type="spellEnd"/>
      <w:r>
        <w:t xml:space="preserve">, SC, Batley, GE, </w:t>
      </w:r>
      <w:proofErr w:type="spellStart"/>
      <w:r>
        <w:t>Szymczak</w:t>
      </w:r>
      <w:proofErr w:type="spellEnd"/>
      <w:r>
        <w:t xml:space="preserve">, R, Rendell, PS, Lee, R &amp; Waite, TD 1998. Baseline trace metal concentrations in New South Wales coastal waters. </w:t>
      </w:r>
      <w:r w:rsidRPr="00884DB3">
        <w:rPr>
          <w:rStyle w:val="Emphasis"/>
        </w:rPr>
        <w:t>Marine and Freshwater Research</w:t>
      </w:r>
      <w:r>
        <w:t>, 49, 203–214.</w:t>
      </w:r>
    </w:p>
    <w:p w14:paraId="049B6723" w14:textId="3C72F424" w:rsidR="00FA4A53" w:rsidRDefault="00FA4A53" w:rsidP="001F30F6">
      <w:r w:rsidRPr="00A005A6">
        <w:t xml:space="preserve">Batley GE, </w:t>
      </w:r>
      <w:proofErr w:type="spellStart"/>
      <w:r w:rsidRPr="00A005A6">
        <w:t>Apte</w:t>
      </w:r>
      <w:proofErr w:type="spellEnd"/>
      <w:r w:rsidRPr="00A005A6">
        <w:t xml:space="preserve"> SC </w:t>
      </w:r>
      <w:r>
        <w:t>&amp;</w:t>
      </w:r>
      <w:r w:rsidRPr="00A005A6">
        <w:t xml:space="preserve"> Stauber JL 2004. Speciation and bioavailability of trace metals in water. Progress since 1982. </w:t>
      </w:r>
      <w:r w:rsidRPr="00A005A6">
        <w:rPr>
          <w:i/>
          <w:iCs/>
        </w:rPr>
        <w:t>Australian Journal of Chemistry</w:t>
      </w:r>
      <w:r w:rsidRPr="00A005A6">
        <w:t>, 57, 903-919.</w:t>
      </w:r>
    </w:p>
    <w:p w14:paraId="0E984024" w14:textId="126D4276" w:rsidR="00A860FE" w:rsidRDefault="00A860FE" w:rsidP="001F30F6">
      <w:r>
        <w:t xml:space="preserve">Bidwell, JR, Wheeler, KW &amp; Burridge, TR 1998. Toxicant effects on the zoospore stage of the marine macroalga </w:t>
      </w:r>
      <w:proofErr w:type="spellStart"/>
      <w:r w:rsidRPr="00796A19">
        <w:rPr>
          <w:rStyle w:val="Emphasis"/>
        </w:rPr>
        <w:t>Ecklonia</w:t>
      </w:r>
      <w:proofErr w:type="spellEnd"/>
      <w:r w:rsidRPr="00796A19">
        <w:rPr>
          <w:rStyle w:val="Emphasis"/>
        </w:rPr>
        <w:t xml:space="preserve"> radiata</w:t>
      </w:r>
      <w:r>
        <w:t xml:space="preserve"> (Phaeophyta : Laminariales). </w:t>
      </w:r>
      <w:r w:rsidRPr="00796A19">
        <w:rPr>
          <w:rStyle w:val="Emphasis"/>
        </w:rPr>
        <w:t>Marine Ecology Progress Series</w:t>
      </w:r>
      <w:r>
        <w:t>, 163, 259–265.</w:t>
      </w:r>
    </w:p>
    <w:p w14:paraId="01E14E71" w14:textId="77777777" w:rsidR="00A860FE" w:rsidRDefault="00A860FE" w:rsidP="00006995">
      <w:proofErr w:type="spellStart"/>
      <w:r>
        <w:t>Bruland</w:t>
      </w:r>
      <w:proofErr w:type="spellEnd"/>
      <w:r>
        <w:t xml:space="preserve">, KW 1980. Oceanographic distributions of cadmium, zinc, nickel, and copper in the North Pacific. </w:t>
      </w:r>
      <w:r w:rsidRPr="00A11AB8">
        <w:rPr>
          <w:rStyle w:val="Emphasis"/>
        </w:rPr>
        <w:t>Earth and Planetary Science Letters</w:t>
      </w:r>
      <w:r>
        <w:t>, 47, 176–198.</w:t>
      </w:r>
    </w:p>
    <w:p w14:paraId="3B8B02B8" w14:textId="77777777" w:rsidR="00A860FE" w:rsidRDefault="00A860FE" w:rsidP="00006995">
      <w:r>
        <w:t xml:space="preserve">Bryant, V, Newbery, DM, </w:t>
      </w:r>
      <w:proofErr w:type="spellStart"/>
      <w:r>
        <w:t>McLusky</w:t>
      </w:r>
      <w:proofErr w:type="spellEnd"/>
      <w:r>
        <w:t>, DS &amp; Campbell, R 1985. Effect of temperature and salinity on the toxicity of nickel and zinc to two estuarine invertebrates (</w:t>
      </w:r>
      <w:proofErr w:type="spellStart"/>
      <w:r w:rsidRPr="00827D9B">
        <w:rPr>
          <w:rStyle w:val="Emphasis"/>
        </w:rPr>
        <w:t>Corophium</w:t>
      </w:r>
      <w:proofErr w:type="spellEnd"/>
      <w:r w:rsidRPr="00827D9B">
        <w:rPr>
          <w:rStyle w:val="Emphasis"/>
        </w:rPr>
        <w:t xml:space="preserve"> </w:t>
      </w:r>
      <w:proofErr w:type="spellStart"/>
      <w:r w:rsidRPr="00827D9B">
        <w:rPr>
          <w:rStyle w:val="Emphasis"/>
        </w:rPr>
        <w:t>volutator</w:t>
      </w:r>
      <w:proofErr w:type="spellEnd"/>
      <w:r>
        <w:t xml:space="preserve">, </w:t>
      </w:r>
      <w:proofErr w:type="spellStart"/>
      <w:r w:rsidRPr="00827D9B">
        <w:rPr>
          <w:rStyle w:val="Emphasis"/>
        </w:rPr>
        <w:t>Macoma</w:t>
      </w:r>
      <w:proofErr w:type="spellEnd"/>
      <w:r>
        <w:t xml:space="preserve"> </w:t>
      </w:r>
      <w:proofErr w:type="spellStart"/>
      <w:r w:rsidRPr="00827D9B">
        <w:rPr>
          <w:rStyle w:val="Emphasis"/>
        </w:rPr>
        <w:t>balthica</w:t>
      </w:r>
      <w:proofErr w:type="spellEnd"/>
      <w:r>
        <w:t xml:space="preserve">). </w:t>
      </w:r>
      <w:r w:rsidRPr="00827D9B">
        <w:rPr>
          <w:rStyle w:val="Emphasis"/>
        </w:rPr>
        <w:t>Marine Ecology Progress Series</w:t>
      </w:r>
      <w:r>
        <w:t>, 24, 139–153.</w:t>
      </w:r>
    </w:p>
    <w:p w14:paraId="5EF41321" w14:textId="77777777" w:rsidR="00A860FE" w:rsidRDefault="00A860FE" w:rsidP="001F30F6">
      <w:r>
        <w:t>Butterfield, S 1987. Effects of copper, lead and zinc on the spat of the Sydney rock oyster. BSc project report. University of Technology, Sydney, NSW, Australia.</w:t>
      </w:r>
    </w:p>
    <w:p w14:paraId="548EB201" w14:textId="77777777" w:rsidR="00A860FE" w:rsidRDefault="00A860FE" w:rsidP="00006995">
      <w:r>
        <w:t>Cheung, SG &amp; Cheung, RYH 1995. Effects of heavy metals on oxygen consumption and ammonia excretion in green-lipped mussels (</w:t>
      </w:r>
      <w:proofErr w:type="spellStart"/>
      <w:r w:rsidRPr="001F1A01">
        <w:rPr>
          <w:rStyle w:val="Emphasis"/>
        </w:rPr>
        <w:t>Perna</w:t>
      </w:r>
      <w:proofErr w:type="spellEnd"/>
      <w:r w:rsidRPr="001F1A01">
        <w:rPr>
          <w:rStyle w:val="Emphasis"/>
        </w:rPr>
        <w:t xml:space="preserve"> </w:t>
      </w:r>
      <w:proofErr w:type="spellStart"/>
      <w:r w:rsidRPr="001F1A01">
        <w:rPr>
          <w:rStyle w:val="Emphasis"/>
        </w:rPr>
        <w:t>viridis</w:t>
      </w:r>
      <w:proofErr w:type="spellEnd"/>
      <w:r>
        <w:t xml:space="preserve">). </w:t>
      </w:r>
      <w:r w:rsidRPr="001F1A01">
        <w:rPr>
          <w:rStyle w:val="Emphasis"/>
        </w:rPr>
        <w:t>Marine Pollution Bulletin</w:t>
      </w:r>
      <w:r>
        <w:t>, 31, 381–386.</w:t>
      </w:r>
    </w:p>
    <w:p w14:paraId="014FA21D" w14:textId="77777777" w:rsidR="00A860FE" w:rsidRDefault="00A860FE" w:rsidP="00006995">
      <w:r>
        <w:t xml:space="preserve">Clifford, M &amp; </w:t>
      </w:r>
      <w:proofErr w:type="spellStart"/>
      <w:r>
        <w:t>McGeer</w:t>
      </w:r>
      <w:proofErr w:type="spellEnd"/>
      <w:r>
        <w:t xml:space="preserve">, JC 2009. Development of a biotic ligand model for the acute toxicity of zinc to </w:t>
      </w:r>
      <w:r w:rsidRPr="00E56DC7">
        <w:rPr>
          <w:rStyle w:val="Emphasis"/>
        </w:rPr>
        <w:t xml:space="preserve">Daphnia </w:t>
      </w:r>
      <w:proofErr w:type="spellStart"/>
      <w:r w:rsidRPr="00E56DC7">
        <w:rPr>
          <w:rStyle w:val="Emphasis"/>
        </w:rPr>
        <w:t>pulex</w:t>
      </w:r>
      <w:proofErr w:type="spellEnd"/>
      <w:r>
        <w:t xml:space="preserve"> in soft waters. </w:t>
      </w:r>
      <w:r w:rsidRPr="00E56DC7">
        <w:rPr>
          <w:rStyle w:val="Emphasis"/>
        </w:rPr>
        <w:t>Aquatic Toxicology</w:t>
      </w:r>
      <w:r>
        <w:t>, 91, 26–32.</w:t>
      </w:r>
    </w:p>
    <w:p w14:paraId="670AEC87" w14:textId="77777777" w:rsidR="00A860FE" w:rsidRDefault="00A860FE" w:rsidP="001F30F6">
      <w:r>
        <w:t xml:space="preserve">Doyle, CJ, Pablo, F, Lim, RP &amp; </w:t>
      </w:r>
      <w:proofErr w:type="spellStart"/>
      <w:r>
        <w:t>Hyne</w:t>
      </w:r>
      <w:proofErr w:type="spellEnd"/>
      <w:r>
        <w:t xml:space="preserve">, RV 2003. Assessment of metal toxicity in sediment pore water from Lake Macquarie, Australia. </w:t>
      </w:r>
      <w:r w:rsidRPr="001535B4">
        <w:rPr>
          <w:rStyle w:val="Emphasis"/>
        </w:rPr>
        <w:t>Archives of Environmental Contamination and Toxicology</w:t>
      </w:r>
      <w:r>
        <w:t>, 44(3), 343–350.</w:t>
      </w:r>
    </w:p>
    <w:p w14:paraId="2920E783" w14:textId="77777777" w:rsidR="00A860FE" w:rsidRDefault="00A860FE" w:rsidP="001F30F6">
      <w:proofErr w:type="spellStart"/>
      <w:r>
        <w:lastRenderedPageBreak/>
        <w:t>Edullantes</w:t>
      </w:r>
      <w:proofErr w:type="spellEnd"/>
      <w:r>
        <w:t xml:space="preserve">, B &amp; </w:t>
      </w:r>
      <w:proofErr w:type="spellStart"/>
      <w:r>
        <w:t>Galapate</w:t>
      </w:r>
      <w:proofErr w:type="spellEnd"/>
      <w:r>
        <w:t xml:space="preserve">, RP 2014. Embryotoxicity of copper and zinc in tropical sea urchin </w:t>
      </w:r>
      <w:proofErr w:type="spellStart"/>
      <w:r w:rsidRPr="00891975">
        <w:rPr>
          <w:rStyle w:val="Emphasis"/>
        </w:rPr>
        <w:t>Tripneustes</w:t>
      </w:r>
      <w:proofErr w:type="spellEnd"/>
      <w:r w:rsidRPr="00891975">
        <w:rPr>
          <w:rStyle w:val="Emphasis"/>
        </w:rPr>
        <w:t xml:space="preserve"> </w:t>
      </w:r>
      <w:proofErr w:type="spellStart"/>
      <w:r w:rsidRPr="00891975">
        <w:rPr>
          <w:rStyle w:val="Emphasis"/>
        </w:rPr>
        <w:t>gratilla</w:t>
      </w:r>
      <w:proofErr w:type="spellEnd"/>
      <w:r>
        <w:t xml:space="preserve">. </w:t>
      </w:r>
      <w:r w:rsidRPr="00891975">
        <w:rPr>
          <w:rStyle w:val="Emphasis"/>
        </w:rPr>
        <w:t>Science Diliman</w:t>
      </w:r>
      <w:r>
        <w:t>, 26(1), 25–40.</w:t>
      </w:r>
    </w:p>
    <w:p w14:paraId="6E5E642E" w14:textId="77777777" w:rsidR="00A860FE" w:rsidRDefault="00A860FE" w:rsidP="00006995">
      <w:r>
        <w:t xml:space="preserve">Ellwood, MJ, Wilson, P, </w:t>
      </w:r>
      <w:proofErr w:type="spellStart"/>
      <w:r>
        <w:t>Vopel</w:t>
      </w:r>
      <w:proofErr w:type="spellEnd"/>
      <w:r>
        <w:t xml:space="preserve">, K &amp; Green, M 2008. Trace metal cycling in the Whau Estuary, Auckland, New Zealand. </w:t>
      </w:r>
      <w:r w:rsidRPr="00785C71">
        <w:rPr>
          <w:rStyle w:val="Emphasis"/>
        </w:rPr>
        <w:t>Environmental Chemistry</w:t>
      </w:r>
      <w:r>
        <w:t>, 5, 289–298.</w:t>
      </w:r>
    </w:p>
    <w:p w14:paraId="36361F83" w14:textId="77777777" w:rsidR="00A860FE" w:rsidRDefault="00A860FE" w:rsidP="00006995">
      <w:r>
        <w:t xml:space="preserve">Fisher, NS &amp; </w:t>
      </w:r>
      <w:proofErr w:type="spellStart"/>
      <w:r>
        <w:t>Frood</w:t>
      </w:r>
      <w:proofErr w:type="spellEnd"/>
      <w:r>
        <w:t xml:space="preserve">, D 1980. Heavy-metals and marine diatoms – influence of dissolved organic-compounds on toxicity and selection for metal tolerance among four species. </w:t>
      </w:r>
      <w:r w:rsidRPr="00797526">
        <w:rPr>
          <w:rStyle w:val="Emphasis"/>
        </w:rPr>
        <w:t>Marine</w:t>
      </w:r>
      <w:r>
        <w:t xml:space="preserve"> </w:t>
      </w:r>
      <w:r w:rsidRPr="00797526">
        <w:rPr>
          <w:rStyle w:val="Emphasis"/>
        </w:rPr>
        <w:t>Biology</w:t>
      </w:r>
      <w:r>
        <w:t>, 59, 85–93.</w:t>
      </w:r>
    </w:p>
    <w:p w14:paraId="5563C685" w14:textId="77777777" w:rsidR="00A860FE" w:rsidRDefault="00A860FE" w:rsidP="001F30F6">
      <w:r>
        <w:t xml:space="preserve">Franklin, NM, Adams, MS, Stauber, JL &amp; Lim, RP 2001. Development of an improved rapid enzyme inhibition bioassay with marine and freshwater microalgae using flow cytometry. </w:t>
      </w:r>
      <w:r w:rsidRPr="00891975">
        <w:rPr>
          <w:rStyle w:val="Emphasis"/>
        </w:rPr>
        <w:t>Archives of Environmental Contamination and Toxicology</w:t>
      </w:r>
      <w:r>
        <w:t>, 40(4), 469–480.</w:t>
      </w:r>
    </w:p>
    <w:p w14:paraId="6FC3C5AA" w14:textId="77777777" w:rsidR="00A860FE" w:rsidRDefault="00A860FE" w:rsidP="001F30F6">
      <w:r>
        <w:t xml:space="preserve">Girling, JA, Thomas, KV, Brooks, SJ, Smith, D, </w:t>
      </w:r>
      <w:proofErr w:type="spellStart"/>
      <w:r>
        <w:t>Shahsavari</w:t>
      </w:r>
      <w:proofErr w:type="spellEnd"/>
      <w:r>
        <w:t xml:space="preserve">, E &amp; Ball, AS 2015. A macroalgal germling bioassay to assess biocide concentrations in marine waters. </w:t>
      </w:r>
      <w:r w:rsidRPr="00891975">
        <w:rPr>
          <w:rStyle w:val="Emphasis"/>
        </w:rPr>
        <w:t>Marine Pollution Bulletin</w:t>
      </w:r>
      <w:r>
        <w:t>, 91(1), 82–86.</w:t>
      </w:r>
    </w:p>
    <w:p w14:paraId="4482F36F" w14:textId="77777777" w:rsidR="00A860FE" w:rsidRDefault="00A860FE" w:rsidP="001F30F6">
      <w:r>
        <w:t xml:space="preserve">Gopalakrishnan, S, </w:t>
      </w:r>
      <w:proofErr w:type="spellStart"/>
      <w:r>
        <w:t>Thilagam</w:t>
      </w:r>
      <w:proofErr w:type="spellEnd"/>
      <w:r>
        <w:t>, H &amp; Raja, PV 2008. Comparison of heavy metal toxicity in life stages (</w:t>
      </w:r>
      <w:proofErr w:type="spellStart"/>
      <w:r>
        <w:t>spermiotoxicity</w:t>
      </w:r>
      <w:proofErr w:type="spellEnd"/>
      <w:r>
        <w:t xml:space="preserve">, egg toxicity, embryotoxicity and larval toxicity) of </w:t>
      </w:r>
      <w:proofErr w:type="spellStart"/>
      <w:r w:rsidRPr="00891975">
        <w:rPr>
          <w:rStyle w:val="Emphasis"/>
        </w:rPr>
        <w:t>Hydroides</w:t>
      </w:r>
      <w:proofErr w:type="spellEnd"/>
      <w:r w:rsidRPr="00891975">
        <w:rPr>
          <w:rStyle w:val="Emphasis"/>
        </w:rPr>
        <w:t xml:space="preserve"> elegans</w:t>
      </w:r>
      <w:r>
        <w:t xml:space="preserve">. </w:t>
      </w:r>
      <w:r w:rsidRPr="00891975">
        <w:rPr>
          <w:rStyle w:val="Emphasis"/>
        </w:rPr>
        <w:t>Chemosphere</w:t>
      </w:r>
      <w:r>
        <w:t>, 71(3), 515–528.</w:t>
      </w:r>
    </w:p>
    <w:p w14:paraId="6EC1B9B8" w14:textId="77777777" w:rsidR="00A860FE" w:rsidRDefault="00A860FE" w:rsidP="00006995">
      <w:r>
        <w:t xml:space="preserve">Gorski, J &amp; Nugegoda, D 2006. Sublethal toxicity of trace metals to larvae of the </w:t>
      </w:r>
      <w:proofErr w:type="spellStart"/>
      <w:r>
        <w:t>blacklip</w:t>
      </w:r>
      <w:proofErr w:type="spellEnd"/>
      <w:r>
        <w:t xml:space="preserve"> abalone, </w:t>
      </w:r>
      <w:proofErr w:type="spellStart"/>
      <w:r w:rsidRPr="00DE3523">
        <w:rPr>
          <w:rStyle w:val="Emphasis"/>
        </w:rPr>
        <w:t>Haliotis</w:t>
      </w:r>
      <w:proofErr w:type="spellEnd"/>
      <w:r w:rsidRPr="00DE3523">
        <w:rPr>
          <w:rStyle w:val="Emphasis"/>
        </w:rPr>
        <w:t xml:space="preserve"> rubra</w:t>
      </w:r>
      <w:r>
        <w:t xml:space="preserve">. </w:t>
      </w:r>
      <w:r w:rsidRPr="00DE3523">
        <w:rPr>
          <w:rStyle w:val="Emphasis"/>
        </w:rPr>
        <w:t>Environmental Toxicology and Chemistry</w:t>
      </w:r>
      <w:r>
        <w:t>, 25, 1360–1367.</w:t>
      </w:r>
    </w:p>
    <w:p w14:paraId="18FEC43A" w14:textId="77777777" w:rsidR="00A860FE" w:rsidRDefault="00A860FE" w:rsidP="00006995">
      <w:r>
        <w:t>Hall, JA &amp; Golding, LA 1998. Standard methods for whole effluent toxicity testing: Development and application. NIWA, Hamilton.</w:t>
      </w:r>
    </w:p>
    <w:p w14:paraId="00BAACA2" w14:textId="15934366" w:rsidR="00A860FE" w:rsidRDefault="00A860FE" w:rsidP="00006995">
      <w:proofErr w:type="spellStart"/>
      <w:r>
        <w:t>Hatje</w:t>
      </w:r>
      <w:proofErr w:type="spellEnd"/>
      <w:r>
        <w:t xml:space="preserve">, V, Payne, TE, Hill, DM, </w:t>
      </w:r>
      <w:proofErr w:type="spellStart"/>
      <w:r>
        <w:t>McOrist</w:t>
      </w:r>
      <w:proofErr w:type="spellEnd"/>
      <w:r>
        <w:t xml:space="preserve">, G, Birch, GF &amp; </w:t>
      </w:r>
      <w:proofErr w:type="spellStart"/>
      <w:r>
        <w:t>Szymczak</w:t>
      </w:r>
      <w:proofErr w:type="spellEnd"/>
      <w:r>
        <w:t xml:space="preserve">, R 2003. Kinetics of trace element uptake and release by particles in estuarine waters: Effects of pH, salinity, and particle loading. </w:t>
      </w:r>
      <w:r w:rsidRPr="00A11AB8">
        <w:rPr>
          <w:rStyle w:val="Emphasis"/>
        </w:rPr>
        <w:t>Environment International</w:t>
      </w:r>
      <w:r>
        <w:t>, 29, 619–629.</w:t>
      </w:r>
    </w:p>
    <w:p w14:paraId="4D8D57E0" w14:textId="13C7C2C7" w:rsidR="00053C14" w:rsidRPr="00053C14" w:rsidRDefault="00053C14" w:rsidP="00053C14">
      <w:pPr>
        <w:rPr>
          <w:lang w:val="en-GB"/>
        </w:rPr>
      </w:pPr>
      <w:r w:rsidRPr="00053C14">
        <w:rPr>
          <w:lang w:val="en-GB"/>
        </w:rPr>
        <w:t>Heyward</w:t>
      </w:r>
      <w:r>
        <w:rPr>
          <w:lang w:val="en-GB"/>
        </w:rPr>
        <w:t>,</w:t>
      </w:r>
      <w:r w:rsidRPr="00053C14">
        <w:rPr>
          <w:lang w:val="en-GB"/>
        </w:rPr>
        <w:t xml:space="preserve"> AJ 1988</w:t>
      </w:r>
      <w:r>
        <w:rPr>
          <w:lang w:val="en-GB"/>
        </w:rPr>
        <w:t>.</w:t>
      </w:r>
      <w:r w:rsidRPr="00053C14">
        <w:rPr>
          <w:lang w:val="en-GB"/>
        </w:rPr>
        <w:t xml:space="preserve"> Inhibitory effects of copper and zinc sulphates</w:t>
      </w:r>
      <w:r>
        <w:rPr>
          <w:lang w:val="en-GB"/>
        </w:rPr>
        <w:t xml:space="preserve"> </w:t>
      </w:r>
      <w:r w:rsidRPr="00053C14">
        <w:rPr>
          <w:lang w:val="en-GB"/>
        </w:rPr>
        <w:t>on fertilization in corals. Proc</w:t>
      </w:r>
      <w:r>
        <w:rPr>
          <w:lang w:val="en-GB"/>
        </w:rPr>
        <w:t>eedings of the</w:t>
      </w:r>
      <w:r w:rsidRPr="00053C14">
        <w:rPr>
          <w:lang w:val="en-GB"/>
        </w:rPr>
        <w:t xml:space="preserve"> 6th Int</w:t>
      </w:r>
      <w:r>
        <w:rPr>
          <w:lang w:val="en-GB"/>
        </w:rPr>
        <w:t>ernational</w:t>
      </w:r>
      <w:r w:rsidRPr="00053C14">
        <w:rPr>
          <w:lang w:val="en-GB"/>
        </w:rPr>
        <w:t xml:space="preserve"> Coral Reef Symp</w:t>
      </w:r>
      <w:r>
        <w:rPr>
          <w:lang w:val="en-GB"/>
        </w:rPr>
        <w:t>osium,</w:t>
      </w:r>
      <w:r w:rsidRPr="00053C14">
        <w:rPr>
          <w:lang w:val="en-GB"/>
        </w:rPr>
        <w:t xml:space="preserve"> 2</w:t>
      </w:r>
      <w:r>
        <w:rPr>
          <w:lang w:val="en-GB"/>
        </w:rPr>
        <w:t xml:space="preserve">, </w:t>
      </w:r>
      <w:r w:rsidRPr="00053C14">
        <w:rPr>
          <w:lang w:val="en-GB"/>
        </w:rPr>
        <w:t>299–303</w:t>
      </w:r>
      <w:r>
        <w:rPr>
          <w:lang w:val="en-GB"/>
        </w:rPr>
        <w:t>.</w:t>
      </w:r>
    </w:p>
    <w:p w14:paraId="147D61E0" w14:textId="77777777" w:rsidR="00A860FE" w:rsidRDefault="00A860FE" w:rsidP="00006995">
      <w:proofErr w:type="spellStart"/>
      <w:r>
        <w:t>Hogstrand</w:t>
      </w:r>
      <w:proofErr w:type="spellEnd"/>
      <w:r>
        <w:t xml:space="preserve">, C 2012. Zinc. In CM Wood, AP Farrell, CJ </w:t>
      </w:r>
      <w:proofErr w:type="spellStart"/>
      <w:r>
        <w:t>Brauner</w:t>
      </w:r>
      <w:proofErr w:type="spellEnd"/>
      <w:r>
        <w:t xml:space="preserve"> (eds). </w:t>
      </w:r>
      <w:r w:rsidRPr="001F1A01">
        <w:rPr>
          <w:rStyle w:val="Emphasis"/>
        </w:rPr>
        <w:t>Homeostasis and Toxicology of Essential Metals. Fish Physiology</w:t>
      </w:r>
      <w:r>
        <w:t>. Elsevier Inc, Academic Press, London, UK.</w:t>
      </w:r>
    </w:p>
    <w:p w14:paraId="2920897F" w14:textId="77777777" w:rsidR="00A860FE" w:rsidRDefault="00A860FE" w:rsidP="00006995">
      <w:proofErr w:type="spellStart"/>
      <w:r>
        <w:t>Hogstrand</w:t>
      </w:r>
      <w:proofErr w:type="spellEnd"/>
      <w:r>
        <w:t>, C, Reid, SD &amp; Wood, CM 1995. Ca</w:t>
      </w:r>
      <w:r w:rsidRPr="00F36A29">
        <w:rPr>
          <w:vertAlign w:val="superscript"/>
        </w:rPr>
        <w:t>2+</w:t>
      </w:r>
      <w:r>
        <w:t xml:space="preserve"> versus Zn</w:t>
      </w:r>
      <w:r w:rsidRPr="00F36A29">
        <w:rPr>
          <w:vertAlign w:val="superscript"/>
        </w:rPr>
        <w:t xml:space="preserve">2+ </w:t>
      </w:r>
      <w:r>
        <w:t>transport in the gills of freshwater rainbow trout and the cost of adaptation to waterborne Zn</w:t>
      </w:r>
      <w:r w:rsidRPr="00F36A29">
        <w:rPr>
          <w:vertAlign w:val="superscript"/>
        </w:rPr>
        <w:t>2+</w:t>
      </w:r>
      <w:r>
        <w:t xml:space="preserve">. </w:t>
      </w:r>
      <w:r w:rsidRPr="00F36A29">
        <w:rPr>
          <w:rStyle w:val="Emphasis"/>
        </w:rPr>
        <w:t>Journal of Experimental Biology</w:t>
      </w:r>
      <w:r>
        <w:t>, 198, 337–348.</w:t>
      </w:r>
    </w:p>
    <w:p w14:paraId="6047982D" w14:textId="77777777" w:rsidR="00A860FE" w:rsidRDefault="00A860FE" w:rsidP="001F30F6">
      <w:r>
        <w:t xml:space="preserve">Hooten, RL &amp; </w:t>
      </w:r>
      <w:proofErr w:type="spellStart"/>
      <w:r>
        <w:t>Carr</w:t>
      </w:r>
      <w:proofErr w:type="spellEnd"/>
      <w:r>
        <w:t xml:space="preserve">, RS 1998. Development and application of a marine sediment pore-water toxicity test using </w:t>
      </w:r>
      <w:r w:rsidRPr="00891975">
        <w:rPr>
          <w:rStyle w:val="Emphasis"/>
        </w:rPr>
        <w:t xml:space="preserve">Ulva </w:t>
      </w:r>
      <w:proofErr w:type="spellStart"/>
      <w:r w:rsidRPr="00891975">
        <w:rPr>
          <w:rStyle w:val="Emphasis"/>
        </w:rPr>
        <w:t>fasciata</w:t>
      </w:r>
      <w:proofErr w:type="spellEnd"/>
      <w:r>
        <w:t xml:space="preserve"> zoospores. </w:t>
      </w:r>
      <w:r w:rsidRPr="00891975">
        <w:rPr>
          <w:rStyle w:val="Emphasis"/>
        </w:rPr>
        <w:t>Environmental Toxicology and Chemistry</w:t>
      </w:r>
      <w:r>
        <w:t>, 17(5), 932–940.</w:t>
      </w:r>
    </w:p>
    <w:p w14:paraId="35A5E009" w14:textId="77777777" w:rsidR="00A860FE" w:rsidRDefault="00A860FE" w:rsidP="001F30F6">
      <w:r>
        <w:t xml:space="preserve">Howe, PL, Reichelt-Brushett, AJ &amp; Clark, MW 2014. Effects of Cd, Co, Cu, Ni and Zn on asexual reproduction and early development of the tropical sea anemone </w:t>
      </w:r>
      <w:proofErr w:type="spellStart"/>
      <w:r w:rsidRPr="006327E2">
        <w:rPr>
          <w:rStyle w:val="Emphasis"/>
        </w:rPr>
        <w:t>Aiptasia</w:t>
      </w:r>
      <w:proofErr w:type="spellEnd"/>
      <w:r w:rsidRPr="006327E2">
        <w:rPr>
          <w:rStyle w:val="Emphasis"/>
        </w:rPr>
        <w:t xml:space="preserve"> </w:t>
      </w:r>
      <w:proofErr w:type="spellStart"/>
      <w:r w:rsidRPr="006327E2">
        <w:rPr>
          <w:rStyle w:val="Emphasis"/>
        </w:rPr>
        <w:t>pulchella</w:t>
      </w:r>
      <w:proofErr w:type="spellEnd"/>
      <w:r>
        <w:t xml:space="preserve">. </w:t>
      </w:r>
      <w:r w:rsidRPr="006327E2">
        <w:rPr>
          <w:rStyle w:val="Emphasis"/>
        </w:rPr>
        <w:t>Ecotoxicology</w:t>
      </w:r>
      <w:r>
        <w:t>, 23(9), 1593–1606.</w:t>
      </w:r>
    </w:p>
    <w:p w14:paraId="379087CC" w14:textId="77777777" w:rsidR="00A860FE" w:rsidRDefault="00A860FE" w:rsidP="00006995">
      <w:r>
        <w:t xml:space="preserve">Hunter, KA &amp; Tyler, SR 1987. The distribution of zinc and reactive silicate in the Otago Harbour, New Zealand. </w:t>
      </w:r>
      <w:r w:rsidRPr="00884DB3">
        <w:rPr>
          <w:rStyle w:val="Emphasis"/>
        </w:rPr>
        <w:t>Marine Chemistry</w:t>
      </w:r>
      <w:r>
        <w:t>, 20, 377–387.</w:t>
      </w:r>
    </w:p>
    <w:p w14:paraId="3EB65E5F" w14:textId="77777777" w:rsidR="00A860FE" w:rsidRDefault="00A860FE" w:rsidP="00006995">
      <w:r>
        <w:lastRenderedPageBreak/>
        <w:t>IPCS 2001. Environmental Health Criteria 221 – Zinc. International Programme On Chemical Safety, Inter-Organization Programme for the Sound Management of Chemicals, World Health Organisation.</w:t>
      </w:r>
    </w:p>
    <w:p w14:paraId="754F445D" w14:textId="77777777" w:rsidR="00A860FE" w:rsidRDefault="00A860FE" w:rsidP="00006995">
      <w:r>
        <w:t>Jackson, RN, Baird, D &amp; Els, S 2005. The effect of the heavy metals lead (Pb</w:t>
      </w:r>
      <w:r w:rsidRPr="00827D9B">
        <w:rPr>
          <w:vertAlign w:val="superscript"/>
        </w:rPr>
        <w:t>2+</w:t>
      </w:r>
      <w:r>
        <w:t>) and zinc (Zn</w:t>
      </w:r>
      <w:r w:rsidRPr="00827D9B">
        <w:rPr>
          <w:vertAlign w:val="superscript"/>
        </w:rPr>
        <w:t>2+</w:t>
      </w:r>
      <w:r>
        <w:t xml:space="preserve">) on the brood and larval development of the burrowing crustacean, </w:t>
      </w:r>
      <w:proofErr w:type="spellStart"/>
      <w:r w:rsidRPr="00827D9B">
        <w:rPr>
          <w:rStyle w:val="Emphasis"/>
        </w:rPr>
        <w:t>Callianassa</w:t>
      </w:r>
      <w:proofErr w:type="spellEnd"/>
      <w:r w:rsidRPr="00827D9B">
        <w:rPr>
          <w:rStyle w:val="Emphasis"/>
        </w:rPr>
        <w:t xml:space="preserve"> </w:t>
      </w:r>
      <w:proofErr w:type="spellStart"/>
      <w:r w:rsidRPr="00827D9B">
        <w:rPr>
          <w:rStyle w:val="Emphasis"/>
        </w:rPr>
        <w:t>kraussi</w:t>
      </w:r>
      <w:proofErr w:type="spellEnd"/>
      <w:r>
        <w:t xml:space="preserve">. </w:t>
      </w:r>
      <w:r w:rsidRPr="00827D9B">
        <w:rPr>
          <w:rStyle w:val="Emphasis"/>
        </w:rPr>
        <w:t>Water SA</w:t>
      </w:r>
      <w:r>
        <w:t>, 31, 107–116.</w:t>
      </w:r>
    </w:p>
    <w:p w14:paraId="7CFEAC87" w14:textId="77777777" w:rsidR="00A860FE" w:rsidRDefault="00A860FE" w:rsidP="00006995">
      <w:r>
        <w:t xml:space="preserve">Janus, JA 1993. Integrated criteria document zinc: Ecotoxicity. In RMJF </w:t>
      </w:r>
      <w:proofErr w:type="spellStart"/>
      <w:r>
        <w:t>Cleven</w:t>
      </w:r>
      <w:proofErr w:type="spellEnd"/>
      <w:r>
        <w:t xml:space="preserve">, JA Janus, JA </w:t>
      </w:r>
      <w:proofErr w:type="spellStart"/>
      <w:r>
        <w:t>Annema</w:t>
      </w:r>
      <w:proofErr w:type="spellEnd"/>
      <w:r>
        <w:t xml:space="preserve"> &amp; W </w:t>
      </w:r>
      <w:proofErr w:type="spellStart"/>
      <w:r>
        <w:t>Slooff</w:t>
      </w:r>
      <w:proofErr w:type="spellEnd"/>
      <w:r>
        <w:t xml:space="preserve"> (eds). Integrated criteria document zinc. RIVM report No. 710401028. National Institute of Public Health and the Environment (RIVM), </w:t>
      </w:r>
      <w:proofErr w:type="spellStart"/>
      <w:r>
        <w:t>Bilthoven</w:t>
      </w:r>
      <w:proofErr w:type="spellEnd"/>
      <w:r>
        <w:t>, Netherlands.</w:t>
      </w:r>
    </w:p>
    <w:p w14:paraId="512DA3EA" w14:textId="77777777" w:rsidR="00A860FE" w:rsidRDefault="00A860FE" w:rsidP="001F30F6">
      <w:r>
        <w:t xml:space="preserve">Johnson, HL, Stauber, JL, Adams, MS &amp; Jolley, DF 2007. Copper and zinc tolerance of two tropical microalgae after copper acclimation. </w:t>
      </w:r>
      <w:r w:rsidRPr="006327E2">
        <w:rPr>
          <w:rStyle w:val="Emphasis"/>
        </w:rPr>
        <w:t>Environmental Toxicology</w:t>
      </w:r>
      <w:r>
        <w:t>, 22(3), 234–244.</w:t>
      </w:r>
    </w:p>
    <w:p w14:paraId="5EF61EFF" w14:textId="77777777" w:rsidR="00A860FE" w:rsidRDefault="00A860FE" w:rsidP="00006995">
      <w:r>
        <w:t xml:space="preserve">JRC-IHCP 2010. European Union risk assessment report – zinc metal. EUR – Scientific and Technical Research Reports. </w:t>
      </w:r>
      <w:r w:rsidRPr="008779A3">
        <w:t>European Commission – Joint Research Centre, Institute for Health and Consumer Protection</w:t>
      </w:r>
      <w:r>
        <w:t>. Publications Office of the European Union, Luxembourg, 812.</w:t>
      </w:r>
    </w:p>
    <w:p w14:paraId="2310186C" w14:textId="77777777" w:rsidR="00A860FE" w:rsidRDefault="00A860FE" w:rsidP="001F30F6">
      <w:proofErr w:type="spellStart"/>
      <w:r>
        <w:t>Kannupandi</w:t>
      </w:r>
      <w:proofErr w:type="spellEnd"/>
      <w:r>
        <w:t xml:space="preserve">, T, Pasupathi, K &amp; </w:t>
      </w:r>
      <w:proofErr w:type="spellStart"/>
      <w:r>
        <w:t>Soundarapandian</w:t>
      </w:r>
      <w:proofErr w:type="spellEnd"/>
      <w:r>
        <w:t xml:space="preserve">, P 2001. Chronic toxicity bioassay and effect of </w:t>
      </w:r>
      <w:proofErr w:type="spellStart"/>
      <w:r>
        <w:t>endosulfan</w:t>
      </w:r>
      <w:proofErr w:type="spellEnd"/>
      <w:r>
        <w:t xml:space="preserve">, HCH, copper and zinc on the survival and intermoult duration of larvae of mangrove crab </w:t>
      </w:r>
      <w:proofErr w:type="spellStart"/>
      <w:r w:rsidRPr="006327E2">
        <w:rPr>
          <w:rStyle w:val="Emphasis"/>
        </w:rPr>
        <w:t>Macrophthalmus</w:t>
      </w:r>
      <w:proofErr w:type="spellEnd"/>
      <w:r w:rsidRPr="006327E2">
        <w:rPr>
          <w:rStyle w:val="Emphasis"/>
        </w:rPr>
        <w:t xml:space="preserve"> </w:t>
      </w:r>
      <w:proofErr w:type="spellStart"/>
      <w:r w:rsidRPr="006327E2">
        <w:rPr>
          <w:rStyle w:val="Emphasis"/>
        </w:rPr>
        <w:t>erato</w:t>
      </w:r>
      <w:proofErr w:type="spellEnd"/>
      <w:r w:rsidRPr="006327E2">
        <w:rPr>
          <w:rStyle w:val="CommentTextChar"/>
          <w:rFonts w:eastAsiaTheme="minorHAnsi"/>
        </w:rPr>
        <w:t xml:space="preserve"> De Man</w:t>
      </w:r>
      <w:r>
        <w:t xml:space="preserve">. </w:t>
      </w:r>
      <w:r w:rsidRPr="006327E2">
        <w:rPr>
          <w:rStyle w:val="Emphasis"/>
        </w:rPr>
        <w:t>Indian Journal of Experimental Biology</w:t>
      </w:r>
      <w:r>
        <w:t>, 39, 814–817.</w:t>
      </w:r>
    </w:p>
    <w:p w14:paraId="3B859D68" w14:textId="77777777" w:rsidR="00A860FE" w:rsidRDefault="00A860FE" w:rsidP="00006995">
      <w:r>
        <w:t>Kennedy, P &amp; Sutherland, S 2008. Urban sources of copper, lead and zinc. Auckland Regional Council Technical Report TR 2008/023. Auckland Regional Council, New Zealand.</w:t>
      </w:r>
    </w:p>
    <w:p w14:paraId="0FF48523" w14:textId="77777777" w:rsidR="00A860FE" w:rsidRDefault="00A860FE" w:rsidP="00006995">
      <w:r>
        <w:t xml:space="preserve">King, CK 1999. The impact of metals and organic pollutants on the development of marine invertebrates from class </w:t>
      </w:r>
      <w:proofErr w:type="spellStart"/>
      <w:r>
        <w:t>Echinoidea</w:t>
      </w:r>
      <w:proofErr w:type="spellEnd"/>
      <w:r>
        <w:t xml:space="preserve"> and class Bivalvia. PhD thesis. The University of Sydney, NSW, Australia.</w:t>
      </w:r>
    </w:p>
    <w:p w14:paraId="32A447D6" w14:textId="77777777" w:rsidR="00A860FE" w:rsidRDefault="00A860FE" w:rsidP="001F30F6">
      <w:proofErr w:type="spellStart"/>
      <w:r>
        <w:t>Krassoi</w:t>
      </w:r>
      <w:proofErr w:type="spellEnd"/>
      <w:r>
        <w:t xml:space="preserve">, R, Anderson, I &amp; Everett, D 1997. Larval abnormalities in doughboy scallops </w:t>
      </w:r>
      <w:r w:rsidRPr="006327E2">
        <w:rPr>
          <w:rStyle w:val="Emphasis"/>
        </w:rPr>
        <w:t xml:space="preserve">Chlamys </w:t>
      </w:r>
      <w:r w:rsidRPr="006327E2">
        <w:t>(</w:t>
      </w:r>
      <w:proofErr w:type="spellStart"/>
      <w:r w:rsidRPr="006327E2">
        <w:t>Mimachlamys</w:t>
      </w:r>
      <w:proofErr w:type="spellEnd"/>
      <w:r w:rsidRPr="006327E2">
        <w:t>)</w:t>
      </w:r>
      <w:r w:rsidRPr="006327E2">
        <w:rPr>
          <w:rStyle w:val="Emphasis"/>
        </w:rPr>
        <w:t xml:space="preserve"> </w:t>
      </w:r>
      <w:proofErr w:type="spellStart"/>
      <w:r w:rsidRPr="006327E2">
        <w:rPr>
          <w:rStyle w:val="Emphasis"/>
        </w:rPr>
        <w:t>asperrima</w:t>
      </w:r>
      <w:proofErr w:type="spellEnd"/>
      <w:r w:rsidRPr="006327E2">
        <w:t xml:space="preserve"> I</w:t>
      </w:r>
      <w:r w:rsidRPr="006327E2">
        <w:rPr>
          <w:i/>
        </w:rPr>
        <w:t xml:space="preserve"> </w:t>
      </w:r>
      <w:r>
        <w:t xml:space="preserve">in response to test conditions and six reference toxicants. </w:t>
      </w:r>
      <w:r w:rsidRPr="006327E2">
        <w:rPr>
          <w:rStyle w:val="Emphasis"/>
        </w:rPr>
        <w:t>Australasian Journal of Ecotoxicology</w:t>
      </w:r>
      <w:r>
        <w:t>, 3(1), 65–74.</w:t>
      </w:r>
    </w:p>
    <w:p w14:paraId="6364B874" w14:textId="77777777" w:rsidR="00A860FE" w:rsidRDefault="00A860FE" w:rsidP="00006995">
      <w:proofErr w:type="spellStart"/>
      <w:r>
        <w:t>Krauskopf</w:t>
      </w:r>
      <w:proofErr w:type="spellEnd"/>
      <w:r>
        <w:t xml:space="preserve">, KB 1956. Factors controlling the concentrations of thirteen rare metals in sea-water. </w:t>
      </w:r>
      <w:proofErr w:type="spellStart"/>
      <w:r w:rsidRPr="00A11AB8">
        <w:rPr>
          <w:rStyle w:val="Emphasis"/>
        </w:rPr>
        <w:t>Geochimica</w:t>
      </w:r>
      <w:proofErr w:type="spellEnd"/>
      <w:r w:rsidRPr="00A11AB8">
        <w:rPr>
          <w:rStyle w:val="Emphasis"/>
        </w:rPr>
        <w:t xml:space="preserve"> et </w:t>
      </w:r>
      <w:proofErr w:type="spellStart"/>
      <w:r w:rsidRPr="00A11AB8">
        <w:rPr>
          <w:rStyle w:val="Emphasis"/>
        </w:rPr>
        <w:t>Cosmochimica</w:t>
      </w:r>
      <w:proofErr w:type="spellEnd"/>
      <w:r w:rsidRPr="00A11AB8">
        <w:rPr>
          <w:rStyle w:val="Emphasis"/>
        </w:rPr>
        <w:t xml:space="preserve"> Acta</w:t>
      </w:r>
      <w:r>
        <w:t>, 9, 1–B32.</w:t>
      </w:r>
    </w:p>
    <w:p w14:paraId="2A052092" w14:textId="77777777" w:rsidR="00A860FE" w:rsidRDefault="00A860FE" w:rsidP="00006995">
      <w:proofErr w:type="spellStart"/>
      <w:r>
        <w:t>Landner</w:t>
      </w:r>
      <w:proofErr w:type="spellEnd"/>
      <w:r>
        <w:t>, L &amp; Reuther, R 2004. Metals in society and in the environment: A critical review of current knowledge on fluxes, speciation, bioavailability and risk for adverse effects of copper, chromium, nickel and zinc. Springer, Netherlands.</w:t>
      </w:r>
    </w:p>
    <w:p w14:paraId="21BF4022" w14:textId="77777777" w:rsidR="00A860FE" w:rsidRDefault="00A860FE" w:rsidP="00006995">
      <w:r>
        <w:t xml:space="preserve">Langdon, K, Warne, M &amp; Sunderam, R 2009. A compilation of data on the toxicity of chemicals to species in Australasia. Part 4: Metals (2000-2009). </w:t>
      </w:r>
      <w:r w:rsidRPr="004046A7">
        <w:rPr>
          <w:rStyle w:val="Emphasis"/>
        </w:rPr>
        <w:t>Australasian Journal of Ecotoxicology</w:t>
      </w:r>
      <w:r>
        <w:t>, 15, 51–186.</w:t>
      </w:r>
    </w:p>
    <w:p w14:paraId="410C0994" w14:textId="77777777" w:rsidR="00A860FE" w:rsidRDefault="00A860FE" w:rsidP="00006995">
      <w:r>
        <w:t>Li, L, Tian, X, Yu, X &amp; Dong, S 2016. Effects of acute and chronic heavy metal (Cu, Cd, and Zn) exposure on sea cucumbers (</w:t>
      </w:r>
      <w:proofErr w:type="spellStart"/>
      <w:r w:rsidRPr="0064101B">
        <w:rPr>
          <w:rStyle w:val="Emphasis"/>
        </w:rPr>
        <w:t>Apostichopus</w:t>
      </w:r>
      <w:proofErr w:type="spellEnd"/>
      <w:r w:rsidRPr="0064101B">
        <w:rPr>
          <w:rStyle w:val="Emphasis"/>
        </w:rPr>
        <w:t xml:space="preserve"> japonicus</w:t>
      </w:r>
      <w:r>
        <w:t xml:space="preserve">). </w:t>
      </w:r>
      <w:r w:rsidRPr="0064101B">
        <w:rPr>
          <w:rStyle w:val="Emphasis"/>
        </w:rPr>
        <w:t>BioMed Research International</w:t>
      </w:r>
      <w:r>
        <w:t>, 2016, 13.</w:t>
      </w:r>
    </w:p>
    <w:p w14:paraId="05D85992" w14:textId="77777777" w:rsidR="00A860FE" w:rsidRDefault="00A860FE" w:rsidP="00006995">
      <w:proofErr w:type="spellStart"/>
      <w:r>
        <w:t>Malle</w:t>
      </w:r>
      <w:proofErr w:type="spellEnd"/>
      <w:r>
        <w:t xml:space="preserve">, KG 1992. Zinc in the environment. </w:t>
      </w:r>
      <w:proofErr w:type="spellStart"/>
      <w:r w:rsidRPr="0084462E">
        <w:rPr>
          <w:rStyle w:val="Emphasis"/>
        </w:rPr>
        <w:t>Zeitschrift</w:t>
      </w:r>
      <w:proofErr w:type="spellEnd"/>
      <w:r w:rsidRPr="0084462E">
        <w:rPr>
          <w:rStyle w:val="Emphasis"/>
        </w:rPr>
        <w:t xml:space="preserve"> Fur Wasser- Und </w:t>
      </w:r>
      <w:proofErr w:type="spellStart"/>
      <w:r w:rsidRPr="0084462E">
        <w:rPr>
          <w:rStyle w:val="Emphasis"/>
        </w:rPr>
        <w:t>Abwasser</w:t>
      </w:r>
      <w:proofErr w:type="spellEnd"/>
      <w:r w:rsidRPr="0084462E">
        <w:rPr>
          <w:rStyle w:val="Emphasis"/>
        </w:rPr>
        <w:t>-</w:t>
      </w:r>
      <w:proofErr w:type="spellStart"/>
      <w:r w:rsidRPr="0084462E">
        <w:rPr>
          <w:rStyle w:val="Emphasis"/>
        </w:rPr>
        <w:t>Forschung</w:t>
      </w:r>
      <w:proofErr w:type="spellEnd"/>
      <w:r w:rsidRPr="0084462E">
        <w:rPr>
          <w:rStyle w:val="Emphasis"/>
        </w:rPr>
        <w:t xml:space="preserve">-Journal for Water and Wastewater Research-Acta </w:t>
      </w:r>
      <w:proofErr w:type="spellStart"/>
      <w:r w:rsidRPr="0084462E">
        <w:rPr>
          <w:rStyle w:val="Emphasis"/>
        </w:rPr>
        <w:t>Hydrochimica</w:t>
      </w:r>
      <w:proofErr w:type="spellEnd"/>
      <w:r w:rsidRPr="0084462E">
        <w:rPr>
          <w:rStyle w:val="Emphasis"/>
        </w:rPr>
        <w:t xml:space="preserve"> Et </w:t>
      </w:r>
      <w:proofErr w:type="spellStart"/>
      <w:r w:rsidRPr="0084462E">
        <w:rPr>
          <w:rStyle w:val="Emphasis"/>
        </w:rPr>
        <w:t>Hydrobiologica</w:t>
      </w:r>
      <w:proofErr w:type="spellEnd"/>
      <w:r>
        <w:t>, 20, 196–204.</w:t>
      </w:r>
    </w:p>
    <w:p w14:paraId="57F0F19B" w14:textId="77777777" w:rsidR="00A860FE" w:rsidRDefault="00A860FE" w:rsidP="00006995">
      <w:r>
        <w:lastRenderedPageBreak/>
        <w:t xml:space="preserve">Markich, SI, Warne, M, Westbury, A-M &amp; Roberts, C 2002. A compilation of data on the toxicity of chemicals to species in Australasia. Part 3: Metals. </w:t>
      </w:r>
      <w:r w:rsidRPr="005233C5">
        <w:rPr>
          <w:rStyle w:val="Emphasis"/>
        </w:rPr>
        <w:t>Australasian Journal of Ecotoxicology</w:t>
      </w:r>
      <w:r>
        <w:t>, 8, 1–72.</w:t>
      </w:r>
    </w:p>
    <w:p w14:paraId="5171B0A8" w14:textId="77777777" w:rsidR="00A860FE" w:rsidRDefault="00A860FE" w:rsidP="001F30F6">
      <w:r>
        <w:t xml:space="preserve">Martin, M, Osborn, KE, </w:t>
      </w:r>
      <w:proofErr w:type="spellStart"/>
      <w:r>
        <w:t>Billig</w:t>
      </w:r>
      <w:proofErr w:type="spellEnd"/>
      <w:r>
        <w:t xml:space="preserve">, P &amp; Glickstein, N 1981. Toxicities of ten metals to </w:t>
      </w:r>
      <w:r w:rsidRPr="006327E2">
        <w:rPr>
          <w:rStyle w:val="Emphasis"/>
        </w:rPr>
        <w:t>Crassostrea gigas</w:t>
      </w:r>
      <w:r>
        <w:t xml:space="preserve"> and </w:t>
      </w:r>
      <w:r w:rsidRPr="006327E2">
        <w:rPr>
          <w:rStyle w:val="Emphasis"/>
        </w:rPr>
        <w:t>Mytilus edulis</w:t>
      </w:r>
      <w:r>
        <w:t xml:space="preserve"> embryos and </w:t>
      </w:r>
      <w:r w:rsidRPr="006327E2">
        <w:rPr>
          <w:rStyle w:val="Emphasis"/>
        </w:rPr>
        <w:t>Cancer magister</w:t>
      </w:r>
      <w:r>
        <w:t xml:space="preserve"> larvae. </w:t>
      </w:r>
      <w:r w:rsidRPr="006327E2">
        <w:rPr>
          <w:rStyle w:val="Emphasis"/>
        </w:rPr>
        <w:t>Marine Pollution Bulletin</w:t>
      </w:r>
      <w:r>
        <w:t>, 12(9), 305–308.</w:t>
      </w:r>
    </w:p>
    <w:p w14:paraId="119305B6" w14:textId="77777777" w:rsidR="00A860FE" w:rsidRDefault="00A860FE" w:rsidP="00006995">
      <w:proofErr w:type="spellStart"/>
      <w:r>
        <w:t>Maycock</w:t>
      </w:r>
      <w:proofErr w:type="spellEnd"/>
      <w:r>
        <w:t xml:space="preserve">, D, Peters, A, </w:t>
      </w:r>
      <w:proofErr w:type="spellStart"/>
      <w:r>
        <w:t>Merrington</w:t>
      </w:r>
      <w:proofErr w:type="spellEnd"/>
      <w:r>
        <w:t>, G &amp; Crane, M 2012. Proposed EQS for Water Framework Directive Annex VIII substances: zinc (for consultation). Environment Agency Science Project Number: SC080021/8o. Water Framework Directive – United Kingdom Technical Advisory Group (WFD-UKTAG), Edinburgh, Scotland.</w:t>
      </w:r>
    </w:p>
    <w:p w14:paraId="504EC114" w14:textId="77777777" w:rsidR="00A860FE" w:rsidRDefault="00A860FE" w:rsidP="00006995">
      <w:proofErr w:type="spellStart"/>
      <w:r>
        <w:t>Millero</w:t>
      </w:r>
      <w:proofErr w:type="spellEnd"/>
      <w:r>
        <w:t xml:space="preserve">, FJ, </w:t>
      </w:r>
      <w:proofErr w:type="spellStart"/>
      <w:r>
        <w:t>Woosley</w:t>
      </w:r>
      <w:proofErr w:type="spellEnd"/>
      <w:r>
        <w:t xml:space="preserve">, R, </w:t>
      </w:r>
      <w:proofErr w:type="spellStart"/>
      <w:r>
        <w:t>Ditrolio</w:t>
      </w:r>
      <w:proofErr w:type="spellEnd"/>
      <w:r>
        <w:t xml:space="preserve">, B &amp; Waters, J 2009. Effect of ocean acidification on the speciation of metals in seawater. </w:t>
      </w:r>
      <w:r w:rsidRPr="00827D9B">
        <w:rPr>
          <w:rStyle w:val="Emphasis"/>
        </w:rPr>
        <w:t>Oceanography</w:t>
      </w:r>
      <w:r>
        <w:t>, 22, 72–85.</w:t>
      </w:r>
    </w:p>
    <w:p w14:paraId="7851EB50" w14:textId="77777777" w:rsidR="00A860FE" w:rsidRDefault="00A860FE" w:rsidP="001F30F6">
      <w:r>
        <w:t xml:space="preserve">Myers, JH, </w:t>
      </w:r>
      <w:proofErr w:type="spellStart"/>
      <w:r>
        <w:t>Duda</w:t>
      </w:r>
      <w:proofErr w:type="spellEnd"/>
      <w:r>
        <w:t xml:space="preserve">, S, Gunthorpe, L &amp; </w:t>
      </w:r>
      <w:proofErr w:type="spellStart"/>
      <w:r>
        <w:t>Allinson</w:t>
      </w:r>
      <w:proofErr w:type="spellEnd"/>
      <w:r>
        <w:t xml:space="preserve">, G 2006. Assessing the performance of </w:t>
      </w:r>
      <w:proofErr w:type="spellStart"/>
      <w:r w:rsidRPr="006327E2">
        <w:rPr>
          <w:rStyle w:val="Emphasis"/>
        </w:rPr>
        <w:t>Hormosira</w:t>
      </w:r>
      <w:proofErr w:type="spellEnd"/>
      <w:r w:rsidRPr="006327E2">
        <w:rPr>
          <w:rStyle w:val="Emphasis"/>
        </w:rPr>
        <w:t xml:space="preserve"> </w:t>
      </w:r>
      <w:proofErr w:type="spellStart"/>
      <w:r w:rsidRPr="006327E2">
        <w:rPr>
          <w:rStyle w:val="Emphasis"/>
        </w:rPr>
        <w:t>banksii</w:t>
      </w:r>
      <w:proofErr w:type="spellEnd"/>
      <w:r>
        <w:t xml:space="preserve"> (Turner) </w:t>
      </w:r>
      <w:proofErr w:type="spellStart"/>
      <w:r w:rsidRPr="006327E2">
        <w:t>desicaine</w:t>
      </w:r>
      <w:proofErr w:type="spellEnd"/>
      <w:r>
        <w:t xml:space="preserve"> germination and growth assay using four reference toxicants. </w:t>
      </w:r>
      <w:r w:rsidRPr="006327E2">
        <w:rPr>
          <w:rStyle w:val="Emphasis"/>
        </w:rPr>
        <w:t>Ecotoxicology and Environmental Safety</w:t>
      </w:r>
      <w:r>
        <w:t>, 64(3), 304–311.</w:t>
      </w:r>
    </w:p>
    <w:p w14:paraId="79BD4E1A" w14:textId="77777777" w:rsidR="00A860FE" w:rsidRDefault="00A860FE" w:rsidP="001F30F6">
      <w:r>
        <w:t xml:space="preserve">Nadella, SR, Fitzpatrick, JL, Franklin, N, Bucking, C, Smith, S &amp; Wood, CM 2009. Toxicity of dissolved Cu, Zn, Ni and Cd to developing embryos of the blue </w:t>
      </w:r>
      <w:proofErr w:type="spellStart"/>
      <w:r>
        <w:t>mussell</w:t>
      </w:r>
      <w:proofErr w:type="spellEnd"/>
      <w:r>
        <w:t xml:space="preserve"> (</w:t>
      </w:r>
      <w:r w:rsidRPr="00F87DD5">
        <w:rPr>
          <w:rStyle w:val="Emphasis"/>
        </w:rPr>
        <w:t xml:space="preserve">Mytilus </w:t>
      </w:r>
      <w:proofErr w:type="spellStart"/>
      <w:r w:rsidRPr="00F87DD5">
        <w:rPr>
          <w:rStyle w:val="Emphasis"/>
        </w:rPr>
        <w:t>trossolus</w:t>
      </w:r>
      <w:proofErr w:type="spellEnd"/>
      <w:r>
        <w:t xml:space="preserve">) and the protective effect of dissolved organic carbon. </w:t>
      </w:r>
      <w:r w:rsidRPr="009F6362">
        <w:rPr>
          <w:rStyle w:val="Emphasis"/>
        </w:rPr>
        <w:t>Comparative Biochemistry and Physiology C Pharmacology and Toxicology</w:t>
      </w:r>
      <w:r>
        <w:t>, 149(3), 340–348.</w:t>
      </w:r>
    </w:p>
    <w:p w14:paraId="6E6A26D1" w14:textId="77777777" w:rsidR="00A860FE" w:rsidRDefault="00A860FE" w:rsidP="001F30F6">
      <w:r>
        <w:t xml:space="preserve">Nipper, MG &amp; Williams, EK 1997. Culturing and toxicity testing with the New Zealand mysid </w:t>
      </w:r>
      <w:proofErr w:type="spellStart"/>
      <w:r w:rsidRPr="009F6362">
        <w:rPr>
          <w:rStyle w:val="Emphasis"/>
        </w:rPr>
        <w:t>Tenagomysis</w:t>
      </w:r>
      <w:proofErr w:type="spellEnd"/>
      <w:r w:rsidRPr="009F6362">
        <w:rPr>
          <w:rStyle w:val="Emphasis"/>
        </w:rPr>
        <w:t xml:space="preserve"> novae-</w:t>
      </w:r>
      <w:proofErr w:type="spellStart"/>
      <w:r w:rsidRPr="009F6362">
        <w:rPr>
          <w:rStyle w:val="Emphasis"/>
        </w:rPr>
        <w:t>zealandiae</w:t>
      </w:r>
      <w:proofErr w:type="spellEnd"/>
      <w:r>
        <w:t xml:space="preserve">, with a summary of toxicological research in this group. </w:t>
      </w:r>
      <w:r w:rsidRPr="009F6362">
        <w:rPr>
          <w:rStyle w:val="Emphasis"/>
        </w:rPr>
        <w:t>Australasian Journal of Ecotoxicology</w:t>
      </w:r>
      <w:r>
        <w:t>, 3(2), 117–129.</w:t>
      </w:r>
    </w:p>
    <w:p w14:paraId="79600500" w14:textId="77777777" w:rsidR="00A860FE" w:rsidRDefault="00A860FE" w:rsidP="00006995">
      <w:r>
        <w:t xml:space="preserve">Niyogi, S, </w:t>
      </w:r>
      <w:proofErr w:type="spellStart"/>
      <w:r>
        <w:t>Blewett</w:t>
      </w:r>
      <w:proofErr w:type="spellEnd"/>
      <w:r>
        <w:t xml:space="preserve">, TA, Gallagher, T, </w:t>
      </w:r>
      <w:proofErr w:type="spellStart"/>
      <w:r>
        <w:t>Fehsenfeld</w:t>
      </w:r>
      <w:proofErr w:type="spellEnd"/>
      <w:r>
        <w:t>, S &amp; Wood, CM 2016. Effects of salinity on short-term waterborne zinc uptake, accumulation and sub-lethal toxicity in the green shore crab (</w:t>
      </w:r>
      <w:proofErr w:type="spellStart"/>
      <w:r w:rsidRPr="000A25C9">
        <w:rPr>
          <w:rStyle w:val="Emphasis"/>
        </w:rPr>
        <w:t>Carcinus</w:t>
      </w:r>
      <w:proofErr w:type="spellEnd"/>
      <w:r w:rsidRPr="000A25C9">
        <w:rPr>
          <w:rStyle w:val="Emphasis"/>
        </w:rPr>
        <w:t xml:space="preserve"> </w:t>
      </w:r>
      <w:proofErr w:type="spellStart"/>
      <w:r w:rsidRPr="000A25C9">
        <w:rPr>
          <w:rStyle w:val="Emphasis"/>
        </w:rPr>
        <w:t>maenas</w:t>
      </w:r>
      <w:proofErr w:type="spellEnd"/>
      <w:r>
        <w:t xml:space="preserve">). </w:t>
      </w:r>
      <w:r w:rsidRPr="000A25C9">
        <w:rPr>
          <w:rStyle w:val="Emphasis"/>
        </w:rPr>
        <w:t>Aquatic Toxicology</w:t>
      </w:r>
      <w:r w:rsidRPr="000A25C9">
        <w:t xml:space="preserve">, 178, </w:t>
      </w:r>
      <w:r>
        <w:t>132–140.</w:t>
      </w:r>
    </w:p>
    <w:p w14:paraId="73ACD28C" w14:textId="77777777" w:rsidR="00A860FE" w:rsidRDefault="00A860FE" w:rsidP="00006995">
      <w:proofErr w:type="spellStart"/>
      <w:r>
        <w:t>Paalman</w:t>
      </w:r>
      <w:proofErr w:type="spellEnd"/>
      <w:r>
        <w:t xml:space="preserve">, MAA, </w:t>
      </w:r>
      <w:proofErr w:type="spellStart"/>
      <w:r>
        <w:t>Vanderweijden</w:t>
      </w:r>
      <w:proofErr w:type="spellEnd"/>
      <w:r>
        <w:t xml:space="preserve">, CH &amp; Loch, JPG 1994. Sorption of cadmium on suspended matter under estuarine conditions – competition and complexation with major sea-water ions. </w:t>
      </w:r>
      <w:r w:rsidRPr="00785C71">
        <w:rPr>
          <w:rStyle w:val="Emphasis"/>
        </w:rPr>
        <w:t>Water Air and Soil Pollution</w:t>
      </w:r>
      <w:r>
        <w:t>, 73, 49–60.</w:t>
      </w:r>
    </w:p>
    <w:p w14:paraId="4816474F" w14:textId="77777777" w:rsidR="00A860FE" w:rsidRDefault="00A860FE" w:rsidP="00006995">
      <w:r>
        <w:t xml:space="preserve">Rainbow PS, Liu, FJ &amp; Wang, WX 2015. Metal accumulation and toxicity: The critical accumulated concentration of metabolically available zinc in an oyster model. </w:t>
      </w:r>
      <w:r w:rsidRPr="00F36A29">
        <w:rPr>
          <w:rStyle w:val="Emphasis"/>
        </w:rPr>
        <w:t>Aquatic Toxicology</w:t>
      </w:r>
      <w:r>
        <w:t>, 162, 102–108.</w:t>
      </w:r>
    </w:p>
    <w:p w14:paraId="19BA84AF" w14:textId="28E65DA3" w:rsidR="00A860FE" w:rsidRDefault="00A860FE" w:rsidP="00006995">
      <w:r>
        <w:t xml:space="preserve">Rainbow, PS &amp; </w:t>
      </w:r>
      <w:proofErr w:type="spellStart"/>
      <w:r>
        <w:t>Luoma</w:t>
      </w:r>
      <w:proofErr w:type="spellEnd"/>
      <w:r>
        <w:t xml:space="preserve">, SN 2011. Metal toxicity, uptake and bioaccumulation in aquatic invertebrates—modelling zinc in crustaceans. </w:t>
      </w:r>
      <w:r w:rsidRPr="008779A3">
        <w:rPr>
          <w:rStyle w:val="Emphasis"/>
        </w:rPr>
        <w:t>Aquatic Toxicology</w:t>
      </w:r>
      <w:r>
        <w:t>, 105, 455–465.</w:t>
      </w:r>
    </w:p>
    <w:p w14:paraId="28A2EBDE" w14:textId="71753A0F" w:rsidR="001F22F7" w:rsidRDefault="001F22F7" w:rsidP="001F22F7">
      <w:r w:rsidRPr="001F22F7">
        <w:rPr>
          <w:lang w:val="en-GB"/>
        </w:rPr>
        <w:t>Reichelt-Brushett</w:t>
      </w:r>
      <w:r>
        <w:rPr>
          <w:lang w:val="en-GB"/>
        </w:rPr>
        <w:t>,</w:t>
      </w:r>
      <w:r w:rsidRPr="001F22F7">
        <w:rPr>
          <w:lang w:val="en-GB"/>
        </w:rPr>
        <w:t xml:space="preserve"> AJ</w:t>
      </w:r>
      <w:r>
        <w:rPr>
          <w:lang w:val="en-GB"/>
        </w:rPr>
        <w:t xml:space="preserve"> &amp;</w:t>
      </w:r>
      <w:r w:rsidRPr="001F22F7">
        <w:rPr>
          <w:lang w:val="en-GB"/>
        </w:rPr>
        <w:t xml:space="preserve"> Harrison</w:t>
      </w:r>
      <w:r>
        <w:rPr>
          <w:lang w:val="en-GB"/>
        </w:rPr>
        <w:t>,</w:t>
      </w:r>
      <w:r w:rsidRPr="001F22F7">
        <w:rPr>
          <w:lang w:val="en-GB"/>
        </w:rPr>
        <w:t xml:space="preserve"> PL 1999</w:t>
      </w:r>
      <w:r>
        <w:rPr>
          <w:lang w:val="en-GB"/>
        </w:rPr>
        <w:t>.</w:t>
      </w:r>
      <w:r w:rsidRPr="001F22F7">
        <w:rPr>
          <w:lang w:val="en-GB"/>
        </w:rPr>
        <w:t xml:space="preserve"> The effect of copper, zinc</w:t>
      </w:r>
      <w:r>
        <w:rPr>
          <w:lang w:val="en-GB"/>
        </w:rPr>
        <w:t xml:space="preserve"> </w:t>
      </w:r>
      <w:r w:rsidRPr="001F22F7">
        <w:rPr>
          <w:lang w:val="en-GB"/>
        </w:rPr>
        <w:t xml:space="preserve">and cadmium on fertilization success of the </w:t>
      </w:r>
      <w:proofErr w:type="spellStart"/>
      <w:r w:rsidRPr="001F22F7">
        <w:rPr>
          <w:lang w:val="en-GB"/>
        </w:rPr>
        <w:t>scleractinian</w:t>
      </w:r>
      <w:proofErr w:type="spellEnd"/>
      <w:r w:rsidRPr="001F22F7">
        <w:rPr>
          <w:lang w:val="en-GB"/>
        </w:rPr>
        <w:t xml:space="preserve"> coral</w:t>
      </w:r>
      <w:r>
        <w:rPr>
          <w:lang w:val="en-GB"/>
        </w:rPr>
        <w:t xml:space="preserve"> </w:t>
      </w:r>
      <w:proofErr w:type="spellStart"/>
      <w:r w:rsidRPr="001F22F7">
        <w:rPr>
          <w:lang w:val="en-GB"/>
        </w:rPr>
        <w:t>Goniastrea</w:t>
      </w:r>
      <w:proofErr w:type="spellEnd"/>
      <w:r w:rsidRPr="001F22F7">
        <w:rPr>
          <w:lang w:val="en-GB"/>
        </w:rPr>
        <w:t xml:space="preserve"> aspera. </w:t>
      </w:r>
      <w:r w:rsidRPr="001F22F7">
        <w:rPr>
          <w:i/>
          <w:iCs/>
          <w:lang w:val="en-GB"/>
        </w:rPr>
        <w:t>Marine Pollution Bulletin</w:t>
      </w:r>
      <w:r>
        <w:rPr>
          <w:lang w:val="en-GB"/>
        </w:rPr>
        <w:t>,</w:t>
      </w:r>
      <w:r w:rsidRPr="001F22F7">
        <w:rPr>
          <w:lang w:val="en-GB"/>
        </w:rPr>
        <w:t xml:space="preserve"> 38</w:t>
      </w:r>
      <w:r>
        <w:rPr>
          <w:lang w:val="en-GB"/>
        </w:rPr>
        <w:t xml:space="preserve">, </w:t>
      </w:r>
      <w:r w:rsidRPr="001F22F7">
        <w:rPr>
          <w:lang w:val="en-GB"/>
        </w:rPr>
        <w:t>182–187</w:t>
      </w:r>
    </w:p>
    <w:p w14:paraId="2380DF07" w14:textId="77777777" w:rsidR="00A860FE" w:rsidRDefault="00A860FE" w:rsidP="00006995">
      <w:r>
        <w:t xml:space="preserve">Reichelt-Brushett, AJ &amp; Harrison, PL 2005. The effect of selected trace metals on the fertilization success of several Scleractinian coral species. </w:t>
      </w:r>
      <w:r w:rsidRPr="00DE3523">
        <w:rPr>
          <w:rStyle w:val="Emphasis"/>
        </w:rPr>
        <w:t>Coral Reefs</w:t>
      </w:r>
      <w:r>
        <w:t>, 24, 524–534.</w:t>
      </w:r>
    </w:p>
    <w:p w14:paraId="21F8E4E3" w14:textId="77777777" w:rsidR="00A860FE" w:rsidRDefault="00A860FE" w:rsidP="001F30F6">
      <w:pPr>
        <w:rPr>
          <w:highlight w:val="yellow"/>
        </w:rPr>
      </w:pPr>
      <w:proofErr w:type="spellStart"/>
      <w:r>
        <w:t>Reish</w:t>
      </w:r>
      <w:proofErr w:type="spellEnd"/>
      <w:r>
        <w:t xml:space="preserve">, DJ, </w:t>
      </w:r>
      <w:proofErr w:type="spellStart"/>
      <w:r>
        <w:t>Gerlinger</w:t>
      </w:r>
      <w:proofErr w:type="spellEnd"/>
      <w:r>
        <w:t xml:space="preserve">, TV, Phillips, CA &amp; </w:t>
      </w:r>
      <w:proofErr w:type="spellStart"/>
      <w:r>
        <w:t>Schmidtbauer</w:t>
      </w:r>
      <w:proofErr w:type="spellEnd"/>
      <w:r>
        <w:t>, PD 1977. Toxicity of formulated mine tailings on marine polychaete. Marine Biological Consultants, Costa Mesa, CA, 133.</w:t>
      </w:r>
    </w:p>
    <w:p w14:paraId="6471AE08" w14:textId="77777777" w:rsidR="00A860FE" w:rsidRDefault="00A860FE" w:rsidP="001F30F6">
      <w:proofErr w:type="spellStart"/>
      <w:r>
        <w:lastRenderedPageBreak/>
        <w:t>Reish</w:t>
      </w:r>
      <w:proofErr w:type="spellEnd"/>
      <w:r>
        <w:t>, DJ, Martin,</w:t>
      </w:r>
      <w:r w:rsidRPr="000D1BA1">
        <w:t xml:space="preserve"> </w:t>
      </w:r>
      <w:r>
        <w:t xml:space="preserve">JM, </w:t>
      </w:r>
      <w:proofErr w:type="spellStart"/>
      <w:r>
        <w:t>Piltz</w:t>
      </w:r>
      <w:proofErr w:type="spellEnd"/>
      <w:r>
        <w:t xml:space="preserve">, FM &amp; Word JQ 1976. The effect of heavy metals on laboratory populations of two polychaetes with comparisons to the water quality conditions and standards in Southern California marine waters. </w:t>
      </w:r>
      <w:r w:rsidRPr="000D1BA1">
        <w:rPr>
          <w:rStyle w:val="Emphasis"/>
        </w:rPr>
        <w:t>Water Research</w:t>
      </w:r>
      <w:r>
        <w:t>, 10, 299–302.</w:t>
      </w:r>
    </w:p>
    <w:p w14:paraId="782E5360" w14:textId="77777777" w:rsidR="00A860FE" w:rsidRDefault="00A860FE" w:rsidP="00006995">
      <w:r>
        <w:t xml:space="preserve">Saunders, CE 2012. Effects of dissolved organic matter and salinity on the toxicity of individual and metal mixtures of copper with zinc and silver to the saltwater rotifer, </w:t>
      </w:r>
      <w:proofErr w:type="spellStart"/>
      <w:r w:rsidRPr="0026462E">
        <w:rPr>
          <w:rStyle w:val="Emphasis"/>
        </w:rPr>
        <w:t>Brachionus</w:t>
      </w:r>
      <w:proofErr w:type="spellEnd"/>
      <w:r w:rsidRPr="0026462E">
        <w:rPr>
          <w:rStyle w:val="Emphasis"/>
        </w:rPr>
        <w:t xml:space="preserve"> </w:t>
      </w:r>
      <w:proofErr w:type="spellStart"/>
      <w:r w:rsidRPr="0026462E">
        <w:rPr>
          <w:rStyle w:val="Emphasis"/>
        </w:rPr>
        <w:t>plicatilis</w:t>
      </w:r>
      <w:proofErr w:type="spellEnd"/>
      <w:r>
        <w:t>. M.S. Thesis. Stephen F. Austin State University, Nacogdoches, TX.</w:t>
      </w:r>
    </w:p>
    <w:p w14:paraId="24418E5A" w14:textId="77777777" w:rsidR="00A860FE" w:rsidRDefault="00A860FE" w:rsidP="00006995">
      <w:r>
        <w:t xml:space="preserve">Somasundaram, B, King, PE &amp; </w:t>
      </w:r>
      <w:proofErr w:type="spellStart"/>
      <w:r>
        <w:t>Shackley</w:t>
      </w:r>
      <w:proofErr w:type="spellEnd"/>
      <w:r>
        <w:t xml:space="preserve">, SE 1984. Some Morphological Effects of Zinc Upon the Yolk-Sac Larvae of </w:t>
      </w:r>
      <w:r w:rsidRPr="00797526">
        <w:rPr>
          <w:rStyle w:val="Emphasis"/>
        </w:rPr>
        <w:t>Clupea-</w:t>
      </w:r>
      <w:proofErr w:type="spellStart"/>
      <w:r w:rsidRPr="00797526">
        <w:rPr>
          <w:rStyle w:val="Emphasis"/>
        </w:rPr>
        <w:t>Harengus</w:t>
      </w:r>
      <w:proofErr w:type="spellEnd"/>
      <w:r w:rsidRPr="00797526">
        <w:rPr>
          <w:rStyle w:val="Emphasis"/>
        </w:rPr>
        <w:t xml:space="preserve"> L</w:t>
      </w:r>
      <w:r>
        <w:t xml:space="preserve">. </w:t>
      </w:r>
      <w:r w:rsidRPr="00797526">
        <w:rPr>
          <w:rStyle w:val="Emphasis"/>
        </w:rPr>
        <w:t>Journal of Fish Biology</w:t>
      </w:r>
      <w:r>
        <w:t>, 25, 333–343.</w:t>
      </w:r>
    </w:p>
    <w:p w14:paraId="01FECB92" w14:textId="77777777" w:rsidR="00A860FE" w:rsidRDefault="00A860FE" w:rsidP="00006995">
      <w:r>
        <w:t xml:space="preserve">Stauber, JL &amp; Florence, TM 1990. Mechanism of toxicity of zinc to the marine diatom </w:t>
      </w:r>
      <w:proofErr w:type="spellStart"/>
      <w:r w:rsidRPr="008779A3">
        <w:rPr>
          <w:rStyle w:val="Emphasis"/>
        </w:rPr>
        <w:t>Nitzschia</w:t>
      </w:r>
      <w:proofErr w:type="spellEnd"/>
      <w:r w:rsidRPr="008779A3">
        <w:rPr>
          <w:rStyle w:val="Emphasis"/>
        </w:rPr>
        <w:t xml:space="preserve"> </w:t>
      </w:r>
      <w:proofErr w:type="spellStart"/>
      <w:r w:rsidRPr="008779A3">
        <w:rPr>
          <w:rStyle w:val="Emphasis"/>
        </w:rPr>
        <w:t>closterium</w:t>
      </w:r>
      <w:proofErr w:type="spellEnd"/>
      <w:r>
        <w:t xml:space="preserve">. </w:t>
      </w:r>
      <w:r w:rsidRPr="008779A3">
        <w:rPr>
          <w:rStyle w:val="Emphasis"/>
        </w:rPr>
        <w:t>Marine Biology</w:t>
      </w:r>
      <w:r>
        <w:t>, 105, 519–524.</w:t>
      </w:r>
    </w:p>
    <w:p w14:paraId="26D44E59" w14:textId="77777777" w:rsidR="00A860FE" w:rsidRDefault="00A860FE" w:rsidP="00006995">
      <w:r>
        <w:t>Stumm, W &amp; Morgan, JJ 1996. Aquatic chemistry : chemical equilibria and rates in natural waters. Wiley, New York.</w:t>
      </w:r>
    </w:p>
    <w:p w14:paraId="39CE698D" w14:textId="77777777" w:rsidR="00A860FE" w:rsidRDefault="00A860FE" w:rsidP="00006995">
      <w:proofErr w:type="spellStart"/>
      <w:r>
        <w:t>Tellis</w:t>
      </w:r>
      <w:proofErr w:type="spellEnd"/>
      <w:r>
        <w:t xml:space="preserve">, MS, Lauer, MM, Nadella, S, </w:t>
      </w:r>
      <w:proofErr w:type="spellStart"/>
      <w:r>
        <w:t>Bianchini</w:t>
      </w:r>
      <w:proofErr w:type="spellEnd"/>
      <w:r>
        <w:t>, A &amp; Wood, CM 2014. Sublethal mechanisms of Pb and Zn toxicity to the purple sea urchin (</w:t>
      </w:r>
      <w:r w:rsidRPr="000A25C9">
        <w:rPr>
          <w:rStyle w:val="Emphasis"/>
        </w:rPr>
        <w:t xml:space="preserve">Strongylocentrotus </w:t>
      </w:r>
      <w:proofErr w:type="spellStart"/>
      <w:r w:rsidRPr="000A25C9">
        <w:rPr>
          <w:rStyle w:val="Emphasis"/>
        </w:rPr>
        <w:t>purpuratus</w:t>
      </w:r>
      <w:proofErr w:type="spellEnd"/>
      <w:r>
        <w:t xml:space="preserve">) during early development. </w:t>
      </w:r>
      <w:r w:rsidRPr="000A25C9">
        <w:rPr>
          <w:rStyle w:val="Emphasis"/>
        </w:rPr>
        <w:t>Aquatic Toxicology</w:t>
      </w:r>
      <w:r>
        <w:t>, 146, 220–229.</w:t>
      </w:r>
    </w:p>
    <w:p w14:paraId="3EB42010" w14:textId="77777777" w:rsidR="00A860FE" w:rsidRDefault="00A860FE" w:rsidP="00006995">
      <w:r>
        <w:t>Timperley, M, Williamson, B, Mills, G, Horne, B &amp; Hasan, MQ 2005. Sources and loads of metals in urban stormwater. Technical Publication No ARC04104, June 2005. Auckland Regional Council, New Zealand.</w:t>
      </w:r>
    </w:p>
    <w:p w14:paraId="1F3ED77D" w14:textId="302BACC5" w:rsidR="00A860FE" w:rsidRDefault="00A860FE" w:rsidP="001F30F6">
      <w:r>
        <w:t xml:space="preserve">Tsai, JW, Chou, YH, Chen, BC, Liang, HM &amp; Liao, CM 2004. Growth toxicity bioassays of abalone </w:t>
      </w:r>
      <w:proofErr w:type="spellStart"/>
      <w:r w:rsidRPr="000D1BA1">
        <w:rPr>
          <w:rStyle w:val="Emphasis"/>
        </w:rPr>
        <w:t>Haliotis</w:t>
      </w:r>
      <w:proofErr w:type="spellEnd"/>
      <w:r w:rsidRPr="000D1BA1">
        <w:rPr>
          <w:rStyle w:val="Emphasis"/>
        </w:rPr>
        <w:t xml:space="preserve"> </w:t>
      </w:r>
      <w:proofErr w:type="spellStart"/>
      <w:r w:rsidRPr="000D1BA1">
        <w:rPr>
          <w:rStyle w:val="Emphasis"/>
        </w:rPr>
        <w:t>diversicolor</w:t>
      </w:r>
      <w:proofErr w:type="spellEnd"/>
      <w:r w:rsidRPr="000D1BA1">
        <w:rPr>
          <w:rStyle w:val="Emphasis"/>
        </w:rPr>
        <w:t xml:space="preserve"> </w:t>
      </w:r>
      <w:proofErr w:type="spellStart"/>
      <w:r w:rsidRPr="000D1BA1">
        <w:rPr>
          <w:rStyle w:val="Emphasis"/>
        </w:rPr>
        <w:t>supertexta</w:t>
      </w:r>
      <w:proofErr w:type="spellEnd"/>
      <w:r>
        <w:t xml:space="preserve"> exposed to waterborne zinc. </w:t>
      </w:r>
      <w:r w:rsidRPr="000D1BA1">
        <w:rPr>
          <w:rStyle w:val="Emphasis"/>
        </w:rPr>
        <w:t>Bulletin of Environmental Contamination and Toxicology</w:t>
      </w:r>
      <w:r>
        <w:t>, 72(1), 70–77.</w:t>
      </w:r>
    </w:p>
    <w:p w14:paraId="168FDF14" w14:textId="20E57B04" w:rsidR="002B13A7" w:rsidRDefault="002B13A7" w:rsidP="001F30F6">
      <w:r>
        <w:t xml:space="preserve">UK CEH 2021. </w:t>
      </w:r>
      <w:r w:rsidRPr="002B13A7">
        <w:t xml:space="preserve">Windermere </w:t>
      </w:r>
      <w:proofErr w:type="spellStart"/>
      <w:r w:rsidRPr="002B13A7">
        <w:t>Humic</w:t>
      </w:r>
      <w:proofErr w:type="spellEnd"/>
      <w:r w:rsidRPr="002B13A7">
        <w:t xml:space="preserve"> Aqueous Model (WHAM7)</w:t>
      </w:r>
      <w:r>
        <w:t xml:space="preserve">. UK Centre for Ecology and Hydrology. United Kingdom. Accessed 4 February 2021. </w:t>
      </w:r>
      <w:hyperlink r:id="rId38" w:history="1">
        <w:r w:rsidRPr="00691054">
          <w:rPr>
            <w:rStyle w:val="Hyperlink"/>
          </w:rPr>
          <w:t>https://www.ceh.ac.uk/services/windermere-humic-aqueous-model-wham</w:t>
        </w:r>
      </w:hyperlink>
      <w:r>
        <w:t xml:space="preserve">. </w:t>
      </w:r>
    </w:p>
    <w:p w14:paraId="48DD8970" w14:textId="77777777" w:rsidR="00A860FE" w:rsidRDefault="00A860FE" w:rsidP="00006995">
      <w:r>
        <w:t>USEPA 1987. Ambient water quality criteria for zinc – 1987. EPA 440/5-87-003. United States Environmental Protection Agency, Criteria and Standards Division, Washington D.C.</w:t>
      </w:r>
    </w:p>
    <w:p w14:paraId="75EE5BE9" w14:textId="77777777" w:rsidR="00A860FE" w:rsidRDefault="00A860FE" w:rsidP="00006995">
      <w:r>
        <w:t>USEPA 1996. 1995 Updates: Water quality criteria documents for the protection of aquatic life in ambient water. EPA 820-B96-001. September 1996. United States Environmental Protection Agency, Office of Water, Washington D.C., 114.</w:t>
      </w:r>
    </w:p>
    <w:p w14:paraId="5448EBC2" w14:textId="77777777" w:rsidR="00A860FE" w:rsidRDefault="00A860FE" w:rsidP="00006995">
      <w:r>
        <w:t xml:space="preserve">USEPA 2016. ECOTOX User Guide: </w:t>
      </w:r>
      <w:proofErr w:type="spellStart"/>
      <w:r>
        <w:t>ECOTOXicology</w:t>
      </w:r>
      <w:proofErr w:type="spellEnd"/>
      <w:r>
        <w:t xml:space="preserve"> Knowledgebase System. Version 4.0. United States Environmental Protection Agency.</w:t>
      </w:r>
    </w:p>
    <w:p w14:paraId="0C8963E5" w14:textId="77777777" w:rsidR="00A860FE" w:rsidRDefault="00A860FE" w:rsidP="00006995">
      <w:r>
        <w:t>Warne MS, Batley GE, van Dam RA, Chapman JC, Fox DR, Hickey CW &amp; Stauber JL 2018. Revised Method for Deriving Australian and New Zealand Water Quality Guideline Values for Toxicants – update of 2015 version. Prepared for the revision of the Australian and New Zealand Guidelines for Fresh and Marine Water Quality. Australian and New Zealand Governments and Australian state and territory governments, Canberra, 48 pp.</w:t>
      </w:r>
    </w:p>
    <w:p w14:paraId="0DCA09AF" w14:textId="77777777" w:rsidR="00A860FE" w:rsidRDefault="00A860FE" w:rsidP="001F30F6">
      <w:r>
        <w:lastRenderedPageBreak/>
        <w:t xml:space="preserve">Williams, EK &amp; Hall, JA 1999. Seasonal and geographic variability in toxicant sensitivity of </w:t>
      </w:r>
      <w:r w:rsidRPr="000D1BA1">
        <w:rPr>
          <w:rStyle w:val="Emphasis"/>
        </w:rPr>
        <w:t>Mytilus</w:t>
      </w:r>
      <w:r>
        <w:t xml:space="preserve"> </w:t>
      </w:r>
      <w:r w:rsidRPr="000D1BA1">
        <w:rPr>
          <w:rStyle w:val="Emphasis"/>
        </w:rPr>
        <w:t>galloprovincialis</w:t>
      </w:r>
      <w:r>
        <w:t xml:space="preserve"> larvae. </w:t>
      </w:r>
      <w:r w:rsidRPr="000D1BA1">
        <w:rPr>
          <w:rStyle w:val="Emphasis"/>
        </w:rPr>
        <w:t>Australasian Journal of Ecotoxicology</w:t>
      </w:r>
      <w:r>
        <w:t>, 5(1), 1–10.</w:t>
      </w:r>
    </w:p>
    <w:p w14:paraId="1AE2289D" w14:textId="77777777" w:rsidR="00A860FE" w:rsidRDefault="00A860FE" w:rsidP="00006995">
      <w:r>
        <w:t>Wilson, WB &amp; Freeburg, LR 1980. Toxicity of metals to marine phytoplankton cultures. EPA-600/3-80-025. Environmental Research Laboratory, USEPA, Narragansett, RI, 110.</w:t>
      </w:r>
    </w:p>
    <w:p w14:paraId="713CBEB0" w14:textId="77777777" w:rsidR="00A860FE" w:rsidRDefault="00A860FE" w:rsidP="00006995">
      <w:r>
        <w:t>Wu, JP &amp; Chen, H-C 2004. Effects of cadmium and zinc on oxygen consumption, ammonium excretion, and osmoregulation of white shrimp (</w:t>
      </w:r>
      <w:proofErr w:type="spellStart"/>
      <w:r w:rsidRPr="0064101B">
        <w:rPr>
          <w:rStyle w:val="Emphasis"/>
        </w:rPr>
        <w:t>Litopenaeus</w:t>
      </w:r>
      <w:proofErr w:type="spellEnd"/>
      <w:r w:rsidRPr="0064101B">
        <w:rPr>
          <w:rStyle w:val="Emphasis"/>
        </w:rPr>
        <w:t xml:space="preserve"> </w:t>
      </w:r>
      <w:proofErr w:type="spellStart"/>
      <w:r w:rsidRPr="0064101B">
        <w:rPr>
          <w:rStyle w:val="Emphasis"/>
        </w:rPr>
        <w:t>vannamei</w:t>
      </w:r>
      <w:proofErr w:type="spellEnd"/>
      <w:r>
        <w:t xml:space="preserve">). </w:t>
      </w:r>
      <w:r w:rsidRPr="0064101B">
        <w:rPr>
          <w:rStyle w:val="Emphasis"/>
        </w:rPr>
        <w:t>Chemosphere</w:t>
      </w:r>
      <w:r>
        <w:t>, 57, 1591–1598.</w:t>
      </w:r>
    </w:p>
    <w:p w14:paraId="68CFE2A2" w14:textId="77777777" w:rsidR="00EE099C" w:rsidRDefault="00EE099C" w:rsidP="001F30F6">
      <w:pPr>
        <w:rPr>
          <w:highlight w:val="yellow"/>
        </w:rPr>
      </w:pPr>
    </w:p>
    <w:sectPr w:rsidR="00EE099C" w:rsidSect="001F30F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95F2D" w14:textId="77777777" w:rsidR="0062591A" w:rsidRDefault="0062591A">
      <w:pPr>
        <w:spacing w:after="0" w:line="240" w:lineRule="auto"/>
      </w:pPr>
      <w:r>
        <w:separator/>
      </w:r>
    </w:p>
  </w:endnote>
  <w:endnote w:type="continuationSeparator" w:id="0">
    <w:p w14:paraId="44404FBB" w14:textId="77777777" w:rsidR="0062591A" w:rsidRDefault="0062591A">
      <w:pPr>
        <w:spacing w:after="0" w:line="240" w:lineRule="auto"/>
      </w:pPr>
      <w:r>
        <w:continuationSeparator/>
      </w:r>
    </w:p>
  </w:endnote>
  <w:endnote w:type="continuationNotice" w:id="1">
    <w:p w14:paraId="0A08BD76" w14:textId="77777777" w:rsidR="0062591A" w:rsidRDefault="0062591A">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901FD" w14:textId="77777777" w:rsidR="00F60D83" w:rsidRDefault="00F60D83" w:rsidP="001A76F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C826" w14:textId="77777777" w:rsidR="00F60D83" w:rsidRDefault="00F60D83" w:rsidP="001A76F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CA95" w14:textId="77777777" w:rsidR="00F60D83" w:rsidRDefault="00F60D83" w:rsidP="001A76F2">
    <w:pPr>
      <w:pStyle w:val="Footer"/>
      <w:tabs>
        <w:tab w:val="clear" w:pos="4536"/>
        <w:tab w:val="left" w:pos="8647"/>
        <w:tab w:val="left" w:pos="14034"/>
      </w:tabs>
      <w:spacing w:before="120"/>
    </w:pPr>
    <w:r>
      <w:t>Australian and New Zealand Guidelines for Fresh and Marine Water Quality</w:t>
    </w:r>
    <w:r>
      <w:tab/>
    </w: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92C6" w14:textId="77777777" w:rsidR="0062591A" w:rsidRDefault="0062591A">
      <w:pPr>
        <w:spacing w:after="0" w:line="240" w:lineRule="auto"/>
      </w:pPr>
      <w:r>
        <w:separator/>
      </w:r>
    </w:p>
  </w:footnote>
  <w:footnote w:type="continuationSeparator" w:id="0">
    <w:p w14:paraId="0E31AF08" w14:textId="77777777" w:rsidR="0062591A" w:rsidRDefault="0062591A">
      <w:pPr>
        <w:spacing w:after="0" w:line="240" w:lineRule="auto"/>
      </w:pPr>
      <w:r>
        <w:continuationSeparator/>
      </w:r>
    </w:p>
  </w:footnote>
  <w:footnote w:type="continuationNotice" w:id="1">
    <w:p w14:paraId="63C3934C" w14:textId="77777777" w:rsidR="0062591A" w:rsidRDefault="0062591A">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C935" w14:textId="5DE5EF17" w:rsidR="00F60D83" w:rsidRDefault="00F60D83">
    <w:pPr>
      <w:pStyle w:val="Header"/>
    </w:pPr>
    <w:r>
      <w:t xml:space="preserve">Toxicant default guideline values for aquatic ecosystem protection: </w:t>
    </w:r>
    <w:r w:rsidRPr="00501E8B">
      <w:t>Zinc in marine water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83671" w14:textId="77777777" w:rsidR="00F60D83" w:rsidRDefault="00F60D83">
    <w:pPr>
      <w:pStyle w:val="Header"/>
    </w:pPr>
    <w:r>
      <w:rPr>
        <w:noProof/>
        <w:lang w:eastAsia="en-AU"/>
      </w:rPr>
      <w:drawing>
        <wp:anchor distT="0" distB="0" distL="114300" distR="114300" simplePos="0" relativeHeight="251658240" behindDoc="1" locked="0" layoutInCell="1" allowOverlap="1" wp14:anchorId="3B3AB162" wp14:editId="55B3CA4D">
          <wp:simplePos x="0" y="0"/>
          <wp:positionH relativeFrom="column">
            <wp:posOffset>-895406</wp:posOffset>
          </wp:positionH>
          <wp:positionV relativeFrom="paragraph">
            <wp:posOffset>-355021</wp:posOffset>
          </wp:positionV>
          <wp:extent cx="7556361" cy="10687529"/>
          <wp:effectExtent l="0" t="0" r="6985" b="0"/>
          <wp:wrapNone/>
          <wp:docPr id="1" name="Picture 1" descr="Water Quality Guidelines is a joint initiative of the Australian and New Zealand governments, in partnership with the Australian states and terri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2834_1216_Water Quality guidelines-blank-We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472" cy="107103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5B7A" w14:textId="54A81700" w:rsidR="00F60D83" w:rsidRPr="001303C0" w:rsidRDefault="00F60D83" w:rsidP="001303C0">
    <w:pPr>
      <w:pStyle w:val="Header"/>
    </w:pPr>
    <w:r w:rsidRPr="00501E8B">
      <w:t>Toxicant default guideline values for aquatic ecosystem protection: Zinc in marine water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F1163" w14:textId="54B9008B" w:rsidR="00F60D83" w:rsidRPr="001303C0" w:rsidRDefault="00F60D83" w:rsidP="001303C0">
    <w:pPr>
      <w:pStyle w:val="Header"/>
    </w:pPr>
    <w:r>
      <w:t xml:space="preserve">Toxicant default </w:t>
    </w:r>
    <w:r w:rsidRPr="00501E8B">
      <w:t>guideline values for aquatic ecosystem protection: Zinc in marine water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5AB8" w14:textId="13F7CDB4" w:rsidR="00F60D83" w:rsidRPr="000756BD" w:rsidRDefault="00F60D83" w:rsidP="000756BD">
    <w:pPr>
      <w:pStyle w:val="Header"/>
    </w:pPr>
    <w:r w:rsidRPr="00501E8B">
      <w:t>Toxicant default guideline values for aquatic ecosystem protection: Zinc in marine water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E1BAA" w14:textId="156D2810" w:rsidR="00F60D83" w:rsidRPr="000756BD" w:rsidRDefault="00F60D83" w:rsidP="000756BD">
    <w:pPr>
      <w:pStyle w:val="Header"/>
    </w:pPr>
    <w:r>
      <w:t xml:space="preserve">Toxicant default guideline values for aquatic ecosystem </w:t>
    </w:r>
    <w:r w:rsidRPr="00501E8B">
      <w:t>protection: Zinc in marine water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45E" w14:textId="4F8406A0" w:rsidR="00F60D83" w:rsidRPr="000756BD" w:rsidRDefault="00F60D83" w:rsidP="000756BD">
    <w:pPr>
      <w:pStyle w:val="Header"/>
    </w:pPr>
    <w:r>
      <w:t xml:space="preserve">Toxicant default guideline values for aquatic ecosystem </w:t>
    </w:r>
    <w:r w:rsidRPr="00501E8B">
      <w:t>protection: Zinc in marine water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58DB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A831E8"/>
    <w:multiLevelType w:val="multilevel"/>
    <w:tmpl w:val="88964F4C"/>
    <w:styleLink w:val="heading"/>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lef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 w15:restartNumberingAfterBreak="0">
    <w:nsid w:val="0FF73C7F"/>
    <w:multiLevelType w:val="multilevel"/>
    <w:tmpl w:val="757ED760"/>
    <w:styleLink w:val="Style1"/>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680" w:hanging="680"/>
      </w:pPr>
      <w:rPr>
        <w:rFonts w:hint="default"/>
      </w:rPr>
    </w:lvl>
    <w:lvl w:ilvl="2">
      <w:start w:val="1"/>
      <w:numFmt w:val="decimal"/>
      <w:pStyle w:val="Heading4"/>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righ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right"/>
      <w:pPr>
        <w:ind w:left="680" w:hanging="680"/>
      </w:pPr>
      <w:rPr>
        <w:rFonts w:hint="default"/>
      </w:rPr>
    </w:lvl>
  </w:abstractNum>
  <w:abstractNum w:abstractNumId="3" w15:restartNumberingAfterBreak="0">
    <w:nsid w:val="17FA091E"/>
    <w:multiLevelType w:val="multilevel"/>
    <w:tmpl w:val="757ED760"/>
    <w:numStyleLink w:val="Style1"/>
  </w:abstractNum>
  <w:abstractNum w:abstractNumId="4"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53399E"/>
    <w:multiLevelType w:val="multilevel"/>
    <w:tmpl w:val="88964F4C"/>
    <w:numStyleLink w:val="heading"/>
  </w:abstractNum>
  <w:abstractNum w:abstractNumId="6" w15:restartNumberingAfterBreak="0">
    <w:nsid w:val="29636E79"/>
    <w:multiLevelType w:val="multilevel"/>
    <w:tmpl w:val="C32AB9AA"/>
    <w:styleLink w:val="Headings"/>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7" w15:restartNumberingAfterBreak="0">
    <w:nsid w:val="29FA1896"/>
    <w:multiLevelType w:val="hybridMultilevel"/>
    <w:tmpl w:val="AAD08D5E"/>
    <w:lvl w:ilvl="0" w:tplc="E110C1F6">
      <w:start w:val="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595B46"/>
    <w:multiLevelType w:val="multilevel"/>
    <w:tmpl w:val="C32AB9AA"/>
    <w:numStyleLink w:val="ListNumber1"/>
  </w:abstractNum>
  <w:abstractNum w:abstractNumId="9"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10" w15:restartNumberingAfterBreak="0">
    <w:nsid w:val="36D54222"/>
    <w:multiLevelType w:val="multilevel"/>
    <w:tmpl w:val="757ED760"/>
    <w:numStyleLink w:val="Style1"/>
  </w:abstractNum>
  <w:abstractNum w:abstractNumId="11" w15:restartNumberingAfterBreak="0">
    <w:nsid w:val="394A15FE"/>
    <w:multiLevelType w:val="multilevel"/>
    <w:tmpl w:val="F162D24E"/>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BB54DEF"/>
    <w:multiLevelType w:val="multilevel"/>
    <w:tmpl w:val="C32AB9AA"/>
    <w:styleLink w:val="ListNumber1"/>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861DE6"/>
    <w:multiLevelType w:val="multilevel"/>
    <w:tmpl w:val="6346ED0E"/>
    <w:styleLink w:val="listbullets"/>
    <w:lvl w:ilvl="0">
      <w:start w:val="1"/>
      <w:numFmt w:val="bullet"/>
      <w:pStyle w:val="ListBullet"/>
      <w:lvlText w:val=""/>
      <w:lvlJc w:val="left"/>
      <w:pPr>
        <w:tabs>
          <w:tab w:val="num" w:pos="567"/>
        </w:tabs>
        <w:ind w:left="397" w:hanging="397"/>
      </w:pPr>
      <w:rPr>
        <w:rFonts w:ascii="Symbol" w:hAnsi="Symbol" w:hint="default"/>
        <w:color w:val="auto"/>
      </w:rPr>
    </w:lvl>
    <w:lvl w:ilvl="1">
      <w:start w:val="1"/>
      <w:numFmt w:val="bullet"/>
      <w:pStyle w:val="ListBullet2"/>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5" w15:restartNumberingAfterBreak="0">
    <w:nsid w:val="4E8B5E88"/>
    <w:multiLevelType w:val="hybridMultilevel"/>
    <w:tmpl w:val="ABA44F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7636387C"/>
    <w:multiLevelType w:val="multilevel"/>
    <w:tmpl w:val="6346ED0E"/>
    <w:numStyleLink w:val="listbullets"/>
  </w:abstractNum>
  <w:num w:numId="1">
    <w:abstractNumId w:val="13"/>
  </w:num>
  <w:num w:numId="2">
    <w:abstractNumId w:val="4"/>
  </w:num>
  <w:num w:numId="3">
    <w:abstractNumId w:val="16"/>
  </w:num>
  <w:num w:numId="4">
    <w:abstractNumId w:val="6"/>
  </w:num>
  <w:num w:numId="5">
    <w:abstractNumId w:val="9"/>
  </w:num>
  <w:num w:numId="6">
    <w:abstractNumId w:val="14"/>
  </w:num>
  <w:num w:numId="7">
    <w:abstractNumId w:val="17"/>
  </w:num>
  <w:num w:numId="8">
    <w:abstractNumId w:val="12"/>
  </w:num>
  <w:num w:numId="9">
    <w:abstractNumId w:val="8"/>
  </w:num>
  <w:num w:numId="10">
    <w:abstractNumId w:val="1"/>
  </w:num>
  <w:num w:numId="11">
    <w:abstractNumId w:val="5"/>
  </w:num>
  <w:num w:numId="12">
    <w:abstractNumId w:val="11"/>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3"/>
    <w:lvlOverride w:ilvl="0">
      <w:lvl w:ilvl="0">
        <w:start w:val="1"/>
        <w:numFmt w:val="decimal"/>
        <w:pStyle w:val="Heading2"/>
        <w:lvlText w:val="%1"/>
        <w:lvlJc w:val="left"/>
        <w:pPr>
          <w:ind w:left="680" w:hanging="680"/>
        </w:pPr>
        <w:rPr>
          <w:rFonts w:hint="default"/>
          <w:b w:val="0"/>
          <w:bCs w:val="0"/>
          <w:i w:val="0"/>
          <w:iCs w:val="0"/>
          <w:caps w:val="0"/>
          <w:smallCaps w:val="0"/>
          <w:strike w:val="0"/>
          <w:dstrike w:val="0"/>
          <w:noProof w:val="0"/>
          <w:vanish w:val="0"/>
          <w:color w:val="427BA1"/>
          <w:spacing w:val="0"/>
          <w:kern w:val="0"/>
          <w:position w:val="0"/>
          <w:u w:val="none"/>
          <w:vertAlign w:val="baseline"/>
          <w:em w:val="none"/>
        </w:rPr>
      </w:lvl>
    </w:lvlOverride>
    <w:lvlOverride w:ilvl="1">
      <w:lvl w:ilvl="1">
        <w:start w:val="1"/>
        <w:numFmt w:val="decimal"/>
        <w:pStyle w:val="Heading3"/>
        <w:lvlText w:val="%1.%2"/>
        <w:lvlJc w:val="left"/>
        <w:pPr>
          <w:ind w:left="680" w:hanging="680"/>
        </w:pPr>
        <w:rPr>
          <w:rFonts w:hint="default"/>
        </w:rPr>
      </w:lvl>
    </w:lvlOverride>
    <w:lvlOverride w:ilvl="2">
      <w:lvl w:ilvl="2">
        <w:start w:val="1"/>
        <w:numFmt w:val="decimal"/>
        <w:pStyle w:val="Heading4"/>
        <w:lvlText w:val="%1.%2.%3"/>
        <w:lvlJc w:val="left"/>
        <w:pPr>
          <w:ind w:left="680" w:hanging="680"/>
        </w:pPr>
        <w:rPr>
          <w:rFonts w:hint="default"/>
        </w:rPr>
      </w:lvl>
    </w:lvlOverride>
    <w:lvlOverride w:ilvl="3">
      <w:lvl w:ilvl="3">
        <w:start w:val="1"/>
        <w:numFmt w:val="decimal"/>
        <w:lvlText w:val="%4."/>
        <w:lvlJc w:val="left"/>
        <w:pPr>
          <w:ind w:left="680" w:hanging="680"/>
        </w:pPr>
        <w:rPr>
          <w:rFonts w:hint="default"/>
        </w:rPr>
      </w:lvl>
    </w:lvlOverride>
    <w:lvlOverride w:ilvl="4">
      <w:lvl w:ilvl="4">
        <w:start w:val="1"/>
        <w:numFmt w:val="lowerLetter"/>
        <w:lvlText w:val="%5."/>
        <w:lvlJc w:val="left"/>
        <w:pPr>
          <w:ind w:left="680" w:hanging="680"/>
        </w:pPr>
        <w:rPr>
          <w:rFonts w:hint="default"/>
        </w:rPr>
      </w:lvl>
    </w:lvlOverride>
    <w:lvlOverride w:ilvl="5">
      <w:lvl w:ilvl="5">
        <w:start w:val="1"/>
        <w:numFmt w:val="lowerRoman"/>
        <w:lvlText w:val="%6."/>
        <w:lvlJc w:val="right"/>
        <w:pPr>
          <w:ind w:left="680" w:hanging="680"/>
        </w:pPr>
        <w:rPr>
          <w:rFonts w:hint="default"/>
        </w:rPr>
      </w:lvl>
    </w:lvlOverride>
    <w:lvlOverride w:ilvl="6">
      <w:lvl w:ilvl="6">
        <w:start w:val="1"/>
        <w:numFmt w:val="decimal"/>
        <w:lvlText w:val="%7."/>
        <w:lvlJc w:val="left"/>
        <w:pPr>
          <w:ind w:left="680" w:hanging="680"/>
        </w:pPr>
        <w:rPr>
          <w:rFonts w:hint="default"/>
        </w:rPr>
      </w:lvl>
    </w:lvlOverride>
    <w:lvlOverride w:ilvl="7">
      <w:lvl w:ilvl="7">
        <w:start w:val="1"/>
        <w:numFmt w:val="lowerLetter"/>
        <w:lvlText w:val="%8."/>
        <w:lvlJc w:val="left"/>
        <w:pPr>
          <w:ind w:left="680" w:hanging="680"/>
        </w:pPr>
        <w:rPr>
          <w:rFonts w:hint="default"/>
        </w:rPr>
      </w:lvl>
    </w:lvlOverride>
    <w:lvlOverride w:ilvl="8">
      <w:lvl w:ilvl="8">
        <w:start w:val="1"/>
        <w:numFmt w:val="lowerRoman"/>
        <w:lvlText w:val="%9."/>
        <w:lvlJc w:val="right"/>
        <w:pPr>
          <w:ind w:left="680" w:hanging="680"/>
        </w:pPr>
        <w:rPr>
          <w:rFonts w:hint="default"/>
        </w:rPr>
      </w:lvl>
    </w:lvlOverride>
  </w:num>
  <w:num w:numId="18">
    <w:abstractNumId w:val="15"/>
  </w:num>
  <w:num w:numId="19">
    <w:abstractNumId w:val="7"/>
  </w:num>
  <w:num w:numId="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SortMethod w:val="0000"/>
  <w:doNotTrackFormatting/>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1C0D1C"/>
    <w:rsid w:val="00000070"/>
    <w:rsid w:val="00004F5D"/>
    <w:rsid w:val="00006995"/>
    <w:rsid w:val="000106C5"/>
    <w:rsid w:val="000151E9"/>
    <w:rsid w:val="000318BA"/>
    <w:rsid w:val="000332E2"/>
    <w:rsid w:val="00033430"/>
    <w:rsid w:val="000339F9"/>
    <w:rsid w:val="00035A8F"/>
    <w:rsid w:val="000501D1"/>
    <w:rsid w:val="00053C14"/>
    <w:rsid w:val="00055904"/>
    <w:rsid w:val="000578EF"/>
    <w:rsid w:val="00061882"/>
    <w:rsid w:val="00062058"/>
    <w:rsid w:val="000756BD"/>
    <w:rsid w:val="000771F9"/>
    <w:rsid w:val="00082B25"/>
    <w:rsid w:val="000928F7"/>
    <w:rsid w:val="000931E1"/>
    <w:rsid w:val="0009687E"/>
    <w:rsid w:val="000A25C9"/>
    <w:rsid w:val="000A68FE"/>
    <w:rsid w:val="000B0AE0"/>
    <w:rsid w:val="000B58E7"/>
    <w:rsid w:val="000B67E9"/>
    <w:rsid w:val="000B76AE"/>
    <w:rsid w:val="000C583A"/>
    <w:rsid w:val="000D0F4D"/>
    <w:rsid w:val="000D1BA1"/>
    <w:rsid w:val="000E40C1"/>
    <w:rsid w:val="000E4575"/>
    <w:rsid w:val="000F1F1A"/>
    <w:rsid w:val="000F24C1"/>
    <w:rsid w:val="000F2BA9"/>
    <w:rsid w:val="000F699B"/>
    <w:rsid w:val="000F7441"/>
    <w:rsid w:val="000F7E2A"/>
    <w:rsid w:val="00101721"/>
    <w:rsid w:val="00111690"/>
    <w:rsid w:val="00112984"/>
    <w:rsid w:val="00112F38"/>
    <w:rsid w:val="001148DB"/>
    <w:rsid w:val="001303C0"/>
    <w:rsid w:val="00142772"/>
    <w:rsid w:val="0014654E"/>
    <w:rsid w:val="00152FC3"/>
    <w:rsid w:val="001535B4"/>
    <w:rsid w:val="00155797"/>
    <w:rsid w:val="00160F86"/>
    <w:rsid w:val="001652D8"/>
    <w:rsid w:val="0016777B"/>
    <w:rsid w:val="001677DA"/>
    <w:rsid w:val="0017419D"/>
    <w:rsid w:val="00175A94"/>
    <w:rsid w:val="00177B4B"/>
    <w:rsid w:val="0018039E"/>
    <w:rsid w:val="00186628"/>
    <w:rsid w:val="00187F57"/>
    <w:rsid w:val="001918C4"/>
    <w:rsid w:val="00193A89"/>
    <w:rsid w:val="001A236B"/>
    <w:rsid w:val="001A76F2"/>
    <w:rsid w:val="001B1A5F"/>
    <w:rsid w:val="001B1DB2"/>
    <w:rsid w:val="001B37D3"/>
    <w:rsid w:val="001C0D1C"/>
    <w:rsid w:val="001C5414"/>
    <w:rsid w:val="001C63F4"/>
    <w:rsid w:val="001C7E4C"/>
    <w:rsid w:val="001D0050"/>
    <w:rsid w:val="001D239F"/>
    <w:rsid w:val="001D427E"/>
    <w:rsid w:val="001E0E00"/>
    <w:rsid w:val="001F154F"/>
    <w:rsid w:val="001F1A01"/>
    <w:rsid w:val="001F22F7"/>
    <w:rsid w:val="001F2E9C"/>
    <w:rsid w:val="001F30F6"/>
    <w:rsid w:val="001F54CC"/>
    <w:rsid w:val="00205CA8"/>
    <w:rsid w:val="00214C3E"/>
    <w:rsid w:val="002161E8"/>
    <w:rsid w:val="002347A4"/>
    <w:rsid w:val="00234B62"/>
    <w:rsid w:val="002409E9"/>
    <w:rsid w:val="00241038"/>
    <w:rsid w:val="0024277E"/>
    <w:rsid w:val="0024544F"/>
    <w:rsid w:val="00252879"/>
    <w:rsid w:val="00255301"/>
    <w:rsid w:val="0026462E"/>
    <w:rsid w:val="0026472D"/>
    <w:rsid w:val="00264C2B"/>
    <w:rsid w:val="002674AC"/>
    <w:rsid w:val="00267B0C"/>
    <w:rsid w:val="002730F7"/>
    <w:rsid w:val="00282714"/>
    <w:rsid w:val="0029472E"/>
    <w:rsid w:val="002A14BB"/>
    <w:rsid w:val="002A2C25"/>
    <w:rsid w:val="002B13A7"/>
    <w:rsid w:val="002B270F"/>
    <w:rsid w:val="002C58D8"/>
    <w:rsid w:val="002C7ACB"/>
    <w:rsid w:val="002F03CD"/>
    <w:rsid w:val="00320812"/>
    <w:rsid w:val="0032581C"/>
    <w:rsid w:val="00332A5D"/>
    <w:rsid w:val="00336A58"/>
    <w:rsid w:val="00342069"/>
    <w:rsid w:val="00343147"/>
    <w:rsid w:val="00346171"/>
    <w:rsid w:val="00347B57"/>
    <w:rsid w:val="00353E32"/>
    <w:rsid w:val="00362A24"/>
    <w:rsid w:val="00363C9F"/>
    <w:rsid w:val="00364ED2"/>
    <w:rsid w:val="003714BB"/>
    <w:rsid w:val="00373695"/>
    <w:rsid w:val="003876F4"/>
    <w:rsid w:val="003A0C61"/>
    <w:rsid w:val="003A2D08"/>
    <w:rsid w:val="003A54D9"/>
    <w:rsid w:val="003B2BD4"/>
    <w:rsid w:val="003B531C"/>
    <w:rsid w:val="003C05F9"/>
    <w:rsid w:val="003C4D43"/>
    <w:rsid w:val="003D1618"/>
    <w:rsid w:val="003D1F75"/>
    <w:rsid w:val="003D3178"/>
    <w:rsid w:val="003D4A96"/>
    <w:rsid w:val="003E2CD1"/>
    <w:rsid w:val="003E2F72"/>
    <w:rsid w:val="003F15A0"/>
    <w:rsid w:val="003F4310"/>
    <w:rsid w:val="003F7B8C"/>
    <w:rsid w:val="004009A2"/>
    <w:rsid w:val="00401C43"/>
    <w:rsid w:val="00403192"/>
    <w:rsid w:val="004046A7"/>
    <w:rsid w:val="004168E3"/>
    <w:rsid w:val="004344CC"/>
    <w:rsid w:val="004504B6"/>
    <w:rsid w:val="00454D39"/>
    <w:rsid w:val="00455779"/>
    <w:rsid w:val="00456AB5"/>
    <w:rsid w:val="00456E00"/>
    <w:rsid w:val="004719F4"/>
    <w:rsid w:val="004730F6"/>
    <w:rsid w:val="00473F18"/>
    <w:rsid w:val="004813E4"/>
    <w:rsid w:val="004A3032"/>
    <w:rsid w:val="004A34E9"/>
    <w:rsid w:val="004B095B"/>
    <w:rsid w:val="004B1AC9"/>
    <w:rsid w:val="004B6C17"/>
    <w:rsid w:val="004D0439"/>
    <w:rsid w:val="004D52CE"/>
    <w:rsid w:val="004F6114"/>
    <w:rsid w:val="00501E8B"/>
    <w:rsid w:val="0050509B"/>
    <w:rsid w:val="0051196E"/>
    <w:rsid w:val="005155AC"/>
    <w:rsid w:val="00516A4E"/>
    <w:rsid w:val="00517D00"/>
    <w:rsid w:val="00521AF7"/>
    <w:rsid w:val="00522EF7"/>
    <w:rsid w:val="0052338C"/>
    <w:rsid w:val="005233C5"/>
    <w:rsid w:val="00525BD5"/>
    <w:rsid w:val="005261E6"/>
    <w:rsid w:val="00527134"/>
    <w:rsid w:val="00533AD0"/>
    <w:rsid w:val="005347DF"/>
    <w:rsid w:val="00537F6C"/>
    <w:rsid w:val="00543BC2"/>
    <w:rsid w:val="00555697"/>
    <w:rsid w:val="00557258"/>
    <w:rsid w:val="005573B0"/>
    <w:rsid w:val="00557A89"/>
    <w:rsid w:val="005630AD"/>
    <w:rsid w:val="005713E7"/>
    <w:rsid w:val="00572506"/>
    <w:rsid w:val="00574301"/>
    <w:rsid w:val="005755B2"/>
    <w:rsid w:val="005841DE"/>
    <w:rsid w:val="0058555C"/>
    <w:rsid w:val="00586A86"/>
    <w:rsid w:val="005871AC"/>
    <w:rsid w:val="00593B29"/>
    <w:rsid w:val="005A324F"/>
    <w:rsid w:val="005A4106"/>
    <w:rsid w:val="005B1690"/>
    <w:rsid w:val="005B3663"/>
    <w:rsid w:val="005C0F55"/>
    <w:rsid w:val="005C762B"/>
    <w:rsid w:val="005D5582"/>
    <w:rsid w:val="005D66FB"/>
    <w:rsid w:val="005E0179"/>
    <w:rsid w:val="00603D83"/>
    <w:rsid w:val="00606A7B"/>
    <w:rsid w:val="006141CD"/>
    <w:rsid w:val="00620280"/>
    <w:rsid w:val="0062591A"/>
    <w:rsid w:val="006327E2"/>
    <w:rsid w:val="0064021D"/>
    <w:rsid w:val="0064101B"/>
    <w:rsid w:val="0064344A"/>
    <w:rsid w:val="00652C21"/>
    <w:rsid w:val="00660652"/>
    <w:rsid w:val="00672130"/>
    <w:rsid w:val="00676329"/>
    <w:rsid w:val="006772D3"/>
    <w:rsid w:val="0069425A"/>
    <w:rsid w:val="00696D19"/>
    <w:rsid w:val="00697A1A"/>
    <w:rsid w:val="006A1182"/>
    <w:rsid w:val="006A1746"/>
    <w:rsid w:val="006A5371"/>
    <w:rsid w:val="006B0120"/>
    <w:rsid w:val="006B61FF"/>
    <w:rsid w:val="006D1606"/>
    <w:rsid w:val="006F4DDB"/>
    <w:rsid w:val="007018C5"/>
    <w:rsid w:val="00711175"/>
    <w:rsid w:val="007117C4"/>
    <w:rsid w:val="007118EF"/>
    <w:rsid w:val="007175CB"/>
    <w:rsid w:val="00721683"/>
    <w:rsid w:val="007336AC"/>
    <w:rsid w:val="00736C79"/>
    <w:rsid w:val="00740624"/>
    <w:rsid w:val="00746F8A"/>
    <w:rsid w:val="00747FAD"/>
    <w:rsid w:val="00753E00"/>
    <w:rsid w:val="00757A26"/>
    <w:rsid w:val="00757F20"/>
    <w:rsid w:val="0077077E"/>
    <w:rsid w:val="00770C8D"/>
    <w:rsid w:val="00772066"/>
    <w:rsid w:val="007766E9"/>
    <w:rsid w:val="00776715"/>
    <w:rsid w:val="00776B0A"/>
    <w:rsid w:val="0078243E"/>
    <w:rsid w:val="00785C71"/>
    <w:rsid w:val="007907A1"/>
    <w:rsid w:val="00794E50"/>
    <w:rsid w:val="00796A19"/>
    <w:rsid w:val="00797526"/>
    <w:rsid w:val="007A232B"/>
    <w:rsid w:val="007A4E3F"/>
    <w:rsid w:val="007B41A1"/>
    <w:rsid w:val="007B5F33"/>
    <w:rsid w:val="007C3BD5"/>
    <w:rsid w:val="007C525E"/>
    <w:rsid w:val="007D1FD6"/>
    <w:rsid w:val="007D2A02"/>
    <w:rsid w:val="007D3764"/>
    <w:rsid w:val="007F538A"/>
    <w:rsid w:val="008078C2"/>
    <w:rsid w:val="0081793B"/>
    <w:rsid w:val="00823466"/>
    <w:rsid w:val="00824850"/>
    <w:rsid w:val="00827D9B"/>
    <w:rsid w:val="00835BC9"/>
    <w:rsid w:val="00835D73"/>
    <w:rsid w:val="0084462E"/>
    <w:rsid w:val="00855E9B"/>
    <w:rsid w:val="00863B22"/>
    <w:rsid w:val="00871AA9"/>
    <w:rsid w:val="00874714"/>
    <w:rsid w:val="008779A3"/>
    <w:rsid w:val="00884DB3"/>
    <w:rsid w:val="0088765B"/>
    <w:rsid w:val="00890DCE"/>
    <w:rsid w:val="00891975"/>
    <w:rsid w:val="00891983"/>
    <w:rsid w:val="008A3E6F"/>
    <w:rsid w:val="008C322B"/>
    <w:rsid w:val="008D0CB0"/>
    <w:rsid w:val="008D26E2"/>
    <w:rsid w:val="008E0ADE"/>
    <w:rsid w:val="008E4A74"/>
    <w:rsid w:val="008F4C67"/>
    <w:rsid w:val="008F7F2C"/>
    <w:rsid w:val="00903D59"/>
    <w:rsid w:val="009061CA"/>
    <w:rsid w:val="009072BD"/>
    <w:rsid w:val="00907CD6"/>
    <w:rsid w:val="00911E54"/>
    <w:rsid w:val="00915245"/>
    <w:rsid w:val="00933F2D"/>
    <w:rsid w:val="009477FA"/>
    <w:rsid w:val="0096267F"/>
    <w:rsid w:val="00986529"/>
    <w:rsid w:val="009872B5"/>
    <w:rsid w:val="00992439"/>
    <w:rsid w:val="0099293A"/>
    <w:rsid w:val="00994BF5"/>
    <w:rsid w:val="00996FF6"/>
    <w:rsid w:val="009B2BC4"/>
    <w:rsid w:val="009C133B"/>
    <w:rsid w:val="009C37B1"/>
    <w:rsid w:val="009D54BA"/>
    <w:rsid w:val="009D724D"/>
    <w:rsid w:val="009F6362"/>
    <w:rsid w:val="009F749A"/>
    <w:rsid w:val="00A116CF"/>
    <w:rsid w:val="00A11AB8"/>
    <w:rsid w:val="00A25C50"/>
    <w:rsid w:val="00A31048"/>
    <w:rsid w:val="00A34AB3"/>
    <w:rsid w:val="00A404B8"/>
    <w:rsid w:val="00A40E69"/>
    <w:rsid w:val="00A44001"/>
    <w:rsid w:val="00A47052"/>
    <w:rsid w:val="00A47617"/>
    <w:rsid w:val="00A53360"/>
    <w:rsid w:val="00A53FF5"/>
    <w:rsid w:val="00A64D94"/>
    <w:rsid w:val="00A721A9"/>
    <w:rsid w:val="00A76AF9"/>
    <w:rsid w:val="00A80626"/>
    <w:rsid w:val="00A860FE"/>
    <w:rsid w:val="00A863BC"/>
    <w:rsid w:val="00AA37DF"/>
    <w:rsid w:val="00AA518B"/>
    <w:rsid w:val="00AB4F34"/>
    <w:rsid w:val="00AC4CB6"/>
    <w:rsid w:val="00AC7D98"/>
    <w:rsid w:val="00AC7FFA"/>
    <w:rsid w:val="00AD0A8D"/>
    <w:rsid w:val="00AD1E44"/>
    <w:rsid w:val="00AD75E7"/>
    <w:rsid w:val="00AE44FC"/>
    <w:rsid w:val="00AF1EC2"/>
    <w:rsid w:val="00AF27AA"/>
    <w:rsid w:val="00B008FA"/>
    <w:rsid w:val="00B01D58"/>
    <w:rsid w:val="00B03DAF"/>
    <w:rsid w:val="00B10B38"/>
    <w:rsid w:val="00B10E61"/>
    <w:rsid w:val="00B11199"/>
    <w:rsid w:val="00B12115"/>
    <w:rsid w:val="00B12B92"/>
    <w:rsid w:val="00B151F6"/>
    <w:rsid w:val="00B17053"/>
    <w:rsid w:val="00B24046"/>
    <w:rsid w:val="00B309FD"/>
    <w:rsid w:val="00B31731"/>
    <w:rsid w:val="00B459AD"/>
    <w:rsid w:val="00B465DD"/>
    <w:rsid w:val="00B47A40"/>
    <w:rsid w:val="00B550AD"/>
    <w:rsid w:val="00B62833"/>
    <w:rsid w:val="00B63BA8"/>
    <w:rsid w:val="00B63EE1"/>
    <w:rsid w:val="00B75C12"/>
    <w:rsid w:val="00B8095A"/>
    <w:rsid w:val="00B830A6"/>
    <w:rsid w:val="00B84342"/>
    <w:rsid w:val="00B84EFD"/>
    <w:rsid w:val="00B87145"/>
    <w:rsid w:val="00BA2665"/>
    <w:rsid w:val="00BB4C46"/>
    <w:rsid w:val="00BB6E49"/>
    <w:rsid w:val="00BC35A0"/>
    <w:rsid w:val="00BC5192"/>
    <w:rsid w:val="00BD35A2"/>
    <w:rsid w:val="00BD6594"/>
    <w:rsid w:val="00BE2F1A"/>
    <w:rsid w:val="00BE5293"/>
    <w:rsid w:val="00BE638F"/>
    <w:rsid w:val="00BF0280"/>
    <w:rsid w:val="00BF2621"/>
    <w:rsid w:val="00BF7913"/>
    <w:rsid w:val="00C04E37"/>
    <w:rsid w:val="00C11AF4"/>
    <w:rsid w:val="00C15426"/>
    <w:rsid w:val="00C20160"/>
    <w:rsid w:val="00C24590"/>
    <w:rsid w:val="00C366D0"/>
    <w:rsid w:val="00C41E96"/>
    <w:rsid w:val="00C468E5"/>
    <w:rsid w:val="00C54729"/>
    <w:rsid w:val="00C601B4"/>
    <w:rsid w:val="00C61105"/>
    <w:rsid w:val="00C671D0"/>
    <w:rsid w:val="00C7217E"/>
    <w:rsid w:val="00C72D6D"/>
    <w:rsid w:val="00C74F41"/>
    <w:rsid w:val="00C82A93"/>
    <w:rsid w:val="00C83F7F"/>
    <w:rsid w:val="00C84826"/>
    <w:rsid w:val="00C8514D"/>
    <w:rsid w:val="00C8558E"/>
    <w:rsid w:val="00C91EED"/>
    <w:rsid w:val="00C942AA"/>
    <w:rsid w:val="00CA6BDF"/>
    <w:rsid w:val="00CA70E1"/>
    <w:rsid w:val="00CB21A5"/>
    <w:rsid w:val="00CD17D3"/>
    <w:rsid w:val="00CE2E85"/>
    <w:rsid w:val="00CE3EBE"/>
    <w:rsid w:val="00CE5773"/>
    <w:rsid w:val="00CE74BD"/>
    <w:rsid w:val="00CE76B8"/>
    <w:rsid w:val="00CF6008"/>
    <w:rsid w:val="00CF75EF"/>
    <w:rsid w:val="00D01A7E"/>
    <w:rsid w:val="00D14E1B"/>
    <w:rsid w:val="00D15B69"/>
    <w:rsid w:val="00D1603C"/>
    <w:rsid w:val="00D23827"/>
    <w:rsid w:val="00D35CCF"/>
    <w:rsid w:val="00D425B8"/>
    <w:rsid w:val="00D42B65"/>
    <w:rsid w:val="00D47F84"/>
    <w:rsid w:val="00D57A18"/>
    <w:rsid w:val="00D65DE5"/>
    <w:rsid w:val="00D72A67"/>
    <w:rsid w:val="00D769D9"/>
    <w:rsid w:val="00D776CE"/>
    <w:rsid w:val="00D800E5"/>
    <w:rsid w:val="00D8181C"/>
    <w:rsid w:val="00DA3B48"/>
    <w:rsid w:val="00DB2E35"/>
    <w:rsid w:val="00DB7842"/>
    <w:rsid w:val="00DC541B"/>
    <w:rsid w:val="00DC7B98"/>
    <w:rsid w:val="00DD06F0"/>
    <w:rsid w:val="00DD183B"/>
    <w:rsid w:val="00DD3E01"/>
    <w:rsid w:val="00DD7301"/>
    <w:rsid w:val="00DE3523"/>
    <w:rsid w:val="00DE495C"/>
    <w:rsid w:val="00DF1801"/>
    <w:rsid w:val="00E00D37"/>
    <w:rsid w:val="00E02838"/>
    <w:rsid w:val="00E043F5"/>
    <w:rsid w:val="00E06FEC"/>
    <w:rsid w:val="00E12642"/>
    <w:rsid w:val="00E133B4"/>
    <w:rsid w:val="00E14202"/>
    <w:rsid w:val="00E179F9"/>
    <w:rsid w:val="00E25F4A"/>
    <w:rsid w:val="00E34D35"/>
    <w:rsid w:val="00E45AAA"/>
    <w:rsid w:val="00E55B1C"/>
    <w:rsid w:val="00E56097"/>
    <w:rsid w:val="00E56DC7"/>
    <w:rsid w:val="00E6072F"/>
    <w:rsid w:val="00E64C4F"/>
    <w:rsid w:val="00E66B98"/>
    <w:rsid w:val="00E66C55"/>
    <w:rsid w:val="00E674A7"/>
    <w:rsid w:val="00E822CD"/>
    <w:rsid w:val="00E90EFD"/>
    <w:rsid w:val="00E92978"/>
    <w:rsid w:val="00E95B55"/>
    <w:rsid w:val="00EA42E3"/>
    <w:rsid w:val="00EB3C68"/>
    <w:rsid w:val="00EC0AF5"/>
    <w:rsid w:val="00EC21F8"/>
    <w:rsid w:val="00EC4029"/>
    <w:rsid w:val="00ED3BAF"/>
    <w:rsid w:val="00ED45E3"/>
    <w:rsid w:val="00ED59F5"/>
    <w:rsid w:val="00ED7824"/>
    <w:rsid w:val="00EE099C"/>
    <w:rsid w:val="00EE7040"/>
    <w:rsid w:val="00F049F3"/>
    <w:rsid w:val="00F1770B"/>
    <w:rsid w:val="00F214EE"/>
    <w:rsid w:val="00F27C85"/>
    <w:rsid w:val="00F36A29"/>
    <w:rsid w:val="00F43612"/>
    <w:rsid w:val="00F552A5"/>
    <w:rsid w:val="00F60D83"/>
    <w:rsid w:val="00F7030C"/>
    <w:rsid w:val="00F71956"/>
    <w:rsid w:val="00F739F9"/>
    <w:rsid w:val="00F73B08"/>
    <w:rsid w:val="00F87CB0"/>
    <w:rsid w:val="00F87DD5"/>
    <w:rsid w:val="00F95058"/>
    <w:rsid w:val="00F95975"/>
    <w:rsid w:val="00FA4A53"/>
    <w:rsid w:val="00FB298F"/>
    <w:rsid w:val="00FC69F3"/>
    <w:rsid w:val="00FC6E29"/>
    <w:rsid w:val="00FC6F4A"/>
    <w:rsid w:val="00FD15B7"/>
    <w:rsid w:val="00FD2590"/>
    <w:rsid w:val="00FD3FB5"/>
    <w:rsid w:val="00FD4D8B"/>
    <w:rsid w:val="00FE0EF9"/>
    <w:rsid w:val="00FE2D2D"/>
    <w:rsid w:val="00FE415B"/>
    <w:rsid w:val="00FE6133"/>
    <w:rsid w:val="00FF59A4"/>
    <w:rsid w:val="00FF68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19564F"/>
  <w15:docId w15:val="{61D32398-C690-DD40-A9BD-37B7F37A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nhideWhenUsed="1" w:qFormat="1"/>
    <w:lsdException w:name="List Number 3" w:semiHidden="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9"/>
    <w:qFormat/>
    <w:pPr>
      <w:keepNext/>
      <w:keepLines/>
      <w:spacing w:before="1440" w:after="120"/>
      <w:outlineLvl w:val="0"/>
    </w:pPr>
    <w:rPr>
      <w:rFonts w:ascii="Calibri" w:eastAsiaTheme="majorEastAsia" w:hAnsi="Calibri" w:cstheme="majorBidi"/>
      <w:b/>
      <w:bCs/>
      <w:color w:val="3C4B55"/>
      <w:sz w:val="70"/>
      <w:szCs w:val="28"/>
      <w:lang w:eastAsia="en-US"/>
    </w:rPr>
  </w:style>
  <w:style w:type="paragraph" w:styleId="Heading2">
    <w:name w:val="heading 2"/>
    <w:basedOn w:val="Normal"/>
    <w:next w:val="Normal"/>
    <w:link w:val="Heading2Char"/>
    <w:uiPriority w:val="3"/>
    <w:rsid w:val="005155AC"/>
    <w:pPr>
      <w:keepNext/>
      <w:keepLines/>
      <w:numPr>
        <w:numId w:val="16"/>
      </w:numPr>
      <w:spacing w:after="240" w:line="240" w:lineRule="auto"/>
      <w:outlineLvl w:val="1"/>
    </w:pPr>
    <w:rPr>
      <w:rFonts w:ascii="Calibri" w:eastAsiaTheme="minorEastAsia" w:hAnsi="Calibri"/>
      <w:bCs/>
      <w:color w:val="427BA1"/>
      <w:sz w:val="56"/>
      <w:szCs w:val="28"/>
      <w:lang w:eastAsia="ja-JP"/>
    </w:rPr>
  </w:style>
  <w:style w:type="paragraph" w:styleId="Heading3">
    <w:name w:val="heading 3"/>
    <w:next w:val="Normal"/>
    <w:link w:val="Heading3Char"/>
    <w:uiPriority w:val="4"/>
    <w:qFormat/>
    <w:rsid w:val="00BF0280"/>
    <w:pPr>
      <w:keepNext/>
      <w:keepLines/>
      <w:numPr>
        <w:ilvl w:val="1"/>
        <w:numId w:val="16"/>
      </w:numPr>
      <w:spacing w:before="240" w:after="240"/>
      <w:outlineLvl w:val="2"/>
    </w:pPr>
    <w:rPr>
      <w:rFonts w:ascii="Calibri" w:eastAsiaTheme="minorHAnsi" w:hAnsi="Calibri" w:cstheme="minorBidi"/>
      <w:b/>
      <w:bCs/>
      <w:sz w:val="28"/>
      <w:szCs w:val="22"/>
      <w:lang w:eastAsia="en-US"/>
    </w:rPr>
  </w:style>
  <w:style w:type="paragraph" w:styleId="Heading4">
    <w:name w:val="heading 4"/>
    <w:next w:val="Normal"/>
    <w:link w:val="Heading4Char"/>
    <w:uiPriority w:val="5"/>
    <w:qFormat/>
    <w:pPr>
      <w:keepNext/>
      <w:keepLines/>
      <w:numPr>
        <w:ilvl w:val="2"/>
        <w:numId w:val="16"/>
      </w:numPr>
      <w:spacing w:before="120"/>
      <w:outlineLvl w:val="3"/>
    </w:pPr>
    <w:rPr>
      <w:rFonts w:ascii="Calibri" w:eastAsiaTheme="minorHAnsi" w:hAnsi="Calibri" w:cstheme="minorBidi"/>
      <w:b/>
      <w:bCs/>
      <w:iCs/>
      <w:color w:val="427BA1"/>
      <w:sz w:val="24"/>
      <w:szCs w:val="22"/>
      <w:lang w:eastAsia="en-US"/>
    </w:rPr>
  </w:style>
  <w:style w:type="paragraph" w:styleId="Heading5">
    <w:name w:val="heading 5"/>
    <w:next w:val="Normal"/>
    <w:link w:val="Heading5Char"/>
    <w:uiPriority w:val="6"/>
    <w:qFormat/>
    <w:pPr>
      <w:keepNext/>
      <w:keepLines/>
      <w:spacing w:before="120"/>
      <w:outlineLvl w:val="4"/>
    </w:pPr>
    <w:rPr>
      <w:rFonts w:ascii="Calibri" w:eastAsiaTheme="minorHAnsi" w:hAnsi="Calibri" w:cstheme="minorBidi"/>
      <w:b/>
      <w:sz w:val="22"/>
      <w:szCs w:val="22"/>
      <w:lang w:eastAsia="en-US"/>
    </w:rPr>
  </w:style>
  <w:style w:type="paragraph" w:styleId="Heading6">
    <w:name w:val="heading 6"/>
    <w:next w:val="Normal"/>
    <w:link w:val="Heading6Char"/>
    <w:uiPriority w:val="9"/>
    <w:qFormat/>
    <w:pPr>
      <w:keepNext/>
      <w:keepLines/>
      <w:spacing w:before="40"/>
      <w:outlineLvl w:val="5"/>
    </w:pPr>
    <w:rPr>
      <w:rFonts w:asciiTheme="minorHAnsi" w:eastAsiaTheme="majorEastAsia" w:hAnsiTheme="minorHAnsi" w:cstheme="majorBidi"/>
      <w:i/>
      <w:sz w:val="22"/>
      <w:szCs w:val="22"/>
      <w:lang w:eastAsia="en-US"/>
    </w:rPr>
  </w:style>
  <w:style w:type="paragraph" w:styleId="Heading7">
    <w:name w:val="heading 7"/>
    <w:next w:val="Normal"/>
    <w:link w:val="Heading7Char"/>
    <w:uiPriority w:val="9"/>
    <w:qFormat/>
    <w:pPr>
      <w:outlineLvl w:val="6"/>
    </w:pPr>
    <w:rPr>
      <w:rFonts w:asciiTheme="minorHAnsi" w:eastAsiaTheme="majorEastAsia" w:hAnsiTheme="minorHAnsi" w:cstheme="majorBidi"/>
      <w:i/>
      <w:color w:val="243F60" w:themeColor="accent1" w:themeShade="7F"/>
      <w:sz w:val="22"/>
      <w:szCs w:val="22"/>
      <w:lang w:eastAsia="en-US"/>
    </w:rPr>
  </w:style>
  <w:style w:type="paragraph" w:styleId="Heading8">
    <w:name w:val="heading 8"/>
    <w:basedOn w:val="Normal"/>
    <w:next w:val="Normal"/>
    <w:link w:val="Heading8Char"/>
    <w:uiPriority w:val="9"/>
    <w:semiHidden/>
    <w:unhideWhenUsed/>
    <w:qFormat/>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imes New Roman"/>
      <w:sz w:val="20"/>
      <w:szCs w:val="20"/>
    </w:rPr>
  </w:style>
  <w:style w:type="paragraph" w:styleId="Header">
    <w:name w:val="header"/>
    <w:basedOn w:val="Normal"/>
    <w:link w:val="HeaderChar"/>
    <w:uiPriority w:val="26"/>
    <w:pPr>
      <w:tabs>
        <w:tab w:val="center" w:pos="8505"/>
        <w:tab w:val="center" w:pos="13041"/>
      </w:tabs>
      <w:spacing w:line="36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imes New Roman" w:hAnsi="Calibri"/>
      <w:sz w:val="20"/>
      <w:szCs w:val="24"/>
      <w:lang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numbering" w:customStyle="1" w:styleId="Headings">
    <w:name w:val="Headings"/>
    <w:uiPriority w:val="99"/>
    <w:pPr>
      <w:numPr>
        <w:numId w:val="4"/>
      </w:numPr>
    </w:pPr>
  </w:style>
  <w:style w:type="character" w:customStyle="1" w:styleId="Heading1Char">
    <w:name w:val="Heading 1 Char"/>
    <w:basedOn w:val="DefaultParagraphFont"/>
    <w:link w:val="Heading1"/>
    <w:uiPriority w:val="9"/>
    <w:rPr>
      <w:rFonts w:ascii="Calibri" w:eastAsiaTheme="majorEastAsia" w:hAnsi="Calibri" w:cstheme="majorBidi"/>
      <w:b/>
      <w:bCs/>
      <w:color w:val="3C4B55"/>
      <w:sz w:val="70"/>
      <w:szCs w:val="28"/>
      <w:lang w:eastAsia="en-US"/>
    </w:rPr>
  </w:style>
  <w:style w:type="paragraph" w:styleId="ListParagraph">
    <w:name w:val="List Paragraph"/>
    <w:basedOn w:val="Normal"/>
    <w:uiPriority w:val="99"/>
    <w:semiHidden/>
    <w:qFormat/>
    <w:pPr>
      <w:ind w:left="720"/>
    </w:pPr>
  </w:style>
  <w:style w:type="character" w:customStyle="1" w:styleId="Heading2Char">
    <w:name w:val="Heading 2 Char"/>
    <w:basedOn w:val="DefaultParagraphFont"/>
    <w:link w:val="Heading2"/>
    <w:uiPriority w:val="3"/>
    <w:rsid w:val="005155AC"/>
    <w:rPr>
      <w:rFonts w:ascii="Calibri" w:eastAsiaTheme="minorEastAsia" w:hAnsi="Calibri" w:cstheme="minorBidi"/>
      <w:bCs/>
      <w:color w:val="427BA1"/>
      <w:sz w:val="56"/>
      <w:szCs w:val="28"/>
      <w:lang w:eastAsia="ja-JP"/>
    </w:rPr>
  </w:style>
  <w:style w:type="character" w:customStyle="1" w:styleId="Heading3Char">
    <w:name w:val="Heading 3 Char"/>
    <w:basedOn w:val="DefaultParagraphFont"/>
    <w:link w:val="Heading3"/>
    <w:uiPriority w:val="4"/>
    <w:rsid w:val="00BF0280"/>
    <w:rPr>
      <w:rFonts w:ascii="Calibri" w:eastAsiaTheme="minorHAnsi" w:hAnsi="Calibri" w:cstheme="minorBidi"/>
      <w:b/>
      <w:bCs/>
      <w:sz w:val="28"/>
      <w:szCs w:val="22"/>
      <w:lang w:eastAsia="en-US"/>
    </w:rPr>
  </w:style>
  <w:style w:type="character" w:customStyle="1" w:styleId="Heading4Char">
    <w:name w:val="Heading 4 Char"/>
    <w:basedOn w:val="DefaultParagraphFont"/>
    <w:link w:val="Heading4"/>
    <w:uiPriority w:val="5"/>
    <w:rPr>
      <w:rFonts w:ascii="Calibri" w:eastAsiaTheme="minorHAnsi" w:hAnsi="Calibri" w:cstheme="minorBidi"/>
      <w:b/>
      <w:bCs/>
      <w:iCs/>
      <w:color w:val="427BA1"/>
      <w:sz w:val="24"/>
      <w:szCs w:val="22"/>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pPr>
      <w:keepNext/>
      <w:spacing w:after="120"/>
    </w:pPr>
    <w:rPr>
      <w:rFonts w:asciiTheme="minorHAnsi" w:eastAsiaTheme="majorEastAsia" w:hAnsiTheme="minorHAnsi" w:cstheme="majorBidi"/>
      <w:b/>
      <w:bCs/>
      <w:color w:val="000000" w:themeColor="text1"/>
      <w:sz w:val="22"/>
      <w:szCs w:val="18"/>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TOCHeading">
    <w:name w:val="TOC Heading"/>
    <w:next w:val="Normal"/>
    <w:uiPriority w:val="39"/>
    <w:qFormat/>
    <w:rPr>
      <w:rFonts w:ascii="Calibri" w:eastAsiaTheme="majorEastAsia" w:hAnsi="Calibri" w:cstheme="majorBidi"/>
      <w:bCs/>
      <w:color w:val="427BA1"/>
      <w:sz w:val="56"/>
      <w:szCs w:val="28"/>
      <w:lang w:val="en-US" w:eastAsia="en-US"/>
    </w:rPr>
  </w:style>
  <w:style w:type="paragraph" w:styleId="TOC1">
    <w:name w:val="toc 1"/>
    <w:next w:val="Normal"/>
    <w:uiPriority w:val="39"/>
    <w:unhideWhenUsed/>
    <w:pPr>
      <w:tabs>
        <w:tab w:val="left" w:pos="426"/>
        <w:tab w:val="right" w:leader="dot" w:pos="9072"/>
      </w:tabs>
      <w:spacing w:before="120" w:after="120"/>
    </w:pPr>
    <w:rPr>
      <w:rFonts w:asciiTheme="minorHAnsi" w:eastAsiaTheme="minorHAnsi" w:hAnsiTheme="minorHAnsi" w:cstheme="minorBidi"/>
      <w:b/>
      <w:noProof/>
      <w:sz w:val="22"/>
      <w:szCs w:val="22"/>
      <w:lang w:eastAsia="en-US"/>
    </w:rPr>
  </w:style>
  <w:style w:type="paragraph" w:styleId="TOC2">
    <w:name w:val="toc 2"/>
    <w:basedOn w:val="Normal"/>
    <w:next w:val="Normal"/>
    <w:uiPriority w:val="39"/>
    <w:unhideWhenUse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uiPriority w:val="7"/>
    <w:qFormat/>
    <w:pPr>
      <w:numPr>
        <w:numId w:val="7"/>
      </w:numPr>
      <w:spacing w:before="120" w:after="120"/>
    </w:pPr>
    <w:rPr>
      <w:rFonts w:asciiTheme="minorHAnsi" w:eastAsiaTheme="minorHAnsi" w:hAnsiTheme="minorHAnsi" w:cstheme="minorBidi"/>
      <w:sz w:val="22"/>
      <w:szCs w:val="22"/>
      <w:lang w:eastAsia="en-US"/>
    </w:rPr>
  </w:style>
  <w:style w:type="paragraph" w:styleId="TableofFigures">
    <w:name w:val="table of figures"/>
    <w:basedOn w:val="Normal"/>
    <w:next w:val="Normal"/>
    <w:uiPriority w:val="99"/>
    <w:pPr>
      <w:spacing w:before="120" w:after="120" w:line="240" w:lineRule="auto"/>
    </w:pPr>
  </w:style>
  <w:style w:type="paragraph" w:styleId="ListBullet2">
    <w:name w:val="List Bullet 2"/>
    <w:uiPriority w:val="8"/>
    <w:qFormat/>
    <w:pPr>
      <w:numPr>
        <w:ilvl w:val="1"/>
        <w:numId w:val="7"/>
      </w:numPr>
      <w:spacing w:before="120" w:after="1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
    <w:qFormat/>
    <w:pPr>
      <w:numPr>
        <w:numId w:val="9"/>
      </w:numPr>
      <w:spacing w:before="120" w:after="120" w:line="280" w:lineRule="atLeast"/>
    </w:pPr>
    <w:rPr>
      <w:szCs w:val="20"/>
    </w:rPr>
  </w:style>
  <w:style w:type="paragraph" w:styleId="ListNumber2">
    <w:name w:val="List Number 2"/>
    <w:uiPriority w:val="10"/>
    <w:qFormat/>
    <w:pPr>
      <w:numPr>
        <w:ilvl w:val="1"/>
        <w:numId w:val="9"/>
      </w:numPr>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pPr>
      <w:numPr>
        <w:ilvl w:val="2"/>
        <w:numId w:val="9"/>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link w:val="TableTextChar"/>
    <w:uiPriority w:val="13"/>
    <w:qFormat/>
    <w:pPr>
      <w:spacing w:before="60" w:after="60"/>
    </w:pPr>
    <w:rPr>
      <w:rFonts w:asciiTheme="minorHAnsi" w:eastAsiaTheme="minorHAnsi" w:hAnsiTheme="minorHAnsi" w:cstheme="minorBidi"/>
      <w:sz w:val="18"/>
      <w:szCs w:val="22"/>
      <w:lang w:eastAsia="en-US"/>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uiPriority w:val="99"/>
    <w:rPr>
      <w:b/>
      <w:bC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
    <w:name w:val="Table Bullet"/>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imes New Roman" w:hAnsi="Tahoma" w:cs="Tahoma"/>
      <w:sz w:val="16"/>
      <w:szCs w:val="16"/>
    </w:rPr>
  </w:style>
  <w:style w:type="paragraph" w:customStyle="1" w:styleId="TOCHeadingsamepage">
    <w:name w:val="TOC Heading (same page)"/>
    <w:basedOn w:val="TOCHeading"/>
    <w:next w:val="Normal"/>
    <w:uiPriority w:val="39"/>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sz w:val="36"/>
      <w:szCs w:val="36"/>
    </w:rPr>
  </w:style>
  <w:style w:type="paragraph" w:customStyle="1" w:styleId="DisseminationLimitingMarker">
    <w:name w:val="Dissemination Limiting Marker"/>
    <w:basedOn w:val="Header"/>
    <w:next w:val="Header"/>
    <w:uiPriority w:val="27"/>
    <w:qFormat/>
    <w:pPr>
      <w:spacing w:after="0"/>
    </w:pPr>
    <w:rPr>
      <w:b/>
      <w:sz w:val="36"/>
      <w:szCs w:val="36"/>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heading">
    <w:name w:val="heading"/>
    <w:uiPriority w:val="99"/>
    <w:pPr>
      <w:numPr>
        <w:numId w:val="10"/>
      </w:numPr>
    </w:pPr>
  </w:style>
  <w:style w:type="numbering" w:customStyle="1" w:styleId="captions">
    <w:name w:val="captions"/>
    <w:uiPriority w:val="99"/>
    <w:pPr>
      <w:numPr>
        <w:numId w:val="5"/>
      </w:numPr>
    </w:pPr>
  </w:style>
  <w:style w:type="character" w:customStyle="1" w:styleId="TableTextChar">
    <w:name w:val="Table Text Char"/>
    <w:basedOn w:val="DefaultParagraphFont"/>
    <w:link w:val="TableText"/>
    <w:uiPriority w:val="13"/>
    <w:rPr>
      <w:rFonts w:asciiTheme="minorHAnsi" w:eastAsiaTheme="minorHAnsi" w:hAnsiTheme="minorHAnsi" w:cstheme="minorBidi"/>
      <w:sz w:val="18"/>
      <w:szCs w:val="22"/>
      <w:lang w:eastAsia="en-US"/>
    </w:rPr>
  </w:style>
  <w:style w:type="character" w:customStyle="1" w:styleId="Heading7Char">
    <w:name w:val="Heading 7 Char"/>
    <w:basedOn w:val="DefaultParagraphFont"/>
    <w:link w:val="Heading7"/>
    <w:uiPriority w:val="9"/>
    <w:rPr>
      <w:rFonts w:asciiTheme="minorHAnsi" w:eastAsiaTheme="majorEastAsia" w:hAnsiTheme="minorHAnsi" w:cstheme="majorBidi"/>
      <w:i/>
      <w:color w:val="243F60" w:themeColor="accent1" w:themeShade="7F"/>
      <w:sz w:val="22"/>
      <w:szCs w:val="22"/>
      <w:lang w:eastAsia="en-US"/>
    </w:rPr>
  </w:style>
  <w:style w:type="numbering" w:customStyle="1" w:styleId="List1">
    <w:name w:val="List1"/>
    <w:basedOn w:val="NoList"/>
    <w:uiPriority w:val="99"/>
    <w:pPr>
      <w:numPr>
        <w:numId w:val="3"/>
      </w:numPr>
    </w:pPr>
  </w:style>
  <w:style w:type="character" w:customStyle="1" w:styleId="CaptionChar">
    <w:name w:val="Caption Char"/>
    <w:basedOn w:val="Heading1Char"/>
    <w:link w:val="Caption"/>
    <w:uiPriority w:val="12"/>
    <w:rPr>
      <w:rFonts w:asciiTheme="minorHAnsi" w:eastAsiaTheme="majorEastAsia" w:hAnsiTheme="minorHAnsi" w:cstheme="majorBidi"/>
      <w:b/>
      <w:bCs/>
      <w:color w:val="000000" w:themeColor="text1"/>
      <w:sz w:val="22"/>
      <w:szCs w:val="18"/>
      <w:lang w:eastAsia="en-US"/>
    </w:rPr>
  </w:style>
  <w:style w:type="numbering" w:customStyle="1" w:styleId="listbullets">
    <w:name w:val="list bullets"/>
    <w:uiPriority w:val="99"/>
    <w:pPr>
      <w:numPr>
        <w:numId w:val="6"/>
      </w:numPr>
    </w:pPr>
  </w:style>
  <w:style w:type="numbering" w:customStyle="1" w:styleId="ListNumber1">
    <w:name w:val="List Number1"/>
    <w:uiPriority w:val="99"/>
    <w:pPr>
      <w:numPr>
        <w:numId w:val="8"/>
      </w:numPr>
    </w:pPr>
  </w:style>
  <w:style w:type="character" w:customStyle="1" w:styleId="Heading6Char">
    <w:name w:val="Heading 6 Char"/>
    <w:basedOn w:val="DefaultParagraphFont"/>
    <w:link w:val="Heading6"/>
    <w:uiPriority w:val="9"/>
    <w:rPr>
      <w:rFonts w:asciiTheme="minorHAnsi" w:eastAsiaTheme="majorEastAsia" w:hAnsiTheme="minorHAnsi" w:cstheme="majorBidi"/>
      <w:i/>
      <w:sz w:val="22"/>
      <w:szCs w:val="22"/>
      <w:lang w:eastAsia="en-US"/>
    </w:rPr>
  </w:style>
  <w:style w:type="paragraph" w:styleId="Subtitle">
    <w:name w:val="Subtitle"/>
    <w:basedOn w:val="Heading1"/>
    <w:next w:val="Normal"/>
    <w:link w:val="SubtitleChar"/>
    <w:uiPriority w:val="23"/>
    <w:qFormat/>
    <w:pPr>
      <w:keepNext w:val="0"/>
      <w:keepLines w:val="0"/>
      <w:widowControl w:val="0"/>
      <w:spacing w:before="120" w:after="0"/>
      <w:contextualSpacing/>
    </w:pPr>
    <w:rPr>
      <w:rFonts w:eastAsiaTheme="minorHAnsi" w:cstheme="minorBidi"/>
      <w:b w:val="0"/>
      <w:color w:val="427BA1"/>
      <w:spacing w:val="5"/>
      <w:kern w:val="28"/>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427BA1"/>
      <w:spacing w:val="5"/>
      <w:kern w:val="28"/>
      <w:sz w:val="56"/>
      <w:szCs w:val="56"/>
      <w:lang w:eastAsia="en-US"/>
    </w:rPr>
  </w:style>
  <w:style w:type="paragraph" w:styleId="Revision">
    <w:name w:val="Revision"/>
    <w:hidden/>
    <w:uiPriority w:val="99"/>
    <w:semiHidden/>
    <w:rPr>
      <w:rFonts w:eastAsiaTheme="minorHAnsi" w:cstheme="minorBidi"/>
      <w:sz w:val="22"/>
      <w:szCs w:val="22"/>
      <w:lang w:eastAsia="en-US"/>
    </w:rPr>
  </w:style>
  <w:style w:type="paragraph" w:customStyle="1" w:styleId="Documenttype">
    <w:name w:val="Document type"/>
    <w:basedOn w:val="Normal"/>
    <w:qFormat/>
    <w:pPr>
      <w:spacing w:before="360" w:after="0"/>
    </w:pPr>
    <w:rPr>
      <w:color w:val="427BA1"/>
      <w:sz w:val="36"/>
    </w:rPr>
  </w:style>
  <w:style w:type="paragraph" w:customStyle="1" w:styleId="Publicationdate">
    <w:name w:val="Publication date"/>
    <w:basedOn w:val="Normal"/>
    <w:qFormat/>
    <w:rPr>
      <w:color w:val="666C60"/>
      <w:sz w:val="28"/>
    </w:rPr>
  </w:style>
  <w:style w:type="paragraph" w:customStyle="1" w:styleId="TOCHeading2">
    <w:name w:val="TOC Heading 2"/>
    <w:next w:val="Normal"/>
    <w:uiPriority w:val="39"/>
    <w:rPr>
      <w:rFonts w:ascii="Calibri" w:eastAsiaTheme="majorEastAsia" w:hAnsi="Calibri" w:cstheme="majorBidi"/>
      <w:bCs/>
      <w:color w:val="427BA1"/>
      <w:sz w:val="36"/>
      <w:szCs w:val="28"/>
      <w:lang w:val="en-US" w:eastAsia="en-US"/>
    </w:rPr>
  </w:style>
  <w:style w:type="numbering" w:customStyle="1" w:styleId="Style1">
    <w:name w:val="Style1"/>
    <w:uiPriority w:val="99"/>
    <w:pPr>
      <w:numPr>
        <w:numId w:val="13"/>
      </w:numPr>
    </w:pPr>
  </w:style>
  <w:style w:type="character" w:customStyle="1" w:styleId="Heading8Char">
    <w:name w:val="Heading 8 Char"/>
    <w:basedOn w:val="DefaultParagraphFont"/>
    <w:link w:val="Heading8"/>
    <w:uiPriority w:val="9"/>
    <w:semiHidden/>
    <w:rPr>
      <w:rFonts w:asciiTheme="minorHAnsi" w:eastAsiaTheme="majorEastAsia" w:hAnsiTheme="minorHAnsi" w:cstheme="majorBidi"/>
      <w:color w:val="272727" w:themeColor="text1" w:themeTint="D8"/>
      <w:sz w:val="21"/>
      <w:szCs w:val="21"/>
      <w:lang w:eastAsia="en-US"/>
    </w:rPr>
  </w:style>
  <w:style w:type="paragraph" w:styleId="IntenseQuote">
    <w:name w:val="Intense Quote"/>
    <w:basedOn w:val="Normal"/>
    <w:next w:val="Normal"/>
    <w:link w:val="IntenseQuoteChar"/>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i/>
      <w:iCs/>
      <w:color w:val="4F81BD" w:themeColor="accent1"/>
      <w:sz w:val="22"/>
      <w:szCs w:val="22"/>
      <w:lang w:eastAsia="en-US"/>
    </w:rPr>
  </w:style>
  <w:style w:type="paragraph" w:customStyle="1" w:styleId="Figurecaption">
    <w:name w:val="Figure caption"/>
    <w:basedOn w:val="Normal"/>
    <w:link w:val="FigurecaptionChar"/>
    <w:qFormat/>
    <w:rsid w:val="001303C0"/>
    <w:pPr>
      <w:spacing w:before="120"/>
      <w:ind w:left="799" w:hanging="799"/>
      <w:jc w:val="center"/>
    </w:pPr>
    <w:rPr>
      <w:rFonts w:ascii="Myriad Pro" w:eastAsiaTheme="minorEastAsia" w:hAnsi="Myriad Pro"/>
      <w:sz w:val="18"/>
      <w:szCs w:val="18"/>
      <w:lang w:bidi="en-US"/>
    </w:rPr>
  </w:style>
  <w:style w:type="character" w:customStyle="1" w:styleId="FigurecaptionChar">
    <w:name w:val="Figure caption Char"/>
    <w:basedOn w:val="DefaultParagraphFont"/>
    <w:link w:val="Figurecaption"/>
    <w:rsid w:val="001303C0"/>
    <w:rPr>
      <w:rFonts w:ascii="Myriad Pro" w:eastAsiaTheme="minorEastAsia" w:hAnsi="Myriad Pro" w:cstheme="minorBidi"/>
      <w:sz w:val="18"/>
      <w:szCs w:val="18"/>
      <w:lang w:eastAsia="en-US" w:bidi="en-US"/>
    </w:rPr>
  </w:style>
  <w:style w:type="paragraph" w:customStyle="1" w:styleId="Tabletext0">
    <w:name w:val="Table text"/>
    <w:basedOn w:val="Normal"/>
    <w:rsid w:val="00FD15B7"/>
    <w:pPr>
      <w:keepNext/>
      <w:spacing w:before="120" w:after="120" w:line="240" w:lineRule="auto"/>
      <w:jc w:val="both"/>
    </w:pPr>
    <w:rPr>
      <w:rFonts w:ascii="Arial" w:eastAsiaTheme="minorEastAsia" w:hAnsi="Arial"/>
      <w:sz w:val="18"/>
      <w:szCs w:val="20"/>
      <w:lang w:val="en-NZ" w:bidi="en-US"/>
    </w:rPr>
  </w:style>
  <w:style w:type="table" w:customStyle="1" w:styleId="GridTable41">
    <w:name w:val="Grid Table 41"/>
    <w:basedOn w:val="TableNormal"/>
    <w:uiPriority w:val="49"/>
    <w:rsid w:val="00006995"/>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apple-converted-space">
    <w:name w:val="apple-converted-space"/>
    <w:basedOn w:val="DefaultParagraphFont"/>
    <w:rsid w:val="00C91EED"/>
  </w:style>
  <w:style w:type="character" w:styleId="UnresolvedMention">
    <w:name w:val="Unresolved Mention"/>
    <w:basedOn w:val="DefaultParagraphFont"/>
    <w:uiPriority w:val="99"/>
    <w:semiHidden/>
    <w:unhideWhenUsed/>
    <w:rsid w:val="002B1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907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294063249">
      <w:bodyDiv w:val="1"/>
      <w:marLeft w:val="0"/>
      <w:marRight w:val="0"/>
      <w:marTop w:val="0"/>
      <w:marBottom w:val="0"/>
      <w:divBdr>
        <w:top w:val="none" w:sz="0" w:space="0" w:color="auto"/>
        <w:left w:val="none" w:sz="0" w:space="0" w:color="auto"/>
        <w:bottom w:val="none" w:sz="0" w:space="0" w:color="auto"/>
        <w:right w:val="none" w:sz="0" w:space="0" w:color="auto"/>
      </w:divBdr>
    </w:div>
    <w:div w:id="34120519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42922">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4625200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5307472">
      <w:bodyDiv w:val="1"/>
      <w:marLeft w:val="0"/>
      <w:marRight w:val="0"/>
      <w:marTop w:val="0"/>
      <w:marBottom w:val="0"/>
      <w:divBdr>
        <w:top w:val="none" w:sz="0" w:space="0" w:color="auto"/>
        <w:left w:val="none" w:sz="0" w:space="0" w:color="auto"/>
        <w:bottom w:val="none" w:sz="0" w:space="0" w:color="auto"/>
        <w:right w:val="none" w:sz="0" w:space="0" w:color="auto"/>
      </w:divBdr>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71724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waterquality@agriculture.gov.au" TargetMode="External"/><Relationship Id="rId26" Type="http://schemas.openxmlformats.org/officeDocument/2006/relationships/image" Target="media/image4.emf"/><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aterquality.gov.au/anz-guidelines/guideline-values/default/water-quality-toxicants/toxicants" TargetMode="External"/><Relationship Id="rId25" Type="http://schemas.openxmlformats.org/officeDocument/2006/relationships/hyperlink" Target="https://waterquality.govcms.gov.au/media/295" TargetMode="External"/><Relationship Id="rId33" Type="http://schemas.openxmlformats.org/officeDocument/2006/relationships/header" Target="header6.xml"/><Relationship Id="rId38" Type="http://schemas.openxmlformats.org/officeDocument/2006/relationships/hyperlink" Target="https://www.ceh.ac.uk/services/windermere-humic-aqueous-model-wham" TargetMode="External"/><Relationship Id="rId2" Type="http://schemas.openxmlformats.org/officeDocument/2006/relationships/customXml" Target="../customXml/item2.xml"/><Relationship Id="rId16" Type="http://schemas.openxmlformats.org/officeDocument/2006/relationships/hyperlink" Target="mailto:copyright@agriculture.gov.au" TargetMode="External"/><Relationship Id="rId20" Type="http://schemas.openxmlformats.org/officeDocument/2006/relationships/hyperlink" Target="http://www.waterquality.gov.au/anz-guidelines"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aterquality.govcms.gov.au/media/296" TargetMode="External"/><Relationship Id="rId32" Type="http://schemas.openxmlformats.org/officeDocument/2006/relationships/header" Target="header5.xml"/><Relationship Id="rId37" Type="http://schemas.openxmlformats.org/officeDocument/2006/relationships/hyperlink" Target="https://www.waterquality.gov.au/anz-guidelines"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creativecommons.org/licenses/by/4.0/legalcode" TargetMode="Externa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image" Target="media/image2.jpg"/><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reativecommons.org/licenses/by/4.0/" TargetMode="External"/><Relationship Id="rId22" Type="http://schemas.openxmlformats.org/officeDocument/2006/relationships/footer" Target="footer1.xml"/><Relationship Id="rId27" Type="http://schemas.openxmlformats.org/officeDocument/2006/relationships/hyperlink" Target="http://www.waterquality.gov.au/anz-guidelines" TargetMode="External"/><Relationship Id="rId30" Type="http://schemas.openxmlformats.org/officeDocument/2006/relationships/footer" Target="footer2.xml"/><Relationship Id="rId35"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AEA2CD5EF472BA9D49BD4C6F996EE"/>
        <w:category>
          <w:name w:val="General"/>
          <w:gallery w:val="placeholder"/>
        </w:category>
        <w:types>
          <w:type w:val="bbPlcHdr"/>
        </w:types>
        <w:behaviors>
          <w:behavior w:val="content"/>
        </w:behaviors>
        <w:guid w:val="{15C2E30C-EE74-4644-B3D1-31CFE0B6455F}"/>
      </w:docPartPr>
      <w:docPartBody>
        <w:p w:rsidR="00B7057B" w:rsidRDefault="00B7057B" w:rsidP="00B7057B">
          <w:pPr>
            <w:pStyle w:val="A8CAEA2CD5EF472BA9D49BD4C6F996EE"/>
          </w:pPr>
          <w:r w:rsidRPr="00BE52A7">
            <w:rPr>
              <w:rStyle w:val="PlaceholderText"/>
            </w:rPr>
            <w:t>Click here to enter text.</w:t>
          </w:r>
        </w:p>
      </w:docPartBody>
    </w:docPart>
    <w:docPart>
      <w:docPartPr>
        <w:name w:val="B20CCC024575420DB346A2897E1BFAA1"/>
        <w:category>
          <w:name w:val="General"/>
          <w:gallery w:val="placeholder"/>
        </w:category>
        <w:types>
          <w:type w:val="bbPlcHdr"/>
        </w:types>
        <w:behaviors>
          <w:behavior w:val="content"/>
        </w:behaviors>
        <w:guid w:val="{59AC9F7E-4FA2-490F-98B6-D985F0F8EDE1}"/>
      </w:docPartPr>
      <w:docPartBody>
        <w:p w:rsidR="00B7057B" w:rsidRDefault="00B7057B" w:rsidP="00B7057B">
          <w:pPr>
            <w:pStyle w:val="B20CCC024575420DB346A2897E1BFAA1"/>
          </w:pPr>
          <w:r w:rsidRPr="00BE52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7B"/>
    <w:rsid w:val="00064A7D"/>
    <w:rsid w:val="000A1795"/>
    <w:rsid w:val="000B4DF2"/>
    <w:rsid w:val="001234EB"/>
    <w:rsid w:val="001D6539"/>
    <w:rsid w:val="00267284"/>
    <w:rsid w:val="00353266"/>
    <w:rsid w:val="00387C2A"/>
    <w:rsid w:val="0043494C"/>
    <w:rsid w:val="00472596"/>
    <w:rsid w:val="0047356C"/>
    <w:rsid w:val="00630F6F"/>
    <w:rsid w:val="006D1192"/>
    <w:rsid w:val="006E1482"/>
    <w:rsid w:val="00750303"/>
    <w:rsid w:val="00756703"/>
    <w:rsid w:val="007E1690"/>
    <w:rsid w:val="008C3DC1"/>
    <w:rsid w:val="008E1036"/>
    <w:rsid w:val="009602AC"/>
    <w:rsid w:val="00A005A4"/>
    <w:rsid w:val="00B05712"/>
    <w:rsid w:val="00B7057B"/>
    <w:rsid w:val="00D157C6"/>
    <w:rsid w:val="00D3108A"/>
    <w:rsid w:val="00D521F0"/>
    <w:rsid w:val="00D6129B"/>
    <w:rsid w:val="00D75527"/>
    <w:rsid w:val="00DF7F2A"/>
    <w:rsid w:val="00E57FF6"/>
    <w:rsid w:val="00E95420"/>
    <w:rsid w:val="00F14600"/>
    <w:rsid w:val="00F245FE"/>
    <w:rsid w:val="00FE7E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57B"/>
    <w:rPr>
      <w:color w:val="808080"/>
    </w:rPr>
  </w:style>
  <w:style w:type="paragraph" w:customStyle="1" w:styleId="A8CAEA2CD5EF472BA9D49BD4C6F996EE">
    <w:name w:val="A8CAEA2CD5EF472BA9D49BD4C6F996EE"/>
    <w:rsid w:val="00B7057B"/>
  </w:style>
  <w:style w:type="paragraph" w:customStyle="1" w:styleId="B20CCC024575420DB346A2897E1BFAA1">
    <w:name w:val="B20CCC024575420DB346A2897E1BFAA1"/>
    <w:rsid w:val="00B70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F467F77E5006AC4183EC66C58CB60CCF0018E0BDD1F7314546A944FB163ACEB71C" ma:contentTypeVersion="10" ma:contentTypeDescription="SPIRE Document" ma:contentTypeScope="" ma:versionID="9517c3cd7426ed7f9780ddff4aab9e73">
  <xsd:schema xmlns:xsd="http://www.w3.org/2001/XMLSchema" xmlns:xs="http://www.w3.org/2001/XMLSchema" xmlns:p="http://schemas.microsoft.com/office/2006/metadata/properties" xmlns:ns2="c25cb30a-de11-40ab-bdcc-f1d56023b01d" xmlns:ns3="http://schemas.microsoft.com/sharepoint/v4" targetNamespace="http://schemas.microsoft.com/office/2006/metadata/properties" ma:root="true" ma:fieldsID="1a5ccb46502d7f67011865d302baaff3" ns2:_="" ns3:_="">
    <xsd:import namespace="c25cb30a-de11-40ab-bdcc-f1d56023b01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element ref="ns2:SpireDeleted" minOccurs="0"/>
                <xsd:element ref="ns2:SpireDeletedBy" minOccurs="0"/>
                <xsd:element ref="ns2:SpireDele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cb30a-de11-40ab-bdcc-f1d56023b01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SpireDeleted" ma:index="13" nillable="true" ma:displayName="SpireDeleted" ma:hidden="true" ma:internalName="SpireDeleted" ma:readOnly="false">
      <xsd:simpleType>
        <xsd:restriction base="dms:Text">
          <xsd:maxLength value="3"/>
        </xsd:restriction>
      </xsd:simpleType>
    </xsd:element>
    <xsd:element name="SpireDeletedBy" ma:index="14" nillable="true" ma:displayName="SpireDeletedBy" ma:hidden="true" ma:list="UserInfo" ma:SharePointGroup="0" ma:internalName="SpireDele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ireDeletedDate" ma:index="15" nillable="true" ma:displayName="SpireDeletedDate" ma:format="DateTime" ma:hidden="true" ma:internalName="SpireDelet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documentManagement>
    <SpireDeleted xmlns="c25cb30a-de11-40ab-bdcc-f1d56023b01d" xsi:nil="true"/>
    <SpireDeletedDate xmlns="c25cb30a-de11-40ab-bdcc-f1d56023b01d" xsi:nil="true"/>
    <SpireDeletedBy xmlns="c25cb30a-de11-40ab-bdcc-f1d56023b01d">
      <UserInfo>
        <DisplayName/>
        <AccountId xsi:nil="true"/>
        <AccountType/>
      </UserInfo>
    </SpireDeletedBy>
    <Function xmlns="c25cb30a-de11-40ab-bdcc-f1d56023b01d">Program Admin</Function>
    <IconOverlay xmlns="http://schemas.microsoft.com/sharepoint/v4" xsi:nil="true"/>
    <DocumentDescription xmlns="c25cb30a-de11-40ab-bdcc-f1d56023b01d">Technical brief</DocumentDescription>
    <RecordNumber xmlns="c25cb30a-de11-40ab-bdcc-f1d56023b01d" xsi:nil="true"/>
    <Approval xmlns="c25cb30a-de11-40ab-bdcc-f1d56023b01d"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2F51C3-4D88-4C23-BA06-1DA6BB0D3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cb30a-de11-40ab-bdcc-f1d56023b01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6CE546-3E0F-4174-A106-4E7F4E698FD2}">
  <ds:schemaRefs>
    <ds:schemaRef ds:uri="http://schemas.microsoft.com/office/2006/metadata/customXsn"/>
  </ds:schemaRefs>
</ds:datastoreItem>
</file>

<file path=customXml/itemProps3.xml><?xml version="1.0" encoding="utf-8"?>
<ds:datastoreItem xmlns:ds="http://schemas.openxmlformats.org/officeDocument/2006/customXml" ds:itemID="{A1D323EF-822C-4E4A-9DA5-304476EA7B2B}">
  <ds:schemaRefs>
    <ds:schemaRef ds:uri="http://purl.org/dc/terms/"/>
    <ds:schemaRef ds:uri="http://schemas.microsoft.com/office/2006/metadata/properties"/>
    <ds:schemaRef ds:uri="http://schemas.microsoft.com/office/2006/documentManagement/types"/>
    <ds:schemaRef ds:uri="c25cb30a-de11-40ab-bdcc-f1d56023b01d"/>
    <ds:schemaRef ds:uri="http://schemas.microsoft.com/sharepoint/v4"/>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F1E8574-0996-48F6-8674-AD4F21D8D8B0}">
  <ds:schemaRefs>
    <ds:schemaRef ds:uri="http://schemas.microsoft.com/sharepoint/events"/>
  </ds:schemaRefs>
</ds:datastoreItem>
</file>

<file path=customXml/itemProps5.xml><?xml version="1.0" encoding="utf-8"?>
<ds:datastoreItem xmlns:ds="http://schemas.openxmlformats.org/officeDocument/2006/customXml" ds:itemID="{51DAC0CA-AFD9-4258-9AB9-114077346400}">
  <ds:schemaRefs>
    <ds:schemaRef ds:uri="http://schemas.openxmlformats.org/officeDocument/2006/bibliography"/>
  </ds:schemaRefs>
</ds:datastoreItem>
</file>

<file path=customXml/itemProps6.xml><?xml version="1.0" encoding="utf-8"?>
<ds:datastoreItem xmlns:ds="http://schemas.openxmlformats.org/officeDocument/2006/customXml" ds:itemID="{FDAFF9F2-B553-40B8-AE51-8E46304031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31</Pages>
  <Words>9758</Words>
  <Characters>55625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Toxicant default guideline values for aquatic ecosystem protection - Zinc in marine water</vt:lpstr>
    </vt:vector>
  </TitlesOfParts>
  <Company>Department of Agriculture Fisheries &amp; Forestry</Company>
  <LinksUpToDate>false</LinksUpToDate>
  <CharactersWithSpaces>65253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Toxicant default guideline values for aquatic ecosystem protection - Zinc in marine water</dc:title>
  <dc:creator>Lea, Amy</dc:creator>
  <cp:lastModifiedBy>Baker, Alex</cp:lastModifiedBy>
  <cp:revision>9</cp:revision>
  <cp:lastPrinted>2017-02-22T02:21:00Z</cp:lastPrinted>
  <dcterms:created xsi:type="dcterms:W3CDTF">2021-07-19T03:44:00Z</dcterms:created>
  <dcterms:modified xsi:type="dcterms:W3CDTF">2021-08-30T02:29:00Z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0x010100F467F77E5006AC4183EC66C58CB60CCF0018E0BDD1F7314546A944FB163ACEB71C</vt:lpwstr>
  </property>
</Properties>
</file>