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757C9" w14:textId="26C46077" w:rsidR="001C0D1C" w:rsidRDefault="006860B0">
      <w:pPr>
        <w:pStyle w:val="Heading1"/>
      </w:pPr>
      <w:bookmarkStart w:id="0" w:name="_Toc174108896"/>
      <w:bookmarkStart w:id="1" w:name="_Toc174110464"/>
      <w:bookmarkStart w:id="2" w:name="_Toc185232347"/>
      <w:bookmarkStart w:id="3" w:name="_Toc185403692"/>
      <w:bookmarkStart w:id="4" w:name="_Toc192853290"/>
      <w:bookmarkStart w:id="5" w:name="_Toc192854672"/>
      <w:bookmarkStart w:id="6" w:name="_Toc199316206"/>
      <w:bookmarkStart w:id="7" w:name="_Toc202084754"/>
      <w:r>
        <w:t>M</w:t>
      </w:r>
      <w:r w:rsidR="00BF03D7">
        <w:t xml:space="preserve">ethod for deriving </w:t>
      </w:r>
      <w:r w:rsidR="002F76CC">
        <w:t xml:space="preserve">Australian and New Zealand </w:t>
      </w:r>
      <w:r w:rsidR="00BF03D7">
        <w:t xml:space="preserve">water quality guideline values for </w:t>
      </w:r>
      <w:r w:rsidR="0054625A">
        <w:t xml:space="preserve">protecting aquatic ecosystems from </w:t>
      </w:r>
      <w:r w:rsidR="00BF03D7">
        <w:t>toxicants</w:t>
      </w:r>
      <w:r w:rsidR="000005C1">
        <w:t xml:space="preserve"> </w:t>
      </w:r>
      <w:r>
        <w:t>– update of 2018 version</w:t>
      </w:r>
      <w:bookmarkEnd w:id="0"/>
      <w:bookmarkEnd w:id="1"/>
      <w:bookmarkEnd w:id="2"/>
      <w:bookmarkEnd w:id="3"/>
      <w:bookmarkEnd w:id="4"/>
      <w:bookmarkEnd w:id="5"/>
      <w:bookmarkEnd w:id="6"/>
      <w:bookmarkEnd w:id="7"/>
    </w:p>
    <w:p w14:paraId="0FFF8972" w14:textId="683F25E6" w:rsidR="001C0D1C" w:rsidRDefault="002F76CC">
      <w:pPr>
        <w:pStyle w:val="Subtitle"/>
      </w:pPr>
      <w:bookmarkStart w:id="8" w:name="_Toc174108897"/>
      <w:bookmarkStart w:id="9" w:name="_Toc174110465"/>
      <w:bookmarkStart w:id="10" w:name="_Toc185232348"/>
      <w:bookmarkStart w:id="11" w:name="_Toc185403693"/>
      <w:bookmarkStart w:id="12" w:name="_Toc192853291"/>
      <w:bookmarkStart w:id="13" w:name="_Toc192854673"/>
      <w:bookmarkStart w:id="14" w:name="_Toc199316207"/>
      <w:bookmarkStart w:id="15" w:name="_Toc202084755"/>
      <w:r>
        <w:t xml:space="preserve">Prepared for the Australian and New Zealand </w:t>
      </w:r>
      <w:r w:rsidR="000005C1">
        <w:t>G</w:t>
      </w:r>
      <w:r w:rsidR="00BF03D7">
        <w:t xml:space="preserve">uidelines for </w:t>
      </w:r>
      <w:r w:rsidR="000005C1">
        <w:t xml:space="preserve">Fresh </w:t>
      </w:r>
      <w:r w:rsidR="00BF03D7">
        <w:t xml:space="preserve">and </w:t>
      </w:r>
      <w:r w:rsidR="000005C1">
        <w:t>Marine Water Q</w:t>
      </w:r>
      <w:r w:rsidR="00BF03D7">
        <w:t>uality</w:t>
      </w:r>
      <w:bookmarkEnd w:id="8"/>
      <w:bookmarkEnd w:id="9"/>
      <w:bookmarkEnd w:id="10"/>
      <w:bookmarkEnd w:id="11"/>
      <w:bookmarkEnd w:id="12"/>
      <w:bookmarkEnd w:id="13"/>
      <w:bookmarkEnd w:id="14"/>
      <w:bookmarkEnd w:id="15"/>
    </w:p>
    <w:p w14:paraId="0CF92A04" w14:textId="77777777" w:rsidR="00F47A7A" w:rsidRDefault="00F47A7A" w:rsidP="004D7186">
      <w:pPr>
        <w:pStyle w:val="Publicationdate"/>
      </w:pPr>
    </w:p>
    <w:p w14:paraId="529191CE" w14:textId="633896AC" w:rsidR="001C0D1C" w:rsidRDefault="004853A4" w:rsidP="004D7186">
      <w:pPr>
        <w:pStyle w:val="Publicationdate"/>
        <w:rPr>
          <w:highlight w:val="yellow"/>
        </w:rPr>
      </w:pPr>
      <w:r>
        <w:t>August</w:t>
      </w:r>
      <w:r w:rsidR="00392DA1">
        <w:t xml:space="preserve"> </w:t>
      </w:r>
      <w:r w:rsidR="00257C4B">
        <w:t>2025</w:t>
      </w:r>
    </w:p>
    <w:p w14:paraId="359372B7" w14:textId="77777777" w:rsidR="001C0D1C" w:rsidRDefault="00E55B1C" w:rsidP="004D7186">
      <w:pPr>
        <w:rPr>
          <w:noProof/>
          <w:lang w:eastAsia="en-AU"/>
        </w:rPr>
      </w:pPr>
      <w:r>
        <w:br w:type="page"/>
      </w:r>
    </w:p>
    <w:p w14:paraId="74A49904" w14:textId="6506C54A" w:rsidR="001C0D1C" w:rsidRPr="00BC06A8" w:rsidRDefault="00E55B1C" w:rsidP="002D4419">
      <w:pPr>
        <w:pStyle w:val="Versopagetext"/>
      </w:pPr>
      <w:r w:rsidRPr="00BC06A8">
        <w:lastRenderedPageBreak/>
        <w:t xml:space="preserve">© </w:t>
      </w:r>
      <w:r w:rsidRPr="002D4419">
        <w:t>Commonwealth</w:t>
      </w:r>
      <w:r w:rsidRPr="00BC06A8">
        <w:t xml:space="preserve"> of Australia </w:t>
      </w:r>
      <w:r w:rsidR="00257C4B" w:rsidRPr="00BC06A8">
        <w:t>2025</w:t>
      </w:r>
    </w:p>
    <w:p w14:paraId="698F13AE" w14:textId="77777777" w:rsidR="001C0D1C" w:rsidRPr="00BC06A8" w:rsidRDefault="00E55B1C" w:rsidP="002D4419">
      <w:pPr>
        <w:pStyle w:val="Versopageheader"/>
      </w:pPr>
      <w:r w:rsidRPr="00BC06A8">
        <w:t xml:space="preserve">Ownership of </w:t>
      </w:r>
      <w:r w:rsidRPr="002D4419">
        <w:t>intellectual</w:t>
      </w:r>
      <w:r w:rsidRPr="00BC06A8">
        <w:t xml:space="preserve"> property rights</w:t>
      </w:r>
    </w:p>
    <w:p w14:paraId="30F2E356" w14:textId="77777777" w:rsidR="001C0D1C" w:rsidRDefault="00E55B1C" w:rsidP="002D4419">
      <w:pPr>
        <w:pStyle w:val="Versopagetext"/>
      </w:pPr>
      <w:r>
        <w:t>Unless otherwise noted, copyright (and any other intellectual property rights, if any) in this publication is owned by the Commonwealth of Australia (referred to as the Commonwealth).</w:t>
      </w:r>
    </w:p>
    <w:p w14:paraId="71082E02" w14:textId="77777777" w:rsidR="001C0D1C" w:rsidRDefault="00E55B1C" w:rsidP="002D4419">
      <w:pPr>
        <w:pStyle w:val="Versopageheader"/>
      </w:pPr>
      <w:r>
        <w:t>Creative Commons licence</w:t>
      </w:r>
    </w:p>
    <w:p w14:paraId="61DA05C6" w14:textId="77777777" w:rsidR="001C0D1C" w:rsidRDefault="00E55B1C" w:rsidP="002D4419">
      <w:pPr>
        <w:pStyle w:val="Versopagetext"/>
      </w:pPr>
      <w:r w:rsidRPr="57352DF8">
        <w:t xml:space="preserve">All material in this publication is licensed under a Creative Commons Attribution 3.0 Australia Licence, </w:t>
      </w:r>
      <w:r w:rsidR="00C11AF4" w:rsidRPr="57352DF8">
        <w:t>except</w:t>
      </w:r>
      <w:r w:rsidRPr="57352DF8">
        <w:t xml:space="preserve"> for photographic images, logos and the Commonwealth Coat of Arms.</w:t>
      </w:r>
    </w:p>
    <w:p w14:paraId="041C714C" w14:textId="77777777" w:rsidR="001C0D1C" w:rsidRPr="00E5335C" w:rsidRDefault="00E55B1C" w:rsidP="00E5335C">
      <w:pPr>
        <w:pStyle w:val="Versopagetext"/>
      </w:pPr>
      <w:r w:rsidRPr="00E5335C">
        <w:rPr>
          <w:noProof/>
        </w:rPr>
        <w:drawing>
          <wp:anchor distT="0" distB="0" distL="114300" distR="114300" simplePos="0" relativeHeight="251658240" behindDoc="0" locked="0" layoutInCell="1" allowOverlap="1" wp14:anchorId="6C75E680" wp14:editId="664E0657">
            <wp:simplePos x="0" y="0"/>
            <wp:positionH relativeFrom="column">
              <wp:posOffset>18415</wp:posOffset>
            </wp:positionH>
            <wp:positionV relativeFrom="paragraph">
              <wp:posOffset>1270</wp:posOffset>
            </wp:positionV>
            <wp:extent cx="723900" cy="255905"/>
            <wp:effectExtent l="0" t="0" r="0" b="0"/>
            <wp:wrapSquare wrapText="bothSides"/>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2559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2332775" w14:textId="439C1449" w:rsidR="001C0D1C" w:rsidRDefault="00E55B1C" w:rsidP="002D4419">
      <w:pPr>
        <w:pStyle w:val="Versopagetext"/>
      </w:pPr>
      <w:r w:rsidRPr="57352DF8">
        <w:t xml:space="preserve">Creative Commons Attribution </w:t>
      </w:r>
      <w:r w:rsidR="00295846">
        <w:t>4</w:t>
      </w:r>
      <w:r w:rsidRPr="57352DF8">
        <w:t xml:space="preserve">.0 </w:t>
      </w:r>
      <w:r w:rsidR="007A74F4">
        <w:t>International</w:t>
      </w:r>
      <w:r w:rsidR="007A74F4" w:rsidRPr="57352DF8">
        <w:t xml:space="preserve"> </w:t>
      </w:r>
      <w:r w:rsidRPr="57352DF8">
        <w:t xml:space="preserve">Licence is a standard form licence agreement that allows you to copy, distribute, transmit and adapt this publication provided you attribute the work. See the </w:t>
      </w:r>
      <w:hyperlink r:id="rId12">
        <w:r w:rsidRPr="57352DF8">
          <w:rPr>
            <w:rStyle w:val="Hyperlink"/>
          </w:rPr>
          <w:t>summary of the licence terms</w:t>
        </w:r>
      </w:hyperlink>
      <w:r w:rsidRPr="57352DF8">
        <w:t xml:space="preserve"> or the </w:t>
      </w:r>
      <w:hyperlink r:id="rId13">
        <w:r w:rsidRPr="57352DF8">
          <w:rPr>
            <w:rStyle w:val="Hyperlink"/>
          </w:rPr>
          <w:t>full licence terms</w:t>
        </w:r>
      </w:hyperlink>
      <w:r w:rsidRPr="57352DF8">
        <w:t>.</w:t>
      </w:r>
    </w:p>
    <w:p w14:paraId="0F7D8BD9" w14:textId="54097BD6" w:rsidR="001C0D1C" w:rsidRDefault="00E55B1C" w:rsidP="002D4419">
      <w:pPr>
        <w:pStyle w:val="Versopagetext"/>
      </w:pPr>
      <w:r>
        <w:t xml:space="preserve">Inquiries about the licence and any use of this document should be emailed to </w:t>
      </w:r>
      <w:hyperlink r:id="rId14" w:history="1">
        <w:r w:rsidR="005D42DC">
          <w:rPr>
            <w:rStyle w:val="Hyperlink"/>
          </w:rPr>
          <w:t>copyright@dcceew.gov.au</w:t>
        </w:r>
      </w:hyperlink>
      <w:r>
        <w:t>.</w:t>
      </w:r>
    </w:p>
    <w:p w14:paraId="5E6ABD3A" w14:textId="77777777" w:rsidR="001C0D1C" w:rsidRDefault="00E55B1C" w:rsidP="002D4419">
      <w:pPr>
        <w:pStyle w:val="Versopageheader"/>
      </w:pPr>
      <w:r>
        <w:t>Cataloguing data</w:t>
      </w:r>
    </w:p>
    <w:p w14:paraId="3FEA3928" w14:textId="4DCD93A6" w:rsidR="002F76CC" w:rsidRPr="002F76CC" w:rsidRDefault="005B1FD7" w:rsidP="002D4419">
      <w:pPr>
        <w:pStyle w:val="Versopagetext"/>
        <w:rPr>
          <w:b/>
          <w:bCs/>
          <w:lang w:eastAsia="en-AU"/>
        </w:rPr>
      </w:pPr>
      <w:r w:rsidRPr="57352DF8">
        <w:rPr>
          <w:lang w:eastAsia="en-AU"/>
        </w:rPr>
        <w:t xml:space="preserve">This publication (and any material sourced from it) should be attributed as: </w:t>
      </w:r>
      <w:r w:rsidR="00FE2650" w:rsidRPr="57352DF8">
        <w:rPr>
          <w:lang w:eastAsia="en-AU"/>
        </w:rPr>
        <w:t>Warne MStJ, Batley GE, van Dam RA, Chapman JC, Fox DR, Hickey CW</w:t>
      </w:r>
      <w:r w:rsidR="005F6C09" w:rsidRPr="57352DF8">
        <w:rPr>
          <w:lang w:eastAsia="en-AU"/>
        </w:rPr>
        <w:t>,</w:t>
      </w:r>
      <w:r w:rsidR="00FE2650" w:rsidRPr="57352DF8">
        <w:rPr>
          <w:lang w:eastAsia="en-AU"/>
        </w:rPr>
        <w:t xml:space="preserve"> Stauber JL</w:t>
      </w:r>
      <w:r w:rsidR="005F6C09" w:rsidRPr="57352DF8">
        <w:rPr>
          <w:lang w:eastAsia="en-AU"/>
        </w:rPr>
        <w:t xml:space="preserve"> and Fisher R</w:t>
      </w:r>
      <w:r w:rsidR="00FE2650" w:rsidRPr="57352DF8">
        <w:rPr>
          <w:lang w:eastAsia="en-AU"/>
        </w:rPr>
        <w:t xml:space="preserve"> </w:t>
      </w:r>
      <w:r w:rsidR="00257C4B" w:rsidRPr="57352DF8">
        <w:rPr>
          <w:lang w:eastAsia="en-AU"/>
        </w:rPr>
        <w:t>2025</w:t>
      </w:r>
      <w:r w:rsidR="00FE2650" w:rsidRPr="57352DF8">
        <w:rPr>
          <w:lang w:eastAsia="en-AU"/>
        </w:rPr>
        <w:t xml:space="preserve">. </w:t>
      </w:r>
      <w:r w:rsidR="006860B0" w:rsidRPr="006255EC">
        <w:rPr>
          <w:i/>
          <w:iCs/>
          <w:lang w:eastAsia="en-AU"/>
        </w:rPr>
        <w:t xml:space="preserve">Method </w:t>
      </w:r>
      <w:r w:rsidR="00FE2650" w:rsidRPr="006255EC">
        <w:rPr>
          <w:i/>
          <w:iCs/>
          <w:lang w:eastAsia="en-AU"/>
        </w:rPr>
        <w:t xml:space="preserve">for </w:t>
      </w:r>
      <w:r w:rsidR="006860B0" w:rsidRPr="006255EC">
        <w:rPr>
          <w:i/>
          <w:iCs/>
          <w:lang w:eastAsia="en-AU"/>
        </w:rPr>
        <w:t xml:space="preserve">deriving </w:t>
      </w:r>
      <w:r w:rsidR="00FE2650" w:rsidRPr="006255EC">
        <w:rPr>
          <w:i/>
          <w:iCs/>
          <w:lang w:eastAsia="en-AU"/>
        </w:rPr>
        <w:t xml:space="preserve">Australian and New Zealand </w:t>
      </w:r>
      <w:r w:rsidR="006860B0" w:rsidRPr="006255EC">
        <w:rPr>
          <w:i/>
          <w:iCs/>
          <w:lang w:eastAsia="en-AU"/>
        </w:rPr>
        <w:t xml:space="preserve">water quality guideline values </w:t>
      </w:r>
      <w:r w:rsidR="00FE2650" w:rsidRPr="006255EC">
        <w:rPr>
          <w:i/>
          <w:iCs/>
          <w:lang w:eastAsia="en-AU"/>
        </w:rPr>
        <w:t xml:space="preserve">for </w:t>
      </w:r>
      <w:r w:rsidR="006860B0" w:rsidRPr="006255EC">
        <w:rPr>
          <w:i/>
          <w:iCs/>
          <w:lang w:eastAsia="en-AU"/>
        </w:rPr>
        <w:t>protecting aquatic ecosystems from t</w:t>
      </w:r>
      <w:r w:rsidR="00FE2650" w:rsidRPr="006255EC">
        <w:rPr>
          <w:i/>
          <w:iCs/>
          <w:lang w:eastAsia="en-AU"/>
        </w:rPr>
        <w:t xml:space="preserve">oxicants – update of </w:t>
      </w:r>
      <w:r w:rsidR="00392DA1" w:rsidRPr="006255EC">
        <w:rPr>
          <w:i/>
          <w:iCs/>
          <w:lang w:eastAsia="en-AU"/>
        </w:rPr>
        <w:t xml:space="preserve">2018 </w:t>
      </w:r>
      <w:r w:rsidR="00FE2650" w:rsidRPr="006255EC">
        <w:rPr>
          <w:i/>
          <w:iCs/>
          <w:lang w:eastAsia="en-AU"/>
        </w:rPr>
        <w:t>version</w:t>
      </w:r>
      <w:r w:rsidR="00FE2650" w:rsidRPr="57352DF8">
        <w:rPr>
          <w:lang w:eastAsia="en-AU"/>
        </w:rPr>
        <w:t xml:space="preserve">. Prepared for the Australian and New Zealand Guidelines for Fresh and Marine Water Quality. </w:t>
      </w:r>
      <w:r w:rsidR="0016189C">
        <w:rPr>
          <w:lang w:eastAsia="en-AU"/>
        </w:rPr>
        <w:t xml:space="preserve">CC BY 4.0. </w:t>
      </w:r>
      <w:r w:rsidR="00FE2650" w:rsidRPr="57352DF8">
        <w:rPr>
          <w:lang w:eastAsia="en-AU"/>
        </w:rPr>
        <w:t xml:space="preserve">Australian and New Zealand Governments and Australian state and territory governments, Canberra, </w:t>
      </w:r>
      <w:r w:rsidR="0016189C">
        <w:rPr>
          <w:lang w:eastAsia="en-AU"/>
        </w:rPr>
        <w:t>ACT, Australia.</w:t>
      </w:r>
    </w:p>
    <w:p w14:paraId="179F7A44" w14:textId="77777777" w:rsidR="00824850" w:rsidRDefault="00824850" w:rsidP="002D4419">
      <w:pPr>
        <w:pStyle w:val="Versopageheader"/>
      </w:pPr>
      <w:r w:rsidRPr="00824850">
        <w:t>Contact</w:t>
      </w:r>
    </w:p>
    <w:p w14:paraId="5C224829" w14:textId="138EC1C3" w:rsidR="00CA55B4" w:rsidRDefault="00CA55B4" w:rsidP="000E5E8D">
      <w:pPr>
        <w:pStyle w:val="Versopagetext"/>
        <w:spacing w:after="0"/>
      </w:pPr>
      <w:r>
        <w:t xml:space="preserve">Australian Government Department of </w:t>
      </w:r>
      <w:r w:rsidR="00773ADF">
        <w:t>Climate Change, Energy, the Environment and Water</w:t>
      </w:r>
    </w:p>
    <w:p w14:paraId="2A373559" w14:textId="77777777" w:rsidR="00CA55B4" w:rsidRDefault="00CA55B4" w:rsidP="000E5E8D">
      <w:pPr>
        <w:pStyle w:val="Versopagetext"/>
        <w:spacing w:after="0"/>
      </w:pPr>
      <w:r>
        <w:t>GPO Box 858 Canberra ACT 2601</w:t>
      </w:r>
    </w:p>
    <w:p w14:paraId="230652C1" w14:textId="77777777" w:rsidR="00CA55B4" w:rsidRDefault="00CA55B4" w:rsidP="000E5E8D">
      <w:pPr>
        <w:pStyle w:val="Versopagetext"/>
        <w:spacing w:after="0"/>
      </w:pPr>
      <w:r>
        <w:t>Switchboard +61 2 6272 3933 or 1800 900 090</w:t>
      </w:r>
    </w:p>
    <w:p w14:paraId="44A16B2A" w14:textId="7446D38E" w:rsidR="00CA55B4" w:rsidRDefault="00CA55B4" w:rsidP="002D4419">
      <w:pPr>
        <w:pStyle w:val="Versopagetext"/>
      </w:pPr>
      <w:r>
        <w:t xml:space="preserve">Email </w:t>
      </w:r>
      <w:hyperlink r:id="rId15" w:history="1">
        <w:r w:rsidR="000E5E8D">
          <w:rPr>
            <w:rStyle w:val="Hyperlink"/>
          </w:rPr>
          <w:t>waterquality@dcceew.gov.au</w:t>
        </w:r>
      </w:hyperlink>
    </w:p>
    <w:p w14:paraId="7F98F4CF" w14:textId="77777777" w:rsidR="001C0D1C" w:rsidRDefault="00E55B1C" w:rsidP="002D4419">
      <w:pPr>
        <w:pStyle w:val="Versopageheader"/>
      </w:pPr>
      <w:r>
        <w:t>Liability</w:t>
      </w:r>
    </w:p>
    <w:p w14:paraId="29F49F23" w14:textId="77777777" w:rsidR="001C0D1C" w:rsidRDefault="00E55B1C" w:rsidP="002D4419">
      <w:pPr>
        <w:pStyle w:val="Versopagetext"/>
      </w:pPr>
      <w:r>
        <w:t xml:space="preserve">The </w:t>
      </w:r>
      <w:r w:rsidR="00740624">
        <w:t>authors of this publication, all other entities associated with funding this publication or preparing and compiling this publication, and the publisher of this publication, and their e</w:t>
      </w:r>
      <w:r>
        <w:t>mployees and advisers</w:t>
      </w:r>
      <w:r w:rsidR="00740624">
        <w:t>,</w:t>
      </w:r>
      <w:r>
        <w:t xml:space="preserve">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F0C2F43" w14:textId="5EDED488" w:rsidR="00237B6E" w:rsidRDefault="00237B6E" w:rsidP="002D4419">
      <w:pPr>
        <w:pStyle w:val="Versopageheader"/>
      </w:pPr>
      <w:r>
        <w:t>Acknowledg</w:t>
      </w:r>
      <w:r w:rsidR="00402663">
        <w:t>e</w:t>
      </w:r>
      <w:r>
        <w:t>ments</w:t>
      </w:r>
    </w:p>
    <w:p w14:paraId="6F169FC3" w14:textId="0F690EAF" w:rsidR="009A52AA" w:rsidRDefault="00237B6E" w:rsidP="002D4419">
      <w:pPr>
        <w:pStyle w:val="Versopagetext"/>
      </w:pPr>
      <w:r>
        <w:t xml:space="preserve">This report </w:t>
      </w:r>
      <w:r w:rsidR="008A189B">
        <w:t>was</w:t>
      </w:r>
      <w:r>
        <w:t xml:space="preserve"> peer reviewed by</w:t>
      </w:r>
      <w:r w:rsidR="00C64837">
        <w:t xml:space="preserve"> 3</w:t>
      </w:r>
      <w:r>
        <w:t xml:space="preserve"> independent reviewers and </w:t>
      </w:r>
      <w:r w:rsidR="00FB0A54">
        <w:t xml:space="preserve">was </w:t>
      </w:r>
      <w:r>
        <w:t>also reviewed and approved by jurisdictional technical and policy oversight groups prior to being published.</w:t>
      </w:r>
      <w:r w:rsidR="009A52AA">
        <w:t xml:space="preserve"> We also acknowledge the numerous individuals who </w:t>
      </w:r>
      <w:r w:rsidR="00772D00">
        <w:t xml:space="preserve">provided advice </w:t>
      </w:r>
      <w:r w:rsidR="009A52AA">
        <w:t>throughout the revision of the method.</w:t>
      </w:r>
    </w:p>
    <w:p w14:paraId="4B2EAE77" w14:textId="493ED38F" w:rsidR="001C0D1C" w:rsidRDefault="00E55B1C" w:rsidP="004D7186">
      <w:r>
        <w:rPr>
          <w:noProof/>
          <w:lang w:eastAsia="en-AU"/>
        </w:rPr>
        <w:drawing>
          <wp:inline distT="0" distB="0" distL="0" distR="0" wp14:anchorId="0651C214" wp14:editId="20FE006F">
            <wp:extent cx="6032079" cy="2009574"/>
            <wp:effectExtent l="0" t="0" r="635" b="0"/>
            <wp:docPr id="4" name="Picture 4" descr="A joint project between the New Zealand Government, NSW Government, Victoria State Government, Government of Western Australia, Northern Territory Government, Government of South Australia, Queensland Government, Tasmanian Government and 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2834_1216_Water Quality state logos.jpg"/>
                    <pic:cNvPicPr/>
                  </pic:nvPicPr>
                  <pic:blipFill rotWithShape="1">
                    <a:blip r:embed="rId16">
                      <a:extLst>
                        <a:ext uri="{28A0092B-C50C-407E-A947-70E740481C1C}">
                          <a14:useLocalDpi xmlns:a14="http://schemas.microsoft.com/office/drawing/2010/main" val="0"/>
                        </a:ext>
                      </a:extLst>
                    </a:blip>
                    <a:srcRect l="3196" t="18317"/>
                    <a:stretch/>
                  </pic:blipFill>
                  <pic:spPr bwMode="auto">
                    <a:xfrm>
                      <a:off x="0" y="0"/>
                      <a:ext cx="6103390" cy="2033331"/>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8E7EA9D" w14:textId="77777777" w:rsidR="001C0D1C" w:rsidRDefault="00E55B1C" w:rsidP="00F8404F">
      <w:pPr>
        <w:pStyle w:val="TOCHeading"/>
      </w:pPr>
      <w:bookmarkStart w:id="16" w:name="_Toc202084756"/>
      <w:r>
        <w:lastRenderedPageBreak/>
        <w:t>Contents</w:t>
      </w:r>
      <w:bookmarkEnd w:id="16"/>
    </w:p>
    <w:p w14:paraId="1F83A831" w14:textId="45715C9C" w:rsidR="008A6D51" w:rsidRDefault="0031635D">
      <w:pPr>
        <w:pStyle w:val="TOC1"/>
        <w:rPr>
          <w:rFonts w:eastAsiaTheme="minorEastAsia"/>
          <w:b w:val="0"/>
          <w:kern w:val="2"/>
          <w:sz w:val="24"/>
          <w:szCs w:val="24"/>
          <w:lang w:eastAsia="en-GB"/>
          <w14:ligatures w14:val="standardContextual"/>
        </w:rPr>
      </w:pPr>
      <w:r>
        <w:fldChar w:fldCharType="begin"/>
      </w:r>
      <w:r>
        <w:instrText xml:space="preserve"> TOC \h \z \t "Heading 2,1,Heading 3,2,Heading 7,1" </w:instrText>
      </w:r>
      <w:r>
        <w:fldChar w:fldCharType="separate"/>
      </w:r>
      <w:hyperlink w:anchor="_Toc206143318" w:history="1">
        <w:r w:rsidR="008A6D51" w:rsidRPr="002B22C7">
          <w:rPr>
            <w:rStyle w:val="Hyperlink"/>
          </w:rPr>
          <w:t>Preface</w:t>
        </w:r>
        <w:r w:rsidR="008A6D51">
          <w:rPr>
            <w:webHidden/>
          </w:rPr>
          <w:tab/>
        </w:r>
        <w:r w:rsidR="008A6D51">
          <w:rPr>
            <w:webHidden/>
          </w:rPr>
          <w:fldChar w:fldCharType="begin"/>
        </w:r>
        <w:r w:rsidR="008A6D51">
          <w:rPr>
            <w:webHidden/>
          </w:rPr>
          <w:instrText xml:space="preserve"> PAGEREF _Toc206143318 \h </w:instrText>
        </w:r>
        <w:r w:rsidR="008A6D51">
          <w:rPr>
            <w:webHidden/>
          </w:rPr>
        </w:r>
        <w:r w:rsidR="008A6D51">
          <w:rPr>
            <w:webHidden/>
          </w:rPr>
          <w:fldChar w:fldCharType="separate"/>
        </w:r>
        <w:r w:rsidR="006C5761">
          <w:rPr>
            <w:webHidden/>
          </w:rPr>
          <w:t>vi</w:t>
        </w:r>
        <w:r w:rsidR="008A6D51">
          <w:rPr>
            <w:webHidden/>
          </w:rPr>
          <w:fldChar w:fldCharType="end"/>
        </w:r>
      </w:hyperlink>
    </w:p>
    <w:p w14:paraId="18D81048" w14:textId="33F204DE" w:rsidR="008A6D51" w:rsidRDefault="008A6D51">
      <w:pPr>
        <w:pStyle w:val="TOC1"/>
        <w:rPr>
          <w:rFonts w:eastAsiaTheme="minorEastAsia"/>
          <w:b w:val="0"/>
          <w:kern w:val="2"/>
          <w:sz w:val="24"/>
          <w:szCs w:val="24"/>
          <w:lang w:eastAsia="en-GB"/>
          <w14:ligatures w14:val="standardContextual"/>
        </w:rPr>
      </w:pPr>
      <w:hyperlink w:anchor="_Toc206143319" w:history="1">
        <w:r w:rsidRPr="002B22C7">
          <w:rPr>
            <w:rStyle w:val="Hyperlink"/>
          </w:rPr>
          <w:t>Summary</w:t>
        </w:r>
        <w:r>
          <w:rPr>
            <w:webHidden/>
          </w:rPr>
          <w:tab/>
        </w:r>
        <w:r>
          <w:rPr>
            <w:webHidden/>
          </w:rPr>
          <w:fldChar w:fldCharType="begin"/>
        </w:r>
        <w:r>
          <w:rPr>
            <w:webHidden/>
          </w:rPr>
          <w:instrText xml:space="preserve"> PAGEREF _Toc206143319 \h </w:instrText>
        </w:r>
        <w:r>
          <w:rPr>
            <w:webHidden/>
          </w:rPr>
        </w:r>
        <w:r>
          <w:rPr>
            <w:webHidden/>
          </w:rPr>
          <w:fldChar w:fldCharType="separate"/>
        </w:r>
        <w:r w:rsidR="006C5761">
          <w:rPr>
            <w:webHidden/>
          </w:rPr>
          <w:t>vii</w:t>
        </w:r>
        <w:r>
          <w:rPr>
            <w:webHidden/>
          </w:rPr>
          <w:fldChar w:fldCharType="end"/>
        </w:r>
      </w:hyperlink>
    </w:p>
    <w:p w14:paraId="33F561A4" w14:textId="4422A488" w:rsidR="008A6D51" w:rsidRDefault="008A6D51">
      <w:pPr>
        <w:pStyle w:val="TOC1"/>
        <w:rPr>
          <w:rFonts w:eastAsiaTheme="minorEastAsia"/>
          <w:b w:val="0"/>
          <w:kern w:val="2"/>
          <w:sz w:val="24"/>
          <w:szCs w:val="24"/>
          <w:lang w:eastAsia="en-GB"/>
          <w14:ligatures w14:val="standardContextual"/>
        </w:rPr>
      </w:pPr>
      <w:hyperlink w:anchor="_Toc206143320" w:history="1">
        <w:r w:rsidRPr="002B22C7">
          <w:rPr>
            <w:rStyle w:val="Hyperlink"/>
          </w:rPr>
          <w:t>1</w:t>
        </w:r>
        <w:r>
          <w:rPr>
            <w:rFonts w:eastAsiaTheme="minorEastAsia"/>
            <w:b w:val="0"/>
            <w:kern w:val="2"/>
            <w:sz w:val="24"/>
            <w:szCs w:val="24"/>
            <w:lang w:eastAsia="en-GB"/>
            <w14:ligatures w14:val="standardContextual"/>
          </w:rPr>
          <w:tab/>
        </w:r>
        <w:r w:rsidRPr="002B22C7">
          <w:rPr>
            <w:rStyle w:val="Hyperlink"/>
          </w:rPr>
          <w:t>Introduction</w:t>
        </w:r>
        <w:r>
          <w:rPr>
            <w:webHidden/>
          </w:rPr>
          <w:tab/>
        </w:r>
        <w:r>
          <w:rPr>
            <w:webHidden/>
          </w:rPr>
          <w:fldChar w:fldCharType="begin"/>
        </w:r>
        <w:r>
          <w:rPr>
            <w:webHidden/>
          </w:rPr>
          <w:instrText xml:space="preserve"> PAGEREF _Toc206143320 \h </w:instrText>
        </w:r>
        <w:r>
          <w:rPr>
            <w:webHidden/>
          </w:rPr>
        </w:r>
        <w:r>
          <w:rPr>
            <w:webHidden/>
          </w:rPr>
          <w:fldChar w:fldCharType="separate"/>
        </w:r>
        <w:r w:rsidR="006C5761">
          <w:rPr>
            <w:webHidden/>
          </w:rPr>
          <w:t>1</w:t>
        </w:r>
        <w:r>
          <w:rPr>
            <w:webHidden/>
          </w:rPr>
          <w:fldChar w:fldCharType="end"/>
        </w:r>
      </w:hyperlink>
    </w:p>
    <w:p w14:paraId="67AF8EFE" w14:textId="541D2AF4" w:rsidR="008A6D51" w:rsidRDefault="008A6D51">
      <w:pPr>
        <w:pStyle w:val="TOC2"/>
        <w:rPr>
          <w:rFonts w:eastAsiaTheme="minorEastAsia"/>
          <w:kern w:val="2"/>
          <w:sz w:val="24"/>
          <w:szCs w:val="24"/>
          <w:lang w:eastAsia="en-GB"/>
          <w14:ligatures w14:val="standardContextual"/>
        </w:rPr>
      </w:pPr>
      <w:hyperlink w:anchor="_Toc206143321" w:history="1">
        <w:r w:rsidRPr="002B22C7">
          <w:rPr>
            <w:rStyle w:val="Hyperlink"/>
          </w:rPr>
          <w:t>1.1</w:t>
        </w:r>
        <w:r>
          <w:rPr>
            <w:rFonts w:eastAsiaTheme="minorEastAsia"/>
            <w:kern w:val="2"/>
            <w:sz w:val="24"/>
            <w:szCs w:val="24"/>
            <w:lang w:eastAsia="en-GB"/>
            <w14:ligatures w14:val="standardContextual"/>
          </w:rPr>
          <w:tab/>
        </w:r>
        <w:r w:rsidRPr="002B22C7">
          <w:rPr>
            <w:rStyle w:val="Hyperlink"/>
          </w:rPr>
          <w:t>Background</w:t>
        </w:r>
        <w:r>
          <w:rPr>
            <w:webHidden/>
          </w:rPr>
          <w:tab/>
        </w:r>
        <w:r>
          <w:rPr>
            <w:webHidden/>
          </w:rPr>
          <w:fldChar w:fldCharType="begin"/>
        </w:r>
        <w:r>
          <w:rPr>
            <w:webHidden/>
          </w:rPr>
          <w:instrText xml:space="preserve"> PAGEREF _Toc206143321 \h </w:instrText>
        </w:r>
        <w:r>
          <w:rPr>
            <w:webHidden/>
          </w:rPr>
        </w:r>
        <w:r>
          <w:rPr>
            <w:webHidden/>
          </w:rPr>
          <w:fldChar w:fldCharType="separate"/>
        </w:r>
        <w:r w:rsidR="006C5761">
          <w:rPr>
            <w:webHidden/>
          </w:rPr>
          <w:t>1</w:t>
        </w:r>
        <w:r>
          <w:rPr>
            <w:webHidden/>
          </w:rPr>
          <w:fldChar w:fldCharType="end"/>
        </w:r>
      </w:hyperlink>
    </w:p>
    <w:p w14:paraId="550D8BE0" w14:textId="3BBF3E18" w:rsidR="008A6D51" w:rsidRDefault="008A6D51">
      <w:pPr>
        <w:pStyle w:val="TOC2"/>
        <w:rPr>
          <w:rFonts w:eastAsiaTheme="minorEastAsia"/>
          <w:kern w:val="2"/>
          <w:sz w:val="24"/>
          <w:szCs w:val="24"/>
          <w:lang w:eastAsia="en-GB"/>
          <w14:ligatures w14:val="standardContextual"/>
        </w:rPr>
      </w:pPr>
      <w:hyperlink w:anchor="_Toc206143322" w:history="1">
        <w:r w:rsidRPr="002B22C7">
          <w:rPr>
            <w:rStyle w:val="Hyperlink"/>
          </w:rPr>
          <w:t>1.2</w:t>
        </w:r>
        <w:r>
          <w:rPr>
            <w:rFonts w:eastAsiaTheme="minorEastAsia"/>
            <w:kern w:val="2"/>
            <w:sz w:val="24"/>
            <w:szCs w:val="24"/>
            <w:lang w:eastAsia="en-GB"/>
            <w14:ligatures w14:val="standardContextual"/>
          </w:rPr>
          <w:tab/>
        </w:r>
        <w:r w:rsidRPr="002B22C7">
          <w:rPr>
            <w:rStyle w:val="Hyperlink"/>
          </w:rPr>
          <w:t>Purpose of this report</w:t>
        </w:r>
        <w:r>
          <w:rPr>
            <w:webHidden/>
          </w:rPr>
          <w:tab/>
        </w:r>
        <w:r>
          <w:rPr>
            <w:webHidden/>
          </w:rPr>
          <w:fldChar w:fldCharType="begin"/>
        </w:r>
        <w:r>
          <w:rPr>
            <w:webHidden/>
          </w:rPr>
          <w:instrText xml:space="preserve"> PAGEREF _Toc206143322 \h </w:instrText>
        </w:r>
        <w:r>
          <w:rPr>
            <w:webHidden/>
          </w:rPr>
        </w:r>
        <w:r>
          <w:rPr>
            <w:webHidden/>
          </w:rPr>
          <w:fldChar w:fldCharType="separate"/>
        </w:r>
        <w:r w:rsidR="006C5761">
          <w:rPr>
            <w:webHidden/>
          </w:rPr>
          <w:t>1</w:t>
        </w:r>
        <w:r>
          <w:rPr>
            <w:webHidden/>
          </w:rPr>
          <w:fldChar w:fldCharType="end"/>
        </w:r>
      </w:hyperlink>
    </w:p>
    <w:p w14:paraId="03BBF5E8" w14:textId="3DE6CCC2" w:rsidR="008A6D51" w:rsidRDefault="008A6D51">
      <w:pPr>
        <w:pStyle w:val="TOC1"/>
        <w:rPr>
          <w:rFonts w:eastAsiaTheme="minorEastAsia"/>
          <w:b w:val="0"/>
          <w:kern w:val="2"/>
          <w:sz w:val="24"/>
          <w:szCs w:val="24"/>
          <w:lang w:eastAsia="en-GB"/>
          <w14:ligatures w14:val="standardContextual"/>
        </w:rPr>
      </w:pPr>
      <w:hyperlink w:anchor="_Toc206143323" w:history="1">
        <w:r w:rsidRPr="002B22C7">
          <w:rPr>
            <w:rStyle w:val="Hyperlink"/>
          </w:rPr>
          <w:t>2</w:t>
        </w:r>
        <w:r>
          <w:rPr>
            <w:rFonts w:eastAsiaTheme="minorEastAsia"/>
            <w:b w:val="0"/>
            <w:kern w:val="2"/>
            <w:sz w:val="24"/>
            <w:szCs w:val="24"/>
            <w:lang w:eastAsia="en-GB"/>
            <w14:ligatures w14:val="standardContextual"/>
          </w:rPr>
          <w:tab/>
        </w:r>
        <w:r w:rsidRPr="002B22C7">
          <w:rPr>
            <w:rStyle w:val="Hyperlink"/>
          </w:rPr>
          <w:t>Overview of the revised method</w:t>
        </w:r>
        <w:r>
          <w:rPr>
            <w:webHidden/>
          </w:rPr>
          <w:tab/>
        </w:r>
        <w:r>
          <w:rPr>
            <w:webHidden/>
          </w:rPr>
          <w:fldChar w:fldCharType="begin"/>
        </w:r>
        <w:r>
          <w:rPr>
            <w:webHidden/>
          </w:rPr>
          <w:instrText xml:space="preserve"> PAGEREF _Toc206143323 \h </w:instrText>
        </w:r>
        <w:r>
          <w:rPr>
            <w:webHidden/>
          </w:rPr>
        </w:r>
        <w:r>
          <w:rPr>
            <w:webHidden/>
          </w:rPr>
          <w:fldChar w:fldCharType="separate"/>
        </w:r>
        <w:r w:rsidR="006C5761">
          <w:rPr>
            <w:webHidden/>
          </w:rPr>
          <w:t>2</w:t>
        </w:r>
        <w:r>
          <w:rPr>
            <w:webHidden/>
          </w:rPr>
          <w:fldChar w:fldCharType="end"/>
        </w:r>
      </w:hyperlink>
    </w:p>
    <w:p w14:paraId="5CD57D7A" w14:textId="64FA1F6C" w:rsidR="008A6D51" w:rsidRDefault="008A6D51">
      <w:pPr>
        <w:pStyle w:val="TOC2"/>
        <w:rPr>
          <w:rFonts w:eastAsiaTheme="minorEastAsia"/>
          <w:kern w:val="2"/>
          <w:sz w:val="24"/>
          <w:szCs w:val="24"/>
          <w:lang w:eastAsia="en-GB"/>
          <w14:ligatures w14:val="standardContextual"/>
        </w:rPr>
      </w:pPr>
      <w:hyperlink w:anchor="_Toc206143324" w:history="1">
        <w:r w:rsidRPr="002B22C7">
          <w:rPr>
            <w:rStyle w:val="Hyperlink"/>
            <w:lang w:eastAsia="ja-JP"/>
          </w:rPr>
          <w:t>2.1</w:t>
        </w:r>
        <w:r>
          <w:rPr>
            <w:rFonts w:eastAsiaTheme="minorEastAsia"/>
            <w:kern w:val="2"/>
            <w:sz w:val="24"/>
            <w:szCs w:val="24"/>
            <w:lang w:eastAsia="en-GB"/>
            <w14:ligatures w14:val="standardContextual"/>
          </w:rPr>
          <w:tab/>
        </w:r>
        <w:r w:rsidRPr="002B22C7">
          <w:rPr>
            <w:rStyle w:val="Hyperlink"/>
            <w:lang w:eastAsia="ja-JP"/>
          </w:rPr>
          <w:t>Key features</w:t>
        </w:r>
        <w:r>
          <w:rPr>
            <w:webHidden/>
          </w:rPr>
          <w:tab/>
        </w:r>
        <w:r>
          <w:rPr>
            <w:webHidden/>
          </w:rPr>
          <w:fldChar w:fldCharType="begin"/>
        </w:r>
        <w:r>
          <w:rPr>
            <w:webHidden/>
          </w:rPr>
          <w:instrText xml:space="preserve"> PAGEREF _Toc206143324 \h </w:instrText>
        </w:r>
        <w:r>
          <w:rPr>
            <w:webHidden/>
          </w:rPr>
        </w:r>
        <w:r>
          <w:rPr>
            <w:webHidden/>
          </w:rPr>
          <w:fldChar w:fldCharType="separate"/>
        </w:r>
        <w:r w:rsidR="006C5761">
          <w:rPr>
            <w:webHidden/>
          </w:rPr>
          <w:t>2</w:t>
        </w:r>
        <w:r>
          <w:rPr>
            <w:webHidden/>
          </w:rPr>
          <w:fldChar w:fldCharType="end"/>
        </w:r>
      </w:hyperlink>
    </w:p>
    <w:p w14:paraId="053B9401" w14:textId="5B840988" w:rsidR="008A6D51" w:rsidRDefault="008A6D51">
      <w:pPr>
        <w:pStyle w:val="TOC2"/>
        <w:rPr>
          <w:rFonts w:eastAsiaTheme="minorEastAsia"/>
          <w:kern w:val="2"/>
          <w:sz w:val="24"/>
          <w:szCs w:val="24"/>
          <w:lang w:eastAsia="en-GB"/>
          <w14:ligatures w14:val="standardContextual"/>
        </w:rPr>
      </w:pPr>
      <w:hyperlink w:anchor="_Toc206143325" w:history="1">
        <w:r w:rsidRPr="002B22C7">
          <w:rPr>
            <w:rStyle w:val="Hyperlink"/>
            <w:lang w:eastAsia="ja-JP"/>
          </w:rPr>
          <w:t>2.2</w:t>
        </w:r>
        <w:r>
          <w:rPr>
            <w:rFonts w:eastAsiaTheme="minorEastAsia"/>
            <w:kern w:val="2"/>
            <w:sz w:val="24"/>
            <w:szCs w:val="24"/>
            <w:lang w:eastAsia="en-GB"/>
            <w14:ligatures w14:val="standardContextual"/>
          </w:rPr>
          <w:tab/>
        </w:r>
        <w:r w:rsidRPr="002B22C7">
          <w:rPr>
            <w:rStyle w:val="Hyperlink"/>
            <w:lang w:eastAsia="ja-JP"/>
          </w:rPr>
          <w:t>Default guideline values and analytical methods</w:t>
        </w:r>
        <w:r>
          <w:rPr>
            <w:webHidden/>
          </w:rPr>
          <w:tab/>
        </w:r>
        <w:r>
          <w:rPr>
            <w:webHidden/>
          </w:rPr>
          <w:fldChar w:fldCharType="begin"/>
        </w:r>
        <w:r>
          <w:rPr>
            <w:webHidden/>
          </w:rPr>
          <w:instrText xml:space="preserve"> PAGEREF _Toc206143325 \h </w:instrText>
        </w:r>
        <w:r>
          <w:rPr>
            <w:webHidden/>
          </w:rPr>
        </w:r>
        <w:r>
          <w:rPr>
            <w:webHidden/>
          </w:rPr>
          <w:fldChar w:fldCharType="separate"/>
        </w:r>
        <w:r w:rsidR="006C5761">
          <w:rPr>
            <w:webHidden/>
          </w:rPr>
          <w:t>3</w:t>
        </w:r>
        <w:r>
          <w:rPr>
            <w:webHidden/>
          </w:rPr>
          <w:fldChar w:fldCharType="end"/>
        </w:r>
      </w:hyperlink>
    </w:p>
    <w:p w14:paraId="59A9A64E" w14:textId="72DE6FAD" w:rsidR="008A6D51" w:rsidRDefault="008A6D51">
      <w:pPr>
        <w:pStyle w:val="TOC2"/>
        <w:rPr>
          <w:rFonts w:eastAsiaTheme="minorEastAsia"/>
          <w:kern w:val="2"/>
          <w:sz w:val="24"/>
          <w:szCs w:val="24"/>
          <w:lang w:eastAsia="en-GB"/>
          <w14:ligatures w14:val="standardContextual"/>
        </w:rPr>
      </w:pPr>
      <w:hyperlink w:anchor="_Toc206143326" w:history="1">
        <w:r w:rsidRPr="002B22C7">
          <w:rPr>
            <w:rStyle w:val="Hyperlink"/>
            <w:lang w:eastAsia="ja-JP"/>
          </w:rPr>
          <w:t>2.3</w:t>
        </w:r>
        <w:r>
          <w:rPr>
            <w:rFonts w:eastAsiaTheme="minorEastAsia"/>
            <w:kern w:val="2"/>
            <w:sz w:val="24"/>
            <w:szCs w:val="24"/>
            <w:lang w:eastAsia="en-GB"/>
            <w14:ligatures w14:val="standardContextual"/>
          </w:rPr>
          <w:tab/>
        </w:r>
        <w:r w:rsidRPr="002B22C7">
          <w:rPr>
            <w:rStyle w:val="Hyperlink"/>
            <w:lang w:eastAsia="ja-JP"/>
          </w:rPr>
          <w:t>Preferred guideline value derivation method</w:t>
        </w:r>
        <w:r>
          <w:rPr>
            <w:webHidden/>
          </w:rPr>
          <w:tab/>
        </w:r>
        <w:r>
          <w:rPr>
            <w:webHidden/>
          </w:rPr>
          <w:fldChar w:fldCharType="begin"/>
        </w:r>
        <w:r>
          <w:rPr>
            <w:webHidden/>
          </w:rPr>
          <w:instrText xml:space="preserve"> PAGEREF _Toc206143326 \h </w:instrText>
        </w:r>
        <w:r>
          <w:rPr>
            <w:webHidden/>
          </w:rPr>
        </w:r>
        <w:r>
          <w:rPr>
            <w:webHidden/>
          </w:rPr>
          <w:fldChar w:fldCharType="separate"/>
        </w:r>
        <w:r w:rsidR="006C5761">
          <w:rPr>
            <w:webHidden/>
          </w:rPr>
          <w:t>3</w:t>
        </w:r>
        <w:r>
          <w:rPr>
            <w:webHidden/>
          </w:rPr>
          <w:fldChar w:fldCharType="end"/>
        </w:r>
      </w:hyperlink>
    </w:p>
    <w:p w14:paraId="5C5DE429" w14:textId="74F9B282" w:rsidR="008A6D51" w:rsidRDefault="008A6D51">
      <w:pPr>
        <w:pStyle w:val="TOC1"/>
        <w:rPr>
          <w:rFonts w:eastAsiaTheme="minorEastAsia"/>
          <w:b w:val="0"/>
          <w:kern w:val="2"/>
          <w:sz w:val="24"/>
          <w:szCs w:val="24"/>
          <w:lang w:eastAsia="en-GB"/>
          <w14:ligatures w14:val="standardContextual"/>
        </w:rPr>
      </w:pPr>
      <w:hyperlink w:anchor="_Toc206143327" w:history="1">
        <w:r w:rsidRPr="002B22C7">
          <w:rPr>
            <w:rStyle w:val="Hyperlink"/>
          </w:rPr>
          <w:t>3</w:t>
        </w:r>
        <w:r>
          <w:rPr>
            <w:rFonts w:eastAsiaTheme="minorEastAsia"/>
            <w:b w:val="0"/>
            <w:kern w:val="2"/>
            <w:sz w:val="24"/>
            <w:szCs w:val="24"/>
            <w:lang w:eastAsia="en-GB"/>
            <w14:ligatures w14:val="standardContextual"/>
          </w:rPr>
          <w:tab/>
        </w:r>
        <w:r w:rsidRPr="002B22C7">
          <w:rPr>
            <w:rStyle w:val="Hyperlink"/>
          </w:rPr>
          <w:t>Method for calculating guideline values using the species sensitivity distribution approach</w:t>
        </w:r>
        <w:r>
          <w:rPr>
            <w:webHidden/>
          </w:rPr>
          <w:tab/>
        </w:r>
        <w:r>
          <w:rPr>
            <w:webHidden/>
          </w:rPr>
          <w:fldChar w:fldCharType="begin"/>
        </w:r>
        <w:r>
          <w:rPr>
            <w:webHidden/>
          </w:rPr>
          <w:instrText xml:space="preserve"> PAGEREF _Toc206143327 \h </w:instrText>
        </w:r>
        <w:r>
          <w:rPr>
            <w:webHidden/>
          </w:rPr>
        </w:r>
        <w:r>
          <w:rPr>
            <w:webHidden/>
          </w:rPr>
          <w:fldChar w:fldCharType="separate"/>
        </w:r>
        <w:r w:rsidR="006C5761">
          <w:rPr>
            <w:webHidden/>
          </w:rPr>
          <w:t>5</w:t>
        </w:r>
        <w:r>
          <w:rPr>
            <w:webHidden/>
          </w:rPr>
          <w:fldChar w:fldCharType="end"/>
        </w:r>
      </w:hyperlink>
    </w:p>
    <w:p w14:paraId="1906F354" w14:textId="434185B6" w:rsidR="008A6D51" w:rsidRDefault="008A6D51">
      <w:pPr>
        <w:pStyle w:val="TOC2"/>
        <w:rPr>
          <w:rFonts w:eastAsiaTheme="minorEastAsia"/>
          <w:kern w:val="2"/>
          <w:sz w:val="24"/>
          <w:szCs w:val="24"/>
          <w:lang w:eastAsia="en-GB"/>
          <w14:ligatures w14:val="standardContextual"/>
        </w:rPr>
      </w:pPr>
      <w:hyperlink w:anchor="_Toc206143328" w:history="1">
        <w:r w:rsidRPr="002B22C7">
          <w:rPr>
            <w:rStyle w:val="Hyperlink"/>
            <w:lang w:eastAsia="ja-JP"/>
          </w:rPr>
          <w:t>3.1</w:t>
        </w:r>
        <w:r>
          <w:rPr>
            <w:rFonts w:eastAsiaTheme="minorEastAsia"/>
            <w:kern w:val="2"/>
            <w:sz w:val="24"/>
            <w:szCs w:val="24"/>
            <w:lang w:eastAsia="en-GB"/>
            <w14:ligatures w14:val="standardContextual"/>
          </w:rPr>
          <w:tab/>
        </w:r>
        <w:r w:rsidRPr="002B22C7">
          <w:rPr>
            <w:rStyle w:val="Hyperlink"/>
            <w:lang w:eastAsia="ja-JP"/>
          </w:rPr>
          <w:t>Collating toxicity and physicochemical data</w:t>
        </w:r>
        <w:r>
          <w:rPr>
            <w:webHidden/>
          </w:rPr>
          <w:tab/>
        </w:r>
        <w:r>
          <w:rPr>
            <w:webHidden/>
          </w:rPr>
          <w:fldChar w:fldCharType="begin"/>
        </w:r>
        <w:r>
          <w:rPr>
            <w:webHidden/>
          </w:rPr>
          <w:instrText xml:space="preserve"> PAGEREF _Toc206143328 \h </w:instrText>
        </w:r>
        <w:r>
          <w:rPr>
            <w:webHidden/>
          </w:rPr>
        </w:r>
        <w:r>
          <w:rPr>
            <w:webHidden/>
          </w:rPr>
          <w:fldChar w:fldCharType="separate"/>
        </w:r>
        <w:r w:rsidR="006C5761">
          <w:rPr>
            <w:webHidden/>
          </w:rPr>
          <w:t>6</w:t>
        </w:r>
        <w:r>
          <w:rPr>
            <w:webHidden/>
          </w:rPr>
          <w:fldChar w:fldCharType="end"/>
        </w:r>
      </w:hyperlink>
    </w:p>
    <w:p w14:paraId="3AB1AFB6" w14:textId="54326D7F" w:rsidR="008A6D51" w:rsidRDefault="008A6D51">
      <w:pPr>
        <w:pStyle w:val="TOC2"/>
        <w:rPr>
          <w:rFonts w:eastAsiaTheme="minorEastAsia"/>
          <w:kern w:val="2"/>
          <w:sz w:val="24"/>
          <w:szCs w:val="24"/>
          <w:lang w:eastAsia="en-GB"/>
          <w14:ligatures w14:val="standardContextual"/>
        </w:rPr>
      </w:pPr>
      <w:hyperlink w:anchor="_Toc206143329" w:history="1">
        <w:r w:rsidRPr="002B22C7">
          <w:rPr>
            <w:rStyle w:val="Hyperlink"/>
          </w:rPr>
          <w:t>3.2</w:t>
        </w:r>
        <w:r>
          <w:rPr>
            <w:rFonts w:eastAsiaTheme="minorEastAsia"/>
            <w:kern w:val="2"/>
            <w:sz w:val="24"/>
            <w:szCs w:val="24"/>
            <w:lang w:eastAsia="en-GB"/>
            <w14:ligatures w14:val="standardContextual"/>
          </w:rPr>
          <w:tab/>
        </w:r>
        <w:r w:rsidRPr="002B22C7">
          <w:rPr>
            <w:rStyle w:val="Hyperlink"/>
          </w:rPr>
          <w:t>Screening toxicity data</w:t>
        </w:r>
        <w:r>
          <w:rPr>
            <w:webHidden/>
          </w:rPr>
          <w:tab/>
        </w:r>
        <w:r>
          <w:rPr>
            <w:webHidden/>
          </w:rPr>
          <w:fldChar w:fldCharType="begin"/>
        </w:r>
        <w:r>
          <w:rPr>
            <w:webHidden/>
          </w:rPr>
          <w:instrText xml:space="preserve"> PAGEREF _Toc206143329 \h </w:instrText>
        </w:r>
        <w:r>
          <w:rPr>
            <w:webHidden/>
          </w:rPr>
        </w:r>
        <w:r>
          <w:rPr>
            <w:webHidden/>
          </w:rPr>
          <w:fldChar w:fldCharType="separate"/>
        </w:r>
        <w:r w:rsidR="006C5761">
          <w:rPr>
            <w:webHidden/>
          </w:rPr>
          <w:t>10</w:t>
        </w:r>
        <w:r>
          <w:rPr>
            <w:webHidden/>
          </w:rPr>
          <w:fldChar w:fldCharType="end"/>
        </w:r>
      </w:hyperlink>
    </w:p>
    <w:p w14:paraId="4DAEBCEC" w14:textId="5BDE67BD" w:rsidR="008A6D51" w:rsidRDefault="008A6D51">
      <w:pPr>
        <w:pStyle w:val="TOC2"/>
        <w:rPr>
          <w:rFonts w:eastAsiaTheme="minorEastAsia"/>
          <w:kern w:val="2"/>
          <w:sz w:val="24"/>
          <w:szCs w:val="24"/>
          <w:lang w:eastAsia="en-GB"/>
          <w14:ligatures w14:val="standardContextual"/>
        </w:rPr>
      </w:pPr>
      <w:hyperlink w:anchor="_Toc206143330" w:history="1">
        <w:r w:rsidRPr="002B22C7">
          <w:rPr>
            <w:rStyle w:val="Hyperlink"/>
            <w:lang w:eastAsia="ja-JP"/>
          </w:rPr>
          <w:t>3.3</w:t>
        </w:r>
        <w:r>
          <w:rPr>
            <w:rFonts w:eastAsiaTheme="minorEastAsia"/>
            <w:kern w:val="2"/>
            <w:sz w:val="24"/>
            <w:szCs w:val="24"/>
            <w:lang w:eastAsia="en-GB"/>
            <w14:ligatures w14:val="standardContextual"/>
          </w:rPr>
          <w:tab/>
        </w:r>
        <w:r w:rsidRPr="002B22C7">
          <w:rPr>
            <w:rStyle w:val="Hyperlink"/>
            <w:lang w:eastAsia="ja-JP"/>
          </w:rPr>
          <w:t>Assessing the quality of toxicity data</w:t>
        </w:r>
        <w:r>
          <w:rPr>
            <w:webHidden/>
          </w:rPr>
          <w:tab/>
        </w:r>
        <w:r>
          <w:rPr>
            <w:webHidden/>
          </w:rPr>
          <w:fldChar w:fldCharType="begin"/>
        </w:r>
        <w:r>
          <w:rPr>
            <w:webHidden/>
          </w:rPr>
          <w:instrText xml:space="preserve"> PAGEREF _Toc206143330 \h </w:instrText>
        </w:r>
        <w:r>
          <w:rPr>
            <w:webHidden/>
          </w:rPr>
        </w:r>
        <w:r>
          <w:rPr>
            <w:webHidden/>
          </w:rPr>
          <w:fldChar w:fldCharType="separate"/>
        </w:r>
        <w:r w:rsidR="006C5761">
          <w:rPr>
            <w:webHidden/>
          </w:rPr>
          <w:t>14</w:t>
        </w:r>
        <w:r>
          <w:rPr>
            <w:webHidden/>
          </w:rPr>
          <w:fldChar w:fldCharType="end"/>
        </w:r>
      </w:hyperlink>
    </w:p>
    <w:p w14:paraId="4392817A" w14:textId="44A55FE2" w:rsidR="008A6D51" w:rsidRDefault="008A6D51">
      <w:pPr>
        <w:pStyle w:val="TOC2"/>
        <w:rPr>
          <w:rFonts w:eastAsiaTheme="minorEastAsia"/>
          <w:kern w:val="2"/>
          <w:sz w:val="24"/>
          <w:szCs w:val="24"/>
          <w:lang w:eastAsia="en-GB"/>
          <w14:ligatures w14:val="standardContextual"/>
        </w:rPr>
      </w:pPr>
      <w:hyperlink w:anchor="_Toc206143331" w:history="1">
        <w:r w:rsidRPr="002B22C7">
          <w:rPr>
            <w:rStyle w:val="Hyperlink"/>
          </w:rPr>
          <w:t>3.4</w:t>
        </w:r>
        <w:r>
          <w:rPr>
            <w:rFonts w:eastAsiaTheme="minorEastAsia"/>
            <w:kern w:val="2"/>
            <w:sz w:val="24"/>
            <w:szCs w:val="24"/>
            <w:lang w:eastAsia="en-GB"/>
            <w14:ligatures w14:val="standardContextual"/>
          </w:rPr>
          <w:tab/>
        </w:r>
        <w:r w:rsidRPr="002B22C7">
          <w:rPr>
            <w:rStyle w:val="Hyperlink"/>
          </w:rPr>
          <w:t>Selection of data to derive guideline values</w:t>
        </w:r>
        <w:r>
          <w:rPr>
            <w:webHidden/>
          </w:rPr>
          <w:tab/>
        </w:r>
        <w:r>
          <w:rPr>
            <w:webHidden/>
          </w:rPr>
          <w:fldChar w:fldCharType="begin"/>
        </w:r>
        <w:r>
          <w:rPr>
            <w:webHidden/>
          </w:rPr>
          <w:instrText xml:space="preserve"> PAGEREF _Toc206143331 \h </w:instrText>
        </w:r>
        <w:r>
          <w:rPr>
            <w:webHidden/>
          </w:rPr>
        </w:r>
        <w:r>
          <w:rPr>
            <w:webHidden/>
          </w:rPr>
          <w:fldChar w:fldCharType="separate"/>
        </w:r>
        <w:r w:rsidR="006C5761">
          <w:rPr>
            <w:webHidden/>
          </w:rPr>
          <w:t>19</w:t>
        </w:r>
        <w:r>
          <w:rPr>
            <w:webHidden/>
          </w:rPr>
          <w:fldChar w:fldCharType="end"/>
        </w:r>
      </w:hyperlink>
    </w:p>
    <w:p w14:paraId="667DF3B1" w14:textId="4A2B2BC1" w:rsidR="008A6D51" w:rsidRDefault="008A6D51">
      <w:pPr>
        <w:pStyle w:val="TOC2"/>
        <w:rPr>
          <w:rFonts w:eastAsiaTheme="minorEastAsia"/>
          <w:kern w:val="2"/>
          <w:sz w:val="24"/>
          <w:szCs w:val="24"/>
          <w:lang w:eastAsia="en-GB"/>
          <w14:ligatures w14:val="standardContextual"/>
        </w:rPr>
      </w:pPr>
      <w:hyperlink w:anchor="_Toc206143332" w:history="1">
        <w:r w:rsidRPr="002B22C7">
          <w:rPr>
            <w:rStyle w:val="Hyperlink"/>
          </w:rPr>
          <w:t>3.5</w:t>
        </w:r>
        <w:r>
          <w:rPr>
            <w:rFonts w:eastAsiaTheme="minorEastAsia"/>
            <w:kern w:val="2"/>
            <w:sz w:val="24"/>
            <w:szCs w:val="24"/>
            <w:lang w:eastAsia="en-GB"/>
            <w14:ligatures w14:val="standardContextual"/>
          </w:rPr>
          <w:tab/>
        </w:r>
        <w:r w:rsidRPr="002B22C7">
          <w:rPr>
            <w:rStyle w:val="Hyperlink"/>
          </w:rPr>
          <w:t>Checking the toxicity data for multimodal distributions</w:t>
        </w:r>
        <w:r>
          <w:rPr>
            <w:webHidden/>
          </w:rPr>
          <w:tab/>
        </w:r>
        <w:r>
          <w:rPr>
            <w:webHidden/>
          </w:rPr>
          <w:fldChar w:fldCharType="begin"/>
        </w:r>
        <w:r>
          <w:rPr>
            <w:webHidden/>
          </w:rPr>
          <w:instrText xml:space="preserve"> PAGEREF _Toc206143332 \h </w:instrText>
        </w:r>
        <w:r>
          <w:rPr>
            <w:webHidden/>
          </w:rPr>
        </w:r>
        <w:r>
          <w:rPr>
            <w:webHidden/>
          </w:rPr>
          <w:fldChar w:fldCharType="separate"/>
        </w:r>
        <w:r w:rsidR="006C5761">
          <w:rPr>
            <w:webHidden/>
          </w:rPr>
          <w:t>28</w:t>
        </w:r>
        <w:r>
          <w:rPr>
            <w:webHidden/>
          </w:rPr>
          <w:fldChar w:fldCharType="end"/>
        </w:r>
      </w:hyperlink>
    </w:p>
    <w:p w14:paraId="08FACD5B" w14:textId="5D25ABF7" w:rsidR="008A6D51" w:rsidRDefault="008A6D51">
      <w:pPr>
        <w:pStyle w:val="TOC2"/>
        <w:rPr>
          <w:rFonts w:eastAsiaTheme="minorEastAsia"/>
          <w:kern w:val="2"/>
          <w:sz w:val="24"/>
          <w:szCs w:val="24"/>
          <w:lang w:eastAsia="en-GB"/>
          <w14:ligatures w14:val="standardContextual"/>
        </w:rPr>
      </w:pPr>
      <w:hyperlink w:anchor="_Toc206143333" w:history="1">
        <w:r w:rsidRPr="002B22C7">
          <w:rPr>
            <w:rStyle w:val="Hyperlink"/>
          </w:rPr>
          <w:t>3.6</w:t>
        </w:r>
        <w:r>
          <w:rPr>
            <w:rFonts w:eastAsiaTheme="minorEastAsia"/>
            <w:kern w:val="2"/>
            <w:sz w:val="24"/>
            <w:szCs w:val="24"/>
            <w:lang w:eastAsia="en-GB"/>
            <w14:ligatures w14:val="standardContextual"/>
          </w:rPr>
          <w:tab/>
        </w:r>
        <w:r w:rsidRPr="002B22C7">
          <w:rPr>
            <w:rStyle w:val="Hyperlink"/>
          </w:rPr>
          <w:t>Use of (shiny)ssdtools</w:t>
        </w:r>
        <w:r>
          <w:rPr>
            <w:webHidden/>
          </w:rPr>
          <w:tab/>
        </w:r>
        <w:r>
          <w:rPr>
            <w:webHidden/>
          </w:rPr>
          <w:fldChar w:fldCharType="begin"/>
        </w:r>
        <w:r>
          <w:rPr>
            <w:webHidden/>
          </w:rPr>
          <w:instrText xml:space="preserve"> PAGEREF _Toc206143333 \h </w:instrText>
        </w:r>
        <w:r>
          <w:rPr>
            <w:webHidden/>
          </w:rPr>
        </w:r>
        <w:r>
          <w:rPr>
            <w:webHidden/>
          </w:rPr>
          <w:fldChar w:fldCharType="separate"/>
        </w:r>
        <w:r w:rsidR="006C5761">
          <w:rPr>
            <w:webHidden/>
          </w:rPr>
          <w:t>31</w:t>
        </w:r>
        <w:r>
          <w:rPr>
            <w:webHidden/>
          </w:rPr>
          <w:fldChar w:fldCharType="end"/>
        </w:r>
      </w:hyperlink>
    </w:p>
    <w:p w14:paraId="18A4DFCC" w14:textId="6C2AA453" w:rsidR="008A6D51" w:rsidRDefault="008A6D51">
      <w:pPr>
        <w:pStyle w:val="TOC2"/>
        <w:rPr>
          <w:rFonts w:eastAsiaTheme="minorEastAsia"/>
          <w:kern w:val="2"/>
          <w:sz w:val="24"/>
          <w:szCs w:val="24"/>
          <w:lang w:eastAsia="en-GB"/>
          <w14:ligatures w14:val="standardContextual"/>
        </w:rPr>
      </w:pPr>
      <w:hyperlink w:anchor="_Toc206143334" w:history="1">
        <w:r w:rsidRPr="002B22C7">
          <w:rPr>
            <w:rStyle w:val="Hyperlink"/>
          </w:rPr>
          <w:t>3.7</w:t>
        </w:r>
        <w:r>
          <w:rPr>
            <w:rFonts w:eastAsiaTheme="minorEastAsia"/>
            <w:kern w:val="2"/>
            <w:sz w:val="24"/>
            <w:szCs w:val="24"/>
            <w:lang w:eastAsia="en-GB"/>
            <w14:ligatures w14:val="standardContextual"/>
          </w:rPr>
          <w:tab/>
        </w:r>
        <w:r w:rsidRPr="002B22C7">
          <w:rPr>
            <w:rStyle w:val="Hyperlink"/>
          </w:rPr>
          <w:t>Calculate guideline values</w:t>
        </w:r>
        <w:r>
          <w:rPr>
            <w:webHidden/>
          </w:rPr>
          <w:tab/>
        </w:r>
        <w:r>
          <w:rPr>
            <w:webHidden/>
          </w:rPr>
          <w:fldChar w:fldCharType="begin"/>
        </w:r>
        <w:r>
          <w:rPr>
            <w:webHidden/>
          </w:rPr>
          <w:instrText xml:space="preserve"> PAGEREF _Toc206143334 \h </w:instrText>
        </w:r>
        <w:r>
          <w:rPr>
            <w:webHidden/>
          </w:rPr>
        </w:r>
        <w:r>
          <w:rPr>
            <w:webHidden/>
          </w:rPr>
          <w:fldChar w:fldCharType="separate"/>
        </w:r>
        <w:r w:rsidR="006C5761">
          <w:rPr>
            <w:webHidden/>
          </w:rPr>
          <w:t>32</w:t>
        </w:r>
        <w:r>
          <w:rPr>
            <w:webHidden/>
          </w:rPr>
          <w:fldChar w:fldCharType="end"/>
        </w:r>
      </w:hyperlink>
    </w:p>
    <w:p w14:paraId="082A5062" w14:textId="7EF423E3" w:rsidR="008A6D51" w:rsidRDefault="008A6D51">
      <w:pPr>
        <w:pStyle w:val="TOC2"/>
        <w:rPr>
          <w:rFonts w:eastAsiaTheme="minorEastAsia"/>
          <w:kern w:val="2"/>
          <w:sz w:val="24"/>
          <w:szCs w:val="24"/>
          <w:lang w:eastAsia="en-GB"/>
          <w14:ligatures w14:val="standardContextual"/>
        </w:rPr>
      </w:pPr>
      <w:hyperlink w:anchor="_Toc206143335" w:history="1">
        <w:r w:rsidRPr="002B22C7">
          <w:rPr>
            <w:rStyle w:val="Hyperlink"/>
          </w:rPr>
          <w:t>3.8</w:t>
        </w:r>
        <w:r>
          <w:rPr>
            <w:rFonts w:eastAsiaTheme="minorEastAsia"/>
            <w:kern w:val="2"/>
            <w:sz w:val="24"/>
            <w:szCs w:val="24"/>
            <w:lang w:eastAsia="en-GB"/>
            <w14:ligatures w14:val="standardContextual"/>
          </w:rPr>
          <w:tab/>
        </w:r>
        <w:r w:rsidRPr="002B22C7">
          <w:rPr>
            <w:rStyle w:val="Hyperlink"/>
          </w:rPr>
          <w:t>Determine the reliability of the guideline values</w:t>
        </w:r>
        <w:r>
          <w:rPr>
            <w:webHidden/>
          </w:rPr>
          <w:tab/>
        </w:r>
        <w:r>
          <w:rPr>
            <w:webHidden/>
          </w:rPr>
          <w:fldChar w:fldCharType="begin"/>
        </w:r>
        <w:r>
          <w:rPr>
            <w:webHidden/>
          </w:rPr>
          <w:instrText xml:space="preserve"> PAGEREF _Toc206143335 \h </w:instrText>
        </w:r>
        <w:r>
          <w:rPr>
            <w:webHidden/>
          </w:rPr>
        </w:r>
        <w:r>
          <w:rPr>
            <w:webHidden/>
          </w:rPr>
          <w:fldChar w:fldCharType="separate"/>
        </w:r>
        <w:r w:rsidR="006C5761">
          <w:rPr>
            <w:webHidden/>
          </w:rPr>
          <w:t>33</w:t>
        </w:r>
        <w:r>
          <w:rPr>
            <w:webHidden/>
          </w:rPr>
          <w:fldChar w:fldCharType="end"/>
        </w:r>
      </w:hyperlink>
    </w:p>
    <w:p w14:paraId="5A5A66B6" w14:textId="7EDABAF8" w:rsidR="008A6D51" w:rsidRDefault="008A6D51">
      <w:pPr>
        <w:pStyle w:val="TOC2"/>
        <w:rPr>
          <w:rFonts w:eastAsiaTheme="minorEastAsia"/>
          <w:kern w:val="2"/>
          <w:sz w:val="24"/>
          <w:szCs w:val="24"/>
          <w:lang w:eastAsia="en-GB"/>
          <w14:ligatures w14:val="standardContextual"/>
        </w:rPr>
      </w:pPr>
      <w:hyperlink w:anchor="_Toc206143336" w:history="1">
        <w:r w:rsidRPr="002B22C7">
          <w:rPr>
            <w:rStyle w:val="Hyperlink"/>
          </w:rPr>
          <w:t>3.9</w:t>
        </w:r>
        <w:r>
          <w:rPr>
            <w:rFonts w:eastAsiaTheme="minorEastAsia"/>
            <w:kern w:val="2"/>
            <w:sz w:val="24"/>
            <w:szCs w:val="24"/>
            <w:lang w:eastAsia="en-GB"/>
            <w14:ligatures w14:val="standardContextual"/>
          </w:rPr>
          <w:tab/>
        </w:r>
        <w:r w:rsidRPr="002B22C7">
          <w:rPr>
            <w:rStyle w:val="Hyperlink"/>
          </w:rPr>
          <w:t>Accounting for the potential for chemicals to bioaccumulate</w:t>
        </w:r>
        <w:r>
          <w:rPr>
            <w:webHidden/>
          </w:rPr>
          <w:tab/>
        </w:r>
        <w:r>
          <w:rPr>
            <w:webHidden/>
          </w:rPr>
          <w:fldChar w:fldCharType="begin"/>
        </w:r>
        <w:r>
          <w:rPr>
            <w:webHidden/>
          </w:rPr>
          <w:instrText xml:space="preserve"> PAGEREF _Toc206143336 \h </w:instrText>
        </w:r>
        <w:r>
          <w:rPr>
            <w:webHidden/>
          </w:rPr>
        </w:r>
        <w:r>
          <w:rPr>
            <w:webHidden/>
          </w:rPr>
          <w:fldChar w:fldCharType="separate"/>
        </w:r>
        <w:r w:rsidR="006C5761">
          <w:rPr>
            <w:webHidden/>
          </w:rPr>
          <w:t>37</w:t>
        </w:r>
        <w:r>
          <w:rPr>
            <w:webHidden/>
          </w:rPr>
          <w:fldChar w:fldCharType="end"/>
        </w:r>
      </w:hyperlink>
    </w:p>
    <w:p w14:paraId="59234D46" w14:textId="4A817702" w:rsidR="008A6D51" w:rsidRDefault="008A6D51">
      <w:pPr>
        <w:pStyle w:val="TOC2"/>
        <w:rPr>
          <w:rFonts w:eastAsiaTheme="minorEastAsia"/>
          <w:kern w:val="2"/>
          <w:sz w:val="24"/>
          <w:szCs w:val="24"/>
          <w:lang w:eastAsia="en-GB"/>
          <w14:ligatures w14:val="standardContextual"/>
        </w:rPr>
      </w:pPr>
      <w:hyperlink w:anchor="_Toc206143337" w:history="1">
        <w:r w:rsidRPr="002B22C7">
          <w:rPr>
            <w:rStyle w:val="Hyperlink"/>
          </w:rPr>
          <w:t>3.10</w:t>
        </w:r>
        <w:r>
          <w:rPr>
            <w:rFonts w:eastAsiaTheme="minorEastAsia"/>
            <w:kern w:val="2"/>
            <w:sz w:val="24"/>
            <w:szCs w:val="24"/>
            <w:lang w:eastAsia="en-GB"/>
            <w14:ligatures w14:val="standardContextual"/>
          </w:rPr>
          <w:tab/>
        </w:r>
        <w:r w:rsidRPr="002B22C7">
          <w:rPr>
            <w:rStyle w:val="Hyperlink"/>
          </w:rPr>
          <w:t>Accounting for formulations</w:t>
        </w:r>
        <w:r>
          <w:rPr>
            <w:webHidden/>
          </w:rPr>
          <w:tab/>
        </w:r>
        <w:r>
          <w:rPr>
            <w:webHidden/>
          </w:rPr>
          <w:fldChar w:fldCharType="begin"/>
        </w:r>
        <w:r>
          <w:rPr>
            <w:webHidden/>
          </w:rPr>
          <w:instrText xml:space="preserve"> PAGEREF _Toc206143337 \h </w:instrText>
        </w:r>
        <w:r>
          <w:rPr>
            <w:webHidden/>
          </w:rPr>
        </w:r>
        <w:r>
          <w:rPr>
            <w:webHidden/>
          </w:rPr>
          <w:fldChar w:fldCharType="separate"/>
        </w:r>
        <w:r w:rsidR="006C5761">
          <w:rPr>
            <w:webHidden/>
          </w:rPr>
          <w:t>38</w:t>
        </w:r>
        <w:r>
          <w:rPr>
            <w:webHidden/>
          </w:rPr>
          <w:fldChar w:fldCharType="end"/>
        </w:r>
      </w:hyperlink>
    </w:p>
    <w:p w14:paraId="3A586B9E" w14:textId="435EC332" w:rsidR="008A6D51" w:rsidRDefault="008A6D51">
      <w:pPr>
        <w:pStyle w:val="TOC2"/>
        <w:rPr>
          <w:rFonts w:eastAsiaTheme="minorEastAsia"/>
          <w:kern w:val="2"/>
          <w:sz w:val="24"/>
          <w:szCs w:val="24"/>
          <w:lang w:eastAsia="en-GB"/>
          <w14:ligatures w14:val="standardContextual"/>
        </w:rPr>
      </w:pPr>
      <w:hyperlink w:anchor="_Toc206143338" w:history="1">
        <w:r w:rsidRPr="002B22C7">
          <w:rPr>
            <w:rStyle w:val="Hyperlink"/>
          </w:rPr>
          <w:t>3.11</w:t>
        </w:r>
        <w:r>
          <w:rPr>
            <w:rFonts w:eastAsiaTheme="minorEastAsia"/>
            <w:kern w:val="2"/>
            <w:sz w:val="24"/>
            <w:szCs w:val="24"/>
            <w:lang w:eastAsia="en-GB"/>
            <w14:ligatures w14:val="standardContextual"/>
          </w:rPr>
          <w:tab/>
        </w:r>
        <w:r w:rsidRPr="002B22C7">
          <w:rPr>
            <w:rStyle w:val="Hyperlink"/>
          </w:rPr>
          <w:t>Reality-checking the guideline values</w:t>
        </w:r>
        <w:r>
          <w:rPr>
            <w:webHidden/>
          </w:rPr>
          <w:tab/>
        </w:r>
        <w:r>
          <w:rPr>
            <w:webHidden/>
          </w:rPr>
          <w:fldChar w:fldCharType="begin"/>
        </w:r>
        <w:r>
          <w:rPr>
            <w:webHidden/>
          </w:rPr>
          <w:instrText xml:space="preserve"> PAGEREF _Toc206143338 \h </w:instrText>
        </w:r>
        <w:r>
          <w:rPr>
            <w:webHidden/>
          </w:rPr>
        </w:r>
        <w:r>
          <w:rPr>
            <w:webHidden/>
          </w:rPr>
          <w:fldChar w:fldCharType="separate"/>
        </w:r>
        <w:r w:rsidR="006C5761">
          <w:rPr>
            <w:webHidden/>
          </w:rPr>
          <w:t>39</w:t>
        </w:r>
        <w:r>
          <w:rPr>
            <w:webHidden/>
          </w:rPr>
          <w:fldChar w:fldCharType="end"/>
        </w:r>
      </w:hyperlink>
    </w:p>
    <w:p w14:paraId="6D256988" w14:textId="5096D73F" w:rsidR="008A6D51" w:rsidRDefault="008A6D51">
      <w:pPr>
        <w:pStyle w:val="TOC1"/>
        <w:rPr>
          <w:rFonts w:eastAsiaTheme="minorEastAsia"/>
          <w:b w:val="0"/>
          <w:kern w:val="2"/>
          <w:sz w:val="24"/>
          <w:szCs w:val="24"/>
          <w:lang w:eastAsia="en-GB"/>
          <w14:ligatures w14:val="standardContextual"/>
        </w:rPr>
      </w:pPr>
      <w:hyperlink w:anchor="_Toc206143339" w:history="1">
        <w:r w:rsidRPr="002B22C7">
          <w:rPr>
            <w:rStyle w:val="Hyperlink"/>
          </w:rPr>
          <w:t>4</w:t>
        </w:r>
        <w:r>
          <w:rPr>
            <w:rFonts w:eastAsiaTheme="minorEastAsia"/>
            <w:b w:val="0"/>
            <w:kern w:val="2"/>
            <w:sz w:val="24"/>
            <w:szCs w:val="24"/>
            <w:lang w:eastAsia="en-GB"/>
            <w14:ligatures w14:val="standardContextual"/>
          </w:rPr>
          <w:tab/>
        </w:r>
        <w:r w:rsidRPr="002B22C7">
          <w:rPr>
            <w:rStyle w:val="Hyperlink"/>
          </w:rPr>
          <w:t>Assessment-factor method</w:t>
        </w:r>
        <w:r>
          <w:rPr>
            <w:webHidden/>
          </w:rPr>
          <w:tab/>
        </w:r>
        <w:r>
          <w:rPr>
            <w:webHidden/>
          </w:rPr>
          <w:fldChar w:fldCharType="begin"/>
        </w:r>
        <w:r>
          <w:rPr>
            <w:webHidden/>
          </w:rPr>
          <w:instrText xml:space="preserve"> PAGEREF _Toc206143339 \h </w:instrText>
        </w:r>
        <w:r>
          <w:rPr>
            <w:webHidden/>
          </w:rPr>
        </w:r>
        <w:r>
          <w:rPr>
            <w:webHidden/>
          </w:rPr>
          <w:fldChar w:fldCharType="separate"/>
        </w:r>
        <w:r w:rsidR="006C5761">
          <w:rPr>
            <w:webHidden/>
          </w:rPr>
          <w:t>40</w:t>
        </w:r>
        <w:r>
          <w:rPr>
            <w:webHidden/>
          </w:rPr>
          <w:fldChar w:fldCharType="end"/>
        </w:r>
      </w:hyperlink>
    </w:p>
    <w:p w14:paraId="4F4E7E24" w14:textId="5094DDA4" w:rsidR="008A6D51" w:rsidRDefault="008A6D51">
      <w:pPr>
        <w:pStyle w:val="TOC1"/>
        <w:rPr>
          <w:rFonts w:eastAsiaTheme="minorEastAsia"/>
          <w:b w:val="0"/>
          <w:kern w:val="2"/>
          <w:sz w:val="24"/>
          <w:szCs w:val="24"/>
          <w:lang w:eastAsia="en-GB"/>
          <w14:ligatures w14:val="standardContextual"/>
        </w:rPr>
      </w:pPr>
      <w:hyperlink w:anchor="_Toc206143340" w:history="1">
        <w:r w:rsidRPr="002B22C7">
          <w:rPr>
            <w:rStyle w:val="Hyperlink"/>
          </w:rPr>
          <w:t>5</w:t>
        </w:r>
        <w:r>
          <w:rPr>
            <w:rFonts w:eastAsiaTheme="minorEastAsia"/>
            <w:b w:val="0"/>
            <w:kern w:val="2"/>
            <w:sz w:val="24"/>
            <w:szCs w:val="24"/>
            <w:lang w:eastAsia="en-GB"/>
            <w14:ligatures w14:val="standardContextual"/>
          </w:rPr>
          <w:tab/>
        </w:r>
        <w:r w:rsidRPr="002B22C7">
          <w:rPr>
            <w:rStyle w:val="Hyperlink"/>
          </w:rPr>
          <w:t>Ensuring transparency in the derivation of guideline values</w:t>
        </w:r>
        <w:r>
          <w:rPr>
            <w:webHidden/>
          </w:rPr>
          <w:tab/>
        </w:r>
        <w:r>
          <w:rPr>
            <w:webHidden/>
          </w:rPr>
          <w:fldChar w:fldCharType="begin"/>
        </w:r>
        <w:r>
          <w:rPr>
            <w:webHidden/>
          </w:rPr>
          <w:instrText xml:space="preserve"> PAGEREF _Toc206143340 \h </w:instrText>
        </w:r>
        <w:r>
          <w:rPr>
            <w:webHidden/>
          </w:rPr>
        </w:r>
        <w:r>
          <w:rPr>
            <w:webHidden/>
          </w:rPr>
          <w:fldChar w:fldCharType="separate"/>
        </w:r>
        <w:r w:rsidR="006C5761">
          <w:rPr>
            <w:webHidden/>
          </w:rPr>
          <w:t>41</w:t>
        </w:r>
        <w:r>
          <w:rPr>
            <w:webHidden/>
          </w:rPr>
          <w:fldChar w:fldCharType="end"/>
        </w:r>
      </w:hyperlink>
    </w:p>
    <w:p w14:paraId="114A0EF6" w14:textId="184F319E" w:rsidR="008A6D51" w:rsidRDefault="008A6D51">
      <w:pPr>
        <w:pStyle w:val="TOC1"/>
        <w:rPr>
          <w:rFonts w:eastAsiaTheme="minorEastAsia"/>
          <w:b w:val="0"/>
          <w:kern w:val="2"/>
          <w:sz w:val="24"/>
          <w:szCs w:val="24"/>
          <w:lang w:eastAsia="en-GB"/>
          <w14:ligatures w14:val="standardContextual"/>
        </w:rPr>
      </w:pPr>
      <w:hyperlink w:anchor="_Toc206143341" w:history="1">
        <w:r w:rsidRPr="002B22C7">
          <w:rPr>
            <w:rStyle w:val="Hyperlink"/>
          </w:rPr>
          <w:t>Appendix A. Details of updates to the derivation method from 2015 to 2018 and from 2018 to 2025</w:t>
        </w:r>
        <w:r>
          <w:rPr>
            <w:webHidden/>
          </w:rPr>
          <w:tab/>
        </w:r>
        <w:r>
          <w:rPr>
            <w:webHidden/>
          </w:rPr>
          <w:fldChar w:fldCharType="begin"/>
        </w:r>
        <w:r>
          <w:rPr>
            <w:webHidden/>
          </w:rPr>
          <w:instrText xml:space="preserve"> PAGEREF _Toc206143341 \h </w:instrText>
        </w:r>
        <w:r>
          <w:rPr>
            <w:webHidden/>
          </w:rPr>
        </w:r>
        <w:r>
          <w:rPr>
            <w:webHidden/>
          </w:rPr>
          <w:fldChar w:fldCharType="separate"/>
        </w:r>
        <w:r w:rsidR="006C5761">
          <w:rPr>
            <w:webHidden/>
          </w:rPr>
          <w:t>42</w:t>
        </w:r>
        <w:r>
          <w:rPr>
            <w:webHidden/>
          </w:rPr>
          <w:fldChar w:fldCharType="end"/>
        </w:r>
      </w:hyperlink>
    </w:p>
    <w:p w14:paraId="612CABB6" w14:textId="7DC59097" w:rsidR="008A6D51" w:rsidRDefault="008A6D51">
      <w:pPr>
        <w:pStyle w:val="TOC1"/>
        <w:rPr>
          <w:rFonts w:eastAsiaTheme="minorEastAsia"/>
          <w:b w:val="0"/>
          <w:kern w:val="2"/>
          <w:sz w:val="24"/>
          <w:szCs w:val="24"/>
          <w:lang w:eastAsia="en-GB"/>
          <w14:ligatures w14:val="standardContextual"/>
        </w:rPr>
      </w:pPr>
      <w:hyperlink w:anchor="_Toc206143342" w:history="1">
        <w:r w:rsidRPr="002B22C7">
          <w:rPr>
            <w:rStyle w:val="Hyperlink"/>
          </w:rPr>
          <w:t>Appendix B. Data-quality scoring system</w:t>
        </w:r>
        <w:r>
          <w:rPr>
            <w:webHidden/>
          </w:rPr>
          <w:tab/>
        </w:r>
        <w:r>
          <w:rPr>
            <w:webHidden/>
          </w:rPr>
          <w:fldChar w:fldCharType="begin"/>
        </w:r>
        <w:r>
          <w:rPr>
            <w:webHidden/>
          </w:rPr>
          <w:instrText xml:space="preserve"> PAGEREF _Toc206143342 \h </w:instrText>
        </w:r>
        <w:r>
          <w:rPr>
            <w:webHidden/>
          </w:rPr>
        </w:r>
        <w:r>
          <w:rPr>
            <w:webHidden/>
          </w:rPr>
          <w:fldChar w:fldCharType="separate"/>
        </w:r>
        <w:r w:rsidR="006C5761">
          <w:rPr>
            <w:webHidden/>
          </w:rPr>
          <w:t>54</w:t>
        </w:r>
        <w:r>
          <w:rPr>
            <w:webHidden/>
          </w:rPr>
          <w:fldChar w:fldCharType="end"/>
        </w:r>
      </w:hyperlink>
    </w:p>
    <w:p w14:paraId="09C455BD" w14:textId="4BB9652E" w:rsidR="008A6D51" w:rsidRDefault="008A6D51">
      <w:pPr>
        <w:pStyle w:val="TOC1"/>
        <w:rPr>
          <w:rFonts w:eastAsiaTheme="minorEastAsia"/>
          <w:b w:val="0"/>
          <w:kern w:val="2"/>
          <w:sz w:val="24"/>
          <w:szCs w:val="24"/>
          <w:lang w:eastAsia="en-GB"/>
          <w14:ligatures w14:val="standardContextual"/>
        </w:rPr>
      </w:pPr>
      <w:hyperlink w:anchor="_Toc206143343" w:history="1">
        <w:r w:rsidRPr="002B22C7">
          <w:rPr>
            <w:rStyle w:val="Hyperlink"/>
          </w:rPr>
          <w:t>Appendix C. Examples of data assessment decisions relating to bimodality and the log-normal–log-normal distribution</w:t>
        </w:r>
        <w:r>
          <w:rPr>
            <w:webHidden/>
          </w:rPr>
          <w:tab/>
        </w:r>
        <w:r>
          <w:rPr>
            <w:webHidden/>
          </w:rPr>
          <w:fldChar w:fldCharType="begin"/>
        </w:r>
        <w:r>
          <w:rPr>
            <w:webHidden/>
          </w:rPr>
          <w:instrText xml:space="preserve"> PAGEREF _Toc206143343 \h </w:instrText>
        </w:r>
        <w:r>
          <w:rPr>
            <w:webHidden/>
          </w:rPr>
        </w:r>
        <w:r>
          <w:rPr>
            <w:webHidden/>
          </w:rPr>
          <w:fldChar w:fldCharType="separate"/>
        </w:r>
        <w:r w:rsidR="006C5761">
          <w:rPr>
            <w:webHidden/>
          </w:rPr>
          <w:t>64</w:t>
        </w:r>
        <w:r>
          <w:rPr>
            <w:webHidden/>
          </w:rPr>
          <w:fldChar w:fldCharType="end"/>
        </w:r>
      </w:hyperlink>
    </w:p>
    <w:p w14:paraId="4C19E75C" w14:textId="0E7827D6" w:rsidR="008A6D51" w:rsidRDefault="008A6D51">
      <w:pPr>
        <w:pStyle w:val="TOC1"/>
        <w:rPr>
          <w:rFonts w:eastAsiaTheme="minorEastAsia"/>
          <w:b w:val="0"/>
          <w:kern w:val="2"/>
          <w:sz w:val="24"/>
          <w:szCs w:val="24"/>
          <w:lang w:eastAsia="en-GB"/>
          <w14:ligatures w14:val="standardContextual"/>
        </w:rPr>
      </w:pPr>
      <w:hyperlink w:anchor="_Toc206143344" w:history="1">
        <w:r w:rsidRPr="002B22C7">
          <w:rPr>
            <w:rStyle w:val="Hyperlink"/>
          </w:rPr>
          <w:t>Glossary</w:t>
        </w:r>
        <w:r>
          <w:rPr>
            <w:webHidden/>
          </w:rPr>
          <w:tab/>
        </w:r>
        <w:r>
          <w:rPr>
            <w:webHidden/>
          </w:rPr>
          <w:fldChar w:fldCharType="begin"/>
        </w:r>
        <w:r>
          <w:rPr>
            <w:webHidden/>
          </w:rPr>
          <w:instrText xml:space="preserve"> PAGEREF _Toc206143344 \h </w:instrText>
        </w:r>
        <w:r>
          <w:rPr>
            <w:webHidden/>
          </w:rPr>
        </w:r>
        <w:r>
          <w:rPr>
            <w:webHidden/>
          </w:rPr>
          <w:fldChar w:fldCharType="separate"/>
        </w:r>
        <w:r w:rsidR="006C5761">
          <w:rPr>
            <w:webHidden/>
          </w:rPr>
          <w:t>69</w:t>
        </w:r>
        <w:r>
          <w:rPr>
            <w:webHidden/>
          </w:rPr>
          <w:fldChar w:fldCharType="end"/>
        </w:r>
      </w:hyperlink>
    </w:p>
    <w:p w14:paraId="18CD9B00" w14:textId="4D2ADE50" w:rsidR="008A6D51" w:rsidRDefault="008A6D51">
      <w:pPr>
        <w:pStyle w:val="TOC1"/>
        <w:rPr>
          <w:rFonts w:eastAsiaTheme="minorEastAsia"/>
          <w:b w:val="0"/>
          <w:kern w:val="2"/>
          <w:sz w:val="24"/>
          <w:szCs w:val="24"/>
          <w:lang w:eastAsia="en-GB"/>
          <w14:ligatures w14:val="standardContextual"/>
        </w:rPr>
      </w:pPr>
      <w:hyperlink w:anchor="_Toc206143345" w:history="1">
        <w:r w:rsidRPr="002B22C7">
          <w:rPr>
            <w:rStyle w:val="Hyperlink"/>
          </w:rPr>
          <w:t>References</w:t>
        </w:r>
        <w:r>
          <w:rPr>
            <w:webHidden/>
          </w:rPr>
          <w:tab/>
        </w:r>
        <w:r>
          <w:rPr>
            <w:webHidden/>
          </w:rPr>
          <w:fldChar w:fldCharType="begin"/>
        </w:r>
        <w:r>
          <w:rPr>
            <w:webHidden/>
          </w:rPr>
          <w:instrText xml:space="preserve"> PAGEREF _Toc206143345 \h </w:instrText>
        </w:r>
        <w:r>
          <w:rPr>
            <w:webHidden/>
          </w:rPr>
        </w:r>
        <w:r>
          <w:rPr>
            <w:webHidden/>
          </w:rPr>
          <w:fldChar w:fldCharType="separate"/>
        </w:r>
        <w:r w:rsidR="006C5761">
          <w:rPr>
            <w:webHidden/>
          </w:rPr>
          <w:t>75</w:t>
        </w:r>
        <w:r>
          <w:rPr>
            <w:webHidden/>
          </w:rPr>
          <w:fldChar w:fldCharType="end"/>
        </w:r>
      </w:hyperlink>
    </w:p>
    <w:p w14:paraId="4D399A09" w14:textId="22C01C07" w:rsidR="006C551F" w:rsidRDefault="0031635D" w:rsidP="004D7186">
      <w:r>
        <w:fldChar w:fldCharType="end"/>
      </w:r>
    </w:p>
    <w:p w14:paraId="1A1370B5" w14:textId="77777777" w:rsidR="006C551F" w:rsidRDefault="006C551F" w:rsidP="004D7186">
      <w:pPr>
        <w:rPr>
          <w:rFonts w:ascii="Calibri" w:eastAsiaTheme="majorEastAsia" w:hAnsi="Calibri" w:cstheme="majorBidi"/>
          <w:color w:val="427BA1"/>
          <w:sz w:val="36"/>
          <w:szCs w:val="28"/>
          <w:lang w:val="en-US"/>
        </w:rPr>
      </w:pPr>
      <w:r>
        <w:br w:type="page"/>
      </w:r>
    </w:p>
    <w:p w14:paraId="1BC5EAB3" w14:textId="35D72782" w:rsidR="004F3088" w:rsidRDefault="006638CA" w:rsidP="004F3088">
      <w:pPr>
        <w:pStyle w:val="TOCHeading2"/>
      </w:pPr>
      <w:r>
        <w:lastRenderedPageBreak/>
        <w:t>Figures</w:t>
      </w:r>
    </w:p>
    <w:p w14:paraId="05EC3CBB" w14:textId="4EF232F7" w:rsidR="00BE629C" w:rsidRDefault="00A63A89">
      <w:pPr>
        <w:pStyle w:val="TableofFigures"/>
        <w:tabs>
          <w:tab w:val="right" w:leader="dot" w:pos="9060"/>
        </w:tabs>
        <w:rPr>
          <w:rFonts w:eastAsiaTheme="minorEastAsia"/>
          <w:noProof/>
          <w:kern w:val="2"/>
          <w:sz w:val="24"/>
          <w:szCs w:val="24"/>
          <w:lang w:eastAsia="en-GB"/>
          <w14:ligatures w14:val="standardContextual"/>
        </w:rPr>
      </w:pPr>
      <w:r>
        <w:rPr>
          <w:lang w:val="en-US"/>
        </w:rPr>
        <w:fldChar w:fldCharType="begin"/>
      </w:r>
      <w:r>
        <w:rPr>
          <w:lang w:val="en-US"/>
        </w:rPr>
        <w:instrText xml:space="preserve"> TOC \h \z \c "Figure" </w:instrText>
      </w:r>
      <w:r>
        <w:rPr>
          <w:lang w:val="en-US"/>
        </w:rPr>
        <w:fldChar w:fldCharType="separate"/>
      </w:r>
      <w:hyperlink w:anchor="_Toc206085212" w:history="1">
        <w:r w:rsidR="00BE629C" w:rsidRPr="002467AB">
          <w:rPr>
            <w:rStyle w:val="Hyperlink"/>
            <w:noProof/>
          </w:rPr>
          <w:t>Figure 1 Schematic representation of the revised method for deriving guideline values using the species sensitivity distribution approach</w:t>
        </w:r>
        <w:r w:rsidR="00BE629C">
          <w:rPr>
            <w:noProof/>
            <w:webHidden/>
          </w:rPr>
          <w:tab/>
        </w:r>
        <w:r w:rsidR="00BE629C">
          <w:rPr>
            <w:noProof/>
            <w:webHidden/>
          </w:rPr>
          <w:fldChar w:fldCharType="begin"/>
        </w:r>
        <w:r w:rsidR="00BE629C">
          <w:rPr>
            <w:noProof/>
            <w:webHidden/>
          </w:rPr>
          <w:instrText xml:space="preserve"> PAGEREF _Toc206085212 \h </w:instrText>
        </w:r>
        <w:r w:rsidR="00BE629C">
          <w:rPr>
            <w:noProof/>
            <w:webHidden/>
          </w:rPr>
        </w:r>
        <w:r w:rsidR="00BE629C">
          <w:rPr>
            <w:noProof/>
            <w:webHidden/>
          </w:rPr>
          <w:fldChar w:fldCharType="separate"/>
        </w:r>
        <w:r w:rsidR="006C5761">
          <w:rPr>
            <w:noProof/>
            <w:webHidden/>
          </w:rPr>
          <w:t>5</w:t>
        </w:r>
        <w:r w:rsidR="00BE629C">
          <w:rPr>
            <w:noProof/>
            <w:webHidden/>
          </w:rPr>
          <w:fldChar w:fldCharType="end"/>
        </w:r>
      </w:hyperlink>
    </w:p>
    <w:p w14:paraId="52E2869B" w14:textId="7A2194BA"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13" w:history="1">
        <w:r w:rsidRPr="002467AB">
          <w:rPr>
            <w:rStyle w:val="Hyperlink"/>
            <w:noProof/>
            <w:lang w:val="en-GB"/>
          </w:rPr>
          <w:t>Figure 2 Examples of poor (a, b, c) and good (d, e, f) fits to datasets obtained, using (shiny)ssdtools v2.0 software</w:t>
        </w:r>
        <w:r>
          <w:rPr>
            <w:noProof/>
            <w:webHidden/>
          </w:rPr>
          <w:tab/>
        </w:r>
        <w:r>
          <w:rPr>
            <w:noProof/>
            <w:webHidden/>
          </w:rPr>
          <w:fldChar w:fldCharType="begin"/>
        </w:r>
        <w:r>
          <w:rPr>
            <w:noProof/>
            <w:webHidden/>
          </w:rPr>
          <w:instrText xml:space="preserve"> PAGEREF _Toc206085213 \h </w:instrText>
        </w:r>
        <w:r>
          <w:rPr>
            <w:noProof/>
            <w:webHidden/>
          </w:rPr>
        </w:r>
        <w:r>
          <w:rPr>
            <w:noProof/>
            <w:webHidden/>
          </w:rPr>
          <w:fldChar w:fldCharType="separate"/>
        </w:r>
        <w:r w:rsidR="006C5761">
          <w:rPr>
            <w:noProof/>
            <w:webHidden/>
          </w:rPr>
          <w:t>36</w:t>
        </w:r>
        <w:r>
          <w:rPr>
            <w:noProof/>
            <w:webHidden/>
          </w:rPr>
          <w:fldChar w:fldCharType="end"/>
        </w:r>
      </w:hyperlink>
    </w:p>
    <w:p w14:paraId="4A96C362" w14:textId="0EE48076" w:rsidR="00FB31AA" w:rsidRDefault="00A63A89" w:rsidP="00AE0299">
      <w:pPr>
        <w:pStyle w:val="TOCHeading2"/>
      </w:pPr>
      <w:r>
        <w:fldChar w:fldCharType="end"/>
      </w:r>
      <w:r w:rsidR="00AE0299">
        <w:t>Tables</w:t>
      </w:r>
    </w:p>
    <w:p w14:paraId="77315D60" w14:textId="255FAD70" w:rsidR="00BE629C" w:rsidRDefault="00AE0299">
      <w:pPr>
        <w:pStyle w:val="TableofFigures"/>
        <w:tabs>
          <w:tab w:val="right" w:leader="dot" w:pos="9060"/>
        </w:tabs>
        <w:rPr>
          <w:rFonts w:eastAsiaTheme="minorEastAsia"/>
          <w:noProof/>
          <w:kern w:val="2"/>
          <w:sz w:val="24"/>
          <w:szCs w:val="24"/>
          <w:lang w:eastAsia="en-GB"/>
          <w14:ligatures w14:val="standardContextual"/>
        </w:rPr>
      </w:pPr>
      <w:r>
        <w:rPr>
          <w:lang w:val="en-US"/>
        </w:rPr>
        <w:fldChar w:fldCharType="begin"/>
      </w:r>
      <w:r>
        <w:rPr>
          <w:lang w:val="en-US"/>
        </w:rPr>
        <w:instrText xml:space="preserve"> TOC \h \z \c "Table" </w:instrText>
      </w:r>
      <w:r>
        <w:rPr>
          <w:lang w:val="en-US"/>
        </w:rPr>
        <w:fldChar w:fldCharType="separate"/>
      </w:r>
      <w:hyperlink w:anchor="_Toc206085214" w:history="1">
        <w:r w:rsidR="00BE629C" w:rsidRPr="000F5C4A">
          <w:rPr>
            <w:rStyle w:val="Hyperlink"/>
            <w:noProof/>
          </w:rPr>
          <w:t>Table 1 Indicative classification of acute and chronic toxicity tests for temperate species</w:t>
        </w:r>
        <w:r w:rsidR="00BE629C">
          <w:rPr>
            <w:noProof/>
            <w:webHidden/>
          </w:rPr>
          <w:tab/>
        </w:r>
        <w:r w:rsidR="00BE629C">
          <w:rPr>
            <w:noProof/>
            <w:webHidden/>
          </w:rPr>
          <w:fldChar w:fldCharType="begin"/>
        </w:r>
        <w:r w:rsidR="00BE629C">
          <w:rPr>
            <w:noProof/>
            <w:webHidden/>
          </w:rPr>
          <w:instrText xml:space="preserve"> PAGEREF _Toc206085214 \h </w:instrText>
        </w:r>
        <w:r w:rsidR="00BE629C">
          <w:rPr>
            <w:noProof/>
            <w:webHidden/>
          </w:rPr>
        </w:r>
        <w:r w:rsidR="00BE629C">
          <w:rPr>
            <w:noProof/>
            <w:webHidden/>
          </w:rPr>
          <w:fldChar w:fldCharType="separate"/>
        </w:r>
        <w:r w:rsidR="006C5761">
          <w:rPr>
            <w:noProof/>
            <w:webHidden/>
          </w:rPr>
          <w:t>8</w:t>
        </w:r>
        <w:r w:rsidR="00BE629C">
          <w:rPr>
            <w:noProof/>
            <w:webHidden/>
          </w:rPr>
          <w:fldChar w:fldCharType="end"/>
        </w:r>
      </w:hyperlink>
    </w:p>
    <w:p w14:paraId="3BD8208A" w14:textId="63EEF395"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15" w:history="1">
        <w:r w:rsidRPr="000F5C4A">
          <w:rPr>
            <w:rStyle w:val="Hyperlink"/>
            <w:noProof/>
          </w:rPr>
          <w:t>Table 2 Circumstances and types of toxicity data that should not be used for derivation of guideline values</w:t>
        </w:r>
        <w:r w:rsidRPr="000F5C4A">
          <w:rPr>
            <w:rStyle w:val="Hyperlink"/>
            <w:noProof/>
            <w:vertAlign w:val="superscript"/>
          </w:rPr>
          <w:t>a</w:t>
        </w:r>
        <w:r>
          <w:rPr>
            <w:noProof/>
            <w:webHidden/>
          </w:rPr>
          <w:tab/>
        </w:r>
        <w:r>
          <w:rPr>
            <w:noProof/>
            <w:webHidden/>
          </w:rPr>
          <w:fldChar w:fldCharType="begin"/>
        </w:r>
        <w:r>
          <w:rPr>
            <w:noProof/>
            <w:webHidden/>
          </w:rPr>
          <w:instrText xml:space="preserve"> PAGEREF _Toc206085215 \h </w:instrText>
        </w:r>
        <w:r>
          <w:rPr>
            <w:noProof/>
            <w:webHidden/>
          </w:rPr>
        </w:r>
        <w:r>
          <w:rPr>
            <w:noProof/>
            <w:webHidden/>
          </w:rPr>
          <w:fldChar w:fldCharType="separate"/>
        </w:r>
        <w:r w:rsidR="006C5761">
          <w:rPr>
            <w:noProof/>
            <w:webHidden/>
          </w:rPr>
          <w:t>11</w:t>
        </w:r>
        <w:r>
          <w:rPr>
            <w:noProof/>
            <w:webHidden/>
          </w:rPr>
          <w:fldChar w:fldCharType="end"/>
        </w:r>
      </w:hyperlink>
    </w:p>
    <w:p w14:paraId="6D6520ED" w14:textId="5EEFC5A4"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16" w:history="1">
        <w:r w:rsidRPr="000F5C4A">
          <w:rPr>
            <w:rStyle w:val="Hyperlink"/>
            <w:noProof/>
          </w:rPr>
          <w:t>Table 3 Scoring system for assessing the quality of toxicity data for metals/non-metallic inorganics to freshwater non-plants, to be used in the derivation of guideline values for toxicants</w:t>
        </w:r>
        <w:r>
          <w:rPr>
            <w:noProof/>
            <w:webHidden/>
          </w:rPr>
          <w:tab/>
        </w:r>
        <w:r>
          <w:rPr>
            <w:noProof/>
            <w:webHidden/>
          </w:rPr>
          <w:fldChar w:fldCharType="begin"/>
        </w:r>
        <w:r>
          <w:rPr>
            <w:noProof/>
            <w:webHidden/>
          </w:rPr>
          <w:instrText xml:space="preserve"> PAGEREF _Toc206085216 \h </w:instrText>
        </w:r>
        <w:r>
          <w:rPr>
            <w:noProof/>
            <w:webHidden/>
          </w:rPr>
        </w:r>
        <w:r>
          <w:rPr>
            <w:noProof/>
            <w:webHidden/>
          </w:rPr>
          <w:fldChar w:fldCharType="separate"/>
        </w:r>
        <w:r w:rsidR="006C5761">
          <w:rPr>
            <w:noProof/>
            <w:webHidden/>
          </w:rPr>
          <w:t>16</w:t>
        </w:r>
        <w:r>
          <w:rPr>
            <w:noProof/>
            <w:webHidden/>
          </w:rPr>
          <w:fldChar w:fldCharType="end"/>
        </w:r>
      </w:hyperlink>
    </w:p>
    <w:p w14:paraId="5BAD1949" w14:textId="113F8D68"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17" w:history="1">
        <w:r w:rsidRPr="000F5C4A">
          <w:rPr>
            <w:rStyle w:val="Hyperlink"/>
            <w:noProof/>
          </w:rPr>
          <w:t xml:space="preserve">Table 4 Example of the application of data-manipulation rules to obtain a single toxicity value for a species – in this case the microcrustacean </w:t>
        </w:r>
        <w:r w:rsidRPr="000F5C4A">
          <w:rPr>
            <w:rStyle w:val="Hyperlink"/>
            <w:rFonts w:ascii="Calibri" w:eastAsia="Times New Roman" w:hAnsi="Calibri"/>
            <w:i/>
            <w:iCs/>
            <w:noProof/>
          </w:rPr>
          <w:t>Ceriodaphnia</w:t>
        </w:r>
        <w:r w:rsidRPr="000F5C4A">
          <w:rPr>
            <w:rStyle w:val="Hyperlink"/>
            <w:rFonts w:ascii="Calibri" w:eastAsia="Times New Roman" w:hAnsi="Calibri"/>
            <w:noProof/>
          </w:rPr>
          <w:t xml:space="preserve"> cf. </w:t>
        </w:r>
        <w:r w:rsidRPr="000F5C4A">
          <w:rPr>
            <w:rStyle w:val="Hyperlink"/>
            <w:rFonts w:ascii="Calibri" w:eastAsia="Times New Roman" w:hAnsi="Calibri"/>
            <w:i/>
            <w:iCs/>
            <w:noProof/>
          </w:rPr>
          <w:t>dubia</w:t>
        </w:r>
        <w:r>
          <w:rPr>
            <w:noProof/>
            <w:webHidden/>
          </w:rPr>
          <w:tab/>
        </w:r>
        <w:r>
          <w:rPr>
            <w:noProof/>
            <w:webHidden/>
          </w:rPr>
          <w:fldChar w:fldCharType="begin"/>
        </w:r>
        <w:r>
          <w:rPr>
            <w:noProof/>
            <w:webHidden/>
          </w:rPr>
          <w:instrText xml:space="preserve"> PAGEREF _Toc206085217 \h </w:instrText>
        </w:r>
        <w:r>
          <w:rPr>
            <w:noProof/>
            <w:webHidden/>
          </w:rPr>
        </w:r>
        <w:r>
          <w:rPr>
            <w:noProof/>
            <w:webHidden/>
          </w:rPr>
          <w:fldChar w:fldCharType="separate"/>
        </w:r>
        <w:r w:rsidR="006C5761">
          <w:rPr>
            <w:noProof/>
            <w:webHidden/>
          </w:rPr>
          <w:t>25</w:t>
        </w:r>
        <w:r>
          <w:rPr>
            <w:noProof/>
            <w:webHidden/>
          </w:rPr>
          <w:fldChar w:fldCharType="end"/>
        </w:r>
      </w:hyperlink>
    </w:p>
    <w:p w14:paraId="1AAFE2A8" w14:textId="50B629B3"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18" w:history="1">
        <w:r w:rsidRPr="000F5C4A">
          <w:rPr>
            <w:rStyle w:val="Hyperlink"/>
            <w:noProof/>
          </w:rPr>
          <w:t>Table 5 Examples of distinct taxonomic groups</w:t>
        </w:r>
        <w:r>
          <w:rPr>
            <w:noProof/>
            <w:webHidden/>
          </w:rPr>
          <w:tab/>
        </w:r>
        <w:r>
          <w:rPr>
            <w:noProof/>
            <w:webHidden/>
          </w:rPr>
          <w:fldChar w:fldCharType="begin"/>
        </w:r>
        <w:r>
          <w:rPr>
            <w:noProof/>
            <w:webHidden/>
          </w:rPr>
          <w:instrText xml:space="preserve"> PAGEREF _Toc206085218 \h </w:instrText>
        </w:r>
        <w:r>
          <w:rPr>
            <w:noProof/>
            <w:webHidden/>
          </w:rPr>
        </w:r>
        <w:r>
          <w:rPr>
            <w:noProof/>
            <w:webHidden/>
          </w:rPr>
          <w:fldChar w:fldCharType="separate"/>
        </w:r>
        <w:r w:rsidR="006C5761">
          <w:rPr>
            <w:noProof/>
            <w:webHidden/>
          </w:rPr>
          <w:t>27</w:t>
        </w:r>
        <w:r>
          <w:rPr>
            <w:noProof/>
            <w:webHidden/>
          </w:rPr>
          <w:fldChar w:fldCharType="end"/>
        </w:r>
      </w:hyperlink>
    </w:p>
    <w:p w14:paraId="68971867" w14:textId="4EAFC037"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19" w:history="1">
        <w:r w:rsidRPr="000F5C4A">
          <w:rPr>
            <w:rStyle w:val="Hyperlink"/>
            <w:noProof/>
          </w:rPr>
          <w:t>Table 6 Classification of the reliability of guideline values using the species sensitivity distribution method</w:t>
        </w:r>
        <w:r>
          <w:rPr>
            <w:noProof/>
            <w:webHidden/>
          </w:rPr>
          <w:tab/>
        </w:r>
        <w:r>
          <w:rPr>
            <w:noProof/>
            <w:webHidden/>
          </w:rPr>
          <w:fldChar w:fldCharType="begin"/>
        </w:r>
        <w:r>
          <w:rPr>
            <w:noProof/>
            <w:webHidden/>
          </w:rPr>
          <w:instrText xml:space="preserve"> PAGEREF _Toc206085219 \h </w:instrText>
        </w:r>
        <w:r>
          <w:rPr>
            <w:noProof/>
            <w:webHidden/>
          </w:rPr>
        </w:r>
        <w:r>
          <w:rPr>
            <w:noProof/>
            <w:webHidden/>
          </w:rPr>
          <w:fldChar w:fldCharType="separate"/>
        </w:r>
        <w:r w:rsidR="006C5761">
          <w:rPr>
            <w:noProof/>
            <w:webHidden/>
          </w:rPr>
          <w:t>35</w:t>
        </w:r>
        <w:r>
          <w:rPr>
            <w:noProof/>
            <w:webHidden/>
          </w:rPr>
          <w:fldChar w:fldCharType="end"/>
        </w:r>
      </w:hyperlink>
    </w:p>
    <w:p w14:paraId="4A3DDCE3" w14:textId="702127D0" w:rsidR="00AE0299" w:rsidRDefault="00AE0299" w:rsidP="001B2542">
      <w:pPr>
        <w:pStyle w:val="TOCHeading2"/>
      </w:pPr>
      <w:r>
        <w:fldChar w:fldCharType="end"/>
      </w:r>
      <w:r w:rsidR="001B2542">
        <w:t xml:space="preserve">Appendix </w:t>
      </w:r>
      <w:r w:rsidR="00C85797">
        <w:t>F</w:t>
      </w:r>
      <w:r w:rsidR="001B2542">
        <w:t>igures</w:t>
      </w:r>
    </w:p>
    <w:p w14:paraId="4EEAB862" w14:textId="5E5EC98B" w:rsidR="00BE629C" w:rsidRDefault="001B2542">
      <w:pPr>
        <w:pStyle w:val="TableofFigures"/>
        <w:tabs>
          <w:tab w:val="right" w:leader="dot" w:pos="9060"/>
        </w:tabs>
        <w:rPr>
          <w:rFonts w:eastAsiaTheme="minorEastAsia"/>
          <w:noProof/>
          <w:kern w:val="2"/>
          <w:sz w:val="24"/>
          <w:szCs w:val="24"/>
          <w:lang w:eastAsia="en-GB"/>
          <w14:ligatures w14:val="standardContextual"/>
        </w:rPr>
      </w:pPr>
      <w:r>
        <w:rPr>
          <w:lang w:val="en-US"/>
        </w:rPr>
        <w:fldChar w:fldCharType="begin"/>
      </w:r>
      <w:r>
        <w:rPr>
          <w:lang w:val="en-US"/>
        </w:rPr>
        <w:instrText xml:space="preserve"> TOC \h \z \c "ApxFigure" </w:instrText>
      </w:r>
      <w:r>
        <w:rPr>
          <w:lang w:val="en-US"/>
        </w:rPr>
        <w:fldChar w:fldCharType="separate"/>
      </w:r>
      <w:hyperlink w:anchor="_Toc206085220" w:history="1">
        <w:r w:rsidR="00BE629C" w:rsidRPr="00D85657">
          <w:rPr>
            <w:rStyle w:val="Hyperlink"/>
            <w:noProof/>
          </w:rPr>
          <w:t>Figure C.1 Species sensitivity distribution for dataset A (n = 12) (a) using the full default model set and (b) without l-norm–l-norm in the model set.</w:t>
        </w:r>
        <w:r w:rsidR="00BE629C">
          <w:rPr>
            <w:noProof/>
            <w:webHidden/>
          </w:rPr>
          <w:tab/>
        </w:r>
        <w:r w:rsidR="00BE629C">
          <w:rPr>
            <w:noProof/>
            <w:webHidden/>
          </w:rPr>
          <w:fldChar w:fldCharType="begin"/>
        </w:r>
        <w:r w:rsidR="00BE629C">
          <w:rPr>
            <w:noProof/>
            <w:webHidden/>
          </w:rPr>
          <w:instrText xml:space="preserve"> PAGEREF _Toc206085220 \h </w:instrText>
        </w:r>
        <w:r w:rsidR="00BE629C">
          <w:rPr>
            <w:noProof/>
            <w:webHidden/>
          </w:rPr>
        </w:r>
        <w:r w:rsidR="00BE629C">
          <w:rPr>
            <w:noProof/>
            <w:webHidden/>
          </w:rPr>
          <w:fldChar w:fldCharType="separate"/>
        </w:r>
        <w:r w:rsidR="006C5761">
          <w:rPr>
            <w:noProof/>
            <w:webHidden/>
          </w:rPr>
          <w:t>64</w:t>
        </w:r>
        <w:r w:rsidR="00BE629C">
          <w:rPr>
            <w:noProof/>
            <w:webHidden/>
          </w:rPr>
          <w:fldChar w:fldCharType="end"/>
        </w:r>
      </w:hyperlink>
    </w:p>
    <w:p w14:paraId="1DB07539" w14:textId="0136EDB1"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21" w:history="1">
        <w:r w:rsidRPr="00D85657">
          <w:rPr>
            <w:rStyle w:val="Hyperlink"/>
            <w:noProof/>
          </w:rPr>
          <w:t>Figure C.2 Species sensitivity distribution for dataset B (n = 27) (a) using the full default model set and (b) without l-norm–l-norm in the model set</w:t>
        </w:r>
        <w:r>
          <w:rPr>
            <w:noProof/>
            <w:webHidden/>
          </w:rPr>
          <w:tab/>
        </w:r>
        <w:r>
          <w:rPr>
            <w:noProof/>
            <w:webHidden/>
          </w:rPr>
          <w:fldChar w:fldCharType="begin"/>
        </w:r>
        <w:r>
          <w:rPr>
            <w:noProof/>
            <w:webHidden/>
          </w:rPr>
          <w:instrText xml:space="preserve"> PAGEREF _Toc206085221 \h </w:instrText>
        </w:r>
        <w:r>
          <w:rPr>
            <w:noProof/>
            <w:webHidden/>
          </w:rPr>
        </w:r>
        <w:r>
          <w:rPr>
            <w:noProof/>
            <w:webHidden/>
          </w:rPr>
          <w:fldChar w:fldCharType="separate"/>
        </w:r>
        <w:r w:rsidR="006C5761">
          <w:rPr>
            <w:noProof/>
            <w:webHidden/>
          </w:rPr>
          <w:t>65</w:t>
        </w:r>
        <w:r>
          <w:rPr>
            <w:noProof/>
            <w:webHidden/>
          </w:rPr>
          <w:fldChar w:fldCharType="end"/>
        </w:r>
      </w:hyperlink>
    </w:p>
    <w:p w14:paraId="158DDB95" w14:textId="1FF66296"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22" w:history="1">
        <w:r w:rsidRPr="00D85657">
          <w:rPr>
            <w:rStyle w:val="Hyperlink"/>
            <w:noProof/>
          </w:rPr>
          <w:t>Figure C.3 Species sensitivity distribution for dataset C (a) original dataset (n = 17) and (b) dataset modified to reduce the taxonomic representation of bivalves (n = 9)</w:t>
        </w:r>
        <w:r>
          <w:rPr>
            <w:noProof/>
            <w:webHidden/>
          </w:rPr>
          <w:tab/>
        </w:r>
        <w:r>
          <w:rPr>
            <w:noProof/>
            <w:webHidden/>
          </w:rPr>
          <w:fldChar w:fldCharType="begin"/>
        </w:r>
        <w:r>
          <w:rPr>
            <w:noProof/>
            <w:webHidden/>
          </w:rPr>
          <w:instrText xml:space="preserve"> PAGEREF _Toc206085222 \h </w:instrText>
        </w:r>
        <w:r>
          <w:rPr>
            <w:noProof/>
            <w:webHidden/>
          </w:rPr>
        </w:r>
        <w:r>
          <w:rPr>
            <w:noProof/>
            <w:webHidden/>
          </w:rPr>
          <w:fldChar w:fldCharType="separate"/>
        </w:r>
        <w:r w:rsidR="006C5761">
          <w:rPr>
            <w:noProof/>
            <w:webHidden/>
          </w:rPr>
          <w:t>66</w:t>
        </w:r>
        <w:r>
          <w:rPr>
            <w:noProof/>
            <w:webHidden/>
          </w:rPr>
          <w:fldChar w:fldCharType="end"/>
        </w:r>
      </w:hyperlink>
    </w:p>
    <w:p w14:paraId="7E2DAEBA" w14:textId="51411F7A"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23" w:history="1">
        <w:r w:rsidRPr="00D85657">
          <w:rPr>
            <w:rStyle w:val="Hyperlink"/>
            <w:noProof/>
          </w:rPr>
          <w:t>Figure C.4 Species sensitivity distribution for dataset D (n = 51) (a) using the full default model set and (b) without l-norm–l-norm in the model set</w:t>
        </w:r>
        <w:r>
          <w:rPr>
            <w:noProof/>
            <w:webHidden/>
          </w:rPr>
          <w:tab/>
        </w:r>
        <w:r>
          <w:rPr>
            <w:noProof/>
            <w:webHidden/>
          </w:rPr>
          <w:fldChar w:fldCharType="begin"/>
        </w:r>
        <w:r>
          <w:rPr>
            <w:noProof/>
            <w:webHidden/>
          </w:rPr>
          <w:instrText xml:space="preserve"> PAGEREF _Toc206085223 \h </w:instrText>
        </w:r>
        <w:r>
          <w:rPr>
            <w:noProof/>
            <w:webHidden/>
          </w:rPr>
        </w:r>
        <w:r>
          <w:rPr>
            <w:noProof/>
            <w:webHidden/>
          </w:rPr>
          <w:fldChar w:fldCharType="separate"/>
        </w:r>
        <w:r w:rsidR="006C5761">
          <w:rPr>
            <w:noProof/>
            <w:webHidden/>
          </w:rPr>
          <w:t>67</w:t>
        </w:r>
        <w:r>
          <w:rPr>
            <w:noProof/>
            <w:webHidden/>
          </w:rPr>
          <w:fldChar w:fldCharType="end"/>
        </w:r>
      </w:hyperlink>
    </w:p>
    <w:p w14:paraId="39952057" w14:textId="18B16232"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24" w:history="1">
        <w:r w:rsidRPr="00D85657">
          <w:rPr>
            <w:rStyle w:val="Hyperlink"/>
            <w:noProof/>
          </w:rPr>
          <w:t>Figure C.5 Species sensitivity distribution for dataset E (n = 24) (a) using the full default model set and (b) without l-norm–l-norm in the model set</w:t>
        </w:r>
        <w:r>
          <w:rPr>
            <w:noProof/>
            <w:webHidden/>
          </w:rPr>
          <w:tab/>
        </w:r>
        <w:r>
          <w:rPr>
            <w:noProof/>
            <w:webHidden/>
          </w:rPr>
          <w:fldChar w:fldCharType="begin"/>
        </w:r>
        <w:r>
          <w:rPr>
            <w:noProof/>
            <w:webHidden/>
          </w:rPr>
          <w:instrText xml:space="preserve"> PAGEREF _Toc206085224 \h </w:instrText>
        </w:r>
        <w:r>
          <w:rPr>
            <w:noProof/>
            <w:webHidden/>
          </w:rPr>
        </w:r>
        <w:r>
          <w:rPr>
            <w:noProof/>
            <w:webHidden/>
          </w:rPr>
          <w:fldChar w:fldCharType="separate"/>
        </w:r>
        <w:r w:rsidR="006C5761">
          <w:rPr>
            <w:noProof/>
            <w:webHidden/>
          </w:rPr>
          <w:t>67</w:t>
        </w:r>
        <w:r>
          <w:rPr>
            <w:noProof/>
            <w:webHidden/>
          </w:rPr>
          <w:fldChar w:fldCharType="end"/>
        </w:r>
      </w:hyperlink>
    </w:p>
    <w:p w14:paraId="62CDBEB4" w14:textId="72A80498" w:rsidR="001B2542" w:rsidRDefault="001B2542" w:rsidP="006C551F">
      <w:pPr>
        <w:pStyle w:val="TOCHeading2"/>
      </w:pPr>
      <w:r>
        <w:fldChar w:fldCharType="end"/>
      </w:r>
      <w:r w:rsidR="006C551F">
        <w:t>Appendix Tables</w:t>
      </w:r>
    </w:p>
    <w:p w14:paraId="208275AF" w14:textId="670DC800" w:rsidR="00BE629C" w:rsidRDefault="006C551F">
      <w:pPr>
        <w:pStyle w:val="TableofFigures"/>
        <w:tabs>
          <w:tab w:val="right" w:leader="dot" w:pos="9060"/>
        </w:tabs>
        <w:rPr>
          <w:rFonts w:eastAsiaTheme="minorEastAsia"/>
          <w:noProof/>
          <w:kern w:val="2"/>
          <w:sz w:val="24"/>
          <w:szCs w:val="24"/>
          <w:lang w:eastAsia="en-GB"/>
          <w14:ligatures w14:val="standardContextual"/>
        </w:rPr>
      </w:pPr>
      <w:r>
        <w:rPr>
          <w:lang w:val="en-US"/>
        </w:rPr>
        <w:fldChar w:fldCharType="begin"/>
      </w:r>
      <w:r>
        <w:rPr>
          <w:lang w:val="en-US"/>
        </w:rPr>
        <w:instrText xml:space="preserve"> TOC \h \z \c "ApxTable" </w:instrText>
      </w:r>
      <w:r>
        <w:rPr>
          <w:lang w:val="en-US"/>
        </w:rPr>
        <w:fldChar w:fldCharType="separate"/>
      </w:r>
      <w:hyperlink w:anchor="_Toc206085225" w:history="1">
        <w:r w:rsidR="00BE629C" w:rsidRPr="00B1693C">
          <w:rPr>
            <w:rStyle w:val="Hyperlink"/>
            <w:noProof/>
          </w:rPr>
          <w:t>Table A.1 Details of updates between the 2015 and 2018 versions of the method for deriving Australian and New Zealand water quality guideline values for toxicants</w:t>
        </w:r>
        <w:r w:rsidR="00BE629C">
          <w:rPr>
            <w:noProof/>
            <w:webHidden/>
          </w:rPr>
          <w:tab/>
        </w:r>
        <w:r w:rsidR="00BE629C">
          <w:rPr>
            <w:noProof/>
            <w:webHidden/>
          </w:rPr>
          <w:fldChar w:fldCharType="begin"/>
        </w:r>
        <w:r w:rsidR="00BE629C">
          <w:rPr>
            <w:noProof/>
            <w:webHidden/>
          </w:rPr>
          <w:instrText xml:space="preserve"> PAGEREF _Toc206085225 \h </w:instrText>
        </w:r>
        <w:r w:rsidR="00BE629C">
          <w:rPr>
            <w:noProof/>
            <w:webHidden/>
          </w:rPr>
        </w:r>
        <w:r w:rsidR="00BE629C">
          <w:rPr>
            <w:noProof/>
            <w:webHidden/>
          </w:rPr>
          <w:fldChar w:fldCharType="separate"/>
        </w:r>
        <w:r w:rsidR="006C5761">
          <w:rPr>
            <w:noProof/>
            <w:webHidden/>
          </w:rPr>
          <w:t>42</w:t>
        </w:r>
        <w:r w:rsidR="00BE629C">
          <w:rPr>
            <w:noProof/>
            <w:webHidden/>
          </w:rPr>
          <w:fldChar w:fldCharType="end"/>
        </w:r>
      </w:hyperlink>
    </w:p>
    <w:p w14:paraId="47E98F78" w14:textId="26203FED"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26" w:history="1">
        <w:r w:rsidRPr="00B1693C">
          <w:rPr>
            <w:rStyle w:val="Hyperlink"/>
            <w:noProof/>
          </w:rPr>
          <w:t>Table A.2 Details of updates between the 2018 and current (2025) versions of the method for deriving Australian and New Zealand water quality guideline values for toxicants</w:t>
        </w:r>
        <w:r>
          <w:rPr>
            <w:noProof/>
            <w:webHidden/>
          </w:rPr>
          <w:tab/>
        </w:r>
        <w:r>
          <w:rPr>
            <w:noProof/>
            <w:webHidden/>
          </w:rPr>
          <w:fldChar w:fldCharType="begin"/>
        </w:r>
        <w:r>
          <w:rPr>
            <w:noProof/>
            <w:webHidden/>
          </w:rPr>
          <w:instrText xml:space="preserve"> PAGEREF _Toc206085226 \h </w:instrText>
        </w:r>
        <w:r>
          <w:rPr>
            <w:noProof/>
            <w:webHidden/>
          </w:rPr>
        </w:r>
        <w:r>
          <w:rPr>
            <w:noProof/>
            <w:webHidden/>
          </w:rPr>
          <w:fldChar w:fldCharType="separate"/>
        </w:r>
        <w:r w:rsidR="006C5761">
          <w:rPr>
            <w:noProof/>
            <w:webHidden/>
          </w:rPr>
          <w:t>44</w:t>
        </w:r>
        <w:r>
          <w:rPr>
            <w:noProof/>
            <w:webHidden/>
          </w:rPr>
          <w:fldChar w:fldCharType="end"/>
        </w:r>
      </w:hyperlink>
    </w:p>
    <w:p w14:paraId="6631C0B7" w14:textId="6457578B"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27" w:history="1">
        <w:r w:rsidRPr="00B1693C">
          <w:rPr>
            <w:rStyle w:val="Hyperlink"/>
            <w:noProof/>
          </w:rPr>
          <w:t>Table B.1 Scoring system for assessing the quality of toxicity data for organics to freshwater non-plants, to be used in the derivation of guideline values for toxicants</w:t>
        </w:r>
        <w:r>
          <w:rPr>
            <w:noProof/>
            <w:webHidden/>
          </w:rPr>
          <w:tab/>
        </w:r>
        <w:r>
          <w:rPr>
            <w:noProof/>
            <w:webHidden/>
          </w:rPr>
          <w:fldChar w:fldCharType="begin"/>
        </w:r>
        <w:r>
          <w:rPr>
            <w:noProof/>
            <w:webHidden/>
          </w:rPr>
          <w:instrText xml:space="preserve"> PAGEREF _Toc206085227 \h </w:instrText>
        </w:r>
        <w:r>
          <w:rPr>
            <w:noProof/>
            <w:webHidden/>
          </w:rPr>
        </w:r>
        <w:r>
          <w:rPr>
            <w:noProof/>
            <w:webHidden/>
          </w:rPr>
          <w:fldChar w:fldCharType="separate"/>
        </w:r>
        <w:r w:rsidR="006C5761">
          <w:rPr>
            <w:noProof/>
            <w:webHidden/>
          </w:rPr>
          <w:t>54</w:t>
        </w:r>
        <w:r>
          <w:rPr>
            <w:noProof/>
            <w:webHidden/>
          </w:rPr>
          <w:fldChar w:fldCharType="end"/>
        </w:r>
      </w:hyperlink>
    </w:p>
    <w:p w14:paraId="1DBB0952" w14:textId="2761E717"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28" w:history="1">
        <w:r w:rsidRPr="00B1693C">
          <w:rPr>
            <w:rStyle w:val="Hyperlink"/>
            <w:noProof/>
          </w:rPr>
          <w:t>Table B.2 Scoring system for assessing the quality of toxicity data for metals/non-metallic inorganics to freshwater plants, to be used in the derivation of guideline values for toxicants</w:t>
        </w:r>
        <w:r>
          <w:rPr>
            <w:noProof/>
            <w:webHidden/>
          </w:rPr>
          <w:tab/>
        </w:r>
        <w:r>
          <w:rPr>
            <w:noProof/>
            <w:webHidden/>
          </w:rPr>
          <w:fldChar w:fldCharType="begin"/>
        </w:r>
        <w:r>
          <w:rPr>
            <w:noProof/>
            <w:webHidden/>
          </w:rPr>
          <w:instrText xml:space="preserve"> PAGEREF _Toc206085228 \h </w:instrText>
        </w:r>
        <w:r>
          <w:rPr>
            <w:noProof/>
            <w:webHidden/>
          </w:rPr>
        </w:r>
        <w:r>
          <w:rPr>
            <w:noProof/>
            <w:webHidden/>
          </w:rPr>
          <w:fldChar w:fldCharType="separate"/>
        </w:r>
        <w:r w:rsidR="006C5761">
          <w:rPr>
            <w:noProof/>
            <w:webHidden/>
          </w:rPr>
          <w:t>56</w:t>
        </w:r>
        <w:r>
          <w:rPr>
            <w:noProof/>
            <w:webHidden/>
          </w:rPr>
          <w:fldChar w:fldCharType="end"/>
        </w:r>
      </w:hyperlink>
    </w:p>
    <w:p w14:paraId="2B61444A" w14:textId="6660F9F7"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29" w:history="1">
        <w:r w:rsidRPr="00B1693C">
          <w:rPr>
            <w:rStyle w:val="Hyperlink"/>
            <w:noProof/>
          </w:rPr>
          <w:t>Table B.3 Scoring system for assessing the quality of toxicity data for organics to freshwater plants to be used in the derivation of guideline values for toxicants</w:t>
        </w:r>
        <w:r>
          <w:rPr>
            <w:noProof/>
            <w:webHidden/>
          </w:rPr>
          <w:tab/>
        </w:r>
        <w:r>
          <w:rPr>
            <w:noProof/>
            <w:webHidden/>
          </w:rPr>
          <w:fldChar w:fldCharType="begin"/>
        </w:r>
        <w:r>
          <w:rPr>
            <w:noProof/>
            <w:webHidden/>
          </w:rPr>
          <w:instrText xml:space="preserve"> PAGEREF _Toc206085229 \h </w:instrText>
        </w:r>
        <w:r>
          <w:rPr>
            <w:noProof/>
            <w:webHidden/>
          </w:rPr>
        </w:r>
        <w:r>
          <w:rPr>
            <w:noProof/>
            <w:webHidden/>
          </w:rPr>
          <w:fldChar w:fldCharType="separate"/>
        </w:r>
        <w:r w:rsidR="006C5761">
          <w:rPr>
            <w:noProof/>
            <w:webHidden/>
          </w:rPr>
          <w:t>58</w:t>
        </w:r>
        <w:r>
          <w:rPr>
            <w:noProof/>
            <w:webHidden/>
          </w:rPr>
          <w:fldChar w:fldCharType="end"/>
        </w:r>
      </w:hyperlink>
    </w:p>
    <w:p w14:paraId="4D8598E2" w14:textId="273C97BA"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30" w:history="1">
        <w:r w:rsidRPr="00B1693C">
          <w:rPr>
            <w:rStyle w:val="Hyperlink"/>
            <w:noProof/>
          </w:rPr>
          <w:t>Table B.4 Scoring system for assessing the quality of toxicity data for contaminants (metal or non-metal) to marine and estuarine non-plant species, to be used in the derivation of guideline values for toxicants</w:t>
        </w:r>
        <w:r>
          <w:rPr>
            <w:noProof/>
            <w:webHidden/>
          </w:rPr>
          <w:tab/>
        </w:r>
        <w:r>
          <w:rPr>
            <w:noProof/>
            <w:webHidden/>
          </w:rPr>
          <w:fldChar w:fldCharType="begin"/>
        </w:r>
        <w:r>
          <w:rPr>
            <w:noProof/>
            <w:webHidden/>
          </w:rPr>
          <w:instrText xml:space="preserve"> PAGEREF _Toc206085230 \h </w:instrText>
        </w:r>
        <w:r>
          <w:rPr>
            <w:noProof/>
            <w:webHidden/>
          </w:rPr>
        </w:r>
        <w:r>
          <w:rPr>
            <w:noProof/>
            <w:webHidden/>
          </w:rPr>
          <w:fldChar w:fldCharType="separate"/>
        </w:r>
        <w:r w:rsidR="006C5761">
          <w:rPr>
            <w:noProof/>
            <w:webHidden/>
          </w:rPr>
          <w:t>60</w:t>
        </w:r>
        <w:r>
          <w:rPr>
            <w:noProof/>
            <w:webHidden/>
          </w:rPr>
          <w:fldChar w:fldCharType="end"/>
        </w:r>
      </w:hyperlink>
    </w:p>
    <w:p w14:paraId="1946F351" w14:textId="33328272" w:rsidR="00BE629C" w:rsidRDefault="00BE629C">
      <w:pPr>
        <w:pStyle w:val="TableofFigures"/>
        <w:tabs>
          <w:tab w:val="right" w:leader="dot" w:pos="9060"/>
        </w:tabs>
        <w:rPr>
          <w:rFonts w:eastAsiaTheme="minorEastAsia"/>
          <w:noProof/>
          <w:kern w:val="2"/>
          <w:sz w:val="24"/>
          <w:szCs w:val="24"/>
          <w:lang w:eastAsia="en-GB"/>
          <w14:ligatures w14:val="standardContextual"/>
        </w:rPr>
      </w:pPr>
      <w:hyperlink w:anchor="_Toc206085231" w:history="1">
        <w:r w:rsidRPr="00B1693C">
          <w:rPr>
            <w:rStyle w:val="Hyperlink"/>
            <w:noProof/>
          </w:rPr>
          <w:t>Table B.5 Scoring system for assessing the quality of toxicity data for contaminants (metal or non-metal) to marine and estuarine plant species, to be used in the derivation of guideline values for toxicants</w:t>
        </w:r>
        <w:r>
          <w:rPr>
            <w:noProof/>
            <w:webHidden/>
          </w:rPr>
          <w:tab/>
        </w:r>
        <w:r>
          <w:rPr>
            <w:noProof/>
            <w:webHidden/>
          </w:rPr>
          <w:fldChar w:fldCharType="begin"/>
        </w:r>
        <w:r>
          <w:rPr>
            <w:noProof/>
            <w:webHidden/>
          </w:rPr>
          <w:instrText xml:space="preserve"> PAGEREF _Toc206085231 \h </w:instrText>
        </w:r>
        <w:r>
          <w:rPr>
            <w:noProof/>
            <w:webHidden/>
          </w:rPr>
        </w:r>
        <w:r>
          <w:rPr>
            <w:noProof/>
            <w:webHidden/>
          </w:rPr>
          <w:fldChar w:fldCharType="separate"/>
        </w:r>
        <w:r w:rsidR="006C5761">
          <w:rPr>
            <w:noProof/>
            <w:webHidden/>
          </w:rPr>
          <w:t>62</w:t>
        </w:r>
        <w:r>
          <w:rPr>
            <w:noProof/>
            <w:webHidden/>
          </w:rPr>
          <w:fldChar w:fldCharType="end"/>
        </w:r>
      </w:hyperlink>
    </w:p>
    <w:p w14:paraId="545466AB" w14:textId="6432B8AD" w:rsidR="006C551F" w:rsidRPr="006C551F" w:rsidRDefault="006C551F" w:rsidP="004D7186">
      <w:pPr>
        <w:rPr>
          <w:lang w:val="en-US"/>
        </w:rPr>
      </w:pPr>
      <w:r>
        <w:rPr>
          <w:lang w:val="en-US"/>
        </w:rPr>
        <w:fldChar w:fldCharType="end"/>
      </w:r>
    </w:p>
    <w:p w14:paraId="7E4F49A1" w14:textId="385B2CA0" w:rsidR="00392DA1" w:rsidRDefault="00392DA1" w:rsidP="004D7186">
      <w:pPr>
        <w:pStyle w:val="Heading2"/>
        <w:numPr>
          <w:ilvl w:val="0"/>
          <w:numId w:val="0"/>
        </w:numPr>
      </w:pPr>
      <w:bookmarkStart w:id="17" w:name="_Toc202084757"/>
      <w:bookmarkStart w:id="18" w:name="_Toc206143318"/>
      <w:bookmarkStart w:id="19" w:name="_Toc501260500"/>
      <w:r>
        <w:lastRenderedPageBreak/>
        <w:t>Preface</w:t>
      </w:r>
      <w:bookmarkEnd w:id="17"/>
      <w:bookmarkEnd w:id="18"/>
    </w:p>
    <w:bookmarkEnd w:id="19"/>
    <w:p w14:paraId="41AF185A" w14:textId="5D805D69" w:rsidR="00330C14" w:rsidRDefault="00330C14" w:rsidP="004D7186">
      <w:r w:rsidRPr="57352DF8">
        <w:t xml:space="preserve">As part of the revision of the 2000 </w:t>
      </w:r>
      <w:r w:rsidRPr="57352DF8">
        <w:rPr>
          <w:i/>
          <w:iCs/>
        </w:rPr>
        <w:t xml:space="preserve">Australian and New Zealand Guidelines for Fresh and Marine Water Quality </w:t>
      </w:r>
      <w:r w:rsidRPr="57352DF8">
        <w:t>(</w:t>
      </w:r>
      <w:r w:rsidR="001465BE">
        <w:t>ANZECC and ARMCANZ</w:t>
      </w:r>
      <w:r w:rsidRPr="57352DF8">
        <w:t xml:space="preserve"> 2000a, b</w:t>
      </w:r>
      <w:r w:rsidR="00975AB7">
        <w:t>, c</w:t>
      </w:r>
      <w:r w:rsidRPr="57352DF8">
        <w:t xml:space="preserve">; referred to herein as the </w:t>
      </w:r>
      <w:r w:rsidR="00AE2B30">
        <w:t>‘</w:t>
      </w:r>
      <w:r w:rsidRPr="57352DF8">
        <w:t>2000 Guidelines</w:t>
      </w:r>
      <w:r w:rsidR="00AE2B30">
        <w:t>’</w:t>
      </w:r>
      <w:r w:rsidRPr="57352DF8">
        <w:t xml:space="preserve">), a number of working groups were established to review particular sections of the Guidelines. A Toxicants and Sediments Working Group was established to investigate necessary revisions </w:t>
      </w:r>
      <w:r w:rsidR="004D5EC9">
        <w:t>to</w:t>
      </w:r>
      <w:r w:rsidR="004D5EC9" w:rsidRPr="57352DF8">
        <w:t xml:space="preserve"> </w:t>
      </w:r>
      <w:r w:rsidRPr="57352DF8">
        <w:t xml:space="preserve">the Toxicants section. This was initially done at a workshop at CSIRO Land and Water, Lucas Heights, NSW in April 2010. A contract to undertake these revisions was issued by the Council of Australian Government’s Standing Council on Environment and Water in February 2013. The original version of the current report was prepared by the Queensland Department of Science, Information Technology and Innovation in consultation with selected members of the Toxicants and Sediments Working Group. The Toxicants and Sediments Working Group produced </w:t>
      </w:r>
      <w:r w:rsidR="00C64837">
        <w:t>2</w:t>
      </w:r>
      <w:r w:rsidR="00C64837" w:rsidRPr="57352DF8">
        <w:t xml:space="preserve"> </w:t>
      </w:r>
      <w:r w:rsidRPr="57352DF8">
        <w:t>reports. The first report, originally published in 2014 (Batley et al. 2018), described the technical rationale for the key changes made to the derivation method for toxicant guideline values set out in the 2000 Guidelines. The second report, which is th</w:t>
      </w:r>
      <w:r w:rsidR="002721DA">
        <w:t>is</w:t>
      </w:r>
      <w:r w:rsidRPr="57352DF8">
        <w:t xml:space="preserve"> current report, provides the details of the method for deriving water</w:t>
      </w:r>
      <w:r w:rsidR="002F4640">
        <w:t>-</w:t>
      </w:r>
      <w:r w:rsidRPr="57352DF8">
        <w:t xml:space="preserve">quality </w:t>
      </w:r>
      <w:r w:rsidR="00EA611B">
        <w:t>guideline value</w:t>
      </w:r>
      <w:r w:rsidRPr="57352DF8">
        <w:t>s for metal, non-metallic inorganic and organic toxicants in Australia and New Zealand. The first version of this report was published in August 2015 (Warne et al. 2015) and was subsequently updated in 2016 and 2017, and the second version was published in 2018 (Warne et al. 2018). Further updates were made over the ensuing</w:t>
      </w:r>
      <w:r w:rsidR="00C64837">
        <w:t xml:space="preserve"> 6</w:t>
      </w:r>
      <w:r w:rsidRPr="57352DF8">
        <w:t xml:space="preserve"> years</w:t>
      </w:r>
      <w:r w:rsidR="003B6E67">
        <w:t>,</w:t>
      </w:r>
      <w:r w:rsidRPr="57352DF8">
        <w:t xml:space="preserve"> and the third and current version was published in </w:t>
      </w:r>
      <w:r w:rsidR="00AA09C5" w:rsidRPr="57352DF8">
        <w:t>202</w:t>
      </w:r>
      <w:r w:rsidR="00AA09C5">
        <w:t>5</w:t>
      </w:r>
      <w:r w:rsidRPr="57352DF8">
        <w:t>. All versions of the report were peer</w:t>
      </w:r>
      <w:r w:rsidR="000D6C51">
        <w:t xml:space="preserve"> </w:t>
      </w:r>
      <w:r w:rsidRPr="57352DF8">
        <w:t>reviewed by</w:t>
      </w:r>
      <w:r w:rsidR="00C64837">
        <w:t xml:space="preserve"> 3</w:t>
      </w:r>
      <w:r w:rsidRPr="57352DF8">
        <w:t xml:space="preserve"> reviewers and, subsequently, the </w:t>
      </w:r>
      <w:r w:rsidR="008D03D4">
        <w:t>jurisdictional oversight committee</w:t>
      </w:r>
      <w:r w:rsidRPr="57352DF8">
        <w:t xml:space="preserve"> overseeing the technical aspects of the ANZG (2018) Guidelines. Key revisions between the 2015 and 2018 methods and, subsequently, the 2018 and current methods are documented in </w:t>
      </w:r>
      <w:r w:rsidR="004F6C8E">
        <w:fldChar w:fldCharType="begin"/>
      </w:r>
      <w:r w:rsidR="004F6C8E">
        <w:instrText xml:space="preserve"> REF _Ref202085395 \n \h </w:instrText>
      </w:r>
      <w:r w:rsidR="004F6C8E">
        <w:fldChar w:fldCharType="separate"/>
      </w:r>
      <w:r w:rsidR="006C5761">
        <w:t>Appendix A</w:t>
      </w:r>
      <w:r w:rsidR="004F6C8E">
        <w:fldChar w:fldCharType="end"/>
      </w:r>
      <w:r w:rsidRPr="57352DF8">
        <w:t>.</w:t>
      </w:r>
    </w:p>
    <w:p w14:paraId="6775987F" w14:textId="3CDAA49D" w:rsidR="00330C14" w:rsidRDefault="00330C14" w:rsidP="004D7186">
      <w:r w:rsidRPr="36A60666">
        <w:rPr>
          <w:lang w:eastAsia="en-AU"/>
        </w:rPr>
        <w:t xml:space="preserve">It is important to note that the </w:t>
      </w:r>
      <w:r>
        <w:t>method for deriving Australian and New Zealand water quality guideline values for toxicants should be used in conjunction with the rel</w:t>
      </w:r>
      <w:r w:rsidR="52C77DE0">
        <w:t>e</w:t>
      </w:r>
      <w:r>
        <w:t xml:space="preserve">vant information and guidance provided in the </w:t>
      </w:r>
      <w:hyperlink r:id="rId17" w:history="1">
        <w:r w:rsidRPr="006958C0">
          <w:rPr>
            <w:rStyle w:val="Hyperlink"/>
            <w:i/>
            <w:iCs/>
          </w:rPr>
          <w:t>Australian and New Zealand Guidelines for Fresh and Marine Water Quality</w:t>
        </w:r>
      </w:hyperlink>
      <w:r>
        <w:t xml:space="preserve"> </w:t>
      </w:r>
      <w:r w:rsidR="006958C0" w:rsidRPr="006958C0">
        <w:t>ANZG (2018)</w:t>
      </w:r>
      <w:r>
        <w:t>.</w:t>
      </w:r>
    </w:p>
    <w:p w14:paraId="76D46439" w14:textId="530833C4" w:rsidR="00B679A4" w:rsidRDefault="002A0A5F" w:rsidP="004D7186">
      <w:r w:rsidRPr="57352DF8">
        <w:t xml:space="preserve">Finally, this update to the toxicant </w:t>
      </w:r>
      <w:r w:rsidR="001740DE">
        <w:t>guideline</w:t>
      </w:r>
      <w:r w:rsidRPr="57352DF8">
        <w:t xml:space="preserve">s derivation method is </w:t>
      </w:r>
      <w:r w:rsidR="008107BC" w:rsidRPr="57352DF8">
        <w:t>dedicated to the late Dr Michael St</w:t>
      </w:r>
      <w:r w:rsidR="00F21249" w:rsidRPr="57352DF8">
        <w:t xml:space="preserve"> John </w:t>
      </w:r>
      <w:r w:rsidR="008107BC" w:rsidRPr="57352DF8">
        <w:t>Warne</w:t>
      </w:r>
      <w:r w:rsidR="006A5399" w:rsidRPr="57352DF8">
        <w:t xml:space="preserve"> (</w:t>
      </w:r>
      <w:r w:rsidR="00976420" w:rsidRPr="57352DF8">
        <w:t>17</w:t>
      </w:r>
      <w:r w:rsidR="00090D92" w:rsidRPr="57352DF8">
        <w:t xml:space="preserve"> July 1962</w:t>
      </w:r>
      <w:r w:rsidR="006A5399" w:rsidRPr="57352DF8">
        <w:t xml:space="preserve"> </w:t>
      </w:r>
      <w:r w:rsidR="006958C0">
        <w:t>to</w:t>
      </w:r>
      <w:r w:rsidR="006A5399" w:rsidRPr="57352DF8">
        <w:t xml:space="preserve"> 19 February 2024)</w:t>
      </w:r>
      <w:r w:rsidR="006F3D4E" w:rsidRPr="57352DF8">
        <w:t xml:space="preserve">. </w:t>
      </w:r>
      <w:r w:rsidR="00F21249" w:rsidRPr="57352DF8">
        <w:t>Michael</w:t>
      </w:r>
      <w:r w:rsidR="00173861" w:rsidRPr="57352DF8">
        <w:t xml:space="preserve"> made an enormous </w:t>
      </w:r>
      <w:r w:rsidR="00F21249" w:rsidRPr="57352DF8">
        <w:t xml:space="preserve">contribution </w:t>
      </w:r>
      <w:r w:rsidR="006D27DA" w:rsidRPr="57352DF8">
        <w:t xml:space="preserve">to </w:t>
      </w:r>
      <w:r w:rsidR="00F21249" w:rsidRPr="57352DF8">
        <w:t xml:space="preserve">the field of ecotoxicology </w:t>
      </w:r>
      <w:r w:rsidR="00173861" w:rsidRPr="57352DF8">
        <w:t xml:space="preserve">in Australia and internationally. </w:t>
      </w:r>
      <w:r w:rsidR="00D05891" w:rsidRPr="57352DF8">
        <w:t xml:space="preserve">He introduced the species sensitivity distribution approach for deriving toxicant guideline values </w:t>
      </w:r>
      <w:r w:rsidR="008E7123">
        <w:t>for</w:t>
      </w:r>
      <w:r w:rsidR="00D05891" w:rsidRPr="57352DF8">
        <w:t xml:space="preserve"> Australia and New Zealand (Warne </w:t>
      </w:r>
      <w:r w:rsidR="00075DD1" w:rsidRPr="57352DF8">
        <w:t>1998</w:t>
      </w:r>
      <w:r w:rsidR="008D03D4">
        <w:t>, 2001</w:t>
      </w:r>
      <w:r w:rsidR="00075DD1" w:rsidRPr="57352DF8">
        <w:t xml:space="preserve">) and played a pivotal role in its implementation and improvement over the ensuing </w:t>
      </w:r>
      <w:r w:rsidR="001F438E" w:rsidRPr="57352DF8">
        <w:t xml:space="preserve">25+ years. He is greatly missed by the other co-authors of this report and, </w:t>
      </w:r>
      <w:r w:rsidR="00B95E74" w:rsidRPr="57352DF8">
        <w:t>undou</w:t>
      </w:r>
      <w:r w:rsidR="00241F24" w:rsidRPr="57352DF8">
        <w:t>btedly</w:t>
      </w:r>
      <w:r w:rsidR="001F438E" w:rsidRPr="57352DF8">
        <w:t>, the broader international ecotoxicology community.</w:t>
      </w:r>
      <w:bookmarkStart w:id="20" w:name="_Toc202084758"/>
    </w:p>
    <w:p w14:paraId="1FB277CD" w14:textId="1C892D09" w:rsidR="001C0D1C" w:rsidRDefault="00E55B1C" w:rsidP="004D7186">
      <w:pPr>
        <w:pStyle w:val="Heading2"/>
        <w:numPr>
          <w:ilvl w:val="0"/>
          <w:numId w:val="0"/>
        </w:numPr>
      </w:pPr>
      <w:bookmarkStart w:id="21" w:name="_Toc206143319"/>
      <w:r>
        <w:lastRenderedPageBreak/>
        <w:t>Summary</w:t>
      </w:r>
      <w:bookmarkEnd w:id="20"/>
      <w:bookmarkEnd w:id="21"/>
    </w:p>
    <w:p w14:paraId="6F5FE0F1" w14:textId="5CDA1964" w:rsidR="001C0D1C" w:rsidRDefault="00B40EEA" w:rsidP="004D7186">
      <w:pPr>
        <w:sectPr w:rsidR="001C0D1C" w:rsidSect="00237B6E">
          <w:headerReference w:type="even" r:id="rId18"/>
          <w:headerReference w:type="default" r:id="rId19"/>
          <w:footerReference w:type="even"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r w:rsidRPr="57352DF8">
        <w:t xml:space="preserve">This document provides the details </w:t>
      </w:r>
      <w:r w:rsidR="00591640" w:rsidRPr="57352DF8">
        <w:t xml:space="preserve">(process and rules) </w:t>
      </w:r>
      <w:r w:rsidRPr="57352DF8">
        <w:t>of the updated method for deriving water</w:t>
      </w:r>
      <w:r w:rsidR="008E7123">
        <w:t>-</w:t>
      </w:r>
      <w:r w:rsidRPr="57352DF8">
        <w:t xml:space="preserve">quality guideline values for metal, non-metallic inorganic and organic toxicants </w:t>
      </w:r>
      <w:r w:rsidR="00B914F6" w:rsidRPr="57352DF8">
        <w:t xml:space="preserve">for the protection of aquatic ecosystems </w:t>
      </w:r>
      <w:r w:rsidRPr="57352DF8">
        <w:t xml:space="preserve">in Australia and New Zealand. </w:t>
      </w:r>
      <w:r w:rsidR="00774F5E" w:rsidRPr="57352DF8">
        <w:t>The method is focused on the derivation of default (</w:t>
      </w:r>
      <w:r w:rsidRPr="57352DF8">
        <w:t>i.e.</w:t>
      </w:r>
      <w:r w:rsidR="00774F5E" w:rsidRPr="57352DF8">
        <w:t xml:space="preserve"> </w:t>
      </w:r>
      <w:r w:rsidR="00CA68B6" w:rsidRPr="57352DF8">
        <w:t xml:space="preserve">national or </w:t>
      </w:r>
      <w:r w:rsidR="00774F5E" w:rsidRPr="57352DF8">
        <w:t xml:space="preserve">Australian and New Zealand) </w:t>
      </w:r>
      <w:r w:rsidR="00EA611B">
        <w:t>guideline value</w:t>
      </w:r>
      <w:r w:rsidR="00774F5E" w:rsidRPr="57352DF8">
        <w:t>s</w:t>
      </w:r>
      <w:r w:rsidR="005C5A4F" w:rsidRPr="57352DF8">
        <w:t xml:space="preserve"> </w:t>
      </w:r>
      <w:r w:rsidRPr="57352DF8">
        <w:t>to pro</w:t>
      </w:r>
      <w:r w:rsidR="0074691A" w:rsidRPr="57352DF8">
        <w:t>t</w:t>
      </w:r>
      <w:r w:rsidRPr="57352DF8">
        <w:t xml:space="preserve">ect against </w:t>
      </w:r>
      <w:r w:rsidR="00591640" w:rsidRPr="57352DF8">
        <w:t xml:space="preserve">long-term (chronic) </w:t>
      </w:r>
      <w:r w:rsidR="00070D23" w:rsidRPr="57352DF8">
        <w:t xml:space="preserve">direct </w:t>
      </w:r>
      <w:r w:rsidRPr="57352DF8">
        <w:t>toxicity</w:t>
      </w:r>
      <w:r w:rsidR="00774F5E" w:rsidRPr="57352DF8">
        <w:t xml:space="preserve"> but provides additional guidance, where necessary, for the derivation of regional, site-specific and short-term </w:t>
      </w:r>
      <w:r w:rsidR="00591640" w:rsidRPr="57352DF8">
        <w:t xml:space="preserve">(acute) </w:t>
      </w:r>
      <w:r w:rsidR="00EA611B">
        <w:t>guideline value</w:t>
      </w:r>
      <w:r w:rsidR="00774F5E" w:rsidRPr="57352DF8">
        <w:t xml:space="preserve">s. </w:t>
      </w:r>
      <w:r w:rsidR="00591640" w:rsidRPr="57352DF8">
        <w:t>Definitions are provided for acute</w:t>
      </w:r>
      <w:r w:rsidR="00B914F6">
        <w:t>-toxicity</w:t>
      </w:r>
      <w:r w:rsidR="00591640" w:rsidRPr="57352DF8">
        <w:t xml:space="preserve"> and chronic</w:t>
      </w:r>
      <w:r w:rsidR="00B914F6">
        <w:t>-</w:t>
      </w:r>
      <w:r w:rsidR="00591640" w:rsidRPr="57352DF8">
        <w:t>toxicity data types</w:t>
      </w:r>
      <w:r w:rsidR="00984839">
        <w:t>,</w:t>
      </w:r>
      <w:r w:rsidR="00591640" w:rsidRPr="57352DF8">
        <w:t xml:space="preserve"> while the method also specifies the type of toxicity test endpoints that are considered acceptable. All data need to meet minimum data</w:t>
      </w:r>
      <w:r w:rsidR="00984839">
        <w:t>-</w:t>
      </w:r>
      <w:r w:rsidR="00591640" w:rsidRPr="57352DF8">
        <w:t xml:space="preserve">quality requirements as determined through a formal quality scoring process and, potentially, the use of professional judgement. The preferred method for </w:t>
      </w:r>
      <w:r w:rsidR="00984839">
        <w:t xml:space="preserve">deriving </w:t>
      </w:r>
      <w:r w:rsidR="00F843DE">
        <w:t>guideline value</w:t>
      </w:r>
      <w:r w:rsidR="00984839">
        <w:t>s</w:t>
      </w:r>
      <w:r w:rsidR="00591640" w:rsidRPr="57352DF8">
        <w:t xml:space="preserve"> continues to be based on the use of a species sensitivity distribution of chronic toxicity data. </w:t>
      </w:r>
      <w:r w:rsidR="00FB4AFD" w:rsidRPr="57352DF8">
        <w:t xml:space="preserve">While the less preferred assessment factor method for deriving </w:t>
      </w:r>
      <w:r w:rsidR="00F843DE">
        <w:t>guideline value</w:t>
      </w:r>
      <w:r w:rsidR="00FB4AFD" w:rsidRPr="57352DF8">
        <w:t>s is also covered, it is unchanged from the 2000 Guidelines and, hence</w:t>
      </w:r>
      <w:r w:rsidR="00F843DE">
        <w:t>,</w:t>
      </w:r>
      <w:r w:rsidR="00FB4AFD" w:rsidRPr="57352DF8">
        <w:t xml:space="preserve"> is not described in detail here. </w:t>
      </w:r>
      <w:r w:rsidR="00591640" w:rsidRPr="57352DF8">
        <w:t>The minimum data requirements for using a</w:t>
      </w:r>
      <w:r w:rsidR="00F843DE">
        <w:t xml:space="preserve"> species sensitivity distribution</w:t>
      </w:r>
      <w:r w:rsidR="00591640" w:rsidRPr="57352DF8">
        <w:t xml:space="preserve"> have increased from the previous version of the method</w:t>
      </w:r>
      <w:r w:rsidR="00D618C4">
        <w:t xml:space="preserve"> –</w:t>
      </w:r>
      <w:r w:rsidR="00591640" w:rsidRPr="57352DF8">
        <w:t xml:space="preserve"> that is, toxicity data for </w:t>
      </w:r>
      <w:r w:rsidR="008C5BCA" w:rsidRPr="00A43A52">
        <w:t>≥</w:t>
      </w:r>
      <w:r w:rsidR="008C5BCA">
        <w:t xml:space="preserve"> </w:t>
      </w:r>
      <w:r w:rsidR="00C64837">
        <w:t>6</w:t>
      </w:r>
      <w:r w:rsidR="00591640" w:rsidRPr="57352DF8">
        <w:t xml:space="preserve"> species that belong to </w:t>
      </w:r>
      <w:r w:rsidR="008C5BCA" w:rsidRPr="00A43A52">
        <w:t>≥</w:t>
      </w:r>
      <w:r w:rsidR="008C5BCA">
        <w:t xml:space="preserve"> </w:t>
      </w:r>
      <w:r w:rsidR="00C64837">
        <w:t>4</w:t>
      </w:r>
      <w:r w:rsidR="00591640" w:rsidRPr="57352DF8">
        <w:t xml:space="preserve"> taxonomic groups. However, using toxicity data from </w:t>
      </w:r>
      <w:r w:rsidR="008C5BCA" w:rsidRPr="00A43A52">
        <w:t>≥</w:t>
      </w:r>
      <w:r w:rsidR="008C5BCA">
        <w:t xml:space="preserve"> </w:t>
      </w:r>
      <w:r w:rsidR="00C64837">
        <w:t>8</w:t>
      </w:r>
      <w:r w:rsidR="00591640" w:rsidRPr="57352DF8">
        <w:t xml:space="preserve"> species is strongly encouraged, and from </w:t>
      </w:r>
      <w:r w:rsidR="008C5BCA" w:rsidRPr="00A43A52">
        <w:t>≥</w:t>
      </w:r>
      <w:r w:rsidR="008C5BCA">
        <w:t xml:space="preserve"> </w:t>
      </w:r>
      <w:r w:rsidR="00591640" w:rsidRPr="57352DF8">
        <w:t xml:space="preserve">15 species is considered optimal. </w:t>
      </w:r>
      <w:r w:rsidR="00FB4AFD" w:rsidRPr="57352DF8">
        <w:t xml:space="preserve">Updated guidance is provided for determining </w:t>
      </w:r>
      <w:r w:rsidR="00936936" w:rsidRPr="57352DF8">
        <w:t>if a</w:t>
      </w:r>
      <w:r w:rsidR="00FB4AFD" w:rsidRPr="57352DF8">
        <w:t xml:space="preserve"> </w:t>
      </w:r>
      <w:r w:rsidR="17E5C2A4" w:rsidRPr="57352DF8">
        <w:t>dataset</w:t>
      </w:r>
      <w:r w:rsidR="00FB4AFD" w:rsidRPr="57352DF8">
        <w:t xml:space="preserve"> </w:t>
      </w:r>
      <w:r w:rsidR="00936936" w:rsidRPr="57352DF8">
        <w:t>is</w:t>
      </w:r>
      <w:r w:rsidR="00FB4AFD" w:rsidRPr="57352DF8">
        <w:t xml:space="preserve"> bimodal and how to deal with </w:t>
      </w:r>
      <w:r w:rsidR="00936936" w:rsidRPr="57352DF8">
        <w:t xml:space="preserve">this </w:t>
      </w:r>
      <w:r w:rsidR="00D618C4">
        <w:t>when</w:t>
      </w:r>
      <w:r w:rsidR="00D618C4" w:rsidRPr="57352DF8">
        <w:t xml:space="preserve"> </w:t>
      </w:r>
      <w:r w:rsidR="00FB4AFD" w:rsidRPr="57352DF8">
        <w:t xml:space="preserve">deriving </w:t>
      </w:r>
      <w:r w:rsidR="00F843DE">
        <w:t>guideline value</w:t>
      </w:r>
      <w:r w:rsidR="00FB4AFD" w:rsidRPr="57352DF8">
        <w:t xml:space="preserve">s. </w:t>
      </w:r>
      <w:r w:rsidR="00591640" w:rsidRPr="57352DF8">
        <w:t xml:space="preserve">The endorsed software packages for deriving </w:t>
      </w:r>
      <w:r w:rsidR="00F843DE">
        <w:t>guideline value</w:t>
      </w:r>
      <w:r w:rsidR="00591640" w:rsidRPr="57352DF8">
        <w:t xml:space="preserve">s, in particular for </w:t>
      </w:r>
      <w:r w:rsidR="00F843DE">
        <w:t>default guideline value</w:t>
      </w:r>
      <w:r w:rsidR="00591640" w:rsidRPr="57352DF8">
        <w:t xml:space="preserve">s, are ssdtools or shinyssdtools, both of which employ a technique termed </w:t>
      </w:r>
      <w:r w:rsidR="00302C03">
        <w:t>‘</w:t>
      </w:r>
      <w:r w:rsidR="00591640" w:rsidRPr="57352DF8">
        <w:t>model averaging</w:t>
      </w:r>
      <w:r w:rsidR="00302C03">
        <w:t>’</w:t>
      </w:r>
      <w:r w:rsidR="00774F5E" w:rsidRPr="57352DF8">
        <w:t xml:space="preserve">. </w:t>
      </w:r>
      <w:r w:rsidR="00FB4AFD" w:rsidRPr="57352DF8">
        <w:t>Model</w:t>
      </w:r>
      <w:r w:rsidR="00302C03">
        <w:t>-</w:t>
      </w:r>
      <w:r w:rsidR="00FB4AFD" w:rsidRPr="57352DF8">
        <w:t xml:space="preserve">averaged </w:t>
      </w:r>
      <w:r w:rsidR="00F843DE">
        <w:t>guideline value</w:t>
      </w:r>
      <w:r w:rsidR="00FB4AFD" w:rsidRPr="57352DF8">
        <w:t xml:space="preserve">s can be derived for different levels of species protection, </w:t>
      </w:r>
      <w:r w:rsidR="00593D41">
        <w:t>and</w:t>
      </w:r>
      <w:r w:rsidR="00593D41" w:rsidRPr="57352DF8">
        <w:t xml:space="preserve"> </w:t>
      </w:r>
      <w:r w:rsidR="00FB4AFD" w:rsidRPr="57352DF8">
        <w:t>80%, 90%, 95% and 99% species</w:t>
      </w:r>
      <w:r w:rsidR="00F843DE">
        <w:t>-</w:t>
      </w:r>
      <w:r w:rsidR="00FB4AFD" w:rsidRPr="57352DF8">
        <w:t xml:space="preserve">protection values </w:t>
      </w:r>
      <w:r w:rsidR="00593D41">
        <w:t>should</w:t>
      </w:r>
      <w:r w:rsidR="00593D41" w:rsidRPr="57352DF8">
        <w:t xml:space="preserve"> </w:t>
      </w:r>
      <w:r w:rsidR="00FB4AFD" w:rsidRPr="57352DF8">
        <w:t xml:space="preserve">be derived for all </w:t>
      </w:r>
      <w:r w:rsidR="00F843DE">
        <w:t>default guideline value</w:t>
      </w:r>
      <w:r w:rsidR="00FB4AFD" w:rsidRPr="57352DF8">
        <w:t xml:space="preserve">s. </w:t>
      </w:r>
      <w:r w:rsidR="00774F5E" w:rsidRPr="57352DF8">
        <w:t xml:space="preserve">The basis of the reliability classification for </w:t>
      </w:r>
      <w:r w:rsidR="00F843DE">
        <w:t>guideline value</w:t>
      </w:r>
      <w:r w:rsidR="00774F5E" w:rsidRPr="57352DF8">
        <w:t xml:space="preserve">s </w:t>
      </w:r>
      <w:r w:rsidR="00591640" w:rsidRPr="57352DF8">
        <w:t>remains the same as the 2018 version of the method</w:t>
      </w:r>
      <w:r w:rsidR="006C743A" w:rsidRPr="57352DF8">
        <w:t xml:space="preserve"> </w:t>
      </w:r>
      <w:r w:rsidR="00774F5E" w:rsidRPr="57352DF8">
        <w:t xml:space="preserve">– where the number and types of toxicity data points </w:t>
      </w:r>
      <w:r w:rsidR="00591640" w:rsidRPr="57352DF8">
        <w:t>and</w:t>
      </w:r>
      <w:r w:rsidR="00774F5E" w:rsidRPr="57352DF8">
        <w:t xml:space="preserve"> an estimate of the fit of the distribution to the data</w:t>
      </w:r>
      <w:r w:rsidR="00591640" w:rsidRPr="57352DF8">
        <w:t xml:space="preserve"> are considered</w:t>
      </w:r>
      <w:r w:rsidR="00774F5E" w:rsidRPr="57352DF8">
        <w:t>.</w:t>
      </w:r>
      <w:r w:rsidR="008D03D4">
        <w:t xml:space="preserve"> The method also provides guidance on how to account for bioaccumulation and chemical formulations, and links to other relevant guidance and information  on the ANZG (2018) website.</w:t>
      </w:r>
    </w:p>
    <w:p w14:paraId="4C4581B9" w14:textId="77777777" w:rsidR="001C0D1C" w:rsidRDefault="00774F5E" w:rsidP="004D7186">
      <w:pPr>
        <w:pStyle w:val="Heading2"/>
      </w:pPr>
      <w:bookmarkStart w:id="22" w:name="_Toc202084759"/>
      <w:bookmarkStart w:id="23" w:name="_Toc206143320"/>
      <w:r w:rsidRPr="0079770F">
        <w:lastRenderedPageBreak/>
        <w:t>Introduction</w:t>
      </w:r>
      <w:bookmarkEnd w:id="22"/>
      <w:bookmarkEnd w:id="23"/>
    </w:p>
    <w:p w14:paraId="218E7FEF" w14:textId="77777777" w:rsidR="001C0D1C" w:rsidRDefault="00774F5E" w:rsidP="00142662">
      <w:pPr>
        <w:pStyle w:val="Heading3"/>
      </w:pPr>
      <w:bookmarkStart w:id="24" w:name="_Toc202084760"/>
      <w:bookmarkStart w:id="25" w:name="_Toc202086787"/>
      <w:bookmarkStart w:id="26" w:name="_Toc202086882"/>
      <w:bookmarkStart w:id="27" w:name="_Toc202087069"/>
      <w:bookmarkStart w:id="28" w:name="_Toc202091149"/>
      <w:bookmarkStart w:id="29" w:name="_Toc202091209"/>
      <w:bookmarkStart w:id="30" w:name="_Toc202084761"/>
      <w:bookmarkStart w:id="31" w:name="_Ref202089137"/>
      <w:bookmarkStart w:id="32" w:name="_Toc206143321"/>
      <w:bookmarkEnd w:id="24"/>
      <w:bookmarkEnd w:id="25"/>
      <w:bookmarkEnd w:id="26"/>
      <w:bookmarkEnd w:id="27"/>
      <w:bookmarkEnd w:id="28"/>
      <w:bookmarkEnd w:id="29"/>
      <w:r w:rsidRPr="00142662">
        <w:t>Background</w:t>
      </w:r>
      <w:bookmarkEnd w:id="30"/>
      <w:bookmarkEnd w:id="31"/>
      <w:bookmarkEnd w:id="32"/>
    </w:p>
    <w:p w14:paraId="72CEB29D" w14:textId="5303F3A3" w:rsidR="00774F5E" w:rsidRPr="007C67F1" w:rsidRDefault="00774F5E" w:rsidP="00F01B75">
      <w:pPr>
        <w:spacing w:line="269" w:lineRule="auto"/>
      </w:pPr>
      <w:bookmarkStart w:id="33" w:name="_Ref443657479"/>
      <w:bookmarkStart w:id="34" w:name="_Toc473894628"/>
      <w:r w:rsidRPr="57352DF8">
        <w:t>The 2000 Australian and New Zealand Guidelines for Fresh and Marine Water Quality (</w:t>
      </w:r>
      <w:r w:rsidR="001465BE">
        <w:t>ANZECC and ARMCANZ</w:t>
      </w:r>
      <w:r w:rsidRPr="57352DF8">
        <w:t xml:space="preserve"> 2000a, b, c; referred to herein as the </w:t>
      </w:r>
      <w:r w:rsidR="001740DE">
        <w:t>‘</w:t>
      </w:r>
      <w:r w:rsidRPr="57352DF8">
        <w:t>2000 Guidelines</w:t>
      </w:r>
      <w:r w:rsidR="001740DE">
        <w:t>’</w:t>
      </w:r>
      <w:r w:rsidRPr="57352DF8">
        <w:t>) and the 2000 Australian Guidelines for Water Quality Monitoring and Reporting (</w:t>
      </w:r>
      <w:r w:rsidR="001465BE">
        <w:t>ANZECC and ARMCANZ</w:t>
      </w:r>
      <w:r w:rsidRPr="57352DF8">
        <w:t xml:space="preserve"> 2000d) represented a major step forward in </w:t>
      </w:r>
      <w:r w:rsidR="00E729C1">
        <w:t xml:space="preserve">the assessment and monitoring of </w:t>
      </w:r>
      <w:r w:rsidRPr="57352DF8">
        <w:t xml:space="preserve">water quality. Key advances at that time included the adoption of a risk-based approach to </w:t>
      </w:r>
      <w:r w:rsidR="0048688D">
        <w:t xml:space="preserve">managing </w:t>
      </w:r>
      <w:r w:rsidRPr="57352DF8">
        <w:t>water quality, the notion of different levels of ecosystem condition</w:t>
      </w:r>
      <w:r w:rsidR="0048688D">
        <w:t xml:space="preserve"> </w:t>
      </w:r>
      <w:r w:rsidR="003B1451">
        <w:t>and associated</w:t>
      </w:r>
      <w:r w:rsidR="0048688D">
        <w:t xml:space="preserve"> </w:t>
      </w:r>
      <w:r w:rsidRPr="57352DF8">
        <w:t>protection, new methods for deriving water</w:t>
      </w:r>
      <w:r w:rsidR="0048688D">
        <w:t>-</w:t>
      </w:r>
      <w:r w:rsidRPr="57352DF8">
        <w:t xml:space="preserve">quality guideline values (GVs; termed </w:t>
      </w:r>
      <w:r w:rsidR="0048688D">
        <w:t>‘</w:t>
      </w:r>
      <w:r w:rsidRPr="57352DF8">
        <w:t>trigger values</w:t>
      </w:r>
      <w:r w:rsidR="0048688D">
        <w:t>’</w:t>
      </w:r>
      <w:r w:rsidRPr="57352DF8">
        <w:t xml:space="preserve"> in the 2000 Guidelines) for toxicants based on species sensitivity distributions (SSDs), and the promotion of integrated assessment (</w:t>
      </w:r>
      <w:r w:rsidR="00A7610C" w:rsidRPr="57352DF8">
        <w:t>i.e.</w:t>
      </w:r>
      <w:r w:rsidRPr="57352DF8">
        <w:t xml:space="preserve"> assessments combining physicochemical, toxicological and biological indicators).</w:t>
      </w:r>
    </w:p>
    <w:p w14:paraId="7EA7131D" w14:textId="6975D4C9" w:rsidR="00774F5E" w:rsidRPr="00027FBD" w:rsidRDefault="00774F5E" w:rsidP="00F01B75">
      <w:pPr>
        <w:spacing w:line="269" w:lineRule="auto"/>
        <w:rPr>
          <w:rFonts w:cs="Times New Roman (Body CS)"/>
          <w:spacing w:val="-2"/>
        </w:rPr>
      </w:pPr>
      <w:r w:rsidRPr="00027FBD">
        <w:rPr>
          <w:rFonts w:cs="Times New Roman (Body CS)"/>
          <w:spacing w:val="-2"/>
        </w:rPr>
        <w:t>A review of the above</w:t>
      </w:r>
      <w:r w:rsidR="00C64837" w:rsidRPr="00027FBD">
        <w:rPr>
          <w:rFonts w:cs="Times New Roman (Body CS)"/>
          <w:spacing w:val="-2"/>
        </w:rPr>
        <w:t xml:space="preserve"> 2</w:t>
      </w:r>
      <w:r w:rsidRPr="00027FBD">
        <w:rPr>
          <w:rFonts w:cs="Times New Roman (Body CS)"/>
          <w:spacing w:val="-2"/>
        </w:rPr>
        <w:t xml:space="preserve"> </w:t>
      </w:r>
      <w:r w:rsidR="00EF106E" w:rsidRPr="00027FBD">
        <w:rPr>
          <w:rFonts w:cs="Times New Roman (Body CS)"/>
          <w:spacing w:val="-2"/>
        </w:rPr>
        <w:t>G</w:t>
      </w:r>
      <w:r w:rsidRPr="00027FBD">
        <w:rPr>
          <w:rFonts w:cs="Times New Roman (Body CS)"/>
          <w:spacing w:val="-2"/>
        </w:rPr>
        <w:t xml:space="preserve">uidelines commenced in 2009. Initial </w:t>
      </w:r>
      <w:r w:rsidR="003F7A42" w:rsidRPr="00027FBD">
        <w:rPr>
          <w:rFonts w:cs="Times New Roman (Body CS)"/>
          <w:spacing w:val="-2"/>
        </w:rPr>
        <w:t xml:space="preserve">investigation </w:t>
      </w:r>
      <w:r w:rsidRPr="00027FBD">
        <w:rPr>
          <w:rFonts w:cs="Times New Roman (Body CS)"/>
          <w:spacing w:val="-2"/>
        </w:rPr>
        <w:t>of technical revision requirements and some high</w:t>
      </w:r>
      <w:r w:rsidR="006C5BF1" w:rsidRPr="00027FBD">
        <w:rPr>
          <w:rFonts w:cs="Times New Roman (Body CS)"/>
          <w:spacing w:val="-2"/>
        </w:rPr>
        <w:t>-</w:t>
      </w:r>
      <w:r w:rsidRPr="00027FBD">
        <w:rPr>
          <w:rFonts w:cs="Times New Roman (Body CS)"/>
          <w:spacing w:val="-2"/>
        </w:rPr>
        <w:t xml:space="preserve">priority revisions </w:t>
      </w:r>
      <w:r w:rsidR="00E419FE" w:rsidRPr="00027FBD">
        <w:rPr>
          <w:rFonts w:cs="Times New Roman (Body CS)"/>
          <w:spacing w:val="-2"/>
        </w:rPr>
        <w:t xml:space="preserve">were </w:t>
      </w:r>
      <w:r w:rsidRPr="00027FBD">
        <w:rPr>
          <w:rFonts w:cs="Times New Roman (Body CS)"/>
          <w:spacing w:val="-2"/>
        </w:rPr>
        <w:t xml:space="preserve">conducted by a series of </w:t>
      </w:r>
      <w:r w:rsidR="003F7A42" w:rsidRPr="00027FBD">
        <w:rPr>
          <w:rFonts w:cs="Times New Roman (Body CS)"/>
          <w:spacing w:val="-2"/>
        </w:rPr>
        <w:t>working groups</w:t>
      </w:r>
      <w:r w:rsidRPr="00027FBD">
        <w:rPr>
          <w:rFonts w:cs="Times New Roman (Body CS)"/>
          <w:spacing w:val="-2"/>
        </w:rPr>
        <w:t xml:space="preserve">, each consisting of appropriate experts. </w:t>
      </w:r>
      <w:r w:rsidR="00CA68B6" w:rsidRPr="00027FBD">
        <w:rPr>
          <w:rFonts w:cs="Times New Roman (Body CS)"/>
          <w:spacing w:val="-2"/>
        </w:rPr>
        <w:t>The Toxicants and Sediments Working Group (Working Group 4) was responsible for t</w:t>
      </w:r>
      <w:r w:rsidRPr="00027FBD">
        <w:rPr>
          <w:rFonts w:cs="Times New Roman (Body CS)"/>
          <w:spacing w:val="-2"/>
        </w:rPr>
        <w:t xml:space="preserve">he method for deriving GVs for toxicants in surface waters. The method described in this report is the culmination of the deliberations of that </w:t>
      </w:r>
      <w:r w:rsidR="003F7A42" w:rsidRPr="00027FBD">
        <w:rPr>
          <w:rFonts w:cs="Times New Roman (Body CS)"/>
          <w:spacing w:val="-2"/>
        </w:rPr>
        <w:t>working group</w:t>
      </w:r>
      <w:r w:rsidR="00A7610C" w:rsidRPr="00027FBD">
        <w:rPr>
          <w:rFonts w:cs="Times New Roman (Body CS)"/>
          <w:spacing w:val="-2"/>
        </w:rPr>
        <w:t xml:space="preserve"> and subsequent updates to the method in 2015 (Warne et al. 2015)</w:t>
      </w:r>
      <w:r w:rsidR="00AD165B" w:rsidRPr="00027FBD">
        <w:rPr>
          <w:rFonts w:cs="Times New Roman (Body CS)"/>
          <w:spacing w:val="-2"/>
        </w:rPr>
        <w:t>,</w:t>
      </w:r>
      <w:r w:rsidR="00A7610C" w:rsidRPr="00027FBD">
        <w:rPr>
          <w:rFonts w:cs="Times New Roman (Body CS)"/>
          <w:spacing w:val="-2"/>
        </w:rPr>
        <w:t xml:space="preserve"> 2018 (Warne et al. 2018)</w:t>
      </w:r>
      <w:r w:rsidR="00AD165B" w:rsidRPr="00027FBD">
        <w:rPr>
          <w:rFonts w:cs="Times New Roman (Body CS)"/>
          <w:spacing w:val="-2"/>
        </w:rPr>
        <w:t xml:space="preserve"> and the present. The method</w:t>
      </w:r>
      <w:r w:rsidRPr="00027FBD">
        <w:rPr>
          <w:rFonts w:cs="Times New Roman (Body CS)"/>
          <w:spacing w:val="-2"/>
        </w:rPr>
        <w:t xml:space="preserve"> represents a component of</w:t>
      </w:r>
      <w:r w:rsidR="007C5EA6" w:rsidRPr="00027FBD">
        <w:rPr>
          <w:rFonts w:cs="Times New Roman (Body CS)"/>
          <w:spacing w:val="-2"/>
        </w:rPr>
        <w:t>, and should be used in conjunction with,</w:t>
      </w:r>
      <w:r w:rsidRPr="00027FBD">
        <w:rPr>
          <w:rFonts w:cs="Times New Roman (Body CS)"/>
          <w:spacing w:val="-2"/>
        </w:rPr>
        <w:t xml:space="preserve"> the broader guidance provided in the </w:t>
      </w:r>
      <w:hyperlink r:id="rId23">
        <w:r w:rsidRPr="00027FBD">
          <w:rPr>
            <w:rStyle w:val="Hyperlink"/>
            <w:rFonts w:cs="Times New Roman (Body CS)"/>
            <w:i/>
            <w:iCs/>
            <w:spacing w:val="-2"/>
          </w:rPr>
          <w:t>Australian and New Zealand Guidelines for Fresh and Marine Water Quality</w:t>
        </w:r>
      </w:hyperlink>
      <w:r w:rsidR="005D029E" w:rsidRPr="00027FBD">
        <w:rPr>
          <w:rFonts w:cs="Times New Roman (Body CS)"/>
          <w:i/>
          <w:iCs/>
          <w:spacing w:val="-2"/>
        </w:rPr>
        <w:t xml:space="preserve"> </w:t>
      </w:r>
      <w:r w:rsidR="0008110C" w:rsidRPr="00027FBD">
        <w:rPr>
          <w:rFonts w:cs="Times New Roman (Body CS)"/>
          <w:spacing w:val="-2"/>
        </w:rPr>
        <w:t>(ANZG 2018</w:t>
      </w:r>
      <w:r w:rsidR="007C5EA6" w:rsidRPr="00027FBD">
        <w:rPr>
          <w:rFonts w:cs="Times New Roman (Body CS)"/>
          <w:spacing w:val="-2"/>
        </w:rPr>
        <w:t>).</w:t>
      </w:r>
    </w:p>
    <w:p w14:paraId="6A9536E5" w14:textId="77777777" w:rsidR="00774F5E" w:rsidRDefault="00774F5E" w:rsidP="003A0EDB">
      <w:pPr>
        <w:pStyle w:val="Heading3"/>
      </w:pPr>
      <w:bookmarkStart w:id="35" w:name="_Toc202084762"/>
      <w:bookmarkStart w:id="36" w:name="_Toc206143322"/>
      <w:r>
        <w:t>Purpose of this report</w:t>
      </w:r>
      <w:bookmarkEnd w:id="35"/>
      <w:bookmarkEnd w:id="36"/>
    </w:p>
    <w:p w14:paraId="7B1FBCA9" w14:textId="681E7385" w:rsidR="00B679A4" w:rsidRDefault="00774F5E" w:rsidP="00F01B75">
      <w:pPr>
        <w:spacing w:line="269" w:lineRule="auto"/>
      </w:pPr>
      <w:r w:rsidRPr="57352DF8">
        <w:t>This report presents the revised method for deriving water</w:t>
      </w:r>
      <w:r w:rsidR="00FE76C8">
        <w:t>-</w:t>
      </w:r>
      <w:r w:rsidRPr="57352DF8">
        <w:t>quality GVs for toxicants in surface waters in Australia and New Zealand</w:t>
      </w:r>
      <w:r w:rsidR="00330383" w:rsidRPr="57352DF8">
        <w:t xml:space="preserve"> for the protection of aquatic ecosystems</w:t>
      </w:r>
      <w:r w:rsidRPr="57352DF8">
        <w:t>. It supersedes the guidance provided in the 2000 Guidelines</w:t>
      </w:r>
      <w:r w:rsidR="00330383" w:rsidRPr="57352DF8">
        <w:t>, Warne et al. (2015) and Warne et al. (2018)</w:t>
      </w:r>
      <w:r w:rsidRPr="57352DF8">
        <w:t>. It provides a step</w:t>
      </w:r>
      <w:r w:rsidR="00B4018A" w:rsidRPr="57352DF8">
        <w:t>-</w:t>
      </w:r>
      <w:r w:rsidRPr="57352DF8">
        <w:t>by</w:t>
      </w:r>
      <w:r w:rsidR="00B4018A" w:rsidRPr="57352DF8">
        <w:t>-</w:t>
      </w:r>
      <w:r w:rsidRPr="57352DF8">
        <w:t>step process for deriving GVs. The method is focused on the derivation of default (</w:t>
      </w:r>
      <w:r w:rsidR="001921E6" w:rsidRPr="57352DF8">
        <w:t>i.e.</w:t>
      </w:r>
      <w:r w:rsidRPr="57352DF8">
        <w:t xml:space="preserve"> </w:t>
      </w:r>
      <w:r w:rsidR="00B4018A" w:rsidRPr="57352DF8">
        <w:t xml:space="preserve">national or </w:t>
      </w:r>
      <w:r w:rsidRPr="57352DF8">
        <w:t xml:space="preserve">Australian and New Zealand) </w:t>
      </w:r>
      <w:r w:rsidR="00B459F2" w:rsidRPr="57352DF8">
        <w:t xml:space="preserve">guideline values </w:t>
      </w:r>
      <w:r w:rsidRPr="57352DF8">
        <w:t xml:space="preserve">(DGVs) but </w:t>
      </w:r>
      <w:r w:rsidR="00B459F2" w:rsidRPr="57352DF8">
        <w:t xml:space="preserve">also </w:t>
      </w:r>
      <w:r w:rsidRPr="57352DF8">
        <w:t>provides additional guidance</w:t>
      </w:r>
      <w:r w:rsidR="009A6B3D" w:rsidRPr="57352DF8">
        <w:t xml:space="preserve"> and supporting references</w:t>
      </w:r>
      <w:r w:rsidRPr="57352DF8">
        <w:t>, where appropriate, for the derivation of regional, site-specific and short-term GVs. In this report</w:t>
      </w:r>
      <w:r w:rsidR="00B459F2" w:rsidRPr="57352DF8">
        <w:t>,</w:t>
      </w:r>
      <w:r w:rsidRPr="57352DF8">
        <w:t xml:space="preserve"> we use the term </w:t>
      </w:r>
      <w:r w:rsidR="00FF39E2">
        <w:t>‘</w:t>
      </w:r>
      <w:r w:rsidRPr="57352DF8">
        <w:t>GV</w:t>
      </w:r>
      <w:r w:rsidR="00FF39E2">
        <w:t>’</w:t>
      </w:r>
      <w:r w:rsidRPr="57352DF8">
        <w:t xml:space="preserve"> to apply to the derivation of any type of </w:t>
      </w:r>
      <w:r w:rsidR="00B459F2" w:rsidRPr="57352DF8">
        <w:t xml:space="preserve">guideline value </w:t>
      </w:r>
      <w:r w:rsidRPr="57352DF8">
        <w:t xml:space="preserve">and only use the term </w:t>
      </w:r>
      <w:r w:rsidR="00FF39E2">
        <w:t>‘</w:t>
      </w:r>
      <w:r w:rsidRPr="57352DF8">
        <w:t>DGV</w:t>
      </w:r>
      <w:r w:rsidR="00FF39E2">
        <w:t>’</w:t>
      </w:r>
      <w:r w:rsidRPr="57352DF8">
        <w:t xml:space="preserve"> when refer</w:t>
      </w:r>
      <w:r w:rsidR="009A6B3D" w:rsidRPr="57352DF8">
        <w:t>ring</w:t>
      </w:r>
      <w:r w:rsidRPr="57352DF8">
        <w:t xml:space="preserve"> </w:t>
      </w:r>
      <w:r w:rsidR="00B459F2" w:rsidRPr="57352DF8">
        <w:t xml:space="preserve">to </w:t>
      </w:r>
      <w:r w:rsidR="00B4018A" w:rsidRPr="57352DF8">
        <w:t>default guideline values</w:t>
      </w:r>
      <w:r w:rsidRPr="57352DF8">
        <w:t>.</w:t>
      </w:r>
    </w:p>
    <w:p w14:paraId="1FA3320B" w14:textId="6C85EFBD" w:rsidR="00774F5E" w:rsidRDefault="00774F5E" w:rsidP="00F01B75">
      <w:pPr>
        <w:spacing w:line="269" w:lineRule="auto"/>
      </w:pPr>
      <w:r>
        <w:t>Two distinctly different methods can be used to derive GVs: the SSD or assessment</w:t>
      </w:r>
      <w:r w:rsidR="006656E7">
        <w:t>-</w:t>
      </w:r>
      <w:r>
        <w:t xml:space="preserve">factor (AF) methods. </w:t>
      </w:r>
      <w:r w:rsidR="009A6B3D">
        <w:t>T</w:t>
      </w:r>
      <w:r>
        <w:t>he current document</w:t>
      </w:r>
      <w:r w:rsidR="009A6B3D">
        <w:t xml:space="preserve"> mostly focuses on the SSD method</w:t>
      </w:r>
      <w:r w:rsidR="00B20580">
        <w:t>, as it is the preferred method</w:t>
      </w:r>
      <w:r>
        <w:t xml:space="preserve">. For further background information on the </w:t>
      </w:r>
      <w:r w:rsidR="00B20580">
        <w:t xml:space="preserve">less preferred </w:t>
      </w:r>
      <w:r w:rsidR="00D902AD">
        <w:t xml:space="preserve">AF </w:t>
      </w:r>
      <w:r>
        <w:t>method for calculating toxicant GVs, readers are referred to Warne (1998)</w:t>
      </w:r>
      <w:r w:rsidR="00522925">
        <w:t xml:space="preserve"> </w:t>
      </w:r>
      <w:r>
        <w:t>and Warne (2001).</w:t>
      </w:r>
    </w:p>
    <w:p w14:paraId="6C8B1D3E" w14:textId="1E5E94CE" w:rsidR="006C0C18" w:rsidRDefault="006C0C18" w:rsidP="00F01B75">
      <w:pPr>
        <w:spacing w:line="269" w:lineRule="auto"/>
      </w:pPr>
      <w:r>
        <w:t>Although the method has been developed specifically for GVs for surface water quality, it can also serve as the starting point for methods for deriving toxicant GVs for sediment quality and groundwater quality. However, each of these will require different considerations that are not covered in the current methodology.</w:t>
      </w:r>
      <w:r w:rsidR="00CD7609">
        <w:t xml:space="preserve"> Additionally, the method does not specifically preclude </w:t>
      </w:r>
      <w:r w:rsidR="001650FE">
        <w:t xml:space="preserve">modifications to </w:t>
      </w:r>
      <w:r w:rsidR="00CD7609">
        <w:t xml:space="preserve">the derivation approach </w:t>
      </w:r>
      <w:r w:rsidR="00987546">
        <w:t xml:space="preserve">that may be needed </w:t>
      </w:r>
      <w:r w:rsidR="001650FE">
        <w:t xml:space="preserve">to account for unusual characteristics of a toxicant; however, </w:t>
      </w:r>
      <w:r w:rsidR="001650FE" w:rsidRPr="001650FE">
        <w:t xml:space="preserve">any aspects </w:t>
      </w:r>
      <w:r w:rsidR="001650FE">
        <w:t>of</w:t>
      </w:r>
      <w:r w:rsidR="001650FE" w:rsidRPr="001650FE">
        <w:t xml:space="preserve"> a derivation that are not explicitly captured by the </w:t>
      </w:r>
      <w:r w:rsidR="001650FE">
        <w:t xml:space="preserve">current </w:t>
      </w:r>
      <w:r w:rsidR="001650FE" w:rsidRPr="001650FE">
        <w:t>method need to be clearly detailed and justified in the documentation</w:t>
      </w:r>
      <w:r w:rsidR="001650FE">
        <w:t xml:space="preserve"> such that they can be properly reviewed and approved.</w:t>
      </w:r>
    </w:p>
    <w:p w14:paraId="4BDAA8E2" w14:textId="60829364" w:rsidR="000705F1" w:rsidRDefault="00774F5E" w:rsidP="004D7186">
      <w:pPr>
        <w:pStyle w:val="Heading2"/>
      </w:pPr>
      <w:bookmarkStart w:id="37" w:name="_Toc202084763"/>
      <w:bookmarkStart w:id="38" w:name="_Ref202089238"/>
      <w:bookmarkStart w:id="39" w:name="_Ref202089242"/>
      <w:bookmarkStart w:id="40" w:name="_Ref202089277"/>
      <w:bookmarkStart w:id="41" w:name="_Toc206143323"/>
      <w:r>
        <w:lastRenderedPageBreak/>
        <w:t xml:space="preserve">Overview of the </w:t>
      </w:r>
      <w:r w:rsidR="00FD53F5" w:rsidRPr="000705F1">
        <w:t>revised</w:t>
      </w:r>
      <w:r w:rsidR="00FD53F5">
        <w:t xml:space="preserve"> method</w:t>
      </w:r>
      <w:bookmarkStart w:id="42" w:name="_Toc202084764"/>
      <w:bookmarkEnd w:id="37"/>
      <w:bookmarkEnd w:id="38"/>
      <w:bookmarkEnd w:id="39"/>
      <w:bookmarkEnd w:id="40"/>
      <w:bookmarkEnd w:id="41"/>
    </w:p>
    <w:p w14:paraId="578294CA" w14:textId="7CA11CCC" w:rsidR="00F25DF7" w:rsidRDefault="00F25DF7" w:rsidP="003A0EDB">
      <w:pPr>
        <w:pStyle w:val="Heading3"/>
        <w:rPr>
          <w:lang w:eastAsia="ja-JP"/>
        </w:rPr>
      </w:pPr>
      <w:bookmarkStart w:id="43" w:name="_Toc206143324"/>
      <w:r>
        <w:rPr>
          <w:lang w:eastAsia="ja-JP"/>
        </w:rPr>
        <w:t>Key features</w:t>
      </w:r>
      <w:bookmarkEnd w:id="42"/>
      <w:bookmarkEnd w:id="43"/>
    </w:p>
    <w:p w14:paraId="157BF502" w14:textId="768E92EF" w:rsidR="00B679A4" w:rsidRDefault="00774F5E" w:rsidP="004D7186">
      <w:r w:rsidRPr="57352DF8">
        <w:t>The revised method for toxicant GV derivation is very similar to that used in the 2000 Guidelines</w:t>
      </w:r>
      <w:r w:rsidR="00FB04D7" w:rsidRPr="57352DF8">
        <w:t xml:space="preserve"> and </w:t>
      </w:r>
      <w:r w:rsidR="002B30C9" w:rsidRPr="57352DF8">
        <w:t>that</w:t>
      </w:r>
      <w:r w:rsidR="001B0203" w:rsidRPr="57352DF8">
        <w:t xml:space="preserve"> </w:t>
      </w:r>
      <w:r w:rsidR="00FB04D7" w:rsidRPr="57352DF8">
        <w:t>described in Warne et al. (2018)</w:t>
      </w:r>
      <w:r w:rsidRPr="57352DF8">
        <w:t xml:space="preserve"> and has retained the </w:t>
      </w:r>
      <w:r w:rsidR="00AF2F00" w:rsidRPr="57352DF8">
        <w:t xml:space="preserve">following </w:t>
      </w:r>
      <w:r w:rsidRPr="57352DF8">
        <w:t>key features:</w:t>
      </w:r>
    </w:p>
    <w:p w14:paraId="1E368263" w14:textId="7DEF3D55" w:rsidR="00774F5E" w:rsidRDefault="00B4018A" w:rsidP="004D7186">
      <w:pPr>
        <w:pStyle w:val="ListBullet"/>
      </w:pPr>
      <w:r>
        <w:t>the method is</w:t>
      </w:r>
      <w:r w:rsidR="00774F5E" w:rsidRPr="007C67F1">
        <w:t xml:space="preserve"> risk-based</w:t>
      </w:r>
      <w:r w:rsidR="008C729F">
        <w:t>,</w:t>
      </w:r>
      <w:r w:rsidR="00774F5E" w:rsidRPr="007C67F1">
        <w:t xml:space="preserve"> </w:t>
      </w:r>
      <w:r w:rsidR="00BB2C6F">
        <w:t xml:space="preserve">in that </w:t>
      </w:r>
      <w:r w:rsidR="006E34C8">
        <w:t xml:space="preserve">(when using the SSD method) </w:t>
      </w:r>
      <w:r w:rsidR="00BB2C6F">
        <w:t>it produces GVs that are based on probability distributions of species’ sensitivities and that specify a percent of species that is likely be protected (or, conversely, affected)</w:t>
      </w:r>
    </w:p>
    <w:p w14:paraId="2C34C624" w14:textId="3821FBA1" w:rsidR="00774F5E" w:rsidRDefault="00B4018A" w:rsidP="004D7186">
      <w:pPr>
        <w:pStyle w:val="ListBullet"/>
      </w:pPr>
      <w:r>
        <w:t>the method uses</w:t>
      </w:r>
      <w:r w:rsidR="00774F5E" w:rsidRPr="007C67F1">
        <w:t xml:space="preserve"> a hierarchical, tiered framework </w:t>
      </w:r>
      <w:r>
        <w:t>that</w:t>
      </w:r>
      <w:r w:rsidRPr="007C67F1">
        <w:t xml:space="preserve"> </w:t>
      </w:r>
      <w:r>
        <w:t>recommends</w:t>
      </w:r>
      <w:r w:rsidRPr="007C67F1">
        <w:t xml:space="preserve"> </w:t>
      </w:r>
      <w:r w:rsidR="00774F5E" w:rsidRPr="007C67F1">
        <w:t xml:space="preserve">the use of </w:t>
      </w:r>
      <w:r>
        <w:t xml:space="preserve">the </w:t>
      </w:r>
      <w:r w:rsidR="00774F5E" w:rsidRPr="007C67F1">
        <w:t xml:space="preserve">SSD </w:t>
      </w:r>
      <w:r w:rsidR="00774F5E">
        <w:t>method</w:t>
      </w:r>
      <w:r w:rsidR="00774F5E" w:rsidRPr="007C67F1">
        <w:t xml:space="preserve"> </w:t>
      </w:r>
      <w:r>
        <w:t>instead of</w:t>
      </w:r>
      <w:r w:rsidRPr="007C67F1">
        <w:t xml:space="preserve"> </w:t>
      </w:r>
      <w:r w:rsidR="00774F5E" w:rsidRPr="007C67F1">
        <w:t>the AF method</w:t>
      </w:r>
    </w:p>
    <w:p w14:paraId="4F72F956" w14:textId="25F73D3C" w:rsidR="00B679A4" w:rsidRDefault="00B4018A" w:rsidP="004D7186">
      <w:pPr>
        <w:pStyle w:val="ListBullet"/>
      </w:pPr>
      <w:r>
        <w:t xml:space="preserve">the method includes </w:t>
      </w:r>
      <w:r w:rsidR="00774F5E" w:rsidRPr="007C67F1">
        <w:t xml:space="preserve">an assessment of the reliability of the </w:t>
      </w:r>
      <w:r w:rsidR="00774F5E">
        <w:t>GVs</w:t>
      </w:r>
    </w:p>
    <w:p w14:paraId="07C251AA" w14:textId="044D8633" w:rsidR="00774F5E" w:rsidRDefault="00B4018A" w:rsidP="004D7186">
      <w:pPr>
        <w:pStyle w:val="ListBullet"/>
      </w:pPr>
      <w:r>
        <w:t xml:space="preserve">the method </w:t>
      </w:r>
      <w:r w:rsidR="00774F5E" w:rsidRPr="007C67F1">
        <w:t>encourag</w:t>
      </w:r>
      <w:r>
        <w:t>es</w:t>
      </w:r>
      <w:r w:rsidR="00774F5E" w:rsidRPr="007C67F1">
        <w:t xml:space="preserve"> the conduct of site-specific investigations and the derivation of site-specific </w:t>
      </w:r>
      <w:r w:rsidR="00774F5E">
        <w:t>GVs</w:t>
      </w:r>
    </w:p>
    <w:p w14:paraId="08D42725" w14:textId="4E43661F" w:rsidR="00B679A4" w:rsidRDefault="00B4018A" w:rsidP="004D7186">
      <w:pPr>
        <w:pStyle w:val="ListBullet"/>
      </w:pPr>
      <w:r>
        <w:t xml:space="preserve">the method includes </w:t>
      </w:r>
      <w:r w:rsidR="00774F5E" w:rsidRPr="007C67F1">
        <w:t xml:space="preserve">a policy of transparency so that it </w:t>
      </w:r>
      <w:r w:rsidR="00774F5E">
        <w:t>i</w:t>
      </w:r>
      <w:r w:rsidR="00774F5E" w:rsidRPr="007C67F1">
        <w:t xml:space="preserve">s clear how the </w:t>
      </w:r>
      <w:r w:rsidR="00774F5E">
        <w:t>GVs</w:t>
      </w:r>
      <w:r w:rsidR="00774F5E" w:rsidRPr="007C67F1">
        <w:t xml:space="preserve"> were derived.</w:t>
      </w:r>
    </w:p>
    <w:p w14:paraId="4DEE742F" w14:textId="56A7DF39" w:rsidR="00B679A4" w:rsidRDefault="00774F5E" w:rsidP="004D7186">
      <w:r>
        <w:t xml:space="preserve">The </w:t>
      </w:r>
      <w:r w:rsidR="00AF2F00">
        <w:t xml:space="preserve">revised method includes the </w:t>
      </w:r>
      <w:r w:rsidR="00AF2F00" w:rsidRPr="004D7186">
        <w:t>following</w:t>
      </w:r>
      <w:r w:rsidR="00AF2F00">
        <w:t xml:space="preserve"> </w:t>
      </w:r>
      <w:r>
        <w:t>key features</w:t>
      </w:r>
      <w:r w:rsidR="00FB04D7">
        <w:t xml:space="preserve"> compared to the method used in the 2000 Guidelines</w:t>
      </w:r>
      <w:r>
        <w:t>:</w:t>
      </w:r>
    </w:p>
    <w:p w14:paraId="4FEBFC53" w14:textId="6CBD85EA" w:rsidR="00B679A4" w:rsidRDefault="00AF2F00" w:rsidP="004D7186">
      <w:pPr>
        <w:pStyle w:val="ListBullet"/>
      </w:pPr>
      <w:r w:rsidRPr="004D7186">
        <w:t>revised</w:t>
      </w:r>
      <w:r>
        <w:t xml:space="preserve"> </w:t>
      </w:r>
      <w:r w:rsidR="00774F5E">
        <w:t>definitions of acute and chronic toxicity and an altered classification of toxicity tests</w:t>
      </w:r>
    </w:p>
    <w:p w14:paraId="43B2440B" w14:textId="13A21291" w:rsidR="00774F5E" w:rsidRPr="00205268" w:rsidRDefault="00AF2F00" w:rsidP="004D7186">
      <w:pPr>
        <w:pStyle w:val="ListBullet"/>
      </w:pPr>
      <w:r w:rsidRPr="57352DF8">
        <w:t xml:space="preserve">guidance </w:t>
      </w:r>
      <w:r w:rsidR="00774F5E" w:rsidRPr="57352DF8">
        <w:t xml:space="preserve">on the derivation of GVs for short-term exposure and when their derivation is appropriate </w:t>
      </w:r>
      <w:r w:rsidR="00E419FE" w:rsidRPr="57352DF8">
        <w:t>(</w:t>
      </w:r>
      <w:r w:rsidR="00E34314" w:rsidRPr="57352DF8">
        <w:t xml:space="preserve">also </w:t>
      </w:r>
      <w:r w:rsidR="00E419FE" w:rsidRPr="57352DF8">
        <w:t>see Batley et al. 2018)</w:t>
      </w:r>
    </w:p>
    <w:p w14:paraId="28E93D47" w14:textId="77E5C81E" w:rsidR="00774F5E" w:rsidRPr="00205268" w:rsidRDefault="00C62B80" w:rsidP="004D7186">
      <w:pPr>
        <w:pStyle w:val="ListBullet"/>
      </w:pPr>
      <w:r w:rsidRPr="57352DF8">
        <w:t xml:space="preserve">an </w:t>
      </w:r>
      <w:r w:rsidR="00774F5E" w:rsidRPr="57352DF8">
        <w:t xml:space="preserve">expanded suite </w:t>
      </w:r>
      <w:r w:rsidR="00E419FE" w:rsidRPr="57352DF8">
        <w:t xml:space="preserve">and preferred hierarchy </w:t>
      </w:r>
      <w:r w:rsidR="00774F5E" w:rsidRPr="57352DF8">
        <w:t>of statistical estimates of toxicity that are d</w:t>
      </w:r>
      <w:r w:rsidR="005D029E" w:rsidRPr="57352DF8">
        <w:t>eemed acceptable to derive GVs</w:t>
      </w:r>
    </w:p>
    <w:p w14:paraId="2B3BE068" w14:textId="377BC5EF" w:rsidR="00B679A4" w:rsidRDefault="009E2FB1" w:rsidP="004D7186">
      <w:pPr>
        <w:pStyle w:val="ListBullet"/>
      </w:pPr>
      <w:r w:rsidRPr="57352DF8">
        <w:t>reducing the reliance on</w:t>
      </w:r>
      <w:r w:rsidR="00774F5E" w:rsidRPr="57352DF8">
        <w:t xml:space="preserve"> NOEC </w:t>
      </w:r>
      <w:r w:rsidR="00227EC7">
        <w:t xml:space="preserve">(see </w:t>
      </w:r>
      <w:r w:rsidR="002B3263">
        <w:fldChar w:fldCharType="begin"/>
      </w:r>
      <w:r w:rsidR="002B3263">
        <w:instrText xml:space="preserve"> REF _Ref166050244 \h </w:instrText>
      </w:r>
      <w:r w:rsidR="002B3263">
        <w:fldChar w:fldCharType="separate"/>
      </w:r>
      <w:r w:rsidR="006C5761">
        <w:t>Glossary</w:t>
      </w:r>
      <w:r w:rsidR="002B3263">
        <w:fldChar w:fldCharType="end"/>
      </w:r>
      <w:r w:rsidR="002B3263">
        <w:t xml:space="preserve"> for definitions) </w:t>
      </w:r>
      <w:r w:rsidR="00774F5E" w:rsidRPr="57352DF8">
        <w:t>data for GV derivation</w:t>
      </w:r>
      <w:r w:rsidR="00FB04D7" w:rsidRPr="57352DF8">
        <w:t xml:space="preserve"> w</w:t>
      </w:r>
      <w:r w:rsidR="00E419FE" w:rsidRPr="57352DF8">
        <w:t xml:space="preserve">here appropriate </w:t>
      </w:r>
      <w:r w:rsidR="002B3263">
        <w:t>(</w:t>
      </w:r>
      <w:r w:rsidR="00344DD5" w:rsidRPr="57352DF8">
        <w:t>e.g.</w:t>
      </w:r>
      <w:r w:rsidR="003A1AD2" w:rsidRPr="57352DF8">
        <w:t xml:space="preserve"> </w:t>
      </w:r>
      <w:r w:rsidR="00774F5E" w:rsidRPr="57352DF8">
        <w:t xml:space="preserve">NOEC data </w:t>
      </w:r>
      <w:r w:rsidR="003A1AD2" w:rsidRPr="57352DF8">
        <w:t>could be excluded</w:t>
      </w:r>
      <w:r w:rsidR="00774F5E" w:rsidRPr="57352DF8">
        <w:t xml:space="preserve"> when the</w:t>
      </w:r>
      <w:r w:rsidR="005D029E" w:rsidRPr="57352DF8">
        <w:t xml:space="preserve">re are acceptable </w:t>
      </w:r>
      <w:r w:rsidR="00E419FE" w:rsidRPr="57352DF8">
        <w:t xml:space="preserve">alternative </w:t>
      </w:r>
      <w:r w:rsidR="005D029E" w:rsidRPr="57352DF8">
        <w:t xml:space="preserve">data </w:t>
      </w:r>
      <w:r w:rsidR="00774F5E" w:rsidRPr="57352DF8">
        <w:t xml:space="preserve">for </w:t>
      </w:r>
      <w:r w:rsidR="001E6DAB">
        <w:t>≥</w:t>
      </w:r>
      <w:r w:rsidR="002B3263">
        <w:t> </w:t>
      </w:r>
      <w:r w:rsidR="003A1AD2" w:rsidRPr="57352DF8">
        <w:t xml:space="preserve">15 </w:t>
      </w:r>
      <w:r w:rsidR="00774F5E" w:rsidRPr="57352DF8">
        <w:t>species that belong to ≥</w:t>
      </w:r>
      <w:r w:rsidR="002B3263">
        <w:t> </w:t>
      </w:r>
      <w:r w:rsidR="00774F5E" w:rsidRPr="57352DF8">
        <w:t>4 taxonomic groups</w:t>
      </w:r>
      <w:r w:rsidR="002B3263">
        <w:t>)</w:t>
      </w:r>
    </w:p>
    <w:p w14:paraId="41855C1F" w14:textId="61BF27CD" w:rsidR="00774F5E" w:rsidRPr="00B4018A" w:rsidRDefault="00FD4FB2" w:rsidP="004D7186">
      <w:pPr>
        <w:pStyle w:val="ListBullet"/>
      </w:pPr>
      <w:r>
        <w:t xml:space="preserve">guidance </w:t>
      </w:r>
      <w:r w:rsidR="00774F5E">
        <w:t xml:space="preserve">to improve the design of toxicity tests </w:t>
      </w:r>
      <w:r w:rsidR="005768E9">
        <w:t>for the purposes of</w:t>
      </w:r>
      <w:r w:rsidR="00774F5E">
        <w:t xml:space="preserve"> concentration-response</w:t>
      </w:r>
      <w:r w:rsidR="005768E9">
        <w:t xml:space="preserve"> modelling and the associated estimation of effect concentrations</w:t>
      </w:r>
      <w:r w:rsidR="00774F5E">
        <w:t xml:space="preserve"> (</w:t>
      </w:r>
      <w:r w:rsidR="00AA3F2A">
        <w:t>i.e.</w:t>
      </w:r>
      <w:r w:rsidR="00774F5E">
        <w:t xml:space="preserve"> EC/IC/LC and NEC</w:t>
      </w:r>
      <w:r w:rsidR="00FD04C0">
        <w:t>/NSEC</w:t>
      </w:r>
      <w:r w:rsidR="00774F5E">
        <w:t xml:space="preserve"> data)</w:t>
      </w:r>
      <w:r w:rsidR="00E419FE">
        <w:t xml:space="preserve"> (</w:t>
      </w:r>
      <w:r w:rsidR="00E34314">
        <w:t xml:space="preserve">also </w:t>
      </w:r>
      <w:r w:rsidR="00E419FE">
        <w:t>see Batley et al. 2018)</w:t>
      </w:r>
    </w:p>
    <w:p w14:paraId="342BE854" w14:textId="62E327AE" w:rsidR="00774F5E" w:rsidRPr="00B4018A" w:rsidRDefault="00FD4FB2" w:rsidP="004D7186">
      <w:pPr>
        <w:pStyle w:val="ListBullet"/>
      </w:pPr>
      <w:r>
        <w:t xml:space="preserve">inclusion </w:t>
      </w:r>
      <w:r w:rsidR="00774F5E">
        <w:t>of non-traditional endpoints (</w:t>
      </w:r>
      <w:r w:rsidR="00AA3F2A">
        <w:t>e.g.</w:t>
      </w:r>
      <w:r w:rsidR="00774F5E">
        <w:t xml:space="preserve"> behavioural</w:t>
      </w:r>
      <w:r w:rsidR="00AA3F2A">
        <w:t>,</w:t>
      </w:r>
      <w:r w:rsidR="00774F5E">
        <w:t xml:space="preserve"> biochemical), provided their ecological relevance has been </w:t>
      </w:r>
      <w:r w:rsidR="00E34314">
        <w:t xml:space="preserve">unequivocally </w:t>
      </w:r>
      <w:r w:rsidR="00774F5E">
        <w:t>demonstrated</w:t>
      </w:r>
    </w:p>
    <w:p w14:paraId="137CBAE8" w14:textId="4AEE3B19" w:rsidR="00774F5E" w:rsidRPr="005D029E" w:rsidRDefault="00FD4FB2" w:rsidP="004D7186">
      <w:pPr>
        <w:pStyle w:val="ListBullet"/>
        <w:rPr>
          <w:rFonts w:cs="Calibri"/>
        </w:rPr>
      </w:pPr>
      <w:r>
        <w:t xml:space="preserve">ability </w:t>
      </w:r>
      <w:r w:rsidR="00774F5E">
        <w:t>to combine chronic and acute (converted to chronic</w:t>
      </w:r>
      <w:r w:rsidR="09BB38B1">
        <w:t xml:space="preserve"> using </w:t>
      </w:r>
      <w:r w:rsidR="0095168C">
        <w:t>conversion factors</w:t>
      </w:r>
      <w:r w:rsidR="00774F5E">
        <w:t xml:space="preserve">) toxicity data or fresh and marine data in </w:t>
      </w:r>
      <w:r w:rsidR="005D029E">
        <w:t>one dataset for GV derivation</w:t>
      </w:r>
      <w:r w:rsidR="00FB04D7">
        <w:t xml:space="preserve"> under specific circumstances</w:t>
      </w:r>
    </w:p>
    <w:p w14:paraId="2F1B8B9B" w14:textId="2BFBB445" w:rsidR="00774F5E" w:rsidRDefault="000570E2" w:rsidP="004D7186">
      <w:pPr>
        <w:pStyle w:val="ListBullet"/>
      </w:pPr>
      <w:r w:rsidRPr="57352DF8">
        <w:t>adoption of a new statistical approach, termed model averaging, and associated software, ssdtools</w:t>
      </w:r>
      <w:r w:rsidR="00303EA9" w:rsidRPr="57352DF8">
        <w:t xml:space="preserve"> (and its online web platform shinyssdtools)</w:t>
      </w:r>
      <w:r w:rsidRPr="57352DF8">
        <w:t>, for deriving GVs (replacing Burrlioz 2.0)</w:t>
      </w:r>
    </w:p>
    <w:p w14:paraId="78A98035" w14:textId="76901089" w:rsidR="003B1451" w:rsidRPr="00303EA9" w:rsidRDefault="003B1451" w:rsidP="004D7186">
      <w:pPr>
        <w:pStyle w:val="ListBullet"/>
      </w:pPr>
      <w:r>
        <w:rPr>
          <w:rFonts w:cs="Calibri"/>
        </w:rPr>
        <w:t xml:space="preserve">inclusion of a statistical mixture distribution within the model averaging approach as a means of </w:t>
      </w:r>
      <w:r w:rsidRPr="00011769">
        <w:rPr>
          <w:rFonts w:cs="Calibri"/>
        </w:rPr>
        <w:t>detecting and</w:t>
      </w:r>
      <w:r w:rsidR="00AE15C2">
        <w:rPr>
          <w:rFonts w:cs="Calibri"/>
        </w:rPr>
        <w:t>,</w:t>
      </w:r>
      <w:r w:rsidRPr="00011769">
        <w:rPr>
          <w:rFonts w:cs="Calibri"/>
        </w:rPr>
        <w:t xml:space="preserve"> if appropriate, accommodating bimodality in the SSD</w:t>
      </w:r>
    </w:p>
    <w:p w14:paraId="4EC79445" w14:textId="1C198F26" w:rsidR="00774F5E" w:rsidRDefault="00FD4FB2" w:rsidP="004D7186">
      <w:pPr>
        <w:pStyle w:val="ListBullet"/>
      </w:pPr>
      <w:r w:rsidRPr="57352DF8">
        <w:lastRenderedPageBreak/>
        <w:t xml:space="preserve">an </w:t>
      </w:r>
      <w:r w:rsidR="00774F5E" w:rsidRPr="57352DF8">
        <w:t>improved method for determining the reliability of GVs</w:t>
      </w:r>
      <w:r w:rsidR="000570E2" w:rsidRPr="57352DF8">
        <w:t xml:space="preserve"> that</w:t>
      </w:r>
      <w:r w:rsidR="00774F5E" w:rsidRPr="57352DF8">
        <w:t xml:space="preserve"> considers (i) the hierarchy of acceptable data</w:t>
      </w:r>
      <w:r w:rsidR="000570E2" w:rsidRPr="57352DF8">
        <w:t xml:space="preserve"> types</w:t>
      </w:r>
      <w:r w:rsidR="00774F5E" w:rsidRPr="57352DF8">
        <w:t>, (ii) the sample size and (iii) a visual estimation of goodness of fit</w:t>
      </w:r>
    </w:p>
    <w:p w14:paraId="59900889" w14:textId="4E3FFB8F" w:rsidR="00774F5E" w:rsidRPr="00060276" w:rsidRDefault="00FD4FB2" w:rsidP="004D7186">
      <w:pPr>
        <w:pStyle w:val="ListBullet"/>
      </w:pPr>
      <w:r w:rsidRPr="57352DF8">
        <w:t>GVs</w:t>
      </w:r>
      <w:r w:rsidR="00774F5E" w:rsidRPr="57352DF8">
        <w:t xml:space="preserve"> calculated using an </w:t>
      </w:r>
      <w:r w:rsidRPr="57352DF8">
        <w:t>AF</w:t>
      </w:r>
      <w:r w:rsidR="00774F5E" w:rsidRPr="57352DF8">
        <w:t xml:space="preserve"> method are classified as having ‘unknown reliability’.</w:t>
      </w:r>
    </w:p>
    <w:p w14:paraId="05A45813" w14:textId="749AAF3E" w:rsidR="00774F5E" w:rsidRDefault="00774F5E" w:rsidP="004D7186">
      <w:r w:rsidRPr="57352DF8">
        <w:t>Batley et al. (</w:t>
      </w:r>
      <w:r w:rsidR="00830DDB" w:rsidRPr="57352DF8">
        <w:t>2018</w:t>
      </w:r>
      <w:r w:rsidRPr="57352DF8">
        <w:t>)</w:t>
      </w:r>
      <w:r w:rsidR="000570E2" w:rsidRPr="57352DF8">
        <w:t xml:space="preserve"> details the rationale for the key revisions </w:t>
      </w:r>
      <w:r w:rsidR="00E518A6" w:rsidRPr="57352DF8">
        <w:t>reflected</w:t>
      </w:r>
      <w:r w:rsidR="000570E2" w:rsidRPr="57352DF8">
        <w:t xml:space="preserve"> in the Warne et al. (2018) method, while the rationale for the additional revisions </w:t>
      </w:r>
      <w:r w:rsidR="00E518A6" w:rsidRPr="57352DF8">
        <w:t>reflected</w:t>
      </w:r>
      <w:r w:rsidR="000570E2" w:rsidRPr="57352DF8">
        <w:t xml:space="preserve"> in the current method are summarised in </w:t>
      </w:r>
      <w:r w:rsidR="004F6C8E">
        <w:fldChar w:fldCharType="begin"/>
      </w:r>
      <w:r w:rsidR="004F6C8E">
        <w:instrText xml:space="preserve"> REF _Ref202085395 \n \h </w:instrText>
      </w:r>
      <w:r w:rsidR="004F6C8E">
        <w:fldChar w:fldCharType="separate"/>
      </w:r>
      <w:r w:rsidR="006C5761">
        <w:t>Appendix A</w:t>
      </w:r>
      <w:r w:rsidR="004F6C8E">
        <w:fldChar w:fldCharType="end"/>
      </w:r>
      <w:r w:rsidR="000570E2" w:rsidRPr="57352DF8">
        <w:t xml:space="preserve"> (</w:t>
      </w:r>
      <w:r w:rsidR="00DC306E">
        <w:fldChar w:fldCharType="begin"/>
      </w:r>
      <w:r w:rsidR="00DC306E">
        <w:instrText xml:space="preserve"> REF _Ref202091506 \h </w:instrText>
      </w:r>
      <w:r w:rsidR="00DC306E">
        <w:fldChar w:fldCharType="separate"/>
      </w:r>
      <w:r w:rsidR="006C5761">
        <w:t>Table </w:t>
      </w:r>
      <w:r w:rsidR="006C5761">
        <w:rPr>
          <w:noProof/>
        </w:rPr>
        <w:t>A</w:t>
      </w:r>
      <w:r w:rsidR="006C5761">
        <w:t>.</w:t>
      </w:r>
      <w:r w:rsidR="006C5761">
        <w:rPr>
          <w:noProof/>
        </w:rPr>
        <w:t>2</w:t>
      </w:r>
      <w:r w:rsidR="00DC306E">
        <w:fldChar w:fldCharType="end"/>
      </w:r>
      <w:r w:rsidR="000570E2" w:rsidRPr="57352DF8">
        <w:t>).</w:t>
      </w:r>
    </w:p>
    <w:p w14:paraId="3689ACC1" w14:textId="4018DB55" w:rsidR="00F25DF7" w:rsidRDefault="00F25DF7" w:rsidP="003A0EDB">
      <w:pPr>
        <w:pStyle w:val="Heading3"/>
        <w:rPr>
          <w:lang w:eastAsia="ja-JP"/>
        </w:rPr>
      </w:pPr>
      <w:bookmarkStart w:id="44" w:name="_Toc202084765"/>
      <w:bookmarkStart w:id="45" w:name="_Ref202089251"/>
      <w:bookmarkStart w:id="46" w:name="_Toc206143325"/>
      <w:r w:rsidRPr="17C8C3CB">
        <w:rPr>
          <w:lang w:eastAsia="ja-JP"/>
        </w:rPr>
        <w:t>D</w:t>
      </w:r>
      <w:r w:rsidR="007D64DD">
        <w:rPr>
          <w:lang w:eastAsia="ja-JP"/>
        </w:rPr>
        <w:t>efault guideline value</w:t>
      </w:r>
      <w:r w:rsidRPr="17C8C3CB">
        <w:rPr>
          <w:lang w:eastAsia="ja-JP"/>
        </w:rPr>
        <w:t>s and analytical methods</w:t>
      </w:r>
      <w:bookmarkEnd w:id="44"/>
      <w:bookmarkEnd w:id="45"/>
      <w:bookmarkEnd w:id="46"/>
    </w:p>
    <w:p w14:paraId="331CD0F8" w14:textId="27A5BDC7" w:rsidR="00B679A4" w:rsidRDefault="00A43E50" w:rsidP="004D7186">
      <w:r w:rsidRPr="57352DF8">
        <w:t>Prior to deriving a DGV for a toxicant, confirm that there is an analytical method for measuring the toxicant (or surrogate chemical marker or metabolite) in water</w:t>
      </w:r>
      <w:r w:rsidR="00165032" w:rsidRPr="57352DF8">
        <w:t xml:space="preserve"> or that the toxicant is known to be in use and it is reasonable to expect that it will be released to aquatic environments (in which case an analytical method would also need to be developed)</w:t>
      </w:r>
      <w:r w:rsidRPr="57352DF8">
        <w:t xml:space="preserve">. </w:t>
      </w:r>
      <w:r w:rsidR="00EE200A" w:rsidRPr="57352DF8">
        <w:t>Where a newly</w:t>
      </w:r>
      <w:r w:rsidR="0075182C">
        <w:t xml:space="preserve"> </w:t>
      </w:r>
      <w:r w:rsidR="00EE200A" w:rsidRPr="57352DF8">
        <w:t xml:space="preserve">developed DGV is lower than the current, routine analytical limits of reporting for the toxicant, the DGV can still be published </w:t>
      </w:r>
      <w:r w:rsidR="00593D41">
        <w:t>and</w:t>
      </w:r>
      <w:r w:rsidR="00593D41" w:rsidRPr="57352DF8">
        <w:t xml:space="preserve"> </w:t>
      </w:r>
      <w:r w:rsidR="00EE200A" w:rsidRPr="57352DF8">
        <w:t>this limitation stated</w:t>
      </w:r>
      <w:r w:rsidR="0075182C">
        <w:t>. I</w:t>
      </w:r>
      <w:r w:rsidR="00EE200A" w:rsidRPr="57352DF8">
        <w:t>t is anticipated that such occurrences will drive the development of more sensitive analytical method</w:t>
      </w:r>
      <w:r w:rsidR="006C6194" w:rsidRPr="57352DF8">
        <w:t>s</w:t>
      </w:r>
      <w:r w:rsidR="00EE200A" w:rsidRPr="57352DF8">
        <w:t xml:space="preserve"> for the toxicant. </w:t>
      </w:r>
      <w:r w:rsidRPr="57352DF8">
        <w:t xml:space="preserve">Information on </w:t>
      </w:r>
      <w:r w:rsidR="0075182C">
        <w:t xml:space="preserve">the </w:t>
      </w:r>
      <w:r w:rsidRPr="57352DF8">
        <w:t xml:space="preserve">availability of appropriate analytical methods </w:t>
      </w:r>
      <w:r w:rsidR="00165032" w:rsidRPr="57352DF8">
        <w:t xml:space="preserve">can be sought from standard methods published by organisations such as </w:t>
      </w:r>
      <w:r w:rsidR="009C7365">
        <w:t xml:space="preserve">the </w:t>
      </w:r>
      <w:r w:rsidR="00165032" w:rsidRPr="57352DF8">
        <w:t>U</w:t>
      </w:r>
      <w:r w:rsidR="009C7365">
        <w:t xml:space="preserve">nited </w:t>
      </w:r>
      <w:r w:rsidR="00165032" w:rsidRPr="57352DF8">
        <w:t>S</w:t>
      </w:r>
      <w:r w:rsidR="009C7365">
        <w:t>tates</w:t>
      </w:r>
      <w:r w:rsidR="00742C20">
        <w:t xml:space="preserve"> </w:t>
      </w:r>
      <w:r w:rsidR="00165032" w:rsidRPr="57352DF8">
        <w:t>E</w:t>
      </w:r>
      <w:r w:rsidR="009C7365">
        <w:t xml:space="preserve">nvironmental </w:t>
      </w:r>
      <w:r w:rsidR="00165032" w:rsidRPr="57352DF8">
        <w:t>P</w:t>
      </w:r>
      <w:r w:rsidR="009C7365">
        <w:t xml:space="preserve">rotection </w:t>
      </w:r>
      <w:r w:rsidR="00165032" w:rsidRPr="57352DF8">
        <w:t>A</w:t>
      </w:r>
      <w:r w:rsidR="009C7365">
        <w:t>gency</w:t>
      </w:r>
      <w:r w:rsidR="00165032" w:rsidRPr="57352DF8">
        <w:t xml:space="preserve">, </w:t>
      </w:r>
      <w:r w:rsidR="009C7365">
        <w:t>Organisation for Economic Co-operation and Development</w:t>
      </w:r>
      <w:r w:rsidR="009C7365" w:rsidRPr="57352DF8">
        <w:t xml:space="preserve"> </w:t>
      </w:r>
      <w:r w:rsidR="00165032" w:rsidRPr="57352DF8">
        <w:t xml:space="preserve">or </w:t>
      </w:r>
      <w:r w:rsidR="006D2953">
        <w:t>American Society for Testing and Materials</w:t>
      </w:r>
      <w:r w:rsidR="00165032" w:rsidRPr="57352DF8">
        <w:t xml:space="preserve">, or by consulting with </w:t>
      </w:r>
      <w:r w:rsidRPr="57352DF8">
        <w:t xml:space="preserve">appropriately accredited commercial analytical laboratories, preferably in Australia or New Zealand. Additional guidance on requirements for analytical methods can be found in </w:t>
      </w:r>
      <w:r w:rsidR="00E419FE" w:rsidRPr="57352DF8">
        <w:t xml:space="preserve">ANZG (2018; see </w:t>
      </w:r>
      <w:hyperlink r:id="rId24">
        <w:r w:rsidR="00E419FE" w:rsidRPr="00A543CE">
          <w:rPr>
            <w:rStyle w:val="Hyperlink"/>
            <w:i/>
            <w:iCs/>
          </w:rPr>
          <w:t>Monitoring – Laboratory analysis</w:t>
        </w:r>
      </w:hyperlink>
      <w:r w:rsidR="00E419FE" w:rsidRPr="57352DF8">
        <w:t>)</w:t>
      </w:r>
      <w:r w:rsidRPr="57352DF8">
        <w:t>.</w:t>
      </w:r>
      <w:bookmarkStart w:id="47" w:name="_Toc202084766"/>
      <w:bookmarkStart w:id="48" w:name="_Ref202089272"/>
    </w:p>
    <w:p w14:paraId="0A4CEA1B" w14:textId="1C6E500A" w:rsidR="007B78BA" w:rsidRDefault="007B78BA" w:rsidP="003A0EDB">
      <w:pPr>
        <w:pStyle w:val="Heading3"/>
        <w:rPr>
          <w:lang w:eastAsia="ja-JP"/>
        </w:rPr>
      </w:pPr>
      <w:bookmarkStart w:id="49" w:name="_Toc206143326"/>
      <w:r>
        <w:rPr>
          <w:lang w:eastAsia="ja-JP"/>
        </w:rPr>
        <w:t xml:space="preserve">Preferred </w:t>
      </w:r>
      <w:r w:rsidR="003322C0">
        <w:rPr>
          <w:lang w:eastAsia="ja-JP"/>
        </w:rPr>
        <w:t>guideline value</w:t>
      </w:r>
      <w:r>
        <w:rPr>
          <w:lang w:eastAsia="ja-JP"/>
        </w:rPr>
        <w:t xml:space="preserve"> derivation method</w:t>
      </w:r>
      <w:bookmarkEnd w:id="47"/>
      <w:bookmarkEnd w:id="48"/>
      <w:bookmarkEnd w:id="49"/>
    </w:p>
    <w:p w14:paraId="1EC3BB1C" w14:textId="3F4143AF" w:rsidR="000274E1" w:rsidRDefault="00774F5E" w:rsidP="004D7186">
      <w:r>
        <w:t>Only</w:t>
      </w:r>
      <w:r w:rsidR="00C64837">
        <w:t xml:space="preserve"> 2</w:t>
      </w:r>
      <w:r>
        <w:t xml:space="preserve"> methods </w:t>
      </w:r>
      <w:r w:rsidR="009730A8" w:rsidRPr="009730A8">
        <w:rPr>
          <w:lang w:val="en-GB"/>
        </w:rPr>
        <w:t xml:space="preserve">are recognised in Australia and New </w:t>
      </w:r>
      <w:r w:rsidR="009730A8">
        <w:rPr>
          <w:lang w:val="en-GB"/>
        </w:rPr>
        <w:t>Z</w:t>
      </w:r>
      <w:r w:rsidR="009730A8" w:rsidRPr="009730A8">
        <w:rPr>
          <w:lang w:val="en-GB"/>
        </w:rPr>
        <w:t>ealand for the derivation</w:t>
      </w:r>
      <w:r w:rsidR="000274E1">
        <w:rPr>
          <w:lang w:val="en-GB"/>
        </w:rPr>
        <w:t xml:space="preserve"> of </w:t>
      </w:r>
      <w:r w:rsidR="00E419FE">
        <w:t>D</w:t>
      </w:r>
      <w:r>
        <w:t>GVs</w:t>
      </w:r>
      <w:r w:rsidR="00E419FE">
        <w:t xml:space="preserve"> for toxicants</w:t>
      </w:r>
      <w:r>
        <w:t>: the SSD method and the AF method. Background information on these methods can be found in Warne (1998), Shao (2000), Campbell et al. (2000) and Warne (2001).</w:t>
      </w:r>
      <w:r w:rsidR="00FC0E5C">
        <w:t xml:space="preserve"> </w:t>
      </w:r>
      <w:r w:rsidR="000274E1">
        <w:t>T</w:t>
      </w:r>
      <w:r w:rsidR="00FC0E5C">
        <w:t xml:space="preserve">he </w:t>
      </w:r>
      <w:r w:rsidR="000274E1">
        <w:t>GV</w:t>
      </w:r>
      <w:r w:rsidR="0066263A">
        <w:t>-</w:t>
      </w:r>
      <w:r w:rsidR="000274E1">
        <w:t xml:space="preserve">derivation </w:t>
      </w:r>
      <w:r w:rsidR="00FC0E5C">
        <w:t xml:space="preserve">method does not combine the use of SSDs and </w:t>
      </w:r>
      <w:r w:rsidR="00851D15">
        <w:t xml:space="preserve">AFs </w:t>
      </w:r>
      <w:r w:rsidR="006C7184">
        <w:t>when deriving GVs</w:t>
      </w:r>
      <w:r w:rsidR="00C81CDF">
        <w:t>, as occurs elsewhere (e.g. European Commission 201</w:t>
      </w:r>
      <w:r w:rsidR="00B74693">
        <w:t>8</w:t>
      </w:r>
      <w:r w:rsidR="00C81CDF">
        <w:t>)</w:t>
      </w:r>
      <w:r w:rsidR="0066263A">
        <w:t xml:space="preserve"> –</w:t>
      </w:r>
      <w:r w:rsidR="00C81CDF">
        <w:t xml:space="preserve"> e</w:t>
      </w:r>
      <w:r w:rsidR="00FC0E5C">
        <w:t xml:space="preserve">ither one or the other </w:t>
      </w:r>
      <w:r w:rsidR="00C81CDF">
        <w:t xml:space="preserve">method </w:t>
      </w:r>
      <w:r w:rsidR="00FC0E5C">
        <w:t xml:space="preserve">is used, depending on data availability (see </w:t>
      </w:r>
      <w:r w:rsidR="003762AA">
        <w:t>S</w:t>
      </w:r>
      <w:r w:rsidR="00FC0E5C">
        <w:t>ection</w:t>
      </w:r>
      <w:r w:rsidR="00C81CDF">
        <w:t xml:space="preserve"> </w:t>
      </w:r>
      <w:r w:rsidR="00387F70">
        <w:fldChar w:fldCharType="begin"/>
      </w:r>
      <w:r w:rsidR="00387F70">
        <w:instrText xml:space="preserve"> REF _Ref202088556 \r \h </w:instrText>
      </w:r>
      <w:r w:rsidR="00387F70">
        <w:fldChar w:fldCharType="separate"/>
      </w:r>
      <w:r w:rsidR="006C5761">
        <w:t>3.4.5</w:t>
      </w:r>
      <w:r w:rsidR="00387F70">
        <w:fldChar w:fldCharType="end"/>
      </w:r>
      <w:r w:rsidR="00C81CDF">
        <w:t xml:space="preserve"> and </w:t>
      </w:r>
      <w:r w:rsidR="003762AA">
        <w:t>S</w:t>
      </w:r>
      <w:r w:rsidR="00C81CDF">
        <w:t xml:space="preserve">ection </w:t>
      </w:r>
      <w:r w:rsidR="00387F70">
        <w:fldChar w:fldCharType="begin"/>
      </w:r>
      <w:r w:rsidR="00387F70">
        <w:instrText xml:space="preserve"> REF _Ref202088564 \r \h </w:instrText>
      </w:r>
      <w:r w:rsidR="00387F70">
        <w:fldChar w:fldCharType="separate"/>
      </w:r>
      <w:r w:rsidR="006C5761">
        <w:t>4</w:t>
      </w:r>
      <w:r w:rsidR="00387F70">
        <w:fldChar w:fldCharType="end"/>
      </w:r>
      <w:r w:rsidR="00C81CDF">
        <w:t>)</w:t>
      </w:r>
      <w:r w:rsidR="00483F4E">
        <w:t>.</w:t>
      </w:r>
      <w:r>
        <w:t xml:space="preserve"> </w:t>
      </w:r>
      <w:r w:rsidR="007C4009">
        <w:t>Reasons for not applying A</w:t>
      </w:r>
      <w:r w:rsidR="00F174BC">
        <w:t>F</w:t>
      </w:r>
      <w:r w:rsidR="007C4009">
        <w:t xml:space="preserve">s to </w:t>
      </w:r>
      <w:r w:rsidR="00F174BC">
        <w:t xml:space="preserve">GVs derived from SSDs are detailed in Fox </w:t>
      </w:r>
      <w:r w:rsidR="0070630E">
        <w:t>and</w:t>
      </w:r>
      <w:r w:rsidR="00F174BC">
        <w:t xml:space="preserve"> Batley (2022).</w:t>
      </w:r>
    </w:p>
    <w:p w14:paraId="19BE156D" w14:textId="18BE8E3D" w:rsidR="00FF4139" w:rsidRDefault="00774F5E" w:rsidP="004D7186">
      <w:r w:rsidRPr="57352DF8">
        <w:t xml:space="preserve">The SSD method is the preferred method for deriving GVs and should be used whenever the toxicity data for a toxicant meet the minimum data requirements for this method. This method should also be used when quantitative structure-activity relationships (QSARs) are used for non-polar narcotic chemicals (see Warne 2001 for additional details). As </w:t>
      </w:r>
      <w:r w:rsidR="00624CCC" w:rsidRPr="57352DF8">
        <w:t xml:space="preserve">an </w:t>
      </w:r>
      <w:r w:rsidRPr="57352DF8">
        <w:t xml:space="preserve">SSD is the preferred method </w:t>
      </w:r>
      <w:r w:rsidR="008576AB" w:rsidRPr="57352DF8">
        <w:t xml:space="preserve">for </w:t>
      </w:r>
      <w:r w:rsidRPr="57352DF8">
        <w:t xml:space="preserve">calculating GVs, </w:t>
      </w:r>
      <w:r w:rsidR="00CF3FDD" w:rsidRPr="57352DF8">
        <w:t>the current document</w:t>
      </w:r>
      <w:r w:rsidRPr="57352DF8">
        <w:t xml:space="preserve"> focuses on this method. </w:t>
      </w:r>
      <w:r w:rsidR="00FF4139" w:rsidRPr="57352DF8">
        <w:t xml:space="preserve">The Burrlioz 2.0 software used to calculate toxicant GVs since </w:t>
      </w:r>
      <w:r w:rsidR="001465BE">
        <w:t>ANZECC and ARMCANZ</w:t>
      </w:r>
      <w:r w:rsidR="00FF4139" w:rsidRPr="57352DF8">
        <w:t xml:space="preserve"> (2000a) has been replaced by the </w:t>
      </w:r>
      <w:r w:rsidR="00BD331B">
        <w:t>open</w:t>
      </w:r>
      <w:r w:rsidR="008D04FC">
        <w:t>-</w:t>
      </w:r>
      <w:r w:rsidR="00BD331B">
        <w:t xml:space="preserve">source </w:t>
      </w:r>
      <w:r w:rsidR="00FF4139" w:rsidRPr="57352DF8">
        <w:t>software package, ssdtools (</w:t>
      </w:r>
      <w:r w:rsidR="00B579B4" w:rsidRPr="57352DF8">
        <w:t>Thorley and Schwarz 2018</w:t>
      </w:r>
      <w:r w:rsidR="00006D57">
        <w:t>;</w:t>
      </w:r>
      <w:r w:rsidR="00B579B4" w:rsidRPr="57352DF8">
        <w:t xml:space="preserve"> </w:t>
      </w:r>
      <w:r w:rsidR="00FF4139" w:rsidRPr="57352DF8">
        <w:t xml:space="preserve">Thorley </w:t>
      </w:r>
      <w:r w:rsidR="00B05EC8" w:rsidRPr="57352DF8">
        <w:t>et al. 2025</w:t>
      </w:r>
      <w:r w:rsidR="00FF4139" w:rsidRPr="57352DF8">
        <w:t xml:space="preserve">) </w:t>
      </w:r>
      <w:r w:rsidR="007F00DB" w:rsidRPr="57352DF8">
        <w:t>and</w:t>
      </w:r>
      <w:r w:rsidR="00FF4139" w:rsidRPr="57352DF8">
        <w:t xml:space="preserve"> its </w:t>
      </w:r>
      <w:r w:rsidR="007F00DB" w:rsidRPr="57352DF8">
        <w:t>accompanying web-based</w:t>
      </w:r>
      <w:r w:rsidR="00FF4139" w:rsidRPr="57352DF8">
        <w:t xml:space="preserve"> interface, shinyssdtools (Dalgarno 2018)</w:t>
      </w:r>
      <w:r w:rsidR="00231961" w:rsidRPr="57352DF8">
        <w:t xml:space="preserve"> (</w:t>
      </w:r>
      <w:hyperlink r:id="rId25" w:history="1">
        <w:r w:rsidR="00835E16" w:rsidRPr="0014198F">
          <w:rPr>
            <w:rStyle w:val="Hyperlink"/>
          </w:rPr>
          <w:t>https://www.waterquality.gov.au/anz-guidelines/guideline-values/default/water-quality-toxicants/shinyssdtool</w:t>
        </w:r>
      </w:hyperlink>
      <w:r w:rsidR="00231961" w:rsidRPr="57352DF8">
        <w:t>)</w:t>
      </w:r>
      <w:r w:rsidR="00FF4139" w:rsidRPr="57352DF8">
        <w:t xml:space="preserve">, which are collectively referred to </w:t>
      </w:r>
      <w:r w:rsidR="0000164E" w:rsidRPr="57352DF8">
        <w:t>herein</w:t>
      </w:r>
      <w:r w:rsidR="00FF4139" w:rsidRPr="57352DF8">
        <w:t xml:space="preserve"> as </w:t>
      </w:r>
      <w:r w:rsidR="006A1CAC">
        <w:t>‘</w:t>
      </w:r>
      <w:r w:rsidR="00FF4139" w:rsidRPr="57352DF8">
        <w:t>(shiny)ssdtools</w:t>
      </w:r>
      <w:r w:rsidR="006A1CAC">
        <w:t>’</w:t>
      </w:r>
      <w:r w:rsidR="00FF4139" w:rsidRPr="57352DF8">
        <w:t>.</w:t>
      </w:r>
      <w:r w:rsidR="0038540D">
        <w:t xml:space="preserve"> The SSD modelling approach used by (shiny)ssdtools represents an improvement </w:t>
      </w:r>
      <w:r w:rsidR="00AA4733">
        <w:t>to</w:t>
      </w:r>
      <w:r w:rsidR="0038540D">
        <w:t xml:space="preserve"> that used by Burrlioz 2.0. </w:t>
      </w:r>
      <w:r w:rsidR="00BF3F06">
        <w:t>While</w:t>
      </w:r>
      <w:r w:rsidR="004620AD">
        <w:t xml:space="preserve"> Burrlioz (1.0 and 2.0) provided a technically defensible approach to deriving toxicant </w:t>
      </w:r>
      <w:r w:rsidR="00A122A0">
        <w:t>GVs</w:t>
      </w:r>
      <w:r w:rsidR="004620AD">
        <w:t xml:space="preserve"> for over 20</w:t>
      </w:r>
      <w:r w:rsidR="00AA4733">
        <w:t> </w:t>
      </w:r>
      <w:r w:rsidR="004620AD">
        <w:t xml:space="preserve">years, the transition to (shiny)ssdtools significantly strengthens the </w:t>
      </w:r>
      <w:r w:rsidR="004620AD">
        <w:lastRenderedPageBreak/>
        <w:t xml:space="preserve">technical </w:t>
      </w:r>
      <w:r w:rsidR="005C6DD7">
        <w:t>basis</w:t>
      </w:r>
      <w:r w:rsidR="004620AD">
        <w:t xml:space="preserve"> of toxicant </w:t>
      </w:r>
      <w:r w:rsidR="00AA4733">
        <w:t>GVs</w:t>
      </w:r>
      <w:r w:rsidR="004620AD">
        <w:t xml:space="preserve"> for Australia and New Zealand (Fox et al. 2023)</w:t>
      </w:r>
      <w:r w:rsidR="009C3EC5">
        <w:t xml:space="preserve"> and ensures that the derivation method reflects the current state of the science</w:t>
      </w:r>
      <w:r w:rsidR="00B7486B">
        <w:t xml:space="preserve"> for SSD modelling</w:t>
      </w:r>
      <w:r w:rsidR="004620AD">
        <w:t xml:space="preserve">. </w:t>
      </w:r>
      <w:r w:rsidR="0038540D">
        <w:t xml:space="preserve">Section </w:t>
      </w:r>
      <w:r w:rsidR="00387F70">
        <w:fldChar w:fldCharType="begin"/>
      </w:r>
      <w:r w:rsidR="00387F70">
        <w:instrText xml:space="preserve"> REF _Ref202088575 \r \h </w:instrText>
      </w:r>
      <w:r w:rsidR="00387F70">
        <w:fldChar w:fldCharType="separate"/>
      </w:r>
      <w:r w:rsidR="006C5761">
        <w:t>0</w:t>
      </w:r>
      <w:r w:rsidR="00387F70">
        <w:fldChar w:fldCharType="end"/>
      </w:r>
      <w:r w:rsidR="0038540D">
        <w:t xml:space="preserve"> provides further details on (shiny)ssdtools.</w:t>
      </w:r>
    </w:p>
    <w:p w14:paraId="39AFD283" w14:textId="01F95F25" w:rsidR="00B679A4" w:rsidRDefault="00E419FE" w:rsidP="004D7186">
      <w:r w:rsidRPr="57352DF8">
        <w:t xml:space="preserve">Additional guidance for deriving site-specific GVs is provided </w:t>
      </w:r>
      <w:r w:rsidR="00F21639" w:rsidRPr="57352DF8">
        <w:t>by</w:t>
      </w:r>
      <w:r w:rsidRPr="57352DF8">
        <w:t xml:space="preserve"> ANZG (2018; see </w:t>
      </w:r>
      <w:hyperlink r:id="rId26">
        <w:r w:rsidRPr="00A543CE">
          <w:rPr>
            <w:rStyle w:val="Hyperlink"/>
            <w:i/>
            <w:iCs/>
          </w:rPr>
          <w:t>Deriving guideline values</w:t>
        </w:r>
      </w:hyperlink>
      <w:r w:rsidR="00C81CDF" w:rsidRPr="57352DF8">
        <w:t>)</w:t>
      </w:r>
      <w:r w:rsidR="003254A5" w:rsidRPr="57352DF8">
        <w:t>,</w:t>
      </w:r>
      <w:r w:rsidRPr="57352DF8">
        <w:t xml:space="preserve"> </w:t>
      </w:r>
      <w:r w:rsidR="003254A5" w:rsidRPr="57352DF8">
        <w:t>Huynh and Hobbs (2019)</w:t>
      </w:r>
      <w:r w:rsidR="007B78BA" w:rsidRPr="57352DF8">
        <w:t xml:space="preserve"> and van Dam et al. (2019)</w:t>
      </w:r>
      <w:r w:rsidRPr="57352DF8">
        <w:t>.</w:t>
      </w:r>
      <w:r w:rsidR="00FC0E5C" w:rsidRPr="57352DF8">
        <w:t xml:space="preserve"> Also, state and territory governments may have their own guidance for deriving and applying site-specific </w:t>
      </w:r>
      <w:r w:rsidR="007B78BA" w:rsidRPr="57352DF8">
        <w:t>GVs</w:t>
      </w:r>
      <w:r w:rsidR="00FC0E5C" w:rsidRPr="57352DF8">
        <w:t xml:space="preserve"> and they should always be consulted on appropriate methods during the planning stage of the derivation process.</w:t>
      </w:r>
    </w:p>
    <w:p w14:paraId="292BC44F" w14:textId="56C3CE6E" w:rsidR="00B679A4" w:rsidRDefault="00774F5E" w:rsidP="004D7186">
      <w:r w:rsidRPr="57352DF8">
        <w:t>The method for deriving toxicant GVs should be used in conjunction and in accordance with the guidance for water</w:t>
      </w:r>
      <w:r w:rsidR="00A122A0">
        <w:t>-</w:t>
      </w:r>
      <w:r w:rsidRPr="57352DF8">
        <w:t xml:space="preserve">quality management and assessment that is provided in the current </w:t>
      </w:r>
      <w:hyperlink r:id="rId27">
        <w:r w:rsidRPr="57352DF8">
          <w:rPr>
            <w:rStyle w:val="Hyperlink"/>
            <w:i/>
            <w:iCs/>
          </w:rPr>
          <w:t>Australian and New Zealand Guidelines for Fresh and Marine Water Quality</w:t>
        </w:r>
      </w:hyperlink>
      <w:r w:rsidR="00B431AE" w:rsidRPr="57352DF8">
        <w:rPr>
          <w:i/>
          <w:iCs/>
        </w:rPr>
        <w:t xml:space="preserve"> </w:t>
      </w:r>
      <w:r w:rsidR="00830DDB" w:rsidRPr="57352DF8">
        <w:t>(ANZG 2018)</w:t>
      </w:r>
      <w:r w:rsidRPr="57352DF8">
        <w:t>.</w:t>
      </w:r>
      <w:bookmarkStart w:id="50" w:name="_Toc202084767"/>
    </w:p>
    <w:p w14:paraId="75D48945" w14:textId="7A7C3B45" w:rsidR="00774F5E" w:rsidRDefault="00774F5E" w:rsidP="004D7186">
      <w:pPr>
        <w:pStyle w:val="Heading2"/>
      </w:pPr>
      <w:bookmarkStart w:id="51" w:name="_Toc206143327"/>
      <w:r>
        <w:lastRenderedPageBreak/>
        <w:t xml:space="preserve">Method for </w:t>
      </w:r>
      <w:r w:rsidR="00FD53F5">
        <w:t>calculating guideline valu</w:t>
      </w:r>
      <w:r>
        <w:t xml:space="preserve">es using the </w:t>
      </w:r>
      <w:r w:rsidR="001F590F">
        <w:t xml:space="preserve">species sensitivity </w:t>
      </w:r>
      <w:r w:rsidR="001F590F" w:rsidRPr="001F590F">
        <w:t>distribution</w:t>
      </w:r>
      <w:r>
        <w:t xml:space="preserve"> </w:t>
      </w:r>
      <w:r w:rsidR="00FD53F5">
        <w:t>approach</w:t>
      </w:r>
      <w:bookmarkEnd w:id="50"/>
      <w:bookmarkEnd w:id="51"/>
    </w:p>
    <w:p w14:paraId="75A31B5E" w14:textId="160BA39B" w:rsidR="00774F5E" w:rsidRPr="00E03F97" w:rsidRDefault="00774F5E" w:rsidP="004D7186">
      <w:r>
        <w:t>The d</w:t>
      </w:r>
      <w:r w:rsidRPr="000B2812">
        <w:t>evelop</w:t>
      </w:r>
      <w:r w:rsidRPr="00B73252">
        <w:t xml:space="preserve">ment of GVs is a specialised process that requires sound </w:t>
      </w:r>
      <w:r w:rsidR="0021485D">
        <w:t xml:space="preserve">knowledge of the method and </w:t>
      </w:r>
      <w:r w:rsidRPr="00B73252">
        <w:t xml:space="preserve">professional judgement </w:t>
      </w:r>
      <w:r w:rsidR="00B73252">
        <w:t xml:space="preserve">throughout. </w:t>
      </w:r>
      <w:r>
        <w:t xml:space="preserve">Therefore, it is strongly recommended </w:t>
      </w:r>
      <w:r w:rsidR="00924A09">
        <w:t xml:space="preserve">that </w:t>
      </w:r>
      <w:r>
        <w:t>people deriving GVs should have detailed knowledge of ecotoxicology and environmental chemistry and</w:t>
      </w:r>
      <w:r w:rsidR="0021485D">
        <w:t>,</w:t>
      </w:r>
      <w:r>
        <w:t xml:space="preserve"> </w:t>
      </w:r>
      <w:r w:rsidR="00651AD4">
        <w:t xml:space="preserve">for DGVs, </w:t>
      </w:r>
      <w:r>
        <w:t>previous experience deriving GVs.</w:t>
      </w:r>
    </w:p>
    <w:p w14:paraId="7EA2D650" w14:textId="308E478D" w:rsidR="00914B45" w:rsidRDefault="00774F5E" w:rsidP="004D7186">
      <w:r w:rsidRPr="57352DF8">
        <w:t>An overview of the revised method for calculating GVs using the SSD method is provided in</w:t>
      </w:r>
      <w:r w:rsidR="00710F34">
        <w:t xml:space="preserve"> </w:t>
      </w:r>
      <w:r w:rsidR="00710F34">
        <w:fldChar w:fldCharType="begin"/>
      </w:r>
      <w:r w:rsidR="00710F34">
        <w:instrText xml:space="preserve"> REF _Ref202087163 \h </w:instrText>
      </w:r>
      <w:r w:rsidR="00710F34">
        <w:fldChar w:fldCharType="separate"/>
      </w:r>
      <w:r w:rsidR="006C5761" w:rsidRPr="00710F34">
        <w:t>Figure</w:t>
      </w:r>
      <w:r w:rsidR="006C5761">
        <w:t> </w:t>
      </w:r>
      <w:r w:rsidR="006C5761">
        <w:rPr>
          <w:noProof/>
        </w:rPr>
        <w:t>1</w:t>
      </w:r>
      <w:r w:rsidR="00710F34">
        <w:fldChar w:fldCharType="end"/>
      </w:r>
      <w:r w:rsidR="00041635" w:rsidRPr="57352DF8">
        <w:t xml:space="preserve">. </w:t>
      </w:r>
      <w:r w:rsidRPr="57352DF8">
        <w:t>Each step is subsequently described in detail below. While DGVs are derived to protect against harmful effects from long-term (</w:t>
      </w:r>
      <w:r w:rsidR="0021485D" w:rsidRPr="57352DF8">
        <w:t>i.e.</w:t>
      </w:r>
      <w:r w:rsidRPr="57352DF8">
        <w:t xml:space="preserve"> chronic) exposure, the method set out in this report can also be used to derive GVs for short-term (</w:t>
      </w:r>
      <w:r w:rsidR="0021485D" w:rsidRPr="57352DF8">
        <w:t>i.e.</w:t>
      </w:r>
      <w:r w:rsidRPr="57352DF8">
        <w:t xml:space="preserve"> acute) exposure, which may be useful at regional or site-specific scales or for other uses such as setting licence</w:t>
      </w:r>
      <w:r w:rsidR="00924A09" w:rsidRPr="57352DF8">
        <w:t xml:space="preserve"> condition</w:t>
      </w:r>
      <w:r w:rsidRPr="57352DF8">
        <w:t xml:space="preserve">s or in prosecutions. Short-term GVs typically aim to protect most species against lethality </w:t>
      </w:r>
      <w:r w:rsidR="6EB5B360" w:rsidRPr="57352DF8">
        <w:t>or short-term sub</w:t>
      </w:r>
      <w:r w:rsidR="001B5D32">
        <w:t>-</w:t>
      </w:r>
      <w:r w:rsidR="6EB5B360" w:rsidRPr="57352DF8">
        <w:t xml:space="preserve">lethal effects </w:t>
      </w:r>
      <w:r w:rsidRPr="57352DF8">
        <w:t>during intermittent and transient exposures</w:t>
      </w:r>
      <w:r w:rsidR="00F155D8" w:rsidRPr="57352DF8">
        <w:t xml:space="preserve">; thus, the </w:t>
      </w:r>
      <w:r w:rsidR="00D73F6C" w:rsidRPr="57352DF8">
        <w:t xml:space="preserve">toxicity </w:t>
      </w:r>
      <w:r w:rsidR="00F155D8" w:rsidRPr="57352DF8">
        <w:t>data used to derive short-term GVs should adequately reflect such exposures</w:t>
      </w:r>
      <w:r w:rsidR="000D0005" w:rsidRPr="57352DF8">
        <w:t>. S</w:t>
      </w:r>
      <w:r w:rsidRPr="57352DF8">
        <w:t>ee Batley et al. (201</w:t>
      </w:r>
      <w:r w:rsidR="00D40667" w:rsidRPr="57352DF8">
        <w:t>8</w:t>
      </w:r>
      <w:r w:rsidRPr="57352DF8">
        <w:t>) for further guidance on the derivation of short-term GVs.</w:t>
      </w:r>
      <w:bookmarkStart w:id="52" w:name="_Ref520275690"/>
    </w:p>
    <w:p w14:paraId="7A161D39" w14:textId="3759B48A" w:rsidR="00657EE0" w:rsidRPr="00710F34" w:rsidRDefault="00657EE0" w:rsidP="00710F34">
      <w:pPr>
        <w:pStyle w:val="Caption"/>
      </w:pPr>
      <w:bookmarkStart w:id="53" w:name="_Ref202087163"/>
      <w:bookmarkStart w:id="54" w:name="_Toc206085212"/>
      <w:r w:rsidRPr="00710F34">
        <w:t>Figure</w:t>
      </w:r>
      <w:r w:rsidR="00EA0836">
        <w:t> </w:t>
      </w:r>
      <w:r>
        <w:fldChar w:fldCharType="begin"/>
      </w:r>
      <w:r>
        <w:instrText xml:space="preserve"> SEQ Figure \* ARABIC </w:instrText>
      </w:r>
      <w:r>
        <w:fldChar w:fldCharType="separate"/>
      </w:r>
      <w:r w:rsidR="006C5761">
        <w:rPr>
          <w:noProof/>
        </w:rPr>
        <w:t>1</w:t>
      </w:r>
      <w:r>
        <w:fldChar w:fldCharType="end"/>
      </w:r>
      <w:bookmarkEnd w:id="53"/>
      <w:r w:rsidRPr="00710F34">
        <w:t xml:space="preserve"> Schematic representation of the revised method for deriving guideline values using the species sensitivity distribution approach</w:t>
      </w:r>
      <w:bookmarkEnd w:id="54"/>
    </w:p>
    <w:p w14:paraId="4D4D47DA" w14:textId="1B803C56" w:rsidR="005E26A2" w:rsidRDefault="006D2107" w:rsidP="0042443D">
      <w:pPr>
        <w:jc w:val="center"/>
      </w:pPr>
      <w:bookmarkStart w:id="55" w:name="_Toc522796283"/>
      <w:bookmarkStart w:id="56" w:name="_Toc522796307"/>
      <w:bookmarkEnd w:id="52"/>
      <w:bookmarkEnd w:id="55"/>
      <w:bookmarkEnd w:id="56"/>
      <w:r w:rsidRPr="006D2107">
        <w:rPr>
          <w:noProof/>
        </w:rPr>
        <w:drawing>
          <wp:inline distT="0" distB="0" distL="0" distR="0" wp14:anchorId="21978171" wp14:editId="6561D92E">
            <wp:extent cx="3564000" cy="4282186"/>
            <wp:effectExtent l="0" t="0" r="5080" b="0"/>
            <wp:docPr id="6" name="Picture 5">
              <a:extLst xmlns:a="http://schemas.openxmlformats.org/drawingml/2006/main">
                <a:ext uri="{FF2B5EF4-FFF2-40B4-BE49-F238E27FC236}">
                  <a16:creationId xmlns:a16="http://schemas.microsoft.com/office/drawing/2014/main" id="{DEC1635C-6721-6DF4-EF8C-A427A0B7D3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EC1635C-6721-6DF4-EF8C-A427A0B7D316}"/>
                        </a:ext>
                        <a:ext uri="{C183D7F6-B498-43B3-948B-1728B52AA6E4}">
                          <adec:decorative xmlns:adec="http://schemas.microsoft.com/office/drawing/2017/decorative" val="1"/>
                        </a:ext>
                      </a:extLst>
                    </pic:cNvPr>
                    <pic:cNvPicPr>
                      <a:picLocks noChangeAspect="1"/>
                    </pic:cNvPicPr>
                  </pic:nvPicPr>
                  <pic:blipFill>
                    <a:blip r:embed="rId28"/>
                    <a:stretch>
                      <a:fillRect/>
                    </a:stretch>
                  </pic:blipFill>
                  <pic:spPr>
                    <a:xfrm>
                      <a:off x="0" y="0"/>
                      <a:ext cx="3564000" cy="4282186"/>
                    </a:xfrm>
                    <a:prstGeom prst="rect">
                      <a:avLst/>
                    </a:prstGeom>
                  </pic:spPr>
                </pic:pic>
              </a:graphicData>
            </a:graphic>
          </wp:inline>
        </w:drawing>
      </w:r>
    </w:p>
    <w:p w14:paraId="5A434B31" w14:textId="77777777" w:rsidR="00C13B28" w:rsidRDefault="00C13B28" w:rsidP="00DC344F">
      <w:pPr>
        <w:pStyle w:val="Heading3"/>
        <w:rPr>
          <w:lang w:eastAsia="ja-JP"/>
        </w:rPr>
      </w:pPr>
      <w:bookmarkStart w:id="57" w:name="_Toc202253741"/>
      <w:bookmarkStart w:id="58" w:name="_Toc202456250"/>
      <w:bookmarkStart w:id="59" w:name="_Ref522008179"/>
      <w:bookmarkStart w:id="60" w:name="_Toc202084768"/>
      <w:bookmarkStart w:id="61" w:name="_Toc206143328"/>
      <w:bookmarkEnd w:id="57"/>
      <w:bookmarkEnd w:id="58"/>
      <w:r>
        <w:rPr>
          <w:lang w:eastAsia="ja-JP"/>
        </w:rPr>
        <w:lastRenderedPageBreak/>
        <w:t>Collating toxicity and physi</w:t>
      </w:r>
      <w:r w:rsidR="00532999">
        <w:rPr>
          <w:lang w:eastAsia="ja-JP"/>
        </w:rPr>
        <w:t>c</w:t>
      </w:r>
      <w:r>
        <w:rPr>
          <w:lang w:eastAsia="ja-JP"/>
        </w:rPr>
        <w:t>ochemical data</w:t>
      </w:r>
      <w:bookmarkEnd w:id="59"/>
      <w:bookmarkEnd w:id="60"/>
      <w:bookmarkEnd w:id="61"/>
    </w:p>
    <w:p w14:paraId="7B4CF268" w14:textId="46A87D43" w:rsidR="007D6B87" w:rsidRDefault="007D6B87" w:rsidP="00BD4CEC">
      <w:pPr>
        <w:pStyle w:val="Heading4"/>
      </w:pPr>
      <w:r>
        <w:t>General</w:t>
      </w:r>
    </w:p>
    <w:p w14:paraId="790D8061" w14:textId="23405734" w:rsidR="00B679A4" w:rsidRDefault="00C13B28" w:rsidP="004D7186">
      <w:r w:rsidRPr="57352DF8">
        <w:t>Acute, chronic (single</w:t>
      </w:r>
      <w:r w:rsidR="00066F51" w:rsidRPr="57352DF8">
        <w:t>-</w:t>
      </w:r>
      <w:r w:rsidR="00B95668">
        <w:t>generation</w:t>
      </w:r>
      <w:r w:rsidRPr="57352DF8">
        <w:t xml:space="preserve"> and multi-generation), laboratory, field, mesocosm or microcosm toxicity data should be obtained by conducting searches of the scientific literature</w:t>
      </w:r>
      <w:r w:rsidR="003765BF" w:rsidRPr="57352DF8">
        <w:t>,</w:t>
      </w:r>
      <w:r w:rsidRPr="57352DF8">
        <w:t xml:space="preserve"> including water</w:t>
      </w:r>
      <w:r w:rsidR="00B95668">
        <w:t>-</w:t>
      </w:r>
      <w:r w:rsidRPr="57352DF8">
        <w:t xml:space="preserve">quality documents from other </w:t>
      </w:r>
      <w:r w:rsidR="009E2566" w:rsidRPr="57352DF8">
        <w:t xml:space="preserve">jurisdictions (e.g. Canada, USA, Europe) </w:t>
      </w:r>
      <w:r w:rsidRPr="57352DF8">
        <w:t>and appropriate databases including, but not limited to, the ECOTOX database (US</w:t>
      </w:r>
      <w:r w:rsidR="00B95668">
        <w:t xml:space="preserve"> </w:t>
      </w:r>
      <w:r w:rsidRPr="57352DF8">
        <w:t xml:space="preserve">EPA 1994) and the Australasian Ecotoxicology Database (Warne et al. 1998; Warne </w:t>
      </w:r>
      <w:r w:rsidR="00506746" w:rsidRPr="57352DF8">
        <w:t>and</w:t>
      </w:r>
      <w:r w:rsidR="00993E97" w:rsidRPr="57352DF8">
        <w:t xml:space="preserve"> </w:t>
      </w:r>
      <w:r w:rsidRPr="57352DF8">
        <w:t xml:space="preserve">Westbury 1999; Markich et al. 2002; Langdon et al. 2009). </w:t>
      </w:r>
      <w:r w:rsidR="008373B3" w:rsidRPr="57352DF8">
        <w:t>For DGVs, toxicity data for both Australasian and overseas species should be collated</w:t>
      </w:r>
      <w:r w:rsidR="0021485D" w:rsidRPr="57352DF8">
        <w:t xml:space="preserve"> (see Section</w:t>
      </w:r>
      <w:r w:rsidR="00B95668">
        <w:t> </w:t>
      </w:r>
      <w:r>
        <w:fldChar w:fldCharType="begin"/>
      </w:r>
      <w:r>
        <w:instrText xml:space="preserve"> REF _Ref522008190 \r \h </w:instrText>
      </w:r>
      <w:r>
        <w:fldChar w:fldCharType="separate"/>
      </w:r>
      <w:r w:rsidR="006C5761">
        <w:t>3.2</w:t>
      </w:r>
      <w:r>
        <w:fldChar w:fldCharType="end"/>
      </w:r>
      <w:r w:rsidR="0021485D" w:rsidRPr="57352DF8">
        <w:t>)</w:t>
      </w:r>
      <w:r w:rsidR="008373B3" w:rsidRPr="57352DF8">
        <w:t>.</w:t>
      </w:r>
    </w:p>
    <w:p w14:paraId="1602F61D" w14:textId="170DAE23" w:rsidR="00B679A4" w:rsidRDefault="00C13B28" w:rsidP="004D7186">
      <w:r w:rsidRPr="57352DF8">
        <w:t>For chemicals that do not bioaccumulate (</w:t>
      </w:r>
      <w:r w:rsidR="00006D57">
        <w:t>i.e.</w:t>
      </w:r>
      <w:r w:rsidRPr="57352DF8">
        <w:t xml:space="preserve"> </w:t>
      </w:r>
      <w:r w:rsidR="00066F51" w:rsidRPr="57352DF8">
        <w:t xml:space="preserve">chemicals with an </w:t>
      </w:r>
      <w:r w:rsidRPr="57352DF8">
        <w:t xml:space="preserve">octanol-water partition coefficient </w:t>
      </w:r>
      <w:r w:rsidR="00006D57">
        <w:t>[</w:t>
      </w:r>
      <w:r w:rsidRPr="57352DF8">
        <w:t>log K</w:t>
      </w:r>
      <w:r w:rsidRPr="57352DF8">
        <w:rPr>
          <w:vertAlign w:val="subscript"/>
        </w:rPr>
        <w:t>ow</w:t>
      </w:r>
      <w:r w:rsidR="00006D57">
        <w:t>]</w:t>
      </w:r>
      <w:r w:rsidRPr="57352DF8">
        <w:t xml:space="preserve">, bioconcentration </w:t>
      </w:r>
      <w:r w:rsidR="00006D57">
        <w:t>[</w:t>
      </w:r>
      <w:r w:rsidRPr="57352DF8">
        <w:t>log BCF</w:t>
      </w:r>
      <w:r w:rsidR="00006D57">
        <w:t>]</w:t>
      </w:r>
      <w:r w:rsidRPr="57352DF8">
        <w:t xml:space="preserve"> or bioaccumulation </w:t>
      </w:r>
      <w:r w:rsidR="00006D57">
        <w:t>[</w:t>
      </w:r>
      <w:r w:rsidRPr="57352DF8">
        <w:t>log BAF</w:t>
      </w:r>
      <w:r w:rsidR="00006D57">
        <w:t>]</w:t>
      </w:r>
      <w:r w:rsidRPr="57352DF8">
        <w:t xml:space="preserve"> factors</w:t>
      </w:r>
      <w:r w:rsidR="00CE6D42">
        <w:t xml:space="preserve"> of</w:t>
      </w:r>
      <w:r w:rsidRPr="57352DF8">
        <w:t xml:space="preserve"> less than</w:t>
      </w:r>
      <w:r w:rsidR="00C64837">
        <w:t xml:space="preserve"> 4</w:t>
      </w:r>
      <w:r w:rsidRPr="57352DF8">
        <w:t>), only toxicity data related to the uptake of chemicals from water and from water and food combined should be collated (</w:t>
      </w:r>
      <w:r w:rsidR="0021485D" w:rsidRPr="57352DF8">
        <w:t>i.e.</w:t>
      </w:r>
      <w:r w:rsidRPr="57352DF8">
        <w:t xml:space="preserve"> experiments where uptake is solely from food should not be included). For bioaccumulating chemicals, tests that assess uptake from water, water and food</w:t>
      </w:r>
      <w:r w:rsidR="00066F51" w:rsidRPr="57352DF8">
        <w:t>,</w:t>
      </w:r>
      <w:r w:rsidRPr="57352DF8">
        <w:t xml:space="preserve"> and food only are appropriate (refer to Section </w:t>
      </w:r>
      <w:r>
        <w:fldChar w:fldCharType="begin"/>
      </w:r>
      <w:r>
        <w:instrText xml:space="preserve"> REF _Ref522007919 \n \h </w:instrText>
      </w:r>
      <w:r>
        <w:fldChar w:fldCharType="separate"/>
      </w:r>
      <w:r w:rsidR="006C5761">
        <w:t>3.9</w:t>
      </w:r>
      <w:r>
        <w:fldChar w:fldCharType="end"/>
      </w:r>
      <w:r w:rsidRPr="57352DF8">
        <w:t>).</w:t>
      </w:r>
    </w:p>
    <w:p w14:paraId="75743889" w14:textId="447F3975" w:rsidR="00F05AA0" w:rsidRDefault="00F05AA0" w:rsidP="004D7186">
      <w:pPr>
        <w:rPr>
          <w:rFonts w:ascii="Calibri" w:hAnsi="Calibri"/>
        </w:rPr>
      </w:pPr>
      <w:r w:rsidRPr="57352DF8">
        <w:t>All pesticides and many other chemicals are normally released into the environment as mixtures (</w:t>
      </w:r>
      <w:r w:rsidR="00975356">
        <w:t>e.g.</w:t>
      </w:r>
      <w:r w:rsidRPr="57352DF8">
        <w:t xml:space="preserve"> pesticides will contain the active ingredient and additives or adjuvants designed to improve the effectiveness of the </w:t>
      </w:r>
      <w:r w:rsidR="00AA7509">
        <w:t>active ingredient</w:t>
      </w:r>
      <w:r w:rsidRPr="57352DF8">
        <w:t xml:space="preserve">). For such chemicals, only toxicity data generated by exposing test organisms to a relatively pure form of the </w:t>
      </w:r>
      <w:r w:rsidR="00AA7509">
        <w:t>active ingredient</w:t>
      </w:r>
      <w:r w:rsidR="002D4D82" w:rsidRPr="57352DF8">
        <w:t xml:space="preserve"> (refer to </w:t>
      </w:r>
      <w:r w:rsidR="008A4201" w:rsidRPr="57352DF8">
        <w:t>S</w:t>
      </w:r>
      <w:r w:rsidR="002D4D82" w:rsidRPr="57352DF8">
        <w:t xml:space="preserve">ection </w:t>
      </w:r>
      <w:r>
        <w:fldChar w:fldCharType="begin"/>
      </w:r>
      <w:r>
        <w:instrText xml:space="preserve"> REF _Ref522007950 \n \h </w:instrText>
      </w:r>
      <w:r>
        <w:fldChar w:fldCharType="separate"/>
      </w:r>
      <w:r w:rsidR="006C5761">
        <w:t>3.10</w:t>
      </w:r>
      <w:r>
        <w:fldChar w:fldCharType="end"/>
      </w:r>
      <w:r w:rsidR="002D4D82" w:rsidRPr="57352DF8">
        <w:t xml:space="preserve">) </w:t>
      </w:r>
      <w:r w:rsidRPr="57352DF8">
        <w:t xml:space="preserve">should be used to calculate DGVs. However, toxicity data for formulations should also be collated in case it is decided to derive a formulation-corrected GV (refer to Section </w:t>
      </w:r>
      <w:r>
        <w:fldChar w:fldCharType="begin"/>
      </w:r>
      <w:r>
        <w:instrText xml:space="preserve"> REF _Ref522007957 \n \h </w:instrText>
      </w:r>
      <w:r>
        <w:fldChar w:fldCharType="separate"/>
      </w:r>
      <w:r w:rsidR="006C5761">
        <w:t>3.10</w:t>
      </w:r>
      <w:r>
        <w:fldChar w:fldCharType="end"/>
      </w:r>
      <w:r w:rsidRPr="57352DF8">
        <w:t>).</w:t>
      </w:r>
    </w:p>
    <w:p w14:paraId="0AA87567" w14:textId="6170E2E0" w:rsidR="00B679A4" w:rsidRDefault="00C13B28" w:rsidP="004D7186">
      <w:r>
        <w:t xml:space="preserve">The 2000 Guidelines stipulated that only data from peer-reviewed scientific journals be used to derive GVs. </w:t>
      </w:r>
      <w:r w:rsidR="000227C3">
        <w:t xml:space="preserve">However, for </w:t>
      </w:r>
      <w:r w:rsidR="001F590F">
        <w:t xml:space="preserve">the </w:t>
      </w:r>
      <w:r w:rsidR="000227C3">
        <w:t xml:space="preserve">current derivation </w:t>
      </w:r>
      <w:r w:rsidR="001F590F">
        <w:t>method,</w:t>
      </w:r>
      <w:r>
        <w:t xml:space="preserve"> any data (including from internal reports, consultancy reports and confidential registration data) can be used provided that:</w:t>
      </w:r>
    </w:p>
    <w:p w14:paraId="3ED11BE5" w14:textId="73834815" w:rsidR="00C13B28" w:rsidRDefault="00C13B28" w:rsidP="00F50CE7">
      <w:pPr>
        <w:pStyle w:val="ListBullet"/>
      </w:pPr>
      <w:r w:rsidRPr="00C0321E">
        <w:t xml:space="preserve">the document </w:t>
      </w:r>
      <w:r w:rsidR="007837C4">
        <w:t xml:space="preserve">(and data) </w:t>
      </w:r>
      <w:r w:rsidRPr="00C0321E">
        <w:t xml:space="preserve">is publicly </w:t>
      </w:r>
      <w:r w:rsidRPr="00F50CE7">
        <w:t>available</w:t>
      </w:r>
    </w:p>
    <w:p w14:paraId="7727E460" w14:textId="67512B9A" w:rsidR="00066F51" w:rsidRDefault="00D40667" w:rsidP="00F50CE7">
      <w:pPr>
        <w:ind w:left="284"/>
      </w:pPr>
      <w:r>
        <w:t>or</w:t>
      </w:r>
    </w:p>
    <w:p w14:paraId="7BACB31A" w14:textId="39F037B5" w:rsidR="00B679A4" w:rsidRDefault="00066F51" w:rsidP="00F50CE7">
      <w:pPr>
        <w:pStyle w:val="ListBullet"/>
      </w:pPr>
      <w:r>
        <w:t xml:space="preserve">the document </w:t>
      </w:r>
      <w:r w:rsidR="007837C4">
        <w:t xml:space="preserve">(and data) </w:t>
      </w:r>
      <w:r w:rsidR="00C13B28">
        <w:t xml:space="preserve">is made publicly available as part of the derivation process </w:t>
      </w:r>
      <w:r w:rsidR="00C13B28" w:rsidRPr="00C0321E">
        <w:t>(</w:t>
      </w:r>
      <w:r w:rsidR="00E40C7F">
        <w:t>e.g.</w:t>
      </w:r>
      <w:r w:rsidR="00C13B28" w:rsidRPr="00C0321E">
        <w:t xml:space="preserve"> documents could be hosted on a</w:t>
      </w:r>
      <w:r w:rsidR="00E40C7F">
        <w:t>n organisation’s</w:t>
      </w:r>
      <w:r w:rsidR="00C13B28" w:rsidRPr="00C0321E">
        <w:t xml:space="preserve"> website</w:t>
      </w:r>
      <w:r w:rsidR="0023535E">
        <w:t xml:space="preserve"> or, if practical, appended </w:t>
      </w:r>
      <w:r w:rsidR="0023535E" w:rsidRPr="00F50CE7">
        <w:t>to</w:t>
      </w:r>
      <w:r w:rsidR="0023535E">
        <w:t xml:space="preserve"> the GV</w:t>
      </w:r>
      <w:r w:rsidR="00B234B6">
        <w:t>-</w:t>
      </w:r>
      <w:r w:rsidR="0023535E">
        <w:t>derivation document</w:t>
      </w:r>
      <w:r w:rsidR="00C13B28">
        <w:t>).</w:t>
      </w:r>
    </w:p>
    <w:p w14:paraId="2F83ACEE" w14:textId="4D0F75E6" w:rsidR="00494F07" w:rsidRDefault="00494F07" w:rsidP="00F50CE7">
      <w:pPr>
        <w:ind w:left="284"/>
      </w:pPr>
      <w:r>
        <w:t>and</w:t>
      </w:r>
    </w:p>
    <w:p w14:paraId="7E503358" w14:textId="366E5CB3" w:rsidR="00494F07" w:rsidRDefault="00010AEE" w:rsidP="00F50CE7">
      <w:pPr>
        <w:pStyle w:val="ListBullet"/>
      </w:pPr>
      <w:r w:rsidRPr="00F50CE7">
        <w:t>the</w:t>
      </w:r>
      <w:r w:rsidRPr="00010AEE">
        <w:t xml:space="preserve"> data are assessed as being of acceptable quality (see Section </w:t>
      </w:r>
      <w:r>
        <w:fldChar w:fldCharType="begin"/>
      </w:r>
      <w:r>
        <w:instrText xml:space="preserve"> REF _Ref522007975 \r \h </w:instrText>
      </w:r>
      <w:r>
        <w:fldChar w:fldCharType="separate"/>
      </w:r>
      <w:r w:rsidR="006C5761">
        <w:t>3.3.1</w:t>
      </w:r>
      <w:r>
        <w:fldChar w:fldCharType="end"/>
      </w:r>
      <w:r w:rsidRPr="00010AEE">
        <w:t>)</w:t>
      </w:r>
      <w:r w:rsidR="00B234B6">
        <w:t>.</w:t>
      </w:r>
    </w:p>
    <w:p w14:paraId="1E4A3AD5" w14:textId="338FD267" w:rsidR="00C13B28" w:rsidRPr="0025389D" w:rsidRDefault="00C13B28" w:rsidP="004D7186">
      <w:r w:rsidRPr="57352DF8">
        <w:t xml:space="preserve">Commercial-in-confidence data, such as </w:t>
      </w:r>
      <w:r w:rsidR="00396E73" w:rsidRPr="57352DF8">
        <w:t xml:space="preserve">those </w:t>
      </w:r>
      <w:r w:rsidRPr="57352DF8">
        <w:t xml:space="preserve">supplied by companies for assessments by the Australian Pesticides and Veterinary Medicine Authority or the </w:t>
      </w:r>
      <w:r w:rsidR="001C3E4E" w:rsidRPr="57352DF8">
        <w:t>Australian Industrial Chemicals Introduction Scheme</w:t>
      </w:r>
      <w:r w:rsidR="008F01D1">
        <w:t>,</w:t>
      </w:r>
      <w:r w:rsidRPr="57352DF8">
        <w:t xml:space="preserve"> can be used</w:t>
      </w:r>
      <w:r w:rsidR="008F01D1">
        <w:t>,</w:t>
      </w:r>
      <w:r w:rsidRPr="57352DF8">
        <w:t xml:space="preserve"> provided the owner of the data authorises </w:t>
      </w:r>
      <w:r w:rsidR="00396E73" w:rsidRPr="57352DF8">
        <w:t>their</w:t>
      </w:r>
      <w:r w:rsidR="00393950" w:rsidRPr="57352DF8">
        <w:t xml:space="preserve"> </w:t>
      </w:r>
      <w:r w:rsidRPr="57352DF8">
        <w:t xml:space="preserve">use and makes </w:t>
      </w:r>
      <w:r w:rsidR="00393950" w:rsidRPr="57352DF8">
        <w:t xml:space="preserve">the data </w:t>
      </w:r>
      <w:r w:rsidRPr="57352DF8">
        <w:t xml:space="preserve">publicly available. Alternatively, where the owner approves the use of the data but not </w:t>
      </w:r>
      <w:r w:rsidR="00396E73" w:rsidRPr="57352DF8">
        <w:t xml:space="preserve">their </w:t>
      </w:r>
      <w:r w:rsidRPr="57352DF8">
        <w:t>release, the data can be used</w:t>
      </w:r>
      <w:r w:rsidR="00054790">
        <w:t>,</w:t>
      </w:r>
      <w:r w:rsidRPr="57352DF8">
        <w:t xml:space="preserve"> provided an agreed independent assessor with expertise in GV derivation </w:t>
      </w:r>
      <w:r w:rsidR="009C0F0A" w:rsidRPr="57352DF8">
        <w:t xml:space="preserve">has assessed and confirmed the data </w:t>
      </w:r>
      <w:r w:rsidR="00107D2E">
        <w:t>are</w:t>
      </w:r>
      <w:r w:rsidR="009C0F0A" w:rsidRPr="57352DF8">
        <w:t xml:space="preserve"> of acceptable quality</w:t>
      </w:r>
      <w:r w:rsidRPr="57352DF8">
        <w:t xml:space="preserve"> (refer to Section </w:t>
      </w:r>
      <w:r>
        <w:fldChar w:fldCharType="begin"/>
      </w:r>
      <w:r>
        <w:instrText xml:space="preserve"> REF _Ref522007975 \n \h </w:instrText>
      </w:r>
      <w:r>
        <w:fldChar w:fldCharType="separate"/>
      </w:r>
      <w:r w:rsidR="006C5761">
        <w:t>3.3.1</w:t>
      </w:r>
      <w:r>
        <w:fldChar w:fldCharType="end"/>
      </w:r>
      <w:r w:rsidRPr="57352DF8">
        <w:t>).</w:t>
      </w:r>
      <w:r w:rsidR="00A41AEF" w:rsidRPr="57352DF8">
        <w:t xml:space="preserve"> Evidence of such an assessment should be included with the final GVs (e.g. an appendix of the details and outcomes of the assessment).</w:t>
      </w:r>
    </w:p>
    <w:p w14:paraId="2B5FDF9D" w14:textId="7098A745" w:rsidR="00B679A4" w:rsidRDefault="00C13B28" w:rsidP="004D7186">
      <w:r w:rsidRPr="57352DF8">
        <w:lastRenderedPageBreak/>
        <w:t xml:space="preserve">As a general rule, toxicity data published prior to 1980 should not be included, as </w:t>
      </w:r>
      <w:r w:rsidR="002A3C51" w:rsidRPr="57352DF8">
        <w:t>these</w:t>
      </w:r>
      <w:r w:rsidR="00393950" w:rsidRPr="57352DF8">
        <w:t xml:space="preserve"> data </w:t>
      </w:r>
      <w:r w:rsidRPr="57352DF8">
        <w:t xml:space="preserve">are considered more likely to be unreliable due to advances in experimental and analytical capabilities since that time (Warne 1998). Exceptions to this </w:t>
      </w:r>
      <w:r w:rsidR="04DC675A" w:rsidRPr="57352DF8">
        <w:t>guidance</w:t>
      </w:r>
      <w:r w:rsidR="00F06FE5" w:rsidRPr="57352DF8">
        <w:t xml:space="preserve"> </w:t>
      </w:r>
      <w:r w:rsidRPr="57352DF8">
        <w:t>can be made with appropriate professional judgement and justification.</w:t>
      </w:r>
      <w:bookmarkStart w:id="62" w:name="_Ref202089384"/>
    </w:p>
    <w:p w14:paraId="32058DC4" w14:textId="725B82C8" w:rsidR="008C5C06" w:rsidRDefault="008C5C06" w:rsidP="00BD4CEC">
      <w:pPr>
        <w:pStyle w:val="Heading4"/>
      </w:pPr>
      <w:r>
        <w:t>Acute and chronic toxicity</w:t>
      </w:r>
      <w:bookmarkEnd w:id="62"/>
    </w:p>
    <w:p w14:paraId="7D2E1ABE" w14:textId="7EECBF5C" w:rsidR="00B679A4" w:rsidRDefault="00C13B28" w:rsidP="004D7186">
      <w:r w:rsidRPr="57352DF8">
        <w:t xml:space="preserve">The emphasis of the data search should be on chronic </w:t>
      </w:r>
      <w:r w:rsidR="007E180A" w:rsidRPr="57352DF8">
        <w:t xml:space="preserve">toxicity </w:t>
      </w:r>
      <w:r w:rsidRPr="57352DF8">
        <w:t xml:space="preserve">data, as these are most appropriate </w:t>
      </w:r>
      <w:r w:rsidR="00100522" w:rsidRPr="57352DF8">
        <w:t xml:space="preserve">and preferred type of data </w:t>
      </w:r>
      <w:r w:rsidRPr="57352DF8">
        <w:t xml:space="preserve">for deriving </w:t>
      </w:r>
      <w:r w:rsidR="00100522" w:rsidRPr="57352DF8">
        <w:t xml:space="preserve">long-term (chronic) </w:t>
      </w:r>
      <w:r w:rsidRPr="57352DF8">
        <w:t xml:space="preserve">GVs. However, acute </w:t>
      </w:r>
      <w:r w:rsidR="006061BE" w:rsidRPr="57352DF8">
        <w:t xml:space="preserve">toxicity </w:t>
      </w:r>
      <w:r w:rsidRPr="57352DF8">
        <w:t xml:space="preserve">data should also be collated if there are insufficient chronic data to meet the minimum data requirements for the SSD approach (Section </w:t>
      </w:r>
      <w:r>
        <w:fldChar w:fldCharType="begin"/>
      </w:r>
      <w:r>
        <w:instrText xml:space="preserve"> REF _Ref522007986 \n \h </w:instrText>
      </w:r>
      <w:r>
        <w:fldChar w:fldCharType="separate"/>
      </w:r>
      <w:r w:rsidR="006C5761">
        <w:t>3.4</w:t>
      </w:r>
      <w:r>
        <w:fldChar w:fldCharType="end"/>
      </w:r>
      <w:r w:rsidRPr="57352DF8">
        <w:t>)</w:t>
      </w:r>
      <w:r w:rsidR="008C5C06" w:rsidRPr="57352DF8">
        <w:t xml:space="preserve"> or if a short-term GV is being derived</w:t>
      </w:r>
      <w:r w:rsidRPr="57352DF8">
        <w:t>.</w:t>
      </w:r>
    </w:p>
    <w:p w14:paraId="6CC4DEEF" w14:textId="0BF86A83" w:rsidR="00B679A4" w:rsidRDefault="00C13B28" w:rsidP="004D7186">
      <w:r w:rsidRPr="007C67F1">
        <w:t xml:space="preserve">Data should be sorted into acute or chronic </w:t>
      </w:r>
      <w:r>
        <w:t xml:space="preserve">toxicity </w:t>
      </w:r>
      <w:r w:rsidRPr="007C67F1">
        <w:t>based on the following definitions:</w:t>
      </w:r>
    </w:p>
    <w:p w14:paraId="4E19F3EF" w14:textId="5004EDBE" w:rsidR="00C13B28" w:rsidRPr="00EA4AAF" w:rsidRDefault="00C13B28" w:rsidP="004D7186">
      <w:r w:rsidRPr="00EA4AAF">
        <w:rPr>
          <w:b/>
          <w:bCs/>
        </w:rPr>
        <w:t>Acute toxicity</w:t>
      </w:r>
      <w:r w:rsidR="00EA4AAF" w:rsidRPr="00EA4AAF">
        <w:rPr>
          <w:b/>
          <w:bCs/>
        </w:rPr>
        <w:t xml:space="preserve">: </w:t>
      </w:r>
      <w:r w:rsidRPr="00EA4AAF">
        <w:t xml:space="preserve">A lethal or adverse sub-lethal effect that occurs </w:t>
      </w:r>
      <w:r w:rsidR="003526E1">
        <w:t>due to</w:t>
      </w:r>
      <w:r w:rsidR="003526E1" w:rsidRPr="00EA4AAF">
        <w:t xml:space="preserve"> </w:t>
      </w:r>
      <w:r w:rsidRPr="00EA4AAF">
        <w:t xml:space="preserve">exposure to a chemical for a short </w:t>
      </w:r>
      <w:r w:rsidR="003526E1">
        <w:t xml:space="preserve">(relative to the organism’s life span) </w:t>
      </w:r>
      <w:r w:rsidRPr="00EA4AAF">
        <w:t>period.</w:t>
      </w:r>
    </w:p>
    <w:p w14:paraId="57A97707" w14:textId="38A8DC46" w:rsidR="00B679A4" w:rsidRDefault="00C13B28" w:rsidP="004D7186">
      <w:r w:rsidRPr="00EA4AAF">
        <w:rPr>
          <w:b/>
          <w:bCs/>
        </w:rPr>
        <w:t>Chronic toxicity</w:t>
      </w:r>
      <w:r w:rsidR="00EA4AAF" w:rsidRPr="00EA4AAF">
        <w:rPr>
          <w:b/>
          <w:bCs/>
        </w:rPr>
        <w:t>:</w:t>
      </w:r>
      <w:r w:rsidRPr="00EA4AAF">
        <w:rPr>
          <w:b/>
          <w:bCs/>
        </w:rPr>
        <w:t xml:space="preserve"> </w:t>
      </w:r>
      <w:r w:rsidRPr="57352DF8">
        <w:t xml:space="preserve">A lethal or adverse sub-lethal effect that occurs </w:t>
      </w:r>
      <w:r w:rsidR="00F4071C">
        <w:t>due to</w:t>
      </w:r>
      <w:r w:rsidR="00F4071C" w:rsidRPr="57352DF8">
        <w:t xml:space="preserve"> </w:t>
      </w:r>
      <w:r w:rsidRPr="57352DF8">
        <w:t>exposure to a chemical for a period of time that is a substantial portion of the organism’s life span</w:t>
      </w:r>
      <w:r w:rsidR="00F4071C">
        <w:t>,</w:t>
      </w:r>
      <w:r w:rsidRPr="57352DF8">
        <w:t xml:space="preserve"> or an adverse effect on a </w:t>
      </w:r>
      <w:r w:rsidR="000E43EE">
        <w:t>critical</w:t>
      </w:r>
      <w:r w:rsidR="000E43EE" w:rsidRPr="57352DF8">
        <w:t xml:space="preserve"> </w:t>
      </w:r>
      <w:r w:rsidRPr="57352DF8">
        <w:t>early life stage.</w:t>
      </w:r>
    </w:p>
    <w:p w14:paraId="1847542F" w14:textId="7157069E" w:rsidR="00393950" w:rsidRDefault="00C13B28" w:rsidP="004D7186">
      <w:r w:rsidRPr="57352DF8">
        <w:t xml:space="preserve">Examples of endpoints and durations for different types of organisms that are considered acute and chronic are presented in </w:t>
      </w:r>
      <w:r>
        <w:fldChar w:fldCharType="begin"/>
      </w:r>
      <w:r>
        <w:instrText xml:space="preserve"> REF _Ref520276069 \h </w:instrText>
      </w:r>
      <w:r>
        <w:fldChar w:fldCharType="separate"/>
      </w:r>
      <w:r w:rsidR="006C5761">
        <w:t>Table </w:t>
      </w:r>
      <w:r w:rsidR="006C5761">
        <w:rPr>
          <w:noProof/>
        </w:rPr>
        <w:t>1</w:t>
      </w:r>
      <w:r>
        <w:fldChar w:fldCharType="end"/>
      </w:r>
      <w:r w:rsidRPr="57352DF8">
        <w:t xml:space="preserve">. The recommended test durations in </w:t>
      </w:r>
      <w:r>
        <w:fldChar w:fldCharType="begin"/>
      </w:r>
      <w:r>
        <w:instrText xml:space="preserve"> REF _Ref520276069 \h </w:instrText>
      </w:r>
      <w:r>
        <w:fldChar w:fldCharType="separate"/>
      </w:r>
      <w:r w:rsidR="006C5761">
        <w:t>Table </w:t>
      </w:r>
      <w:r w:rsidR="006C5761">
        <w:rPr>
          <w:noProof/>
        </w:rPr>
        <w:t>1</w:t>
      </w:r>
      <w:r>
        <w:fldChar w:fldCharType="end"/>
      </w:r>
      <w:r w:rsidRPr="57352DF8">
        <w:t xml:space="preserve"> apply to tests on temperate species, typically undertaken in water temperatures ranging from 15</w:t>
      </w:r>
      <w:r w:rsidR="00F4071C" w:rsidRPr="57352DF8">
        <w:rPr>
          <w:vertAlign w:val="superscript"/>
        </w:rPr>
        <w:t>o</w:t>
      </w:r>
      <w:r w:rsidR="00F4071C" w:rsidRPr="57352DF8">
        <w:t>C</w:t>
      </w:r>
      <w:r w:rsidR="00F4071C" w:rsidRPr="57352DF8" w:rsidDel="00F4071C">
        <w:rPr>
          <w:rFonts w:cs="Arial"/>
        </w:rPr>
        <w:t xml:space="preserve"> </w:t>
      </w:r>
      <w:r w:rsidR="00F4071C">
        <w:rPr>
          <w:rFonts w:cs="Arial"/>
        </w:rPr>
        <w:t xml:space="preserve">to </w:t>
      </w:r>
      <w:r w:rsidRPr="57352DF8">
        <w:t>25</w:t>
      </w:r>
      <w:r w:rsidRPr="57352DF8">
        <w:rPr>
          <w:vertAlign w:val="superscript"/>
        </w:rPr>
        <w:t>o</w:t>
      </w:r>
      <w:r w:rsidRPr="57352DF8">
        <w:t xml:space="preserve">C. </w:t>
      </w:r>
      <w:r w:rsidR="004B22CB">
        <w:t xml:space="preserve">The information in </w:t>
      </w:r>
      <w:r w:rsidR="004B22CB">
        <w:fldChar w:fldCharType="begin"/>
      </w:r>
      <w:r w:rsidR="004B22CB">
        <w:instrText xml:space="preserve"> REF _Ref520276069 \h </w:instrText>
      </w:r>
      <w:r w:rsidR="004B22CB">
        <w:fldChar w:fldCharType="separate"/>
      </w:r>
      <w:r w:rsidR="006C5761">
        <w:t>Table </w:t>
      </w:r>
      <w:r w:rsidR="006C5761">
        <w:rPr>
          <w:noProof/>
        </w:rPr>
        <w:t>1</w:t>
      </w:r>
      <w:r w:rsidR="004B22CB">
        <w:fldChar w:fldCharType="end"/>
      </w:r>
      <w:r w:rsidR="004B22CB">
        <w:t xml:space="preserve"> is comprehensive but not exhaustive, and there will be instances where </w:t>
      </w:r>
      <w:r w:rsidR="00DD2859">
        <w:t xml:space="preserve">toxicity tests will not </w:t>
      </w:r>
      <w:r w:rsidR="0031477E">
        <w:t>fit into</w:t>
      </w:r>
      <w:r w:rsidR="00DD2859">
        <w:t xml:space="preserve"> any of the listed categories</w:t>
      </w:r>
      <w:r w:rsidR="00C2001F">
        <w:t xml:space="preserve"> (i.e. organism type</w:t>
      </w:r>
      <w:r w:rsidR="00886854">
        <w:t xml:space="preserve">, </w:t>
      </w:r>
      <w:r w:rsidR="00C2001F">
        <w:t>life stage</w:t>
      </w:r>
      <w:r w:rsidR="00886854">
        <w:t xml:space="preserve">, </w:t>
      </w:r>
      <w:r w:rsidR="00C2001F">
        <w:t>test endpoint</w:t>
      </w:r>
      <w:r w:rsidR="00886854">
        <w:t xml:space="preserve">, </w:t>
      </w:r>
      <w:r w:rsidR="00C2001F">
        <w:t>test duration). In such cases,</w:t>
      </w:r>
      <w:r w:rsidR="00DD2859">
        <w:t xml:space="preserve"> </w:t>
      </w:r>
      <w:r w:rsidR="004B22CB">
        <w:t xml:space="preserve">professional judgement </w:t>
      </w:r>
      <w:r w:rsidR="00C2001F">
        <w:t xml:space="preserve">will need to be used </w:t>
      </w:r>
      <w:r w:rsidR="00DD2859">
        <w:t>to classify</w:t>
      </w:r>
      <w:r w:rsidR="004B22CB">
        <w:t xml:space="preserve"> </w:t>
      </w:r>
      <w:r w:rsidR="00C2001F">
        <w:t xml:space="preserve">a </w:t>
      </w:r>
      <w:r w:rsidR="004B22CB">
        <w:t xml:space="preserve">toxicity test as acute or chronic. </w:t>
      </w:r>
      <w:r w:rsidR="00DE3CED">
        <w:t>Related to this</w:t>
      </w:r>
      <w:r w:rsidR="004B22CB">
        <w:t>, t</w:t>
      </w:r>
      <w:r w:rsidR="004B22CB" w:rsidRPr="57352DF8">
        <w:t xml:space="preserve">he </w:t>
      </w:r>
      <w:r w:rsidRPr="57352DF8">
        <w:t xml:space="preserve">duration of acute and chronic tests for </w:t>
      </w:r>
      <w:r w:rsidR="00DE04B3" w:rsidRPr="57352DF8">
        <w:t xml:space="preserve">polar </w:t>
      </w:r>
      <w:r w:rsidRPr="57352DF8">
        <w:t xml:space="preserve">and tropical species will differ from those presented in </w:t>
      </w:r>
      <w:r>
        <w:fldChar w:fldCharType="begin"/>
      </w:r>
      <w:r>
        <w:instrText xml:space="preserve"> REF _Ref520276069 \h </w:instrText>
      </w:r>
      <w:r>
        <w:fldChar w:fldCharType="separate"/>
      </w:r>
      <w:r w:rsidR="006C5761">
        <w:t>Table </w:t>
      </w:r>
      <w:r w:rsidR="006C5761">
        <w:rPr>
          <w:noProof/>
        </w:rPr>
        <w:t>1</w:t>
      </w:r>
      <w:r>
        <w:fldChar w:fldCharType="end"/>
      </w:r>
      <w:r w:rsidRPr="57352DF8">
        <w:t xml:space="preserve"> (typically longer for polar and shorter for tropical) (Batley et al. 201</w:t>
      </w:r>
      <w:r w:rsidR="00D40667" w:rsidRPr="57352DF8">
        <w:t>8</w:t>
      </w:r>
      <w:r w:rsidRPr="57352DF8">
        <w:t xml:space="preserve">). </w:t>
      </w:r>
      <w:r w:rsidR="00E047F7" w:rsidRPr="57352DF8">
        <w:t>For</w:t>
      </w:r>
      <w:r w:rsidR="008459E0" w:rsidRPr="57352DF8">
        <w:t xml:space="preserve"> example</w:t>
      </w:r>
      <w:r w:rsidR="00E047F7" w:rsidRPr="57352DF8">
        <w:t>,</w:t>
      </w:r>
      <w:r w:rsidR="008459E0" w:rsidRPr="57352DF8">
        <w:t xml:space="preserve"> </w:t>
      </w:r>
      <w:r w:rsidR="00E047F7" w:rsidRPr="57352DF8">
        <w:t>chronic test durations for</w:t>
      </w:r>
      <w:r w:rsidR="008459E0" w:rsidRPr="57352DF8">
        <w:t xml:space="preserve"> tropical </w:t>
      </w:r>
      <w:r w:rsidR="008459E0" w:rsidRPr="57352DF8">
        <w:rPr>
          <w:i/>
          <w:iCs/>
        </w:rPr>
        <w:t>Lemna</w:t>
      </w:r>
      <w:r w:rsidR="008459E0" w:rsidRPr="57352DF8">
        <w:t xml:space="preserve"> and </w:t>
      </w:r>
      <w:r w:rsidR="008459E0" w:rsidRPr="57352DF8">
        <w:rPr>
          <w:i/>
          <w:iCs/>
        </w:rPr>
        <w:t>Hydra</w:t>
      </w:r>
      <w:r w:rsidR="008459E0" w:rsidRPr="57352DF8">
        <w:t xml:space="preserve"> sp</w:t>
      </w:r>
      <w:r w:rsidR="008036B6">
        <w:t>ecies</w:t>
      </w:r>
      <w:r w:rsidR="008459E0" w:rsidRPr="57352DF8">
        <w:t xml:space="preserve"> </w:t>
      </w:r>
      <w:r w:rsidR="00E047F7" w:rsidRPr="57352DF8">
        <w:t xml:space="preserve">are 4 days </w:t>
      </w:r>
      <w:r w:rsidR="008459E0" w:rsidRPr="57352DF8">
        <w:t xml:space="preserve">(Trenfield et al. </w:t>
      </w:r>
      <w:r w:rsidR="00D32E80" w:rsidRPr="57352DF8">
        <w:t>2020)</w:t>
      </w:r>
      <w:r w:rsidR="008459E0" w:rsidRPr="57352DF8">
        <w:t>, wh</w:t>
      </w:r>
      <w:r w:rsidR="00D73A18">
        <w:t>il</w:t>
      </w:r>
      <w:r w:rsidR="008459E0" w:rsidRPr="57352DF8">
        <w:t xml:space="preserve">e the requirement for similar temperate species would be 7 days. </w:t>
      </w:r>
      <w:r w:rsidR="00E047F7" w:rsidRPr="57352DF8">
        <w:t>In contrast, chronic</w:t>
      </w:r>
      <w:r w:rsidR="00E21DA4">
        <w:t>-</w:t>
      </w:r>
      <w:r w:rsidR="00E047F7" w:rsidRPr="57352DF8">
        <w:t xml:space="preserve">test durations for polar (Antarctic) species can range from several weeks to </w:t>
      </w:r>
      <w:r w:rsidR="00D73A18">
        <w:t>more</w:t>
      </w:r>
      <w:r w:rsidR="00284643">
        <w:t xml:space="preserve"> than</w:t>
      </w:r>
      <w:r w:rsidR="00D73A18" w:rsidRPr="57352DF8">
        <w:t xml:space="preserve"> </w:t>
      </w:r>
      <w:r w:rsidR="00E047F7" w:rsidRPr="57352DF8">
        <w:t xml:space="preserve">a year, </w:t>
      </w:r>
      <w:r w:rsidR="00E21DA4">
        <w:t>and</w:t>
      </w:r>
      <w:r w:rsidR="00E21DA4" w:rsidRPr="57352DF8">
        <w:t xml:space="preserve"> </w:t>
      </w:r>
      <w:r w:rsidR="00E047F7" w:rsidRPr="57352DF8">
        <w:t>acute</w:t>
      </w:r>
      <w:r w:rsidR="00E21DA4">
        <w:t>-</w:t>
      </w:r>
      <w:r w:rsidR="00E047F7" w:rsidRPr="57352DF8">
        <w:t xml:space="preserve">test durations </w:t>
      </w:r>
      <w:r w:rsidR="00C9769E">
        <w:t>can be</w:t>
      </w:r>
      <w:r w:rsidR="00C64837">
        <w:t xml:space="preserve"> 2</w:t>
      </w:r>
      <w:r w:rsidR="00E047F7" w:rsidRPr="57352DF8">
        <w:t xml:space="preserve"> or more weeks (King et al. 2024). </w:t>
      </w:r>
      <w:r w:rsidR="004B22CB">
        <w:t xml:space="preserve">Consequently, </w:t>
      </w:r>
      <w:r w:rsidR="00E047F7" w:rsidRPr="57352DF8">
        <w:t xml:space="preserve">professional judgement may </w:t>
      </w:r>
      <w:r w:rsidR="004B22CB">
        <w:t xml:space="preserve">also </w:t>
      </w:r>
      <w:r w:rsidR="00334B0C">
        <w:t xml:space="preserve">be </w:t>
      </w:r>
      <w:r w:rsidR="00E047F7" w:rsidRPr="57352DF8">
        <w:t xml:space="preserve">needed to </w:t>
      </w:r>
      <w:r w:rsidR="000C64FC" w:rsidRPr="57352DF8">
        <w:t>determine</w:t>
      </w:r>
      <w:r w:rsidR="00E047F7" w:rsidRPr="57352DF8">
        <w:t xml:space="preserve"> acute and chronic durations for polar and tropical species.</w:t>
      </w:r>
    </w:p>
    <w:p w14:paraId="57BBA2B9" w14:textId="60DA0A11" w:rsidR="00494C8C" w:rsidRDefault="00494C8C" w:rsidP="00494C8C">
      <w:r w:rsidRPr="57352DF8">
        <w:t>The diverse life</w:t>
      </w:r>
      <w:r>
        <w:t>-</w:t>
      </w:r>
      <w:r w:rsidRPr="57352DF8">
        <w:t>history strategies of invertebrate taxa means that it is not possible to make a general rule when defining chronic and acute test durations; hence, invertebrates have been divided into</w:t>
      </w:r>
      <w:r>
        <w:t xml:space="preserve"> 2 </w:t>
      </w:r>
      <w:r w:rsidRPr="57352DF8">
        <w:t xml:space="preserve">groups: microinvertebrates and macroinvertebrates (see </w:t>
      </w:r>
      <w:r>
        <w:fldChar w:fldCharType="begin"/>
      </w:r>
      <w:r>
        <w:instrText xml:space="preserve"> REF _Ref520276069 \h </w:instrText>
      </w:r>
      <w:r>
        <w:fldChar w:fldCharType="separate"/>
      </w:r>
      <w:r w:rsidR="006C5761">
        <w:t>Table </w:t>
      </w:r>
      <w:r w:rsidR="006C5761">
        <w:rPr>
          <w:noProof/>
        </w:rPr>
        <w:t>1</w:t>
      </w:r>
      <w:r>
        <w:fldChar w:fldCharType="end"/>
      </w:r>
      <w:r w:rsidRPr="57352DF8">
        <w:t>). Given the above, it is likely that best professional judgement may be needed to determine whether a particular test should be regarded as acute or chronic. The basis for all professional</w:t>
      </w:r>
      <w:r>
        <w:t>-</w:t>
      </w:r>
      <w:r w:rsidRPr="57352DF8">
        <w:t>judgement decisions must be transparent, understandable and documented.</w:t>
      </w:r>
      <w:r>
        <w:br w:type="page"/>
      </w:r>
    </w:p>
    <w:p w14:paraId="7E8A79F5" w14:textId="567C4412" w:rsidR="00313FCA" w:rsidRPr="00742E8D" w:rsidRDefault="00313FCA" w:rsidP="00313FCA">
      <w:pPr>
        <w:pStyle w:val="Caption"/>
      </w:pPr>
      <w:bookmarkStart w:id="63" w:name="_Ref520276069"/>
      <w:bookmarkStart w:id="64" w:name="_Toc206085214"/>
      <w:r>
        <w:lastRenderedPageBreak/>
        <w:t>Table</w:t>
      </w:r>
      <w:r w:rsidR="00F00518">
        <w:t> </w:t>
      </w:r>
      <w:r>
        <w:rPr>
          <w:noProof/>
        </w:rPr>
        <w:fldChar w:fldCharType="begin"/>
      </w:r>
      <w:r>
        <w:rPr>
          <w:noProof/>
        </w:rPr>
        <w:instrText xml:space="preserve"> SEQ Table \* ARABIC </w:instrText>
      </w:r>
      <w:r>
        <w:rPr>
          <w:noProof/>
        </w:rPr>
        <w:fldChar w:fldCharType="separate"/>
      </w:r>
      <w:r w:rsidR="006C5761">
        <w:rPr>
          <w:noProof/>
        </w:rPr>
        <w:t>1</w:t>
      </w:r>
      <w:r>
        <w:rPr>
          <w:noProof/>
        </w:rPr>
        <w:fldChar w:fldCharType="end"/>
      </w:r>
      <w:bookmarkEnd w:id="63"/>
      <w:r w:rsidRPr="00742E8D">
        <w:t xml:space="preserve"> </w:t>
      </w:r>
      <w:r>
        <w:t>Indicative c</w:t>
      </w:r>
      <w:r w:rsidRPr="00742E8D">
        <w:t>lassification of acute and chronic toxicity tests for temperate species</w:t>
      </w:r>
      <w:bookmarkEnd w:id="64"/>
    </w:p>
    <w:tbl>
      <w:tblPr>
        <w:tblW w:w="5000" w:type="pct"/>
        <w:tblBorders>
          <w:top w:val="single" w:sz="4" w:space="0" w:color="auto"/>
          <w:bottom w:val="single" w:sz="4" w:space="0" w:color="auto"/>
          <w:insideH w:val="single" w:sz="4" w:space="0" w:color="auto"/>
        </w:tblBorders>
        <w:tblLayout w:type="fixed"/>
        <w:tblCellMar>
          <w:left w:w="113" w:type="dxa"/>
          <w:right w:w="113" w:type="dxa"/>
        </w:tblCellMar>
        <w:tblLook w:val="04A0" w:firstRow="1" w:lastRow="0" w:firstColumn="1" w:lastColumn="0" w:noHBand="0" w:noVBand="1"/>
        <w:tblCaption w:val="Classification of acute and chronic toxicity tests for temperate species"/>
        <w:tblDescription w:val="Table shows the type of toxicity tests (acute or chronic) used for different temperate species. Columns include life stage, relevant endpoints and test duration."/>
      </w:tblPr>
      <w:tblGrid>
        <w:gridCol w:w="1842"/>
        <w:gridCol w:w="1985"/>
        <w:gridCol w:w="3971"/>
        <w:gridCol w:w="1272"/>
      </w:tblGrid>
      <w:tr w:rsidR="00C46ADC" w:rsidRPr="0084041E" w14:paraId="1B930F9A" w14:textId="77777777" w:rsidTr="00624B5A">
        <w:trPr>
          <w:cantSplit/>
          <w:tblHeader/>
        </w:trPr>
        <w:tc>
          <w:tcPr>
            <w:tcW w:w="1016" w:type="pct"/>
            <w:tcBorders>
              <w:top w:val="single" w:sz="12" w:space="0" w:color="auto"/>
              <w:bottom w:val="single" w:sz="12" w:space="0" w:color="auto"/>
            </w:tcBorders>
            <w:tcMar>
              <w:top w:w="0" w:type="dxa"/>
              <w:left w:w="108" w:type="dxa"/>
              <w:bottom w:w="0" w:type="dxa"/>
              <w:right w:w="108" w:type="dxa"/>
            </w:tcMar>
            <w:hideMark/>
          </w:tcPr>
          <w:p w14:paraId="2175B127" w14:textId="00B3F0D3" w:rsidR="00C46ADC" w:rsidRPr="003E4EA9" w:rsidRDefault="00C46ADC" w:rsidP="00CA4325">
            <w:pPr>
              <w:pStyle w:val="TableHeading"/>
              <w:rPr>
                <w:rFonts w:ascii="SimSun" w:hAnsi="SimSun"/>
                <w:lang w:val="en-GB"/>
              </w:rPr>
            </w:pPr>
            <w:r>
              <w:t>Organism type</w:t>
            </w:r>
          </w:p>
        </w:tc>
        <w:tc>
          <w:tcPr>
            <w:tcW w:w="1094" w:type="pct"/>
            <w:tcBorders>
              <w:top w:val="single" w:sz="12" w:space="0" w:color="auto"/>
              <w:bottom w:val="single" w:sz="12" w:space="0" w:color="auto"/>
            </w:tcBorders>
            <w:tcMar>
              <w:top w:w="0" w:type="dxa"/>
              <w:left w:w="108" w:type="dxa"/>
              <w:bottom w:w="0" w:type="dxa"/>
              <w:right w:w="108" w:type="dxa"/>
            </w:tcMar>
            <w:hideMark/>
          </w:tcPr>
          <w:p w14:paraId="3B19F677" w14:textId="763CF287" w:rsidR="00C46ADC" w:rsidRPr="003E4EA9" w:rsidRDefault="00C46ADC" w:rsidP="00CA4325">
            <w:pPr>
              <w:pStyle w:val="TableHeading"/>
            </w:pPr>
            <w:r w:rsidRPr="003E4EA9">
              <w:t>L</w:t>
            </w:r>
            <w:r>
              <w:t>ife stage</w:t>
            </w:r>
            <w:r w:rsidRPr="003E4EA9">
              <w:rPr>
                <w:vertAlign w:val="superscript"/>
              </w:rPr>
              <w:t>a</w:t>
            </w:r>
          </w:p>
        </w:tc>
        <w:tc>
          <w:tcPr>
            <w:tcW w:w="2189" w:type="pct"/>
            <w:tcBorders>
              <w:top w:val="single" w:sz="12" w:space="0" w:color="auto"/>
              <w:bottom w:val="single" w:sz="12" w:space="0" w:color="auto"/>
            </w:tcBorders>
            <w:tcMar>
              <w:top w:w="0" w:type="dxa"/>
              <w:left w:w="108" w:type="dxa"/>
              <w:bottom w:w="0" w:type="dxa"/>
              <w:right w:w="108" w:type="dxa"/>
            </w:tcMar>
            <w:hideMark/>
          </w:tcPr>
          <w:p w14:paraId="6E111024" w14:textId="11F30F4A" w:rsidR="00C46ADC" w:rsidRPr="003E4EA9" w:rsidRDefault="00C46ADC" w:rsidP="00CA4325">
            <w:pPr>
              <w:pStyle w:val="TableHeading"/>
            </w:pPr>
            <w:r w:rsidRPr="003E4EA9">
              <w:t>R</w:t>
            </w:r>
            <w:r>
              <w:t>elevant endpoint</w:t>
            </w:r>
            <w:r w:rsidRPr="003E4EA9">
              <w:rPr>
                <w:vertAlign w:val="superscript"/>
              </w:rPr>
              <w:t xml:space="preserve">b </w:t>
            </w:r>
          </w:p>
        </w:tc>
        <w:tc>
          <w:tcPr>
            <w:tcW w:w="701" w:type="pct"/>
            <w:tcBorders>
              <w:top w:val="single" w:sz="12" w:space="0" w:color="auto"/>
              <w:bottom w:val="single" w:sz="12" w:space="0" w:color="auto"/>
            </w:tcBorders>
            <w:tcMar>
              <w:top w:w="0" w:type="dxa"/>
              <w:left w:w="108" w:type="dxa"/>
              <w:bottom w:w="0" w:type="dxa"/>
              <w:right w:w="108" w:type="dxa"/>
            </w:tcMar>
            <w:hideMark/>
          </w:tcPr>
          <w:p w14:paraId="1FA517E9" w14:textId="644BAEA9" w:rsidR="00C46ADC" w:rsidRPr="003E4EA9" w:rsidRDefault="00C46ADC" w:rsidP="00CA4325">
            <w:pPr>
              <w:pStyle w:val="TableHeading"/>
            </w:pPr>
            <w:r w:rsidRPr="00CA4325">
              <w:t>Test</w:t>
            </w:r>
            <w:r>
              <w:t xml:space="preserve"> duration</w:t>
            </w:r>
          </w:p>
        </w:tc>
      </w:tr>
      <w:tr w:rsidR="00C46ADC" w:rsidRPr="0084041E" w14:paraId="31CB206A" w14:textId="132899ED" w:rsidTr="00AC32DA">
        <w:trPr>
          <w:cantSplit/>
        </w:trPr>
        <w:tc>
          <w:tcPr>
            <w:tcW w:w="5000" w:type="pct"/>
            <w:gridSpan w:val="4"/>
            <w:tcBorders>
              <w:top w:val="single" w:sz="12" w:space="0" w:color="auto"/>
              <w:bottom w:val="single" w:sz="12" w:space="0" w:color="auto"/>
            </w:tcBorders>
            <w:tcMar>
              <w:top w:w="0" w:type="dxa"/>
              <w:left w:w="108" w:type="dxa"/>
              <w:bottom w:w="0" w:type="dxa"/>
              <w:right w:w="108" w:type="dxa"/>
            </w:tcMar>
            <w:hideMark/>
          </w:tcPr>
          <w:p w14:paraId="73CA4522" w14:textId="5A3089F0" w:rsidR="00C46ADC" w:rsidRPr="00E027BC" w:rsidRDefault="00C46ADC" w:rsidP="000321AE">
            <w:pPr>
              <w:pStyle w:val="TableText"/>
              <w:rPr>
                <w:b/>
                <w:bCs/>
              </w:rPr>
            </w:pPr>
            <w:r w:rsidRPr="00E027BC">
              <w:rPr>
                <w:b/>
                <w:bCs/>
              </w:rPr>
              <w:t>Acute toxicity</w:t>
            </w:r>
          </w:p>
        </w:tc>
      </w:tr>
      <w:tr w:rsidR="00B86083" w:rsidRPr="0084041E" w14:paraId="7B5EAA3F" w14:textId="77777777" w:rsidTr="00624B5A">
        <w:trPr>
          <w:cantSplit/>
        </w:trPr>
        <w:tc>
          <w:tcPr>
            <w:tcW w:w="1016" w:type="pct"/>
            <w:vMerge w:val="restart"/>
            <w:tcBorders>
              <w:top w:val="single" w:sz="12" w:space="0" w:color="auto"/>
            </w:tcBorders>
            <w:tcMar>
              <w:top w:w="0" w:type="dxa"/>
              <w:left w:w="108" w:type="dxa"/>
              <w:bottom w:w="0" w:type="dxa"/>
              <w:right w:w="108" w:type="dxa"/>
            </w:tcMar>
            <w:hideMark/>
          </w:tcPr>
          <w:p w14:paraId="58A74E1C" w14:textId="4126E4A0" w:rsidR="00B86083" w:rsidRPr="00A43A52" w:rsidRDefault="00B86083" w:rsidP="00A43A52">
            <w:pPr>
              <w:pStyle w:val="TableText"/>
            </w:pPr>
            <w:r w:rsidRPr="00A43A52">
              <w:t>Fish and amphibians</w:t>
            </w:r>
          </w:p>
        </w:tc>
        <w:tc>
          <w:tcPr>
            <w:tcW w:w="1094" w:type="pct"/>
            <w:tcBorders>
              <w:top w:val="single" w:sz="12" w:space="0" w:color="auto"/>
              <w:bottom w:val="single" w:sz="4" w:space="0" w:color="auto"/>
            </w:tcBorders>
            <w:tcMar>
              <w:top w:w="0" w:type="dxa"/>
              <w:left w:w="108" w:type="dxa"/>
              <w:bottom w:w="0" w:type="dxa"/>
              <w:right w:w="108" w:type="dxa"/>
            </w:tcMar>
            <w:hideMark/>
          </w:tcPr>
          <w:p w14:paraId="256C6C94" w14:textId="2384E16D" w:rsidR="00B86083" w:rsidRPr="00A43A52" w:rsidRDefault="00B86083" w:rsidP="00A43A52">
            <w:pPr>
              <w:pStyle w:val="TableText"/>
            </w:pPr>
            <w:r w:rsidRPr="00A43A52">
              <w:t>Adults</w:t>
            </w:r>
            <w:r>
              <w:t xml:space="preserve">, </w:t>
            </w:r>
            <w:r w:rsidRPr="00A43A52">
              <w:t>juveniles</w:t>
            </w:r>
          </w:p>
        </w:tc>
        <w:tc>
          <w:tcPr>
            <w:tcW w:w="2189" w:type="pct"/>
            <w:tcBorders>
              <w:top w:val="single" w:sz="12" w:space="0" w:color="auto"/>
              <w:bottom w:val="single" w:sz="4" w:space="0" w:color="auto"/>
            </w:tcBorders>
            <w:tcMar>
              <w:top w:w="0" w:type="dxa"/>
              <w:left w:w="108" w:type="dxa"/>
              <w:bottom w:w="0" w:type="dxa"/>
              <w:right w:w="108" w:type="dxa"/>
            </w:tcMar>
            <w:hideMark/>
          </w:tcPr>
          <w:p w14:paraId="4B8E2C87" w14:textId="77777777" w:rsidR="00B86083" w:rsidRPr="00A43A52" w:rsidRDefault="00B86083" w:rsidP="00A43A52">
            <w:pPr>
              <w:pStyle w:val="TableText"/>
            </w:pPr>
            <w:r w:rsidRPr="00A43A52">
              <w:t>All</w:t>
            </w:r>
            <w:r w:rsidRPr="00484022">
              <w:rPr>
                <w:vertAlign w:val="superscript"/>
              </w:rPr>
              <w:t>c</w:t>
            </w:r>
          </w:p>
        </w:tc>
        <w:tc>
          <w:tcPr>
            <w:tcW w:w="701" w:type="pct"/>
            <w:tcBorders>
              <w:top w:val="single" w:sz="12" w:space="0" w:color="auto"/>
              <w:bottom w:val="single" w:sz="4" w:space="0" w:color="auto"/>
            </w:tcBorders>
            <w:tcMar>
              <w:top w:w="0" w:type="dxa"/>
              <w:left w:w="108" w:type="dxa"/>
              <w:bottom w:w="0" w:type="dxa"/>
              <w:right w:w="108" w:type="dxa"/>
            </w:tcMar>
            <w:hideMark/>
          </w:tcPr>
          <w:p w14:paraId="284F0AD1" w14:textId="694E1EAD" w:rsidR="00B86083" w:rsidRPr="00A43A52" w:rsidRDefault="00B86083" w:rsidP="00A43A52">
            <w:pPr>
              <w:pStyle w:val="TableText"/>
            </w:pPr>
            <w:r w:rsidRPr="00A43A52">
              <w:t>&lt;</w:t>
            </w:r>
            <w:r>
              <w:t xml:space="preserve"> </w:t>
            </w:r>
            <w:r w:rsidRPr="00A43A52">
              <w:t>21 d</w:t>
            </w:r>
          </w:p>
        </w:tc>
      </w:tr>
      <w:tr w:rsidR="00B86083" w:rsidRPr="0084041E" w14:paraId="1EF75063" w14:textId="77777777" w:rsidTr="00624B5A">
        <w:trPr>
          <w:cantSplit/>
        </w:trPr>
        <w:tc>
          <w:tcPr>
            <w:tcW w:w="1016" w:type="pct"/>
            <w:vMerge/>
            <w:tcBorders>
              <w:bottom w:val="single" w:sz="4" w:space="0" w:color="auto"/>
            </w:tcBorders>
            <w:tcMar>
              <w:top w:w="0" w:type="dxa"/>
              <w:left w:w="108" w:type="dxa"/>
              <w:bottom w:w="0" w:type="dxa"/>
              <w:right w:w="108" w:type="dxa"/>
            </w:tcMar>
          </w:tcPr>
          <w:p w14:paraId="5F7488D1" w14:textId="723BFFF4" w:rsidR="00B86083" w:rsidRPr="00A43A52" w:rsidRDefault="00B86083" w:rsidP="00CC7090">
            <w:pPr>
              <w:pStyle w:val="TableText"/>
            </w:pPr>
          </w:p>
        </w:tc>
        <w:tc>
          <w:tcPr>
            <w:tcW w:w="1094" w:type="pct"/>
            <w:tcBorders>
              <w:bottom w:val="single" w:sz="4" w:space="0" w:color="auto"/>
            </w:tcBorders>
            <w:tcMar>
              <w:top w:w="0" w:type="dxa"/>
              <w:left w:w="108" w:type="dxa"/>
              <w:bottom w:w="0" w:type="dxa"/>
              <w:right w:w="108" w:type="dxa"/>
            </w:tcMar>
          </w:tcPr>
          <w:p w14:paraId="14B1A633" w14:textId="0FC7D861" w:rsidR="00B86083" w:rsidRPr="00A43A52" w:rsidRDefault="00B86083" w:rsidP="00CC7090">
            <w:pPr>
              <w:pStyle w:val="TableText"/>
            </w:pPr>
            <w:r w:rsidRPr="00A43A52">
              <w:t>Embryos</w:t>
            </w:r>
            <w:r>
              <w:t xml:space="preserve">, </w:t>
            </w:r>
            <w:r w:rsidRPr="00A43A52">
              <w:t>larvae</w:t>
            </w:r>
          </w:p>
        </w:tc>
        <w:tc>
          <w:tcPr>
            <w:tcW w:w="2189" w:type="pct"/>
            <w:tcBorders>
              <w:bottom w:val="single" w:sz="4" w:space="0" w:color="auto"/>
            </w:tcBorders>
            <w:tcMar>
              <w:top w:w="0" w:type="dxa"/>
              <w:left w:w="108" w:type="dxa"/>
              <w:bottom w:w="0" w:type="dxa"/>
              <w:right w:w="108" w:type="dxa"/>
            </w:tcMar>
          </w:tcPr>
          <w:p w14:paraId="7E41B80F" w14:textId="332B1930" w:rsidR="00B86083" w:rsidRPr="00A43A52" w:rsidRDefault="00B86083" w:rsidP="00CC7090">
            <w:pPr>
              <w:pStyle w:val="TableText"/>
            </w:pPr>
            <w:r w:rsidRPr="00A43A52">
              <w:t>All</w:t>
            </w:r>
          </w:p>
        </w:tc>
        <w:tc>
          <w:tcPr>
            <w:tcW w:w="701" w:type="pct"/>
            <w:tcBorders>
              <w:bottom w:val="single" w:sz="4" w:space="0" w:color="auto"/>
            </w:tcBorders>
            <w:tcMar>
              <w:top w:w="0" w:type="dxa"/>
              <w:left w:w="108" w:type="dxa"/>
              <w:bottom w:w="0" w:type="dxa"/>
              <w:right w:w="108" w:type="dxa"/>
            </w:tcMar>
          </w:tcPr>
          <w:p w14:paraId="3A3F06DE" w14:textId="17721B56" w:rsidR="00B86083" w:rsidRPr="00A43A52" w:rsidRDefault="00B86083" w:rsidP="00CC7090">
            <w:pPr>
              <w:pStyle w:val="TableText"/>
            </w:pPr>
            <w:r w:rsidRPr="00A43A52">
              <w:t>&lt;</w:t>
            </w:r>
            <w:r>
              <w:t xml:space="preserve"> </w:t>
            </w:r>
            <w:r w:rsidRPr="00A43A52">
              <w:t>7 d</w:t>
            </w:r>
          </w:p>
        </w:tc>
      </w:tr>
      <w:tr w:rsidR="00B86083" w:rsidRPr="0084041E" w14:paraId="607A0621" w14:textId="77777777" w:rsidTr="00624B5A">
        <w:trPr>
          <w:cantSplit/>
        </w:trPr>
        <w:tc>
          <w:tcPr>
            <w:tcW w:w="1016" w:type="pct"/>
            <w:vMerge w:val="restart"/>
            <w:tcMar>
              <w:top w:w="0" w:type="dxa"/>
              <w:left w:w="108" w:type="dxa"/>
              <w:bottom w:w="0" w:type="dxa"/>
              <w:right w:w="108" w:type="dxa"/>
            </w:tcMar>
            <w:hideMark/>
          </w:tcPr>
          <w:p w14:paraId="74F8E760" w14:textId="5FA9551E" w:rsidR="00B86083" w:rsidRPr="00A43A52" w:rsidRDefault="00B86083" w:rsidP="00CC7090">
            <w:pPr>
              <w:pStyle w:val="TableText"/>
            </w:pPr>
            <w:r w:rsidRPr="00A43A52">
              <w:t>Macroinvertebrates</w:t>
            </w:r>
            <w:r w:rsidRPr="009F70AE">
              <w:rPr>
                <w:vertAlign w:val="superscript"/>
              </w:rPr>
              <w:t>d</w:t>
            </w:r>
          </w:p>
        </w:tc>
        <w:tc>
          <w:tcPr>
            <w:tcW w:w="1094" w:type="pct"/>
            <w:tcBorders>
              <w:bottom w:val="single" w:sz="4" w:space="0" w:color="auto"/>
            </w:tcBorders>
            <w:tcMar>
              <w:top w:w="0" w:type="dxa"/>
              <w:left w:w="108" w:type="dxa"/>
              <w:bottom w:w="0" w:type="dxa"/>
              <w:right w:w="108" w:type="dxa"/>
            </w:tcMar>
            <w:hideMark/>
          </w:tcPr>
          <w:p w14:paraId="0BD1344E" w14:textId="05B5D8BF" w:rsidR="00B86083" w:rsidRPr="00A43A52" w:rsidRDefault="00B86083" w:rsidP="00CC7090">
            <w:pPr>
              <w:pStyle w:val="TableText"/>
            </w:pPr>
            <w:r w:rsidRPr="00A43A52">
              <w:t>Adults</w:t>
            </w:r>
            <w:r>
              <w:t xml:space="preserve">, </w:t>
            </w:r>
            <w:r w:rsidRPr="00A43A52">
              <w:t>juveniles</w:t>
            </w:r>
          </w:p>
        </w:tc>
        <w:tc>
          <w:tcPr>
            <w:tcW w:w="2189" w:type="pct"/>
            <w:tcBorders>
              <w:bottom w:val="single" w:sz="4" w:space="0" w:color="auto"/>
            </w:tcBorders>
            <w:tcMar>
              <w:top w:w="0" w:type="dxa"/>
              <w:left w:w="108" w:type="dxa"/>
              <w:bottom w:w="0" w:type="dxa"/>
              <w:right w:w="108" w:type="dxa"/>
            </w:tcMar>
            <w:hideMark/>
          </w:tcPr>
          <w:p w14:paraId="73D0537F" w14:textId="77777777" w:rsidR="00B86083" w:rsidRPr="00A43A52" w:rsidRDefault="00B86083" w:rsidP="00CC7090">
            <w:pPr>
              <w:pStyle w:val="TableText"/>
            </w:pPr>
            <w:r w:rsidRPr="00A43A52">
              <w:t>All</w:t>
            </w:r>
          </w:p>
        </w:tc>
        <w:tc>
          <w:tcPr>
            <w:tcW w:w="701" w:type="pct"/>
            <w:tcBorders>
              <w:bottom w:val="single" w:sz="4" w:space="0" w:color="auto"/>
            </w:tcBorders>
            <w:tcMar>
              <w:top w:w="0" w:type="dxa"/>
              <w:left w:w="108" w:type="dxa"/>
              <w:bottom w:w="0" w:type="dxa"/>
              <w:right w:w="108" w:type="dxa"/>
            </w:tcMar>
            <w:hideMark/>
          </w:tcPr>
          <w:p w14:paraId="1A203410" w14:textId="49461A72" w:rsidR="00B86083" w:rsidRPr="00A43A52" w:rsidRDefault="00B86083" w:rsidP="00CC7090">
            <w:pPr>
              <w:pStyle w:val="TableText"/>
            </w:pPr>
            <w:r w:rsidRPr="00A43A52">
              <w:t>&lt;</w:t>
            </w:r>
            <w:r>
              <w:t xml:space="preserve"> </w:t>
            </w:r>
            <w:r w:rsidRPr="00A43A52">
              <w:t>14 d</w:t>
            </w:r>
          </w:p>
        </w:tc>
      </w:tr>
      <w:tr w:rsidR="00B86083" w:rsidRPr="0084041E" w14:paraId="4F6C75CF" w14:textId="77777777" w:rsidTr="00624B5A">
        <w:trPr>
          <w:cantSplit/>
        </w:trPr>
        <w:tc>
          <w:tcPr>
            <w:tcW w:w="1016" w:type="pct"/>
            <w:vMerge/>
            <w:tcMar>
              <w:top w:w="0" w:type="dxa"/>
              <w:left w:w="108" w:type="dxa"/>
              <w:bottom w:w="0" w:type="dxa"/>
              <w:right w:w="108" w:type="dxa"/>
            </w:tcMar>
          </w:tcPr>
          <w:p w14:paraId="1678D319" w14:textId="6691CAC0" w:rsidR="00B86083" w:rsidRPr="00A43A52" w:rsidRDefault="00B86083" w:rsidP="00CC7090">
            <w:pPr>
              <w:pStyle w:val="TableText"/>
            </w:pPr>
          </w:p>
        </w:tc>
        <w:tc>
          <w:tcPr>
            <w:tcW w:w="1094" w:type="pct"/>
            <w:tcBorders>
              <w:bottom w:val="single" w:sz="4" w:space="0" w:color="auto"/>
            </w:tcBorders>
            <w:tcMar>
              <w:top w:w="0" w:type="dxa"/>
              <w:left w:w="108" w:type="dxa"/>
              <w:bottom w:w="0" w:type="dxa"/>
              <w:right w:w="108" w:type="dxa"/>
            </w:tcMar>
          </w:tcPr>
          <w:p w14:paraId="3447148A" w14:textId="3CC4DB57" w:rsidR="00B86083" w:rsidRPr="00A43A52" w:rsidRDefault="00B86083" w:rsidP="00CC7090">
            <w:pPr>
              <w:pStyle w:val="TableText"/>
            </w:pPr>
            <w:r w:rsidRPr="00A43A52">
              <w:t>Embryos</w:t>
            </w:r>
            <w:r>
              <w:t xml:space="preserve">, </w:t>
            </w:r>
            <w:r w:rsidRPr="00A43A52">
              <w:t>larvae</w:t>
            </w:r>
          </w:p>
        </w:tc>
        <w:tc>
          <w:tcPr>
            <w:tcW w:w="2189" w:type="pct"/>
            <w:tcBorders>
              <w:bottom w:val="single" w:sz="4" w:space="0" w:color="auto"/>
            </w:tcBorders>
            <w:tcMar>
              <w:top w:w="0" w:type="dxa"/>
              <w:left w:w="108" w:type="dxa"/>
              <w:bottom w:w="0" w:type="dxa"/>
              <w:right w:w="108" w:type="dxa"/>
            </w:tcMar>
          </w:tcPr>
          <w:p w14:paraId="25EBBD4A" w14:textId="076CE6CA" w:rsidR="00B86083" w:rsidRPr="00A43A52" w:rsidRDefault="00B86083" w:rsidP="00CC7090">
            <w:pPr>
              <w:pStyle w:val="TableText"/>
            </w:pPr>
            <w:r w:rsidRPr="00A43A52">
              <w:t>All (except fertilisation, larval development</w:t>
            </w:r>
            <w:r>
              <w:t xml:space="preserve">, </w:t>
            </w:r>
            <w:r w:rsidRPr="00A43A52">
              <w:t>metamorphosis)</w:t>
            </w:r>
          </w:p>
        </w:tc>
        <w:tc>
          <w:tcPr>
            <w:tcW w:w="701" w:type="pct"/>
            <w:tcBorders>
              <w:bottom w:val="single" w:sz="4" w:space="0" w:color="auto"/>
            </w:tcBorders>
            <w:tcMar>
              <w:top w:w="0" w:type="dxa"/>
              <w:left w:w="108" w:type="dxa"/>
              <w:bottom w:w="0" w:type="dxa"/>
              <w:right w:w="108" w:type="dxa"/>
            </w:tcMar>
          </w:tcPr>
          <w:p w14:paraId="5FC97A7A" w14:textId="51F3EDFA" w:rsidR="00B86083" w:rsidRPr="00A43A52" w:rsidRDefault="00B86083" w:rsidP="00CC7090">
            <w:pPr>
              <w:pStyle w:val="TableText"/>
            </w:pPr>
            <w:r w:rsidRPr="00A43A52">
              <w:t>&lt;</w:t>
            </w:r>
            <w:r>
              <w:t xml:space="preserve"> </w:t>
            </w:r>
            <w:r w:rsidRPr="00A43A52">
              <w:t>7 d</w:t>
            </w:r>
          </w:p>
        </w:tc>
      </w:tr>
      <w:tr w:rsidR="00B86083" w:rsidRPr="0084041E" w14:paraId="41987F0B" w14:textId="77777777" w:rsidTr="00624B5A">
        <w:trPr>
          <w:cantSplit/>
        </w:trPr>
        <w:tc>
          <w:tcPr>
            <w:tcW w:w="1016" w:type="pct"/>
            <w:vMerge/>
            <w:tcBorders>
              <w:bottom w:val="single" w:sz="4" w:space="0" w:color="auto"/>
            </w:tcBorders>
            <w:tcMar>
              <w:top w:w="0" w:type="dxa"/>
              <w:left w:w="108" w:type="dxa"/>
              <w:bottom w:w="0" w:type="dxa"/>
              <w:right w:w="108" w:type="dxa"/>
            </w:tcMar>
          </w:tcPr>
          <w:p w14:paraId="5E47A127" w14:textId="638424D8" w:rsidR="00B86083" w:rsidRPr="00A43A52" w:rsidRDefault="00B86083" w:rsidP="00CC7090">
            <w:pPr>
              <w:pStyle w:val="TableText"/>
            </w:pPr>
          </w:p>
        </w:tc>
        <w:tc>
          <w:tcPr>
            <w:tcW w:w="1094" w:type="pct"/>
            <w:tcBorders>
              <w:bottom w:val="single" w:sz="4" w:space="0" w:color="auto"/>
            </w:tcBorders>
            <w:tcMar>
              <w:top w:w="0" w:type="dxa"/>
              <w:left w:w="108" w:type="dxa"/>
              <w:bottom w:w="0" w:type="dxa"/>
              <w:right w:w="108" w:type="dxa"/>
            </w:tcMar>
          </w:tcPr>
          <w:p w14:paraId="7CFE3812" w14:textId="567770B6" w:rsidR="00B86083" w:rsidRPr="00A43A52" w:rsidRDefault="00B86083" w:rsidP="00CC7090">
            <w:pPr>
              <w:pStyle w:val="TableText"/>
            </w:pPr>
            <w:r w:rsidRPr="00A43A52">
              <w:t>Embryos</w:t>
            </w:r>
            <w:r>
              <w:t xml:space="preserve">, </w:t>
            </w:r>
            <w:r w:rsidRPr="00A43A52">
              <w:t>larvae</w:t>
            </w:r>
          </w:p>
        </w:tc>
        <w:tc>
          <w:tcPr>
            <w:tcW w:w="2189" w:type="pct"/>
            <w:tcBorders>
              <w:bottom w:val="single" w:sz="4" w:space="0" w:color="auto"/>
            </w:tcBorders>
            <w:tcMar>
              <w:top w:w="0" w:type="dxa"/>
              <w:left w:w="108" w:type="dxa"/>
              <w:bottom w:w="0" w:type="dxa"/>
              <w:right w:w="108" w:type="dxa"/>
            </w:tcMar>
          </w:tcPr>
          <w:p w14:paraId="3FBA01C0" w14:textId="36DC5DC8" w:rsidR="00B86083" w:rsidRPr="00A43A52" w:rsidRDefault="00B86083" w:rsidP="00CC7090">
            <w:pPr>
              <w:pStyle w:val="TableText"/>
            </w:pPr>
            <w:r w:rsidRPr="00A43A52">
              <w:t>Larval development/metamorphosis</w:t>
            </w:r>
          </w:p>
        </w:tc>
        <w:tc>
          <w:tcPr>
            <w:tcW w:w="701" w:type="pct"/>
            <w:tcBorders>
              <w:bottom w:val="single" w:sz="4" w:space="0" w:color="auto"/>
            </w:tcBorders>
            <w:tcMar>
              <w:top w:w="0" w:type="dxa"/>
              <w:left w:w="108" w:type="dxa"/>
              <w:bottom w:w="0" w:type="dxa"/>
              <w:right w:w="108" w:type="dxa"/>
            </w:tcMar>
          </w:tcPr>
          <w:p w14:paraId="5DE1FC4A" w14:textId="3F06932E" w:rsidR="00B86083" w:rsidRPr="00A43A52" w:rsidRDefault="00B86083" w:rsidP="00CC7090">
            <w:pPr>
              <w:pStyle w:val="TableText"/>
            </w:pPr>
            <w:r w:rsidRPr="00A43A52">
              <w:t>&lt;</w:t>
            </w:r>
            <w:r>
              <w:t xml:space="preserve"> </w:t>
            </w:r>
            <w:r w:rsidRPr="00A43A52">
              <w:t>48 h</w:t>
            </w:r>
          </w:p>
        </w:tc>
      </w:tr>
      <w:tr w:rsidR="00C46ADC" w:rsidRPr="0084041E" w14:paraId="2A2D2FDC" w14:textId="77777777" w:rsidTr="00624B5A">
        <w:trPr>
          <w:cantSplit/>
        </w:trPr>
        <w:tc>
          <w:tcPr>
            <w:tcW w:w="1016" w:type="pct"/>
            <w:tcMar>
              <w:top w:w="0" w:type="dxa"/>
              <w:left w:w="108" w:type="dxa"/>
              <w:bottom w:w="0" w:type="dxa"/>
              <w:right w:w="108" w:type="dxa"/>
            </w:tcMar>
            <w:hideMark/>
          </w:tcPr>
          <w:p w14:paraId="6270BE56" w14:textId="221437B4" w:rsidR="00C46ADC" w:rsidRPr="00A43A52" w:rsidRDefault="00C46ADC" w:rsidP="00CC7090">
            <w:pPr>
              <w:pStyle w:val="TableText"/>
            </w:pPr>
            <w:r w:rsidRPr="00A43A52">
              <w:t>Microinvertebrates</w:t>
            </w:r>
            <w:r w:rsidRPr="009F70AE">
              <w:rPr>
                <w:vertAlign w:val="superscript"/>
              </w:rPr>
              <w:t>e</w:t>
            </w:r>
          </w:p>
        </w:tc>
        <w:tc>
          <w:tcPr>
            <w:tcW w:w="1094" w:type="pct"/>
            <w:tcMar>
              <w:top w:w="0" w:type="dxa"/>
              <w:left w:w="108" w:type="dxa"/>
              <w:bottom w:w="0" w:type="dxa"/>
              <w:right w:w="108" w:type="dxa"/>
            </w:tcMar>
            <w:hideMark/>
          </w:tcPr>
          <w:p w14:paraId="1A42DF7B" w14:textId="199B9E8F" w:rsidR="00C46ADC" w:rsidRPr="00A43A52" w:rsidRDefault="00C46ADC" w:rsidP="00CC7090">
            <w:pPr>
              <w:pStyle w:val="TableText"/>
            </w:pPr>
            <w:r w:rsidRPr="00A43A52">
              <w:t>Adults</w:t>
            </w:r>
            <w:r>
              <w:t xml:space="preserve">, </w:t>
            </w:r>
            <w:r w:rsidRPr="00A43A52">
              <w:t>juveniles</w:t>
            </w:r>
            <w:r>
              <w:t xml:space="preserve">, </w:t>
            </w:r>
            <w:r w:rsidRPr="00A43A52">
              <w:t>larvae</w:t>
            </w:r>
          </w:p>
        </w:tc>
        <w:tc>
          <w:tcPr>
            <w:tcW w:w="2189" w:type="pct"/>
            <w:tcMar>
              <w:top w:w="0" w:type="dxa"/>
              <w:left w:w="108" w:type="dxa"/>
              <w:bottom w:w="0" w:type="dxa"/>
              <w:right w:w="108" w:type="dxa"/>
            </w:tcMar>
            <w:hideMark/>
          </w:tcPr>
          <w:p w14:paraId="12843D4A" w14:textId="021E8974" w:rsidR="00C46ADC" w:rsidRPr="00A43A52" w:rsidRDefault="00C46ADC" w:rsidP="00CC7090">
            <w:pPr>
              <w:pStyle w:val="TableText"/>
            </w:pPr>
            <w:r w:rsidRPr="00A43A52">
              <w:t>All (except fertilisation</w:t>
            </w:r>
            <w:r>
              <w:t>,</w:t>
            </w:r>
            <w:r w:rsidRPr="00A43A52">
              <w:t xml:space="preserve"> larval development – see microinvertebrate chronic)</w:t>
            </w:r>
          </w:p>
        </w:tc>
        <w:tc>
          <w:tcPr>
            <w:tcW w:w="701" w:type="pct"/>
            <w:tcMar>
              <w:top w:w="0" w:type="dxa"/>
              <w:left w:w="108" w:type="dxa"/>
              <w:bottom w:w="0" w:type="dxa"/>
              <w:right w:w="108" w:type="dxa"/>
            </w:tcMar>
            <w:hideMark/>
          </w:tcPr>
          <w:p w14:paraId="762FFDEC" w14:textId="688BCEC7" w:rsidR="00C46ADC" w:rsidRPr="00A43A52" w:rsidRDefault="00C46ADC" w:rsidP="00CC7090">
            <w:pPr>
              <w:pStyle w:val="TableText"/>
            </w:pPr>
            <w:r w:rsidRPr="00A43A52">
              <w:t>&lt;</w:t>
            </w:r>
            <w:r>
              <w:t xml:space="preserve"> </w:t>
            </w:r>
            <w:r w:rsidRPr="00A43A52">
              <w:t>7 d</w:t>
            </w:r>
          </w:p>
        </w:tc>
      </w:tr>
      <w:tr w:rsidR="00C46ADC" w:rsidRPr="0084041E" w14:paraId="3C173961" w14:textId="77777777" w:rsidTr="00624B5A">
        <w:trPr>
          <w:cantSplit/>
        </w:trPr>
        <w:tc>
          <w:tcPr>
            <w:tcW w:w="1016" w:type="pct"/>
            <w:tcMar>
              <w:top w:w="0" w:type="dxa"/>
              <w:left w:w="108" w:type="dxa"/>
              <w:bottom w:w="0" w:type="dxa"/>
              <w:right w:w="108" w:type="dxa"/>
            </w:tcMar>
            <w:hideMark/>
          </w:tcPr>
          <w:p w14:paraId="2291DEC5" w14:textId="00D68EB1" w:rsidR="00C46ADC" w:rsidRPr="00A43A52" w:rsidRDefault="00C46ADC" w:rsidP="00CC7090">
            <w:pPr>
              <w:pStyle w:val="TableText"/>
            </w:pPr>
            <w:r w:rsidRPr="00A43A52">
              <w:t>Macrophytes</w:t>
            </w:r>
          </w:p>
        </w:tc>
        <w:tc>
          <w:tcPr>
            <w:tcW w:w="1094" w:type="pct"/>
            <w:tcMar>
              <w:top w:w="0" w:type="dxa"/>
              <w:left w:w="108" w:type="dxa"/>
              <w:bottom w:w="0" w:type="dxa"/>
              <w:right w:w="108" w:type="dxa"/>
            </w:tcMar>
            <w:hideMark/>
          </w:tcPr>
          <w:p w14:paraId="511BE8DB" w14:textId="77777777" w:rsidR="00C46ADC" w:rsidRPr="00A43A52" w:rsidRDefault="00C46ADC" w:rsidP="00CC7090">
            <w:pPr>
              <w:pStyle w:val="TableText"/>
            </w:pPr>
            <w:r w:rsidRPr="00A43A52">
              <w:t>Mature</w:t>
            </w:r>
          </w:p>
        </w:tc>
        <w:tc>
          <w:tcPr>
            <w:tcW w:w="2189" w:type="pct"/>
            <w:tcMar>
              <w:top w:w="0" w:type="dxa"/>
              <w:left w:w="108" w:type="dxa"/>
              <w:bottom w:w="0" w:type="dxa"/>
              <w:right w:w="108" w:type="dxa"/>
            </w:tcMar>
            <w:hideMark/>
          </w:tcPr>
          <w:p w14:paraId="36C109BA" w14:textId="21AEF8B7" w:rsidR="00C46ADC" w:rsidRPr="00A43A52" w:rsidRDefault="00C46ADC" w:rsidP="00CC7090">
            <w:pPr>
              <w:pStyle w:val="TableText"/>
            </w:pPr>
            <w:r w:rsidRPr="00A43A52">
              <w:t>All</w:t>
            </w:r>
          </w:p>
        </w:tc>
        <w:tc>
          <w:tcPr>
            <w:tcW w:w="701" w:type="pct"/>
            <w:tcMar>
              <w:top w:w="0" w:type="dxa"/>
              <w:left w:w="108" w:type="dxa"/>
              <w:bottom w:w="0" w:type="dxa"/>
              <w:right w:w="108" w:type="dxa"/>
            </w:tcMar>
            <w:hideMark/>
          </w:tcPr>
          <w:p w14:paraId="269EFB30" w14:textId="2E50C6FB" w:rsidR="00C46ADC" w:rsidRPr="00A43A52" w:rsidRDefault="00C46ADC" w:rsidP="00CC7090">
            <w:pPr>
              <w:pStyle w:val="TableText"/>
            </w:pPr>
            <w:r w:rsidRPr="00A43A52">
              <w:t>&lt;</w:t>
            </w:r>
            <w:r>
              <w:t xml:space="preserve"> </w:t>
            </w:r>
            <w:r w:rsidRPr="00A43A52">
              <w:t>7 d</w:t>
            </w:r>
          </w:p>
        </w:tc>
      </w:tr>
      <w:tr w:rsidR="00C46ADC" w:rsidRPr="0084041E" w14:paraId="4C1FE9DB" w14:textId="77777777" w:rsidTr="00624B5A">
        <w:trPr>
          <w:cantSplit/>
        </w:trPr>
        <w:tc>
          <w:tcPr>
            <w:tcW w:w="1016" w:type="pct"/>
            <w:tcMar>
              <w:top w:w="0" w:type="dxa"/>
              <w:left w:w="108" w:type="dxa"/>
              <w:bottom w:w="0" w:type="dxa"/>
              <w:right w:w="108" w:type="dxa"/>
            </w:tcMar>
            <w:hideMark/>
          </w:tcPr>
          <w:p w14:paraId="62010904" w14:textId="4AE015C2" w:rsidR="00C46ADC" w:rsidRPr="00A43A52" w:rsidRDefault="00C46ADC" w:rsidP="00CC7090">
            <w:pPr>
              <w:pStyle w:val="TableText"/>
            </w:pPr>
            <w:r w:rsidRPr="00A43A52">
              <w:t>Macroalgae</w:t>
            </w:r>
          </w:p>
        </w:tc>
        <w:tc>
          <w:tcPr>
            <w:tcW w:w="1094" w:type="pct"/>
            <w:tcMar>
              <w:top w:w="0" w:type="dxa"/>
              <w:left w:w="108" w:type="dxa"/>
              <w:bottom w:w="0" w:type="dxa"/>
              <w:right w:w="108" w:type="dxa"/>
            </w:tcMar>
            <w:hideMark/>
          </w:tcPr>
          <w:p w14:paraId="5CC3C2EE" w14:textId="77777777" w:rsidR="00C46ADC" w:rsidRPr="00A43A52" w:rsidRDefault="00C46ADC" w:rsidP="00CC7090">
            <w:pPr>
              <w:pStyle w:val="TableText"/>
            </w:pPr>
            <w:r w:rsidRPr="00A43A52">
              <w:t>Mature</w:t>
            </w:r>
          </w:p>
        </w:tc>
        <w:tc>
          <w:tcPr>
            <w:tcW w:w="2189" w:type="pct"/>
            <w:tcMar>
              <w:top w:w="0" w:type="dxa"/>
              <w:left w:w="108" w:type="dxa"/>
              <w:bottom w:w="0" w:type="dxa"/>
              <w:right w:w="108" w:type="dxa"/>
            </w:tcMar>
            <w:hideMark/>
          </w:tcPr>
          <w:p w14:paraId="5D1A148D" w14:textId="01C4A48E" w:rsidR="00C46ADC" w:rsidRPr="00A43A52" w:rsidRDefault="00C46ADC" w:rsidP="00CC7090">
            <w:pPr>
              <w:pStyle w:val="TableText"/>
            </w:pPr>
            <w:r w:rsidRPr="00A43A52">
              <w:t>Lethality and growth</w:t>
            </w:r>
          </w:p>
        </w:tc>
        <w:tc>
          <w:tcPr>
            <w:tcW w:w="701" w:type="pct"/>
            <w:tcMar>
              <w:top w:w="0" w:type="dxa"/>
              <w:left w:w="108" w:type="dxa"/>
              <w:bottom w:w="0" w:type="dxa"/>
              <w:right w:w="108" w:type="dxa"/>
            </w:tcMar>
            <w:hideMark/>
          </w:tcPr>
          <w:p w14:paraId="4C935B3C" w14:textId="6FE9907C" w:rsidR="00C46ADC" w:rsidRPr="00A43A52" w:rsidRDefault="00C46ADC" w:rsidP="00CC7090">
            <w:pPr>
              <w:pStyle w:val="TableText"/>
            </w:pPr>
            <w:r w:rsidRPr="00A43A52">
              <w:t>&lt;</w:t>
            </w:r>
            <w:r>
              <w:t xml:space="preserve"> </w:t>
            </w:r>
            <w:r w:rsidRPr="00A43A52">
              <w:t>7 d</w:t>
            </w:r>
          </w:p>
        </w:tc>
      </w:tr>
      <w:tr w:rsidR="00C46ADC" w:rsidRPr="0084041E" w14:paraId="133E4AC2" w14:textId="77777777" w:rsidTr="00624B5A">
        <w:trPr>
          <w:cantSplit/>
        </w:trPr>
        <w:tc>
          <w:tcPr>
            <w:tcW w:w="1016" w:type="pct"/>
            <w:tcBorders>
              <w:bottom w:val="single" w:sz="4" w:space="0" w:color="auto"/>
            </w:tcBorders>
            <w:tcMar>
              <w:top w:w="0" w:type="dxa"/>
              <w:left w:w="108" w:type="dxa"/>
              <w:bottom w:w="0" w:type="dxa"/>
              <w:right w:w="108" w:type="dxa"/>
            </w:tcMar>
            <w:hideMark/>
          </w:tcPr>
          <w:p w14:paraId="7F5B6752" w14:textId="5ADAE283" w:rsidR="00C46ADC" w:rsidRPr="00A43A52" w:rsidRDefault="00C46ADC" w:rsidP="00CC7090">
            <w:pPr>
              <w:pStyle w:val="TableText"/>
            </w:pPr>
            <w:r w:rsidRPr="00A43A52">
              <w:t>Microalgae</w:t>
            </w:r>
          </w:p>
        </w:tc>
        <w:tc>
          <w:tcPr>
            <w:tcW w:w="1094" w:type="pct"/>
            <w:tcBorders>
              <w:bottom w:val="single" w:sz="4" w:space="0" w:color="auto"/>
            </w:tcBorders>
            <w:tcMar>
              <w:top w:w="0" w:type="dxa"/>
              <w:left w:w="108" w:type="dxa"/>
              <w:bottom w:w="0" w:type="dxa"/>
              <w:right w:w="108" w:type="dxa"/>
            </w:tcMar>
            <w:hideMark/>
          </w:tcPr>
          <w:p w14:paraId="7097C326" w14:textId="77777777" w:rsidR="00C46ADC" w:rsidRPr="00A43A52" w:rsidRDefault="00C46ADC" w:rsidP="00CC7090">
            <w:pPr>
              <w:pStyle w:val="TableText"/>
            </w:pPr>
            <w:r w:rsidRPr="00A43A52">
              <w:t>Not applicable</w:t>
            </w:r>
          </w:p>
        </w:tc>
        <w:tc>
          <w:tcPr>
            <w:tcW w:w="2189" w:type="pct"/>
            <w:tcBorders>
              <w:bottom w:val="single" w:sz="4" w:space="0" w:color="auto"/>
            </w:tcBorders>
            <w:tcMar>
              <w:top w:w="0" w:type="dxa"/>
              <w:left w:w="108" w:type="dxa"/>
              <w:bottom w:w="0" w:type="dxa"/>
              <w:right w:w="108" w:type="dxa"/>
            </w:tcMar>
            <w:hideMark/>
          </w:tcPr>
          <w:p w14:paraId="09268D82" w14:textId="77777777" w:rsidR="00C46ADC" w:rsidRPr="00A43A52" w:rsidRDefault="00C46ADC" w:rsidP="00CC7090">
            <w:pPr>
              <w:pStyle w:val="TableText"/>
            </w:pPr>
            <w:r w:rsidRPr="00A43A52">
              <w:t>All</w:t>
            </w:r>
          </w:p>
        </w:tc>
        <w:tc>
          <w:tcPr>
            <w:tcW w:w="701" w:type="pct"/>
            <w:tcBorders>
              <w:bottom w:val="single" w:sz="4" w:space="0" w:color="auto"/>
            </w:tcBorders>
            <w:tcMar>
              <w:top w:w="0" w:type="dxa"/>
              <w:left w:w="108" w:type="dxa"/>
              <w:bottom w:w="0" w:type="dxa"/>
              <w:right w:w="108" w:type="dxa"/>
            </w:tcMar>
            <w:hideMark/>
          </w:tcPr>
          <w:p w14:paraId="270F5BB7" w14:textId="7784B63B" w:rsidR="00C46ADC" w:rsidRPr="00A43A52" w:rsidRDefault="00C46ADC" w:rsidP="00CC7090">
            <w:pPr>
              <w:pStyle w:val="TableText"/>
            </w:pPr>
            <w:r w:rsidRPr="00A43A52">
              <w:t>≤</w:t>
            </w:r>
            <w:r>
              <w:t xml:space="preserve"> </w:t>
            </w:r>
            <w:r w:rsidRPr="00A43A52">
              <w:t>24 h</w:t>
            </w:r>
          </w:p>
        </w:tc>
      </w:tr>
      <w:tr w:rsidR="00C46ADC" w:rsidRPr="0084041E" w14:paraId="64252FFB" w14:textId="77777777" w:rsidTr="00624B5A">
        <w:trPr>
          <w:cantSplit/>
        </w:trPr>
        <w:tc>
          <w:tcPr>
            <w:tcW w:w="1016" w:type="pct"/>
            <w:tcBorders>
              <w:bottom w:val="single" w:sz="4" w:space="0" w:color="auto"/>
            </w:tcBorders>
            <w:tcMar>
              <w:top w:w="0" w:type="dxa"/>
              <w:left w:w="108" w:type="dxa"/>
              <w:bottom w:w="0" w:type="dxa"/>
              <w:right w:w="108" w:type="dxa"/>
            </w:tcMar>
            <w:hideMark/>
          </w:tcPr>
          <w:p w14:paraId="57C6AEB2" w14:textId="2A823E83" w:rsidR="00C46ADC" w:rsidRPr="00A43A52" w:rsidRDefault="00C46ADC" w:rsidP="00CC7090">
            <w:pPr>
              <w:pStyle w:val="TableText"/>
            </w:pPr>
            <w:r w:rsidRPr="00A43A52">
              <w:t>Microorganisms</w:t>
            </w:r>
          </w:p>
        </w:tc>
        <w:tc>
          <w:tcPr>
            <w:tcW w:w="1094" w:type="pct"/>
            <w:tcBorders>
              <w:bottom w:val="single" w:sz="4" w:space="0" w:color="auto"/>
            </w:tcBorders>
            <w:tcMar>
              <w:top w:w="0" w:type="dxa"/>
              <w:left w:w="108" w:type="dxa"/>
              <w:bottom w:w="0" w:type="dxa"/>
              <w:right w:w="108" w:type="dxa"/>
            </w:tcMar>
            <w:hideMark/>
          </w:tcPr>
          <w:p w14:paraId="7C28C1AB" w14:textId="77777777" w:rsidR="00C46ADC" w:rsidRPr="00A43A52" w:rsidRDefault="00C46ADC" w:rsidP="00CC7090">
            <w:pPr>
              <w:pStyle w:val="TableText"/>
            </w:pPr>
            <w:r w:rsidRPr="00A43A52">
              <w:t>Not applicable</w:t>
            </w:r>
          </w:p>
        </w:tc>
        <w:tc>
          <w:tcPr>
            <w:tcW w:w="2189" w:type="pct"/>
            <w:tcBorders>
              <w:bottom w:val="single" w:sz="4" w:space="0" w:color="auto"/>
            </w:tcBorders>
            <w:tcMar>
              <w:top w:w="0" w:type="dxa"/>
              <w:left w:w="108" w:type="dxa"/>
              <w:bottom w:w="0" w:type="dxa"/>
              <w:right w:w="108" w:type="dxa"/>
            </w:tcMar>
            <w:hideMark/>
          </w:tcPr>
          <w:p w14:paraId="429AC99D" w14:textId="77777777" w:rsidR="00C46ADC" w:rsidRPr="00A43A52" w:rsidRDefault="00C46ADC" w:rsidP="00CC7090">
            <w:pPr>
              <w:pStyle w:val="TableText"/>
            </w:pPr>
            <w:r w:rsidRPr="00A43A52">
              <w:t>All</w:t>
            </w:r>
          </w:p>
        </w:tc>
        <w:tc>
          <w:tcPr>
            <w:tcW w:w="701" w:type="pct"/>
            <w:tcBorders>
              <w:bottom w:val="single" w:sz="4" w:space="0" w:color="auto"/>
            </w:tcBorders>
            <w:tcMar>
              <w:top w:w="0" w:type="dxa"/>
              <w:left w:w="108" w:type="dxa"/>
              <w:bottom w:w="0" w:type="dxa"/>
              <w:right w:w="108" w:type="dxa"/>
            </w:tcMar>
            <w:hideMark/>
          </w:tcPr>
          <w:p w14:paraId="473555B1" w14:textId="307ADAF6" w:rsidR="00C46ADC" w:rsidRPr="00A43A52" w:rsidRDefault="00C46ADC" w:rsidP="00CC7090">
            <w:pPr>
              <w:pStyle w:val="TableText"/>
            </w:pPr>
            <w:r w:rsidRPr="00A43A52">
              <w:t>≤</w:t>
            </w:r>
            <w:r>
              <w:t xml:space="preserve"> </w:t>
            </w:r>
            <w:r w:rsidRPr="00A43A52">
              <w:t>24 h</w:t>
            </w:r>
          </w:p>
        </w:tc>
      </w:tr>
      <w:tr w:rsidR="00C46ADC" w:rsidRPr="0084041E" w14:paraId="210B8D2E" w14:textId="39EDD2E8" w:rsidTr="00AC32DA">
        <w:trPr>
          <w:cantSplit/>
        </w:trPr>
        <w:tc>
          <w:tcPr>
            <w:tcW w:w="5000" w:type="pct"/>
            <w:gridSpan w:val="4"/>
            <w:tcBorders>
              <w:top w:val="single" w:sz="4" w:space="0" w:color="auto"/>
              <w:bottom w:val="single" w:sz="4" w:space="0" w:color="auto"/>
            </w:tcBorders>
            <w:tcMar>
              <w:top w:w="0" w:type="dxa"/>
              <w:left w:w="108" w:type="dxa"/>
              <w:bottom w:w="0" w:type="dxa"/>
              <w:right w:w="108" w:type="dxa"/>
            </w:tcMar>
            <w:hideMark/>
          </w:tcPr>
          <w:p w14:paraId="01AE915F" w14:textId="26AC455D" w:rsidR="00C46ADC" w:rsidRPr="00E027BC" w:rsidRDefault="00C46ADC" w:rsidP="00CC7090">
            <w:pPr>
              <w:pStyle w:val="TableText"/>
              <w:rPr>
                <w:b/>
                <w:bCs/>
              </w:rPr>
            </w:pPr>
            <w:r w:rsidRPr="00E027BC">
              <w:rPr>
                <w:b/>
                <w:bCs/>
              </w:rPr>
              <w:t>Chronic toxicity</w:t>
            </w:r>
          </w:p>
        </w:tc>
      </w:tr>
      <w:tr w:rsidR="00B86083" w:rsidRPr="0084041E" w14:paraId="35972038" w14:textId="77777777" w:rsidTr="00624B5A">
        <w:trPr>
          <w:cantSplit/>
        </w:trPr>
        <w:tc>
          <w:tcPr>
            <w:tcW w:w="1016" w:type="pct"/>
            <w:vMerge w:val="restart"/>
            <w:tcBorders>
              <w:top w:val="single" w:sz="4" w:space="0" w:color="auto"/>
            </w:tcBorders>
            <w:tcMar>
              <w:top w:w="0" w:type="dxa"/>
              <w:left w:w="108" w:type="dxa"/>
              <w:bottom w:w="0" w:type="dxa"/>
              <w:right w:w="108" w:type="dxa"/>
            </w:tcMar>
            <w:hideMark/>
          </w:tcPr>
          <w:p w14:paraId="5333E2DF" w14:textId="56BFD07F" w:rsidR="00B86083" w:rsidRPr="00A43A52" w:rsidRDefault="00B86083" w:rsidP="00CC7090">
            <w:pPr>
              <w:pStyle w:val="TableText"/>
            </w:pPr>
            <w:r w:rsidRPr="00A43A52">
              <w:t>Fish and amphibians</w:t>
            </w:r>
          </w:p>
        </w:tc>
        <w:tc>
          <w:tcPr>
            <w:tcW w:w="1094" w:type="pct"/>
            <w:tcBorders>
              <w:top w:val="single" w:sz="4" w:space="0" w:color="auto"/>
              <w:bottom w:val="single" w:sz="4" w:space="0" w:color="auto"/>
            </w:tcBorders>
            <w:tcMar>
              <w:top w:w="0" w:type="dxa"/>
              <w:left w:w="108" w:type="dxa"/>
              <w:bottom w:w="0" w:type="dxa"/>
              <w:right w:w="108" w:type="dxa"/>
            </w:tcMar>
            <w:hideMark/>
          </w:tcPr>
          <w:p w14:paraId="08936898" w14:textId="40D820CA" w:rsidR="00B86083" w:rsidRPr="00A43A52" w:rsidRDefault="00B86083" w:rsidP="00CC7090">
            <w:pPr>
              <w:pStyle w:val="TableText"/>
            </w:pPr>
            <w:r w:rsidRPr="00A43A52">
              <w:t>Adults</w:t>
            </w:r>
            <w:r>
              <w:t xml:space="preserve">, </w:t>
            </w:r>
            <w:r w:rsidRPr="00A43A52">
              <w:t>juveniles</w:t>
            </w:r>
          </w:p>
        </w:tc>
        <w:tc>
          <w:tcPr>
            <w:tcW w:w="2189" w:type="pct"/>
            <w:tcBorders>
              <w:top w:val="single" w:sz="4" w:space="0" w:color="auto"/>
              <w:bottom w:val="single" w:sz="4" w:space="0" w:color="auto"/>
            </w:tcBorders>
            <w:tcMar>
              <w:top w:w="0" w:type="dxa"/>
              <w:left w:w="108" w:type="dxa"/>
              <w:bottom w:w="0" w:type="dxa"/>
              <w:right w:w="108" w:type="dxa"/>
            </w:tcMar>
            <w:hideMark/>
          </w:tcPr>
          <w:p w14:paraId="1A20520F" w14:textId="77777777" w:rsidR="00B86083" w:rsidRPr="00A43A52" w:rsidRDefault="00B86083" w:rsidP="00CC7090">
            <w:pPr>
              <w:pStyle w:val="TableText"/>
            </w:pPr>
            <w:r w:rsidRPr="00A43A52">
              <w:t>All</w:t>
            </w:r>
            <w:r w:rsidRPr="009F70AE">
              <w:rPr>
                <w:vertAlign w:val="superscript"/>
              </w:rPr>
              <w:t>f</w:t>
            </w:r>
          </w:p>
        </w:tc>
        <w:tc>
          <w:tcPr>
            <w:tcW w:w="701" w:type="pct"/>
            <w:tcBorders>
              <w:top w:val="single" w:sz="4" w:space="0" w:color="auto"/>
              <w:bottom w:val="single" w:sz="4" w:space="0" w:color="auto"/>
            </w:tcBorders>
            <w:tcMar>
              <w:top w:w="0" w:type="dxa"/>
              <w:left w:w="108" w:type="dxa"/>
              <w:bottom w:w="0" w:type="dxa"/>
              <w:right w:w="108" w:type="dxa"/>
            </w:tcMar>
            <w:hideMark/>
          </w:tcPr>
          <w:p w14:paraId="64F8BDD2" w14:textId="582B25D2" w:rsidR="00B86083" w:rsidRPr="00A43A52" w:rsidRDefault="00B86083" w:rsidP="00CC7090">
            <w:pPr>
              <w:pStyle w:val="TableText"/>
            </w:pPr>
            <w:r w:rsidRPr="00A43A52">
              <w:t>≥</w:t>
            </w:r>
            <w:r>
              <w:t xml:space="preserve"> </w:t>
            </w:r>
            <w:r w:rsidRPr="00A43A52">
              <w:t>21 d</w:t>
            </w:r>
          </w:p>
        </w:tc>
      </w:tr>
      <w:tr w:rsidR="00B86083" w:rsidRPr="0084041E" w14:paraId="1CDC616D" w14:textId="77777777" w:rsidTr="00624B5A">
        <w:trPr>
          <w:cantSplit/>
        </w:trPr>
        <w:tc>
          <w:tcPr>
            <w:tcW w:w="1016" w:type="pct"/>
            <w:vMerge/>
            <w:tcBorders>
              <w:bottom w:val="single" w:sz="4" w:space="0" w:color="auto"/>
            </w:tcBorders>
            <w:tcMar>
              <w:top w:w="0" w:type="dxa"/>
              <w:left w:w="108" w:type="dxa"/>
              <w:bottom w:w="0" w:type="dxa"/>
              <w:right w:w="108" w:type="dxa"/>
            </w:tcMar>
          </w:tcPr>
          <w:p w14:paraId="4649C015" w14:textId="46FF0CC0" w:rsidR="00B86083" w:rsidRPr="00A43A52" w:rsidRDefault="00B86083" w:rsidP="00CD6AD5">
            <w:pPr>
              <w:pStyle w:val="TableText"/>
            </w:pPr>
          </w:p>
        </w:tc>
        <w:tc>
          <w:tcPr>
            <w:tcW w:w="1094" w:type="pct"/>
            <w:tcBorders>
              <w:top w:val="single" w:sz="4" w:space="0" w:color="auto"/>
              <w:bottom w:val="single" w:sz="4" w:space="0" w:color="auto"/>
            </w:tcBorders>
            <w:tcMar>
              <w:top w:w="0" w:type="dxa"/>
              <w:left w:w="108" w:type="dxa"/>
              <w:bottom w:w="0" w:type="dxa"/>
              <w:right w:w="108" w:type="dxa"/>
            </w:tcMar>
          </w:tcPr>
          <w:p w14:paraId="165AB6C7" w14:textId="4E8D3B9B" w:rsidR="00B86083" w:rsidRPr="00A43A52" w:rsidRDefault="00B86083" w:rsidP="00CD6AD5">
            <w:pPr>
              <w:pStyle w:val="TableText"/>
            </w:pPr>
            <w:r w:rsidRPr="00A43A52">
              <w:t>Embryos</w:t>
            </w:r>
            <w:r>
              <w:t xml:space="preserve">, </w:t>
            </w:r>
            <w:r w:rsidRPr="00A43A52">
              <w:t>larvae</w:t>
            </w:r>
          </w:p>
        </w:tc>
        <w:tc>
          <w:tcPr>
            <w:tcW w:w="2189" w:type="pct"/>
            <w:tcBorders>
              <w:top w:val="single" w:sz="4" w:space="0" w:color="auto"/>
              <w:bottom w:val="single" w:sz="4" w:space="0" w:color="auto"/>
            </w:tcBorders>
            <w:tcMar>
              <w:top w:w="0" w:type="dxa"/>
              <w:left w:w="108" w:type="dxa"/>
              <w:bottom w:w="0" w:type="dxa"/>
              <w:right w:w="108" w:type="dxa"/>
            </w:tcMar>
          </w:tcPr>
          <w:p w14:paraId="3122BF45" w14:textId="047889A2" w:rsidR="00B86083" w:rsidRPr="00A43A52" w:rsidRDefault="00B86083" w:rsidP="00CD6AD5">
            <w:pPr>
              <w:pStyle w:val="TableText"/>
            </w:pPr>
            <w:r w:rsidRPr="00A43A52">
              <w:t>All</w:t>
            </w:r>
          </w:p>
        </w:tc>
        <w:tc>
          <w:tcPr>
            <w:tcW w:w="701" w:type="pct"/>
            <w:tcBorders>
              <w:top w:val="single" w:sz="4" w:space="0" w:color="auto"/>
              <w:bottom w:val="single" w:sz="4" w:space="0" w:color="auto"/>
            </w:tcBorders>
            <w:tcMar>
              <w:top w:w="0" w:type="dxa"/>
              <w:left w:w="108" w:type="dxa"/>
              <w:bottom w:w="0" w:type="dxa"/>
              <w:right w:w="108" w:type="dxa"/>
            </w:tcMar>
          </w:tcPr>
          <w:p w14:paraId="1D107EC7" w14:textId="1F44AC26" w:rsidR="00B86083" w:rsidRPr="00A43A52" w:rsidRDefault="00B86083" w:rsidP="00CD6AD5">
            <w:pPr>
              <w:pStyle w:val="TableText"/>
            </w:pPr>
            <w:r w:rsidRPr="00A43A52">
              <w:t>≥</w:t>
            </w:r>
            <w:r>
              <w:t xml:space="preserve"> </w:t>
            </w:r>
            <w:r w:rsidRPr="00A43A52">
              <w:t>7 d</w:t>
            </w:r>
          </w:p>
        </w:tc>
      </w:tr>
      <w:tr w:rsidR="00B86083" w:rsidRPr="0084041E" w14:paraId="44007808" w14:textId="77777777" w:rsidTr="00624B5A">
        <w:trPr>
          <w:cantSplit/>
        </w:trPr>
        <w:tc>
          <w:tcPr>
            <w:tcW w:w="1016" w:type="pct"/>
            <w:vMerge w:val="restart"/>
            <w:tcMar>
              <w:top w:w="0" w:type="dxa"/>
              <w:left w:w="108" w:type="dxa"/>
              <w:bottom w:w="0" w:type="dxa"/>
              <w:right w:w="108" w:type="dxa"/>
            </w:tcMar>
            <w:hideMark/>
          </w:tcPr>
          <w:p w14:paraId="1351E75C" w14:textId="3866EEEA" w:rsidR="00B86083" w:rsidRPr="00A43A52" w:rsidRDefault="00B86083" w:rsidP="00CD6AD5">
            <w:pPr>
              <w:pStyle w:val="TableText"/>
            </w:pPr>
            <w:r w:rsidRPr="00A43A52">
              <w:t>Macroinvertebrates</w:t>
            </w:r>
          </w:p>
        </w:tc>
        <w:tc>
          <w:tcPr>
            <w:tcW w:w="1094" w:type="pct"/>
            <w:tcBorders>
              <w:bottom w:val="single" w:sz="4" w:space="0" w:color="auto"/>
            </w:tcBorders>
            <w:tcMar>
              <w:top w:w="0" w:type="dxa"/>
              <w:left w:w="108" w:type="dxa"/>
              <w:bottom w:w="0" w:type="dxa"/>
              <w:right w:w="108" w:type="dxa"/>
            </w:tcMar>
            <w:hideMark/>
          </w:tcPr>
          <w:p w14:paraId="48258160" w14:textId="5FFA985B" w:rsidR="00B86083" w:rsidRPr="00A43A52" w:rsidRDefault="00B86083" w:rsidP="00CD6AD5">
            <w:pPr>
              <w:pStyle w:val="TableText"/>
            </w:pPr>
            <w:r w:rsidRPr="00A43A52">
              <w:t>Adults</w:t>
            </w:r>
            <w:r>
              <w:t xml:space="preserve">, </w:t>
            </w:r>
            <w:r w:rsidRPr="00A43A52">
              <w:t>juveniles</w:t>
            </w:r>
          </w:p>
        </w:tc>
        <w:tc>
          <w:tcPr>
            <w:tcW w:w="2189" w:type="pct"/>
            <w:tcBorders>
              <w:bottom w:val="single" w:sz="4" w:space="0" w:color="auto"/>
            </w:tcBorders>
            <w:tcMar>
              <w:top w:w="0" w:type="dxa"/>
              <w:left w:w="108" w:type="dxa"/>
              <w:bottom w:w="0" w:type="dxa"/>
              <w:right w:w="108" w:type="dxa"/>
            </w:tcMar>
            <w:hideMark/>
          </w:tcPr>
          <w:p w14:paraId="61E10841" w14:textId="251BCC43" w:rsidR="00B86083" w:rsidRPr="00A43A52" w:rsidRDefault="00B86083" w:rsidP="00CD6AD5">
            <w:pPr>
              <w:pStyle w:val="TableText"/>
            </w:pPr>
            <w:r w:rsidRPr="00A43A52">
              <w:t>All (except reproduction, larval development</w:t>
            </w:r>
            <w:r>
              <w:t xml:space="preserve">, </w:t>
            </w:r>
            <w:r w:rsidRPr="00A43A52">
              <w:t>metamorphosis</w:t>
            </w:r>
            <w:r>
              <w:t xml:space="preserve">, </w:t>
            </w:r>
            <w:r w:rsidRPr="00A43A52">
              <w:t>fertilisation – see below)</w:t>
            </w:r>
          </w:p>
        </w:tc>
        <w:tc>
          <w:tcPr>
            <w:tcW w:w="701" w:type="pct"/>
            <w:tcBorders>
              <w:bottom w:val="single" w:sz="4" w:space="0" w:color="auto"/>
            </w:tcBorders>
            <w:tcMar>
              <w:top w:w="0" w:type="dxa"/>
              <w:left w:w="108" w:type="dxa"/>
              <w:bottom w:w="0" w:type="dxa"/>
              <w:right w:w="108" w:type="dxa"/>
            </w:tcMar>
            <w:hideMark/>
          </w:tcPr>
          <w:p w14:paraId="1106914A" w14:textId="49C36615" w:rsidR="00B86083" w:rsidRPr="00A43A52" w:rsidRDefault="00B86083" w:rsidP="00CD6AD5">
            <w:pPr>
              <w:pStyle w:val="TableText"/>
            </w:pPr>
            <w:r w:rsidRPr="00A43A52">
              <w:t>≥</w:t>
            </w:r>
            <w:r>
              <w:t xml:space="preserve"> </w:t>
            </w:r>
            <w:r w:rsidRPr="00A43A52">
              <w:t>14 d</w:t>
            </w:r>
          </w:p>
        </w:tc>
      </w:tr>
      <w:tr w:rsidR="00B86083" w:rsidRPr="0084041E" w14:paraId="649B1A34" w14:textId="77777777" w:rsidTr="00624B5A">
        <w:trPr>
          <w:cantSplit/>
        </w:trPr>
        <w:tc>
          <w:tcPr>
            <w:tcW w:w="1016" w:type="pct"/>
            <w:vMerge/>
            <w:tcMar>
              <w:top w:w="0" w:type="dxa"/>
              <w:left w:w="108" w:type="dxa"/>
              <w:bottom w:w="0" w:type="dxa"/>
              <w:right w:w="108" w:type="dxa"/>
            </w:tcMar>
          </w:tcPr>
          <w:p w14:paraId="5EFDAB71" w14:textId="7CBC4055" w:rsidR="00B86083" w:rsidRPr="00A43A52" w:rsidRDefault="00B86083" w:rsidP="00CD6AD5">
            <w:pPr>
              <w:pStyle w:val="TableText"/>
            </w:pPr>
          </w:p>
        </w:tc>
        <w:tc>
          <w:tcPr>
            <w:tcW w:w="1094" w:type="pct"/>
            <w:tcBorders>
              <w:bottom w:val="single" w:sz="4" w:space="0" w:color="auto"/>
            </w:tcBorders>
            <w:tcMar>
              <w:top w:w="0" w:type="dxa"/>
              <w:left w:w="108" w:type="dxa"/>
              <w:bottom w:w="0" w:type="dxa"/>
              <w:right w:w="108" w:type="dxa"/>
            </w:tcMar>
          </w:tcPr>
          <w:p w14:paraId="44A6FC45" w14:textId="0621DEF0" w:rsidR="00B86083" w:rsidRPr="00A43A52" w:rsidRDefault="00B86083" w:rsidP="00CD6AD5">
            <w:pPr>
              <w:pStyle w:val="TableText"/>
            </w:pPr>
            <w:r w:rsidRPr="00A43A52">
              <w:t>Embryos</w:t>
            </w:r>
            <w:r>
              <w:t xml:space="preserve">, </w:t>
            </w:r>
            <w:r w:rsidRPr="00A43A52">
              <w:t>larvae</w:t>
            </w:r>
          </w:p>
        </w:tc>
        <w:tc>
          <w:tcPr>
            <w:tcW w:w="2189" w:type="pct"/>
            <w:tcBorders>
              <w:bottom w:val="single" w:sz="4" w:space="0" w:color="auto"/>
            </w:tcBorders>
            <w:tcMar>
              <w:top w:w="0" w:type="dxa"/>
              <w:left w:w="108" w:type="dxa"/>
              <w:bottom w:w="0" w:type="dxa"/>
              <w:right w:w="108" w:type="dxa"/>
            </w:tcMar>
          </w:tcPr>
          <w:p w14:paraId="5528C453" w14:textId="4D79DE21" w:rsidR="00B86083" w:rsidRPr="00A43A52" w:rsidRDefault="00B86083" w:rsidP="00CD6AD5">
            <w:pPr>
              <w:pStyle w:val="TableText"/>
            </w:pPr>
            <w:r w:rsidRPr="00A43A52">
              <w:t>All (except reproduction, larval development</w:t>
            </w:r>
            <w:r>
              <w:t xml:space="preserve">, </w:t>
            </w:r>
            <w:r w:rsidRPr="00A43A52">
              <w:t>metamorphosis</w:t>
            </w:r>
            <w:r>
              <w:t xml:space="preserve">, </w:t>
            </w:r>
            <w:r w:rsidRPr="00A43A52">
              <w:t>fertilisation – see below)</w:t>
            </w:r>
          </w:p>
        </w:tc>
        <w:tc>
          <w:tcPr>
            <w:tcW w:w="701" w:type="pct"/>
            <w:tcBorders>
              <w:bottom w:val="single" w:sz="4" w:space="0" w:color="auto"/>
            </w:tcBorders>
            <w:tcMar>
              <w:top w:w="0" w:type="dxa"/>
              <w:left w:w="108" w:type="dxa"/>
              <w:bottom w:w="0" w:type="dxa"/>
              <w:right w:w="108" w:type="dxa"/>
            </w:tcMar>
          </w:tcPr>
          <w:p w14:paraId="18007527" w14:textId="40D4E5DC" w:rsidR="00B86083" w:rsidRPr="00A43A52" w:rsidRDefault="00B86083" w:rsidP="00CD6AD5">
            <w:pPr>
              <w:pStyle w:val="TableText"/>
            </w:pPr>
            <w:r w:rsidRPr="00A43A52">
              <w:t>≥</w:t>
            </w:r>
            <w:r>
              <w:t xml:space="preserve"> </w:t>
            </w:r>
            <w:r w:rsidRPr="00A43A52">
              <w:t>7 d</w:t>
            </w:r>
          </w:p>
        </w:tc>
      </w:tr>
      <w:tr w:rsidR="00B86083" w:rsidRPr="0084041E" w14:paraId="68E332AD" w14:textId="77777777" w:rsidTr="00624B5A">
        <w:trPr>
          <w:cantSplit/>
        </w:trPr>
        <w:tc>
          <w:tcPr>
            <w:tcW w:w="1016" w:type="pct"/>
            <w:vMerge/>
            <w:tcMar>
              <w:top w:w="0" w:type="dxa"/>
              <w:left w:w="108" w:type="dxa"/>
              <w:bottom w:w="0" w:type="dxa"/>
              <w:right w:w="108" w:type="dxa"/>
            </w:tcMar>
          </w:tcPr>
          <w:p w14:paraId="664FD176" w14:textId="334DA9F1" w:rsidR="00B86083" w:rsidRPr="00A43A52" w:rsidRDefault="00B86083" w:rsidP="00CD6AD5">
            <w:pPr>
              <w:pStyle w:val="TableText"/>
            </w:pPr>
          </w:p>
        </w:tc>
        <w:tc>
          <w:tcPr>
            <w:tcW w:w="1094" w:type="pct"/>
            <w:tcBorders>
              <w:bottom w:val="single" w:sz="4" w:space="0" w:color="auto"/>
            </w:tcBorders>
            <w:tcMar>
              <w:top w:w="0" w:type="dxa"/>
              <w:left w:w="108" w:type="dxa"/>
              <w:bottom w:w="0" w:type="dxa"/>
              <w:right w:w="108" w:type="dxa"/>
            </w:tcMar>
          </w:tcPr>
          <w:p w14:paraId="1F239A20" w14:textId="6143E371" w:rsidR="00B86083" w:rsidRPr="00A43A52" w:rsidRDefault="00B86083" w:rsidP="00CD6AD5">
            <w:pPr>
              <w:pStyle w:val="TableText"/>
            </w:pPr>
            <w:r w:rsidRPr="00A43A52">
              <w:t>Adults</w:t>
            </w:r>
            <w:r>
              <w:t xml:space="preserve">, </w:t>
            </w:r>
            <w:r w:rsidRPr="00A43A52">
              <w:t>juveniles</w:t>
            </w:r>
            <w:r>
              <w:t xml:space="preserve">, </w:t>
            </w:r>
            <w:r w:rsidRPr="00A43A52">
              <w:t>larvae</w:t>
            </w:r>
          </w:p>
        </w:tc>
        <w:tc>
          <w:tcPr>
            <w:tcW w:w="2189" w:type="pct"/>
            <w:tcBorders>
              <w:bottom w:val="single" w:sz="4" w:space="0" w:color="auto"/>
            </w:tcBorders>
            <w:tcMar>
              <w:top w:w="0" w:type="dxa"/>
              <w:left w:w="108" w:type="dxa"/>
              <w:bottom w:w="0" w:type="dxa"/>
              <w:right w:w="108" w:type="dxa"/>
            </w:tcMar>
          </w:tcPr>
          <w:p w14:paraId="33DC7393" w14:textId="315EC689" w:rsidR="00B86083" w:rsidRPr="00A43A52" w:rsidRDefault="00B86083" w:rsidP="00CD6AD5">
            <w:pPr>
              <w:pStyle w:val="TableText"/>
            </w:pPr>
            <w:r w:rsidRPr="00A43A52">
              <w:t>Reproduction</w:t>
            </w:r>
          </w:p>
        </w:tc>
        <w:tc>
          <w:tcPr>
            <w:tcW w:w="701" w:type="pct"/>
            <w:tcBorders>
              <w:bottom w:val="single" w:sz="4" w:space="0" w:color="auto"/>
            </w:tcBorders>
            <w:tcMar>
              <w:top w:w="0" w:type="dxa"/>
              <w:left w:w="108" w:type="dxa"/>
              <w:bottom w:w="0" w:type="dxa"/>
              <w:right w:w="108" w:type="dxa"/>
            </w:tcMar>
          </w:tcPr>
          <w:p w14:paraId="2B4A9FDA" w14:textId="696787D5" w:rsidR="00B86083" w:rsidRPr="00A43A52" w:rsidRDefault="00B86083" w:rsidP="00CD6AD5">
            <w:pPr>
              <w:pStyle w:val="TableText"/>
            </w:pPr>
            <w:r w:rsidRPr="00A43A52">
              <w:t>≥</w:t>
            </w:r>
            <w:r>
              <w:t xml:space="preserve"> </w:t>
            </w:r>
            <w:r w:rsidRPr="00A43A52">
              <w:t>14 d (or ≥</w:t>
            </w:r>
            <w:r>
              <w:t xml:space="preserve"> </w:t>
            </w:r>
            <w:r w:rsidRPr="00A43A52">
              <w:t>3 broods for large cladocerans)</w:t>
            </w:r>
          </w:p>
        </w:tc>
      </w:tr>
      <w:tr w:rsidR="00B86083" w:rsidRPr="0084041E" w14:paraId="37C26F36" w14:textId="77777777" w:rsidTr="00624B5A">
        <w:trPr>
          <w:cantSplit/>
        </w:trPr>
        <w:tc>
          <w:tcPr>
            <w:tcW w:w="1016" w:type="pct"/>
            <w:vMerge/>
            <w:tcMar>
              <w:top w:w="0" w:type="dxa"/>
              <w:left w:w="108" w:type="dxa"/>
              <w:bottom w:w="0" w:type="dxa"/>
              <w:right w:w="108" w:type="dxa"/>
            </w:tcMar>
          </w:tcPr>
          <w:p w14:paraId="508AA1D5" w14:textId="2A26A6DB" w:rsidR="00B86083" w:rsidRPr="00A43A52" w:rsidRDefault="00B86083" w:rsidP="00CD6AD5">
            <w:pPr>
              <w:pStyle w:val="TableText"/>
            </w:pPr>
          </w:p>
        </w:tc>
        <w:tc>
          <w:tcPr>
            <w:tcW w:w="1094" w:type="pct"/>
            <w:tcBorders>
              <w:bottom w:val="single" w:sz="4" w:space="0" w:color="auto"/>
            </w:tcBorders>
            <w:tcMar>
              <w:top w:w="0" w:type="dxa"/>
              <w:left w:w="108" w:type="dxa"/>
              <w:bottom w:w="0" w:type="dxa"/>
              <w:right w:w="108" w:type="dxa"/>
            </w:tcMar>
          </w:tcPr>
          <w:p w14:paraId="716F455D" w14:textId="1C7820D2" w:rsidR="00B86083" w:rsidRPr="00A43A52" w:rsidRDefault="00B86083" w:rsidP="00CD6AD5">
            <w:pPr>
              <w:pStyle w:val="TableText"/>
            </w:pPr>
            <w:r w:rsidRPr="00A43A52">
              <w:t>Embryos</w:t>
            </w:r>
          </w:p>
        </w:tc>
        <w:tc>
          <w:tcPr>
            <w:tcW w:w="2189" w:type="pct"/>
            <w:tcBorders>
              <w:bottom w:val="single" w:sz="4" w:space="0" w:color="auto"/>
            </w:tcBorders>
            <w:tcMar>
              <w:top w:w="0" w:type="dxa"/>
              <w:left w:w="108" w:type="dxa"/>
              <w:bottom w:w="0" w:type="dxa"/>
              <w:right w:w="108" w:type="dxa"/>
            </w:tcMar>
          </w:tcPr>
          <w:p w14:paraId="54C4EA95" w14:textId="04129CE6" w:rsidR="00B86083" w:rsidRPr="00A43A52" w:rsidRDefault="00B86083" w:rsidP="00CD6AD5">
            <w:pPr>
              <w:pStyle w:val="TableText"/>
            </w:pPr>
            <w:r w:rsidRPr="00A43A52">
              <w:t>Larval development</w:t>
            </w:r>
            <w:r>
              <w:t xml:space="preserve">, </w:t>
            </w:r>
            <w:r w:rsidRPr="00A43A52">
              <w:t>metamorphosis</w:t>
            </w:r>
          </w:p>
        </w:tc>
        <w:tc>
          <w:tcPr>
            <w:tcW w:w="701" w:type="pct"/>
            <w:tcBorders>
              <w:bottom w:val="single" w:sz="4" w:space="0" w:color="auto"/>
            </w:tcBorders>
            <w:tcMar>
              <w:top w:w="0" w:type="dxa"/>
              <w:left w:w="108" w:type="dxa"/>
              <w:bottom w:w="0" w:type="dxa"/>
              <w:right w:w="108" w:type="dxa"/>
            </w:tcMar>
          </w:tcPr>
          <w:p w14:paraId="21684241" w14:textId="365672F2" w:rsidR="00B86083" w:rsidRPr="00A43A52" w:rsidRDefault="00B86083" w:rsidP="00CD6AD5">
            <w:pPr>
              <w:pStyle w:val="TableText"/>
            </w:pPr>
            <w:r w:rsidRPr="00A43A52">
              <w:t>≥</w:t>
            </w:r>
            <w:r>
              <w:t xml:space="preserve"> </w:t>
            </w:r>
            <w:r w:rsidRPr="00A43A52">
              <w:t>48 h</w:t>
            </w:r>
          </w:p>
        </w:tc>
      </w:tr>
      <w:tr w:rsidR="00B86083" w:rsidRPr="0084041E" w14:paraId="47DF50D8" w14:textId="77777777" w:rsidTr="00624B5A">
        <w:trPr>
          <w:cantSplit/>
        </w:trPr>
        <w:tc>
          <w:tcPr>
            <w:tcW w:w="1016" w:type="pct"/>
            <w:vMerge/>
            <w:tcBorders>
              <w:bottom w:val="single" w:sz="4" w:space="0" w:color="auto"/>
            </w:tcBorders>
            <w:tcMar>
              <w:top w:w="0" w:type="dxa"/>
              <w:left w:w="108" w:type="dxa"/>
              <w:bottom w:w="0" w:type="dxa"/>
              <w:right w:w="108" w:type="dxa"/>
            </w:tcMar>
          </w:tcPr>
          <w:p w14:paraId="5D308533" w14:textId="2F9B6299" w:rsidR="00B86083" w:rsidRPr="00A43A52" w:rsidRDefault="00B86083" w:rsidP="00CD6AD5">
            <w:pPr>
              <w:pStyle w:val="TableText"/>
            </w:pPr>
          </w:p>
        </w:tc>
        <w:tc>
          <w:tcPr>
            <w:tcW w:w="1094" w:type="pct"/>
            <w:tcBorders>
              <w:bottom w:val="single" w:sz="4" w:space="0" w:color="auto"/>
            </w:tcBorders>
            <w:tcMar>
              <w:top w:w="0" w:type="dxa"/>
              <w:left w:w="108" w:type="dxa"/>
              <w:bottom w:w="0" w:type="dxa"/>
              <w:right w:w="108" w:type="dxa"/>
            </w:tcMar>
          </w:tcPr>
          <w:p w14:paraId="2972F009" w14:textId="69B2E919" w:rsidR="00B86083" w:rsidRPr="00A43A52" w:rsidRDefault="00B86083" w:rsidP="00CD6AD5">
            <w:pPr>
              <w:pStyle w:val="TableText"/>
            </w:pPr>
            <w:r w:rsidRPr="00A43A52">
              <w:t>Gametes</w:t>
            </w:r>
          </w:p>
        </w:tc>
        <w:tc>
          <w:tcPr>
            <w:tcW w:w="2189" w:type="pct"/>
            <w:tcBorders>
              <w:bottom w:val="single" w:sz="4" w:space="0" w:color="auto"/>
            </w:tcBorders>
            <w:tcMar>
              <w:top w:w="0" w:type="dxa"/>
              <w:left w:w="108" w:type="dxa"/>
              <w:bottom w:w="0" w:type="dxa"/>
              <w:right w:w="108" w:type="dxa"/>
            </w:tcMar>
          </w:tcPr>
          <w:p w14:paraId="396F626F" w14:textId="0FA561D1" w:rsidR="00B86083" w:rsidRPr="00A43A52" w:rsidRDefault="00B86083" w:rsidP="00CD6AD5">
            <w:pPr>
              <w:pStyle w:val="TableText"/>
            </w:pPr>
            <w:r w:rsidRPr="00A43A52">
              <w:t>Embryo fertilisation</w:t>
            </w:r>
          </w:p>
        </w:tc>
        <w:tc>
          <w:tcPr>
            <w:tcW w:w="701" w:type="pct"/>
            <w:tcBorders>
              <w:bottom w:val="single" w:sz="4" w:space="0" w:color="auto"/>
            </w:tcBorders>
            <w:tcMar>
              <w:top w:w="0" w:type="dxa"/>
              <w:left w:w="108" w:type="dxa"/>
              <w:bottom w:w="0" w:type="dxa"/>
              <w:right w:w="108" w:type="dxa"/>
            </w:tcMar>
          </w:tcPr>
          <w:p w14:paraId="01201C03" w14:textId="6AFB1483" w:rsidR="00B86083" w:rsidRPr="00A43A52" w:rsidRDefault="00B86083" w:rsidP="00CD6AD5">
            <w:pPr>
              <w:pStyle w:val="TableText"/>
            </w:pPr>
            <w:r w:rsidRPr="00A43A52">
              <w:t>≥</w:t>
            </w:r>
            <w:r>
              <w:t xml:space="preserve"> </w:t>
            </w:r>
            <w:r w:rsidRPr="00A43A52">
              <w:t>1 h</w:t>
            </w:r>
          </w:p>
        </w:tc>
      </w:tr>
      <w:tr w:rsidR="00B86083" w:rsidRPr="0084041E" w14:paraId="12F20493" w14:textId="77777777" w:rsidTr="00624B5A">
        <w:trPr>
          <w:cantSplit/>
        </w:trPr>
        <w:tc>
          <w:tcPr>
            <w:tcW w:w="1016" w:type="pct"/>
            <w:vMerge w:val="restart"/>
            <w:tcMar>
              <w:top w:w="0" w:type="dxa"/>
              <w:left w:w="108" w:type="dxa"/>
              <w:bottom w:w="0" w:type="dxa"/>
              <w:right w:w="108" w:type="dxa"/>
            </w:tcMar>
            <w:hideMark/>
          </w:tcPr>
          <w:p w14:paraId="06393F18" w14:textId="280C36B3" w:rsidR="00B86083" w:rsidRPr="00A43A52" w:rsidRDefault="00B86083" w:rsidP="00CD6AD5">
            <w:pPr>
              <w:pStyle w:val="TableText"/>
            </w:pPr>
            <w:r w:rsidRPr="00A43A52">
              <w:t>Microinvertebrates</w:t>
            </w:r>
          </w:p>
        </w:tc>
        <w:tc>
          <w:tcPr>
            <w:tcW w:w="1094" w:type="pct"/>
            <w:tcBorders>
              <w:bottom w:val="single" w:sz="4" w:space="0" w:color="auto"/>
            </w:tcBorders>
            <w:tcMar>
              <w:top w:w="0" w:type="dxa"/>
              <w:left w:w="108" w:type="dxa"/>
              <w:bottom w:w="0" w:type="dxa"/>
              <w:right w:w="108" w:type="dxa"/>
            </w:tcMar>
            <w:hideMark/>
          </w:tcPr>
          <w:p w14:paraId="5D3639E8" w14:textId="0D012430" w:rsidR="00B86083" w:rsidRPr="00A43A52" w:rsidRDefault="00B86083" w:rsidP="00CD6AD5">
            <w:pPr>
              <w:pStyle w:val="TableText"/>
            </w:pPr>
            <w:r w:rsidRPr="00A43A52">
              <w:t>Adults</w:t>
            </w:r>
            <w:r>
              <w:t xml:space="preserve">, </w:t>
            </w:r>
            <w:r w:rsidRPr="00A43A52">
              <w:t>juveniles</w:t>
            </w:r>
            <w:r>
              <w:t xml:space="preserve">, </w:t>
            </w:r>
            <w:r w:rsidRPr="00A43A52">
              <w:t>larvae</w:t>
            </w:r>
          </w:p>
        </w:tc>
        <w:tc>
          <w:tcPr>
            <w:tcW w:w="2189" w:type="pct"/>
            <w:tcBorders>
              <w:bottom w:val="single" w:sz="4" w:space="0" w:color="auto"/>
            </w:tcBorders>
            <w:tcMar>
              <w:top w:w="0" w:type="dxa"/>
              <w:left w:w="108" w:type="dxa"/>
              <w:bottom w:w="0" w:type="dxa"/>
              <w:right w:w="108" w:type="dxa"/>
            </w:tcMar>
            <w:hideMark/>
          </w:tcPr>
          <w:p w14:paraId="04587059" w14:textId="77777777" w:rsidR="00B86083" w:rsidRPr="00A43A52" w:rsidRDefault="00B86083" w:rsidP="00CD6AD5">
            <w:pPr>
              <w:pStyle w:val="TableText"/>
            </w:pPr>
            <w:r w:rsidRPr="00A43A52">
              <w:t>Reproduction</w:t>
            </w:r>
          </w:p>
        </w:tc>
        <w:tc>
          <w:tcPr>
            <w:tcW w:w="701" w:type="pct"/>
            <w:tcBorders>
              <w:bottom w:val="single" w:sz="4" w:space="0" w:color="auto"/>
            </w:tcBorders>
            <w:tcMar>
              <w:top w:w="0" w:type="dxa"/>
              <w:left w:w="108" w:type="dxa"/>
              <w:bottom w:w="0" w:type="dxa"/>
              <w:right w:w="108" w:type="dxa"/>
            </w:tcMar>
            <w:hideMark/>
          </w:tcPr>
          <w:p w14:paraId="4FDAAB7F" w14:textId="7FD5FF6E" w:rsidR="00B86083" w:rsidRPr="00A43A52" w:rsidRDefault="00B86083" w:rsidP="00CD6AD5">
            <w:pPr>
              <w:pStyle w:val="TableText"/>
            </w:pPr>
            <w:r w:rsidRPr="00A43A52">
              <w:t>≥</w:t>
            </w:r>
            <w:r>
              <w:t xml:space="preserve"> </w:t>
            </w:r>
            <w:r w:rsidRPr="00A43A52">
              <w:t>7 d (or ≥</w:t>
            </w:r>
            <w:r>
              <w:t xml:space="preserve"> </w:t>
            </w:r>
            <w:r w:rsidRPr="00A43A52">
              <w:t>3 broods for small cladocerans)</w:t>
            </w:r>
          </w:p>
        </w:tc>
      </w:tr>
      <w:tr w:rsidR="00B86083" w:rsidRPr="0084041E" w14:paraId="3AC9C2F0" w14:textId="77777777" w:rsidTr="00624B5A">
        <w:trPr>
          <w:cantSplit/>
        </w:trPr>
        <w:tc>
          <w:tcPr>
            <w:tcW w:w="1016" w:type="pct"/>
            <w:vMerge/>
            <w:tcMar>
              <w:top w:w="0" w:type="dxa"/>
              <w:left w:w="108" w:type="dxa"/>
              <w:bottom w:w="0" w:type="dxa"/>
              <w:right w:w="108" w:type="dxa"/>
            </w:tcMar>
          </w:tcPr>
          <w:p w14:paraId="10496F1D" w14:textId="598CE768" w:rsidR="00B86083" w:rsidRPr="00A43A52" w:rsidRDefault="00B86083" w:rsidP="00CD6AD5">
            <w:pPr>
              <w:pStyle w:val="TableText"/>
            </w:pPr>
          </w:p>
        </w:tc>
        <w:tc>
          <w:tcPr>
            <w:tcW w:w="1094" w:type="pct"/>
            <w:tcBorders>
              <w:bottom w:val="single" w:sz="4" w:space="0" w:color="auto"/>
            </w:tcBorders>
            <w:tcMar>
              <w:top w:w="0" w:type="dxa"/>
              <w:left w:w="108" w:type="dxa"/>
              <w:bottom w:w="0" w:type="dxa"/>
              <w:right w:w="108" w:type="dxa"/>
            </w:tcMar>
          </w:tcPr>
          <w:p w14:paraId="6C386680" w14:textId="66919478" w:rsidR="00B86083" w:rsidRPr="00A43A52" w:rsidRDefault="00B86083" w:rsidP="00CD6AD5">
            <w:pPr>
              <w:pStyle w:val="TableText"/>
            </w:pPr>
            <w:r w:rsidRPr="00A43A52">
              <w:t>Adults</w:t>
            </w:r>
            <w:r>
              <w:t xml:space="preserve">, </w:t>
            </w:r>
            <w:r w:rsidRPr="00A43A52">
              <w:t>juveniles</w:t>
            </w:r>
            <w:r>
              <w:t xml:space="preserve">, </w:t>
            </w:r>
            <w:r w:rsidRPr="00A43A52">
              <w:t>larvae</w:t>
            </w:r>
          </w:p>
        </w:tc>
        <w:tc>
          <w:tcPr>
            <w:tcW w:w="2189" w:type="pct"/>
            <w:tcBorders>
              <w:bottom w:val="single" w:sz="4" w:space="0" w:color="auto"/>
            </w:tcBorders>
            <w:tcMar>
              <w:top w:w="0" w:type="dxa"/>
              <w:left w:w="108" w:type="dxa"/>
              <w:bottom w:w="0" w:type="dxa"/>
              <w:right w:w="108" w:type="dxa"/>
            </w:tcMar>
          </w:tcPr>
          <w:p w14:paraId="4AC13AD4" w14:textId="4CD9E658" w:rsidR="00B86083" w:rsidRPr="00A43A52" w:rsidRDefault="00B86083" w:rsidP="00CD6AD5">
            <w:pPr>
              <w:pStyle w:val="TableText"/>
            </w:pPr>
            <w:r w:rsidRPr="00A43A52">
              <w:t>Lethality</w:t>
            </w:r>
            <w:r>
              <w:t xml:space="preserve">, </w:t>
            </w:r>
            <w:r w:rsidRPr="00A43A52">
              <w:t>immobilisation</w:t>
            </w:r>
          </w:p>
        </w:tc>
        <w:tc>
          <w:tcPr>
            <w:tcW w:w="701" w:type="pct"/>
            <w:tcBorders>
              <w:bottom w:val="single" w:sz="4" w:space="0" w:color="auto"/>
            </w:tcBorders>
            <w:tcMar>
              <w:top w:w="0" w:type="dxa"/>
              <w:left w:w="108" w:type="dxa"/>
              <w:bottom w:w="0" w:type="dxa"/>
              <w:right w:w="108" w:type="dxa"/>
            </w:tcMar>
          </w:tcPr>
          <w:p w14:paraId="71FABA4B" w14:textId="561FF3DC" w:rsidR="00B86083" w:rsidRPr="00A43A52" w:rsidRDefault="00B86083" w:rsidP="00CD6AD5">
            <w:pPr>
              <w:pStyle w:val="TableText"/>
            </w:pPr>
            <w:r w:rsidRPr="00A43A52">
              <w:t>≥7 d</w:t>
            </w:r>
          </w:p>
        </w:tc>
      </w:tr>
      <w:tr w:rsidR="00B86083" w:rsidRPr="0084041E" w14:paraId="3F162E16" w14:textId="77777777" w:rsidTr="00624B5A">
        <w:trPr>
          <w:cantSplit/>
        </w:trPr>
        <w:tc>
          <w:tcPr>
            <w:tcW w:w="1016" w:type="pct"/>
            <w:vMerge/>
            <w:tcMar>
              <w:top w:w="0" w:type="dxa"/>
              <w:left w:w="108" w:type="dxa"/>
              <w:bottom w:w="0" w:type="dxa"/>
              <w:right w:w="108" w:type="dxa"/>
            </w:tcMar>
          </w:tcPr>
          <w:p w14:paraId="6037F683" w14:textId="7A76AEDE" w:rsidR="00B86083" w:rsidRPr="00A43A52" w:rsidRDefault="00B86083" w:rsidP="00CD6AD5">
            <w:pPr>
              <w:pStyle w:val="TableText"/>
            </w:pPr>
          </w:p>
        </w:tc>
        <w:tc>
          <w:tcPr>
            <w:tcW w:w="1094" w:type="pct"/>
            <w:tcBorders>
              <w:bottom w:val="single" w:sz="4" w:space="0" w:color="auto"/>
            </w:tcBorders>
            <w:tcMar>
              <w:top w:w="0" w:type="dxa"/>
              <w:left w:w="108" w:type="dxa"/>
              <w:bottom w:w="0" w:type="dxa"/>
              <w:right w:w="108" w:type="dxa"/>
            </w:tcMar>
          </w:tcPr>
          <w:p w14:paraId="5DF8F839" w14:textId="22DB1611" w:rsidR="00B86083" w:rsidRPr="00A43A52" w:rsidRDefault="00B86083" w:rsidP="00CD6AD5">
            <w:pPr>
              <w:pStyle w:val="TableText"/>
            </w:pPr>
            <w:r w:rsidRPr="00A43A52">
              <w:t>Embryos</w:t>
            </w:r>
          </w:p>
        </w:tc>
        <w:tc>
          <w:tcPr>
            <w:tcW w:w="2189" w:type="pct"/>
            <w:tcBorders>
              <w:bottom w:val="single" w:sz="4" w:space="0" w:color="auto"/>
            </w:tcBorders>
            <w:tcMar>
              <w:top w:w="0" w:type="dxa"/>
              <w:left w:w="108" w:type="dxa"/>
              <w:bottom w:w="0" w:type="dxa"/>
              <w:right w:w="108" w:type="dxa"/>
            </w:tcMar>
          </w:tcPr>
          <w:p w14:paraId="33578D7B" w14:textId="49EA472B" w:rsidR="00B86083" w:rsidRPr="00A43A52" w:rsidRDefault="00B86083" w:rsidP="00CD6AD5">
            <w:pPr>
              <w:pStyle w:val="TableText"/>
            </w:pPr>
            <w:r w:rsidRPr="00A43A52">
              <w:t>Larval development</w:t>
            </w:r>
          </w:p>
        </w:tc>
        <w:tc>
          <w:tcPr>
            <w:tcW w:w="701" w:type="pct"/>
            <w:tcBorders>
              <w:bottom w:val="single" w:sz="4" w:space="0" w:color="auto"/>
            </w:tcBorders>
            <w:tcMar>
              <w:top w:w="0" w:type="dxa"/>
              <w:left w:w="108" w:type="dxa"/>
              <w:bottom w:w="0" w:type="dxa"/>
              <w:right w:w="108" w:type="dxa"/>
            </w:tcMar>
          </w:tcPr>
          <w:p w14:paraId="40DB7B4E" w14:textId="3BB910EA" w:rsidR="00B86083" w:rsidRPr="00A43A52" w:rsidRDefault="00B86083" w:rsidP="00CD6AD5">
            <w:pPr>
              <w:pStyle w:val="TableText"/>
            </w:pPr>
            <w:r w:rsidRPr="00A43A52">
              <w:t>≥</w:t>
            </w:r>
            <w:r>
              <w:t xml:space="preserve"> </w:t>
            </w:r>
            <w:r w:rsidRPr="00A43A52">
              <w:t>48 h</w:t>
            </w:r>
          </w:p>
        </w:tc>
      </w:tr>
      <w:tr w:rsidR="00B86083" w:rsidRPr="0084041E" w14:paraId="4E87C14A" w14:textId="77777777" w:rsidTr="00624B5A">
        <w:trPr>
          <w:cantSplit/>
        </w:trPr>
        <w:tc>
          <w:tcPr>
            <w:tcW w:w="1016" w:type="pct"/>
            <w:vMerge/>
            <w:tcBorders>
              <w:bottom w:val="single" w:sz="4" w:space="0" w:color="auto"/>
            </w:tcBorders>
            <w:tcMar>
              <w:top w:w="0" w:type="dxa"/>
              <w:left w:w="108" w:type="dxa"/>
              <w:bottom w:w="0" w:type="dxa"/>
              <w:right w:w="108" w:type="dxa"/>
            </w:tcMar>
          </w:tcPr>
          <w:p w14:paraId="05634184" w14:textId="344598E9" w:rsidR="00B86083" w:rsidRPr="00A43A52" w:rsidRDefault="00B86083" w:rsidP="00CD6AD5">
            <w:pPr>
              <w:pStyle w:val="TableText"/>
            </w:pPr>
          </w:p>
        </w:tc>
        <w:tc>
          <w:tcPr>
            <w:tcW w:w="1094" w:type="pct"/>
            <w:tcBorders>
              <w:bottom w:val="single" w:sz="4" w:space="0" w:color="auto"/>
            </w:tcBorders>
            <w:tcMar>
              <w:top w:w="0" w:type="dxa"/>
              <w:left w:w="108" w:type="dxa"/>
              <w:bottom w:w="0" w:type="dxa"/>
              <w:right w:w="108" w:type="dxa"/>
            </w:tcMar>
          </w:tcPr>
          <w:p w14:paraId="4BD516C8" w14:textId="45CAC81C" w:rsidR="00B86083" w:rsidRPr="00A43A52" w:rsidRDefault="00B86083" w:rsidP="00CD6AD5">
            <w:pPr>
              <w:pStyle w:val="TableText"/>
            </w:pPr>
            <w:r w:rsidRPr="00A43A52">
              <w:t>Gametes</w:t>
            </w:r>
          </w:p>
        </w:tc>
        <w:tc>
          <w:tcPr>
            <w:tcW w:w="2189" w:type="pct"/>
            <w:tcBorders>
              <w:bottom w:val="single" w:sz="4" w:space="0" w:color="auto"/>
            </w:tcBorders>
            <w:tcMar>
              <w:top w:w="0" w:type="dxa"/>
              <w:left w:w="108" w:type="dxa"/>
              <w:bottom w:w="0" w:type="dxa"/>
              <w:right w:w="108" w:type="dxa"/>
            </w:tcMar>
          </w:tcPr>
          <w:p w14:paraId="48D7C87A" w14:textId="0F6BB19E" w:rsidR="00B86083" w:rsidRPr="00A43A52" w:rsidRDefault="00B86083" w:rsidP="00CD6AD5">
            <w:pPr>
              <w:pStyle w:val="TableText"/>
            </w:pPr>
            <w:r w:rsidRPr="00A43A52">
              <w:t>Embryo fertilisation</w:t>
            </w:r>
          </w:p>
        </w:tc>
        <w:tc>
          <w:tcPr>
            <w:tcW w:w="701" w:type="pct"/>
            <w:tcBorders>
              <w:bottom w:val="single" w:sz="4" w:space="0" w:color="auto"/>
            </w:tcBorders>
            <w:tcMar>
              <w:top w:w="0" w:type="dxa"/>
              <w:left w:w="108" w:type="dxa"/>
              <w:bottom w:w="0" w:type="dxa"/>
              <w:right w:w="108" w:type="dxa"/>
            </w:tcMar>
          </w:tcPr>
          <w:p w14:paraId="1932D7A6" w14:textId="3189ACE7" w:rsidR="00B86083" w:rsidRPr="00A43A52" w:rsidRDefault="00B86083" w:rsidP="00CD6AD5">
            <w:pPr>
              <w:pStyle w:val="TableText"/>
            </w:pPr>
            <w:r w:rsidRPr="00A43A52">
              <w:t>≥</w:t>
            </w:r>
            <w:r>
              <w:t xml:space="preserve"> </w:t>
            </w:r>
            <w:r w:rsidRPr="00A43A52">
              <w:t>1 h</w:t>
            </w:r>
          </w:p>
        </w:tc>
      </w:tr>
      <w:tr w:rsidR="00C46ADC" w:rsidRPr="0084041E" w14:paraId="2F366AEC" w14:textId="77777777" w:rsidTr="00624B5A">
        <w:trPr>
          <w:cantSplit/>
        </w:trPr>
        <w:tc>
          <w:tcPr>
            <w:tcW w:w="1016" w:type="pct"/>
            <w:tcMar>
              <w:top w:w="0" w:type="dxa"/>
              <w:left w:w="108" w:type="dxa"/>
              <w:bottom w:w="0" w:type="dxa"/>
              <w:right w:w="108" w:type="dxa"/>
            </w:tcMar>
            <w:hideMark/>
          </w:tcPr>
          <w:p w14:paraId="5ECF55F6" w14:textId="283B18C2" w:rsidR="00C46ADC" w:rsidRPr="00A43A52" w:rsidRDefault="00C46ADC" w:rsidP="00CD6AD5">
            <w:pPr>
              <w:pStyle w:val="TableText"/>
            </w:pPr>
            <w:r w:rsidRPr="00A43A52">
              <w:t>Macrophytes</w:t>
            </w:r>
          </w:p>
        </w:tc>
        <w:tc>
          <w:tcPr>
            <w:tcW w:w="1094" w:type="pct"/>
            <w:tcBorders>
              <w:bottom w:val="single" w:sz="4" w:space="0" w:color="auto"/>
            </w:tcBorders>
            <w:tcMar>
              <w:top w:w="0" w:type="dxa"/>
              <w:left w:w="108" w:type="dxa"/>
              <w:bottom w:w="0" w:type="dxa"/>
              <w:right w:w="108" w:type="dxa"/>
            </w:tcMar>
            <w:hideMark/>
          </w:tcPr>
          <w:p w14:paraId="53219E1E" w14:textId="77777777" w:rsidR="00C46ADC" w:rsidRPr="00A43A52" w:rsidRDefault="00C46ADC" w:rsidP="00CD6AD5">
            <w:pPr>
              <w:pStyle w:val="TableText"/>
            </w:pPr>
            <w:r w:rsidRPr="00A43A52">
              <w:t>Mature</w:t>
            </w:r>
          </w:p>
        </w:tc>
        <w:tc>
          <w:tcPr>
            <w:tcW w:w="2189" w:type="pct"/>
            <w:tcBorders>
              <w:bottom w:val="single" w:sz="4" w:space="0" w:color="auto"/>
            </w:tcBorders>
            <w:tcMar>
              <w:top w:w="0" w:type="dxa"/>
              <w:left w:w="108" w:type="dxa"/>
              <w:bottom w:w="0" w:type="dxa"/>
              <w:right w:w="108" w:type="dxa"/>
            </w:tcMar>
            <w:hideMark/>
          </w:tcPr>
          <w:p w14:paraId="4BBBB4B2" w14:textId="77777777" w:rsidR="00C46ADC" w:rsidRPr="00A43A52" w:rsidRDefault="00C46ADC" w:rsidP="00CD6AD5">
            <w:pPr>
              <w:pStyle w:val="TableText"/>
            </w:pPr>
            <w:r w:rsidRPr="00A43A52">
              <w:t>All</w:t>
            </w:r>
          </w:p>
        </w:tc>
        <w:tc>
          <w:tcPr>
            <w:tcW w:w="701" w:type="pct"/>
            <w:tcBorders>
              <w:bottom w:val="single" w:sz="4" w:space="0" w:color="auto"/>
            </w:tcBorders>
            <w:tcMar>
              <w:top w:w="0" w:type="dxa"/>
              <w:left w:w="108" w:type="dxa"/>
              <w:bottom w:w="0" w:type="dxa"/>
              <w:right w:w="108" w:type="dxa"/>
            </w:tcMar>
            <w:hideMark/>
          </w:tcPr>
          <w:p w14:paraId="7B0FFBA9" w14:textId="15DEE5B6" w:rsidR="00C46ADC" w:rsidRPr="00A43A52" w:rsidRDefault="00C46ADC" w:rsidP="00CD6AD5">
            <w:pPr>
              <w:pStyle w:val="TableText"/>
            </w:pPr>
            <w:r w:rsidRPr="00A43A52">
              <w:t>≥</w:t>
            </w:r>
            <w:r>
              <w:t xml:space="preserve"> </w:t>
            </w:r>
            <w:r w:rsidRPr="00A43A52">
              <w:t>7 d</w:t>
            </w:r>
          </w:p>
        </w:tc>
      </w:tr>
      <w:tr w:rsidR="00B86083" w:rsidRPr="0084041E" w14:paraId="60225974" w14:textId="77777777" w:rsidTr="00624B5A">
        <w:trPr>
          <w:cantSplit/>
        </w:trPr>
        <w:tc>
          <w:tcPr>
            <w:tcW w:w="1016" w:type="pct"/>
            <w:vMerge w:val="restart"/>
            <w:tcMar>
              <w:top w:w="0" w:type="dxa"/>
              <w:left w:w="108" w:type="dxa"/>
              <w:bottom w:w="0" w:type="dxa"/>
              <w:right w:w="108" w:type="dxa"/>
            </w:tcMar>
            <w:hideMark/>
          </w:tcPr>
          <w:p w14:paraId="55B0A232" w14:textId="0EF48CE9" w:rsidR="00B86083" w:rsidRPr="00A43A52" w:rsidRDefault="00B86083" w:rsidP="00CD6AD5">
            <w:pPr>
              <w:pStyle w:val="TableText"/>
            </w:pPr>
            <w:r w:rsidRPr="00A43A52">
              <w:t>Macroalgae</w:t>
            </w:r>
          </w:p>
        </w:tc>
        <w:tc>
          <w:tcPr>
            <w:tcW w:w="1094" w:type="pct"/>
            <w:tcBorders>
              <w:bottom w:val="single" w:sz="4" w:space="0" w:color="auto"/>
            </w:tcBorders>
            <w:tcMar>
              <w:top w:w="0" w:type="dxa"/>
              <w:left w:w="108" w:type="dxa"/>
              <w:bottom w:w="0" w:type="dxa"/>
              <w:right w:w="108" w:type="dxa"/>
            </w:tcMar>
            <w:hideMark/>
          </w:tcPr>
          <w:p w14:paraId="744B366C" w14:textId="77777777" w:rsidR="00B86083" w:rsidRPr="00A43A52" w:rsidRDefault="00B86083" w:rsidP="00CD6AD5">
            <w:pPr>
              <w:pStyle w:val="TableText"/>
            </w:pPr>
            <w:r w:rsidRPr="00A43A52">
              <w:t>Mature</w:t>
            </w:r>
          </w:p>
        </w:tc>
        <w:tc>
          <w:tcPr>
            <w:tcW w:w="2189" w:type="pct"/>
            <w:tcBorders>
              <w:bottom w:val="single" w:sz="4" w:space="0" w:color="auto"/>
            </w:tcBorders>
            <w:tcMar>
              <w:top w:w="0" w:type="dxa"/>
              <w:left w:w="108" w:type="dxa"/>
              <w:bottom w:w="0" w:type="dxa"/>
              <w:right w:w="108" w:type="dxa"/>
            </w:tcMar>
            <w:hideMark/>
          </w:tcPr>
          <w:p w14:paraId="0473BA69" w14:textId="77777777" w:rsidR="00B86083" w:rsidRPr="00A43A52" w:rsidRDefault="00B86083" w:rsidP="00CD6AD5">
            <w:pPr>
              <w:pStyle w:val="TableText"/>
            </w:pPr>
            <w:r w:rsidRPr="00A43A52">
              <w:t>All</w:t>
            </w:r>
          </w:p>
        </w:tc>
        <w:tc>
          <w:tcPr>
            <w:tcW w:w="701" w:type="pct"/>
            <w:tcBorders>
              <w:bottom w:val="single" w:sz="4" w:space="0" w:color="auto"/>
            </w:tcBorders>
            <w:tcMar>
              <w:top w:w="0" w:type="dxa"/>
              <w:left w:w="108" w:type="dxa"/>
              <w:bottom w:w="0" w:type="dxa"/>
              <w:right w:w="108" w:type="dxa"/>
            </w:tcMar>
            <w:hideMark/>
          </w:tcPr>
          <w:p w14:paraId="66C2F448" w14:textId="4EBF8482" w:rsidR="00B86083" w:rsidRPr="00A43A52" w:rsidRDefault="00B86083" w:rsidP="00CD6AD5">
            <w:pPr>
              <w:pStyle w:val="TableText"/>
            </w:pPr>
            <w:r w:rsidRPr="00A43A52">
              <w:t>≥</w:t>
            </w:r>
            <w:r>
              <w:t xml:space="preserve"> </w:t>
            </w:r>
            <w:r w:rsidRPr="00A43A52">
              <w:t>7 d</w:t>
            </w:r>
          </w:p>
        </w:tc>
      </w:tr>
      <w:tr w:rsidR="00B86083" w:rsidRPr="0084041E" w14:paraId="57E503ED" w14:textId="77777777" w:rsidTr="00624B5A">
        <w:trPr>
          <w:cantSplit/>
        </w:trPr>
        <w:tc>
          <w:tcPr>
            <w:tcW w:w="1016" w:type="pct"/>
            <w:vMerge/>
            <w:tcMar>
              <w:top w:w="0" w:type="dxa"/>
              <w:left w:w="108" w:type="dxa"/>
              <w:bottom w:w="0" w:type="dxa"/>
              <w:right w:w="108" w:type="dxa"/>
            </w:tcMar>
          </w:tcPr>
          <w:p w14:paraId="054638D9" w14:textId="18C7E547" w:rsidR="00B86083" w:rsidRPr="00A43A52" w:rsidRDefault="00B86083" w:rsidP="00CD6AD5">
            <w:pPr>
              <w:pStyle w:val="TableText"/>
            </w:pPr>
          </w:p>
        </w:tc>
        <w:tc>
          <w:tcPr>
            <w:tcW w:w="1094" w:type="pct"/>
            <w:tcBorders>
              <w:bottom w:val="single" w:sz="4" w:space="0" w:color="auto"/>
            </w:tcBorders>
            <w:tcMar>
              <w:top w:w="0" w:type="dxa"/>
              <w:left w:w="108" w:type="dxa"/>
              <w:bottom w:w="0" w:type="dxa"/>
              <w:right w:w="108" w:type="dxa"/>
            </w:tcMar>
          </w:tcPr>
          <w:p w14:paraId="71FFA19D" w14:textId="63D107B8" w:rsidR="00B86083" w:rsidRPr="00A43A52" w:rsidRDefault="00B86083" w:rsidP="00CD6AD5">
            <w:pPr>
              <w:pStyle w:val="TableText"/>
            </w:pPr>
            <w:r w:rsidRPr="00A43A52">
              <w:t>Early life stages</w:t>
            </w:r>
          </w:p>
        </w:tc>
        <w:tc>
          <w:tcPr>
            <w:tcW w:w="2189" w:type="pct"/>
            <w:tcBorders>
              <w:bottom w:val="single" w:sz="4" w:space="0" w:color="auto"/>
            </w:tcBorders>
            <w:tcMar>
              <w:top w:w="0" w:type="dxa"/>
              <w:left w:w="108" w:type="dxa"/>
              <w:bottom w:w="0" w:type="dxa"/>
              <w:right w:w="108" w:type="dxa"/>
            </w:tcMar>
          </w:tcPr>
          <w:p w14:paraId="76E7FA7E" w14:textId="6521FD5F" w:rsidR="00B86083" w:rsidRPr="00A43A52" w:rsidRDefault="00B86083" w:rsidP="00CD6AD5">
            <w:pPr>
              <w:pStyle w:val="TableText"/>
            </w:pPr>
            <w:r w:rsidRPr="00A43A52">
              <w:t>Lethality</w:t>
            </w:r>
          </w:p>
        </w:tc>
        <w:tc>
          <w:tcPr>
            <w:tcW w:w="701" w:type="pct"/>
            <w:tcBorders>
              <w:bottom w:val="single" w:sz="4" w:space="0" w:color="auto"/>
            </w:tcBorders>
            <w:tcMar>
              <w:top w:w="0" w:type="dxa"/>
              <w:left w:w="108" w:type="dxa"/>
              <w:bottom w:w="0" w:type="dxa"/>
              <w:right w:w="108" w:type="dxa"/>
            </w:tcMar>
          </w:tcPr>
          <w:p w14:paraId="3C81BAB8" w14:textId="7C9EBB61" w:rsidR="00B86083" w:rsidRPr="00A43A52" w:rsidRDefault="00B86083" w:rsidP="00CD6AD5">
            <w:pPr>
              <w:pStyle w:val="TableText"/>
            </w:pPr>
            <w:r w:rsidRPr="00A43A52">
              <w:t>≥</w:t>
            </w:r>
            <w:r>
              <w:t xml:space="preserve"> </w:t>
            </w:r>
            <w:r w:rsidRPr="00A43A52">
              <w:t>7 d</w:t>
            </w:r>
          </w:p>
        </w:tc>
      </w:tr>
      <w:tr w:rsidR="00B86083" w:rsidRPr="0084041E" w14:paraId="2030A8DC" w14:textId="77777777" w:rsidTr="00624B5A">
        <w:trPr>
          <w:cantSplit/>
        </w:trPr>
        <w:tc>
          <w:tcPr>
            <w:tcW w:w="1016" w:type="pct"/>
            <w:vMerge/>
            <w:tcMar>
              <w:top w:w="0" w:type="dxa"/>
              <w:left w:w="108" w:type="dxa"/>
              <w:bottom w:w="0" w:type="dxa"/>
              <w:right w:w="108" w:type="dxa"/>
            </w:tcMar>
          </w:tcPr>
          <w:p w14:paraId="7785A7F3" w14:textId="379B052A" w:rsidR="00B86083" w:rsidRPr="00A43A52" w:rsidRDefault="00B86083" w:rsidP="00CD6AD5">
            <w:pPr>
              <w:pStyle w:val="TableText"/>
            </w:pPr>
          </w:p>
        </w:tc>
        <w:tc>
          <w:tcPr>
            <w:tcW w:w="1094" w:type="pct"/>
            <w:tcBorders>
              <w:bottom w:val="single" w:sz="4" w:space="0" w:color="auto"/>
            </w:tcBorders>
            <w:tcMar>
              <w:top w:w="0" w:type="dxa"/>
              <w:left w:w="108" w:type="dxa"/>
              <w:bottom w:w="0" w:type="dxa"/>
              <w:right w:w="108" w:type="dxa"/>
            </w:tcMar>
          </w:tcPr>
          <w:p w14:paraId="5D8909A4" w14:textId="305AA090" w:rsidR="00B86083" w:rsidRPr="00A43A52" w:rsidRDefault="00B86083" w:rsidP="00CD6AD5">
            <w:pPr>
              <w:pStyle w:val="TableText"/>
            </w:pPr>
            <w:r w:rsidRPr="00A43A52">
              <w:t>Early life stages</w:t>
            </w:r>
          </w:p>
        </w:tc>
        <w:tc>
          <w:tcPr>
            <w:tcW w:w="2189" w:type="pct"/>
            <w:tcBorders>
              <w:bottom w:val="single" w:sz="4" w:space="0" w:color="auto"/>
            </w:tcBorders>
            <w:tcMar>
              <w:top w:w="0" w:type="dxa"/>
              <w:left w:w="108" w:type="dxa"/>
              <w:bottom w:w="0" w:type="dxa"/>
              <w:right w:w="108" w:type="dxa"/>
            </w:tcMar>
          </w:tcPr>
          <w:p w14:paraId="6D43B5DD" w14:textId="1FCE811E" w:rsidR="00B86083" w:rsidRPr="00A43A52" w:rsidRDefault="00B86083" w:rsidP="00CD6AD5">
            <w:pPr>
              <w:pStyle w:val="TableText"/>
            </w:pPr>
            <w:r w:rsidRPr="00A43A52">
              <w:t>Development</w:t>
            </w:r>
          </w:p>
        </w:tc>
        <w:tc>
          <w:tcPr>
            <w:tcW w:w="701" w:type="pct"/>
            <w:tcBorders>
              <w:bottom w:val="single" w:sz="4" w:space="0" w:color="auto"/>
            </w:tcBorders>
            <w:tcMar>
              <w:top w:w="0" w:type="dxa"/>
              <w:left w:w="108" w:type="dxa"/>
              <w:bottom w:w="0" w:type="dxa"/>
              <w:right w:w="108" w:type="dxa"/>
            </w:tcMar>
          </w:tcPr>
          <w:p w14:paraId="59A4BE98" w14:textId="04A6D4C4" w:rsidR="00B86083" w:rsidRPr="00A43A52" w:rsidRDefault="00B86083" w:rsidP="00CD6AD5">
            <w:pPr>
              <w:pStyle w:val="TableText"/>
            </w:pPr>
            <w:r w:rsidRPr="00A43A52">
              <w:t>≥</w:t>
            </w:r>
            <w:r>
              <w:t xml:space="preserve"> </w:t>
            </w:r>
            <w:r w:rsidRPr="00A43A52">
              <w:t>48 h</w:t>
            </w:r>
          </w:p>
        </w:tc>
      </w:tr>
      <w:tr w:rsidR="00B86083" w:rsidRPr="0084041E" w14:paraId="6683DB20" w14:textId="77777777" w:rsidTr="00624B5A">
        <w:trPr>
          <w:cantSplit/>
        </w:trPr>
        <w:tc>
          <w:tcPr>
            <w:tcW w:w="1016" w:type="pct"/>
            <w:vMerge/>
            <w:tcBorders>
              <w:bottom w:val="single" w:sz="4" w:space="0" w:color="auto"/>
            </w:tcBorders>
            <w:tcMar>
              <w:top w:w="0" w:type="dxa"/>
              <w:left w:w="108" w:type="dxa"/>
              <w:bottom w:w="0" w:type="dxa"/>
              <w:right w:w="108" w:type="dxa"/>
            </w:tcMar>
          </w:tcPr>
          <w:p w14:paraId="6A768131" w14:textId="0B83E3E4" w:rsidR="00B86083" w:rsidRPr="00A43A52" w:rsidRDefault="00B86083" w:rsidP="00CD6AD5">
            <w:pPr>
              <w:pStyle w:val="TableText"/>
            </w:pPr>
          </w:p>
        </w:tc>
        <w:tc>
          <w:tcPr>
            <w:tcW w:w="1094" w:type="pct"/>
            <w:tcBorders>
              <w:bottom w:val="single" w:sz="4" w:space="0" w:color="auto"/>
            </w:tcBorders>
            <w:tcMar>
              <w:top w:w="0" w:type="dxa"/>
              <w:left w:w="108" w:type="dxa"/>
              <w:bottom w:w="0" w:type="dxa"/>
              <w:right w:w="108" w:type="dxa"/>
            </w:tcMar>
          </w:tcPr>
          <w:p w14:paraId="5F471CCD" w14:textId="148AF715" w:rsidR="00B86083" w:rsidRPr="00A43A52" w:rsidRDefault="00B86083" w:rsidP="00CD6AD5">
            <w:pPr>
              <w:pStyle w:val="TableText"/>
            </w:pPr>
            <w:r w:rsidRPr="00A43A52">
              <w:t>Early life stages</w:t>
            </w:r>
          </w:p>
        </w:tc>
        <w:tc>
          <w:tcPr>
            <w:tcW w:w="2189" w:type="pct"/>
            <w:tcBorders>
              <w:bottom w:val="single" w:sz="4" w:space="0" w:color="auto"/>
            </w:tcBorders>
            <w:tcMar>
              <w:top w:w="0" w:type="dxa"/>
              <w:left w:w="108" w:type="dxa"/>
              <w:bottom w:w="0" w:type="dxa"/>
              <w:right w:w="108" w:type="dxa"/>
            </w:tcMar>
          </w:tcPr>
          <w:p w14:paraId="4628C2CF" w14:textId="3235AB55" w:rsidR="00B86083" w:rsidRPr="00A43A52" w:rsidRDefault="00B86083" w:rsidP="00CD6AD5">
            <w:pPr>
              <w:pStyle w:val="TableText"/>
            </w:pPr>
            <w:r w:rsidRPr="00A43A52">
              <w:t>Fertilisation</w:t>
            </w:r>
          </w:p>
        </w:tc>
        <w:tc>
          <w:tcPr>
            <w:tcW w:w="701" w:type="pct"/>
            <w:tcBorders>
              <w:bottom w:val="single" w:sz="4" w:space="0" w:color="auto"/>
            </w:tcBorders>
            <w:tcMar>
              <w:top w:w="0" w:type="dxa"/>
              <w:left w:w="108" w:type="dxa"/>
              <w:bottom w:w="0" w:type="dxa"/>
              <w:right w:w="108" w:type="dxa"/>
            </w:tcMar>
          </w:tcPr>
          <w:p w14:paraId="24C64CFA" w14:textId="0E4FB323" w:rsidR="00B86083" w:rsidRPr="00A43A52" w:rsidRDefault="00B86083" w:rsidP="00CD6AD5">
            <w:pPr>
              <w:pStyle w:val="TableText"/>
            </w:pPr>
            <w:r w:rsidRPr="00A43A52">
              <w:t>≥</w:t>
            </w:r>
            <w:r>
              <w:t xml:space="preserve"> </w:t>
            </w:r>
            <w:r w:rsidRPr="00A43A52">
              <w:t>1 h</w:t>
            </w:r>
          </w:p>
        </w:tc>
      </w:tr>
      <w:tr w:rsidR="00C46ADC" w:rsidRPr="0084041E" w14:paraId="5E61F739" w14:textId="77777777" w:rsidTr="00624B5A">
        <w:trPr>
          <w:cantSplit/>
        </w:trPr>
        <w:tc>
          <w:tcPr>
            <w:tcW w:w="1016" w:type="pct"/>
            <w:tcBorders>
              <w:bottom w:val="single" w:sz="4" w:space="0" w:color="auto"/>
            </w:tcBorders>
            <w:tcMar>
              <w:top w:w="0" w:type="dxa"/>
              <w:left w:w="108" w:type="dxa"/>
              <w:bottom w:w="0" w:type="dxa"/>
              <w:right w:w="108" w:type="dxa"/>
            </w:tcMar>
            <w:hideMark/>
          </w:tcPr>
          <w:p w14:paraId="6CFEDA0B" w14:textId="3B74AE20" w:rsidR="00C46ADC" w:rsidRPr="00A43A52" w:rsidRDefault="00C46ADC" w:rsidP="00CD6AD5">
            <w:pPr>
              <w:pStyle w:val="TableText"/>
            </w:pPr>
            <w:r w:rsidRPr="00A43A52">
              <w:t>Microalgae</w:t>
            </w:r>
          </w:p>
        </w:tc>
        <w:tc>
          <w:tcPr>
            <w:tcW w:w="1094" w:type="pct"/>
            <w:tcBorders>
              <w:bottom w:val="single" w:sz="4" w:space="0" w:color="auto"/>
            </w:tcBorders>
            <w:tcMar>
              <w:top w:w="0" w:type="dxa"/>
              <w:left w:w="108" w:type="dxa"/>
              <w:bottom w:w="0" w:type="dxa"/>
              <w:right w:w="108" w:type="dxa"/>
            </w:tcMar>
            <w:hideMark/>
          </w:tcPr>
          <w:p w14:paraId="07FFC0D3" w14:textId="77777777" w:rsidR="00C46ADC" w:rsidRPr="00A43A52" w:rsidRDefault="00C46ADC" w:rsidP="00CD6AD5">
            <w:pPr>
              <w:pStyle w:val="TableText"/>
            </w:pPr>
            <w:r w:rsidRPr="00A43A52">
              <w:t>Not applicable</w:t>
            </w:r>
          </w:p>
        </w:tc>
        <w:tc>
          <w:tcPr>
            <w:tcW w:w="2189" w:type="pct"/>
            <w:tcBorders>
              <w:bottom w:val="single" w:sz="4" w:space="0" w:color="auto"/>
            </w:tcBorders>
            <w:tcMar>
              <w:top w:w="0" w:type="dxa"/>
              <w:left w:w="108" w:type="dxa"/>
              <w:bottom w:w="0" w:type="dxa"/>
              <w:right w:w="108" w:type="dxa"/>
            </w:tcMar>
            <w:hideMark/>
          </w:tcPr>
          <w:p w14:paraId="7995169F" w14:textId="7DF51F1E" w:rsidR="00C46ADC" w:rsidRPr="00A43A52" w:rsidRDefault="00C46ADC" w:rsidP="00CD6AD5">
            <w:pPr>
              <w:pStyle w:val="TableText"/>
            </w:pPr>
            <w:r w:rsidRPr="00A43A52">
              <w:t>All</w:t>
            </w:r>
          </w:p>
        </w:tc>
        <w:tc>
          <w:tcPr>
            <w:tcW w:w="701" w:type="pct"/>
            <w:tcBorders>
              <w:bottom w:val="single" w:sz="4" w:space="0" w:color="auto"/>
            </w:tcBorders>
            <w:tcMar>
              <w:top w:w="0" w:type="dxa"/>
              <w:left w:w="108" w:type="dxa"/>
              <w:bottom w:w="0" w:type="dxa"/>
              <w:right w:w="108" w:type="dxa"/>
            </w:tcMar>
            <w:hideMark/>
          </w:tcPr>
          <w:p w14:paraId="6791C5E6" w14:textId="7935A616" w:rsidR="00C46ADC" w:rsidRPr="00A43A52" w:rsidRDefault="00C46ADC" w:rsidP="00CD6AD5">
            <w:pPr>
              <w:pStyle w:val="TableText"/>
            </w:pPr>
            <w:r w:rsidRPr="00A43A52">
              <w:t>&gt;</w:t>
            </w:r>
            <w:r>
              <w:t xml:space="preserve"> </w:t>
            </w:r>
            <w:r w:rsidRPr="00A43A52">
              <w:t>24 h</w:t>
            </w:r>
          </w:p>
        </w:tc>
      </w:tr>
      <w:tr w:rsidR="00C46ADC" w:rsidRPr="0084041E" w14:paraId="3335CA64" w14:textId="77777777" w:rsidTr="00624B5A">
        <w:trPr>
          <w:cantSplit/>
        </w:trPr>
        <w:tc>
          <w:tcPr>
            <w:tcW w:w="1016" w:type="pct"/>
            <w:tcBorders>
              <w:bottom w:val="single" w:sz="12" w:space="0" w:color="auto"/>
            </w:tcBorders>
            <w:tcMar>
              <w:top w:w="0" w:type="dxa"/>
              <w:left w:w="108" w:type="dxa"/>
              <w:bottom w:w="0" w:type="dxa"/>
              <w:right w:w="108" w:type="dxa"/>
            </w:tcMar>
            <w:hideMark/>
          </w:tcPr>
          <w:p w14:paraId="6F562A68" w14:textId="6FA598D9" w:rsidR="00C46ADC" w:rsidRPr="00A43A52" w:rsidRDefault="00C46ADC" w:rsidP="00CD6AD5">
            <w:pPr>
              <w:pStyle w:val="TableText"/>
            </w:pPr>
            <w:r w:rsidRPr="00A43A52">
              <w:t>Microorganisms</w:t>
            </w:r>
          </w:p>
        </w:tc>
        <w:tc>
          <w:tcPr>
            <w:tcW w:w="1094" w:type="pct"/>
            <w:tcBorders>
              <w:bottom w:val="single" w:sz="12" w:space="0" w:color="auto"/>
            </w:tcBorders>
            <w:tcMar>
              <w:top w:w="0" w:type="dxa"/>
              <w:left w:w="108" w:type="dxa"/>
              <w:bottom w:w="0" w:type="dxa"/>
              <w:right w:w="108" w:type="dxa"/>
            </w:tcMar>
            <w:hideMark/>
          </w:tcPr>
          <w:p w14:paraId="57A5DCC7" w14:textId="77777777" w:rsidR="00C46ADC" w:rsidRPr="00A43A52" w:rsidRDefault="00C46ADC" w:rsidP="00CD6AD5">
            <w:pPr>
              <w:pStyle w:val="TableText"/>
            </w:pPr>
            <w:r w:rsidRPr="00A43A52">
              <w:t>Not applicable</w:t>
            </w:r>
          </w:p>
        </w:tc>
        <w:tc>
          <w:tcPr>
            <w:tcW w:w="2189" w:type="pct"/>
            <w:tcBorders>
              <w:bottom w:val="single" w:sz="12" w:space="0" w:color="auto"/>
            </w:tcBorders>
            <w:tcMar>
              <w:top w:w="0" w:type="dxa"/>
              <w:left w:w="108" w:type="dxa"/>
              <w:bottom w:w="0" w:type="dxa"/>
              <w:right w:w="108" w:type="dxa"/>
            </w:tcMar>
            <w:hideMark/>
          </w:tcPr>
          <w:p w14:paraId="1113A805" w14:textId="3FB7B583" w:rsidR="00C46ADC" w:rsidRPr="00A43A52" w:rsidRDefault="00C46ADC" w:rsidP="00CD6AD5">
            <w:pPr>
              <w:pStyle w:val="TableText"/>
            </w:pPr>
            <w:r w:rsidRPr="00A43A52">
              <w:t>All</w:t>
            </w:r>
          </w:p>
        </w:tc>
        <w:tc>
          <w:tcPr>
            <w:tcW w:w="701" w:type="pct"/>
            <w:tcBorders>
              <w:bottom w:val="single" w:sz="12" w:space="0" w:color="auto"/>
            </w:tcBorders>
            <w:tcMar>
              <w:top w:w="0" w:type="dxa"/>
              <w:left w:w="108" w:type="dxa"/>
              <w:bottom w:w="0" w:type="dxa"/>
              <w:right w:w="108" w:type="dxa"/>
            </w:tcMar>
            <w:hideMark/>
          </w:tcPr>
          <w:p w14:paraId="3A21869B" w14:textId="3C00B4D1" w:rsidR="00C46ADC" w:rsidRPr="00A43A52" w:rsidRDefault="00C46ADC" w:rsidP="00CD6AD5">
            <w:pPr>
              <w:pStyle w:val="TableText"/>
            </w:pPr>
            <w:r>
              <w:t xml:space="preserve">&gt; </w:t>
            </w:r>
            <w:r w:rsidRPr="00A43A52">
              <w:t>24 h</w:t>
            </w:r>
          </w:p>
        </w:tc>
      </w:tr>
    </w:tbl>
    <w:p w14:paraId="1B48194B" w14:textId="0ADC77E0" w:rsidR="00B679A4" w:rsidRPr="00EE24EF" w:rsidRDefault="00313FCA" w:rsidP="004D7186">
      <w:pPr>
        <w:pStyle w:val="FigureTableNoteSource"/>
      </w:pPr>
      <w:r w:rsidRPr="00EE24EF">
        <w:rPr>
          <w:vertAlign w:val="superscript"/>
        </w:rPr>
        <w:t>a</w:t>
      </w:r>
      <w:r w:rsidRPr="00EE24EF">
        <w:t xml:space="preserve"> The life stage at the start of the toxicity test.</w:t>
      </w:r>
    </w:p>
    <w:p w14:paraId="37FF0C3E" w14:textId="38ACF5F4" w:rsidR="00B679A4" w:rsidRPr="00EE24EF" w:rsidRDefault="00313FCA" w:rsidP="004D7186">
      <w:pPr>
        <w:pStyle w:val="FigureTableNoteSource"/>
      </w:pPr>
      <w:r w:rsidRPr="00EE24EF">
        <w:rPr>
          <w:vertAlign w:val="superscript"/>
        </w:rPr>
        <w:lastRenderedPageBreak/>
        <w:t xml:space="preserve">b </w:t>
      </w:r>
      <w:r w:rsidRPr="00EE24EF">
        <w:t xml:space="preserve">Endpoints need to be ecologically relevant – see Section </w:t>
      </w:r>
      <w:r w:rsidR="00387F70" w:rsidRPr="00EE24EF">
        <w:fldChar w:fldCharType="begin"/>
      </w:r>
      <w:r w:rsidR="00387F70" w:rsidRPr="00EE24EF">
        <w:instrText xml:space="preserve"> REF _Ref522008190 \r \h </w:instrText>
      </w:r>
      <w:r w:rsidR="00EE24EF">
        <w:instrText xml:space="preserve"> \* MERGEFORMAT </w:instrText>
      </w:r>
      <w:r w:rsidR="00387F70" w:rsidRPr="00EE24EF">
        <w:fldChar w:fldCharType="separate"/>
      </w:r>
      <w:r w:rsidR="006C5761">
        <w:t>3.2</w:t>
      </w:r>
      <w:r w:rsidR="00387F70" w:rsidRPr="00EE24EF">
        <w:fldChar w:fldCharType="end"/>
      </w:r>
      <w:r w:rsidRPr="00EE24EF">
        <w:t>.</w:t>
      </w:r>
    </w:p>
    <w:p w14:paraId="0E042CA6" w14:textId="7DC65410" w:rsidR="00313FCA" w:rsidRPr="00EE24EF" w:rsidRDefault="00313FCA" w:rsidP="004D7186">
      <w:pPr>
        <w:pStyle w:val="FigureTableNoteSource"/>
      </w:pPr>
      <w:r w:rsidRPr="00EE24EF">
        <w:rPr>
          <w:vertAlign w:val="superscript"/>
        </w:rPr>
        <w:t xml:space="preserve">c </w:t>
      </w:r>
      <w:r w:rsidRPr="00EE24EF">
        <w:t xml:space="preserve">For acute tests, </w:t>
      </w:r>
      <w:r w:rsidR="0054498C" w:rsidRPr="00EE24EF">
        <w:t>‘</w:t>
      </w:r>
      <w:r w:rsidR="00E94A19">
        <w:t>a</w:t>
      </w:r>
      <w:r w:rsidRPr="00EE24EF">
        <w:t>ll’ refers to all ecologically relevant endpoints for a particular life stage of a particular species.</w:t>
      </w:r>
    </w:p>
    <w:p w14:paraId="4E8570A1" w14:textId="0EC80CC2" w:rsidR="00B679A4" w:rsidRPr="00EE24EF" w:rsidRDefault="00313FCA" w:rsidP="004D7186">
      <w:pPr>
        <w:pStyle w:val="FigureTableNoteSource"/>
      </w:pPr>
      <w:r w:rsidRPr="00EE24EF">
        <w:rPr>
          <w:vertAlign w:val="superscript"/>
        </w:rPr>
        <w:t>d</w:t>
      </w:r>
      <w:r w:rsidRPr="00EE24EF">
        <w:t xml:space="preserve"> Macroinvertebrates include invertebrates where full-grown adults are ≥</w:t>
      </w:r>
      <w:r w:rsidR="00E94A19">
        <w:t> </w:t>
      </w:r>
      <w:r w:rsidRPr="00EE24EF">
        <w:t>2 mm long (</w:t>
      </w:r>
      <w:r w:rsidR="00E94A19">
        <w:t>e.g.</w:t>
      </w:r>
      <w:r w:rsidRPr="00EE24EF">
        <w:t xml:space="preserve"> decapods, echinoderms, molluscs, annelids, corals, amphipods, larger cladocerans [</w:t>
      </w:r>
      <w:r w:rsidR="0093284C">
        <w:t>e.g.</w:t>
      </w:r>
      <w:r w:rsidRPr="00EE24EF">
        <w:t xml:space="preserve"> </w:t>
      </w:r>
      <w:r w:rsidRPr="00EE24EF">
        <w:rPr>
          <w:i/>
          <w:iCs/>
        </w:rPr>
        <w:t>Daphnia magna</w:t>
      </w:r>
      <w:r w:rsidRPr="00EE24EF">
        <w:t xml:space="preserve">, </w:t>
      </w:r>
      <w:r w:rsidRPr="00EE24EF">
        <w:rPr>
          <w:i/>
          <w:iCs/>
        </w:rPr>
        <w:t>Daphnia carinata</w:t>
      </w:r>
      <w:r w:rsidRPr="00EE24EF">
        <w:t xml:space="preserve"> and </w:t>
      </w:r>
      <w:r w:rsidRPr="00EE24EF">
        <w:rPr>
          <w:i/>
          <w:iCs/>
        </w:rPr>
        <w:t>Daphnia pulex</w:t>
      </w:r>
      <w:r w:rsidRPr="00EE24EF">
        <w:t>] and insect species where larvae are ≥</w:t>
      </w:r>
      <w:r w:rsidR="007E4194">
        <w:t> </w:t>
      </w:r>
      <w:r w:rsidRPr="00EE24EF">
        <w:t>2 mm long).</w:t>
      </w:r>
    </w:p>
    <w:p w14:paraId="703E9C9D" w14:textId="2A079CE8" w:rsidR="00B679A4" w:rsidRPr="00EE24EF" w:rsidRDefault="00313FCA" w:rsidP="004D7186">
      <w:pPr>
        <w:pStyle w:val="FigureTableNoteSource"/>
      </w:pPr>
      <w:r w:rsidRPr="00EE24EF">
        <w:rPr>
          <w:vertAlign w:val="superscript"/>
        </w:rPr>
        <w:t xml:space="preserve">e </w:t>
      </w:r>
      <w:r w:rsidRPr="00EE24EF">
        <w:t>Microinvertebrates are defined here as invertebrate species where full-grown adults are typically &lt;</w:t>
      </w:r>
      <w:r w:rsidR="007E4194">
        <w:t> </w:t>
      </w:r>
      <w:r w:rsidRPr="00EE24EF">
        <w:t>2 mm long</w:t>
      </w:r>
      <w:r w:rsidR="007E4194">
        <w:t xml:space="preserve"> (e.g.</w:t>
      </w:r>
      <w:r w:rsidRPr="00EE24EF">
        <w:t xml:space="preserve"> some cladocerans </w:t>
      </w:r>
      <w:r w:rsidR="007E4194">
        <w:t>[e.g.</w:t>
      </w:r>
      <w:r w:rsidRPr="00EE24EF">
        <w:t> </w:t>
      </w:r>
      <w:r w:rsidRPr="00EE24EF">
        <w:rPr>
          <w:i/>
          <w:iCs/>
        </w:rPr>
        <w:t>Ceriodaphnia dubia</w:t>
      </w:r>
      <w:r w:rsidRPr="00EE24EF">
        <w:t xml:space="preserve"> and </w:t>
      </w:r>
      <w:r w:rsidRPr="00EE24EF">
        <w:rPr>
          <w:i/>
          <w:iCs/>
        </w:rPr>
        <w:t>Moina australiensis</w:t>
      </w:r>
      <w:r w:rsidR="007E4194">
        <w:t>]</w:t>
      </w:r>
      <w:r w:rsidRPr="00EE24EF">
        <w:t>, copepods, conchostracans, rotifers, acari, bryozoa</w:t>
      </w:r>
      <w:r w:rsidR="0093284C">
        <w:t>,</w:t>
      </w:r>
      <w:r w:rsidRPr="00EE24EF">
        <w:t xml:space="preserve"> hydra</w:t>
      </w:r>
      <w:r w:rsidR="007E4194">
        <w:t>)</w:t>
      </w:r>
      <w:r w:rsidRPr="00EE24EF">
        <w:t>.</w:t>
      </w:r>
    </w:p>
    <w:p w14:paraId="627A6EF2" w14:textId="68EBA077" w:rsidR="00313FCA" w:rsidRDefault="00313FCA" w:rsidP="004D7186">
      <w:pPr>
        <w:pStyle w:val="FigureTableNoteSource"/>
      </w:pPr>
      <w:r w:rsidRPr="00EE24EF">
        <w:rPr>
          <w:vertAlign w:val="superscript"/>
        </w:rPr>
        <w:t>f</w:t>
      </w:r>
      <w:r w:rsidRPr="00EE24EF">
        <w:t xml:space="preserve"> For</w:t>
      </w:r>
      <w:r w:rsidRPr="57352DF8">
        <w:t xml:space="preserve"> chronic tests, ‘</w:t>
      </w:r>
      <w:r w:rsidR="001D35ED">
        <w:t>a</w:t>
      </w:r>
      <w:r w:rsidRPr="57352DF8">
        <w:t>ll’ encompasses all ecologically relevant endpoints measured in both single-</w:t>
      </w:r>
      <w:r w:rsidR="00494C8C" w:rsidRPr="00494C8C">
        <w:t xml:space="preserve"> </w:t>
      </w:r>
      <w:r w:rsidR="00494C8C" w:rsidRPr="57352DF8">
        <w:t>generation</w:t>
      </w:r>
      <w:r w:rsidRPr="57352DF8">
        <w:t xml:space="preserve"> and multi-generation tests.</w:t>
      </w:r>
    </w:p>
    <w:p w14:paraId="1D40471D" w14:textId="77777777" w:rsidR="00494C8C" w:rsidRPr="00494C8C" w:rsidRDefault="00494C8C" w:rsidP="00494C8C"/>
    <w:p w14:paraId="3C4D4381" w14:textId="77777777" w:rsidR="00C32F2E" w:rsidRDefault="00C32F2E" w:rsidP="00BD4CEC">
      <w:pPr>
        <w:pStyle w:val="Heading4"/>
      </w:pPr>
      <w:bookmarkStart w:id="65" w:name="_Ref202089431"/>
      <w:r>
        <w:t>Supporting information</w:t>
      </w:r>
      <w:bookmarkEnd w:id="65"/>
    </w:p>
    <w:p w14:paraId="26DCF540" w14:textId="79541F91" w:rsidR="00306698" w:rsidRDefault="00C32F2E" w:rsidP="004D7186">
      <w:r w:rsidRPr="57352DF8">
        <w:t xml:space="preserve">Wherever possible, relevant physicochemical information should be obtained from reliable sources for every chemical for which a GV is being derived. Relevant supporting information includes Chemical Abstract Services number, </w:t>
      </w:r>
      <w:r w:rsidR="00E673BE" w:rsidRPr="00E673BE">
        <w:t>International Union of Pure and Applied Chemistry</w:t>
      </w:r>
      <w:r w:rsidR="00E673BE">
        <w:t xml:space="preserve"> </w:t>
      </w:r>
      <w:r w:rsidRPr="57352DF8">
        <w:t xml:space="preserve">name, common name, aqueous solubility (at standard temperature 25°C), boiling and melting point, chemical formula, </w:t>
      </w:r>
      <w:r w:rsidR="00400098">
        <w:t xml:space="preserve">key </w:t>
      </w:r>
      <w:r w:rsidR="00F34C79">
        <w:t xml:space="preserve">degradation </w:t>
      </w:r>
      <w:r w:rsidR="00400098">
        <w:t xml:space="preserve">processes </w:t>
      </w:r>
      <w:r w:rsidR="00F34C79">
        <w:t xml:space="preserve">(including any metabolites of concern), </w:t>
      </w:r>
      <w:r w:rsidRPr="57352DF8">
        <w:t>half-life in water and sediment, molecular weight, octanol</w:t>
      </w:r>
      <w:r w:rsidR="00900235">
        <w:t>–</w:t>
      </w:r>
      <w:r w:rsidRPr="57352DF8">
        <w:t>water partition coefficient, organic carbon</w:t>
      </w:r>
      <w:r w:rsidR="007F58B1">
        <w:t>–</w:t>
      </w:r>
      <w:r w:rsidRPr="57352DF8">
        <w:t xml:space="preserve">water partition coefficient, partition coefficient, bioconcentration factor, specific gravity and vapour pressure. In relation to the specifics of the chemical used in a toxicity test from which data are used for a GV </w:t>
      </w:r>
      <w:r w:rsidR="00003122" w:rsidRPr="57352DF8">
        <w:t>derivation</w:t>
      </w:r>
      <w:r w:rsidR="00EA2E22" w:rsidRPr="57352DF8">
        <w:t xml:space="preserve">, information on the </w:t>
      </w:r>
      <w:r w:rsidR="00CF1060" w:rsidRPr="57352DF8">
        <w:t xml:space="preserve">form </w:t>
      </w:r>
      <w:r w:rsidR="00732771" w:rsidRPr="57352DF8">
        <w:t xml:space="preserve">(e.g. </w:t>
      </w:r>
      <w:r w:rsidR="000B2CEA" w:rsidRPr="57352DF8">
        <w:t>the</w:t>
      </w:r>
      <w:r w:rsidR="00732771" w:rsidRPr="57352DF8">
        <w:t xml:space="preserve"> salt </w:t>
      </w:r>
      <w:r w:rsidR="000B2CEA" w:rsidRPr="57352DF8">
        <w:t xml:space="preserve">that </w:t>
      </w:r>
      <w:r w:rsidR="005746DF" w:rsidRPr="57352DF8">
        <w:t>was tested</w:t>
      </w:r>
      <w:r w:rsidR="000B2CEA" w:rsidRPr="57352DF8">
        <w:t xml:space="preserve"> and its hydration</w:t>
      </w:r>
      <w:r w:rsidR="005746DF" w:rsidRPr="57352DF8">
        <w:t xml:space="preserve">) </w:t>
      </w:r>
      <w:r w:rsidR="00CF1060" w:rsidRPr="57352DF8">
        <w:t>and purity</w:t>
      </w:r>
      <w:r w:rsidR="00E912E4" w:rsidRPr="57352DF8">
        <w:t xml:space="preserve"> of the chemical that was used should also be documented.</w:t>
      </w:r>
      <w:r w:rsidR="00707B7E" w:rsidRPr="57352DF8">
        <w:t xml:space="preserve"> The oxidation state of the chemical may also be important information (e</w:t>
      </w:r>
      <w:r w:rsidR="007F4DC9" w:rsidRPr="57352DF8">
        <w:t>.g. chromium (III) or (VI))</w:t>
      </w:r>
      <w:r w:rsidR="00080EFD" w:rsidRPr="57352DF8">
        <w:t xml:space="preserve">. </w:t>
      </w:r>
      <w:r w:rsidR="00306698" w:rsidRPr="57352DF8">
        <w:t xml:space="preserve">Other </w:t>
      </w:r>
      <w:r w:rsidR="00292FA1" w:rsidRPr="57352DF8">
        <w:t xml:space="preserve">types of </w:t>
      </w:r>
      <w:r w:rsidR="00306698" w:rsidRPr="57352DF8">
        <w:t>information on the chemical that should be obtained include its m</w:t>
      </w:r>
      <w:r w:rsidR="0042682E" w:rsidRPr="57352DF8">
        <w:t>ode</w:t>
      </w:r>
      <w:r w:rsidR="00306698" w:rsidRPr="57352DF8">
        <w:t xml:space="preserve"> of action</w:t>
      </w:r>
      <w:r w:rsidR="008B20EF" w:rsidRPr="57352DF8">
        <w:t>,</w:t>
      </w:r>
      <w:r w:rsidR="00306698" w:rsidRPr="57352DF8">
        <w:t xml:space="preserve"> whether it is an essential element</w:t>
      </w:r>
      <w:r w:rsidR="007F58B1">
        <w:t>,</w:t>
      </w:r>
      <w:r w:rsidR="008B20EF" w:rsidRPr="57352DF8">
        <w:t xml:space="preserve"> and </w:t>
      </w:r>
      <w:r w:rsidR="003C1E7B" w:rsidRPr="57352DF8">
        <w:t xml:space="preserve">if there are any factors known to modify </w:t>
      </w:r>
      <w:r w:rsidR="006152DC" w:rsidRPr="57352DF8">
        <w:t>its toxicity.</w:t>
      </w:r>
      <w:r w:rsidR="00D31A63" w:rsidRPr="57352DF8">
        <w:t xml:space="preserve"> </w:t>
      </w:r>
      <w:r w:rsidR="009463F9" w:rsidRPr="57352DF8">
        <w:t>The s</w:t>
      </w:r>
      <w:r w:rsidR="00D31A63" w:rsidRPr="57352DF8">
        <w:t xml:space="preserve">upporting information will provide relevant context for the derivation as well as </w:t>
      </w:r>
      <w:r w:rsidR="007F58B1">
        <w:t xml:space="preserve">for </w:t>
      </w:r>
      <w:r w:rsidR="00D31A63" w:rsidRPr="57352DF8">
        <w:t>users of the GV, including (but not limited to):</w:t>
      </w:r>
    </w:p>
    <w:p w14:paraId="352CA4EA" w14:textId="62C78CF4" w:rsidR="00D31A63" w:rsidRPr="00CA4325" w:rsidRDefault="007F58B1" w:rsidP="00CA4325">
      <w:pPr>
        <w:pStyle w:val="ListBullet"/>
      </w:pPr>
      <w:r>
        <w:t>n</w:t>
      </w:r>
      <w:r w:rsidR="00D31A63" w:rsidRPr="00CA4325">
        <w:t>eed to derive a short-term (acute) or long-term (chronic) GV</w:t>
      </w:r>
      <w:r w:rsidR="009463F9" w:rsidRPr="00CA4325">
        <w:t xml:space="preserve"> or if bioaccumulation needs to be taken into account</w:t>
      </w:r>
    </w:p>
    <w:p w14:paraId="420BF4A5" w14:textId="62E55D7F" w:rsidR="00D31A63" w:rsidRPr="00CA4325" w:rsidRDefault="00D536AB" w:rsidP="00CA4325">
      <w:pPr>
        <w:pStyle w:val="ListBullet"/>
      </w:pPr>
      <w:r>
        <w:t>l</w:t>
      </w:r>
      <w:r w:rsidR="00D31A63" w:rsidRPr="00CA4325">
        <w:t>ikely behaviour of the toxicant in the environment and whether a short-term (acute) or long-term (chronic) GV is needed or the type of matrix for which a GV will be more relevant (e.g. water</w:t>
      </w:r>
      <w:r>
        <w:t>,</w:t>
      </w:r>
      <w:r w:rsidR="00D31A63" w:rsidRPr="00CA4325">
        <w:t xml:space="preserve"> sediment)</w:t>
      </w:r>
    </w:p>
    <w:p w14:paraId="2D0B21DB" w14:textId="746D55FA" w:rsidR="00B679A4" w:rsidRPr="00CA4325" w:rsidRDefault="00D536AB" w:rsidP="00CA4325">
      <w:pPr>
        <w:pStyle w:val="ListBullet"/>
      </w:pPr>
      <w:r>
        <w:t>i</w:t>
      </w:r>
      <w:r w:rsidR="009463F9" w:rsidRPr="00CA4325">
        <w:t>nformation to support decisions on data quality, such as the aqueous solubility limit, and purity and form of the toxicant</w:t>
      </w:r>
    </w:p>
    <w:p w14:paraId="0FDD05E7" w14:textId="5C8003CD" w:rsidR="009463F9" w:rsidRPr="00CA4325" w:rsidRDefault="00D536AB" w:rsidP="00CA4325">
      <w:pPr>
        <w:pStyle w:val="ListBullet"/>
      </w:pPr>
      <w:r>
        <w:t>i</w:t>
      </w:r>
      <w:r w:rsidR="009463F9" w:rsidRPr="00CA4325">
        <w:t>mportant toxicity</w:t>
      </w:r>
      <w:r>
        <w:t>-</w:t>
      </w:r>
      <w:r w:rsidR="009463F9" w:rsidRPr="00CA4325">
        <w:t>modifying factors</w:t>
      </w:r>
      <w:r w:rsidR="006A6071">
        <w:t xml:space="preserve"> (TMFs)</w:t>
      </w:r>
      <w:r w:rsidR="009463F9" w:rsidRPr="00CA4325">
        <w:t xml:space="preserve"> that might need to be accounted for in the derivation or application of the GV</w:t>
      </w:r>
    </w:p>
    <w:p w14:paraId="32226969" w14:textId="5559311C" w:rsidR="009463F9" w:rsidRPr="00CA4325" w:rsidRDefault="00AC314B" w:rsidP="00CA4325">
      <w:pPr>
        <w:pStyle w:val="ListBullet"/>
      </w:pPr>
      <w:r>
        <w:t>c</w:t>
      </w:r>
      <w:r w:rsidR="009463F9" w:rsidRPr="00CA4325">
        <w:t>larity on the exact toxicant for which the GV applies.</w:t>
      </w:r>
    </w:p>
    <w:p w14:paraId="49860F69" w14:textId="5D432B4B" w:rsidR="0047749D" w:rsidRPr="00A276A1" w:rsidRDefault="0047749D" w:rsidP="004D7186">
      <w:r>
        <w:t xml:space="preserve">The following physicochemical parameters of the </w:t>
      </w:r>
      <w:r w:rsidR="006061BE">
        <w:t xml:space="preserve">control/diluent </w:t>
      </w:r>
      <w:r>
        <w:t>water used for toxicity testing should also be documented where available: pH, salinity (or conductivity),</w:t>
      </w:r>
      <w:r w:rsidR="00E1152E">
        <w:t xml:space="preserve"> dissolved oxygen</w:t>
      </w:r>
      <w:r>
        <w:t>, hardness, alkalinity, dissolved organic carbon, temperature</w:t>
      </w:r>
      <w:r w:rsidR="00027BE9">
        <w:t>, light level and source (</w:t>
      </w:r>
      <w:r w:rsidR="001573A2">
        <w:t>especially for algal and plant testing)</w:t>
      </w:r>
      <w:r w:rsidR="00080730">
        <w:t>, diurnal period</w:t>
      </w:r>
      <w:r>
        <w:t xml:space="preserve"> and any additives to the water (</w:t>
      </w:r>
      <w:r w:rsidR="00142A0B">
        <w:t>e.g.</w:t>
      </w:r>
      <w:r>
        <w:t xml:space="preserve"> culture medium, food).</w:t>
      </w:r>
      <w:r w:rsidR="006061BE">
        <w:t xml:space="preserve"> </w:t>
      </w:r>
      <w:r w:rsidR="003D3137">
        <w:t>Depending on the chemical, i</w:t>
      </w:r>
      <w:r w:rsidR="006061BE">
        <w:t xml:space="preserve">t may also be worthwhile documenting major ion concentrations if they are </w:t>
      </w:r>
      <w:r w:rsidR="001E6978">
        <w:t>reported</w:t>
      </w:r>
      <w:r w:rsidR="00082F4E">
        <w:t xml:space="preserve"> (e.g. this will be important for metals </w:t>
      </w:r>
      <w:r w:rsidR="003B5857">
        <w:t xml:space="preserve">and other inorganics </w:t>
      </w:r>
      <w:r w:rsidR="00082F4E">
        <w:t xml:space="preserve">for which bioavailability </w:t>
      </w:r>
      <w:r w:rsidR="003B5857">
        <w:t>can be</w:t>
      </w:r>
      <w:r w:rsidR="00082F4E">
        <w:t xml:space="preserve"> influenced by specific major ions)</w:t>
      </w:r>
      <w:r w:rsidR="006061BE">
        <w:t>.</w:t>
      </w:r>
    </w:p>
    <w:p w14:paraId="775EEC7D" w14:textId="66F166DF" w:rsidR="00742E8D" w:rsidRPr="007C67F1" w:rsidRDefault="00742E8D" w:rsidP="00EA4AAF">
      <w:pPr>
        <w:pStyle w:val="Heading3"/>
      </w:pPr>
      <w:bookmarkStart w:id="66" w:name="_Ref522008190"/>
      <w:bookmarkStart w:id="67" w:name="_Toc202084769"/>
      <w:bookmarkStart w:id="68" w:name="_Toc206143329"/>
      <w:r>
        <w:lastRenderedPageBreak/>
        <w:t>Screening toxicity data</w:t>
      </w:r>
      <w:bookmarkEnd w:id="66"/>
      <w:bookmarkEnd w:id="67"/>
      <w:bookmarkEnd w:id="68"/>
    </w:p>
    <w:p w14:paraId="1F1E9AEA" w14:textId="4E81B396" w:rsidR="00B679A4" w:rsidRDefault="00742E8D" w:rsidP="004D7186">
      <w:r w:rsidRPr="57352DF8">
        <w:t xml:space="preserve">Once the toxicity data have been collated, </w:t>
      </w:r>
      <w:r w:rsidR="00A0375B" w:rsidRPr="57352DF8">
        <w:t>they</w:t>
      </w:r>
      <w:r w:rsidR="00D54C5A" w:rsidRPr="57352DF8">
        <w:t xml:space="preserve"> </w:t>
      </w:r>
      <w:r w:rsidRPr="57352DF8">
        <w:t xml:space="preserve">should be screened to determine their suitability for use in GV derivation. </w:t>
      </w:r>
      <w:r w:rsidR="00313FCA">
        <w:t xml:space="preserve">Key considerations for data suitability are described below and are also relevant to Section </w:t>
      </w:r>
      <w:r w:rsidR="00387F70">
        <w:fldChar w:fldCharType="begin"/>
      </w:r>
      <w:r w:rsidR="00387F70">
        <w:instrText xml:space="preserve"> REF _Ref202088617 \r \h </w:instrText>
      </w:r>
      <w:r w:rsidR="00387F70">
        <w:fldChar w:fldCharType="separate"/>
      </w:r>
      <w:r w:rsidR="006C5761">
        <w:t>3.3</w:t>
      </w:r>
      <w:r w:rsidR="00387F70">
        <w:fldChar w:fldCharType="end"/>
      </w:r>
      <w:r w:rsidR="00313FCA">
        <w:t>.</w:t>
      </w:r>
      <w:bookmarkStart w:id="69" w:name="_Ref202088714"/>
    </w:p>
    <w:p w14:paraId="3A78F8F7" w14:textId="77777777" w:rsidR="00B85DE9" w:rsidRDefault="00B85DE9" w:rsidP="00BD4CEC">
      <w:pPr>
        <w:pStyle w:val="Heading4"/>
      </w:pPr>
      <w:r>
        <w:t>Ecological relevance</w:t>
      </w:r>
      <w:bookmarkEnd w:id="69"/>
    </w:p>
    <w:p w14:paraId="4DF3F199" w14:textId="4A188583" w:rsidR="00B85DE9" w:rsidRPr="00A276A1" w:rsidRDefault="00B85DE9" w:rsidP="004D7186">
      <w:r w:rsidRPr="57352DF8">
        <w:t>Endpoints that are considered to be ecologically relevant (e.g. lethality, immobilisation, growth, development, population growth</w:t>
      </w:r>
      <w:r w:rsidR="00722977">
        <w:t>,</w:t>
      </w:r>
      <w:r w:rsidRPr="57352DF8">
        <w:t xml:space="preserve"> reproduction) can be used to derive GVs. Non-traditional endpoints</w:t>
      </w:r>
      <w:r w:rsidR="00722977">
        <w:t>,</w:t>
      </w:r>
      <w:r w:rsidRPr="57352DF8">
        <w:t xml:space="preserve"> such as photosynthesis inhibition, </w:t>
      </w:r>
      <w:r w:rsidRPr="57352DF8">
        <w:rPr>
          <w:i/>
          <w:iCs/>
        </w:rPr>
        <w:t>in</w:t>
      </w:r>
      <w:r w:rsidR="00722977">
        <w:rPr>
          <w:i/>
          <w:iCs/>
        </w:rPr>
        <w:t>-</w:t>
      </w:r>
      <w:r w:rsidRPr="57352DF8">
        <w:rPr>
          <w:i/>
          <w:iCs/>
        </w:rPr>
        <w:t>vivo</w:t>
      </w:r>
      <w:r w:rsidRPr="57352DF8">
        <w:t xml:space="preserve"> biochemical and physiological endpoints, behavioural endpoints, and genotoxicity and mutagenicity, may also be used provided that their ecological relevance for the species, or closely related species, has been unequivocally demonstrated. An endpoint is considered to have ecological relevance when it negatively affects a species’ ecological competitiveness (</w:t>
      </w:r>
      <w:r w:rsidR="00722977">
        <w:t>i.e.</w:t>
      </w:r>
      <w:r w:rsidRPr="57352DF8">
        <w:t xml:space="preserve"> its ability to increase the frequency of its genes in subsequent generations). What is considered ecologically relevant will be both species- and toxicant-specific. An effect on a species’ competitiveness can be direct or indirect in the case of a symbiotic organism such as zooxanthellae in corals. </w:t>
      </w:r>
      <w:r w:rsidR="00D509CE">
        <w:t>O</w:t>
      </w:r>
      <w:r w:rsidRPr="57352DF8">
        <w:t>rganism</w:t>
      </w:r>
      <w:r w:rsidR="00D509CE">
        <w:t>-</w:t>
      </w:r>
      <w:r w:rsidRPr="57352DF8">
        <w:t>level endpoints</w:t>
      </w:r>
      <w:r w:rsidR="007B5896">
        <w:t xml:space="preserve"> (also referred to as </w:t>
      </w:r>
      <w:r w:rsidR="008E3993">
        <w:t>‘</w:t>
      </w:r>
      <w:r w:rsidR="007B5896">
        <w:t>apical endpoints</w:t>
      </w:r>
      <w:r w:rsidR="008E3993">
        <w:t>’</w:t>
      </w:r>
      <w:r w:rsidR="007B5896">
        <w:t>)</w:t>
      </w:r>
      <w:r w:rsidR="00D509CE">
        <w:t>,</w:t>
      </w:r>
      <w:r w:rsidRPr="57352DF8">
        <w:t xml:space="preserve"> such as survival, immobilisation, growth, development and reproduction</w:t>
      </w:r>
      <w:r w:rsidR="00D509CE">
        <w:t>,</w:t>
      </w:r>
      <w:r w:rsidRPr="57352DF8">
        <w:t xml:space="preserve"> are typically considered to be ecologically relevant endpoints in that they are likely to manifest in effects at the population level. Non-traditional endpoints that have had their ecological relevance demonstrated</w:t>
      </w:r>
      <w:r w:rsidR="00B31B44">
        <w:t>,</w:t>
      </w:r>
      <w:r w:rsidRPr="57352DF8">
        <w:t xml:space="preserve"> through clear </w:t>
      </w:r>
      <w:r w:rsidR="008E3993">
        <w:t>evidence</w:t>
      </w:r>
      <w:r w:rsidR="008E3993" w:rsidRPr="57352DF8">
        <w:t xml:space="preserve"> </w:t>
      </w:r>
      <w:r w:rsidRPr="57352DF8">
        <w:t xml:space="preserve">that effects on these endpoints will manifest in effects at the organism level, can be used to derive GVs. Otherwise, they should only be used as an additional line of evidence in </w:t>
      </w:r>
      <w:r w:rsidR="00455823">
        <w:t xml:space="preserve">risk assessments based on </w:t>
      </w:r>
      <w:r w:rsidRPr="57352DF8">
        <w:t>weight</w:t>
      </w:r>
      <w:r w:rsidR="00455823">
        <w:t xml:space="preserve"> </w:t>
      </w:r>
      <w:r w:rsidRPr="57352DF8">
        <w:t>of</w:t>
      </w:r>
      <w:r w:rsidR="00455823">
        <w:t xml:space="preserve"> </w:t>
      </w:r>
      <w:r w:rsidRPr="57352DF8">
        <w:t>evidence (WoE). When deriving site-specific GVs, the onus of proving ecological relevance of an endpoint lies with the organisation or person deriving the GV. Special consideration can be given to the use of non-traditional endpoints for which ecological relevance has not been demonstrated if they are the only data available for unique environments (e.g. polar environments) for which regional or site-specific GVs are to be derived. This extends to the use of genomic and multi-omic data in environmental assessments and, potentially, GV derivation. Again, appropriate justification for all decisions should be provided.</w:t>
      </w:r>
    </w:p>
    <w:p w14:paraId="22885A91" w14:textId="0D259EF5" w:rsidR="00B85DE9" w:rsidRDefault="00B85DE9" w:rsidP="004D7186">
      <w:r w:rsidRPr="57352DF8">
        <w:t xml:space="preserve">When searching for and compiling data for GV derivation, it is advisable that the literature search be restricted to data based on traditional endpoints </w:t>
      </w:r>
      <w:r w:rsidR="000163C4">
        <w:t>and that</w:t>
      </w:r>
      <w:r w:rsidR="000163C4" w:rsidRPr="57352DF8">
        <w:t xml:space="preserve"> </w:t>
      </w:r>
      <w:r w:rsidRPr="57352DF8">
        <w:t xml:space="preserve">data from non-traditional endpoints </w:t>
      </w:r>
      <w:r w:rsidR="008A07D8">
        <w:t xml:space="preserve">are </w:t>
      </w:r>
      <w:r w:rsidRPr="57352DF8">
        <w:t>evaluated only in exceptional circumstances</w:t>
      </w:r>
      <w:r w:rsidR="00AD5A2C">
        <w:t>;</w:t>
      </w:r>
      <w:r w:rsidRPr="57352DF8">
        <w:t xml:space="preserve"> for example, where there are insufficient traditional data or to address particular site-specific concerns.</w:t>
      </w:r>
    </w:p>
    <w:p w14:paraId="11E9C72C" w14:textId="41D76643" w:rsidR="00B679A4" w:rsidRDefault="00B85DE9" w:rsidP="004D7186">
      <w:r w:rsidRPr="57352DF8">
        <w:t>In some cases, toxicity data may exist for species that are considered nuisance species, such as regional invasive pest species and toxin-producing, bloom-forming blue-green algae. Unless a professional judgement to exclude potential nuisance species can be clearly made and documented (e.g. where a highly sensitive nuisance species will skew the overall SSD and associated DGVs), then such species should be included in the dataset for GV derivation.</w:t>
      </w:r>
    </w:p>
    <w:p w14:paraId="04547CB6" w14:textId="40DFB160" w:rsidR="00B85DE9" w:rsidRDefault="00B85DE9" w:rsidP="004D7186">
      <w:r w:rsidRPr="57352DF8">
        <w:t xml:space="preserve">There are few geographical restrictions to the use of toxicity data for deriving DGVs. </w:t>
      </w:r>
      <w:r w:rsidR="00775545" w:rsidRPr="00037913">
        <w:t xml:space="preserve">While </w:t>
      </w:r>
      <w:r w:rsidR="00775545">
        <w:t xml:space="preserve">toxicity </w:t>
      </w:r>
      <w:r w:rsidR="00775545" w:rsidRPr="00037913">
        <w:t>data f</w:t>
      </w:r>
      <w:r w:rsidR="00775545">
        <w:t>or</w:t>
      </w:r>
      <w:r w:rsidR="00775545" w:rsidRPr="00037913">
        <w:t xml:space="preserve"> Aust</w:t>
      </w:r>
      <w:r w:rsidR="00775545">
        <w:t>ralian</w:t>
      </w:r>
      <w:r w:rsidR="00775545" w:rsidRPr="00037913">
        <w:t xml:space="preserve"> and </w:t>
      </w:r>
      <w:r w:rsidR="00775545">
        <w:t>New Zealand</w:t>
      </w:r>
      <w:r w:rsidR="00775545" w:rsidRPr="00037913">
        <w:t xml:space="preserve"> species are most relevant </w:t>
      </w:r>
      <w:r w:rsidR="00775545">
        <w:t xml:space="preserve">and should be used </w:t>
      </w:r>
      <w:r w:rsidR="00775545" w:rsidRPr="00037913">
        <w:t>(provided they pass the quality</w:t>
      </w:r>
      <w:r w:rsidR="008028A6">
        <w:t>-</w:t>
      </w:r>
      <w:r w:rsidR="00775545">
        <w:t>assessment</w:t>
      </w:r>
      <w:r w:rsidR="00775545" w:rsidRPr="00037913">
        <w:t xml:space="preserve"> criteria), </w:t>
      </w:r>
      <w:r w:rsidR="00775545">
        <w:t xml:space="preserve">toxicity </w:t>
      </w:r>
      <w:r w:rsidR="00775545" w:rsidRPr="00037913">
        <w:t>data f</w:t>
      </w:r>
      <w:r w:rsidR="00775545">
        <w:t>or non-Australian/New Zealand species should</w:t>
      </w:r>
      <w:r w:rsidR="00775545" w:rsidRPr="00037913">
        <w:t xml:space="preserve"> also be used</w:t>
      </w:r>
      <w:r w:rsidR="00775545">
        <w:t xml:space="preserve"> </w:t>
      </w:r>
      <w:r w:rsidR="00775545" w:rsidRPr="00037913">
        <w:t>(provided they pass the quality</w:t>
      </w:r>
      <w:r w:rsidR="006A6D07">
        <w:t>-</w:t>
      </w:r>
      <w:r w:rsidR="00775545">
        <w:t>assessment</w:t>
      </w:r>
      <w:r w:rsidR="00775545" w:rsidRPr="00037913">
        <w:t xml:space="preserve"> criteria)</w:t>
      </w:r>
      <w:r w:rsidR="006A6D07">
        <w:t>,</w:t>
      </w:r>
      <w:r w:rsidR="00775545" w:rsidRPr="00037913">
        <w:t xml:space="preserve"> to maximise the number of </w:t>
      </w:r>
      <w:r w:rsidR="00775545">
        <w:t>species and taxonomic groups represented in</w:t>
      </w:r>
      <w:r w:rsidR="00775545" w:rsidRPr="00037913">
        <w:t xml:space="preserve"> the SSD</w:t>
      </w:r>
      <w:r w:rsidR="00F34C79">
        <w:t xml:space="preserve">. </w:t>
      </w:r>
      <w:r w:rsidRPr="57352DF8">
        <w:t>Data for temperate and tropical species can be used to derive a single set of DGVs for a toxicant</w:t>
      </w:r>
      <w:r w:rsidR="00881169">
        <w:t>,</w:t>
      </w:r>
      <w:r w:rsidRPr="57352DF8">
        <w:t xml:space="preserve"> unless there is sufficient evidence to indicate that there </w:t>
      </w:r>
      <w:r w:rsidRPr="57352DF8">
        <w:lastRenderedPageBreak/>
        <w:t>are clear differences in the sensitivity of species between these climatic zones</w:t>
      </w:r>
      <w:r w:rsidR="00881169">
        <w:t>,</w:t>
      </w:r>
      <w:r w:rsidRPr="57352DF8">
        <w:t xml:space="preserve"> in which case DGVs for different climatic zones might need to be derived. Also, given the very different physiological characteristics of polar species and polar environments compared with temperate and tropical regions (Gissi et al. 2020), it is recommended that data for polar species under polar conditions are not used to derive DGVs for other regions. Geographical restrictions will most likely be needed for site-specific GVs (see van Dam et al. 2019 for relevant guidance).</w:t>
      </w:r>
      <w:r w:rsidR="005E3777">
        <w:t xml:space="preserve"> Both western and </w:t>
      </w:r>
      <w:r w:rsidR="00881169">
        <w:t>I</w:t>
      </w:r>
      <w:r w:rsidR="005E3777">
        <w:t xml:space="preserve">ndigenous knowledge on local species and </w:t>
      </w:r>
      <w:r w:rsidR="00F07142">
        <w:t xml:space="preserve">relevant </w:t>
      </w:r>
      <w:r w:rsidR="005E3777">
        <w:t>environmental conditions</w:t>
      </w:r>
      <w:r w:rsidR="00F07142">
        <w:t xml:space="preserve"> </w:t>
      </w:r>
      <w:r w:rsidR="0082642A">
        <w:t>are</w:t>
      </w:r>
      <w:r w:rsidR="005E3777">
        <w:t xml:space="preserve"> likely to be important </w:t>
      </w:r>
      <w:r w:rsidR="00F07142">
        <w:t>for</w:t>
      </w:r>
      <w:r w:rsidR="005E3777">
        <w:t xml:space="preserve"> determining the </w:t>
      </w:r>
      <w:r w:rsidR="00FB1159">
        <w:t xml:space="preserve">need and </w:t>
      </w:r>
      <w:r w:rsidR="005E3777">
        <w:t>requirements for site-specific GVs.</w:t>
      </w:r>
    </w:p>
    <w:p w14:paraId="4EECC551" w14:textId="4D801DF2" w:rsidR="00B85DE9" w:rsidRDefault="00B85DE9" w:rsidP="00BD4CEC">
      <w:pPr>
        <w:pStyle w:val="Heading4"/>
      </w:pPr>
      <w:bookmarkStart w:id="70" w:name="_Ref202090908"/>
      <w:r>
        <w:t>Checking for significant limitations of toxicity data</w:t>
      </w:r>
      <w:bookmarkEnd w:id="70"/>
    </w:p>
    <w:p w14:paraId="118C54E0" w14:textId="77777777" w:rsidR="006C5761" w:rsidRDefault="00742E8D" w:rsidP="00624B5A">
      <w:r w:rsidRPr="57352DF8">
        <w:t xml:space="preserve">Data </w:t>
      </w:r>
      <w:r w:rsidR="00317B0E" w:rsidRPr="57352DF8">
        <w:t xml:space="preserve">with </w:t>
      </w:r>
      <w:r w:rsidRPr="57352DF8">
        <w:t xml:space="preserve">any of the characteristics presented in </w:t>
      </w:r>
      <w:r>
        <w:fldChar w:fldCharType="begin"/>
      </w:r>
      <w:r>
        <w:instrText xml:space="preserve"> REF _Ref520276250 \h </w:instrText>
      </w:r>
      <w:r>
        <w:fldChar w:fldCharType="separate"/>
      </w:r>
    </w:p>
    <w:p w14:paraId="09AA4624" w14:textId="77777777" w:rsidR="006C5761" w:rsidRDefault="006C5761" w:rsidP="00624B5A">
      <w:r w:rsidRPr="57352DF8">
        <w:t>Table</w:t>
      </w:r>
      <w:r>
        <w:t> </w:t>
      </w:r>
      <w:r>
        <w:rPr>
          <w:noProof/>
        </w:rPr>
        <w:t>2</w:t>
      </w:r>
      <w:r w:rsidR="00742E8D">
        <w:fldChar w:fldCharType="end"/>
      </w:r>
      <w:r w:rsidR="00365705" w:rsidRPr="57352DF8">
        <w:t xml:space="preserve"> </w:t>
      </w:r>
      <w:r w:rsidR="00742E8D" w:rsidRPr="57352DF8">
        <w:t>should not be used, unless a strong justification is provided.</w:t>
      </w:r>
      <w:r w:rsidR="00124BFE" w:rsidRPr="57352DF8">
        <w:t xml:space="preserve"> </w:t>
      </w:r>
      <w:r w:rsidR="008100A7">
        <w:t xml:space="preserve">A number of these characteristics are discussed throughout Section </w:t>
      </w:r>
      <w:r w:rsidR="00387F70">
        <w:fldChar w:fldCharType="begin"/>
      </w:r>
      <w:r w:rsidR="00387F70">
        <w:instrText xml:space="preserve"> REF _Ref522008190 \r \h </w:instrText>
      </w:r>
      <w:r w:rsidR="00387F70">
        <w:fldChar w:fldCharType="separate"/>
      </w:r>
      <w:r>
        <w:t>3.2</w:t>
      </w:r>
      <w:r w:rsidR="00387F70">
        <w:fldChar w:fldCharType="end"/>
      </w:r>
      <w:r w:rsidR="008100A7">
        <w:t xml:space="preserve"> and are also covered in the </w:t>
      </w:r>
      <w:r w:rsidR="006036CB">
        <w:t xml:space="preserve">process for </w:t>
      </w:r>
      <w:r w:rsidR="008100A7">
        <w:t>data</w:t>
      </w:r>
      <w:r w:rsidR="006036CB">
        <w:t>-</w:t>
      </w:r>
      <w:r w:rsidR="008100A7">
        <w:t>quality</w:t>
      </w:r>
      <w:r w:rsidR="006036CB">
        <w:t xml:space="preserve"> </w:t>
      </w:r>
      <w:r w:rsidR="008100A7">
        <w:t xml:space="preserve">assessment described in Section </w:t>
      </w:r>
      <w:r w:rsidR="00387F70">
        <w:fldChar w:fldCharType="begin"/>
      </w:r>
      <w:r w:rsidR="00387F70">
        <w:instrText xml:space="preserve"> REF _Ref522007975 \r \h </w:instrText>
      </w:r>
      <w:r w:rsidR="00387F70">
        <w:fldChar w:fldCharType="separate"/>
      </w:r>
      <w:r>
        <w:t>3.3.1</w:t>
      </w:r>
      <w:r w:rsidR="00387F70">
        <w:fldChar w:fldCharType="end"/>
      </w:r>
      <w:r w:rsidR="008100A7">
        <w:t xml:space="preserve">. </w:t>
      </w:r>
      <w:r w:rsidR="00C3089F">
        <w:t>An e</w:t>
      </w:r>
      <w:r w:rsidR="000C2576" w:rsidRPr="57352DF8">
        <w:t>xample of</w:t>
      </w:r>
      <w:r w:rsidR="00124BFE" w:rsidRPr="57352DF8">
        <w:t xml:space="preserve"> </w:t>
      </w:r>
      <w:r w:rsidR="000677F4" w:rsidRPr="57352DF8">
        <w:t xml:space="preserve">possible </w:t>
      </w:r>
      <w:r w:rsidR="00124BFE" w:rsidRPr="57352DF8">
        <w:t>justification</w:t>
      </w:r>
      <w:r w:rsidR="000C2576" w:rsidRPr="57352DF8">
        <w:t xml:space="preserve">s to include </w:t>
      </w:r>
      <w:r w:rsidR="00B05BC8" w:rsidRPr="57352DF8">
        <w:t>data</w:t>
      </w:r>
      <w:r w:rsidR="00124BFE" w:rsidRPr="57352DF8">
        <w:t xml:space="preserve"> </w:t>
      </w:r>
      <w:r w:rsidR="00A00906" w:rsidRPr="57352DF8">
        <w:t xml:space="preserve">that </w:t>
      </w:r>
      <w:r w:rsidR="00676D2F" w:rsidRPr="57352DF8">
        <w:t xml:space="preserve">have </w:t>
      </w:r>
      <w:r w:rsidR="006B1B0E" w:rsidRPr="57352DF8">
        <w:t>the types of</w:t>
      </w:r>
      <w:r w:rsidR="00676D2F" w:rsidRPr="57352DF8">
        <w:t xml:space="preserve"> limitations </w:t>
      </w:r>
      <w:r w:rsidR="006B1B0E" w:rsidRPr="57352DF8">
        <w:t xml:space="preserve">listed in </w:t>
      </w:r>
      <w:r w:rsidR="00742E8D">
        <w:fldChar w:fldCharType="begin"/>
      </w:r>
      <w:r w:rsidR="00742E8D">
        <w:instrText xml:space="preserve"> REF _Ref520276250 \h </w:instrText>
      </w:r>
      <w:r w:rsidR="00742E8D">
        <w:fldChar w:fldCharType="separate"/>
      </w:r>
    </w:p>
    <w:p w14:paraId="010B520E" w14:textId="3ED227E5" w:rsidR="00BA0672" w:rsidRDefault="006C5761" w:rsidP="00624B5A">
      <w:r w:rsidRPr="57352DF8">
        <w:t>Table</w:t>
      </w:r>
      <w:r>
        <w:t> </w:t>
      </w:r>
      <w:r>
        <w:rPr>
          <w:noProof/>
        </w:rPr>
        <w:t>2</w:t>
      </w:r>
      <w:r w:rsidR="00742E8D">
        <w:fldChar w:fldCharType="end"/>
      </w:r>
      <w:r w:rsidR="006B1B0E" w:rsidRPr="57352DF8">
        <w:t xml:space="preserve"> </w:t>
      </w:r>
      <w:r w:rsidR="00124BFE" w:rsidRPr="57352DF8">
        <w:t xml:space="preserve">include that the data represent the only available data for a species </w:t>
      </w:r>
      <w:r w:rsidR="007300B6" w:rsidRPr="57352DF8">
        <w:t>or that the</w:t>
      </w:r>
      <w:r w:rsidR="00BC67E4" w:rsidRPr="57352DF8">
        <w:t xml:space="preserve"> exclusion</w:t>
      </w:r>
      <w:r w:rsidR="007300B6" w:rsidRPr="57352DF8">
        <w:t xml:space="preserve"> rule </w:t>
      </w:r>
      <w:r w:rsidR="00BC67E4" w:rsidRPr="57352DF8">
        <w:t>results in insufficient data being available to derive the GV.</w:t>
      </w:r>
      <w:r w:rsidR="001F54F3" w:rsidRPr="57352DF8">
        <w:t xml:space="preserve"> Guideline values derived using </w:t>
      </w:r>
      <w:r w:rsidR="001417B3" w:rsidRPr="57352DF8">
        <w:t xml:space="preserve">data with limited reliability </w:t>
      </w:r>
      <w:r w:rsidR="007B5849" w:rsidRPr="57352DF8">
        <w:t>should</w:t>
      </w:r>
      <w:r w:rsidR="00F669BE" w:rsidRPr="57352DF8">
        <w:t xml:space="preserve"> be accompanied by</w:t>
      </w:r>
      <w:r w:rsidR="001417B3" w:rsidRPr="57352DF8">
        <w:t xml:space="preserve"> a caveat </w:t>
      </w:r>
      <w:r w:rsidR="00F669BE" w:rsidRPr="57352DF8">
        <w:t>describing the nature of the data limitations</w:t>
      </w:r>
      <w:r w:rsidR="001417B3" w:rsidRPr="57352DF8">
        <w:t xml:space="preserve"> </w:t>
      </w:r>
      <w:r w:rsidR="00F669BE" w:rsidRPr="57352DF8">
        <w:t xml:space="preserve">(also see Section </w:t>
      </w:r>
      <w:r w:rsidR="00742E8D">
        <w:fldChar w:fldCharType="begin"/>
      </w:r>
      <w:r w:rsidR="00742E8D">
        <w:instrText xml:space="preserve"> REF _Ref522008106 \r \h </w:instrText>
      </w:r>
      <w:r w:rsidR="00742E8D">
        <w:fldChar w:fldCharType="separate"/>
      </w:r>
      <w:r>
        <w:t>3.8</w:t>
      </w:r>
      <w:r w:rsidR="00742E8D">
        <w:fldChar w:fldCharType="end"/>
      </w:r>
      <w:r w:rsidR="00F669BE" w:rsidRPr="57352DF8">
        <w:t xml:space="preserve"> regarding caveats </w:t>
      </w:r>
      <w:r w:rsidR="001C41C1" w:rsidRPr="57352DF8">
        <w:t>on DGVs</w:t>
      </w:r>
      <w:r w:rsidR="00F669BE" w:rsidRPr="57352DF8">
        <w:t>).</w:t>
      </w:r>
      <w:bookmarkStart w:id="71" w:name="_Ref520276250"/>
    </w:p>
    <w:p w14:paraId="437EBCD9" w14:textId="0435925E" w:rsidR="00640BC1" w:rsidRPr="00350230" w:rsidRDefault="00640BC1" w:rsidP="00640BC1">
      <w:pPr>
        <w:pStyle w:val="Caption"/>
      </w:pPr>
      <w:bookmarkStart w:id="72" w:name="_Toc206085215"/>
      <w:r w:rsidRPr="57352DF8">
        <w:t>Table</w:t>
      </w:r>
      <w:r w:rsidR="00F00518">
        <w:t> </w:t>
      </w:r>
      <w:r w:rsidRPr="57352DF8">
        <w:rPr>
          <w:noProof/>
        </w:rPr>
        <w:fldChar w:fldCharType="begin"/>
      </w:r>
      <w:r w:rsidRPr="57352DF8">
        <w:rPr>
          <w:noProof/>
        </w:rPr>
        <w:instrText xml:space="preserve"> SEQ Table \* ARABIC </w:instrText>
      </w:r>
      <w:r w:rsidRPr="57352DF8">
        <w:rPr>
          <w:noProof/>
        </w:rPr>
        <w:fldChar w:fldCharType="separate"/>
      </w:r>
      <w:r w:rsidR="006C5761">
        <w:rPr>
          <w:noProof/>
        </w:rPr>
        <w:t>2</w:t>
      </w:r>
      <w:r w:rsidRPr="57352DF8">
        <w:rPr>
          <w:noProof/>
        </w:rPr>
        <w:fldChar w:fldCharType="end"/>
      </w:r>
      <w:bookmarkEnd w:id="71"/>
      <w:r w:rsidRPr="57352DF8">
        <w:t xml:space="preserve"> Circumstances and types of toxicity data that should not be used for derivation of guideline values</w:t>
      </w:r>
      <w:r w:rsidRPr="57352DF8">
        <w:rPr>
          <w:vertAlign w:val="superscript"/>
        </w:rPr>
        <w:t>a</w:t>
      </w:r>
      <w:bookmarkEnd w:id="7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Caption w:val="Circumstances and types of toxicity data for which guideline values should not be calculated"/>
        <w:tblDescription w:val="Table shows the four test characterisitics (experimental design, duration of exposure, toxicological endpoint and aqueous solubility) for which, under certain conditions (listed in the table), guideline values should not be calculated."/>
      </w:tblPr>
      <w:tblGrid>
        <w:gridCol w:w="2044"/>
        <w:gridCol w:w="7026"/>
      </w:tblGrid>
      <w:tr w:rsidR="00640BC1" w14:paraId="73ED6DFB" w14:textId="77777777" w:rsidTr="00CA4325">
        <w:trPr>
          <w:cantSplit/>
          <w:trHeight w:val="495"/>
          <w:tblHeader/>
        </w:trPr>
        <w:tc>
          <w:tcPr>
            <w:tcW w:w="1127" w:type="pct"/>
            <w:tcBorders>
              <w:top w:val="single" w:sz="12" w:space="0" w:color="auto"/>
              <w:bottom w:val="single" w:sz="12" w:space="0" w:color="auto"/>
            </w:tcBorders>
            <w:vAlign w:val="center"/>
          </w:tcPr>
          <w:p w14:paraId="701FAD5E" w14:textId="532EE353" w:rsidR="00640BC1" w:rsidRPr="00297549" w:rsidRDefault="00CA4325" w:rsidP="00CA4325">
            <w:pPr>
              <w:pStyle w:val="TableHeading"/>
            </w:pPr>
            <w:r>
              <w:t>Test characteristic</w:t>
            </w:r>
          </w:p>
        </w:tc>
        <w:tc>
          <w:tcPr>
            <w:tcW w:w="3873" w:type="pct"/>
            <w:tcBorders>
              <w:top w:val="single" w:sz="12" w:space="0" w:color="auto"/>
              <w:bottom w:val="single" w:sz="12" w:space="0" w:color="auto"/>
            </w:tcBorders>
            <w:vAlign w:val="center"/>
          </w:tcPr>
          <w:p w14:paraId="0A4AD581" w14:textId="2EE9528D" w:rsidR="00640BC1" w:rsidRPr="00297549" w:rsidRDefault="00CA4325" w:rsidP="00CA4325">
            <w:pPr>
              <w:pStyle w:val="TableHeading"/>
            </w:pPr>
            <w:r>
              <w:t xml:space="preserve">Conditions that warrant exclusion of the data from </w:t>
            </w:r>
            <w:r w:rsidR="009C0836">
              <w:t>default guideline value derivation</w:t>
            </w:r>
          </w:p>
        </w:tc>
      </w:tr>
      <w:tr w:rsidR="00640BC1" w:rsidRPr="00A21CD3" w14:paraId="63E05879" w14:textId="77777777" w:rsidTr="00CA4325">
        <w:trPr>
          <w:cantSplit/>
        </w:trPr>
        <w:tc>
          <w:tcPr>
            <w:tcW w:w="1127" w:type="pct"/>
            <w:tcBorders>
              <w:top w:val="single" w:sz="12" w:space="0" w:color="auto"/>
            </w:tcBorders>
          </w:tcPr>
          <w:p w14:paraId="76A13842" w14:textId="77777777" w:rsidR="00640BC1" w:rsidRPr="00A21CD3" w:rsidRDefault="00640BC1" w:rsidP="001F51F1">
            <w:pPr>
              <w:pStyle w:val="TableText"/>
            </w:pPr>
            <w:r w:rsidRPr="00A21CD3">
              <w:t>Experimental design</w:t>
            </w:r>
          </w:p>
        </w:tc>
        <w:tc>
          <w:tcPr>
            <w:tcW w:w="3873" w:type="pct"/>
            <w:tcBorders>
              <w:top w:val="single" w:sz="12" w:space="0" w:color="auto"/>
            </w:tcBorders>
          </w:tcPr>
          <w:p w14:paraId="21F82268" w14:textId="0DD448CA" w:rsidR="00640BC1" w:rsidRDefault="00640BC1" w:rsidP="001F51F1">
            <w:pPr>
              <w:pStyle w:val="TableText"/>
            </w:pPr>
            <w:r w:rsidRPr="00A21CD3">
              <w:t>Where the test concentrations differ by a large amount (</w:t>
            </w:r>
            <w:r w:rsidR="00664D9E">
              <w:t>e.g.</w:t>
            </w:r>
            <w:r w:rsidRPr="00A21CD3">
              <w:t xml:space="preserve"> </w:t>
            </w:r>
            <w:r w:rsidRPr="00A21CD3">
              <w:rPr>
                <w:rFonts w:cs="Arial"/>
              </w:rPr>
              <w:t>≥</w:t>
            </w:r>
            <w:r w:rsidR="00664D9E">
              <w:rPr>
                <w:rFonts w:cs="Arial"/>
              </w:rPr>
              <w:t> </w:t>
            </w:r>
            <w:r w:rsidRPr="00A21CD3">
              <w:t>10-fold differences such as 1, 10, 100, 1</w:t>
            </w:r>
            <w:r w:rsidR="00664D9E">
              <w:t>,</w:t>
            </w:r>
            <w:r w:rsidRPr="00A21CD3">
              <w:t>000 and 10</w:t>
            </w:r>
            <w:r w:rsidR="00664D9E">
              <w:t>,</w:t>
            </w:r>
            <w:r w:rsidRPr="00A21CD3">
              <w:t>000</w:t>
            </w:r>
            <w:r w:rsidR="00664D9E">
              <w:t> </w:t>
            </w:r>
            <w:r w:rsidRPr="00A21CD3">
              <w:t>µg/L)</w:t>
            </w:r>
            <w:r>
              <w:t xml:space="preserve"> </w:t>
            </w:r>
            <w:r>
              <w:rPr>
                <w:szCs w:val="18"/>
                <w:lang w:val="en-US"/>
              </w:rPr>
              <w:t xml:space="preserve">(refer to Section </w:t>
            </w:r>
            <w:r w:rsidR="00387F70">
              <w:rPr>
                <w:szCs w:val="18"/>
                <w:lang w:val="en-US"/>
              </w:rPr>
              <w:fldChar w:fldCharType="begin"/>
            </w:r>
            <w:r w:rsidR="00387F70">
              <w:rPr>
                <w:szCs w:val="18"/>
                <w:lang w:val="en-US"/>
              </w:rPr>
              <w:instrText xml:space="preserve"> REF _Ref522007975 \r \h </w:instrText>
            </w:r>
            <w:r w:rsidR="00387F70">
              <w:rPr>
                <w:szCs w:val="18"/>
                <w:lang w:val="en-US"/>
              </w:rPr>
            </w:r>
            <w:r w:rsidR="00387F70">
              <w:rPr>
                <w:szCs w:val="18"/>
                <w:lang w:val="en-US"/>
              </w:rPr>
              <w:fldChar w:fldCharType="separate"/>
            </w:r>
            <w:r w:rsidR="006C5761">
              <w:rPr>
                <w:szCs w:val="18"/>
                <w:lang w:val="en-US"/>
              </w:rPr>
              <w:t>3.3.1</w:t>
            </w:r>
            <w:r w:rsidR="00387F70">
              <w:rPr>
                <w:szCs w:val="18"/>
                <w:lang w:val="en-US"/>
              </w:rPr>
              <w:fldChar w:fldCharType="end"/>
            </w:r>
            <w:r>
              <w:rPr>
                <w:szCs w:val="18"/>
                <w:lang w:val="en-US"/>
              </w:rPr>
              <w:t>)</w:t>
            </w:r>
          </w:p>
          <w:p w14:paraId="474CAEF2" w14:textId="28432006" w:rsidR="00640BC1" w:rsidRPr="00A21CD3" w:rsidRDefault="00640BC1" w:rsidP="001F51F1">
            <w:pPr>
              <w:pStyle w:val="TableText"/>
            </w:pPr>
            <w:r w:rsidRPr="57352DF8">
              <w:t xml:space="preserve">Where </w:t>
            </w:r>
            <w:r w:rsidR="00664D9E">
              <w:t>&lt; </w:t>
            </w:r>
            <w:r w:rsidR="00C64837">
              <w:t>3</w:t>
            </w:r>
            <w:r w:rsidRPr="57352DF8">
              <w:t xml:space="preserve"> test concentrations (plus a control) were tested</w:t>
            </w:r>
            <w:r w:rsidRPr="57352DF8">
              <w:rPr>
                <w:vertAlign w:val="superscript"/>
              </w:rPr>
              <w:t>b</w:t>
            </w:r>
            <w:r>
              <w:rPr>
                <w:szCs w:val="18"/>
                <w:lang w:val="en-US"/>
              </w:rPr>
              <w:t xml:space="preserve"> (refer to Section</w:t>
            </w:r>
            <w:r w:rsidR="00387F70">
              <w:rPr>
                <w:szCs w:val="18"/>
                <w:lang w:val="en-US"/>
              </w:rPr>
              <w:t> </w:t>
            </w:r>
            <w:r w:rsidR="00387F70">
              <w:rPr>
                <w:szCs w:val="18"/>
                <w:lang w:val="en-US"/>
              </w:rPr>
              <w:fldChar w:fldCharType="begin"/>
            </w:r>
            <w:r w:rsidR="00387F70">
              <w:rPr>
                <w:szCs w:val="18"/>
                <w:lang w:val="en-US"/>
              </w:rPr>
              <w:instrText xml:space="preserve"> REF _Ref522007975 \r \h </w:instrText>
            </w:r>
            <w:r w:rsidR="00387F70">
              <w:rPr>
                <w:szCs w:val="18"/>
                <w:lang w:val="en-US"/>
              </w:rPr>
            </w:r>
            <w:r w:rsidR="00387F70">
              <w:rPr>
                <w:szCs w:val="18"/>
                <w:lang w:val="en-US"/>
              </w:rPr>
              <w:fldChar w:fldCharType="separate"/>
            </w:r>
            <w:r w:rsidR="006C5761">
              <w:rPr>
                <w:szCs w:val="18"/>
                <w:lang w:val="en-US"/>
              </w:rPr>
              <w:t>3.3.1</w:t>
            </w:r>
            <w:r w:rsidR="00387F70">
              <w:rPr>
                <w:szCs w:val="18"/>
                <w:lang w:val="en-US"/>
              </w:rPr>
              <w:fldChar w:fldCharType="end"/>
            </w:r>
            <w:r>
              <w:rPr>
                <w:szCs w:val="18"/>
                <w:lang w:val="en-US"/>
              </w:rPr>
              <w:t>)</w:t>
            </w:r>
          </w:p>
        </w:tc>
      </w:tr>
      <w:tr w:rsidR="00640BC1" w:rsidRPr="00A21CD3" w14:paraId="7E605682" w14:textId="77777777" w:rsidTr="001F51F1">
        <w:trPr>
          <w:cantSplit/>
        </w:trPr>
        <w:tc>
          <w:tcPr>
            <w:tcW w:w="1127" w:type="pct"/>
          </w:tcPr>
          <w:p w14:paraId="30AEFCA4" w14:textId="77777777" w:rsidR="00640BC1" w:rsidRPr="00A21CD3" w:rsidRDefault="00640BC1" w:rsidP="001F51F1">
            <w:pPr>
              <w:pStyle w:val="TableText"/>
            </w:pPr>
            <w:r>
              <w:t>Test conditions</w:t>
            </w:r>
          </w:p>
        </w:tc>
        <w:tc>
          <w:tcPr>
            <w:tcW w:w="3873" w:type="pct"/>
          </w:tcPr>
          <w:p w14:paraId="441EDB85" w14:textId="0519EEE8" w:rsidR="00640BC1" w:rsidRDefault="00640BC1" w:rsidP="001F51F1">
            <w:pPr>
              <w:pStyle w:val="TableText"/>
              <w:rPr>
                <w:szCs w:val="18"/>
                <w:lang w:val="en-US"/>
              </w:rPr>
            </w:pPr>
            <w:r>
              <w:rPr>
                <w:szCs w:val="18"/>
                <w:lang w:val="en-US"/>
              </w:rPr>
              <w:t>W</w:t>
            </w:r>
            <w:r w:rsidRPr="0C7F8242">
              <w:rPr>
                <w:szCs w:val="18"/>
                <w:lang w:val="en-US"/>
              </w:rPr>
              <w:t xml:space="preserve">here test </w:t>
            </w:r>
            <w:r>
              <w:rPr>
                <w:szCs w:val="18"/>
                <w:lang w:val="en-US"/>
              </w:rPr>
              <w:t>water</w:t>
            </w:r>
            <w:r w:rsidR="00664D9E">
              <w:rPr>
                <w:szCs w:val="18"/>
                <w:lang w:val="en-US"/>
              </w:rPr>
              <w:t>-</w:t>
            </w:r>
            <w:r>
              <w:rPr>
                <w:szCs w:val="18"/>
                <w:lang w:val="en-US"/>
              </w:rPr>
              <w:t xml:space="preserve">quality </w:t>
            </w:r>
            <w:r w:rsidRPr="0C7F8242">
              <w:rPr>
                <w:szCs w:val="18"/>
                <w:lang w:val="en-US"/>
              </w:rPr>
              <w:t xml:space="preserve">conditions are outside acceptable environmental ranges </w:t>
            </w:r>
            <w:r w:rsidR="00B408D7">
              <w:rPr>
                <w:szCs w:val="18"/>
                <w:lang w:val="en-US"/>
              </w:rPr>
              <w:t>(</w:t>
            </w:r>
            <w:r w:rsidRPr="0C7F8242">
              <w:rPr>
                <w:szCs w:val="18"/>
                <w:lang w:val="en-US"/>
              </w:rPr>
              <w:t>e.g. pH</w:t>
            </w:r>
            <w:r w:rsidR="00B408D7">
              <w:rPr>
                <w:szCs w:val="18"/>
                <w:lang w:val="en-US"/>
              </w:rPr>
              <w:t> </w:t>
            </w:r>
            <w:r w:rsidRPr="0C7F8242">
              <w:rPr>
                <w:szCs w:val="18"/>
                <w:lang w:val="en-US"/>
              </w:rPr>
              <w:t>&lt;</w:t>
            </w:r>
            <w:r w:rsidR="00664D9E">
              <w:rPr>
                <w:szCs w:val="18"/>
                <w:lang w:val="en-US"/>
              </w:rPr>
              <w:t> </w:t>
            </w:r>
            <w:r w:rsidRPr="0C7F8242">
              <w:rPr>
                <w:szCs w:val="18"/>
                <w:lang w:val="en-US"/>
              </w:rPr>
              <w:t>6</w:t>
            </w:r>
            <w:r>
              <w:rPr>
                <w:szCs w:val="18"/>
                <w:lang w:val="en-US"/>
              </w:rPr>
              <w:t xml:space="preserve"> or </w:t>
            </w:r>
            <w:r w:rsidRPr="0C7F8242">
              <w:rPr>
                <w:szCs w:val="18"/>
                <w:lang w:val="en-US"/>
              </w:rPr>
              <w:t>&gt;</w:t>
            </w:r>
            <w:r w:rsidR="00B408D7">
              <w:rPr>
                <w:szCs w:val="18"/>
                <w:lang w:val="en-US"/>
              </w:rPr>
              <w:t> </w:t>
            </w:r>
            <w:r w:rsidRPr="0C7F8242">
              <w:rPr>
                <w:szCs w:val="18"/>
                <w:lang w:val="en-US"/>
              </w:rPr>
              <w:t xml:space="preserve">9, salinity </w:t>
            </w:r>
            <w:r>
              <w:rPr>
                <w:szCs w:val="18"/>
                <w:lang w:val="en-US"/>
              </w:rPr>
              <w:t>&gt;</w:t>
            </w:r>
            <w:r w:rsidR="00B408D7">
              <w:rPr>
                <w:szCs w:val="18"/>
                <w:lang w:val="en-US"/>
              </w:rPr>
              <w:t> </w:t>
            </w:r>
            <w:r>
              <w:rPr>
                <w:szCs w:val="18"/>
                <w:lang w:val="en-US"/>
              </w:rPr>
              <w:t>5</w:t>
            </w:r>
            <w:r w:rsidRPr="001C0615">
              <w:t>‰</w:t>
            </w:r>
            <w:r>
              <w:rPr>
                <w:szCs w:val="18"/>
                <w:lang w:val="en-US"/>
              </w:rPr>
              <w:t xml:space="preserve"> for freshwater, &lt;</w:t>
            </w:r>
            <w:r w:rsidR="00B408D7">
              <w:rPr>
                <w:szCs w:val="18"/>
                <w:lang w:val="en-US"/>
              </w:rPr>
              <w:t> </w:t>
            </w:r>
            <w:r>
              <w:rPr>
                <w:szCs w:val="18"/>
                <w:lang w:val="en-US"/>
              </w:rPr>
              <w:t>25</w:t>
            </w:r>
            <w:r w:rsidRPr="001C0615">
              <w:t>‰</w:t>
            </w:r>
            <w:r>
              <w:rPr>
                <w:szCs w:val="18"/>
                <w:lang w:val="en-US"/>
              </w:rPr>
              <w:t xml:space="preserve"> or &gt;</w:t>
            </w:r>
            <w:r w:rsidR="00B408D7">
              <w:rPr>
                <w:szCs w:val="18"/>
                <w:lang w:val="en-US"/>
              </w:rPr>
              <w:t> </w:t>
            </w:r>
            <w:r>
              <w:rPr>
                <w:szCs w:val="18"/>
                <w:lang w:val="en-US"/>
              </w:rPr>
              <w:t>36</w:t>
            </w:r>
            <w:r w:rsidRPr="001C0615">
              <w:t>‰</w:t>
            </w:r>
            <w:r>
              <w:t xml:space="preserve"> for marine water</w:t>
            </w:r>
            <w:r w:rsidR="00B408D7">
              <w:t>)</w:t>
            </w:r>
            <w:r>
              <w:rPr>
                <w:szCs w:val="18"/>
                <w:lang w:val="en-US"/>
              </w:rPr>
              <w:t xml:space="preserve"> </w:t>
            </w:r>
            <w:r w:rsidRPr="0C7F8242">
              <w:rPr>
                <w:szCs w:val="18"/>
                <w:lang w:val="en-US"/>
              </w:rPr>
              <w:t xml:space="preserve">(refer to </w:t>
            </w:r>
            <w:r w:rsidR="00B816A8">
              <w:rPr>
                <w:szCs w:val="18"/>
                <w:lang w:val="en-US"/>
              </w:rPr>
              <w:t>S</w:t>
            </w:r>
            <w:r w:rsidRPr="0C7F8242">
              <w:rPr>
                <w:szCs w:val="18"/>
                <w:lang w:val="en-US"/>
              </w:rPr>
              <w:t xml:space="preserve">ection </w:t>
            </w:r>
            <w:r w:rsidR="00387F70">
              <w:rPr>
                <w:szCs w:val="18"/>
                <w:lang w:val="en-US"/>
              </w:rPr>
              <w:fldChar w:fldCharType="begin"/>
            </w:r>
            <w:r w:rsidR="00387F70">
              <w:rPr>
                <w:szCs w:val="18"/>
                <w:lang w:val="en-US"/>
              </w:rPr>
              <w:instrText xml:space="preserve"> REF _Ref202088703 \r \h </w:instrText>
            </w:r>
            <w:r w:rsidR="00387F70">
              <w:rPr>
                <w:szCs w:val="18"/>
                <w:lang w:val="en-US"/>
              </w:rPr>
            </w:r>
            <w:r w:rsidR="00387F70">
              <w:rPr>
                <w:szCs w:val="18"/>
                <w:lang w:val="en-US"/>
              </w:rPr>
              <w:fldChar w:fldCharType="separate"/>
            </w:r>
            <w:r w:rsidR="006C5761">
              <w:rPr>
                <w:szCs w:val="18"/>
                <w:lang w:val="en-US"/>
              </w:rPr>
              <w:t>0</w:t>
            </w:r>
            <w:r w:rsidR="00387F70">
              <w:rPr>
                <w:szCs w:val="18"/>
                <w:lang w:val="en-US"/>
              </w:rPr>
              <w:fldChar w:fldCharType="end"/>
            </w:r>
            <w:r w:rsidRPr="0C7F8242">
              <w:rPr>
                <w:szCs w:val="18"/>
                <w:lang w:val="en-US"/>
              </w:rPr>
              <w:t>)</w:t>
            </w:r>
          </w:p>
          <w:p w14:paraId="6ED86324" w14:textId="3E3847C1" w:rsidR="00640BC1" w:rsidRPr="57352DF8" w:rsidRDefault="00640BC1" w:rsidP="001F51F1">
            <w:pPr>
              <w:pStyle w:val="TableText"/>
            </w:pPr>
            <w:r>
              <w:rPr>
                <w:szCs w:val="18"/>
                <w:lang w:val="en-US"/>
              </w:rPr>
              <w:t>Where toxicity</w:t>
            </w:r>
            <w:r w:rsidR="00B408D7">
              <w:rPr>
                <w:szCs w:val="18"/>
                <w:lang w:val="en-US"/>
              </w:rPr>
              <w:t>-</w:t>
            </w:r>
            <w:r>
              <w:rPr>
                <w:szCs w:val="18"/>
                <w:lang w:val="en-US"/>
              </w:rPr>
              <w:t xml:space="preserve">modifying factors (e.g. pH, hardness, </w:t>
            </w:r>
            <w:r w:rsidR="00B408D7">
              <w:rPr>
                <w:szCs w:val="18"/>
                <w:lang w:val="en-US"/>
              </w:rPr>
              <w:t>dissolved organic carbon</w:t>
            </w:r>
            <w:r>
              <w:rPr>
                <w:szCs w:val="18"/>
                <w:lang w:val="en-US"/>
              </w:rPr>
              <w:t xml:space="preserve">) relevant </w:t>
            </w:r>
            <w:r w:rsidR="00B408D7">
              <w:rPr>
                <w:szCs w:val="18"/>
                <w:lang w:val="en-US"/>
              </w:rPr>
              <w:t>to</w:t>
            </w:r>
            <w:r>
              <w:rPr>
                <w:szCs w:val="18"/>
                <w:lang w:val="en-US"/>
              </w:rPr>
              <w:t xml:space="preserve"> the toxicant being tested were not measured in the test waters (refer to Section </w:t>
            </w:r>
            <w:r w:rsidR="00387F70">
              <w:rPr>
                <w:szCs w:val="18"/>
                <w:lang w:val="en-US"/>
              </w:rPr>
              <w:fldChar w:fldCharType="begin"/>
            </w:r>
            <w:r w:rsidR="00387F70">
              <w:rPr>
                <w:szCs w:val="18"/>
                <w:lang w:val="en-US"/>
              </w:rPr>
              <w:instrText xml:space="preserve"> REF _Ref522007975 \r \h </w:instrText>
            </w:r>
            <w:r w:rsidR="00387F70">
              <w:rPr>
                <w:szCs w:val="18"/>
                <w:lang w:val="en-US"/>
              </w:rPr>
            </w:r>
            <w:r w:rsidR="00387F70">
              <w:rPr>
                <w:szCs w:val="18"/>
                <w:lang w:val="en-US"/>
              </w:rPr>
              <w:fldChar w:fldCharType="separate"/>
            </w:r>
            <w:r w:rsidR="006C5761">
              <w:rPr>
                <w:szCs w:val="18"/>
                <w:lang w:val="en-US"/>
              </w:rPr>
              <w:t>3.3.1</w:t>
            </w:r>
            <w:r w:rsidR="00387F70">
              <w:rPr>
                <w:szCs w:val="18"/>
                <w:lang w:val="en-US"/>
              </w:rPr>
              <w:fldChar w:fldCharType="end"/>
            </w:r>
            <w:r>
              <w:rPr>
                <w:szCs w:val="18"/>
                <w:lang w:val="en-US"/>
              </w:rPr>
              <w:t>)</w:t>
            </w:r>
          </w:p>
        </w:tc>
      </w:tr>
      <w:tr w:rsidR="00640BC1" w:rsidRPr="00A21CD3" w14:paraId="078E0945" w14:textId="77777777" w:rsidTr="001F51F1">
        <w:trPr>
          <w:cantSplit/>
        </w:trPr>
        <w:tc>
          <w:tcPr>
            <w:tcW w:w="1127" w:type="pct"/>
          </w:tcPr>
          <w:p w14:paraId="50E3B1C9" w14:textId="77777777" w:rsidR="00640BC1" w:rsidRPr="00A21CD3" w:rsidRDefault="00640BC1" w:rsidP="001F51F1">
            <w:pPr>
              <w:pStyle w:val="TableText"/>
            </w:pPr>
            <w:r w:rsidRPr="00A21CD3">
              <w:t>Duration of exposure</w:t>
            </w:r>
          </w:p>
        </w:tc>
        <w:tc>
          <w:tcPr>
            <w:tcW w:w="3873" w:type="pct"/>
          </w:tcPr>
          <w:p w14:paraId="4A284FE6" w14:textId="54621D7E" w:rsidR="00640BC1" w:rsidRPr="00A21CD3" w:rsidRDefault="00640BC1" w:rsidP="001F51F1">
            <w:pPr>
              <w:pStyle w:val="TableText"/>
            </w:pPr>
            <w:r w:rsidRPr="57352DF8">
              <w:t xml:space="preserve">If not stated or does not conform with </w:t>
            </w:r>
            <w:r>
              <w:fldChar w:fldCharType="begin"/>
            </w:r>
            <w:r>
              <w:instrText xml:space="preserve"> REF _Ref520276069 \h </w:instrText>
            </w:r>
            <w:r>
              <w:fldChar w:fldCharType="separate"/>
            </w:r>
            <w:r w:rsidR="006C5761">
              <w:t>Table </w:t>
            </w:r>
            <w:r w:rsidR="006C5761">
              <w:rPr>
                <w:noProof/>
              </w:rPr>
              <w:t>1</w:t>
            </w:r>
            <w:r>
              <w:fldChar w:fldCharType="end"/>
            </w:r>
            <w:r>
              <w:t xml:space="preserve"> </w:t>
            </w:r>
            <w:r>
              <w:rPr>
                <w:szCs w:val="18"/>
                <w:lang w:val="en-US"/>
              </w:rPr>
              <w:t xml:space="preserve">(refer to Section </w:t>
            </w:r>
            <w:r w:rsidR="00387F70">
              <w:rPr>
                <w:szCs w:val="18"/>
                <w:lang w:val="en-US"/>
              </w:rPr>
              <w:fldChar w:fldCharType="begin"/>
            </w:r>
            <w:r w:rsidR="00387F70">
              <w:rPr>
                <w:szCs w:val="18"/>
                <w:lang w:val="en-US"/>
              </w:rPr>
              <w:instrText xml:space="preserve"> REF _Ref522007975 \r \h </w:instrText>
            </w:r>
            <w:r w:rsidR="00387F70">
              <w:rPr>
                <w:szCs w:val="18"/>
                <w:lang w:val="en-US"/>
              </w:rPr>
            </w:r>
            <w:r w:rsidR="00387F70">
              <w:rPr>
                <w:szCs w:val="18"/>
                <w:lang w:val="en-US"/>
              </w:rPr>
              <w:fldChar w:fldCharType="separate"/>
            </w:r>
            <w:r w:rsidR="006C5761">
              <w:rPr>
                <w:szCs w:val="18"/>
                <w:lang w:val="en-US"/>
              </w:rPr>
              <w:t>3.3.1</w:t>
            </w:r>
            <w:r w:rsidR="00387F70">
              <w:rPr>
                <w:szCs w:val="18"/>
                <w:lang w:val="en-US"/>
              </w:rPr>
              <w:fldChar w:fldCharType="end"/>
            </w:r>
            <w:r>
              <w:rPr>
                <w:szCs w:val="18"/>
                <w:lang w:val="en-US"/>
              </w:rPr>
              <w:t>)</w:t>
            </w:r>
          </w:p>
        </w:tc>
      </w:tr>
      <w:tr w:rsidR="00640BC1" w:rsidRPr="00A21CD3" w14:paraId="55013723" w14:textId="77777777" w:rsidTr="001F51F1">
        <w:trPr>
          <w:cantSplit/>
        </w:trPr>
        <w:tc>
          <w:tcPr>
            <w:tcW w:w="1127" w:type="pct"/>
          </w:tcPr>
          <w:p w14:paraId="6F063FF4" w14:textId="77777777" w:rsidR="00640BC1" w:rsidRPr="00A21CD3" w:rsidRDefault="00640BC1" w:rsidP="001F51F1">
            <w:pPr>
              <w:pStyle w:val="TableText"/>
            </w:pPr>
            <w:r w:rsidRPr="00A21CD3">
              <w:t>Toxicological endpoint</w:t>
            </w:r>
          </w:p>
        </w:tc>
        <w:tc>
          <w:tcPr>
            <w:tcW w:w="3873" w:type="pct"/>
          </w:tcPr>
          <w:p w14:paraId="508AA0F3" w14:textId="00FE5445" w:rsidR="00B679A4" w:rsidRDefault="00640BC1" w:rsidP="001F51F1">
            <w:pPr>
              <w:pStyle w:val="TableText"/>
            </w:pPr>
            <w:r w:rsidRPr="00A21CD3">
              <w:t xml:space="preserve">If </w:t>
            </w:r>
            <w:r>
              <w:t xml:space="preserve">endpoint </w:t>
            </w:r>
            <w:r w:rsidRPr="00A21CD3">
              <w:t>not stated</w:t>
            </w:r>
            <w:r>
              <w:t xml:space="preserve"> </w:t>
            </w:r>
            <w:r>
              <w:rPr>
                <w:szCs w:val="18"/>
                <w:lang w:val="en-US"/>
              </w:rPr>
              <w:t xml:space="preserve">(refer to Section </w:t>
            </w:r>
            <w:r w:rsidR="00387F70">
              <w:rPr>
                <w:szCs w:val="18"/>
                <w:lang w:val="en-US"/>
              </w:rPr>
              <w:fldChar w:fldCharType="begin"/>
            </w:r>
            <w:r w:rsidR="00387F70">
              <w:rPr>
                <w:szCs w:val="18"/>
                <w:lang w:val="en-US"/>
              </w:rPr>
              <w:instrText xml:space="preserve"> REF _Ref522007975 \r \h </w:instrText>
            </w:r>
            <w:r w:rsidR="00387F70">
              <w:rPr>
                <w:szCs w:val="18"/>
                <w:lang w:val="en-US"/>
              </w:rPr>
            </w:r>
            <w:r w:rsidR="00387F70">
              <w:rPr>
                <w:szCs w:val="18"/>
                <w:lang w:val="en-US"/>
              </w:rPr>
              <w:fldChar w:fldCharType="separate"/>
            </w:r>
            <w:r w:rsidR="006C5761">
              <w:rPr>
                <w:szCs w:val="18"/>
                <w:lang w:val="en-US"/>
              </w:rPr>
              <w:t>3.3.1</w:t>
            </w:r>
            <w:r w:rsidR="00387F70">
              <w:rPr>
                <w:szCs w:val="18"/>
                <w:lang w:val="en-US"/>
              </w:rPr>
              <w:fldChar w:fldCharType="end"/>
            </w:r>
            <w:r>
              <w:rPr>
                <w:szCs w:val="18"/>
                <w:lang w:val="en-US"/>
              </w:rPr>
              <w:t>)</w:t>
            </w:r>
          </w:p>
          <w:p w14:paraId="210196C1" w14:textId="13E170FE" w:rsidR="00640BC1" w:rsidRPr="00A21CD3" w:rsidRDefault="00640BC1" w:rsidP="001F51F1">
            <w:pPr>
              <w:pStyle w:val="TableText"/>
            </w:pPr>
            <w:r w:rsidRPr="57352DF8">
              <w:t>Endpoints did not include lethality, immobilisation, reproduction, growth, population growth or the equivalent</w:t>
            </w:r>
            <w:r w:rsidR="004F77F2">
              <w:t>,</w:t>
            </w:r>
            <w:r w:rsidRPr="57352DF8">
              <w:t xml:space="preserve"> unless the endpoint has been unequivocally demonstrated to be ecologically relevant</w:t>
            </w:r>
            <w:r>
              <w:t xml:space="preserve"> (refer to Section </w:t>
            </w:r>
            <w:r w:rsidR="00387F70">
              <w:fldChar w:fldCharType="begin"/>
            </w:r>
            <w:r w:rsidR="00387F70">
              <w:instrText xml:space="preserve"> REF _Ref202088714 \r \h </w:instrText>
            </w:r>
            <w:r w:rsidR="00387F70">
              <w:fldChar w:fldCharType="separate"/>
            </w:r>
            <w:r w:rsidR="006C5761">
              <w:t>0</w:t>
            </w:r>
            <w:r w:rsidR="00387F70">
              <w:fldChar w:fldCharType="end"/>
            </w:r>
            <w:r>
              <w:t>)</w:t>
            </w:r>
          </w:p>
        </w:tc>
      </w:tr>
      <w:tr w:rsidR="00640BC1" w:rsidRPr="006C7D9C" w14:paraId="3A6C9CB2" w14:textId="77777777" w:rsidTr="001F51F1">
        <w:trPr>
          <w:cantSplit/>
        </w:trPr>
        <w:tc>
          <w:tcPr>
            <w:tcW w:w="1127" w:type="pct"/>
          </w:tcPr>
          <w:p w14:paraId="2AAD2F6E" w14:textId="0B61DBE8" w:rsidR="00640BC1" w:rsidRPr="006C7D9C" w:rsidRDefault="00640BC1" w:rsidP="001F51F1">
            <w:pPr>
              <w:pStyle w:val="TableText"/>
              <w:rPr>
                <w:color w:val="000000" w:themeColor="text1"/>
              </w:rPr>
            </w:pPr>
            <w:r w:rsidRPr="006C7D9C">
              <w:rPr>
                <w:color w:val="000000" w:themeColor="text1"/>
                <w:szCs w:val="18"/>
              </w:rPr>
              <w:t>Measure of toxicity (e.g. ECx, NOEC)</w:t>
            </w:r>
          </w:p>
        </w:tc>
        <w:tc>
          <w:tcPr>
            <w:tcW w:w="3873" w:type="pct"/>
          </w:tcPr>
          <w:p w14:paraId="51015026" w14:textId="2495F7E2" w:rsidR="00640BC1" w:rsidRPr="00884D82" w:rsidRDefault="00640BC1" w:rsidP="00884D82">
            <w:pPr>
              <w:pStyle w:val="TableText"/>
            </w:pPr>
            <w:r w:rsidRPr="00884D82">
              <w:t xml:space="preserve">If not stated </w:t>
            </w:r>
            <w:r w:rsidR="000E175C">
              <w:t xml:space="preserve">or able to be inferred </w:t>
            </w:r>
            <w:r w:rsidRPr="00884D82">
              <w:t xml:space="preserve">(refer to Section </w:t>
            </w:r>
            <w:r w:rsidR="00387F70" w:rsidRPr="00884D82">
              <w:fldChar w:fldCharType="begin"/>
            </w:r>
            <w:r w:rsidR="00387F70" w:rsidRPr="00884D82">
              <w:instrText xml:space="preserve"> REF _Ref522007975 \r \h </w:instrText>
            </w:r>
            <w:r w:rsidR="0079582B" w:rsidRPr="00884D82">
              <w:instrText xml:space="preserve"> \* MERGEFORMAT </w:instrText>
            </w:r>
            <w:r w:rsidR="00387F70" w:rsidRPr="00884D82">
              <w:fldChar w:fldCharType="separate"/>
            </w:r>
            <w:r w:rsidR="006C5761">
              <w:t>3.3.1</w:t>
            </w:r>
            <w:r w:rsidR="00387F70" w:rsidRPr="00884D82">
              <w:fldChar w:fldCharType="end"/>
            </w:r>
            <w:r w:rsidRPr="00884D82">
              <w:t>)</w:t>
            </w:r>
          </w:p>
        </w:tc>
      </w:tr>
      <w:tr w:rsidR="00640BC1" w:rsidRPr="006C7D9C" w14:paraId="49394B57" w14:textId="77777777" w:rsidTr="001F51F1">
        <w:trPr>
          <w:cantSplit/>
        </w:trPr>
        <w:tc>
          <w:tcPr>
            <w:tcW w:w="1127" w:type="pct"/>
          </w:tcPr>
          <w:p w14:paraId="73C418CD" w14:textId="77777777" w:rsidR="00640BC1" w:rsidRPr="006C7D9C" w:rsidRDefault="00640BC1" w:rsidP="001F51F1">
            <w:pPr>
              <w:pStyle w:val="TableText"/>
              <w:rPr>
                <w:color w:val="000000" w:themeColor="text1"/>
              </w:rPr>
            </w:pPr>
            <w:r w:rsidRPr="006C7D9C">
              <w:rPr>
                <w:color w:val="000000" w:themeColor="text1"/>
                <w:szCs w:val="18"/>
              </w:rPr>
              <w:t>Type of toxicity data</w:t>
            </w:r>
          </w:p>
        </w:tc>
        <w:tc>
          <w:tcPr>
            <w:tcW w:w="3873" w:type="pct"/>
          </w:tcPr>
          <w:p w14:paraId="44F85CE5" w14:textId="7604DF18" w:rsidR="00640BC1" w:rsidRPr="006C7D9C" w:rsidRDefault="00640BC1" w:rsidP="001F51F1">
            <w:pPr>
              <w:pStyle w:val="TableText"/>
              <w:rPr>
                <w:color w:val="000000" w:themeColor="text1"/>
                <w:szCs w:val="18"/>
                <w:lang w:val="en-US"/>
              </w:rPr>
            </w:pPr>
            <w:r w:rsidRPr="006C7D9C">
              <w:rPr>
                <w:color w:val="000000" w:themeColor="text1"/>
                <w:szCs w:val="18"/>
                <w:lang w:val="en-US"/>
              </w:rPr>
              <w:t xml:space="preserve">Acute toxicity data that are not EC/IC/LC50s (refer to </w:t>
            </w:r>
            <w:r w:rsidR="0079582B">
              <w:rPr>
                <w:color w:val="000000" w:themeColor="text1"/>
                <w:szCs w:val="18"/>
                <w:lang w:val="en-US"/>
              </w:rPr>
              <w:t>s</w:t>
            </w:r>
            <w:r w:rsidRPr="006C7D9C">
              <w:rPr>
                <w:color w:val="000000" w:themeColor="text1"/>
                <w:szCs w:val="18"/>
                <w:lang w:val="en-US"/>
              </w:rPr>
              <w:t xml:space="preserve">ections </w:t>
            </w:r>
            <w:r w:rsidR="0079582B">
              <w:rPr>
                <w:color w:val="000000" w:themeColor="text1"/>
                <w:szCs w:val="18"/>
                <w:lang w:val="en-US"/>
              </w:rPr>
              <w:fldChar w:fldCharType="begin"/>
            </w:r>
            <w:r w:rsidR="0079582B">
              <w:rPr>
                <w:color w:val="000000" w:themeColor="text1"/>
                <w:szCs w:val="18"/>
                <w:lang w:val="en-US"/>
              </w:rPr>
              <w:instrText xml:space="preserve"> REF _Ref202088703 \r \h </w:instrText>
            </w:r>
            <w:r w:rsidR="0079582B">
              <w:rPr>
                <w:color w:val="000000" w:themeColor="text1"/>
                <w:szCs w:val="18"/>
                <w:lang w:val="en-US"/>
              </w:rPr>
            </w:r>
            <w:r w:rsidR="0079582B">
              <w:rPr>
                <w:color w:val="000000" w:themeColor="text1"/>
                <w:szCs w:val="18"/>
                <w:lang w:val="en-US"/>
              </w:rPr>
              <w:fldChar w:fldCharType="separate"/>
            </w:r>
            <w:r w:rsidR="006C5761">
              <w:rPr>
                <w:color w:val="000000" w:themeColor="text1"/>
                <w:szCs w:val="18"/>
                <w:lang w:val="en-US"/>
              </w:rPr>
              <w:t>0</w:t>
            </w:r>
            <w:r w:rsidR="0079582B">
              <w:rPr>
                <w:color w:val="000000" w:themeColor="text1"/>
                <w:szCs w:val="18"/>
                <w:lang w:val="en-US"/>
              </w:rPr>
              <w:fldChar w:fldCharType="end"/>
            </w:r>
            <w:r w:rsidRPr="006C7D9C">
              <w:rPr>
                <w:color w:val="000000" w:themeColor="text1"/>
                <w:szCs w:val="18"/>
                <w:lang w:val="en-US"/>
              </w:rPr>
              <w:t xml:space="preserve"> and </w:t>
            </w:r>
            <w:r w:rsidR="0008375F">
              <w:rPr>
                <w:color w:val="000000" w:themeColor="text1"/>
                <w:szCs w:val="18"/>
                <w:lang w:val="en-US"/>
              </w:rPr>
              <w:fldChar w:fldCharType="begin"/>
            </w:r>
            <w:r w:rsidR="0008375F">
              <w:rPr>
                <w:color w:val="000000" w:themeColor="text1"/>
                <w:szCs w:val="18"/>
                <w:lang w:val="en-US"/>
              </w:rPr>
              <w:instrText xml:space="preserve"> REF _Ref522008131 \r \h </w:instrText>
            </w:r>
            <w:r w:rsidR="0008375F">
              <w:rPr>
                <w:color w:val="000000" w:themeColor="text1"/>
                <w:szCs w:val="18"/>
                <w:lang w:val="en-US"/>
              </w:rPr>
            </w:r>
            <w:r w:rsidR="0008375F">
              <w:rPr>
                <w:color w:val="000000" w:themeColor="text1"/>
                <w:szCs w:val="18"/>
                <w:lang w:val="en-US"/>
              </w:rPr>
              <w:fldChar w:fldCharType="separate"/>
            </w:r>
            <w:r w:rsidR="006C5761">
              <w:rPr>
                <w:color w:val="000000" w:themeColor="text1"/>
                <w:szCs w:val="18"/>
                <w:lang w:val="en-US"/>
              </w:rPr>
              <w:t>3.4.2.2</w:t>
            </w:r>
            <w:r w:rsidR="0008375F">
              <w:rPr>
                <w:color w:val="000000" w:themeColor="text1"/>
                <w:szCs w:val="18"/>
                <w:lang w:val="en-US"/>
              </w:rPr>
              <w:fldChar w:fldCharType="end"/>
            </w:r>
            <w:r w:rsidRPr="006C7D9C">
              <w:rPr>
                <w:color w:val="000000" w:themeColor="text1"/>
                <w:szCs w:val="18"/>
                <w:lang w:val="en-US"/>
              </w:rPr>
              <w:t xml:space="preserve">). Note: this condition does not apply if short-term </w:t>
            </w:r>
            <w:r w:rsidR="004F77F2">
              <w:rPr>
                <w:color w:val="000000" w:themeColor="text1"/>
                <w:szCs w:val="18"/>
                <w:lang w:val="en-US"/>
              </w:rPr>
              <w:t>guideline value</w:t>
            </w:r>
            <w:r w:rsidRPr="006C7D9C">
              <w:rPr>
                <w:color w:val="000000" w:themeColor="text1"/>
                <w:szCs w:val="18"/>
                <w:lang w:val="en-US"/>
              </w:rPr>
              <w:t xml:space="preserve">s are being derived (refer to </w:t>
            </w:r>
            <w:r w:rsidR="00A91460">
              <w:rPr>
                <w:color w:val="000000" w:themeColor="text1"/>
                <w:szCs w:val="18"/>
                <w:lang w:val="en-US"/>
              </w:rPr>
              <w:t>s</w:t>
            </w:r>
            <w:r w:rsidRPr="006C7D9C">
              <w:rPr>
                <w:color w:val="000000" w:themeColor="text1"/>
                <w:szCs w:val="18"/>
                <w:lang w:val="en-US"/>
              </w:rPr>
              <w:t xml:space="preserve">ections </w:t>
            </w:r>
            <w:r w:rsidR="005508F0">
              <w:rPr>
                <w:color w:val="000000" w:themeColor="text1"/>
                <w:szCs w:val="18"/>
                <w:lang w:val="en-US"/>
              </w:rPr>
              <w:fldChar w:fldCharType="begin"/>
            </w:r>
            <w:r w:rsidR="005508F0">
              <w:rPr>
                <w:color w:val="000000" w:themeColor="text1"/>
                <w:szCs w:val="18"/>
                <w:lang w:val="en-US"/>
              </w:rPr>
              <w:instrText xml:space="preserve"> REF _Ref202088703 \r \h </w:instrText>
            </w:r>
            <w:r w:rsidR="005508F0">
              <w:rPr>
                <w:color w:val="000000" w:themeColor="text1"/>
                <w:szCs w:val="18"/>
                <w:lang w:val="en-US"/>
              </w:rPr>
            </w:r>
            <w:r w:rsidR="005508F0">
              <w:rPr>
                <w:color w:val="000000" w:themeColor="text1"/>
                <w:szCs w:val="18"/>
                <w:lang w:val="en-US"/>
              </w:rPr>
              <w:fldChar w:fldCharType="separate"/>
            </w:r>
            <w:r w:rsidR="006C5761">
              <w:rPr>
                <w:color w:val="000000" w:themeColor="text1"/>
                <w:szCs w:val="18"/>
                <w:lang w:val="en-US"/>
              </w:rPr>
              <w:t>0</w:t>
            </w:r>
            <w:r w:rsidR="005508F0">
              <w:rPr>
                <w:color w:val="000000" w:themeColor="text1"/>
                <w:szCs w:val="18"/>
                <w:lang w:val="en-US"/>
              </w:rPr>
              <w:fldChar w:fldCharType="end"/>
            </w:r>
            <w:r w:rsidRPr="006C7D9C">
              <w:rPr>
                <w:color w:val="000000" w:themeColor="text1"/>
                <w:szCs w:val="18"/>
                <w:lang w:val="en-US"/>
              </w:rPr>
              <w:t xml:space="preserve"> and </w:t>
            </w:r>
            <w:r w:rsidR="005508F0">
              <w:rPr>
                <w:color w:val="000000" w:themeColor="text1"/>
                <w:szCs w:val="18"/>
                <w:lang w:val="en-US"/>
              </w:rPr>
              <w:fldChar w:fldCharType="begin"/>
            </w:r>
            <w:r w:rsidR="005508F0">
              <w:rPr>
                <w:color w:val="000000" w:themeColor="text1"/>
                <w:szCs w:val="18"/>
                <w:lang w:val="en-US"/>
              </w:rPr>
              <w:instrText xml:space="preserve"> REF _Ref202090194 \r \h </w:instrText>
            </w:r>
            <w:r w:rsidR="005508F0">
              <w:rPr>
                <w:color w:val="000000" w:themeColor="text1"/>
                <w:szCs w:val="18"/>
                <w:lang w:val="en-US"/>
              </w:rPr>
            </w:r>
            <w:r w:rsidR="005508F0">
              <w:rPr>
                <w:color w:val="000000" w:themeColor="text1"/>
                <w:szCs w:val="18"/>
                <w:lang w:val="en-US"/>
              </w:rPr>
              <w:fldChar w:fldCharType="separate"/>
            </w:r>
            <w:r w:rsidR="006C5761">
              <w:rPr>
                <w:color w:val="000000" w:themeColor="text1"/>
                <w:szCs w:val="18"/>
                <w:lang w:val="en-US"/>
              </w:rPr>
              <w:t>3.4.2.3</w:t>
            </w:r>
            <w:r w:rsidR="005508F0">
              <w:rPr>
                <w:color w:val="000000" w:themeColor="text1"/>
                <w:szCs w:val="18"/>
                <w:lang w:val="en-US"/>
              </w:rPr>
              <w:fldChar w:fldCharType="end"/>
            </w:r>
            <w:r w:rsidRPr="006C7D9C">
              <w:rPr>
                <w:color w:val="000000" w:themeColor="text1"/>
                <w:szCs w:val="18"/>
                <w:lang w:val="en-US"/>
              </w:rPr>
              <w:t>)</w:t>
            </w:r>
          </w:p>
          <w:p w14:paraId="071090BE" w14:textId="0AE9F6BA" w:rsidR="00640BC1" w:rsidRPr="006C7D9C" w:rsidRDefault="00640BC1" w:rsidP="001F51F1">
            <w:pPr>
              <w:pStyle w:val="TableText"/>
              <w:rPr>
                <w:color w:val="000000" w:themeColor="text1"/>
              </w:rPr>
            </w:pPr>
            <w:r w:rsidRPr="006C7D9C">
              <w:rPr>
                <w:color w:val="000000" w:themeColor="text1"/>
              </w:rPr>
              <w:t>Left</w:t>
            </w:r>
            <w:r w:rsidR="004F77F2">
              <w:rPr>
                <w:color w:val="000000" w:themeColor="text1"/>
              </w:rPr>
              <w:t>-</w:t>
            </w:r>
            <w:r w:rsidRPr="006C7D9C">
              <w:rPr>
                <w:color w:val="000000" w:themeColor="text1"/>
              </w:rPr>
              <w:t xml:space="preserve">censored data (i.e. </w:t>
            </w:r>
            <w:r w:rsidR="004F77F2">
              <w:rPr>
                <w:color w:val="000000" w:themeColor="text1"/>
              </w:rPr>
              <w:t>‘</w:t>
            </w:r>
            <w:r w:rsidRPr="006C7D9C">
              <w:rPr>
                <w:color w:val="000000" w:themeColor="text1"/>
              </w:rPr>
              <w:t>&lt;</w:t>
            </w:r>
            <w:r w:rsidR="004F77F2">
              <w:rPr>
                <w:color w:val="000000" w:themeColor="text1"/>
              </w:rPr>
              <w:t xml:space="preserve">’ </w:t>
            </w:r>
            <w:r w:rsidRPr="006C7D9C">
              <w:rPr>
                <w:color w:val="000000" w:themeColor="text1"/>
              </w:rPr>
              <w:t xml:space="preserve">toxicity values) where (i) there are uncensored data for that species, (ii) the data point does not sit at the lower end of the distribution of species sensitivities, or (iii) the exclusion of the data would result in a less conservative </w:t>
            </w:r>
            <w:r w:rsidR="004F77F2">
              <w:rPr>
                <w:color w:val="000000" w:themeColor="text1"/>
              </w:rPr>
              <w:t>guideline value</w:t>
            </w:r>
            <w:r w:rsidRPr="006C7D9C">
              <w:rPr>
                <w:color w:val="000000" w:themeColor="text1"/>
              </w:rPr>
              <w:t xml:space="preserve"> (refer to Section </w:t>
            </w:r>
            <w:r w:rsidR="0079582B">
              <w:rPr>
                <w:color w:val="000000" w:themeColor="text1"/>
                <w:szCs w:val="18"/>
                <w:lang w:val="en-US"/>
              </w:rPr>
              <w:fldChar w:fldCharType="begin"/>
            </w:r>
            <w:r w:rsidR="0079582B">
              <w:rPr>
                <w:color w:val="000000" w:themeColor="text1"/>
                <w:szCs w:val="18"/>
                <w:lang w:val="en-US"/>
              </w:rPr>
              <w:instrText xml:space="preserve"> REF _Ref202087270 \r \h </w:instrText>
            </w:r>
            <w:r w:rsidR="0079582B">
              <w:rPr>
                <w:color w:val="000000" w:themeColor="text1"/>
                <w:szCs w:val="18"/>
                <w:lang w:val="en-US"/>
              </w:rPr>
            </w:r>
            <w:r w:rsidR="0079582B">
              <w:rPr>
                <w:color w:val="000000" w:themeColor="text1"/>
                <w:szCs w:val="18"/>
                <w:lang w:val="en-US"/>
              </w:rPr>
              <w:fldChar w:fldCharType="separate"/>
            </w:r>
            <w:r w:rsidR="006C5761">
              <w:rPr>
                <w:color w:val="000000" w:themeColor="text1"/>
                <w:szCs w:val="18"/>
                <w:lang w:val="en-US"/>
              </w:rPr>
              <w:t>3.4.2</w:t>
            </w:r>
            <w:r w:rsidR="0079582B">
              <w:rPr>
                <w:color w:val="000000" w:themeColor="text1"/>
                <w:szCs w:val="18"/>
                <w:lang w:val="en-US"/>
              </w:rPr>
              <w:fldChar w:fldCharType="end"/>
            </w:r>
            <w:r w:rsidRPr="006C7D9C">
              <w:rPr>
                <w:color w:val="000000" w:themeColor="text1"/>
              </w:rPr>
              <w:t>)</w:t>
            </w:r>
          </w:p>
          <w:p w14:paraId="218D6A72" w14:textId="5358DD44" w:rsidR="00640BC1" w:rsidRPr="006C7D9C" w:rsidRDefault="00640BC1" w:rsidP="001F51F1">
            <w:pPr>
              <w:pStyle w:val="TableText"/>
              <w:rPr>
                <w:color w:val="000000" w:themeColor="text1"/>
                <w:szCs w:val="18"/>
                <w:lang w:val="en-US"/>
              </w:rPr>
            </w:pPr>
            <w:r w:rsidRPr="006C7D9C">
              <w:rPr>
                <w:color w:val="000000" w:themeColor="text1"/>
              </w:rPr>
              <w:t>Right</w:t>
            </w:r>
            <w:r w:rsidR="0087462F">
              <w:rPr>
                <w:color w:val="000000" w:themeColor="text1"/>
              </w:rPr>
              <w:t>-</w:t>
            </w:r>
            <w:r w:rsidRPr="006C7D9C">
              <w:rPr>
                <w:color w:val="000000" w:themeColor="text1"/>
              </w:rPr>
              <w:t xml:space="preserve">censored data (i.e. </w:t>
            </w:r>
            <w:r w:rsidR="0087462F">
              <w:rPr>
                <w:color w:val="000000" w:themeColor="text1"/>
              </w:rPr>
              <w:t>‘</w:t>
            </w:r>
            <w:r w:rsidRPr="006C7D9C">
              <w:rPr>
                <w:color w:val="000000" w:themeColor="text1"/>
              </w:rPr>
              <w:t>&gt;</w:t>
            </w:r>
            <w:r w:rsidR="0087462F">
              <w:rPr>
                <w:color w:val="000000" w:themeColor="text1"/>
              </w:rPr>
              <w:t xml:space="preserve">’ </w:t>
            </w:r>
            <w:r w:rsidRPr="006C7D9C">
              <w:rPr>
                <w:color w:val="000000" w:themeColor="text1"/>
              </w:rPr>
              <w:t xml:space="preserve">toxicity values) that (i) are too far outside the existing data range or (ii) have an overly large influence on the final </w:t>
            </w:r>
            <w:r w:rsidR="0087462F">
              <w:rPr>
                <w:color w:val="000000" w:themeColor="text1"/>
              </w:rPr>
              <w:t>guideline value</w:t>
            </w:r>
            <w:r w:rsidRPr="006C7D9C">
              <w:rPr>
                <w:color w:val="000000" w:themeColor="text1"/>
              </w:rPr>
              <w:t xml:space="preserve"> (refer to Section </w:t>
            </w:r>
            <w:r w:rsidR="0079582B">
              <w:rPr>
                <w:color w:val="000000" w:themeColor="text1"/>
                <w:szCs w:val="18"/>
                <w:lang w:val="en-US"/>
              </w:rPr>
              <w:fldChar w:fldCharType="begin"/>
            </w:r>
            <w:r w:rsidR="0079582B">
              <w:rPr>
                <w:color w:val="000000" w:themeColor="text1"/>
                <w:szCs w:val="18"/>
                <w:lang w:val="en-US"/>
              </w:rPr>
              <w:instrText xml:space="preserve"> REF _Ref202087270 \r \h </w:instrText>
            </w:r>
            <w:r w:rsidR="0079582B">
              <w:rPr>
                <w:color w:val="000000" w:themeColor="text1"/>
                <w:szCs w:val="18"/>
                <w:lang w:val="en-US"/>
              </w:rPr>
            </w:r>
            <w:r w:rsidR="0079582B">
              <w:rPr>
                <w:color w:val="000000" w:themeColor="text1"/>
                <w:szCs w:val="18"/>
                <w:lang w:val="en-US"/>
              </w:rPr>
              <w:fldChar w:fldCharType="separate"/>
            </w:r>
            <w:r w:rsidR="006C5761">
              <w:rPr>
                <w:color w:val="000000" w:themeColor="text1"/>
                <w:szCs w:val="18"/>
                <w:lang w:val="en-US"/>
              </w:rPr>
              <w:t>3.4.2</w:t>
            </w:r>
            <w:r w:rsidR="0079582B">
              <w:rPr>
                <w:color w:val="000000" w:themeColor="text1"/>
                <w:szCs w:val="18"/>
                <w:lang w:val="en-US"/>
              </w:rPr>
              <w:fldChar w:fldCharType="end"/>
            </w:r>
            <w:r w:rsidRPr="006C7D9C">
              <w:rPr>
                <w:color w:val="000000" w:themeColor="text1"/>
              </w:rPr>
              <w:t>)</w:t>
            </w:r>
          </w:p>
        </w:tc>
      </w:tr>
      <w:tr w:rsidR="00640BC1" w:rsidRPr="00A21CD3" w14:paraId="0483B346" w14:textId="77777777" w:rsidTr="001F51F1">
        <w:trPr>
          <w:cantSplit/>
        </w:trPr>
        <w:tc>
          <w:tcPr>
            <w:tcW w:w="1127" w:type="pct"/>
          </w:tcPr>
          <w:p w14:paraId="360C1DBA" w14:textId="77777777" w:rsidR="00640BC1" w:rsidRDefault="00640BC1" w:rsidP="001F51F1">
            <w:pPr>
              <w:pStyle w:val="TableText"/>
            </w:pPr>
            <w:r>
              <w:lastRenderedPageBreak/>
              <w:t>Chemical purity</w:t>
            </w:r>
          </w:p>
        </w:tc>
        <w:tc>
          <w:tcPr>
            <w:tcW w:w="3873" w:type="pct"/>
          </w:tcPr>
          <w:p w14:paraId="09DD293D" w14:textId="4DB1243E" w:rsidR="00640BC1" w:rsidRPr="57352DF8" w:rsidRDefault="00640BC1" w:rsidP="001F51F1">
            <w:pPr>
              <w:pStyle w:val="TableText"/>
            </w:pPr>
            <w:r>
              <w:rPr>
                <w:szCs w:val="18"/>
                <w:lang w:val="en-US"/>
              </w:rPr>
              <w:t>W</w:t>
            </w:r>
            <w:r w:rsidRPr="0C7F8242">
              <w:rPr>
                <w:szCs w:val="18"/>
                <w:lang w:val="en-US"/>
              </w:rPr>
              <w:t xml:space="preserve">here tests are performed using chemical </w:t>
            </w:r>
            <w:r>
              <w:rPr>
                <w:szCs w:val="18"/>
                <w:lang w:val="en-US"/>
              </w:rPr>
              <w:t>reagents</w:t>
            </w:r>
            <w:r w:rsidRPr="0C7F8242">
              <w:rPr>
                <w:szCs w:val="18"/>
                <w:lang w:val="en-US"/>
              </w:rPr>
              <w:t xml:space="preserve"> </w:t>
            </w:r>
            <w:r>
              <w:rPr>
                <w:szCs w:val="18"/>
                <w:lang w:val="en-US"/>
              </w:rPr>
              <w:t xml:space="preserve">with a purity of </w:t>
            </w:r>
            <w:r w:rsidRPr="0C7F8242">
              <w:rPr>
                <w:szCs w:val="18"/>
                <w:lang w:val="en-US"/>
              </w:rPr>
              <w:t>&lt;</w:t>
            </w:r>
            <w:r w:rsidR="0087462F">
              <w:rPr>
                <w:szCs w:val="18"/>
                <w:lang w:val="en-US"/>
              </w:rPr>
              <w:t> </w:t>
            </w:r>
            <w:r w:rsidRPr="0C7F8242">
              <w:rPr>
                <w:szCs w:val="18"/>
                <w:lang w:val="en-US"/>
              </w:rPr>
              <w:t>80%</w:t>
            </w:r>
            <w:r>
              <w:rPr>
                <w:szCs w:val="18"/>
                <w:lang w:val="en-US"/>
              </w:rPr>
              <w:t xml:space="preserve"> for the toxicant or using chemical formulations</w:t>
            </w:r>
            <w:r w:rsidRPr="0C7F8242">
              <w:rPr>
                <w:szCs w:val="18"/>
                <w:lang w:val="en-US"/>
              </w:rPr>
              <w:t xml:space="preserve"> (refer to </w:t>
            </w:r>
            <w:r w:rsidR="00B816A8">
              <w:rPr>
                <w:szCs w:val="18"/>
                <w:lang w:val="en-US"/>
              </w:rPr>
              <w:t>S</w:t>
            </w:r>
            <w:r w:rsidRPr="0C7F8242">
              <w:rPr>
                <w:szCs w:val="18"/>
                <w:lang w:val="en-US"/>
              </w:rPr>
              <w:t xml:space="preserve">ection </w:t>
            </w:r>
            <w:r w:rsidR="00B816A8">
              <w:rPr>
                <w:szCs w:val="18"/>
                <w:lang w:val="en-US"/>
              </w:rPr>
              <w:fldChar w:fldCharType="begin"/>
            </w:r>
            <w:r w:rsidR="00B816A8">
              <w:rPr>
                <w:szCs w:val="18"/>
                <w:lang w:val="en-US"/>
              </w:rPr>
              <w:instrText xml:space="preserve"> REF _Ref202088805 \r \h </w:instrText>
            </w:r>
            <w:r w:rsidR="00B816A8">
              <w:rPr>
                <w:szCs w:val="18"/>
                <w:lang w:val="en-US"/>
              </w:rPr>
            </w:r>
            <w:r w:rsidR="00B816A8">
              <w:rPr>
                <w:szCs w:val="18"/>
                <w:lang w:val="en-US"/>
              </w:rPr>
              <w:fldChar w:fldCharType="separate"/>
            </w:r>
            <w:r w:rsidR="006C5761">
              <w:rPr>
                <w:szCs w:val="18"/>
                <w:lang w:val="en-US"/>
              </w:rPr>
              <w:t>3.10</w:t>
            </w:r>
            <w:r w:rsidR="00B816A8">
              <w:rPr>
                <w:szCs w:val="18"/>
                <w:lang w:val="en-US"/>
              </w:rPr>
              <w:fldChar w:fldCharType="end"/>
            </w:r>
            <w:r w:rsidRPr="0C7F8242">
              <w:rPr>
                <w:szCs w:val="18"/>
                <w:lang w:val="en-US"/>
              </w:rPr>
              <w:t>)</w:t>
            </w:r>
          </w:p>
        </w:tc>
      </w:tr>
      <w:tr w:rsidR="00640BC1" w:rsidRPr="00A21CD3" w14:paraId="5A351970" w14:textId="77777777" w:rsidTr="001F51F1">
        <w:trPr>
          <w:cantSplit/>
        </w:trPr>
        <w:tc>
          <w:tcPr>
            <w:tcW w:w="1127" w:type="pct"/>
          </w:tcPr>
          <w:p w14:paraId="4B813B0D" w14:textId="77777777" w:rsidR="00640BC1" w:rsidRPr="00A21CD3" w:rsidRDefault="00640BC1" w:rsidP="001F51F1">
            <w:pPr>
              <w:pStyle w:val="TableText"/>
            </w:pPr>
            <w:r>
              <w:t>Measurement of test chemical</w:t>
            </w:r>
          </w:p>
        </w:tc>
        <w:tc>
          <w:tcPr>
            <w:tcW w:w="3873" w:type="pct"/>
          </w:tcPr>
          <w:p w14:paraId="37C34B86" w14:textId="6277134E" w:rsidR="00640BC1" w:rsidRPr="00A21CD3" w:rsidRDefault="00640BC1" w:rsidP="001F51F1">
            <w:pPr>
              <w:pStyle w:val="TableText"/>
            </w:pPr>
            <w:r w:rsidRPr="57352DF8">
              <w:t>If concentrations of the test chemical were not measured in the test treatments at least once</w:t>
            </w:r>
            <w:r w:rsidRPr="57352DF8">
              <w:rPr>
                <w:vertAlign w:val="superscript"/>
              </w:rPr>
              <w:t>c</w:t>
            </w:r>
            <w:r>
              <w:t xml:space="preserve"> (refer to Section </w:t>
            </w:r>
            <w:r w:rsidR="00387F70">
              <w:rPr>
                <w:szCs w:val="18"/>
                <w:lang w:val="en-US"/>
              </w:rPr>
              <w:fldChar w:fldCharType="begin"/>
            </w:r>
            <w:r w:rsidR="00387F70">
              <w:rPr>
                <w:szCs w:val="18"/>
                <w:lang w:val="en-US"/>
              </w:rPr>
              <w:instrText xml:space="preserve"> REF _Ref522007975 \r \h </w:instrText>
            </w:r>
            <w:r w:rsidR="00387F70">
              <w:rPr>
                <w:szCs w:val="18"/>
                <w:lang w:val="en-US"/>
              </w:rPr>
            </w:r>
            <w:r w:rsidR="00387F70">
              <w:rPr>
                <w:szCs w:val="18"/>
                <w:lang w:val="en-US"/>
              </w:rPr>
              <w:fldChar w:fldCharType="separate"/>
            </w:r>
            <w:r w:rsidR="006C5761">
              <w:rPr>
                <w:szCs w:val="18"/>
                <w:lang w:val="en-US"/>
              </w:rPr>
              <w:t>3.3.1</w:t>
            </w:r>
            <w:r w:rsidR="00387F70">
              <w:rPr>
                <w:szCs w:val="18"/>
                <w:lang w:val="en-US"/>
              </w:rPr>
              <w:fldChar w:fldCharType="end"/>
            </w:r>
            <w:r>
              <w:t>)</w:t>
            </w:r>
          </w:p>
        </w:tc>
      </w:tr>
      <w:tr w:rsidR="00640BC1" w:rsidRPr="00A21CD3" w14:paraId="718210DB" w14:textId="77777777" w:rsidTr="001F51F1">
        <w:trPr>
          <w:cantSplit/>
        </w:trPr>
        <w:tc>
          <w:tcPr>
            <w:tcW w:w="1127" w:type="pct"/>
          </w:tcPr>
          <w:p w14:paraId="421DBBA6" w14:textId="77777777" w:rsidR="00640BC1" w:rsidRPr="00A21CD3" w:rsidRDefault="00640BC1" w:rsidP="001F51F1">
            <w:pPr>
              <w:pStyle w:val="TableText"/>
            </w:pPr>
            <w:r>
              <w:t>Test water contamination</w:t>
            </w:r>
          </w:p>
        </w:tc>
        <w:tc>
          <w:tcPr>
            <w:tcW w:w="3873" w:type="pct"/>
          </w:tcPr>
          <w:p w14:paraId="09B4A09B" w14:textId="7EB6693B" w:rsidR="00640BC1" w:rsidRDefault="00640BC1" w:rsidP="001F51F1">
            <w:pPr>
              <w:pStyle w:val="TableText"/>
            </w:pPr>
            <w:r>
              <w:t xml:space="preserve">Where significant contamination of the test water was observed in one or more treatments (refer to Section </w:t>
            </w:r>
            <w:r w:rsidR="00387F70">
              <w:rPr>
                <w:szCs w:val="18"/>
                <w:lang w:val="en-US"/>
              </w:rPr>
              <w:fldChar w:fldCharType="begin"/>
            </w:r>
            <w:r w:rsidR="00387F70">
              <w:rPr>
                <w:szCs w:val="18"/>
                <w:lang w:val="en-US"/>
              </w:rPr>
              <w:instrText xml:space="preserve"> REF _Ref522007975 \r \h </w:instrText>
            </w:r>
            <w:r w:rsidR="00387F70">
              <w:rPr>
                <w:szCs w:val="18"/>
                <w:lang w:val="en-US"/>
              </w:rPr>
            </w:r>
            <w:r w:rsidR="00387F70">
              <w:rPr>
                <w:szCs w:val="18"/>
                <w:lang w:val="en-US"/>
              </w:rPr>
              <w:fldChar w:fldCharType="separate"/>
            </w:r>
            <w:r w:rsidR="006C5761">
              <w:rPr>
                <w:szCs w:val="18"/>
                <w:lang w:val="en-US"/>
              </w:rPr>
              <w:t>3.3.1</w:t>
            </w:r>
            <w:r w:rsidR="00387F70">
              <w:rPr>
                <w:szCs w:val="18"/>
                <w:lang w:val="en-US"/>
              </w:rPr>
              <w:fldChar w:fldCharType="end"/>
            </w:r>
            <w:r>
              <w:t>)</w:t>
            </w:r>
          </w:p>
        </w:tc>
      </w:tr>
      <w:tr w:rsidR="00640BC1" w:rsidRPr="00A21CD3" w14:paraId="786340B5" w14:textId="77777777" w:rsidTr="001F51F1">
        <w:trPr>
          <w:cantSplit/>
        </w:trPr>
        <w:tc>
          <w:tcPr>
            <w:tcW w:w="1127" w:type="pct"/>
          </w:tcPr>
          <w:p w14:paraId="25CD8464" w14:textId="77777777" w:rsidR="00640BC1" w:rsidRPr="00A21CD3" w:rsidRDefault="00640BC1" w:rsidP="001F51F1">
            <w:pPr>
              <w:pStyle w:val="TableText"/>
            </w:pPr>
            <w:r>
              <w:t>Test acceptability criteria</w:t>
            </w:r>
          </w:p>
        </w:tc>
        <w:tc>
          <w:tcPr>
            <w:tcW w:w="3873" w:type="pct"/>
          </w:tcPr>
          <w:p w14:paraId="585CBA48" w14:textId="2D2988A7" w:rsidR="00640BC1" w:rsidRDefault="00640BC1" w:rsidP="001F51F1">
            <w:pPr>
              <w:pStyle w:val="TableText"/>
            </w:pPr>
            <w:r>
              <w:t>Where a test failed test acceptability criteria (including reference toxicity</w:t>
            </w:r>
            <w:r w:rsidR="0087238E">
              <w:t>-</w:t>
            </w:r>
            <w:r>
              <w:t xml:space="preserve">testing criteria) and there were no mitigating reasons for the failure (refer to Section </w:t>
            </w:r>
            <w:r w:rsidR="00387F70">
              <w:rPr>
                <w:szCs w:val="18"/>
                <w:lang w:val="en-US"/>
              </w:rPr>
              <w:fldChar w:fldCharType="begin"/>
            </w:r>
            <w:r w:rsidR="00387F70">
              <w:rPr>
                <w:szCs w:val="18"/>
                <w:lang w:val="en-US"/>
              </w:rPr>
              <w:instrText xml:space="preserve"> REF _Ref522007975 \r \h </w:instrText>
            </w:r>
            <w:r w:rsidR="00387F70">
              <w:rPr>
                <w:szCs w:val="18"/>
                <w:lang w:val="en-US"/>
              </w:rPr>
            </w:r>
            <w:r w:rsidR="00387F70">
              <w:rPr>
                <w:szCs w:val="18"/>
                <w:lang w:val="en-US"/>
              </w:rPr>
              <w:fldChar w:fldCharType="separate"/>
            </w:r>
            <w:r w:rsidR="006C5761">
              <w:rPr>
                <w:szCs w:val="18"/>
                <w:lang w:val="en-US"/>
              </w:rPr>
              <w:t>3.3.1</w:t>
            </w:r>
            <w:r w:rsidR="00387F70">
              <w:rPr>
                <w:szCs w:val="18"/>
                <w:lang w:val="en-US"/>
              </w:rPr>
              <w:fldChar w:fldCharType="end"/>
            </w:r>
            <w:r>
              <w:t>)</w:t>
            </w:r>
          </w:p>
        </w:tc>
      </w:tr>
      <w:tr w:rsidR="00640BC1" w:rsidRPr="00A21CD3" w14:paraId="7F1D2E71" w14:textId="77777777" w:rsidTr="009C0836">
        <w:trPr>
          <w:cantSplit/>
        </w:trPr>
        <w:tc>
          <w:tcPr>
            <w:tcW w:w="1127" w:type="pct"/>
            <w:tcBorders>
              <w:bottom w:val="single" w:sz="4" w:space="0" w:color="auto"/>
            </w:tcBorders>
          </w:tcPr>
          <w:p w14:paraId="12B656D1" w14:textId="77777777" w:rsidR="00640BC1" w:rsidRDefault="00640BC1" w:rsidP="001F51F1">
            <w:pPr>
              <w:pStyle w:val="TableText"/>
            </w:pPr>
            <w:r>
              <w:t>Concentration-response relationship</w:t>
            </w:r>
          </w:p>
        </w:tc>
        <w:tc>
          <w:tcPr>
            <w:tcW w:w="3873" w:type="pct"/>
            <w:tcBorders>
              <w:bottom w:val="single" w:sz="4" w:space="0" w:color="auto"/>
            </w:tcBorders>
          </w:tcPr>
          <w:p w14:paraId="782D5B86" w14:textId="2DDE9822" w:rsidR="00640BC1" w:rsidRDefault="00640BC1" w:rsidP="001F51F1">
            <w:pPr>
              <w:pStyle w:val="TableText"/>
            </w:pPr>
            <w:r>
              <w:t>Where there was no concentration-response relationship (but also see information above regarding right</w:t>
            </w:r>
            <w:r w:rsidR="0087238E">
              <w:t>-</w:t>
            </w:r>
            <w:r>
              <w:t xml:space="preserve">censored values) (refer to Section </w:t>
            </w:r>
            <w:r w:rsidR="00387F70">
              <w:rPr>
                <w:szCs w:val="18"/>
                <w:lang w:val="en-US"/>
              </w:rPr>
              <w:fldChar w:fldCharType="begin"/>
            </w:r>
            <w:r w:rsidR="00387F70">
              <w:rPr>
                <w:szCs w:val="18"/>
                <w:lang w:val="en-US"/>
              </w:rPr>
              <w:instrText xml:space="preserve"> REF _Ref522007975 \r \h </w:instrText>
            </w:r>
            <w:r w:rsidR="00387F70">
              <w:rPr>
                <w:szCs w:val="18"/>
                <w:lang w:val="en-US"/>
              </w:rPr>
            </w:r>
            <w:r w:rsidR="00387F70">
              <w:rPr>
                <w:szCs w:val="18"/>
                <w:lang w:val="en-US"/>
              </w:rPr>
              <w:fldChar w:fldCharType="separate"/>
            </w:r>
            <w:r w:rsidR="006C5761">
              <w:rPr>
                <w:szCs w:val="18"/>
                <w:lang w:val="en-US"/>
              </w:rPr>
              <w:t>3.3.1</w:t>
            </w:r>
            <w:r w:rsidR="00387F70">
              <w:rPr>
                <w:szCs w:val="18"/>
                <w:lang w:val="en-US"/>
              </w:rPr>
              <w:fldChar w:fldCharType="end"/>
            </w:r>
            <w:r>
              <w:t>)</w:t>
            </w:r>
          </w:p>
        </w:tc>
      </w:tr>
      <w:tr w:rsidR="00640BC1" w:rsidRPr="00A21CD3" w14:paraId="12188B7A" w14:textId="77777777" w:rsidTr="009C0836">
        <w:trPr>
          <w:cantSplit/>
        </w:trPr>
        <w:tc>
          <w:tcPr>
            <w:tcW w:w="1127" w:type="pct"/>
            <w:tcBorders>
              <w:bottom w:val="single" w:sz="12" w:space="0" w:color="auto"/>
            </w:tcBorders>
          </w:tcPr>
          <w:p w14:paraId="1D8BB48A" w14:textId="77777777" w:rsidR="00640BC1" w:rsidRPr="00A21CD3" w:rsidRDefault="00640BC1" w:rsidP="001F51F1">
            <w:pPr>
              <w:pStyle w:val="TableText"/>
            </w:pPr>
            <w:r w:rsidRPr="00A21CD3">
              <w:t>Aqueous solubility</w:t>
            </w:r>
          </w:p>
        </w:tc>
        <w:tc>
          <w:tcPr>
            <w:tcW w:w="3873" w:type="pct"/>
            <w:tcBorders>
              <w:bottom w:val="single" w:sz="12" w:space="0" w:color="auto"/>
            </w:tcBorders>
          </w:tcPr>
          <w:p w14:paraId="1399E5FB" w14:textId="038308F3" w:rsidR="00640BC1" w:rsidRPr="00A21CD3" w:rsidRDefault="00640BC1" w:rsidP="001F51F1">
            <w:pPr>
              <w:pStyle w:val="TableText"/>
            </w:pPr>
            <w:r>
              <w:t>If toxicity values are greater than twice the aqueous solubility at the exposure temperature (on the basis that precipitated forms of the chemical do not contribute to toxicity)</w:t>
            </w:r>
          </w:p>
        </w:tc>
      </w:tr>
    </w:tbl>
    <w:p w14:paraId="714D77EF" w14:textId="5E7E18A3" w:rsidR="00B679A4" w:rsidRDefault="00640BC1" w:rsidP="004D7186">
      <w:pPr>
        <w:pStyle w:val="FigureTableNoteSource"/>
      </w:pPr>
      <w:r w:rsidRPr="0093284C">
        <w:rPr>
          <w:vertAlign w:val="superscript"/>
        </w:rPr>
        <w:t>a</w:t>
      </w:r>
      <w:r w:rsidRPr="57352DF8">
        <w:rPr>
          <w:b/>
          <w:bCs/>
        </w:rPr>
        <w:t xml:space="preserve"> </w:t>
      </w:r>
      <w:r w:rsidRPr="57352DF8">
        <w:t>Except where the data are of particular significance and a strong justification for their inclusion can be provided and is deemed to be of net benefit to the derivation of the guideline value.</w:t>
      </w:r>
    </w:p>
    <w:p w14:paraId="1AEB4F3F" w14:textId="13012193" w:rsidR="00640BC1" w:rsidRDefault="00640BC1" w:rsidP="004D7186">
      <w:pPr>
        <w:pStyle w:val="FigureTableNoteSource"/>
      </w:pPr>
      <w:r w:rsidRPr="0093284C">
        <w:rPr>
          <w:vertAlign w:val="superscript"/>
        </w:rPr>
        <w:t>b</w:t>
      </w:r>
      <w:r>
        <w:t xml:space="preserve"> Ideally, </w:t>
      </w:r>
      <w:r w:rsidR="00090D7E" w:rsidRPr="00A43A52">
        <w:t>≥</w:t>
      </w:r>
      <w:r w:rsidR="00090D7E">
        <w:t xml:space="preserve"> </w:t>
      </w:r>
      <w:r w:rsidR="00C64837">
        <w:t>6</w:t>
      </w:r>
      <w:r>
        <w:t xml:space="preserve"> concentrations should have been tested, but some allowance for fewer than this (i.e. 3</w:t>
      </w:r>
      <w:r w:rsidR="00884D82">
        <w:t>–</w:t>
      </w:r>
      <w:r>
        <w:t>5) may be made</w:t>
      </w:r>
      <w:r w:rsidR="00884D82">
        <w:t>,</w:t>
      </w:r>
      <w:r>
        <w:t xml:space="preserve"> depending on the overall reliability of the data and amount of data.</w:t>
      </w:r>
    </w:p>
    <w:p w14:paraId="0A99023C" w14:textId="7F20BEFA" w:rsidR="00640BC1" w:rsidRPr="007C67F1" w:rsidRDefault="00640BC1" w:rsidP="004D7186">
      <w:pPr>
        <w:pStyle w:val="FigureTableNoteSource"/>
      </w:pPr>
      <w:r w:rsidRPr="0093284C">
        <w:rPr>
          <w:vertAlign w:val="superscript"/>
        </w:rPr>
        <w:t>c</w:t>
      </w:r>
      <w:r w:rsidRPr="57352DF8">
        <w:t xml:space="preserve"> This requirement could be relaxed for persistent and some highly soluble toxicants, </w:t>
      </w:r>
      <w:r w:rsidR="00B13D1E">
        <w:t>and</w:t>
      </w:r>
      <w:r w:rsidR="00B13D1E" w:rsidRPr="57352DF8">
        <w:t xml:space="preserve"> </w:t>
      </w:r>
      <w:r w:rsidRPr="57352DF8">
        <w:t>measurement of the stock solution possibly being acceptable, but not for toxicants such as metals. Also, tests where some of the treatments are measured and the remainder are estimated from a regression of the measured concentrations may be acceptable as long as sufficient test concentrations across the full range were measured to enable an adequate representation of the nominal versus measured concentration relationship (e.g. &gt;</w:t>
      </w:r>
      <w:r w:rsidR="00884D82">
        <w:t> </w:t>
      </w:r>
      <w:r w:rsidRPr="57352DF8">
        <w:t>4).</w:t>
      </w:r>
    </w:p>
    <w:p w14:paraId="795CE896" w14:textId="77777777" w:rsidR="00BA0672" w:rsidRDefault="00BA0672" w:rsidP="004D7186">
      <w:pPr>
        <w:rPr>
          <w:rFonts w:cs="Calibri"/>
        </w:rPr>
      </w:pPr>
    </w:p>
    <w:p w14:paraId="18F45B53" w14:textId="77777777" w:rsidR="00E170A7" w:rsidRDefault="00E170A7" w:rsidP="00E170A7">
      <w:pPr>
        <w:pStyle w:val="Heading4"/>
      </w:pPr>
      <w:r>
        <w:t>Censored data</w:t>
      </w:r>
    </w:p>
    <w:p w14:paraId="71603B9E" w14:textId="77777777" w:rsidR="00E170A7" w:rsidRDefault="00E170A7" w:rsidP="00E170A7">
      <w:r w:rsidRPr="009553A9">
        <w:t xml:space="preserve">Selection of censored values (i.e. values expressed as greater than [&gt;] or as less than [&lt;]) will typically require some professional judgement. </w:t>
      </w:r>
      <w:r>
        <w:t>Note that</w:t>
      </w:r>
      <w:r w:rsidRPr="009553A9">
        <w:t xml:space="preserve"> &lt; and &gt; values</w:t>
      </w:r>
      <w:r>
        <w:t xml:space="preserve"> should not be used</w:t>
      </w:r>
      <w:r w:rsidRPr="009553A9">
        <w:t xml:space="preserve"> if other non-censored toxicity data are available for the same species. While (shiny)ssdtools can accommodate the incorporation of left-censored (&lt;) and interval-censored (&gt; &lt;) data, it does not currently accommodate right-censored (&gt;) data. Moreover, the censoring capability of (shiny)ssdtools requires validation in the context of model averaging and, at the time of publication of this method, has a range of technical limitations. Thus, when using the current method and until further updates are made to (shiny)ssdtools, the following guidance</w:t>
      </w:r>
      <w:r>
        <w:t xml:space="preserve"> should be followed</w:t>
      </w:r>
      <w:r w:rsidRPr="009553A9">
        <w:t>.</w:t>
      </w:r>
    </w:p>
    <w:p w14:paraId="13DC0CA5" w14:textId="77777777" w:rsidR="00E170A7" w:rsidRDefault="00E170A7" w:rsidP="00E170A7">
      <w:pPr>
        <w:rPr>
          <w:rFonts w:cs="Calibri"/>
        </w:rPr>
      </w:pPr>
      <w:r w:rsidRPr="009553A9">
        <w:t>Toxicity values expressed as greater</w:t>
      </w:r>
      <w:r>
        <w:t>-</w:t>
      </w:r>
      <w:r w:rsidRPr="009553A9">
        <w:t xml:space="preserve">than (&gt;) can be used, subject to professional judgement </w:t>
      </w:r>
      <w:r>
        <w:t xml:space="preserve">being applied </w:t>
      </w:r>
      <w:r w:rsidRPr="009553A9">
        <w:t xml:space="preserve">to determine whether they (i) are too far outside the existing data range or (ii) have an overly large influence on the final GV. </w:t>
      </w:r>
      <w:r>
        <w:t>I</w:t>
      </w:r>
      <w:r w:rsidRPr="009553A9">
        <w:t>f the</w:t>
      </w:r>
      <w:r>
        <w:t xml:space="preserve"> data</w:t>
      </w:r>
      <w:r w:rsidRPr="009553A9">
        <w:t xml:space="preserve"> do not meet either of these criteria</w:t>
      </w:r>
      <w:r>
        <w:t>, they can be used</w:t>
      </w:r>
      <w:r w:rsidRPr="009553A9">
        <w:t xml:space="preserve">. When using &gt; </w:t>
      </w:r>
      <w:r w:rsidRPr="009553A9">
        <w:rPr>
          <w:rFonts w:cs="Calibri"/>
        </w:rPr>
        <w:t>values for deriving a GV, the actual value</w:t>
      </w:r>
      <w:r>
        <w:rPr>
          <w:rFonts w:cs="Calibri"/>
        </w:rPr>
        <w:t xml:space="preserve"> should be used</w:t>
      </w:r>
      <w:r w:rsidRPr="009553A9">
        <w:rPr>
          <w:rFonts w:cs="Calibri"/>
        </w:rPr>
        <w:t xml:space="preserve"> (e.g. a value of &gt; 20 µ</w:t>
      </w:r>
      <w:r w:rsidRPr="009553A9">
        <w:t>g/L</w:t>
      </w:r>
      <w:r w:rsidRPr="009553A9">
        <w:rPr>
          <w:rFonts w:cs="Calibri"/>
        </w:rPr>
        <w:t xml:space="preserve"> would, for the purposes of deriving a GV, be used as 20 µ</w:t>
      </w:r>
      <w:r w:rsidRPr="009553A9">
        <w:t>g/L</w:t>
      </w:r>
      <w:r w:rsidRPr="009553A9">
        <w:rPr>
          <w:rFonts w:cs="Calibri"/>
        </w:rPr>
        <w:t>).</w:t>
      </w:r>
    </w:p>
    <w:p w14:paraId="1630896C" w14:textId="5AA26112" w:rsidR="00B679A4" w:rsidRPr="009553A9" w:rsidRDefault="00E170A7" w:rsidP="004D7186">
      <w:r>
        <w:t>L</w:t>
      </w:r>
      <w:r w:rsidRPr="009553A9">
        <w:t>ess</w:t>
      </w:r>
      <w:r>
        <w:t>-</w:t>
      </w:r>
      <w:r w:rsidRPr="009553A9">
        <w:t>than (&lt;</w:t>
      </w:r>
      <w:r>
        <w:t xml:space="preserve"> or ≤</w:t>
      </w:r>
      <w:r w:rsidRPr="009553A9">
        <w:t>) values</w:t>
      </w:r>
      <w:r>
        <w:t xml:space="preserve"> should be excluded,</w:t>
      </w:r>
      <w:r w:rsidRPr="009553A9">
        <w:t xml:space="preserve"> unless (i) there are no other data for a species, (ii) the data point sits at the lower end of the distribution of species sensitivities, or (iii) the exclusion of the data would result in a less conservative GV. </w:t>
      </w:r>
      <w:r w:rsidRPr="009553A9">
        <w:rPr>
          <w:rFonts w:cs="Calibri"/>
        </w:rPr>
        <w:t xml:space="preserve">Toxicity values reported as &lt; </w:t>
      </w:r>
      <w:r>
        <w:rPr>
          <w:rFonts w:cs="Calibri"/>
        </w:rPr>
        <w:t xml:space="preserve">or ≤ </w:t>
      </w:r>
      <w:r w:rsidRPr="009553A9">
        <w:rPr>
          <w:rFonts w:cs="Calibri"/>
        </w:rPr>
        <w:t xml:space="preserve">values are typically concentrations at which a measurable </w:t>
      </w:r>
      <w:r>
        <w:rPr>
          <w:rFonts w:cs="Calibri"/>
        </w:rPr>
        <w:t xml:space="preserve">(statistically significant) </w:t>
      </w:r>
      <w:r w:rsidRPr="009553A9">
        <w:rPr>
          <w:rFonts w:cs="Calibri"/>
        </w:rPr>
        <w:t xml:space="preserve">effect may still be observed and, thus, in theory, a conversion factor should still be applied to convert them to a negligible-effect equivalent. For example, where </w:t>
      </w:r>
      <w:r>
        <w:rPr>
          <w:rFonts w:cs="Calibri"/>
        </w:rPr>
        <w:t>there is</w:t>
      </w:r>
      <w:r w:rsidRPr="009553A9">
        <w:rPr>
          <w:rFonts w:cs="Calibri"/>
        </w:rPr>
        <w:t xml:space="preserve"> a statistically significant effect </w:t>
      </w:r>
      <w:r>
        <w:rPr>
          <w:rFonts w:cs="Calibri"/>
        </w:rPr>
        <w:t xml:space="preserve">(relative to the control) </w:t>
      </w:r>
      <w:r w:rsidRPr="009553A9">
        <w:rPr>
          <w:rFonts w:cs="Calibri"/>
        </w:rPr>
        <w:t xml:space="preserve">at all concentrations including the lowest concentration, </w:t>
      </w:r>
      <w:r>
        <w:rPr>
          <w:rFonts w:cs="Calibri"/>
        </w:rPr>
        <w:t xml:space="preserve">then a NOEC cannot be calculated (thus, the NOEC can be referred to as &lt; the lowest concentration), and the LOEC might be the lowest </w:t>
      </w:r>
      <w:r>
        <w:rPr>
          <w:rFonts w:cs="Calibri"/>
        </w:rPr>
        <w:lastRenderedPageBreak/>
        <w:t xml:space="preserve">concentration or a lower concentration that was not tested (thus, the LOEC can be referred to as ≤ the lowest concentration). In such cases, the lowest concentration should be treated as a LOEC, and </w:t>
      </w:r>
      <w:r w:rsidRPr="009553A9">
        <w:rPr>
          <w:rFonts w:cs="Calibri"/>
        </w:rPr>
        <w:t>the LOEC</w:t>
      </w:r>
      <w:r>
        <w:rPr>
          <w:rFonts w:cs="Calibri"/>
        </w:rPr>
        <w:t>-</w:t>
      </w:r>
      <w:r w:rsidRPr="009553A9">
        <w:rPr>
          <w:rFonts w:cs="Calibri"/>
        </w:rPr>
        <w:t>to</w:t>
      </w:r>
      <w:r>
        <w:rPr>
          <w:rFonts w:cs="Calibri"/>
        </w:rPr>
        <w:t>-</w:t>
      </w:r>
      <w:r w:rsidRPr="009553A9">
        <w:rPr>
          <w:rFonts w:cs="Calibri"/>
        </w:rPr>
        <w:t xml:space="preserve">negligible-effect factor of 2.5 (see Section </w:t>
      </w:r>
      <w:r w:rsidRPr="009553A9">
        <w:rPr>
          <w:rFonts w:cs="Calibri"/>
        </w:rPr>
        <w:fldChar w:fldCharType="begin"/>
      </w:r>
      <w:r w:rsidRPr="009553A9">
        <w:rPr>
          <w:rFonts w:cs="Calibri"/>
        </w:rPr>
        <w:instrText xml:space="preserve"> REF _Ref202090288 \r \h  \* MERGEFORMAT </w:instrText>
      </w:r>
      <w:r w:rsidRPr="009553A9">
        <w:rPr>
          <w:rFonts w:cs="Calibri"/>
        </w:rPr>
      </w:r>
      <w:r w:rsidRPr="009553A9">
        <w:rPr>
          <w:rFonts w:cs="Calibri"/>
        </w:rPr>
        <w:fldChar w:fldCharType="separate"/>
      </w:r>
      <w:r w:rsidR="006C5761">
        <w:rPr>
          <w:rFonts w:cs="Calibri"/>
        </w:rPr>
        <w:t>3.4.2.1</w:t>
      </w:r>
      <w:r w:rsidRPr="009553A9">
        <w:rPr>
          <w:rFonts w:cs="Calibri"/>
        </w:rPr>
        <w:fldChar w:fldCharType="end"/>
      </w:r>
      <w:r w:rsidRPr="009553A9">
        <w:rPr>
          <w:rFonts w:cs="Calibri"/>
        </w:rPr>
        <w:t xml:space="preserve">) </w:t>
      </w:r>
      <w:r>
        <w:rPr>
          <w:rFonts w:cs="Calibri"/>
        </w:rPr>
        <w:t>should be applied to this value</w:t>
      </w:r>
      <w:r w:rsidRPr="009553A9">
        <w:rPr>
          <w:rFonts w:cs="Calibri"/>
        </w:rPr>
        <w:t xml:space="preserve"> (e.g. where a </w:t>
      </w:r>
      <w:r>
        <w:rPr>
          <w:rFonts w:cs="Calibri"/>
        </w:rPr>
        <w:t>L</w:t>
      </w:r>
      <w:r w:rsidRPr="009553A9">
        <w:rPr>
          <w:rFonts w:cs="Calibri"/>
        </w:rPr>
        <w:t>OEC is reported as ≤ 10</w:t>
      </w:r>
      <w:r>
        <w:rPr>
          <w:rFonts w:cs="Calibri"/>
        </w:rPr>
        <w:t> </w:t>
      </w:r>
      <w:r w:rsidRPr="009553A9">
        <w:rPr>
          <w:rFonts w:cs="Calibri"/>
        </w:rPr>
        <w:t xml:space="preserve">µg/L, the value used in the final derivation dataset is 10 µg/L ÷ 2.5, </w:t>
      </w:r>
      <w:r w:rsidR="00782C30" w:rsidRPr="009553A9">
        <w:rPr>
          <w:rFonts w:cs="Calibri"/>
        </w:rPr>
        <w:t>being 4</w:t>
      </w:r>
      <w:r w:rsidR="00FD2D86" w:rsidRPr="009553A9">
        <w:rPr>
          <w:rFonts w:cs="Calibri"/>
        </w:rPr>
        <w:t> </w:t>
      </w:r>
      <w:r w:rsidR="00782C30" w:rsidRPr="009553A9">
        <w:rPr>
          <w:rFonts w:cs="Calibri"/>
        </w:rPr>
        <w:t xml:space="preserve">µg/L). </w:t>
      </w:r>
      <w:r w:rsidR="00782C30" w:rsidRPr="009553A9">
        <w:t xml:space="preserve">The lower value of a range of values for toxicity </w:t>
      </w:r>
      <w:r w:rsidR="006C047F" w:rsidRPr="009553A9">
        <w:t>(e.g.</w:t>
      </w:r>
      <w:r w:rsidR="00782C30" w:rsidRPr="009553A9">
        <w:t xml:space="preserve"> EC50</w:t>
      </w:r>
      <w:r w:rsidR="00FD2D86" w:rsidRPr="009553A9">
        <w:t> </w:t>
      </w:r>
      <w:r w:rsidR="00782C30" w:rsidRPr="009553A9">
        <w:t>=</w:t>
      </w:r>
      <w:r w:rsidR="00FD2D86" w:rsidRPr="009553A9">
        <w:t> </w:t>
      </w:r>
      <w:r w:rsidR="00782C30" w:rsidRPr="009553A9">
        <w:t>25–50 </w:t>
      </w:r>
      <w:r w:rsidR="00782C30" w:rsidRPr="009553A9">
        <w:rPr>
          <w:rFonts w:cs="Calibri"/>
        </w:rPr>
        <w:t>µ</w:t>
      </w:r>
      <w:r w:rsidR="00782C30" w:rsidRPr="009553A9">
        <w:t xml:space="preserve">g/L) can also be used, subject to professional judgement. For all the above decisions, </w:t>
      </w:r>
      <w:r w:rsidR="009779E1">
        <w:t xml:space="preserve">apply </w:t>
      </w:r>
      <w:r w:rsidR="00782C30" w:rsidRPr="009553A9">
        <w:t>best professional judgement</w:t>
      </w:r>
      <w:r w:rsidR="00FD2D86" w:rsidRPr="009553A9">
        <w:t>,</w:t>
      </w:r>
      <w:r w:rsidR="00782C30" w:rsidRPr="009553A9">
        <w:t xml:space="preserve"> and </w:t>
      </w:r>
      <w:r w:rsidR="009779E1">
        <w:t xml:space="preserve">document </w:t>
      </w:r>
      <w:r w:rsidR="00782C30" w:rsidRPr="009553A9">
        <w:t>the reasoning behind all decisions (e.g. where the effect at the lowest concentration is significant but the effect size is ≤</w:t>
      </w:r>
      <w:r w:rsidR="00FD2D86" w:rsidRPr="009553A9">
        <w:t> </w:t>
      </w:r>
      <w:r w:rsidR="00782C30" w:rsidRPr="009553A9">
        <w:t>10%, a conversion factor might not be applied to this concentration).</w:t>
      </w:r>
      <w:bookmarkStart w:id="73" w:name="_Ref202088703"/>
    </w:p>
    <w:p w14:paraId="2388820B" w14:textId="2FA63448" w:rsidR="00BE13FA" w:rsidRPr="009553A9" w:rsidRDefault="00EB579C" w:rsidP="00BD4CEC">
      <w:pPr>
        <w:pStyle w:val="Heading4"/>
        <w:rPr>
          <w:rFonts w:asciiTheme="minorHAnsi" w:hAnsiTheme="minorHAnsi"/>
        </w:rPr>
      </w:pPr>
      <w:r w:rsidRPr="009553A9">
        <w:rPr>
          <w:rFonts w:asciiTheme="minorHAnsi" w:hAnsiTheme="minorHAnsi"/>
        </w:rPr>
        <w:t>Hierarchy of s</w:t>
      </w:r>
      <w:r w:rsidR="00BE13FA" w:rsidRPr="009553A9">
        <w:rPr>
          <w:rFonts w:asciiTheme="minorHAnsi" w:hAnsiTheme="minorHAnsi"/>
        </w:rPr>
        <w:t>tatistical estimates of toxicity</w:t>
      </w:r>
      <w:bookmarkEnd w:id="73"/>
    </w:p>
    <w:p w14:paraId="33F18D3F" w14:textId="3DF89A6F" w:rsidR="00976156" w:rsidRPr="009553A9" w:rsidRDefault="00976156" w:rsidP="004D7186">
      <w:r w:rsidRPr="009553A9">
        <w:t xml:space="preserve">The most preferred types of statistical estimates are </w:t>
      </w:r>
      <w:r w:rsidR="00BE13FA" w:rsidRPr="009553A9">
        <w:t>negligible</w:t>
      </w:r>
      <w:r w:rsidR="00FD2D86" w:rsidRPr="009553A9">
        <w:t>-</w:t>
      </w:r>
      <w:r w:rsidRPr="009553A9">
        <w:t>effect concentrations that have been directly estimated from the concentration-response relationship and</w:t>
      </w:r>
      <w:r w:rsidR="00FD2D86" w:rsidRPr="009553A9">
        <w:t xml:space="preserve"> that</w:t>
      </w:r>
      <w:r w:rsidRPr="009553A9">
        <w:t xml:space="preserve"> include</w:t>
      </w:r>
      <w:r w:rsidR="00E235E4" w:rsidRPr="009553A9">
        <w:t>,</w:t>
      </w:r>
      <w:r w:rsidRPr="009553A9">
        <w:t xml:space="preserve"> but are not necessarily limited to:</w:t>
      </w:r>
    </w:p>
    <w:p w14:paraId="54C48646" w14:textId="4F3493F3" w:rsidR="00976156" w:rsidRPr="009553A9" w:rsidRDefault="00976156" w:rsidP="00FD6F19">
      <w:pPr>
        <w:pStyle w:val="ListBullet"/>
        <w:spacing w:before="80" w:after="80"/>
      </w:pPr>
      <w:r w:rsidRPr="009553A9">
        <w:t>NEC (van der Hoeven et al. 1997; Fox 2009; Fox and Billoir 2011)</w:t>
      </w:r>
    </w:p>
    <w:p w14:paraId="126003D9" w14:textId="2D2B924E" w:rsidR="00976156" w:rsidRPr="009553A9" w:rsidRDefault="00976156" w:rsidP="00FD6F19">
      <w:pPr>
        <w:pStyle w:val="ListBullet"/>
        <w:spacing w:before="80" w:after="80"/>
      </w:pPr>
      <w:r w:rsidRPr="009553A9">
        <w:t xml:space="preserve">NSEC (Fisher </w:t>
      </w:r>
      <w:r w:rsidR="0070630E" w:rsidRPr="009553A9">
        <w:t>and</w:t>
      </w:r>
      <w:r w:rsidRPr="009553A9">
        <w:t xml:space="preserve"> Fox 2023, Fisher et al. 2024)</w:t>
      </w:r>
      <w:r w:rsidR="00E235E4" w:rsidRPr="009553A9">
        <w:t>.</w:t>
      </w:r>
    </w:p>
    <w:p w14:paraId="08805C33" w14:textId="3B60A617" w:rsidR="00976156" w:rsidRPr="009553A9" w:rsidRDefault="00976156" w:rsidP="00FD6F19">
      <w:pPr>
        <w:spacing w:before="80" w:after="80"/>
      </w:pPr>
      <w:r w:rsidRPr="009553A9">
        <w:t>Other appropriate estimates include:</w:t>
      </w:r>
    </w:p>
    <w:p w14:paraId="3F5DC521" w14:textId="19119E8A" w:rsidR="00976156" w:rsidRPr="009553A9" w:rsidRDefault="00976156" w:rsidP="00FD6F19">
      <w:pPr>
        <w:pStyle w:val="ListBullet"/>
        <w:spacing w:before="80" w:after="80"/>
      </w:pPr>
      <w:r w:rsidRPr="009553A9">
        <w:t>x% effect/inhibition/lethal concentration where x</w:t>
      </w:r>
      <w:r w:rsidR="00DD268C" w:rsidRPr="009553A9">
        <w:t> </w:t>
      </w:r>
      <w:r w:rsidRPr="009553A9">
        <w:t xml:space="preserve">≤10 (wherever possible, ECx </w:t>
      </w:r>
      <w:r w:rsidR="00C3199A" w:rsidRPr="009553A9">
        <w:t xml:space="preserve">or </w:t>
      </w:r>
      <w:r w:rsidRPr="009553A9">
        <w:t>ICx data should be used in preference to LCx data</w:t>
      </w:r>
      <w:r w:rsidR="00C3199A" w:rsidRPr="009553A9">
        <w:t xml:space="preserve">, assuming the </w:t>
      </w:r>
      <w:r w:rsidR="009310EB" w:rsidRPr="009553A9">
        <w:t xml:space="preserve">values for the </w:t>
      </w:r>
      <w:r w:rsidR="00C3199A" w:rsidRPr="009553A9">
        <w:t xml:space="preserve">former </w:t>
      </w:r>
      <w:r w:rsidR="009310EB" w:rsidRPr="009553A9">
        <w:t xml:space="preserve">estimates </w:t>
      </w:r>
      <w:r w:rsidR="00C3199A" w:rsidRPr="009553A9">
        <w:t xml:space="preserve">are lower than </w:t>
      </w:r>
      <w:r w:rsidR="009310EB" w:rsidRPr="009553A9">
        <w:t xml:space="preserve">those for </w:t>
      </w:r>
      <w:r w:rsidR="00C3199A" w:rsidRPr="009553A9">
        <w:t>the latter</w:t>
      </w:r>
      <w:r w:rsidR="009310EB" w:rsidRPr="009553A9">
        <w:t xml:space="preserve"> estimate</w:t>
      </w:r>
      <w:r w:rsidRPr="009553A9">
        <w:t>)</w:t>
      </w:r>
    </w:p>
    <w:p w14:paraId="0B604A19" w14:textId="74480AFF" w:rsidR="00976156" w:rsidRPr="009553A9" w:rsidRDefault="00976156" w:rsidP="00FD6F19">
      <w:pPr>
        <w:pStyle w:val="ListBullet"/>
        <w:spacing w:before="80" w:after="80"/>
      </w:pPr>
      <w:r w:rsidRPr="009553A9">
        <w:t>BEC10 (Hoekstra and Van Ewijk 1993)</w:t>
      </w:r>
      <w:r w:rsidR="00DD268C" w:rsidRPr="009553A9">
        <w:t>.</w:t>
      </w:r>
    </w:p>
    <w:p w14:paraId="08076306" w14:textId="283CF7FD" w:rsidR="00976156" w:rsidRPr="009553A9" w:rsidRDefault="00976156" w:rsidP="00FD6F19">
      <w:pPr>
        <w:keepNext/>
        <w:spacing w:before="80" w:after="80"/>
      </w:pPr>
      <w:r w:rsidRPr="009553A9">
        <w:t>Less preferred estimates include</w:t>
      </w:r>
      <w:r w:rsidR="007F3297" w:rsidRPr="009553A9">
        <w:t xml:space="preserve"> (in order of preference)</w:t>
      </w:r>
      <w:r w:rsidRPr="009553A9">
        <w:t>:</w:t>
      </w:r>
    </w:p>
    <w:p w14:paraId="1E6E8AAA" w14:textId="0E848DB7" w:rsidR="00976156" w:rsidRPr="009553A9" w:rsidRDefault="00976156" w:rsidP="00FD6F19">
      <w:pPr>
        <w:pStyle w:val="ListBullet"/>
        <w:spacing w:before="80" w:after="80"/>
      </w:pPr>
      <w:r w:rsidRPr="009553A9">
        <w:t>x% effect/inhibition/lethal concentration (EC/IC/LCx)</w:t>
      </w:r>
      <w:r w:rsidR="00716DC5" w:rsidRPr="009553A9">
        <w:t>,</w:t>
      </w:r>
      <w:r w:rsidRPr="009553A9">
        <w:t xml:space="preserve"> where x &gt;</w:t>
      </w:r>
      <w:r w:rsidR="00166A94" w:rsidRPr="009553A9">
        <w:t> </w:t>
      </w:r>
      <w:r w:rsidRPr="009553A9">
        <w:t>10 and ≤</w:t>
      </w:r>
      <w:r w:rsidR="00166A94" w:rsidRPr="009553A9">
        <w:t> </w:t>
      </w:r>
      <w:r w:rsidRPr="009553A9">
        <w:t>20</w:t>
      </w:r>
      <w:r w:rsidR="00716DC5" w:rsidRPr="009553A9">
        <w:t>,</w:t>
      </w:r>
      <w:r w:rsidR="007F3297" w:rsidRPr="009553A9">
        <w:t xml:space="preserve"> and NOEC – these estimates do not require any form of conversion to negligible</w:t>
      </w:r>
      <w:r w:rsidR="00166A94" w:rsidRPr="009553A9">
        <w:t>-</w:t>
      </w:r>
      <w:r w:rsidR="007F3297" w:rsidRPr="009553A9">
        <w:t>effect values</w:t>
      </w:r>
    </w:p>
    <w:p w14:paraId="0B88B257" w14:textId="283A04B2" w:rsidR="00976156" w:rsidRPr="009553A9" w:rsidRDefault="00976156" w:rsidP="00FD6F19">
      <w:pPr>
        <w:pStyle w:val="ListBullet"/>
        <w:spacing w:before="80" w:after="80"/>
      </w:pPr>
      <w:r w:rsidRPr="009553A9">
        <w:t>LOEC</w:t>
      </w:r>
      <w:r w:rsidR="007F3297" w:rsidRPr="009553A9">
        <w:t xml:space="preserve">, </w:t>
      </w:r>
      <w:r w:rsidRPr="009553A9">
        <w:t xml:space="preserve">MATC </w:t>
      </w:r>
      <w:r w:rsidR="00716DC5" w:rsidRPr="009553A9">
        <w:t>(</w:t>
      </w:r>
      <w:r w:rsidRPr="009553A9">
        <w:t>geometric mean of the NOEC and LOEC)</w:t>
      </w:r>
      <w:r w:rsidR="007F3297" w:rsidRPr="009553A9">
        <w:t xml:space="preserve"> and </w:t>
      </w:r>
      <w:r w:rsidRPr="009553A9">
        <w:t>EC</w:t>
      </w:r>
      <w:r w:rsidR="0042432F" w:rsidRPr="009553A9">
        <w:t>50</w:t>
      </w:r>
      <w:r w:rsidR="00D66B13" w:rsidRPr="009553A9">
        <w:t>/IC</w:t>
      </w:r>
      <w:r w:rsidR="0042432F" w:rsidRPr="009553A9">
        <w:t>50</w:t>
      </w:r>
      <w:r w:rsidRPr="009553A9">
        <w:t>/LC50</w:t>
      </w:r>
      <w:r w:rsidR="007F3297" w:rsidRPr="009553A9">
        <w:t xml:space="preserve"> – these estimates require application of a conversion factor to derive a negligible</w:t>
      </w:r>
      <w:r w:rsidR="00F849D5" w:rsidRPr="009553A9">
        <w:t>-</w:t>
      </w:r>
      <w:r w:rsidR="007F3297" w:rsidRPr="009553A9">
        <w:t>effect value</w:t>
      </w:r>
      <w:r w:rsidR="007A6FA8" w:rsidRPr="009553A9">
        <w:t xml:space="preserve"> (see </w:t>
      </w:r>
      <w:r w:rsidR="00265169" w:rsidRPr="009553A9">
        <w:t>S</w:t>
      </w:r>
      <w:r w:rsidR="007A6FA8" w:rsidRPr="009553A9">
        <w:t xml:space="preserve">ection </w:t>
      </w:r>
      <w:r w:rsidR="007F7265" w:rsidRPr="009553A9">
        <w:fldChar w:fldCharType="begin"/>
      </w:r>
      <w:r w:rsidR="007F7265" w:rsidRPr="009553A9">
        <w:instrText xml:space="preserve"> REF _Ref202090288 \r \h </w:instrText>
      </w:r>
      <w:r w:rsidR="008219BE" w:rsidRPr="009553A9">
        <w:instrText xml:space="preserve"> \* MERGEFORMAT </w:instrText>
      </w:r>
      <w:r w:rsidR="007F7265" w:rsidRPr="009553A9">
        <w:fldChar w:fldCharType="separate"/>
      </w:r>
      <w:r w:rsidR="006C5761">
        <w:t>3.4.2.1</w:t>
      </w:r>
      <w:r w:rsidR="007F7265" w:rsidRPr="009553A9">
        <w:fldChar w:fldCharType="end"/>
      </w:r>
      <w:r w:rsidR="007A6FA8" w:rsidRPr="009553A9">
        <w:t>)</w:t>
      </w:r>
    </w:p>
    <w:p w14:paraId="647335BA" w14:textId="3CAA5AFE" w:rsidR="00F740BD" w:rsidRPr="009553A9" w:rsidRDefault="004C645D" w:rsidP="008219BE">
      <w:pPr>
        <w:pStyle w:val="ListBullet"/>
      </w:pPr>
      <w:r w:rsidRPr="009553A9">
        <w:t>a</w:t>
      </w:r>
      <w:r w:rsidR="00F740BD" w:rsidRPr="009553A9">
        <w:t>cute EC/IC/LC50 converted using an acute</w:t>
      </w:r>
      <w:r w:rsidR="00F849D5" w:rsidRPr="009553A9">
        <w:t>-</w:t>
      </w:r>
      <w:r w:rsidR="00F740BD" w:rsidRPr="009553A9">
        <w:t>to</w:t>
      </w:r>
      <w:r w:rsidR="00F849D5" w:rsidRPr="009553A9">
        <w:t>-</w:t>
      </w:r>
      <w:r w:rsidR="00F740BD" w:rsidRPr="009553A9">
        <w:t>chronic ratio (ACR</w:t>
      </w:r>
      <w:r w:rsidR="00F849D5" w:rsidRPr="009553A9">
        <w:t>;</w:t>
      </w:r>
      <w:r w:rsidR="00D21198" w:rsidRPr="009553A9">
        <w:t xml:space="preserve"> see Section </w:t>
      </w:r>
      <w:r w:rsidR="007F7265" w:rsidRPr="009553A9">
        <w:fldChar w:fldCharType="begin"/>
      </w:r>
      <w:r w:rsidR="007F7265" w:rsidRPr="009553A9">
        <w:instrText xml:space="preserve"> REF _Ref522008131 \r \h </w:instrText>
      </w:r>
      <w:r w:rsidR="009553A9">
        <w:instrText xml:space="preserve"> \* MERGEFORMAT </w:instrText>
      </w:r>
      <w:r w:rsidR="007F7265" w:rsidRPr="009553A9">
        <w:fldChar w:fldCharType="separate"/>
      </w:r>
      <w:r w:rsidR="006C5761">
        <w:t>3.4.2.2</w:t>
      </w:r>
      <w:r w:rsidR="007F7265" w:rsidRPr="009553A9">
        <w:fldChar w:fldCharType="end"/>
      </w:r>
      <w:r w:rsidR="00F740BD" w:rsidRPr="009553A9">
        <w:t>)</w:t>
      </w:r>
    </w:p>
    <w:p w14:paraId="5A31A817" w14:textId="17A9F445" w:rsidR="00B679A4" w:rsidRPr="009553A9" w:rsidRDefault="000E10B2" w:rsidP="004D7186">
      <w:r w:rsidRPr="009553A9">
        <w:t xml:space="preserve">The same hierarchy of </w:t>
      </w:r>
      <w:r w:rsidR="008C4227" w:rsidRPr="009553A9">
        <w:t xml:space="preserve">statistical estimates </w:t>
      </w:r>
      <w:r w:rsidR="00E62A8A" w:rsidRPr="009553A9">
        <w:t xml:space="preserve">of toxicity </w:t>
      </w:r>
      <w:r w:rsidR="008C4227" w:rsidRPr="009553A9">
        <w:t xml:space="preserve">applies to both default (chronic) </w:t>
      </w:r>
      <w:r w:rsidR="00507D1F" w:rsidRPr="009553A9">
        <w:t xml:space="preserve">GVs </w:t>
      </w:r>
      <w:r w:rsidR="008C4227" w:rsidRPr="009553A9">
        <w:t xml:space="preserve">and short-term (acute) </w:t>
      </w:r>
      <w:r w:rsidR="00507D1F" w:rsidRPr="009553A9">
        <w:t>GVs</w:t>
      </w:r>
      <w:r w:rsidR="008C4227" w:rsidRPr="009553A9">
        <w:t xml:space="preserve">. </w:t>
      </w:r>
      <w:r w:rsidR="00976156" w:rsidRPr="009553A9">
        <w:t>Notably, the LOEC, MATC and EC/LC50 would all need to be converted to a negligible</w:t>
      </w:r>
      <w:r w:rsidR="00725183" w:rsidRPr="009553A9">
        <w:t>-</w:t>
      </w:r>
      <w:r w:rsidR="00976156" w:rsidRPr="009553A9">
        <w:t xml:space="preserve">effect concentration </w:t>
      </w:r>
      <w:r w:rsidR="00A13EA2" w:rsidRPr="009553A9">
        <w:t xml:space="preserve">using an appropriate conversion factor </w:t>
      </w:r>
      <w:r w:rsidR="00976156" w:rsidRPr="009553A9">
        <w:t xml:space="preserve">before they can be used for a GV derivation (see Section </w:t>
      </w:r>
      <w:r w:rsidR="007F7265" w:rsidRPr="009553A9">
        <w:fldChar w:fldCharType="begin"/>
      </w:r>
      <w:r w:rsidR="007F7265" w:rsidRPr="009553A9">
        <w:instrText xml:space="preserve"> REF _Ref202090288 \r \h </w:instrText>
      </w:r>
      <w:r w:rsidR="009553A9">
        <w:instrText xml:space="preserve"> \* MERGEFORMAT </w:instrText>
      </w:r>
      <w:r w:rsidR="007F7265" w:rsidRPr="009553A9">
        <w:fldChar w:fldCharType="separate"/>
      </w:r>
      <w:r w:rsidR="006C5761">
        <w:t>3.4.2.1</w:t>
      </w:r>
      <w:r w:rsidR="007F7265" w:rsidRPr="009553A9">
        <w:fldChar w:fldCharType="end"/>
      </w:r>
      <w:r w:rsidR="00976156" w:rsidRPr="009553A9">
        <w:t>). The limitations of the NOEC, LOEC and MATC, which are derived from hypothesis</w:t>
      </w:r>
      <w:r w:rsidR="00652A3D" w:rsidRPr="009553A9">
        <w:t>-</w:t>
      </w:r>
      <w:r w:rsidR="00976156" w:rsidRPr="009553A9">
        <w:t xml:space="preserve">testing approaches, have been well documented elsewhere (e.g. Warne </w:t>
      </w:r>
      <w:r w:rsidR="0070630E" w:rsidRPr="009553A9">
        <w:t>and</w:t>
      </w:r>
      <w:r w:rsidR="00976156" w:rsidRPr="009553A9">
        <w:t xml:space="preserve"> van Dam 2008</w:t>
      </w:r>
      <w:r w:rsidR="00652A3D" w:rsidRPr="009553A9">
        <w:t>;</w:t>
      </w:r>
      <w:r w:rsidR="00976156" w:rsidRPr="009553A9">
        <w:t xml:space="preserve"> van Dam et al. 2012a, b</w:t>
      </w:r>
      <w:r w:rsidR="00652A3D" w:rsidRPr="009553A9">
        <w:t>;</w:t>
      </w:r>
      <w:r w:rsidR="00976156" w:rsidRPr="009553A9">
        <w:t xml:space="preserve"> Fox </w:t>
      </w:r>
      <w:r w:rsidR="0070630E" w:rsidRPr="009553A9">
        <w:t>and</w:t>
      </w:r>
      <w:r w:rsidR="00976156" w:rsidRPr="009553A9">
        <w:t xml:space="preserve"> Landis 2016).</w:t>
      </w:r>
    </w:p>
    <w:p w14:paraId="0AF39C4C" w14:textId="79BE8313" w:rsidR="00976156" w:rsidRPr="009553A9" w:rsidRDefault="00976156" w:rsidP="004D7186">
      <w:pPr>
        <w:rPr>
          <w:rFonts w:cs="Times New Roman (Body CS)"/>
        </w:rPr>
      </w:pPr>
      <w:r w:rsidRPr="009553A9">
        <w:rPr>
          <w:rFonts w:cs="Times New Roman (Body CS)"/>
        </w:rPr>
        <w:t>When toxicity values for multiple statistical estimates of toxicity are reported for a specific endpoint for a species, the rigour and associated defensibility of each of the values should be considered in addition to whether the values are based on a preferred or less preferred estimate when making a decision about which value to use. For example, while as a general rule it is preferable to not use NOEC data to derive GVs (refer to Batley et al. 2018), an EC/IC/LC10 value can be less reliable than a NOEC value if</w:t>
      </w:r>
      <w:r w:rsidR="00DA2BF6">
        <w:rPr>
          <w:rFonts w:cs="Times New Roman (Body CS)"/>
        </w:rPr>
        <w:t xml:space="preserve"> </w:t>
      </w:r>
      <w:r w:rsidRPr="009553A9">
        <w:rPr>
          <w:rFonts w:cs="Times New Roman (Body CS)"/>
        </w:rPr>
        <w:t xml:space="preserve">it has been derived from concentration-response data based on too few concentrations to properly characterise the concentration-response relationship. All decisions that include an element of professional judgement should be clearly explained and justified. Further </w:t>
      </w:r>
      <w:r w:rsidRPr="009553A9">
        <w:rPr>
          <w:rFonts w:cs="Times New Roman (Body CS)"/>
        </w:rPr>
        <w:lastRenderedPageBreak/>
        <w:t xml:space="preserve">guidance on the selection of the most appropriate statistical estimate of toxicity is provided in Section </w:t>
      </w:r>
      <w:r w:rsidR="00B816A8" w:rsidRPr="009553A9">
        <w:rPr>
          <w:rFonts w:cs="Times New Roman (Body CS)"/>
        </w:rPr>
        <w:fldChar w:fldCharType="begin"/>
      </w:r>
      <w:r w:rsidR="00B816A8" w:rsidRPr="009553A9">
        <w:rPr>
          <w:rFonts w:cs="Times New Roman (Body CS)"/>
        </w:rPr>
        <w:instrText xml:space="preserve"> REF _Ref202088868 \r \h </w:instrText>
      </w:r>
      <w:r w:rsidR="008C767D" w:rsidRPr="009553A9">
        <w:rPr>
          <w:rFonts w:cs="Times New Roman (Body CS)"/>
        </w:rPr>
        <w:instrText xml:space="preserve"> \* MERGEFORMAT </w:instrText>
      </w:r>
      <w:r w:rsidR="00B816A8" w:rsidRPr="009553A9">
        <w:rPr>
          <w:rFonts w:cs="Times New Roman (Body CS)"/>
        </w:rPr>
      </w:r>
      <w:r w:rsidR="00B816A8" w:rsidRPr="009553A9">
        <w:rPr>
          <w:rFonts w:cs="Times New Roman (Body CS)"/>
        </w:rPr>
        <w:fldChar w:fldCharType="separate"/>
      </w:r>
      <w:r w:rsidR="006C5761">
        <w:rPr>
          <w:rFonts w:cs="Times New Roman (Body CS)"/>
        </w:rPr>
        <w:t>0</w:t>
      </w:r>
      <w:r w:rsidR="00B816A8" w:rsidRPr="009553A9">
        <w:rPr>
          <w:rFonts w:cs="Times New Roman (Body CS)"/>
        </w:rPr>
        <w:fldChar w:fldCharType="end"/>
      </w:r>
      <w:r w:rsidRPr="009553A9">
        <w:rPr>
          <w:rFonts w:cs="Times New Roman (Body CS)"/>
        </w:rPr>
        <w:t>.</w:t>
      </w:r>
    </w:p>
    <w:p w14:paraId="36B01949" w14:textId="54FC3DE1" w:rsidR="002A0827" w:rsidRPr="009553A9" w:rsidRDefault="00AE6DA8" w:rsidP="00BD4CEC">
      <w:pPr>
        <w:pStyle w:val="Heading4"/>
        <w:rPr>
          <w:rFonts w:asciiTheme="minorHAnsi" w:hAnsiTheme="minorHAnsi"/>
        </w:rPr>
      </w:pPr>
      <w:bookmarkStart w:id="74" w:name="_Ref202089190"/>
      <w:r w:rsidRPr="009553A9">
        <w:rPr>
          <w:rFonts w:asciiTheme="minorHAnsi" w:hAnsiTheme="minorHAnsi"/>
        </w:rPr>
        <w:t>Physicochemical water</w:t>
      </w:r>
      <w:r w:rsidR="00F51E71" w:rsidRPr="009553A9">
        <w:rPr>
          <w:rFonts w:asciiTheme="minorHAnsi" w:hAnsiTheme="minorHAnsi"/>
        </w:rPr>
        <w:t>-</w:t>
      </w:r>
      <w:r w:rsidRPr="009553A9">
        <w:rPr>
          <w:rFonts w:asciiTheme="minorHAnsi" w:hAnsiTheme="minorHAnsi"/>
        </w:rPr>
        <w:t>quality ranges</w:t>
      </w:r>
      <w:bookmarkEnd w:id="74"/>
    </w:p>
    <w:p w14:paraId="1E7FBD91" w14:textId="452F03BA" w:rsidR="00742E8D" w:rsidRPr="009553A9" w:rsidRDefault="00742E8D" w:rsidP="004D7186">
      <w:r w:rsidRPr="009553A9">
        <w:t xml:space="preserve">The </w:t>
      </w:r>
      <w:r w:rsidR="00B7180A" w:rsidRPr="009553A9">
        <w:t xml:space="preserve">acceptable </w:t>
      </w:r>
      <w:r w:rsidRPr="009553A9">
        <w:t xml:space="preserve">pH range for freshwaters for which toxicity data have been generated </w:t>
      </w:r>
      <w:r w:rsidR="00B7180A" w:rsidRPr="009553A9">
        <w:t>is</w:t>
      </w:r>
      <w:r w:rsidRPr="009553A9">
        <w:t xml:space="preserve"> 6.0</w:t>
      </w:r>
      <w:r w:rsidR="00474B69" w:rsidRPr="009553A9">
        <w:t>–</w:t>
      </w:r>
      <w:r w:rsidRPr="009553A9">
        <w:t>9.0. Typically, tests conducted outside of this pH range should not be included in the generic dataset or in species-specific geometric means. However, exceptions may be made where such data will clearly improve the reliability of the GV or add numerous Australian or New Zealand species to the dataset (with all decisions needing to be transparent and appropriately justified). Moreover,</w:t>
      </w:r>
      <w:r w:rsidR="00201E20" w:rsidRPr="009553A9">
        <w:t xml:space="preserve"> as pH can be a significant modifier of toxicity,</w:t>
      </w:r>
      <w:r w:rsidRPr="009553A9">
        <w:t xml:space="preserve"> it may be useful to derive DGVs for different pH ranges but only if pH is known to significantly affect toxicant bioavailability (</w:t>
      </w:r>
      <w:r w:rsidR="00B7180A" w:rsidRPr="009553A9">
        <w:t>e.g.</w:t>
      </w:r>
      <w:r w:rsidRPr="009553A9">
        <w:t xml:space="preserve"> many metals</w:t>
      </w:r>
      <w:r w:rsidR="001D5CF4" w:rsidRPr="009553A9">
        <w:t>, and ionisable substances such as many pharmaceuticals</w:t>
      </w:r>
      <w:r w:rsidRPr="009553A9">
        <w:t>) and if sufficient data exist</w:t>
      </w:r>
      <w:r w:rsidR="00961673" w:rsidRPr="009553A9">
        <w:t xml:space="preserve"> (also see Section </w:t>
      </w:r>
      <w:r w:rsidRPr="009553A9">
        <w:fldChar w:fldCharType="begin"/>
      </w:r>
      <w:r w:rsidRPr="009553A9">
        <w:instrText xml:space="preserve"> REF _Ref166141028 \r \h </w:instrText>
      </w:r>
      <w:r w:rsidR="009553A9">
        <w:instrText xml:space="preserve"> \* MERGEFORMAT </w:instrText>
      </w:r>
      <w:r w:rsidRPr="009553A9">
        <w:fldChar w:fldCharType="separate"/>
      </w:r>
      <w:r w:rsidR="006C5761">
        <w:t>0</w:t>
      </w:r>
      <w:r w:rsidRPr="009553A9">
        <w:fldChar w:fldCharType="end"/>
      </w:r>
      <w:r w:rsidR="00961673" w:rsidRPr="009553A9">
        <w:t xml:space="preserve"> on the derivation of bioavailability-based GVs)</w:t>
      </w:r>
      <w:r w:rsidRPr="009553A9">
        <w:t>. Site-specific GV derivations may also be undertaken for conditions within specific pH ranges for specific sites</w:t>
      </w:r>
      <w:r w:rsidR="00EE75C7" w:rsidRPr="009553A9">
        <w:t xml:space="preserve"> or </w:t>
      </w:r>
      <w:r w:rsidRPr="009553A9">
        <w:t>regions.</w:t>
      </w:r>
    </w:p>
    <w:p w14:paraId="6654D711" w14:textId="4886BD6E" w:rsidR="00A5692C" w:rsidRPr="009553A9" w:rsidRDefault="00A5692C" w:rsidP="004D7186">
      <w:pPr>
        <w:rPr>
          <w:rFonts w:cs="Times New Roman (Body CS)"/>
        </w:rPr>
      </w:pPr>
      <w:r w:rsidRPr="009553A9">
        <w:rPr>
          <w:rFonts w:cs="Times New Roman (Body CS)"/>
        </w:rPr>
        <w:t>The salinity at which toxicity tests are conducted is important as it defines the ecosystem type (i.e. fresh or marine) and can also be a modifier of toxicity. To date, GVs for Australia and New Zealand have only been derived for freshwater and marine ecosystems. Freshwater GVs should only be derived using ecotoxicity data from tests where the salinity is &lt;</w:t>
      </w:r>
      <w:r w:rsidR="00EE75C7" w:rsidRPr="009553A9">
        <w:rPr>
          <w:rFonts w:cs="Times New Roman (Body CS)"/>
        </w:rPr>
        <w:t> </w:t>
      </w:r>
      <w:r w:rsidRPr="009553A9">
        <w:rPr>
          <w:rFonts w:cs="Times New Roman (Body CS)"/>
        </w:rPr>
        <w:t>0.5 parts per thousand (‰)</w:t>
      </w:r>
      <w:r w:rsidR="00C01613" w:rsidRPr="009553A9">
        <w:rPr>
          <w:rFonts w:cs="Times New Roman (Body CS)"/>
        </w:rPr>
        <w:t>,</w:t>
      </w:r>
      <w:r w:rsidRPr="009553A9">
        <w:rPr>
          <w:rFonts w:cs="Times New Roman (Body CS)"/>
        </w:rPr>
        <w:t xml:space="preserve"> while marine GVs should only use toxicity data </w:t>
      </w:r>
      <w:r w:rsidR="00FC1604" w:rsidRPr="009553A9">
        <w:rPr>
          <w:rFonts w:cs="Times New Roman (Body CS)"/>
        </w:rPr>
        <w:t xml:space="preserve">from tests </w:t>
      </w:r>
      <w:r w:rsidRPr="009553A9">
        <w:rPr>
          <w:rFonts w:cs="Times New Roman (Body CS)"/>
        </w:rPr>
        <w:t>where the salinity is between 25</w:t>
      </w:r>
      <w:r w:rsidR="00EE75C7" w:rsidRPr="009553A9">
        <w:rPr>
          <w:rFonts w:cs="Times New Roman (Body CS)"/>
        </w:rPr>
        <w:t>‰</w:t>
      </w:r>
      <w:r w:rsidRPr="009553A9">
        <w:rPr>
          <w:rFonts w:cs="Times New Roman (Body CS)"/>
        </w:rPr>
        <w:t xml:space="preserve"> and 36‰. It is worth noting that pH may vary across this salinity range, which may need to be considered in the event that pH is a </w:t>
      </w:r>
      <w:r w:rsidR="00CB59BC" w:rsidRPr="009553A9">
        <w:rPr>
          <w:rFonts w:cs="Times New Roman (Body CS)"/>
        </w:rPr>
        <w:t>TMF</w:t>
      </w:r>
      <w:r w:rsidRPr="009553A9">
        <w:rPr>
          <w:rFonts w:cs="Times New Roman (Body CS)"/>
        </w:rPr>
        <w:t xml:space="preserve"> of the chemical in question (see Section </w:t>
      </w:r>
      <w:r w:rsidRPr="009553A9">
        <w:rPr>
          <w:rFonts w:cs="Times New Roman (Body CS)"/>
        </w:rPr>
        <w:fldChar w:fldCharType="begin"/>
      </w:r>
      <w:r w:rsidRPr="009553A9">
        <w:rPr>
          <w:rFonts w:cs="Times New Roman (Body CS)"/>
        </w:rPr>
        <w:instrText xml:space="preserve"> REF _Ref166141028 \r \h </w:instrText>
      </w:r>
      <w:r w:rsidR="008C767D" w:rsidRPr="009553A9">
        <w:rPr>
          <w:rFonts w:cs="Times New Roman (Body CS)"/>
        </w:rPr>
        <w:instrText xml:space="preserve"> \* MERGEFORMAT </w:instrText>
      </w:r>
      <w:r w:rsidRPr="009553A9">
        <w:rPr>
          <w:rFonts w:cs="Times New Roman (Body CS)"/>
        </w:rPr>
      </w:r>
      <w:r w:rsidRPr="009553A9">
        <w:rPr>
          <w:rFonts w:cs="Times New Roman (Body CS)"/>
        </w:rPr>
        <w:fldChar w:fldCharType="separate"/>
      </w:r>
      <w:r w:rsidR="006C5761">
        <w:rPr>
          <w:rFonts w:cs="Times New Roman (Body CS)"/>
        </w:rPr>
        <w:t>0</w:t>
      </w:r>
      <w:r w:rsidRPr="009553A9">
        <w:rPr>
          <w:rFonts w:cs="Times New Roman (Body CS)"/>
        </w:rPr>
        <w:fldChar w:fldCharType="end"/>
      </w:r>
      <w:r w:rsidRPr="009553A9">
        <w:rPr>
          <w:rFonts w:cs="Times New Roman (Body CS)"/>
        </w:rPr>
        <w:t xml:space="preserve"> for more details on </w:t>
      </w:r>
      <w:r w:rsidR="00CB59BC" w:rsidRPr="009553A9">
        <w:rPr>
          <w:rFonts w:cs="Times New Roman (Body CS)"/>
        </w:rPr>
        <w:t>TMFs</w:t>
      </w:r>
      <w:r w:rsidRPr="009553A9">
        <w:rPr>
          <w:rFonts w:cs="Times New Roman (Body CS)"/>
        </w:rPr>
        <w:t xml:space="preserve">). If there are sufficient ecotoxicity data tested under estuarine conditions, estuarine DGVs (or site-specific GVs) could be derived using the methods set out in this report. Where there are insufficient data to derive estuarine GVs, </w:t>
      </w:r>
      <w:r w:rsidR="009C3DFA" w:rsidRPr="009553A9">
        <w:rPr>
          <w:rFonts w:cs="Times New Roman (Body CS)"/>
        </w:rPr>
        <w:t>ANZG (2018)</w:t>
      </w:r>
      <w:r w:rsidRPr="009553A9">
        <w:rPr>
          <w:rFonts w:cs="Times New Roman (Body CS)"/>
        </w:rPr>
        <w:t xml:space="preserve"> provides guidance on the selection of appropriate DGVs for estuarine waters. The salinity of marine waters can exceed 36‰ under certain conditions or times of year. For such situations, if salinity is known to be a toxicity modifier for the toxicant(s) in question, site-specific GVs are recommended. More than one GV may be required if significant seasonal variability exists.</w:t>
      </w:r>
    </w:p>
    <w:p w14:paraId="3E0A50F9" w14:textId="3BD94643" w:rsidR="00B679A4" w:rsidRPr="009553A9" w:rsidRDefault="00A5692C" w:rsidP="004D7186">
      <w:r w:rsidRPr="009553A9">
        <w:t>G</w:t>
      </w:r>
      <w:r w:rsidR="00F11887" w:rsidRPr="009553A9">
        <w:t>uideline value</w:t>
      </w:r>
      <w:r w:rsidRPr="009553A9">
        <w:t>s derived for toxicants in one medium (fresh, estuarine or marine) typically should not include data from other media. However, toxicity data from multiple media can be used when there are insufficient data for the medium in question and either (i) statistical analysis reveals there is no difference in the toxicity in the different media or (ii) based on the chemistry of the chemical or its mode of action, there is no reason to expect differences in toxicity</w:t>
      </w:r>
      <w:r w:rsidR="004E2B06" w:rsidRPr="009553A9">
        <w:t>. For toxicants where there is no difference in sensitivity between freshwater species and marine/estuarine species, it may be preferable to derive a single combined freshwater</w:t>
      </w:r>
      <w:r w:rsidR="00E26A41" w:rsidRPr="009553A9">
        <w:t xml:space="preserve"> and </w:t>
      </w:r>
      <w:r w:rsidR="004E2B06" w:rsidRPr="009553A9">
        <w:t>marine SSD and associated GVs</w:t>
      </w:r>
      <w:r w:rsidRPr="009553A9">
        <w:t xml:space="preserve"> (refer to Section</w:t>
      </w:r>
      <w:r w:rsidR="00F00518" w:rsidRPr="009553A9">
        <w:t> </w:t>
      </w:r>
      <w:r w:rsidRPr="009553A9">
        <w:fldChar w:fldCharType="begin"/>
      </w:r>
      <w:r w:rsidRPr="009553A9">
        <w:instrText xml:space="preserve"> REF _Ref522008027 \n \h </w:instrText>
      </w:r>
      <w:r w:rsidR="009553A9">
        <w:instrText xml:space="preserve"> \* MERGEFORMAT </w:instrText>
      </w:r>
      <w:r w:rsidRPr="009553A9">
        <w:fldChar w:fldCharType="separate"/>
      </w:r>
      <w:r w:rsidR="006C5761">
        <w:t>3.4.5</w:t>
      </w:r>
      <w:r w:rsidRPr="009553A9">
        <w:fldChar w:fldCharType="end"/>
      </w:r>
      <w:r w:rsidRPr="009553A9">
        <w:t xml:space="preserve"> for further details).</w:t>
      </w:r>
    </w:p>
    <w:p w14:paraId="259819C7" w14:textId="74D3AACC" w:rsidR="00532999" w:rsidRPr="009553A9" w:rsidRDefault="00532999" w:rsidP="004D7186">
      <w:r w:rsidRPr="009553A9">
        <w:t>Some chemicals, such as pesticides, are released into the environment in the form of</w:t>
      </w:r>
      <w:r w:rsidR="000710D4" w:rsidRPr="009553A9">
        <w:t xml:space="preserve"> </w:t>
      </w:r>
      <w:r w:rsidRPr="009553A9">
        <w:t>commercial formulations. For such chemicals</w:t>
      </w:r>
      <w:r w:rsidR="00021AB7" w:rsidRPr="009553A9">
        <w:t>,</w:t>
      </w:r>
      <w:r w:rsidRPr="009553A9">
        <w:t xml:space="preserve"> refer to Section </w:t>
      </w:r>
      <w:r w:rsidRPr="009553A9">
        <w:fldChar w:fldCharType="begin"/>
      </w:r>
      <w:r w:rsidRPr="009553A9">
        <w:instrText xml:space="preserve"> REF _Ref522008044 \n \h </w:instrText>
      </w:r>
      <w:r w:rsidR="009553A9">
        <w:instrText xml:space="preserve"> \* MERGEFORMAT </w:instrText>
      </w:r>
      <w:r w:rsidRPr="009553A9">
        <w:fldChar w:fldCharType="separate"/>
      </w:r>
      <w:r w:rsidR="006C5761">
        <w:t>3.10</w:t>
      </w:r>
      <w:r w:rsidRPr="009553A9">
        <w:fldChar w:fldCharType="end"/>
      </w:r>
      <w:r w:rsidRPr="009553A9">
        <w:t xml:space="preserve"> </w:t>
      </w:r>
      <w:r w:rsidR="00021AB7" w:rsidRPr="009553A9">
        <w:t>to</w:t>
      </w:r>
      <w:r w:rsidRPr="009553A9">
        <w:t xml:space="preserve"> determin</w:t>
      </w:r>
      <w:r w:rsidR="00021AB7" w:rsidRPr="009553A9">
        <w:t>e</w:t>
      </w:r>
      <w:r w:rsidRPr="009553A9">
        <w:t xml:space="preserve"> which data to use when deriving DGVs and formulation-corrected GVs.</w:t>
      </w:r>
    </w:p>
    <w:p w14:paraId="5721A050" w14:textId="77777777" w:rsidR="00C13B28" w:rsidRPr="009553A9" w:rsidRDefault="00742E8D" w:rsidP="00FD6F19">
      <w:pPr>
        <w:pStyle w:val="Heading3"/>
        <w:spacing w:before="180" w:after="120"/>
        <w:rPr>
          <w:rFonts w:asciiTheme="minorHAnsi" w:hAnsiTheme="minorHAnsi"/>
          <w:lang w:eastAsia="ja-JP"/>
        </w:rPr>
      </w:pPr>
      <w:bookmarkStart w:id="75" w:name="_Toc202084770"/>
      <w:bookmarkStart w:id="76" w:name="_Ref202088617"/>
      <w:bookmarkStart w:id="77" w:name="_Toc206143330"/>
      <w:r w:rsidRPr="009553A9">
        <w:rPr>
          <w:rFonts w:asciiTheme="minorHAnsi" w:hAnsiTheme="minorHAnsi"/>
          <w:lang w:eastAsia="ja-JP"/>
        </w:rPr>
        <w:t>Assessing the quality of toxicity data</w:t>
      </w:r>
      <w:bookmarkEnd w:id="75"/>
      <w:bookmarkEnd w:id="76"/>
      <w:bookmarkEnd w:id="77"/>
    </w:p>
    <w:p w14:paraId="2CD13966" w14:textId="65F45375" w:rsidR="00B679A4" w:rsidRPr="009553A9" w:rsidRDefault="00742E8D" w:rsidP="00BD4CEC">
      <w:pPr>
        <w:pStyle w:val="Heading4"/>
        <w:rPr>
          <w:rFonts w:asciiTheme="minorHAnsi" w:hAnsiTheme="minorHAnsi"/>
          <w:lang w:eastAsia="ja-JP"/>
        </w:rPr>
      </w:pPr>
      <w:bookmarkStart w:id="78" w:name="_Ref522007975"/>
      <w:r w:rsidRPr="009553A9">
        <w:rPr>
          <w:rFonts w:asciiTheme="minorHAnsi" w:hAnsiTheme="minorHAnsi"/>
          <w:lang w:eastAsia="ja-JP"/>
        </w:rPr>
        <w:t>Laboratory-based toxicity data</w:t>
      </w:r>
      <w:bookmarkEnd w:id="78"/>
    </w:p>
    <w:p w14:paraId="40D01E75" w14:textId="6E745D01" w:rsidR="00742E8D" w:rsidRPr="009553A9" w:rsidRDefault="00742E8D" w:rsidP="004D7186">
      <w:r w:rsidRPr="009553A9">
        <w:t xml:space="preserve">The quality of all laboratory-based toxicity data being considered </w:t>
      </w:r>
      <w:r w:rsidR="00ED2E46" w:rsidRPr="009553A9">
        <w:t>in the derivation of</w:t>
      </w:r>
      <w:r w:rsidRPr="009553A9">
        <w:t xml:space="preserve"> GVs should be assessed, apart from those that have already been assessed. </w:t>
      </w:r>
      <w:r w:rsidR="00ED2E46" w:rsidRPr="009553A9">
        <w:t xml:space="preserve">Data that </w:t>
      </w:r>
      <w:r w:rsidR="00A0375B" w:rsidRPr="009553A9">
        <w:t>have</w:t>
      </w:r>
      <w:r w:rsidR="00ED2E46" w:rsidRPr="009553A9">
        <w:t xml:space="preserve"> previously been</w:t>
      </w:r>
      <w:r w:rsidRPr="009553A9">
        <w:t xml:space="preserve"> </w:t>
      </w:r>
      <w:r w:rsidRPr="009553A9">
        <w:lastRenderedPageBreak/>
        <w:t xml:space="preserve">assessed include those used to derive the </w:t>
      </w:r>
      <w:r w:rsidR="001465BE" w:rsidRPr="009553A9">
        <w:t>ANZECC and ARMCANZ</w:t>
      </w:r>
      <w:r w:rsidRPr="009553A9">
        <w:t xml:space="preserve"> (2000a, b) GVs, water</w:t>
      </w:r>
      <w:r w:rsidR="00D96E47" w:rsidRPr="009553A9">
        <w:t>-</w:t>
      </w:r>
      <w:r w:rsidRPr="009553A9">
        <w:t>quality guidelines of other jurisdictions that state that the data have been assessed (</w:t>
      </w:r>
      <w:r w:rsidR="00D96E47" w:rsidRPr="009553A9">
        <w:t>e.g.</w:t>
      </w:r>
      <w:r w:rsidRPr="009553A9">
        <w:t xml:space="preserve"> Canada</w:t>
      </w:r>
      <w:r w:rsidR="001D5CF4" w:rsidRPr="009553A9">
        <w:t xml:space="preserve">, </w:t>
      </w:r>
      <w:r w:rsidRPr="009553A9">
        <w:t>USA</w:t>
      </w:r>
      <w:r w:rsidR="00D96E47" w:rsidRPr="009553A9">
        <w:t>,</w:t>
      </w:r>
      <w:r w:rsidR="001D5CF4" w:rsidRPr="009553A9">
        <w:t xml:space="preserve"> Europe</w:t>
      </w:r>
      <w:r w:rsidRPr="009553A9">
        <w:t xml:space="preserve">), and those in the Australasian Ecotoxicology database (Warne et al. 1998; Warne </w:t>
      </w:r>
      <w:r w:rsidR="00506746" w:rsidRPr="009553A9">
        <w:t>and</w:t>
      </w:r>
      <w:r w:rsidR="00993E97" w:rsidRPr="009553A9">
        <w:t xml:space="preserve"> </w:t>
      </w:r>
      <w:r w:rsidRPr="009553A9">
        <w:t xml:space="preserve">Westbury 1999; Markich et al. 2002; Langdon et al. 2009). </w:t>
      </w:r>
      <w:r w:rsidR="005552B3" w:rsidRPr="009553A9">
        <w:t xml:space="preserve">Note that data </w:t>
      </w:r>
      <w:r w:rsidR="00DC69AA" w:rsidRPr="009553A9">
        <w:t>‘</w:t>
      </w:r>
      <w:r w:rsidR="005552B3" w:rsidRPr="009553A9">
        <w:t>quality</w:t>
      </w:r>
      <w:r w:rsidR="00DC69AA" w:rsidRPr="009553A9">
        <w:t>’</w:t>
      </w:r>
      <w:r w:rsidR="005552B3" w:rsidRPr="009553A9">
        <w:t xml:space="preserve"> as assessed here is analogous to data </w:t>
      </w:r>
      <w:r w:rsidR="00DC69AA" w:rsidRPr="009553A9">
        <w:t>‘</w:t>
      </w:r>
      <w:r w:rsidR="005552B3" w:rsidRPr="009553A9">
        <w:t>reliability</w:t>
      </w:r>
      <w:r w:rsidR="00DC69AA" w:rsidRPr="009553A9">
        <w:t>’</w:t>
      </w:r>
      <w:r w:rsidR="005552B3" w:rsidRPr="009553A9">
        <w:t xml:space="preserve"> as described in toxicity</w:t>
      </w:r>
      <w:r w:rsidR="008804AB" w:rsidRPr="009553A9">
        <w:t>-</w:t>
      </w:r>
      <w:r w:rsidR="005552B3" w:rsidRPr="009553A9">
        <w:t xml:space="preserve">data assessment approaches elsewhere (e.g. the Moermond et al. 2016 </w:t>
      </w:r>
      <w:r w:rsidR="00700834" w:rsidRPr="009553A9">
        <w:t>c</w:t>
      </w:r>
      <w:r w:rsidR="005552B3" w:rsidRPr="009553A9">
        <w:t xml:space="preserve">riteria for </w:t>
      </w:r>
      <w:r w:rsidR="00700834" w:rsidRPr="009553A9">
        <w:t>e</w:t>
      </w:r>
      <w:r w:rsidR="005552B3" w:rsidRPr="009553A9">
        <w:t xml:space="preserve">valuating </w:t>
      </w:r>
      <w:r w:rsidR="00700834" w:rsidRPr="009553A9">
        <w:t>e</w:t>
      </w:r>
      <w:r w:rsidR="005552B3" w:rsidRPr="009553A9">
        <w:t xml:space="preserve">cotoxicity </w:t>
      </w:r>
      <w:r w:rsidR="00700834" w:rsidRPr="009553A9">
        <w:t>d</w:t>
      </w:r>
      <w:r w:rsidR="005552B3" w:rsidRPr="009553A9">
        <w:t>ata).</w:t>
      </w:r>
    </w:p>
    <w:p w14:paraId="0B2D5875" w14:textId="2FA6393E" w:rsidR="00742E8D" w:rsidRPr="009553A9" w:rsidRDefault="00742E8D" w:rsidP="004D7186">
      <w:r w:rsidRPr="009553A9">
        <w:t>The data quality assessment should be conducted using the</w:t>
      </w:r>
      <w:r w:rsidR="00814FFF" w:rsidRPr="009553A9">
        <w:t xml:space="preserve"> </w:t>
      </w:r>
      <w:hyperlink r:id="rId29" w:history="1">
        <w:r w:rsidRPr="003C73E6">
          <w:rPr>
            <w:rStyle w:val="Hyperlink"/>
            <w:rFonts w:cs="Arial"/>
          </w:rPr>
          <w:t xml:space="preserve">Excel™ </w:t>
        </w:r>
        <w:r w:rsidR="004702B0" w:rsidRPr="003C73E6">
          <w:rPr>
            <w:rStyle w:val="Hyperlink"/>
            <w:rFonts w:cs="Arial"/>
          </w:rPr>
          <w:t>data</w:t>
        </w:r>
        <w:r w:rsidR="005B1E90" w:rsidRPr="003C73E6">
          <w:rPr>
            <w:rStyle w:val="Hyperlink"/>
            <w:rFonts w:cs="Arial"/>
          </w:rPr>
          <w:t>-</w:t>
        </w:r>
        <w:r w:rsidR="004702B0" w:rsidRPr="003C73E6">
          <w:rPr>
            <w:rStyle w:val="Hyperlink"/>
            <w:rFonts w:cs="Arial"/>
          </w:rPr>
          <w:t xml:space="preserve">quality </w:t>
        </w:r>
        <w:r w:rsidRPr="003C73E6">
          <w:rPr>
            <w:rStyle w:val="Hyperlink"/>
            <w:rFonts w:cs="Arial"/>
          </w:rPr>
          <w:t>spreadsheet</w:t>
        </w:r>
      </w:hyperlink>
      <w:r w:rsidR="00B679A4" w:rsidRPr="009553A9">
        <w:rPr>
          <w:rFonts w:cs="Arial"/>
        </w:rPr>
        <w:t xml:space="preserve"> </w:t>
      </w:r>
      <w:r w:rsidR="00814FFF" w:rsidRPr="009553A9">
        <w:t xml:space="preserve">that has been developed for this purpose and </w:t>
      </w:r>
      <w:r w:rsidR="00D261B9" w:rsidRPr="009553A9">
        <w:t xml:space="preserve">that </w:t>
      </w:r>
      <w:r w:rsidR="00814FFF" w:rsidRPr="009553A9">
        <w:t xml:space="preserve">can be made available by the </w:t>
      </w:r>
      <w:r w:rsidR="00D261B9" w:rsidRPr="009553A9">
        <w:t xml:space="preserve">Australian </w:t>
      </w:r>
      <w:r w:rsidR="00814FFF" w:rsidRPr="009553A9">
        <w:t>Department of Climate Change, Energy, the Environment and Water. The data</w:t>
      </w:r>
      <w:r w:rsidR="00D261B9" w:rsidRPr="009553A9">
        <w:t>-</w:t>
      </w:r>
      <w:r w:rsidR="00814FFF" w:rsidRPr="009553A9">
        <w:t>quality assessment is</w:t>
      </w:r>
      <w:r w:rsidR="00814FFF" w:rsidRPr="009553A9">
        <w:rPr>
          <w:rFonts w:cs="Arial"/>
        </w:rPr>
        <w:t xml:space="preserve"> </w:t>
      </w:r>
      <w:r w:rsidRPr="009553A9">
        <w:rPr>
          <w:rFonts w:cs="Arial"/>
        </w:rPr>
        <w:t>based on the method of Hobbs et al. (2005)</w:t>
      </w:r>
      <w:r w:rsidR="00814FFF" w:rsidRPr="009553A9">
        <w:rPr>
          <w:rFonts w:cs="Arial"/>
        </w:rPr>
        <w:t xml:space="preserve">, although </w:t>
      </w:r>
      <w:r w:rsidR="00D261B9" w:rsidRPr="009553A9">
        <w:rPr>
          <w:rFonts w:cs="Arial"/>
        </w:rPr>
        <w:t xml:space="preserve">it </w:t>
      </w:r>
      <w:r w:rsidR="00814FFF" w:rsidRPr="009553A9">
        <w:rPr>
          <w:rFonts w:cs="Arial"/>
        </w:rPr>
        <w:t>has been</w:t>
      </w:r>
      <w:r w:rsidR="009B2C2E" w:rsidRPr="009553A9">
        <w:rPr>
          <w:rFonts w:cs="Arial"/>
        </w:rPr>
        <w:t xml:space="preserve"> updated for the current version of the derivation method</w:t>
      </w:r>
      <w:r w:rsidRPr="009553A9">
        <w:rPr>
          <w:rFonts w:cs="Arial"/>
        </w:rPr>
        <w:t>. Every toxicity value must have its quality assessed</w:t>
      </w:r>
      <w:r w:rsidR="75629087" w:rsidRPr="009553A9">
        <w:rPr>
          <w:rFonts w:cs="Arial"/>
        </w:rPr>
        <w:t xml:space="preserve"> </w:t>
      </w:r>
      <w:r w:rsidRPr="009553A9">
        <w:rPr>
          <w:rFonts w:cs="Arial"/>
        </w:rPr>
        <w:t>as, even within a single study, it is possible for toxicity data to have been generated using different methods and hence be of different quality.</w:t>
      </w:r>
    </w:p>
    <w:p w14:paraId="4DD18F07" w14:textId="77777777" w:rsidR="006C5761" w:rsidRDefault="00742E8D" w:rsidP="006C5761">
      <w:pPr>
        <w:spacing w:after="0"/>
      </w:pPr>
      <w:r w:rsidRPr="009553A9">
        <w:t>The data</w:t>
      </w:r>
      <w:r w:rsidR="00987D23" w:rsidRPr="009553A9">
        <w:t>-</w:t>
      </w:r>
      <w:r w:rsidRPr="009553A9">
        <w:t>quality</w:t>
      </w:r>
      <w:r w:rsidR="00987D23" w:rsidRPr="009553A9">
        <w:t xml:space="preserve"> </w:t>
      </w:r>
      <w:r w:rsidRPr="009553A9">
        <w:t>assessment scheme examines how each toxicity value was generated and awards a quality score and quality grade on the basis of answers to a series of questions (</w:t>
      </w:r>
      <w:r w:rsidR="00EA0836" w:rsidRPr="009553A9">
        <w:fldChar w:fldCharType="begin"/>
      </w:r>
      <w:r w:rsidR="00EA0836" w:rsidRPr="009553A9">
        <w:instrText xml:space="preserve"> REF _Ref202087490 \h </w:instrText>
      </w:r>
      <w:r w:rsidR="009553A9">
        <w:instrText xml:space="preserve"> \* MERGEFORMAT </w:instrText>
      </w:r>
      <w:r w:rsidR="00EA0836" w:rsidRPr="009553A9">
        <w:fldChar w:fldCharType="separate"/>
      </w:r>
      <w:r w:rsidR="006C5761" w:rsidRPr="006C5761">
        <w:br w:type="page"/>
      </w:r>
    </w:p>
    <w:p w14:paraId="7574231D" w14:textId="77777777" w:rsidR="006C5761" w:rsidRDefault="006C5761" w:rsidP="006C5761">
      <w:pPr>
        <w:spacing w:after="0"/>
      </w:pPr>
      <w:r>
        <w:lastRenderedPageBreak/>
        <w:t>Table </w:t>
      </w:r>
      <w:r>
        <w:rPr>
          <w:noProof/>
        </w:rPr>
        <w:t>3</w:t>
      </w:r>
      <w:r w:rsidR="00EA0836" w:rsidRPr="009553A9">
        <w:fldChar w:fldCharType="end"/>
      </w:r>
      <w:r w:rsidR="00EA0836" w:rsidRPr="009553A9">
        <w:t xml:space="preserve"> </w:t>
      </w:r>
      <w:r w:rsidR="00742E8D" w:rsidRPr="009553A9">
        <w:t xml:space="preserve">and </w:t>
      </w:r>
      <w:r w:rsidR="00CE18A1" w:rsidRPr="009553A9">
        <w:fldChar w:fldCharType="begin"/>
      </w:r>
      <w:r w:rsidR="00CE18A1" w:rsidRPr="009553A9">
        <w:instrText xml:space="preserve"> REF _Ref202085516 \n \h </w:instrText>
      </w:r>
      <w:r w:rsidR="009553A9">
        <w:instrText xml:space="preserve"> \* MERGEFORMAT </w:instrText>
      </w:r>
      <w:r w:rsidR="00CE18A1" w:rsidRPr="009553A9">
        <w:fldChar w:fldCharType="separate"/>
      </w:r>
      <w:r>
        <w:t>Appendix B</w:t>
      </w:r>
      <w:r w:rsidR="00CE18A1" w:rsidRPr="009553A9">
        <w:fldChar w:fldCharType="end"/>
      </w:r>
      <w:r w:rsidR="00742E8D" w:rsidRPr="009553A9">
        <w:t>). One of</w:t>
      </w:r>
      <w:r w:rsidR="00C64837" w:rsidRPr="009553A9">
        <w:t xml:space="preserve"> 6</w:t>
      </w:r>
      <w:r w:rsidR="00742E8D" w:rsidRPr="009553A9">
        <w:t xml:space="preserve"> different </w:t>
      </w:r>
      <w:r w:rsidR="00D165B3" w:rsidRPr="009553A9">
        <w:t>questionnaires</w:t>
      </w:r>
      <w:r w:rsidR="00742E8D" w:rsidRPr="009553A9">
        <w:t xml:space="preserve"> is </w:t>
      </w:r>
      <w:r w:rsidR="00D165B3" w:rsidRPr="009553A9">
        <w:t>complet</w:t>
      </w:r>
      <w:r w:rsidR="00742E8D" w:rsidRPr="009553A9">
        <w:t>ed</w:t>
      </w:r>
      <w:r w:rsidR="00E4012C" w:rsidRPr="009553A9">
        <w:t xml:space="preserve"> for each toxicity value</w:t>
      </w:r>
      <w:r w:rsidR="00742E8D" w:rsidRPr="009553A9">
        <w:t>, depending on the environmental medi</w:t>
      </w:r>
      <w:r w:rsidR="00363156" w:rsidRPr="009553A9">
        <w:t>um</w:t>
      </w:r>
      <w:r w:rsidR="00742E8D" w:rsidRPr="009553A9">
        <w:t xml:space="preserve"> (freshwater</w:t>
      </w:r>
      <w:r w:rsidR="00ED2E46" w:rsidRPr="009553A9">
        <w:t>,</w:t>
      </w:r>
      <w:r w:rsidR="00742E8D" w:rsidRPr="009553A9">
        <w:t xml:space="preserve"> marine</w:t>
      </w:r>
      <w:r w:rsidR="00ED2E46" w:rsidRPr="009553A9">
        <w:t xml:space="preserve"> or </w:t>
      </w:r>
      <w:r w:rsidR="00742E8D" w:rsidRPr="009553A9">
        <w:t>estuarine), type of toxicant (metal</w:t>
      </w:r>
      <w:r w:rsidR="00091B3E" w:rsidRPr="009553A9">
        <w:t>/</w:t>
      </w:r>
      <w:r w:rsidR="00746A20" w:rsidRPr="009553A9">
        <w:t>non-metallic ino</w:t>
      </w:r>
      <w:r w:rsidR="00321C43" w:rsidRPr="009553A9">
        <w:t>rganic</w:t>
      </w:r>
      <w:r w:rsidR="00742E8D" w:rsidRPr="009553A9">
        <w:t xml:space="preserve"> or </w:t>
      </w:r>
      <w:r w:rsidR="00321C43" w:rsidRPr="009553A9">
        <w:t>organic</w:t>
      </w:r>
      <w:r w:rsidR="00742E8D" w:rsidRPr="009553A9">
        <w:t>) and type of test organism (plant or non-plant) used</w:t>
      </w:r>
      <w:r w:rsidR="000A4A26" w:rsidRPr="009553A9">
        <w:t xml:space="preserve">. </w:t>
      </w:r>
      <w:r w:rsidR="00EA0836" w:rsidRPr="009553A9">
        <w:fldChar w:fldCharType="begin"/>
      </w:r>
      <w:r w:rsidR="00EA0836" w:rsidRPr="009553A9">
        <w:instrText xml:space="preserve"> REF _Ref202087490 \h </w:instrText>
      </w:r>
      <w:r w:rsidR="009553A9">
        <w:instrText xml:space="preserve"> \* MERGEFORMAT </w:instrText>
      </w:r>
      <w:r w:rsidR="00EA0836" w:rsidRPr="009553A9">
        <w:fldChar w:fldCharType="separate"/>
      </w:r>
      <w:r w:rsidRPr="006C5761">
        <w:br w:type="page"/>
      </w:r>
    </w:p>
    <w:p w14:paraId="7193C8D5" w14:textId="689F52EB" w:rsidR="00B679A4" w:rsidRPr="009553A9" w:rsidRDefault="006C5761" w:rsidP="00FD6F19">
      <w:pPr>
        <w:spacing w:after="0"/>
      </w:pPr>
      <w:r>
        <w:lastRenderedPageBreak/>
        <w:t>Table </w:t>
      </w:r>
      <w:r>
        <w:rPr>
          <w:noProof/>
        </w:rPr>
        <w:t>3</w:t>
      </w:r>
      <w:r w:rsidR="00EA0836" w:rsidRPr="009553A9">
        <w:fldChar w:fldCharType="end"/>
      </w:r>
      <w:r w:rsidR="00EA0836" w:rsidRPr="009553A9">
        <w:t xml:space="preserve"> </w:t>
      </w:r>
      <w:r w:rsidR="00814468" w:rsidRPr="009553A9">
        <w:t>provides the table for freshwater, metals</w:t>
      </w:r>
      <w:r w:rsidR="00091B3E" w:rsidRPr="009553A9">
        <w:t>/non-metallic inorganics</w:t>
      </w:r>
      <w:r w:rsidR="00814468" w:rsidRPr="009553A9">
        <w:t xml:space="preserve"> and non-plants</w:t>
      </w:r>
      <w:r w:rsidR="000B633B" w:rsidRPr="009553A9">
        <w:t xml:space="preserve">, </w:t>
      </w:r>
      <w:r w:rsidR="00FE6FD3" w:rsidRPr="009553A9">
        <w:t xml:space="preserve">and </w:t>
      </w:r>
      <w:r w:rsidR="000A4A26" w:rsidRPr="009553A9">
        <w:t xml:space="preserve">the </w:t>
      </w:r>
      <w:r w:rsidR="008609CD" w:rsidRPr="009553A9">
        <w:t xml:space="preserve">corresponding </w:t>
      </w:r>
      <w:r w:rsidR="000B633B" w:rsidRPr="009553A9">
        <w:t xml:space="preserve">tables for </w:t>
      </w:r>
      <w:r w:rsidR="00A731D7" w:rsidRPr="009553A9">
        <w:t xml:space="preserve">the </w:t>
      </w:r>
      <w:r w:rsidR="000B633B" w:rsidRPr="009553A9">
        <w:t xml:space="preserve">other </w:t>
      </w:r>
      <w:r w:rsidR="00A731D7" w:rsidRPr="009553A9">
        <w:t>questionnaires</w:t>
      </w:r>
      <w:r w:rsidR="000B633B" w:rsidRPr="009553A9">
        <w:t xml:space="preserve"> </w:t>
      </w:r>
      <w:r w:rsidR="00F505BF" w:rsidRPr="009553A9">
        <w:t xml:space="preserve">are </w:t>
      </w:r>
      <w:r w:rsidR="00814468" w:rsidRPr="009553A9">
        <w:t>presented in</w:t>
      </w:r>
      <w:r w:rsidR="00742E8D" w:rsidRPr="009553A9">
        <w:t xml:space="preserve"> </w:t>
      </w:r>
      <w:r w:rsidR="00C024EA" w:rsidRPr="009553A9">
        <w:fldChar w:fldCharType="begin"/>
      </w:r>
      <w:r w:rsidR="00C024EA" w:rsidRPr="009553A9">
        <w:instrText xml:space="preserve"> REF AppendixB \h </w:instrText>
      </w:r>
      <w:r w:rsidR="009553A9">
        <w:instrText xml:space="preserve"> \* MERGEFORMAT </w:instrText>
      </w:r>
      <w:r w:rsidR="00C024EA" w:rsidRPr="009553A9">
        <w:fldChar w:fldCharType="separate"/>
      </w:r>
      <w:r>
        <w:rPr>
          <w:b/>
          <w:bCs/>
          <w:lang w:val="en-US"/>
        </w:rPr>
        <w:t>Error! Reference source not found.</w:t>
      </w:r>
      <w:r w:rsidR="00C024EA" w:rsidRPr="009553A9">
        <w:fldChar w:fldCharType="end"/>
      </w:r>
      <w:r w:rsidR="00742E8D" w:rsidRPr="009553A9">
        <w:t xml:space="preserve">. </w:t>
      </w:r>
      <w:r w:rsidR="002A1C56" w:rsidRPr="009553A9">
        <w:t>The quality score for each toxicity value is represented as a percentage</w:t>
      </w:r>
      <w:r w:rsidR="00DF2541" w:rsidRPr="009553A9">
        <w:t>, calculated as follows:</w:t>
      </w:r>
    </w:p>
    <w:p w14:paraId="65A72DD5" w14:textId="506884E5" w:rsidR="00742E8D" w:rsidRDefault="00C258D5" w:rsidP="00FD6F19">
      <w:pPr>
        <w:spacing w:after="0"/>
        <w:ind w:left="284"/>
      </w:pPr>
      <w:r w:rsidRPr="009553A9">
        <w:t xml:space="preserve">Quality score = </w:t>
      </w:r>
      <w:r w:rsidR="003C6FA5" w:rsidRPr="009553A9">
        <w:t>(</w:t>
      </w:r>
      <w:r w:rsidRPr="009553A9">
        <w:t>t</w:t>
      </w:r>
      <w:r w:rsidR="00DF2541" w:rsidRPr="009553A9">
        <w:t xml:space="preserve">otal score from questionnaire </w:t>
      </w:r>
      <w:r w:rsidR="00091EBE" w:rsidRPr="009553A9">
        <w:rPr>
          <w:rFonts w:cs="Calibri"/>
        </w:rPr>
        <w:t>÷</w:t>
      </w:r>
      <w:r w:rsidR="00DF2541" w:rsidRPr="009553A9">
        <w:t xml:space="preserve"> the maximum possible score</w:t>
      </w:r>
      <w:r w:rsidR="003C6FA5" w:rsidRPr="009553A9">
        <w:t>)</w:t>
      </w:r>
      <w:r w:rsidR="00DF2541" w:rsidRPr="009553A9">
        <w:t xml:space="preserve"> </w:t>
      </w:r>
      <w:r w:rsidR="00B8070E" w:rsidRPr="009553A9">
        <w:rPr>
          <w:rFonts w:cs="Calibri"/>
        </w:rPr>
        <w:t>×</w:t>
      </w:r>
      <w:r w:rsidR="00DF2541" w:rsidRPr="009553A9">
        <w:t xml:space="preserve"> 100</w:t>
      </w:r>
    </w:p>
    <w:p w14:paraId="4C409613" w14:textId="77777777" w:rsidR="006C5761" w:rsidRDefault="00BA0672" w:rsidP="006C5761">
      <w:r w:rsidRPr="009553A9">
        <w:t xml:space="preserve">Toxicity data with a quality score ≥ 80% are classed as ‘high’ quality, data with a quality score of ≥ 50 to &lt; 80% are classed as ‘acceptable’ quality, and data with a quality score of &lt; 50% are classed as ‘unacceptable’ quality. </w:t>
      </w:r>
      <w:r>
        <w:t>H</w:t>
      </w:r>
      <w:r w:rsidRPr="009553A9">
        <w:t>igh-quality and acceptable-quality data can be used to derive GVs</w:t>
      </w:r>
      <w:r>
        <w:t xml:space="preserve">, while unacceptable-quality data should not be used to derive GVs. </w:t>
      </w:r>
      <w:r w:rsidRPr="009553A9">
        <w:t>Normally, toxicity data calculated using nominal-concentration data would not be used to derive GVs; however, professional judgement can be used to include such data, provided a justification for their use is given (</w:t>
      </w:r>
      <w:r w:rsidRPr="009553A9">
        <w:fldChar w:fldCharType="begin"/>
      </w:r>
      <w:r w:rsidRPr="009553A9">
        <w:instrText xml:space="preserve"> REF _Ref202087490 \h </w:instrText>
      </w:r>
      <w:r>
        <w:instrText xml:space="preserve"> \* MERGEFORMAT </w:instrText>
      </w:r>
      <w:r w:rsidRPr="009553A9">
        <w:fldChar w:fldCharType="separate"/>
      </w:r>
      <w:r w:rsidR="006C5761" w:rsidRPr="006C5761">
        <w:br w:type="page"/>
      </w:r>
    </w:p>
    <w:p w14:paraId="090CFC68" w14:textId="53766EB8" w:rsidR="00BA0672" w:rsidRPr="009553A9" w:rsidRDefault="006C5761" w:rsidP="00BA0672">
      <w:r>
        <w:lastRenderedPageBreak/>
        <w:t>Table </w:t>
      </w:r>
      <w:r>
        <w:rPr>
          <w:noProof/>
        </w:rPr>
        <w:t>3</w:t>
      </w:r>
      <w:r w:rsidR="00BA0672" w:rsidRPr="009553A9">
        <w:fldChar w:fldCharType="end"/>
      </w:r>
      <w:r w:rsidR="00BA0672" w:rsidRPr="009553A9">
        <w:t xml:space="preserve"> and </w:t>
      </w:r>
      <w:r w:rsidR="00BA0672" w:rsidRPr="009553A9">
        <w:rPr>
          <w:rFonts w:cs="Arial"/>
        </w:rPr>
        <w:fldChar w:fldCharType="begin"/>
      </w:r>
      <w:r w:rsidR="00BA0672" w:rsidRPr="009553A9">
        <w:instrText xml:space="preserve"> REF _Ref202085516 \n \h </w:instrText>
      </w:r>
      <w:r w:rsidR="00BA0672">
        <w:rPr>
          <w:rFonts w:cs="Arial"/>
        </w:rPr>
        <w:instrText xml:space="preserve"> \* MERGEFORMAT </w:instrText>
      </w:r>
      <w:r w:rsidR="00BA0672" w:rsidRPr="009553A9">
        <w:rPr>
          <w:rFonts w:cs="Arial"/>
        </w:rPr>
      </w:r>
      <w:r w:rsidR="00BA0672" w:rsidRPr="009553A9">
        <w:rPr>
          <w:rFonts w:cs="Arial"/>
        </w:rPr>
        <w:fldChar w:fldCharType="separate"/>
      </w:r>
      <w:r>
        <w:t>Appendix B</w:t>
      </w:r>
      <w:r w:rsidR="00BA0672" w:rsidRPr="009553A9">
        <w:rPr>
          <w:rFonts w:cs="Arial"/>
        </w:rPr>
        <w:fldChar w:fldCharType="end"/>
      </w:r>
      <w:r w:rsidR="00BA0672" w:rsidRPr="009553A9">
        <w:t>).</w:t>
      </w:r>
    </w:p>
    <w:p w14:paraId="523BE2D1" w14:textId="77777777" w:rsidR="00BA0672" w:rsidRDefault="00BA0672" w:rsidP="00BA0672">
      <w:r w:rsidRPr="009553A9">
        <w:t>Professional judgement often needs to be used when assessing the quality of data, particularly where one or more of the aspects of the experimental design is less than optimal, as it could be a fundamental flaw. For example, researchers may have measured and stated the pH of the test media, thereby scoring full marks, but if the pH drifted by 3 units during the test, this would be considered a fundamental flaw. In such cases, it would be appropriate to score the quality as unacceptable. Or, a toxicity test may have used only a small number of test treatments (e.g. 2–5), and a decision will be required about the overall quality of the associated data. When professional judgement is used in assessing the quality of toxicity data, justifications for the decisions should be provided in the data-quality assessment spreadsheet.</w:t>
      </w:r>
    </w:p>
    <w:p w14:paraId="714795E7" w14:textId="77777777" w:rsidR="00BA0672" w:rsidRDefault="00BA0672">
      <w:pPr>
        <w:spacing w:before="0" w:after="0" w:line="240" w:lineRule="auto"/>
      </w:pPr>
      <w:bookmarkStart w:id="79" w:name="_Ref520276325"/>
      <w:bookmarkStart w:id="80" w:name="_Ref185403040"/>
      <w:bookmarkStart w:id="81" w:name="_Ref202087490"/>
      <w:bookmarkStart w:id="82" w:name="_Toc206085216"/>
      <w:r>
        <w:rPr>
          <w:b/>
          <w:bCs/>
        </w:rPr>
        <w:br w:type="page"/>
      </w:r>
    </w:p>
    <w:p w14:paraId="4DD557DE" w14:textId="70BE6209" w:rsidR="009541B0" w:rsidRDefault="006F5541" w:rsidP="0069575F">
      <w:pPr>
        <w:pStyle w:val="Captionwithnote"/>
      </w:pPr>
      <w:r>
        <w:lastRenderedPageBreak/>
        <w:t>Table</w:t>
      </w:r>
      <w:r w:rsidR="00EA0836">
        <w:t> </w:t>
      </w:r>
      <w:r w:rsidR="004E2C54">
        <w:rPr>
          <w:noProof/>
        </w:rPr>
        <w:fldChar w:fldCharType="begin"/>
      </w:r>
      <w:r w:rsidR="004E2C54">
        <w:rPr>
          <w:noProof/>
        </w:rPr>
        <w:instrText xml:space="preserve"> SEQ Table \* ARABIC </w:instrText>
      </w:r>
      <w:r w:rsidR="004E2C54">
        <w:rPr>
          <w:noProof/>
        </w:rPr>
        <w:fldChar w:fldCharType="separate"/>
      </w:r>
      <w:r w:rsidR="006C5761">
        <w:rPr>
          <w:noProof/>
        </w:rPr>
        <w:t>3</w:t>
      </w:r>
      <w:r w:rsidR="004E2C54">
        <w:rPr>
          <w:noProof/>
        </w:rPr>
        <w:fldChar w:fldCharType="end"/>
      </w:r>
      <w:bookmarkEnd w:id="79"/>
      <w:bookmarkEnd w:id="80"/>
      <w:bookmarkEnd w:id="81"/>
      <w:r>
        <w:t xml:space="preserve"> </w:t>
      </w:r>
      <w:r w:rsidR="009B09F1" w:rsidRPr="009B09F1">
        <w:t xml:space="preserve">Scoring system for assessing the quality of toxicity data </w:t>
      </w:r>
      <w:r w:rsidR="009B09F1" w:rsidRPr="00541839">
        <w:t>for metals</w:t>
      </w:r>
      <w:r w:rsidR="00EC39F6">
        <w:t>/non-metallic inorganics</w:t>
      </w:r>
      <w:r w:rsidR="009B09F1" w:rsidRPr="00541839">
        <w:t xml:space="preserve"> </w:t>
      </w:r>
      <w:r w:rsidR="0059053F">
        <w:t>to</w:t>
      </w:r>
      <w:r w:rsidR="00541839" w:rsidRPr="00541839">
        <w:t xml:space="preserve"> </w:t>
      </w:r>
      <w:r w:rsidR="009B09F1" w:rsidRPr="00541839">
        <w:t>freshwater non-plants</w:t>
      </w:r>
      <w:r w:rsidR="00075929">
        <w:t>,</w:t>
      </w:r>
      <w:r w:rsidR="009B09F1" w:rsidRPr="00541839">
        <w:t xml:space="preserve"> to</w:t>
      </w:r>
      <w:r w:rsidR="009B09F1" w:rsidRPr="009B09F1">
        <w:t xml:space="preserve"> be used in the derivation of guideline values for toxicants</w:t>
      </w:r>
      <w:bookmarkEnd w:id="82"/>
    </w:p>
    <w:p w14:paraId="007CA6E1" w14:textId="05D679CC" w:rsidR="009B09F1" w:rsidRPr="00E2749F" w:rsidRDefault="009B09F1" w:rsidP="0069575F">
      <w:pPr>
        <w:pStyle w:val="Captionnote"/>
      </w:pPr>
      <w:r w:rsidRPr="00E2749F">
        <w:t>The corresponding sets of questions for other combinations of medi</w:t>
      </w:r>
      <w:r w:rsidR="00075929" w:rsidRPr="00E2749F">
        <w:t>um</w:t>
      </w:r>
      <w:r w:rsidRPr="00E2749F">
        <w:t xml:space="preserve">/toxicant type/organism type are provided in </w:t>
      </w:r>
      <w:r w:rsidR="00CE18A1" w:rsidRPr="00E2749F">
        <w:rPr>
          <w:rFonts w:cs="Arial"/>
        </w:rPr>
        <w:fldChar w:fldCharType="begin"/>
      </w:r>
      <w:r w:rsidR="00CE18A1" w:rsidRPr="00E2749F">
        <w:instrText xml:space="preserve"> REF _Ref202085516 \n \h </w:instrText>
      </w:r>
      <w:r w:rsidR="00E2749F" w:rsidRPr="00E2749F">
        <w:rPr>
          <w:rFonts w:cs="Arial"/>
        </w:rPr>
        <w:instrText xml:space="preserve"> \* MERGEFORMAT </w:instrText>
      </w:r>
      <w:r w:rsidR="00CE18A1" w:rsidRPr="00E2749F">
        <w:rPr>
          <w:rFonts w:cs="Arial"/>
        </w:rPr>
      </w:r>
      <w:r w:rsidR="00CE18A1" w:rsidRPr="00E2749F">
        <w:rPr>
          <w:rFonts w:cs="Arial"/>
        </w:rPr>
        <w:fldChar w:fldCharType="separate"/>
      </w:r>
      <w:r w:rsidR="006C5761">
        <w:t>Appendix B</w:t>
      </w:r>
      <w:r w:rsidR="00CE18A1" w:rsidRPr="00E2749F">
        <w:rPr>
          <w:rFonts w:cs="Arial"/>
        </w:rPr>
        <w:fldChar w:fldCharType="end"/>
      </w:r>
      <w:r w:rsidRPr="00E2749F">
        <w:t>.</w:t>
      </w:r>
    </w:p>
    <w:tbl>
      <w:tblPr>
        <w:tblW w:w="9213" w:type="dxa"/>
        <w:tblLayout w:type="fixed"/>
        <w:tblLook w:val="04A0" w:firstRow="1" w:lastRow="0" w:firstColumn="1" w:lastColumn="0" w:noHBand="0" w:noVBand="1"/>
      </w:tblPr>
      <w:tblGrid>
        <w:gridCol w:w="680"/>
        <w:gridCol w:w="6833"/>
        <w:gridCol w:w="1700"/>
      </w:tblGrid>
      <w:tr w:rsidR="007705B4" w:rsidRPr="00B1499A" w14:paraId="333212F9" w14:textId="77777777" w:rsidTr="00CA02BC">
        <w:trPr>
          <w:trHeight w:val="320"/>
          <w:tblHeader/>
        </w:trPr>
        <w:tc>
          <w:tcPr>
            <w:tcW w:w="680" w:type="dxa"/>
            <w:tcBorders>
              <w:top w:val="single" w:sz="12" w:space="0" w:color="auto"/>
              <w:left w:val="nil"/>
              <w:bottom w:val="single" w:sz="12" w:space="0" w:color="auto"/>
              <w:right w:val="nil"/>
            </w:tcBorders>
            <w:noWrap/>
            <w:hideMark/>
          </w:tcPr>
          <w:p w14:paraId="7B42E576" w14:textId="12456608" w:rsidR="00F3130F" w:rsidRPr="0087238E" w:rsidRDefault="00F3130F" w:rsidP="00E2749F">
            <w:pPr>
              <w:pStyle w:val="TableHeading"/>
              <w:spacing w:before="50" w:after="50"/>
            </w:pPr>
            <w:r>
              <w:t>No.</w:t>
            </w:r>
          </w:p>
        </w:tc>
        <w:tc>
          <w:tcPr>
            <w:tcW w:w="6833" w:type="dxa"/>
            <w:tcBorders>
              <w:top w:val="single" w:sz="12" w:space="0" w:color="auto"/>
              <w:left w:val="nil"/>
              <w:bottom w:val="single" w:sz="12" w:space="0" w:color="auto"/>
              <w:right w:val="nil"/>
            </w:tcBorders>
            <w:vAlign w:val="center"/>
          </w:tcPr>
          <w:p w14:paraId="5B15F9EE" w14:textId="24617F13" w:rsidR="00F3130F" w:rsidRPr="0087238E" w:rsidRDefault="00F3130F" w:rsidP="00E2749F">
            <w:pPr>
              <w:pStyle w:val="TableHeading"/>
              <w:spacing w:before="50" w:after="50"/>
            </w:pPr>
            <w:r>
              <w:t>Question</w:t>
            </w:r>
          </w:p>
        </w:tc>
        <w:tc>
          <w:tcPr>
            <w:tcW w:w="1700" w:type="dxa"/>
            <w:tcBorders>
              <w:top w:val="single" w:sz="12" w:space="0" w:color="auto"/>
              <w:left w:val="nil"/>
              <w:bottom w:val="single" w:sz="12" w:space="0" w:color="auto"/>
              <w:right w:val="nil"/>
            </w:tcBorders>
            <w:noWrap/>
            <w:vAlign w:val="center"/>
            <w:hideMark/>
          </w:tcPr>
          <w:p w14:paraId="7521F7F3" w14:textId="45489078" w:rsidR="00F3130F" w:rsidRPr="0087238E" w:rsidRDefault="00F3130F" w:rsidP="00E2749F">
            <w:pPr>
              <w:pStyle w:val="TableHeading"/>
              <w:spacing w:before="50" w:after="50"/>
            </w:pPr>
            <w:r w:rsidRPr="0087238E">
              <w:t>S</w:t>
            </w:r>
            <w:r>
              <w:t>core</w:t>
            </w:r>
            <w:r w:rsidRPr="0087238E">
              <w:rPr>
                <w:vertAlign w:val="superscript"/>
              </w:rPr>
              <w:t>a</w:t>
            </w:r>
          </w:p>
        </w:tc>
      </w:tr>
      <w:tr w:rsidR="00627C6F" w:rsidRPr="00903169" w14:paraId="7D2FACEA" w14:textId="77777777" w:rsidTr="00CA02BC">
        <w:trPr>
          <w:trHeight w:val="320"/>
        </w:trPr>
        <w:tc>
          <w:tcPr>
            <w:tcW w:w="7513" w:type="dxa"/>
            <w:gridSpan w:val="2"/>
            <w:tcBorders>
              <w:top w:val="single" w:sz="12" w:space="0" w:color="auto"/>
              <w:left w:val="nil"/>
              <w:bottom w:val="single" w:sz="12" w:space="0" w:color="auto"/>
              <w:right w:val="nil"/>
            </w:tcBorders>
            <w:noWrap/>
            <w:hideMark/>
          </w:tcPr>
          <w:p w14:paraId="230EB14D" w14:textId="36657806" w:rsidR="00627C6F" w:rsidRPr="002171FA" w:rsidRDefault="00627C6F" w:rsidP="00E2749F">
            <w:pPr>
              <w:pStyle w:val="TableText"/>
              <w:spacing w:before="50" w:after="50"/>
              <w:rPr>
                <w:b/>
                <w:bCs/>
              </w:rPr>
            </w:pPr>
            <w:r w:rsidRPr="002171FA">
              <w:rPr>
                <w:b/>
                <w:bCs/>
              </w:rPr>
              <w:t>A. G</w:t>
            </w:r>
            <w:r>
              <w:rPr>
                <w:b/>
                <w:bCs/>
              </w:rPr>
              <w:t>eneral test design information</w:t>
            </w:r>
          </w:p>
        </w:tc>
        <w:tc>
          <w:tcPr>
            <w:tcW w:w="1700" w:type="dxa"/>
            <w:tcBorders>
              <w:top w:val="single" w:sz="12" w:space="0" w:color="auto"/>
              <w:left w:val="nil"/>
              <w:bottom w:val="single" w:sz="12" w:space="0" w:color="auto"/>
              <w:right w:val="nil"/>
            </w:tcBorders>
            <w:noWrap/>
            <w:vAlign w:val="center"/>
            <w:hideMark/>
          </w:tcPr>
          <w:p w14:paraId="05B49E75" w14:textId="3C50336F" w:rsidR="00627C6F" w:rsidRPr="00B1499A" w:rsidRDefault="00627C6F" w:rsidP="00E2749F">
            <w:pPr>
              <w:pStyle w:val="TableText"/>
              <w:spacing w:before="50" w:after="50"/>
            </w:pPr>
          </w:p>
        </w:tc>
      </w:tr>
      <w:tr w:rsidR="007705B4" w:rsidRPr="00B1499A" w14:paraId="0AFE5D7E" w14:textId="77777777" w:rsidTr="00CA02BC">
        <w:trPr>
          <w:trHeight w:val="320"/>
        </w:trPr>
        <w:tc>
          <w:tcPr>
            <w:tcW w:w="680" w:type="dxa"/>
            <w:tcBorders>
              <w:top w:val="single" w:sz="12" w:space="0" w:color="auto"/>
              <w:left w:val="nil"/>
              <w:bottom w:val="single" w:sz="4" w:space="0" w:color="auto"/>
              <w:right w:val="nil"/>
            </w:tcBorders>
            <w:hideMark/>
          </w:tcPr>
          <w:p w14:paraId="290998FA" w14:textId="77777777" w:rsidR="00A115F7" w:rsidRPr="00B1499A" w:rsidRDefault="00A115F7" w:rsidP="00E2749F">
            <w:pPr>
              <w:pStyle w:val="TableText"/>
              <w:spacing w:before="50" w:after="50"/>
            </w:pPr>
            <w:r w:rsidRPr="00B1499A">
              <w:t>1</w:t>
            </w:r>
          </w:p>
        </w:tc>
        <w:tc>
          <w:tcPr>
            <w:tcW w:w="6833" w:type="dxa"/>
            <w:tcBorders>
              <w:top w:val="single" w:sz="12" w:space="0" w:color="auto"/>
              <w:left w:val="nil"/>
              <w:bottom w:val="single" w:sz="4" w:space="0" w:color="auto"/>
              <w:right w:val="nil"/>
            </w:tcBorders>
            <w:hideMark/>
          </w:tcPr>
          <w:p w14:paraId="703E6DFB" w14:textId="7E02CB12" w:rsidR="00A115F7" w:rsidRPr="00B1499A" w:rsidRDefault="00A115F7" w:rsidP="00E2749F">
            <w:pPr>
              <w:pStyle w:val="TableText"/>
              <w:spacing w:before="50" w:after="50"/>
              <w:rPr>
                <w:color w:val="000000"/>
              </w:rPr>
            </w:pPr>
            <w:r w:rsidRPr="57352DF8">
              <w:t>Was the duration of the exposure stated (</w:t>
            </w:r>
            <w:r w:rsidR="009D6B76">
              <w:t>e.g.</w:t>
            </w:r>
            <w:r w:rsidRPr="57352DF8">
              <w:t xml:space="preserve"> 48</w:t>
            </w:r>
            <w:r w:rsidR="009D6B76">
              <w:t xml:space="preserve"> h,</w:t>
            </w:r>
            <w:r w:rsidRPr="57352DF8">
              <w:t xml:space="preserve"> 96 h)?</w:t>
            </w:r>
          </w:p>
        </w:tc>
        <w:tc>
          <w:tcPr>
            <w:tcW w:w="1700" w:type="dxa"/>
            <w:tcBorders>
              <w:top w:val="single" w:sz="12" w:space="0" w:color="auto"/>
              <w:left w:val="nil"/>
              <w:bottom w:val="single" w:sz="4" w:space="0" w:color="auto"/>
              <w:right w:val="nil"/>
            </w:tcBorders>
            <w:hideMark/>
          </w:tcPr>
          <w:p w14:paraId="260E3B1C" w14:textId="77777777" w:rsidR="00A115F7" w:rsidRPr="00B1499A" w:rsidRDefault="00A115F7" w:rsidP="00E2749F">
            <w:pPr>
              <w:pStyle w:val="TableText"/>
              <w:spacing w:before="50" w:after="50"/>
            </w:pPr>
            <w:r w:rsidRPr="00B1499A">
              <w:t>Yes (3), No (0/FAIL)</w:t>
            </w:r>
          </w:p>
        </w:tc>
      </w:tr>
      <w:tr w:rsidR="007705B4" w:rsidRPr="00B1499A" w14:paraId="73E979C3" w14:textId="77777777" w:rsidTr="00CA02BC">
        <w:trPr>
          <w:trHeight w:val="1040"/>
        </w:trPr>
        <w:tc>
          <w:tcPr>
            <w:tcW w:w="680" w:type="dxa"/>
            <w:tcBorders>
              <w:top w:val="single" w:sz="4" w:space="0" w:color="auto"/>
              <w:left w:val="nil"/>
              <w:bottom w:val="single" w:sz="4" w:space="0" w:color="auto"/>
              <w:right w:val="nil"/>
            </w:tcBorders>
            <w:hideMark/>
          </w:tcPr>
          <w:p w14:paraId="5B5566B7" w14:textId="77777777" w:rsidR="00A115F7" w:rsidRPr="00B1499A" w:rsidRDefault="00A115F7" w:rsidP="00E2749F">
            <w:pPr>
              <w:pStyle w:val="TableText"/>
              <w:spacing w:before="50" w:after="50"/>
            </w:pPr>
            <w:r w:rsidRPr="00B1499A">
              <w:t>2</w:t>
            </w:r>
          </w:p>
        </w:tc>
        <w:tc>
          <w:tcPr>
            <w:tcW w:w="6833" w:type="dxa"/>
            <w:tcBorders>
              <w:top w:val="single" w:sz="4" w:space="0" w:color="auto"/>
              <w:left w:val="nil"/>
              <w:bottom w:val="single" w:sz="4" w:space="0" w:color="auto"/>
              <w:right w:val="nil"/>
            </w:tcBorders>
            <w:hideMark/>
          </w:tcPr>
          <w:p w14:paraId="7652604E" w14:textId="0593389A" w:rsidR="00A115F7" w:rsidRPr="00B1499A" w:rsidRDefault="00A115F7" w:rsidP="00E2749F">
            <w:pPr>
              <w:pStyle w:val="TableText"/>
              <w:spacing w:before="50" w:after="50"/>
              <w:rPr>
                <w:color w:val="000000"/>
              </w:rPr>
            </w:pPr>
            <w:r w:rsidRPr="57352DF8">
              <w:t>Was the biological endpoint (</w:t>
            </w:r>
            <w:r w:rsidR="009D6B76">
              <w:t>e.g.</w:t>
            </w:r>
            <w:r w:rsidRPr="57352DF8">
              <w:t xml:space="preserve"> immobilisation</w:t>
            </w:r>
            <w:r w:rsidR="009D6B76">
              <w:t>,</w:t>
            </w:r>
            <w:r w:rsidRPr="57352DF8">
              <w:t xml:space="preserve"> population growth) stated? Note: </w:t>
            </w:r>
            <w:r w:rsidR="009D6B76">
              <w:t>e</w:t>
            </w:r>
            <w:r w:rsidRPr="57352DF8">
              <w:t xml:space="preserve">nsure that the endpoint is considered to be ecologically relevant. </w:t>
            </w:r>
            <w:r w:rsidR="001258C6">
              <w:t>Do not use e</w:t>
            </w:r>
            <w:r w:rsidRPr="57352DF8">
              <w:t>ndpoints with no demonstrated ecological relevance to derive guideline values</w:t>
            </w:r>
            <w:r w:rsidR="00236FD0">
              <w:t>,</w:t>
            </w:r>
            <w:r w:rsidRPr="57352DF8">
              <w:t xml:space="preserve"> and</w:t>
            </w:r>
            <w:r w:rsidR="00236FD0">
              <w:t xml:space="preserve"> they</w:t>
            </w:r>
            <w:r w:rsidRPr="57352DF8">
              <w:t xml:space="preserve"> do not need </w:t>
            </w:r>
            <w:r w:rsidR="00236FD0">
              <w:t>their</w:t>
            </w:r>
            <w:r w:rsidRPr="57352DF8">
              <w:t xml:space="preserve"> quality assessed.</w:t>
            </w:r>
          </w:p>
        </w:tc>
        <w:tc>
          <w:tcPr>
            <w:tcW w:w="1700" w:type="dxa"/>
            <w:tcBorders>
              <w:top w:val="single" w:sz="4" w:space="0" w:color="auto"/>
              <w:left w:val="nil"/>
              <w:bottom w:val="single" w:sz="4" w:space="0" w:color="auto"/>
              <w:right w:val="nil"/>
            </w:tcBorders>
            <w:hideMark/>
          </w:tcPr>
          <w:p w14:paraId="51458AC5" w14:textId="77777777" w:rsidR="00A115F7" w:rsidRPr="00B1499A" w:rsidRDefault="00A115F7" w:rsidP="00E2749F">
            <w:pPr>
              <w:pStyle w:val="TableText"/>
              <w:spacing w:before="50" w:after="50"/>
            </w:pPr>
            <w:r w:rsidRPr="00B1499A">
              <w:t>Yes (3), No (0/FAIL)</w:t>
            </w:r>
          </w:p>
        </w:tc>
      </w:tr>
      <w:tr w:rsidR="007705B4" w:rsidRPr="00B1499A" w14:paraId="31F1FCF8" w14:textId="77777777" w:rsidTr="00F45C65">
        <w:trPr>
          <w:trHeight w:val="454"/>
        </w:trPr>
        <w:tc>
          <w:tcPr>
            <w:tcW w:w="680" w:type="dxa"/>
            <w:tcBorders>
              <w:top w:val="single" w:sz="4" w:space="0" w:color="auto"/>
              <w:left w:val="nil"/>
              <w:bottom w:val="single" w:sz="4" w:space="0" w:color="auto"/>
              <w:right w:val="nil"/>
            </w:tcBorders>
            <w:hideMark/>
          </w:tcPr>
          <w:p w14:paraId="5EF111A5" w14:textId="77777777" w:rsidR="00A115F7" w:rsidRPr="00B1499A" w:rsidRDefault="00A115F7" w:rsidP="00E2749F">
            <w:pPr>
              <w:pStyle w:val="TableText"/>
              <w:spacing w:before="50" w:after="50"/>
            </w:pPr>
            <w:r w:rsidRPr="00B1499A">
              <w:t>3</w:t>
            </w:r>
          </w:p>
        </w:tc>
        <w:tc>
          <w:tcPr>
            <w:tcW w:w="6833" w:type="dxa"/>
            <w:tcBorders>
              <w:top w:val="single" w:sz="4" w:space="0" w:color="auto"/>
              <w:left w:val="nil"/>
              <w:bottom w:val="single" w:sz="4" w:space="0" w:color="auto"/>
              <w:right w:val="nil"/>
            </w:tcBorders>
            <w:hideMark/>
          </w:tcPr>
          <w:p w14:paraId="613EBEAE" w14:textId="32A91370" w:rsidR="00A115F7" w:rsidRPr="00B1499A" w:rsidRDefault="00A115F7" w:rsidP="00E2749F">
            <w:pPr>
              <w:pStyle w:val="TableText"/>
              <w:spacing w:before="50" w:after="50"/>
              <w:rPr>
                <w:color w:val="000000"/>
              </w:rPr>
            </w:pPr>
            <w:r w:rsidRPr="57352DF8">
              <w:t xml:space="preserve">Was the measure of toxicity reported (e.g. NEC, ECx, NOEC) </w:t>
            </w:r>
            <w:r w:rsidR="009D6B76">
              <w:rPr>
                <w:b/>
                <w:bCs/>
              </w:rPr>
              <w:t>and</w:t>
            </w:r>
            <w:r w:rsidR="009D6B76" w:rsidRPr="57352DF8">
              <w:t xml:space="preserve"> </w:t>
            </w:r>
            <w:r w:rsidRPr="57352DF8">
              <w:t>its associated biological</w:t>
            </w:r>
            <w:r w:rsidR="00371EB5">
              <w:t>-</w:t>
            </w:r>
            <w:r w:rsidRPr="57352DF8">
              <w:t>effect size reported or quantifiable from the data (e.g. EC10, LC50, 15% effect at NOEC)?</w:t>
            </w:r>
          </w:p>
        </w:tc>
        <w:tc>
          <w:tcPr>
            <w:tcW w:w="1700" w:type="dxa"/>
            <w:tcBorders>
              <w:top w:val="single" w:sz="4" w:space="0" w:color="auto"/>
              <w:left w:val="nil"/>
              <w:bottom w:val="single" w:sz="4" w:space="0" w:color="auto"/>
              <w:right w:val="nil"/>
            </w:tcBorders>
            <w:hideMark/>
          </w:tcPr>
          <w:p w14:paraId="3F260DF3" w14:textId="77777777" w:rsidR="00A115F7" w:rsidRPr="00B1499A" w:rsidRDefault="00A115F7" w:rsidP="00E2749F">
            <w:pPr>
              <w:pStyle w:val="TableText"/>
              <w:spacing w:before="50" w:after="50"/>
            </w:pPr>
            <w:r w:rsidRPr="00B1499A">
              <w:t>Yes (3), No (0/FAIL)</w:t>
            </w:r>
          </w:p>
        </w:tc>
      </w:tr>
      <w:tr w:rsidR="007705B4" w:rsidRPr="00B1499A" w14:paraId="39395774" w14:textId="77777777" w:rsidTr="00CA02BC">
        <w:trPr>
          <w:trHeight w:val="320"/>
        </w:trPr>
        <w:tc>
          <w:tcPr>
            <w:tcW w:w="680" w:type="dxa"/>
            <w:tcBorders>
              <w:top w:val="single" w:sz="4" w:space="0" w:color="auto"/>
              <w:left w:val="nil"/>
              <w:bottom w:val="single" w:sz="4" w:space="0" w:color="auto"/>
              <w:right w:val="nil"/>
            </w:tcBorders>
            <w:hideMark/>
          </w:tcPr>
          <w:p w14:paraId="2B8279D5" w14:textId="77777777" w:rsidR="00A115F7" w:rsidRPr="00B1499A" w:rsidRDefault="00A115F7" w:rsidP="00E2749F">
            <w:pPr>
              <w:pStyle w:val="TableText"/>
              <w:spacing w:before="50" w:after="50"/>
            </w:pPr>
            <w:r w:rsidRPr="00B1499A">
              <w:t>4</w:t>
            </w:r>
          </w:p>
        </w:tc>
        <w:tc>
          <w:tcPr>
            <w:tcW w:w="6833" w:type="dxa"/>
            <w:tcBorders>
              <w:top w:val="single" w:sz="4" w:space="0" w:color="auto"/>
              <w:left w:val="nil"/>
              <w:bottom w:val="single" w:sz="4" w:space="0" w:color="auto"/>
              <w:right w:val="nil"/>
            </w:tcBorders>
            <w:hideMark/>
          </w:tcPr>
          <w:p w14:paraId="47889BA6" w14:textId="72B555C6" w:rsidR="00A115F7" w:rsidRPr="00B1499A" w:rsidRDefault="00A115F7" w:rsidP="00E2749F">
            <w:pPr>
              <w:pStyle w:val="TableText"/>
              <w:spacing w:before="50" w:after="50"/>
              <w:rPr>
                <w:color w:val="000000"/>
              </w:rPr>
            </w:pPr>
            <w:r w:rsidRPr="57352DF8">
              <w:t>Were appropriate controls (</w:t>
            </w:r>
            <w:r w:rsidR="00413E5F">
              <w:t>e.g.</w:t>
            </w:r>
            <w:r w:rsidRPr="57352DF8">
              <w:t xml:space="preserve"> no-toxicant control</w:t>
            </w:r>
            <w:r w:rsidR="0043538B">
              <w:t>,</w:t>
            </w:r>
            <w:r w:rsidRPr="57352DF8">
              <w:t xml:space="preserve"> solvent control) used?</w:t>
            </w:r>
          </w:p>
        </w:tc>
        <w:tc>
          <w:tcPr>
            <w:tcW w:w="1700" w:type="dxa"/>
            <w:tcBorders>
              <w:top w:val="single" w:sz="4" w:space="0" w:color="auto"/>
              <w:left w:val="nil"/>
              <w:bottom w:val="single" w:sz="4" w:space="0" w:color="auto"/>
              <w:right w:val="nil"/>
            </w:tcBorders>
            <w:hideMark/>
          </w:tcPr>
          <w:p w14:paraId="5EC7FCC7" w14:textId="31A88544" w:rsidR="00A115F7" w:rsidRPr="00B1499A" w:rsidRDefault="00A115F7" w:rsidP="00E2749F">
            <w:pPr>
              <w:pStyle w:val="TableText"/>
              <w:spacing w:before="50" w:after="50"/>
            </w:pPr>
            <w:r w:rsidRPr="00B1499A">
              <w:t>Yes (3), No (0/FAIL)</w:t>
            </w:r>
            <w:r>
              <w:rPr>
                <w:vertAlign w:val="superscript"/>
              </w:rPr>
              <w:t>b</w:t>
            </w:r>
          </w:p>
        </w:tc>
      </w:tr>
      <w:tr w:rsidR="007705B4" w:rsidRPr="00A22B40" w14:paraId="758078B1" w14:textId="77777777" w:rsidTr="00CA02BC">
        <w:trPr>
          <w:trHeight w:val="520"/>
        </w:trPr>
        <w:tc>
          <w:tcPr>
            <w:tcW w:w="680" w:type="dxa"/>
            <w:tcBorders>
              <w:top w:val="single" w:sz="4" w:space="0" w:color="auto"/>
              <w:left w:val="nil"/>
              <w:bottom w:val="single" w:sz="4" w:space="0" w:color="auto"/>
              <w:right w:val="nil"/>
            </w:tcBorders>
            <w:hideMark/>
          </w:tcPr>
          <w:p w14:paraId="67DCCBF7" w14:textId="77777777" w:rsidR="00A115F7" w:rsidRPr="00B1499A" w:rsidRDefault="00A115F7" w:rsidP="00E2749F">
            <w:pPr>
              <w:pStyle w:val="TableText"/>
              <w:spacing w:before="50" w:after="50"/>
            </w:pPr>
            <w:r w:rsidRPr="00B1499A">
              <w:t>5</w:t>
            </w:r>
          </w:p>
        </w:tc>
        <w:tc>
          <w:tcPr>
            <w:tcW w:w="6833" w:type="dxa"/>
            <w:tcBorders>
              <w:top w:val="single" w:sz="4" w:space="0" w:color="auto"/>
              <w:left w:val="nil"/>
              <w:bottom w:val="single" w:sz="4" w:space="0" w:color="auto"/>
              <w:right w:val="nil"/>
            </w:tcBorders>
            <w:hideMark/>
          </w:tcPr>
          <w:p w14:paraId="1C899FDE" w14:textId="77777777" w:rsidR="00A115F7" w:rsidRPr="00B1499A" w:rsidRDefault="00A115F7" w:rsidP="00E2749F">
            <w:pPr>
              <w:pStyle w:val="TableText"/>
              <w:spacing w:before="50" w:after="50"/>
            </w:pPr>
            <w:r w:rsidRPr="57352DF8">
              <w:t>How may treatment concentrations were used (in addition to the control)?</w:t>
            </w:r>
          </w:p>
        </w:tc>
        <w:tc>
          <w:tcPr>
            <w:tcW w:w="1700" w:type="dxa"/>
            <w:tcBorders>
              <w:top w:val="single" w:sz="4" w:space="0" w:color="auto"/>
              <w:left w:val="nil"/>
              <w:bottom w:val="single" w:sz="4" w:space="0" w:color="auto"/>
              <w:right w:val="nil"/>
            </w:tcBorders>
            <w:hideMark/>
          </w:tcPr>
          <w:p w14:paraId="66C6D905" w14:textId="0D73A7FA" w:rsidR="00A115F7" w:rsidRPr="00B1499A" w:rsidRDefault="00A115F7" w:rsidP="00E2749F">
            <w:pPr>
              <w:pStyle w:val="TableText"/>
              <w:spacing w:before="50" w:after="50"/>
            </w:pPr>
            <w:r w:rsidRPr="00B1499A">
              <w:t>≥9 (3), 6</w:t>
            </w:r>
            <w:r w:rsidR="00413E5F">
              <w:t>–</w:t>
            </w:r>
            <w:r w:rsidRPr="00B1499A">
              <w:t>8 (2), 3</w:t>
            </w:r>
            <w:r w:rsidR="00413E5F">
              <w:t>–</w:t>
            </w:r>
            <w:r w:rsidRPr="00B1499A">
              <w:t>5 (1), &lt;</w:t>
            </w:r>
            <w:r w:rsidR="00413E5F">
              <w:t> </w:t>
            </w:r>
            <w:r w:rsidRPr="00B1499A">
              <w:t>3 (0/FAIL)</w:t>
            </w:r>
            <w:r>
              <w:rPr>
                <w:color w:val="000000"/>
                <w:vertAlign w:val="superscript"/>
              </w:rPr>
              <w:t>b</w:t>
            </w:r>
          </w:p>
        </w:tc>
      </w:tr>
      <w:tr w:rsidR="007705B4" w:rsidRPr="00A22B40" w14:paraId="1BE4F94D" w14:textId="77777777" w:rsidTr="00CA02BC">
        <w:trPr>
          <w:trHeight w:val="520"/>
        </w:trPr>
        <w:tc>
          <w:tcPr>
            <w:tcW w:w="680" w:type="dxa"/>
            <w:tcBorders>
              <w:top w:val="single" w:sz="4" w:space="0" w:color="auto"/>
              <w:left w:val="nil"/>
              <w:bottom w:val="single" w:sz="4" w:space="0" w:color="auto"/>
              <w:right w:val="nil"/>
            </w:tcBorders>
            <w:hideMark/>
          </w:tcPr>
          <w:p w14:paraId="5CA3235F" w14:textId="77777777" w:rsidR="00A115F7" w:rsidRPr="00B1499A" w:rsidRDefault="00A115F7" w:rsidP="00E2749F">
            <w:pPr>
              <w:pStyle w:val="TableText"/>
              <w:spacing w:before="50" w:after="50"/>
            </w:pPr>
            <w:r w:rsidRPr="00B1499A">
              <w:t>6</w:t>
            </w:r>
          </w:p>
        </w:tc>
        <w:tc>
          <w:tcPr>
            <w:tcW w:w="6833" w:type="dxa"/>
            <w:tcBorders>
              <w:top w:val="single" w:sz="4" w:space="0" w:color="auto"/>
              <w:left w:val="nil"/>
              <w:bottom w:val="single" w:sz="4" w:space="0" w:color="auto"/>
              <w:right w:val="nil"/>
            </w:tcBorders>
            <w:hideMark/>
          </w:tcPr>
          <w:p w14:paraId="7990E420" w14:textId="7B39042C" w:rsidR="00A115F7" w:rsidRPr="00B1499A" w:rsidRDefault="00A115F7" w:rsidP="00E2749F">
            <w:pPr>
              <w:pStyle w:val="TableText"/>
              <w:spacing w:before="50" w:after="50"/>
            </w:pPr>
            <w:r w:rsidRPr="00B1499A">
              <w:t xml:space="preserve">What was the test concentration spacing? Note: </w:t>
            </w:r>
            <w:r w:rsidR="00413E5F">
              <w:t>a</w:t>
            </w:r>
            <w:r w:rsidRPr="00B1499A">
              <w:t xml:space="preserve"> spacing of &lt;</w:t>
            </w:r>
            <w:r w:rsidR="00413E5F">
              <w:t> </w:t>
            </w:r>
            <w:r w:rsidRPr="00B1499A">
              <w:t>3.2 is highly preferred, while a spacing of ≥</w:t>
            </w:r>
            <w:r w:rsidR="00413E5F">
              <w:t> </w:t>
            </w:r>
            <w:r w:rsidRPr="00B1499A">
              <w:t>10 is too great</w:t>
            </w:r>
            <w:r w:rsidR="00413E5F">
              <w:t>.</w:t>
            </w:r>
          </w:p>
        </w:tc>
        <w:tc>
          <w:tcPr>
            <w:tcW w:w="1700" w:type="dxa"/>
            <w:tcBorders>
              <w:top w:val="single" w:sz="4" w:space="0" w:color="auto"/>
              <w:left w:val="nil"/>
              <w:bottom w:val="single" w:sz="4" w:space="0" w:color="auto"/>
              <w:right w:val="nil"/>
            </w:tcBorders>
            <w:hideMark/>
          </w:tcPr>
          <w:p w14:paraId="468CA00D" w14:textId="2D2FA28C" w:rsidR="00A115F7" w:rsidRPr="00B1499A" w:rsidRDefault="00A115F7" w:rsidP="00E2749F">
            <w:pPr>
              <w:pStyle w:val="TableText"/>
              <w:spacing w:before="50" w:after="50"/>
            </w:pPr>
            <w:r w:rsidRPr="00B1499A">
              <w:t>≤</w:t>
            </w:r>
            <w:r w:rsidR="00413E5F">
              <w:t> </w:t>
            </w:r>
            <w:r w:rsidRPr="00B1499A">
              <w:t>3.2 (3), 3.3</w:t>
            </w:r>
            <w:r w:rsidR="00413E5F">
              <w:t> </w:t>
            </w:r>
            <w:r w:rsidRPr="00B1499A">
              <w:t>9 (1), ≥</w:t>
            </w:r>
            <w:r w:rsidR="00413E5F">
              <w:t> </w:t>
            </w:r>
            <w:r w:rsidRPr="00B1499A">
              <w:t>10 (0/FAIL)</w:t>
            </w:r>
            <w:r>
              <w:rPr>
                <w:color w:val="000000"/>
                <w:vertAlign w:val="superscript"/>
              </w:rPr>
              <w:t>b</w:t>
            </w:r>
          </w:p>
        </w:tc>
      </w:tr>
      <w:tr w:rsidR="007705B4" w:rsidRPr="00A22B40" w14:paraId="423664FD" w14:textId="77777777" w:rsidTr="00CA02BC">
        <w:trPr>
          <w:trHeight w:val="780"/>
        </w:trPr>
        <w:tc>
          <w:tcPr>
            <w:tcW w:w="680" w:type="dxa"/>
            <w:tcBorders>
              <w:top w:val="single" w:sz="4" w:space="0" w:color="auto"/>
              <w:left w:val="nil"/>
              <w:bottom w:val="single" w:sz="4" w:space="0" w:color="auto"/>
              <w:right w:val="nil"/>
            </w:tcBorders>
            <w:hideMark/>
          </w:tcPr>
          <w:p w14:paraId="3A3CCC00" w14:textId="77777777" w:rsidR="00A115F7" w:rsidRPr="00B1499A" w:rsidRDefault="00A115F7" w:rsidP="00E2749F">
            <w:pPr>
              <w:pStyle w:val="TableText"/>
              <w:spacing w:before="50" w:after="50"/>
            </w:pPr>
            <w:r w:rsidRPr="00B1499A">
              <w:t>7</w:t>
            </w:r>
          </w:p>
        </w:tc>
        <w:tc>
          <w:tcPr>
            <w:tcW w:w="6833" w:type="dxa"/>
            <w:tcBorders>
              <w:top w:val="single" w:sz="4" w:space="0" w:color="auto"/>
              <w:left w:val="nil"/>
              <w:bottom w:val="single" w:sz="4" w:space="0" w:color="auto"/>
              <w:right w:val="nil"/>
            </w:tcBorders>
            <w:hideMark/>
          </w:tcPr>
          <w:p w14:paraId="496AEB59" w14:textId="06997362" w:rsidR="00A115F7" w:rsidRPr="00B1499A" w:rsidRDefault="00A115F7" w:rsidP="00E2749F">
            <w:pPr>
              <w:pStyle w:val="TableText"/>
              <w:spacing w:before="50" w:after="50"/>
            </w:pPr>
            <w:r w:rsidRPr="00B1499A">
              <w:t xml:space="preserve">Was each control and chemical concentration at least duplicated? Note: for concentration-response modelling, it is also </w:t>
            </w:r>
            <w:r w:rsidRPr="00A22B40">
              <w:t>acceptable</w:t>
            </w:r>
            <w:r w:rsidRPr="00B1499A">
              <w:t xml:space="preserve"> to have many concentrations (e.g</w:t>
            </w:r>
            <w:r>
              <w:t>.</w:t>
            </w:r>
            <w:r w:rsidRPr="00B1499A">
              <w:t xml:space="preserve"> &gt;</w:t>
            </w:r>
            <w:r w:rsidR="00413E5F">
              <w:t> </w:t>
            </w:r>
            <w:r w:rsidRPr="00B1499A">
              <w:t>15) without replication (assuming the controls are replicated).</w:t>
            </w:r>
          </w:p>
        </w:tc>
        <w:tc>
          <w:tcPr>
            <w:tcW w:w="1700" w:type="dxa"/>
            <w:tcBorders>
              <w:top w:val="single" w:sz="4" w:space="0" w:color="auto"/>
              <w:left w:val="nil"/>
              <w:bottom w:val="single" w:sz="4" w:space="0" w:color="auto"/>
              <w:right w:val="nil"/>
            </w:tcBorders>
            <w:hideMark/>
          </w:tcPr>
          <w:p w14:paraId="25D39CE3" w14:textId="77777777" w:rsidR="00A115F7" w:rsidRPr="00B1499A" w:rsidRDefault="00A115F7" w:rsidP="00E2749F">
            <w:pPr>
              <w:pStyle w:val="TableText"/>
              <w:spacing w:before="50" w:after="50"/>
            </w:pPr>
            <w:r w:rsidRPr="00B1499A">
              <w:t>Yes (3), No (0/FAIL)</w:t>
            </w:r>
          </w:p>
        </w:tc>
      </w:tr>
      <w:tr w:rsidR="007705B4" w:rsidRPr="00B1499A" w14:paraId="7C5DA49D" w14:textId="77777777" w:rsidTr="00CA02BC">
        <w:trPr>
          <w:trHeight w:val="320"/>
        </w:trPr>
        <w:tc>
          <w:tcPr>
            <w:tcW w:w="680" w:type="dxa"/>
            <w:tcBorders>
              <w:top w:val="single" w:sz="4" w:space="0" w:color="auto"/>
              <w:left w:val="nil"/>
              <w:bottom w:val="single" w:sz="4" w:space="0" w:color="auto"/>
              <w:right w:val="nil"/>
            </w:tcBorders>
            <w:hideMark/>
          </w:tcPr>
          <w:p w14:paraId="3BCD246A" w14:textId="77777777" w:rsidR="00A115F7" w:rsidRPr="00B1499A" w:rsidRDefault="00A115F7" w:rsidP="00E2749F">
            <w:pPr>
              <w:pStyle w:val="TableText"/>
              <w:spacing w:before="50" w:after="50"/>
            </w:pPr>
            <w:r w:rsidRPr="00B1499A">
              <w:t>8</w:t>
            </w:r>
          </w:p>
        </w:tc>
        <w:tc>
          <w:tcPr>
            <w:tcW w:w="6833" w:type="dxa"/>
            <w:tcBorders>
              <w:top w:val="single" w:sz="4" w:space="0" w:color="auto"/>
              <w:left w:val="nil"/>
              <w:bottom w:val="single" w:sz="4" w:space="0" w:color="auto"/>
              <w:right w:val="nil"/>
            </w:tcBorders>
            <w:hideMark/>
          </w:tcPr>
          <w:p w14:paraId="47FABC91" w14:textId="177BAD47" w:rsidR="00A115F7" w:rsidRPr="00B1499A" w:rsidRDefault="00A115F7" w:rsidP="00E2749F">
            <w:pPr>
              <w:pStyle w:val="TableText"/>
              <w:spacing w:before="50" w:after="50"/>
              <w:rPr>
                <w:color w:val="000000"/>
              </w:rPr>
            </w:pPr>
            <w:r w:rsidRPr="57352DF8">
              <w:t>Were the characteristics of the test organism (</w:t>
            </w:r>
            <w:r w:rsidR="00645690">
              <w:t>e.g.</w:t>
            </w:r>
            <w:r w:rsidRPr="57352DF8">
              <w:t xml:space="preserve"> length, mass, age) stated?</w:t>
            </w:r>
          </w:p>
        </w:tc>
        <w:tc>
          <w:tcPr>
            <w:tcW w:w="1700" w:type="dxa"/>
            <w:tcBorders>
              <w:top w:val="single" w:sz="4" w:space="0" w:color="auto"/>
              <w:left w:val="nil"/>
              <w:bottom w:val="single" w:sz="4" w:space="0" w:color="auto"/>
              <w:right w:val="nil"/>
            </w:tcBorders>
            <w:hideMark/>
          </w:tcPr>
          <w:p w14:paraId="7920DA25" w14:textId="77777777" w:rsidR="00A115F7" w:rsidRPr="00B1499A" w:rsidRDefault="00A115F7" w:rsidP="00E2749F">
            <w:pPr>
              <w:pStyle w:val="TableText"/>
              <w:spacing w:before="50" w:after="50"/>
            </w:pPr>
            <w:r w:rsidRPr="00B1499A">
              <w:t>Yes (3), No (0)</w:t>
            </w:r>
          </w:p>
        </w:tc>
      </w:tr>
      <w:tr w:rsidR="007705B4" w:rsidRPr="00A22B40" w14:paraId="2B034241" w14:textId="77777777" w:rsidTr="00CA02BC">
        <w:trPr>
          <w:trHeight w:val="520"/>
        </w:trPr>
        <w:tc>
          <w:tcPr>
            <w:tcW w:w="680" w:type="dxa"/>
            <w:tcBorders>
              <w:top w:val="single" w:sz="4" w:space="0" w:color="auto"/>
              <w:left w:val="nil"/>
              <w:bottom w:val="single" w:sz="4" w:space="0" w:color="auto"/>
              <w:right w:val="nil"/>
            </w:tcBorders>
            <w:hideMark/>
          </w:tcPr>
          <w:p w14:paraId="2F811FE2" w14:textId="77777777" w:rsidR="00A115F7" w:rsidRPr="00B1499A" w:rsidRDefault="00A115F7" w:rsidP="00E2749F">
            <w:pPr>
              <w:pStyle w:val="TableText"/>
              <w:spacing w:before="50" w:after="50"/>
            </w:pPr>
            <w:r w:rsidRPr="00B1499A">
              <w:t>9</w:t>
            </w:r>
          </w:p>
        </w:tc>
        <w:tc>
          <w:tcPr>
            <w:tcW w:w="6833" w:type="dxa"/>
            <w:tcBorders>
              <w:top w:val="single" w:sz="4" w:space="0" w:color="auto"/>
              <w:left w:val="nil"/>
              <w:bottom w:val="single" w:sz="4" w:space="0" w:color="auto"/>
              <w:right w:val="nil"/>
            </w:tcBorders>
            <w:hideMark/>
          </w:tcPr>
          <w:p w14:paraId="07B0FCE4" w14:textId="7EB33D27" w:rsidR="00A115F7" w:rsidRPr="00B1499A" w:rsidRDefault="00A115F7" w:rsidP="00E2749F">
            <w:pPr>
              <w:pStyle w:val="TableText"/>
              <w:spacing w:before="50" w:after="50"/>
            </w:pPr>
            <w:r w:rsidRPr="57352DF8">
              <w:t xml:space="preserve">Was the type of test medium used stated (e.g. synthetic or natural water? </w:t>
            </w:r>
            <w:r w:rsidR="00645690">
              <w:t>I</w:t>
            </w:r>
            <w:r w:rsidRPr="57352DF8">
              <w:t>f synthetic, to what recipe? If natural, what source? Filtered or unfiltered?)</w:t>
            </w:r>
            <w:r w:rsidR="005C3FA6">
              <w:t>?</w:t>
            </w:r>
          </w:p>
        </w:tc>
        <w:tc>
          <w:tcPr>
            <w:tcW w:w="1700" w:type="dxa"/>
            <w:tcBorders>
              <w:top w:val="single" w:sz="4" w:space="0" w:color="auto"/>
              <w:left w:val="nil"/>
              <w:bottom w:val="single" w:sz="4" w:space="0" w:color="auto"/>
              <w:right w:val="nil"/>
            </w:tcBorders>
            <w:hideMark/>
          </w:tcPr>
          <w:p w14:paraId="2BE27DDD" w14:textId="77777777" w:rsidR="00A115F7" w:rsidRPr="00B1499A" w:rsidRDefault="00A115F7" w:rsidP="00E2749F">
            <w:pPr>
              <w:pStyle w:val="TableText"/>
              <w:spacing w:before="50" w:after="50"/>
            </w:pPr>
            <w:r w:rsidRPr="00B1499A">
              <w:t>Yes (3), No (0)</w:t>
            </w:r>
          </w:p>
        </w:tc>
      </w:tr>
      <w:tr w:rsidR="007705B4" w:rsidRPr="00B1499A" w14:paraId="234FDDCC" w14:textId="77777777" w:rsidTr="00CA02BC">
        <w:trPr>
          <w:trHeight w:val="320"/>
        </w:trPr>
        <w:tc>
          <w:tcPr>
            <w:tcW w:w="680" w:type="dxa"/>
            <w:tcBorders>
              <w:top w:val="single" w:sz="4" w:space="0" w:color="auto"/>
              <w:left w:val="nil"/>
              <w:bottom w:val="single" w:sz="4" w:space="0" w:color="auto"/>
              <w:right w:val="nil"/>
            </w:tcBorders>
            <w:hideMark/>
          </w:tcPr>
          <w:p w14:paraId="37118F94" w14:textId="77777777" w:rsidR="00A115F7" w:rsidRPr="00B1499A" w:rsidRDefault="00A115F7" w:rsidP="00E2749F">
            <w:pPr>
              <w:pStyle w:val="TableText"/>
              <w:spacing w:before="50" w:after="50"/>
            </w:pPr>
            <w:r w:rsidRPr="00B1499A">
              <w:t>10</w:t>
            </w:r>
          </w:p>
        </w:tc>
        <w:tc>
          <w:tcPr>
            <w:tcW w:w="6833" w:type="dxa"/>
            <w:tcBorders>
              <w:top w:val="single" w:sz="4" w:space="0" w:color="auto"/>
              <w:left w:val="nil"/>
              <w:bottom w:val="single" w:sz="4" w:space="0" w:color="auto"/>
              <w:right w:val="nil"/>
            </w:tcBorders>
            <w:hideMark/>
          </w:tcPr>
          <w:p w14:paraId="37BE040C" w14:textId="0EF2893F" w:rsidR="00A115F7" w:rsidRPr="00B1499A" w:rsidRDefault="00A115F7" w:rsidP="00E2749F">
            <w:pPr>
              <w:pStyle w:val="TableText"/>
              <w:spacing w:before="50" w:after="50"/>
              <w:rPr>
                <w:color w:val="000000"/>
              </w:rPr>
            </w:pPr>
            <w:r w:rsidRPr="57352DF8">
              <w:t>Was the type of exposure (</w:t>
            </w:r>
            <w:r w:rsidR="00645690">
              <w:t>e.g.</w:t>
            </w:r>
            <w:r w:rsidRPr="57352DF8">
              <w:t xml:space="preserve"> static, flow-through) stated?</w:t>
            </w:r>
          </w:p>
        </w:tc>
        <w:tc>
          <w:tcPr>
            <w:tcW w:w="1700" w:type="dxa"/>
            <w:tcBorders>
              <w:top w:val="single" w:sz="4" w:space="0" w:color="auto"/>
              <w:left w:val="nil"/>
              <w:bottom w:val="single" w:sz="4" w:space="0" w:color="auto"/>
              <w:right w:val="nil"/>
            </w:tcBorders>
            <w:hideMark/>
          </w:tcPr>
          <w:p w14:paraId="0FAE0DB0" w14:textId="77777777" w:rsidR="00A115F7" w:rsidRPr="00B1499A" w:rsidRDefault="00A115F7" w:rsidP="00E2749F">
            <w:pPr>
              <w:pStyle w:val="TableText"/>
              <w:spacing w:before="50" w:after="50"/>
            </w:pPr>
            <w:r w:rsidRPr="00B1499A">
              <w:t>Yes (3), No (0)</w:t>
            </w:r>
          </w:p>
        </w:tc>
      </w:tr>
      <w:tr w:rsidR="007705B4" w:rsidRPr="00B1499A" w14:paraId="4EF5B8B6" w14:textId="77777777" w:rsidTr="00CA02BC">
        <w:trPr>
          <w:trHeight w:val="320"/>
        </w:trPr>
        <w:tc>
          <w:tcPr>
            <w:tcW w:w="680" w:type="dxa"/>
            <w:tcBorders>
              <w:top w:val="single" w:sz="4" w:space="0" w:color="auto"/>
              <w:left w:val="nil"/>
              <w:bottom w:val="single" w:sz="4" w:space="0" w:color="auto"/>
              <w:right w:val="nil"/>
            </w:tcBorders>
            <w:hideMark/>
          </w:tcPr>
          <w:p w14:paraId="49FCB22D" w14:textId="77777777" w:rsidR="00C130FA" w:rsidRPr="00DF2AF9" w:rsidRDefault="00C130FA" w:rsidP="00E2749F">
            <w:pPr>
              <w:pStyle w:val="TableText"/>
              <w:spacing w:before="50" w:after="50"/>
            </w:pPr>
          </w:p>
        </w:tc>
        <w:tc>
          <w:tcPr>
            <w:tcW w:w="6833" w:type="dxa"/>
            <w:tcBorders>
              <w:top w:val="single" w:sz="4" w:space="0" w:color="auto"/>
              <w:left w:val="nil"/>
              <w:bottom w:val="single" w:sz="4" w:space="0" w:color="auto"/>
              <w:right w:val="nil"/>
            </w:tcBorders>
            <w:noWrap/>
            <w:vAlign w:val="bottom"/>
            <w:hideMark/>
          </w:tcPr>
          <w:p w14:paraId="0ECC5A54" w14:textId="394D44CB" w:rsidR="00C130FA" w:rsidRPr="00DF2AF9" w:rsidRDefault="00C130FA" w:rsidP="00E2749F">
            <w:pPr>
              <w:pStyle w:val="TableText"/>
              <w:spacing w:before="50" w:after="50"/>
            </w:pPr>
            <w:r w:rsidRPr="00DF2AF9">
              <w:t>M</w:t>
            </w:r>
            <w:r>
              <w:t>aximum sub-total for Part A = 30</w:t>
            </w:r>
          </w:p>
        </w:tc>
        <w:tc>
          <w:tcPr>
            <w:tcW w:w="1700" w:type="dxa"/>
            <w:tcBorders>
              <w:top w:val="single" w:sz="4" w:space="0" w:color="auto"/>
              <w:left w:val="nil"/>
              <w:bottom w:val="single" w:sz="4" w:space="0" w:color="auto"/>
              <w:right w:val="nil"/>
            </w:tcBorders>
            <w:vAlign w:val="bottom"/>
          </w:tcPr>
          <w:p w14:paraId="7E4C44BB" w14:textId="3E81A60F" w:rsidR="00C130FA" w:rsidRPr="00DF2AF9" w:rsidRDefault="00C130FA" w:rsidP="00E2749F">
            <w:pPr>
              <w:pStyle w:val="TableText"/>
              <w:spacing w:before="50" w:after="50"/>
            </w:pPr>
          </w:p>
        </w:tc>
      </w:tr>
      <w:tr w:rsidR="00627C6F" w:rsidRPr="00997AE6" w14:paraId="2A94426F" w14:textId="77777777" w:rsidTr="00CA02BC">
        <w:trPr>
          <w:trHeight w:val="320"/>
        </w:trPr>
        <w:tc>
          <w:tcPr>
            <w:tcW w:w="7513" w:type="dxa"/>
            <w:gridSpan w:val="2"/>
            <w:tcBorders>
              <w:top w:val="single" w:sz="12" w:space="0" w:color="auto"/>
              <w:left w:val="nil"/>
              <w:bottom w:val="single" w:sz="12" w:space="0" w:color="auto"/>
              <w:right w:val="nil"/>
            </w:tcBorders>
            <w:noWrap/>
          </w:tcPr>
          <w:p w14:paraId="43BC04D8" w14:textId="67AA1CC6" w:rsidR="00627C6F" w:rsidRPr="009D6B76" w:rsidRDefault="00627C6F" w:rsidP="00771E65">
            <w:pPr>
              <w:pStyle w:val="TableText"/>
              <w:keepNext/>
              <w:spacing w:before="50" w:after="50"/>
              <w:rPr>
                <w:b/>
                <w:bCs/>
              </w:rPr>
            </w:pPr>
            <w:r w:rsidRPr="009D6B76">
              <w:rPr>
                <w:b/>
                <w:bCs/>
              </w:rPr>
              <w:t>B. Test performance/results</w:t>
            </w:r>
          </w:p>
        </w:tc>
        <w:tc>
          <w:tcPr>
            <w:tcW w:w="1700" w:type="dxa"/>
            <w:tcBorders>
              <w:top w:val="single" w:sz="12" w:space="0" w:color="auto"/>
              <w:left w:val="nil"/>
              <w:bottom w:val="single" w:sz="12" w:space="0" w:color="auto"/>
              <w:right w:val="nil"/>
            </w:tcBorders>
            <w:vAlign w:val="center"/>
            <w:hideMark/>
          </w:tcPr>
          <w:p w14:paraId="1F12AD6F" w14:textId="3D6B6332" w:rsidR="00627C6F" w:rsidRPr="009D6B76" w:rsidRDefault="00627C6F" w:rsidP="00E2749F">
            <w:pPr>
              <w:pStyle w:val="TableText"/>
              <w:spacing w:before="50" w:after="50"/>
              <w:rPr>
                <w:b/>
                <w:bCs/>
              </w:rPr>
            </w:pPr>
          </w:p>
        </w:tc>
      </w:tr>
      <w:tr w:rsidR="007705B4" w:rsidRPr="00997AE6" w14:paraId="42DF69BD" w14:textId="77777777" w:rsidTr="00CA02BC">
        <w:trPr>
          <w:trHeight w:val="520"/>
        </w:trPr>
        <w:tc>
          <w:tcPr>
            <w:tcW w:w="680" w:type="dxa"/>
            <w:tcBorders>
              <w:top w:val="single" w:sz="12" w:space="0" w:color="auto"/>
              <w:left w:val="nil"/>
              <w:bottom w:val="single" w:sz="4" w:space="0" w:color="auto"/>
              <w:right w:val="nil"/>
            </w:tcBorders>
            <w:hideMark/>
          </w:tcPr>
          <w:p w14:paraId="14C55E44" w14:textId="77777777" w:rsidR="007705B4" w:rsidRPr="00997AE6" w:rsidRDefault="007705B4" w:rsidP="00E2749F">
            <w:pPr>
              <w:pStyle w:val="TableText"/>
              <w:spacing w:before="50" w:after="50"/>
            </w:pPr>
            <w:r w:rsidRPr="00997AE6">
              <w:t>11</w:t>
            </w:r>
          </w:p>
        </w:tc>
        <w:tc>
          <w:tcPr>
            <w:tcW w:w="6833" w:type="dxa"/>
            <w:tcBorders>
              <w:top w:val="single" w:sz="12" w:space="0" w:color="auto"/>
              <w:left w:val="nil"/>
              <w:bottom w:val="single" w:sz="4" w:space="0" w:color="auto"/>
              <w:right w:val="nil"/>
            </w:tcBorders>
            <w:hideMark/>
          </w:tcPr>
          <w:p w14:paraId="72BE042F" w14:textId="5BC93EE4" w:rsidR="007705B4" w:rsidRPr="00997AE6" w:rsidRDefault="007705B4" w:rsidP="00E2749F">
            <w:pPr>
              <w:pStyle w:val="TableText"/>
              <w:spacing w:before="50" w:after="50"/>
            </w:pPr>
            <w:r w:rsidRPr="57352DF8">
              <w:t>Were analytical reagent</w:t>
            </w:r>
            <w:r>
              <w:t>-</w:t>
            </w:r>
            <w:r w:rsidRPr="57352DF8">
              <w:t>grade chemicals or the highest possible purity chemicals used for the experiment?</w:t>
            </w:r>
          </w:p>
        </w:tc>
        <w:tc>
          <w:tcPr>
            <w:tcW w:w="1700" w:type="dxa"/>
            <w:tcBorders>
              <w:top w:val="single" w:sz="12" w:space="0" w:color="auto"/>
              <w:left w:val="nil"/>
              <w:bottom w:val="single" w:sz="4" w:space="0" w:color="auto"/>
              <w:right w:val="nil"/>
            </w:tcBorders>
            <w:hideMark/>
          </w:tcPr>
          <w:p w14:paraId="7EB362BA" w14:textId="527EA6D7" w:rsidR="007705B4" w:rsidRPr="00997AE6" w:rsidRDefault="007705B4" w:rsidP="00E2749F">
            <w:pPr>
              <w:pStyle w:val="TableText"/>
              <w:spacing w:before="50" w:after="50"/>
            </w:pPr>
            <w:r w:rsidRPr="57352DF8">
              <w:t>Yes (3), No/</w:t>
            </w:r>
            <w:r>
              <w:t>n</w:t>
            </w:r>
            <w:r w:rsidRPr="57352DF8">
              <w:t>ot stated (0)</w:t>
            </w:r>
          </w:p>
        </w:tc>
      </w:tr>
      <w:tr w:rsidR="007705B4" w:rsidRPr="00997AE6" w14:paraId="475DAA95" w14:textId="77777777" w:rsidTr="00CA02BC">
        <w:trPr>
          <w:trHeight w:val="780"/>
        </w:trPr>
        <w:tc>
          <w:tcPr>
            <w:tcW w:w="680" w:type="dxa"/>
            <w:tcBorders>
              <w:top w:val="single" w:sz="4" w:space="0" w:color="auto"/>
              <w:left w:val="nil"/>
              <w:bottom w:val="single" w:sz="4" w:space="0" w:color="auto"/>
              <w:right w:val="nil"/>
            </w:tcBorders>
            <w:hideMark/>
          </w:tcPr>
          <w:p w14:paraId="0FE84E5B" w14:textId="77777777" w:rsidR="007705B4" w:rsidRPr="00997AE6" w:rsidRDefault="007705B4" w:rsidP="00E2749F">
            <w:pPr>
              <w:pStyle w:val="TableText"/>
              <w:spacing w:before="50" w:after="50"/>
            </w:pPr>
            <w:r w:rsidRPr="00997AE6">
              <w:t>12 (A)</w:t>
            </w:r>
          </w:p>
        </w:tc>
        <w:tc>
          <w:tcPr>
            <w:tcW w:w="6833" w:type="dxa"/>
            <w:tcBorders>
              <w:top w:val="single" w:sz="4" w:space="0" w:color="auto"/>
              <w:left w:val="nil"/>
              <w:bottom w:val="single" w:sz="4" w:space="0" w:color="auto"/>
              <w:right w:val="nil"/>
            </w:tcBorders>
            <w:hideMark/>
          </w:tcPr>
          <w:p w14:paraId="5E12B29A" w14:textId="4B903306" w:rsidR="007705B4" w:rsidRPr="00997AE6" w:rsidRDefault="007705B4" w:rsidP="00E2749F">
            <w:pPr>
              <w:pStyle w:val="TableText"/>
              <w:spacing w:before="50" w:after="50"/>
            </w:pPr>
            <w:r w:rsidRPr="57352DF8">
              <w:t>Were test solutions, blanks and/or controls tested for common contamination (e.g. elevated naturally</w:t>
            </w:r>
            <w:r>
              <w:t xml:space="preserve"> </w:t>
            </w:r>
            <w:r w:rsidRPr="57352DF8">
              <w:t>occurring substances</w:t>
            </w:r>
            <w:r>
              <w:t>,</w:t>
            </w:r>
            <w:r w:rsidRPr="57352DF8">
              <w:t xml:space="preserve"> such as nutrients, metals, metalloids) or other suspect contaminants?</w:t>
            </w:r>
          </w:p>
        </w:tc>
        <w:tc>
          <w:tcPr>
            <w:tcW w:w="1700" w:type="dxa"/>
            <w:tcBorders>
              <w:top w:val="single" w:sz="4" w:space="0" w:color="auto"/>
              <w:left w:val="nil"/>
              <w:bottom w:val="single" w:sz="4" w:space="0" w:color="auto"/>
              <w:right w:val="nil"/>
            </w:tcBorders>
            <w:hideMark/>
          </w:tcPr>
          <w:p w14:paraId="0E5AAAF8" w14:textId="7602552D" w:rsidR="007705B4" w:rsidRPr="00997AE6" w:rsidRDefault="007705B4" w:rsidP="00E2749F">
            <w:pPr>
              <w:pStyle w:val="TableText"/>
              <w:spacing w:before="50" w:after="50"/>
            </w:pPr>
            <w:r w:rsidRPr="57352DF8">
              <w:t>Yes (2), No/</w:t>
            </w:r>
            <w:r>
              <w:t>n</w:t>
            </w:r>
            <w:r w:rsidRPr="57352DF8">
              <w:t>ot stated (0)</w:t>
            </w:r>
          </w:p>
        </w:tc>
      </w:tr>
      <w:tr w:rsidR="007705B4" w:rsidRPr="00997AE6" w14:paraId="4892FE23" w14:textId="77777777" w:rsidTr="00CA02BC">
        <w:trPr>
          <w:trHeight w:val="320"/>
        </w:trPr>
        <w:tc>
          <w:tcPr>
            <w:tcW w:w="680" w:type="dxa"/>
            <w:tcBorders>
              <w:top w:val="single" w:sz="4" w:space="0" w:color="auto"/>
              <w:left w:val="nil"/>
              <w:bottom w:val="single" w:sz="4" w:space="0" w:color="auto"/>
              <w:right w:val="nil"/>
            </w:tcBorders>
            <w:hideMark/>
          </w:tcPr>
          <w:p w14:paraId="6F6602B3" w14:textId="77777777" w:rsidR="007705B4" w:rsidRPr="00997AE6" w:rsidRDefault="007705B4" w:rsidP="00E2749F">
            <w:pPr>
              <w:pStyle w:val="TableText"/>
              <w:spacing w:before="50" w:after="50"/>
            </w:pPr>
            <w:r w:rsidRPr="00997AE6">
              <w:t>12 (B)</w:t>
            </w:r>
          </w:p>
        </w:tc>
        <w:tc>
          <w:tcPr>
            <w:tcW w:w="6833" w:type="dxa"/>
            <w:tcBorders>
              <w:top w:val="single" w:sz="4" w:space="0" w:color="auto"/>
              <w:left w:val="nil"/>
              <w:bottom w:val="single" w:sz="4" w:space="0" w:color="auto"/>
              <w:right w:val="nil"/>
            </w:tcBorders>
            <w:noWrap/>
            <w:hideMark/>
          </w:tcPr>
          <w:p w14:paraId="37826E6F" w14:textId="77777777" w:rsidR="007705B4" w:rsidRPr="00997AE6" w:rsidRDefault="007705B4" w:rsidP="00E2749F">
            <w:pPr>
              <w:pStyle w:val="TableText"/>
              <w:spacing w:before="50" w:after="50"/>
            </w:pPr>
            <w:r w:rsidRPr="57352DF8">
              <w:t>If so, were any significant contamination issues identified?</w:t>
            </w:r>
          </w:p>
        </w:tc>
        <w:tc>
          <w:tcPr>
            <w:tcW w:w="1700" w:type="dxa"/>
            <w:tcBorders>
              <w:top w:val="single" w:sz="4" w:space="0" w:color="auto"/>
              <w:left w:val="nil"/>
              <w:bottom w:val="single" w:sz="4" w:space="0" w:color="auto"/>
              <w:right w:val="nil"/>
            </w:tcBorders>
            <w:hideMark/>
          </w:tcPr>
          <w:p w14:paraId="21D37743" w14:textId="77777777" w:rsidR="007705B4" w:rsidRPr="00997AE6" w:rsidRDefault="007705B4" w:rsidP="00E2749F">
            <w:pPr>
              <w:pStyle w:val="TableText"/>
              <w:spacing w:before="50" w:after="50"/>
            </w:pPr>
            <w:r w:rsidRPr="00997AE6">
              <w:t>No (2), Yes (0/FAIL)</w:t>
            </w:r>
          </w:p>
        </w:tc>
      </w:tr>
      <w:tr w:rsidR="007705B4" w:rsidRPr="00997AE6" w14:paraId="73A94386" w14:textId="77777777" w:rsidTr="00CA02BC">
        <w:trPr>
          <w:trHeight w:val="1040"/>
        </w:trPr>
        <w:tc>
          <w:tcPr>
            <w:tcW w:w="680" w:type="dxa"/>
            <w:tcBorders>
              <w:top w:val="single" w:sz="4" w:space="0" w:color="auto"/>
              <w:left w:val="nil"/>
              <w:bottom w:val="single" w:sz="4" w:space="0" w:color="auto"/>
              <w:right w:val="nil"/>
            </w:tcBorders>
            <w:hideMark/>
          </w:tcPr>
          <w:p w14:paraId="4A2C526A" w14:textId="77777777" w:rsidR="007705B4" w:rsidRPr="00A352C1" w:rsidRDefault="007705B4" w:rsidP="00E2749F">
            <w:pPr>
              <w:pStyle w:val="TableText"/>
              <w:spacing w:before="50" w:after="50"/>
            </w:pPr>
            <w:r w:rsidRPr="00A352C1">
              <w:t>13</w:t>
            </w:r>
          </w:p>
        </w:tc>
        <w:tc>
          <w:tcPr>
            <w:tcW w:w="6833" w:type="dxa"/>
            <w:tcBorders>
              <w:top w:val="single" w:sz="4" w:space="0" w:color="auto"/>
              <w:left w:val="nil"/>
              <w:bottom w:val="single" w:sz="4" w:space="0" w:color="auto"/>
              <w:right w:val="nil"/>
            </w:tcBorders>
            <w:hideMark/>
          </w:tcPr>
          <w:p w14:paraId="21629436" w14:textId="10E8B76A" w:rsidR="007705B4" w:rsidRPr="00A352C1" w:rsidRDefault="007705B4" w:rsidP="00E2749F">
            <w:pPr>
              <w:pStyle w:val="TableText"/>
              <w:spacing w:before="50" w:after="50"/>
            </w:pPr>
            <w:r w:rsidRPr="00A352C1">
              <w:t xml:space="preserve">Were the contaminant concentrations measured at the beginning and end of the exposure? Note: </w:t>
            </w:r>
            <w:r>
              <w:t>n</w:t>
            </w:r>
            <w:r w:rsidRPr="00A352C1">
              <w:t>ormally, toxicity data calculated using nominal</w:t>
            </w:r>
            <w:r>
              <w:t>-</w:t>
            </w:r>
            <w:r w:rsidRPr="00A352C1">
              <w:t xml:space="preserve">concentration data would not be used to derive </w:t>
            </w:r>
            <w:r>
              <w:t>guideline value</w:t>
            </w:r>
            <w:r w:rsidRPr="00A352C1">
              <w:t>s; however, professional judgement can be used to include such data</w:t>
            </w:r>
            <w:r>
              <w:t>,</w:t>
            </w:r>
            <w:r w:rsidRPr="00A352C1">
              <w:t xml:space="preserve"> provided a justification for their use is provided.</w:t>
            </w:r>
          </w:p>
        </w:tc>
        <w:tc>
          <w:tcPr>
            <w:tcW w:w="1700" w:type="dxa"/>
            <w:tcBorders>
              <w:top w:val="single" w:sz="4" w:space="0" w:color="auto"/>
              <w:left w:val="nil"/>
              <w:bottom w:val="single" w:sz="4" w:space="0" w:color="auto"/>
              <w:right w:val="nil"/>
            </w:tcBorders>
            <w:hideMark/>
          </w:tcPr>
          <w:p w14:paraId="5DDC9E14" w14:textId="4AD11627" w:rsidR="007705B4" w:rsidRPr="00A352C1" w:rsidRDefault="007705B4" w:rsidP="00E2749F">
            <w:pPr>
              <w:pStyle w:val="TableText"/>
              <w:spacing w:before="50" w:after="50"/>
            </w:pPr>
            <w:r w:rsidRPr="00A352C1">
              <w:t>Yes (8), Measured once (4), Not measured or stated (0/FAIL)</w:t>
            </w:r>
            <w:r w:rsidRPr="0049542A">
              <w:rPr>
                <w:vertAlign w:val="superscript"/>
              </w:rPr>
              <w:t>b</w:t>
            </w:r>
          </w:p>
        </w:tc>
      </w:tr>
      <w:tr w:rsidR="007705B4" w:rsidRPr="00997AE6" w14:paraId="141CBD68" w14:textId="77777777" w:rsidTr="00CA02BC">
        <w:trPr>
          <w:trHeight w:val="454"/>
        </w:trPr>
        <w:tc>
          <w:tcPr>
            <w:tcW w:w="680" w:type="dxa"/>
            <w:tcBorders>
              <w:top w:val="single" w:sz="4" w:space="0" w:color="auto"/>
              <w:left w:val="nil"/>
              <w:bottom w:val="single" w:sz="4" w:space="0" w:color="auto"/>
              <w:right w:val="nil"/>
            </w:tcBorders>
            <w:hideMark/>
          </w:tcPr>
          <w:p w14:paraId="3F9058DA" w14:textId="77777777" w:rsidR="007705B4" w:rsidRPr="00A352C1" w:rsidRDefault="007705B4" w:rsidP="00E2749F">
            <w:pPr>
              <w:pStyle w:val="TableText"/>
              <w:spacing w:before="50" w:after="50"/>
            </w:pPr>
            <w:r w:rsidRPr="00A352C1">
              <w:t>14 (A)</w:t>
            </w:r>
          </w:p>
        </w:tc>
        <w:tc>
          <w:tcPr>
            <w:tcW w:w="6833" w:type="dxa"/>
            <w:tcBorders>
              <w:top w:val="single" w:sz="4" w:space="0" w:color="auto"/>
              <w:left w:val="nil"/>
              <w:bottom w:val="single" w:sz="4" w:space="0" w:color="auto"/>
              <w:right w:val="nil"/>
            </w:tcBorders>
            <w:hideMark/>
          </w:tcPr>
          <w:p w14:paraId="1FAD6FB3" w14:textId="168DF1C6" w:rsidR="007705B4" w:rsidRPr="00A352C1" w:rsidRDefault="007705B4" w:rsidP="00E2749F">
            <w:pPr>
              <w:pStyle w:val="TableText"/>
              <w:spacing w:before="50" w:after="50"/>
            </w:pPr>
            <w:r w:rsidRPr="00A352C1">
              <w:t>Were test</w:t>
            </w:r>
            <w:r>
              <w:t>-</w:t>
            </w:r>
            <w:r w:rsidRPr="00A352C1">
              <w:t>acceptability criteria stated (</w:t>
            </w:r>
            <w:r>
              <w:t>e.g.</w:t>
            </w:r>
            <w:r w:rsidRPr="00A352C1">
              <w:t xml:space="preserve"> mortality in controls must not exceed a certain percentage) or inferred (</w:t>
            </w:r>
            <w:r>
              <w:t>e.g.</w:t>
            </w:r>
            <w:r w:rsidRPr="00A352C1">
              <w:t xml:space="preserve"> test methods used were U</w:t>
            </w:r>
            <w:r w:rsidR="00702FF1">
              <w:t>nited States Environmental Protection Agency</w:t>
            </w:r>
            <w:r w:rsidRPr="00A352C1">
              <w:t xml:space="preserve"> or </w:t>
            </w:r>
            <w:r w:rsidR="00702FF1" w:rsidRPr="00702FF1">
              <w:t>Organisation for Economic Co-operation and Development</w:t>
            </w:r>
            <w:r w:rsidRPr="00A352C1">
              <w:t>)</w:t>
            </w:r>
            <w:r>
              <w:t>?</w:t>
            </w:r>
          </w:p>
        </w:tc>
        <w:tc>
          <w:tcPr>
            <w:tcW w:w="1700" w:type="dxa"/>
            <w:tcBorders>
              <w:top w:val="single" w:sz="4" w:space="0" w:color="auto"/>
              <w:left w:val="nil"/>
              <w:bottom w:val="single" w:sz="4" w:space="0" w:color="auto"/>
              <w:right w:val="nil"/>
            </w:tcBorders>
            <w:hideMark/>
          </w:tcPr>
          <w:p w14:paraId="5BA2EAF6" w14:textId="77777777" w:rsidR="007705B4" w:rsidRPr="00A352C1" w:rsidRDefault="007705B4" w:rsidP="00E2749F">
            <w:pPr>
              <w:pStyle w:val="TableText"/>
              <w:spacing w:before="50" w:after="50"/>
            </w:pPr>
            <w:r w:rsidRPr="00A352C1">
              <w:t>Stated (2), Inferred (1), Neither (0)</w:t>
            </w:r>
          </w:p>
        </w:tc>
      </w:tr>
      <w:tr w:rsidR="007705B4" w:rsidRPr="00997AE6" w14:paraId="469AF2A2" w14:textId="77777777" w:rsidTr="00CA02BC">
        <w:trPr>
          <w:trHeight w:val="520"/>
        </w:trPr>
        <w:tc>
          <w:tcPr>
            <w:tcW w:w="680" w:type="dxa"/>
            <w:tcBorders>
              <w:top w:val="single" w:sz="4" w:space="0" w:color="auto"/>
              <w:left w:val="nil"/>
              <w:bottom w:val="single" w:sz="4" w:space="0" w:color="auto"/>
              <w:right w:val="nil"/>
            </w:tcBorders>
            <w:hideMark/>
          </w:tcPr>
          <w:p w14:paraId="2D9AF0AF" w14:textId="77777777" w:rsidR="007705B4" w:rsidRPr="00A352C1" w:rsidRDefault="007705B4" w:rsidP="00E2749F">
            <w:pPr>
              <w:pStyle w:val="TableText"/>
              <w:spacing w:before="50" w:after="50"/>
            </w:pPr>
            <w:r w:rsidRPr="00A352C1">
              <w:t>14 (B)</w:t>
            </w:r>
          </w:p>
        </w:tc>
        <w:tc>
          <w:tcPr>
            <w:tcW w:w="6833" w:type="dxa"/>
            <w:tcBorders>
              <w:top w:val="single" w:sz="4" w:space="0" w:color="auto"/>
              <w:left w:val="nil"/>
              <w:bottom w:val="single" w:sz="4" w:space="0" w:color="auto"/>
              <w:right w:val="nil"/>
            </w:tcBorders>
            <w:hideMark/>
          </w:tcPr>
          <w:p w14:paraId="2C10425E" w14:textId="49F9739F" w:rsidR="007705B4" w:rsidRPr="00A352C1" w:rsidRDefault="007705B4" w:rsidP="00E2749F">
            <w:pPr>
              <w:pStyle w:val="TableText"/>
              <w:spacing w:before="50" w:after="50"/>
            </w:pPr>
            <w:r w:rsidRPr="00A352C1">
              <w:t>If so, were test</w:t>
            </w:r>
            <w:r w:rsidR="00F609C4">
              <w:t>-</w:t>
            </w:r>
            <w:r w:rsidRPr="00A352C1">
              <w:t xml:space="preserve">acceptability criteria met? Note: </w:t>
            </w:r>
            <w:r>
              <w:t>d</w:t>
            </w:r>
            <w:r w:rsidRPr="00A352C1">
              <w:t>ata that fail the acceptability criteria are automatically deemed to be of unacceptable quality and must not be used.</w:t>
            </w:r>
          </w:p>
        </w:tc>
        <w:tc>
          <w:tcPr>
            <w:tcW w:w="1700" w:type="dxa"/>
            <w:tcBorders>
              <w:top w:val="single" w:sz="4" w:space="0" w:color="auto"/>
              <w:left w:val="nil"/>
              <w:bottom w:val="single" w:sz="4" w:space="0" w:color="auto"/>
              <w:right w:val="nil"/>
            </w:tcBorders>
            <w:hideMark/>
          </w:tcPr>
          <w:p w14:paraId="06CECCFE" w14:textId="77777777" w:rsidR="007705B4" w:rsidRPr="00A352C1" w:rsidRDefault="007705B4" w:rsidP="00E2749F">
            <w:pPr>
              <w:pStyle w:val="TableText"/>
              <w:spacing w:before="50" w:after="50"/>
            </w:pPr>
            <w:r w:rsidRPr="00A352C1">
              <w:t>Yes (6), Not reported (2), No (0/FAIL)</w:t>
            </w:r>
          </w:p>
        </w:tc>
      </w:tr>
      <w:tr w:rsidR="007705B4" w:rsidRPr="00997AE6" w14:paraId="731F3B6F" w14:textId="77777777" w:rsidTr="00CA02BC">
        <w:trPr>
          <w:trHeight w:val="320"/>
        </w:trPr>
        <w:tc>
          <w:tcPr>
            <w:tcW w:w="680" w:type="dxa"/>
            <w:tcBorders>
              <w:top w:val="single" w:sz="4" w:space="0" w:color="auto"/>
              <w:left w:val="nil"/>
              <w:bottom w:val="single" w:sz="4" w:space="0" w:color="auto"/>
              <w:right w:val="nil"/>
            </w:tcBorders>
            <w:hideMark/>
          </w:tcPr>
          <w:p w14:paraId="415AF9D5" w14:textId="77777777" w:rsidR="007705B4" w:rsidRPr="00A352C1" w:rsidRDefault="007705B4" w:rsidP="00E2749F">
            <w:pPr>
              <w:pStyle w:val="TableText"/>
              <w:spacing w:before="50" w:after="50"/>
            </w:pPr>
            <w:r w:rsidRPr="00A352C1">
              <w:t>15 (A)</w:t>
            </w:r>
          </w:p>
        </w:tc>
        <w:tc>
          <w:tcPr>
            <w:tcW w:w="6833" w:type="dxa"/>
            <w:tcBorders>
              <w:top w:val="single" w:sz="4" w:space="0" w:color="auto"/>
              <w:left w:val="nil"/>
              <w:bottom w:val="single" w:sz="4" w:space="0" w:color="auto"/>
              <w:right w:val="nil"/>
            </w:tcBorders>
            <w:hideMark/>
          </w:tcPr>
          <w:p w14:paraId="5A2F3712" w14:textId="01D566AB" w:rsidR="007705B4" w:rsidRPr="00A352C1" w:rsidRDefault="007705B4" w:rsidP="00E2749F">
            <w:pPr>
              <w:pStyle w:val="TableText"/>
              <w:spacing w:before="50" w:after="50"/>
            </w:pPr>
            <w:r w:rsidRPr="00A352C1">
              <w:t>Were parallel reference</w:t>
            </w:r>
            <w:r>
              <w:t>-</w:t>
            </w:r>
            <w:r w:rsidRPr="00A352C1">
              <w:t>toxicant toxicity tests conducted?</w:t>
            </w:r>
          </w:p>
        </w:tc>
        <w:tc>
          <w:tcPr>
            <w:tcW w:w="1700" w:type="dxa"/>
            <w:tcBorders>
              <w:top w:val="single" w:sz="4" w:space="0" w:color="auto"/>
              <w:left w:val="nil"/>
              <w:bottom w:val="single" w:sz="4" w:space="0" w:color="auto"/>
              <w:right w:val="nil"/>
            </w:tcBorders>
            <w:hideMark/>
          </w:tcPr>
          <w:p w14:paraId="60608D72" w14:textId="77777777" w:rsidR="007705B4" w:rsidRPr="00A352C1" w:rsidRDefault="007705B4" w:rsidP="00E2749F">
            <w:pPr>
              <w:pStyle w:val="TableText"/>
              <w:spacing w:before="50" w:after="50"/>
            </w:pPr>
            <w:r w:rsidRPr="00A352C1">
              <w:t>Yes (2), No (0)</w:t>
            </w:r>
          </w:p>
        </w:tc>
      </w:tr>
      <w:tr w:rsidR="007705B4" w:rsidRPr="00997AE6" w14:paraId="076DB13B" w14:textId="77777777" w:rsidTr="00CA02BC">
        <w:trPr>
          <w:trHeight w:val="520"/>
        </w:trPr>
        <w:tc>
          <w:tcPr>
            <w:tcW w:w="680" w:type="dxa"/>
            <w:tcBorders>
              <w:top w:val="single" w:sz="4" w:space="0" w:color="auto"/>
              <w:left w:val="nil"/>
              <w:bottom w:val="single" w:sz="4" w:space="0" w:color="auto"/>
              <w:right w:val="nil"/>
            </w:tcBorders>
            <w:hideMark/>
          </w:tcPr>
          <w:p w14:paraId="1037F62E" w14:textId="77777777" w:rsidR="007705B4" w:rsidRPr="00A352C1" w:rsidRDefault="007705B4" w:rsidP="00E2749F">
            <w:pPr>
              <w:pStyle w:val="TableText"/>
              <w:spacing w:before="50" w:after="50"/>
            </w:pPr>
            <w:r w:rsidRPr="00A352C1">
              <w:t>15 (B)</w:t>
            </w:r>
          </w:p>
        </w:tc>
        <w:tc>
          <w:tcPr>
            <w:tcW w:w="6833" w:type="dxa"/>
            <w:tcBorders>
              <w:top w:val="single" w:sz="4" w:space="0" w:color="auto"/>
              <w:left w:val="nil"/>
              <w:bottom w:val="single" w:sz="4" w:space="0" w:color="auto"/>
              <w:right w:val="nil"/>
            </w:tcBorders>
            <w:hideMark/>
          </w:tcPr>
          <w:p w14:paraId="4DEC08EB" w14:textId="77777777" w:rsidR="007705B4" w:rsidRPr="00A352C1" w:rsidRDefault="007705B4" w:rsidP="00E2749F">
            <w:pPr>
              <w:pStyle w:val="TableText"/>
              <w:spacing w:before="50" w:after="50"/>
            </w:pPr>
            <w:r w:rsidRPr="00A352C1">
              <w:t>If so, did the reference toxicity results fall within the acceptable limits?</w:t>
            </w:r>
          </w:p>
        </w:tc>
        <w:tc>
          <w:tcPr>
            <w:tcW w:w="1700" w:type="dxa"/>
            <w:tcBorders>
              <w:top w:val="single" w:sz="4" w:space="0" w:color="auto"/>
              <w:left w:val="nil"/>
              <w:bottom w:val="single" w:sz="4" w:space="0" w:color="auto"/>
              <w:right w:val="nil"/>
            </w:tcBorders>
            <w:hideMark/>
          </w:tcPr>
          <w:p w14:paraId="731F00C6" w14:textId="77777777" w:rsidR="007705B4" w:rsidRPr="00A352C1" w:rsidRDefault="007705B4" w:rsidP="00E2749F">
            <w:pPr>
              <w:pStyle w:val="TableText"/>
              <w:spacing w:before="50" w:after="50"/>
            </w:pPr>
            <w:r w:rsidRPr="00A352C1">
              <w:t>Yes (6), Not reported (2), No (0/FAIL)</w:t>
            </w:r>
          </w:p>
        </w:tc>
      </w:tr>
      <w:tr w:rsidR="007705B4" w:rsidRPr="00997AE6" w14:paraId="5C6509C0" w14:textId="77777777" w:rsidTr="00CA02BC">
        <w:trPr>
          <w:trHeight w:val="60"/>
        </w:trPr>
        <w:tc>
          <w:tcPr>
            <w:tcW w:w="680" w:type="dxa"/>
            <w:tcBorders>
              <w:top w:val="single" w:sz="4" w:space="0" w:color="auto"/>
              <w:left w:val="nil"/>
              <w:bottom w:val="single" w:sz="4" w:space="0" w:color="auto"/>
              <w:right w:val="nil"/>
            </w:tcBorders>
            <w:hideMark/>
          </w:tcPr>
          <w:p w14:paraId="1634DD4F" w14:textId="77777777" w:rsidR="007705B4" w:rsidRPr="00A352C1" w:rsidRDefault="007705B4" w:rsidP="00E2749F">
            <w:pPr>
              <w:pStyle w:val="TableText"/>
              <w:spacing w:before="50" w:after="50"/>
            </w:pPr>
            <w:r w:rsidRPr="00A352C1">
              <w:lastRenderedPageBreak/>
              <w:t>16</w:t>
            </w:r>
          </w:p>
        </w:tc>
        <w:tc>
          <w:tcPr>
            <w:tcW w:w="6833" w:type="dxa"/>
            <w:tcBorders>
              <w:top w:val="single" w:sz="4" w:space="0" w:color="auto"/>
              <w:left w:val="nil"/>
              <w:bottom w:val="single" w:sz="4" w:space="0" w:color="auto"/>
              <w:right w:val="nil"/>
            </w:tcBorders>
            <w:hideMark/>
          </w:tcPr>
          <w:p w14:paraId="051ACE02" w14:textId="0FECA3E6" w:rsidR="007705B4" w:rsidRPr="00A352C1" w:rsidRDefault="007705B4" w:rsidP="00E2749F">
            <w:pPr>
              <w:pStyle w:val="TableText"/>
              <w:spacing w:before="50" w:after="50"/>
            </w:pPr>
            <w:r w:rsidRPr="00A352C1">
              <w:t>Was there a concentration-response (C-R) relationship</w:t>
            </w:r>
            <w:r>
              <w:t>,</w:t>
            </w:r>
            <w:r w:rsidRPr="00A352C1">
              <w:t xml:space="preserve"> either observable or stated (i.e. was there a larger response in the endpoint of interest at higher treatment concentrations than at lower treatment concentrations?)? Note: </w:t>
            </w:r>
            <w:r>
              <w:t>a</w:t>
            </w:r>
            <w:r w:rsidRPr="00A352C1">
              <w:t xml:space="preserve"> full C-R relationship is one that includes zero, partial and full effects, while a partial C-R relationship is one that is missing either zero, partial or full effects. Professional judgement might be required to make decisions associated with C-R relationships that exhibit characteristics such as non-monotonicity and low</w:t>
            </w:r>
            <w:r w:rsidR="005E2097">
              <w:t>-</w:t>
            </w:r>
            <w:r w:rsidRPr="00A352C1">
              <w:t>dose effects.</w:t>
            </w:r>
          </w:p>
        </w:tc>
        <w:tc>
          <w:tcPr>
            <w:tcW w:w="1700" w:type="dxa"/>
            <w:tcBorders>
              <w:top w:val="single" w:sz="4" w:space="0" w:color="auto"/>
              <w:left w:val="nil"/>
              <w:bottom w:val="single" w:sz="4" w:space="0" w:color="auto"/>
              <w:right w:val="nil"/>
            </w:tcBorders>
            <w:hideMark/>
          </w:tcPr>
          <w:p w14:paraId="705DDFF1" w14:textId="1BDB1CCF" w:rsidR="007705B4" w:rsidRPr="00A352C1" w:rsidRDefault="007705B4" w:rsidP="00E2749F">
            <w:pPr>
              <w:pStyle w:val="TableText"/>
              <w:spacing w:before="50" w:after="50"/>
            </w:pPr>
            <w:r w:rsidRPr="00A352C1">
              <w:t xml:space="preserve">Yes </w:t>
            </w:r>
            <w:r>
              <w:t>–</w:t>
            </w:r>
            <w:r w:rsidRPr="00A352C1">
              <w:t xml:space="preserve"> full (8), Yes </w:t>
            </w:r>
            <w:r>
              <w:t>–</w:t>
            </w:r>
            <w:r w:rsidRPr="00A352C1">
              <w:t xml:space="preserve"> partial (4), No </w:t>
            </w:r>
            <w:r>
              <w:t>–</w:t>
            </w:r>
            <w:r w:rsidRPr="00A352C1">
              <w:t xml:space="preserve"> (0/FAIL)</w:t>
            </w:r>
          </w:p>
        </w:tc>
      </w:tr>
      <w:tr w:rsidR="007705B4" w:rsidRPr="00997AE6" w14:paraId="5CCF6CFB" w14:textId="77777777" w:rsidTr="00CA02BC">
        <w:trPr>
          <w:trHeight w:val="338"/>
        </w:trPr>
        <w:tc>
          <w:tcPr>
            <w:tcW w:w="680" w:type="dxa"/>
            <w:tcBorders>
              <w:top w:val="single" w:sz="4" w:space="0" w:color="auto"/>
              <w:left w:val="nil"/>
              <w:bottom w:val="single" w:sz="4" w:space="0" w:color="auto"/>
              <w:right w:val="nil"/>
            </w:tcBorders>
            <w:hideMark/>
          </w:tcPr>
          <w:p w14:paraId="2B33E57D" w14:textId="77777777" w:rsidR="007705B4" w:rsidRPr="00997AE6" w:rsidRDefault="007705B4" w:rsidP="00E2749F">
            <w:pPr>
              <w:pStyle w:val="TableText"/>
              <w:spacing w:before="50" w:after="50"/>
            </w:pPr>
            <w:r w:rsidRPr="00997AE6">
              <w:t>17 (A)</w:t>
            </w:r>
          </w:p>
        </w:tc>
        <w:tc>
          <w:tcPr>
            <w:tcW w:w="6833" w:type="dxa"/>
            <w:tcBorders>
              <w:top w:val="single" w:sz="4" w:space="0" w:color="auto"/>
              <w:left w:val="nil"/>
              <w:bottom w:val="single" w:sz="4" w:space="0" w:color="auto"/>
              <w:right w:val="nil"/>
            </w:tcBorders>
            <w:hideMark/>
          </w:tcPr>
          <w:p w14:paraId="00F7C4FB" w14:textId="3FECE6A0" w:rsidR="007705B4" w:rsidRPr="00997AE6" w:rsidRDefault="007705B4" w:rsidP="00E2749F">
            <w:pPr>
              <w:pStyle w:val="TableText"/>
              <w:spacing w:before="50" w:after="50"/>
            </w:pPr>
            <w:r w:rsidRPr="57352DF8">
              <w:t xml:space="preserve">Was the statistical method or model used to determine the toxicity estimate </w:t>
            </w:r>
            <w:r w:rsidRPr="00B10196">
              <w:t>stated</w:t>
            </w:r>
            <w:r w:rsidRPr="57352DF8">
              <w:t xml:space="preserve"> </w:t>
            </w:r>
            <w:r>
              <w:rPr>
                <w:b/>
                <w:bCs/>
              </w:rPr>
              <w:t>and</w:t>
            </w:r>
            <w:r w:rsidRPr="57352DF8">
              <w:t xml:space="preserve"> appropriate (e.g. refer to Green et al. 2018, noting that new methods will/have emerged that may not be captured in past publications)?</w:t>
            </w:r>
          </w:p>
        </w:tc>
        <w:tc>
          <w:tcPr>
            <w:tcW w:w="1700" w:type="dxa"/>
            <w:tcBorders>
              <w:top w:val="single" w:sz="4" w:space="0" w:color="auto"/>
              <w:left w:val="nil"/>
              <w:bottom w:val="single" w:sz="4" w:space="0" w:color="auto"/>
              <w:right w:val="nil"/>
            </w:tcBorders>
            <w:hideMark/>
          </w:tcPr>
          <w:p w14:paraId="3C4C791F" w14:textId="77777777" w:rsidR="007705B4" w:rsidRPr="00997AE6" w:rsidRDefault="007705B4" w:rsidP="00E2749F">
            <w:pPr>
              <w:pStyle w:val="TableText"/>
              <w:spacing w:before="50" w:after="50"/>
            </w:pPr>
            <w:r w:rsidRPr="00997AE6">
              <w:t>Yes (6), No (0)</w:t>
            </w:r>
          </w:p>
        </w:tc>
      </w:tr>
      <w:tr w:rsidR="007705B4" w:rsidRPr="00997AE6" w14:paraId="609490E4" w14:textId="77777777" w:rsidTr="00CA02BC">
        <w:trPr>
          <w:trHeight w:val="274"/>
        </w:trPr>
        <w:tc>
          <w:tcPr>
            <w:tcW w:w="680" w:type="dxa"/>
            <w:tcBorders>
              <w:top w:val="single" w:sz="4" w:space="0" w:color="auto"/>
              <w:left w:val="nil"/>
              <w:bottom w:val="single" w:sz="4" w:space="0" w:color="auto"/>
              <w:right w:val="nil"/>
            </w:tcBorders>
            <w:hideMark/>
          </w:tcPr>
          <w:p w14:paraId="1C94D2DF" w14:textId="77777777" w:rsidR="007705B4" w:rsidRPr="00997AE6" w:rsidRDefault="007705B4" w:rsidP="00E2749F">
            <w:pPr>
              <w:pStyle w:val="TableText"/>
              <w:spacing w:before="50" w:after="50"/>
            </w:pPr>
            <w:r w:rsidRPr="00997AE6">
              <w:t>17 (B)</w:t>
            </w:r>
          </w:p>
        </w:tc>
        <w:tc>
          <w:tcPr>
            <w:tcW w:w="6833" w:type="dxa"/>
            <w:tcBorders>
              <w:top w:val="single" w:sz="4" w:space="0" w:color="auto"/>
              <w:left w:val="nil"/>
              <w:bottom w:val="single" w:sz="4" w:space="0" w:color="auto"/>
              <w:right w:val="nil"/>
            </w:tcBorders>
            <w:hideMark/>
          </w:tcPr>
          <w:p w14:paraId="146A67E4" w14:textId="4235346E" w:rsidR="007705B4" w:rsidRPr="00997AE6" w:rsidRDefault="007705B4" w:rsidP="00E2749F">
            <w:pPr>
              <w:pStyle w:val="TableText"/>
              <w:spacing w:before="50" w:after="50"/>
            </w:pPr>
            <w:r w:rsidRPr="00997AE6">
              <w:t xml:space="preserve">For </w:t>
            </w:r>
            <w:r>
              <w:t xml:space="preserve">point estimates from concentration-response modelling (e.g. </w:t>
            </w:r>
            <w:r w:rsidRPr="00997AE6">
              <w:t>LC/EC/NEC/BEC/NSEC</w:t>
            </w:r>
            <w:r>
              <w:t>)</w:t>
            </w:r>
            <w:r w:rsidRPr="00997AE6">
              <w:t>, was an estimate of variability provided? For</w:t>
            </w:r>
            <w:r>
              <w:t xml:space="preserve"> estimates based on hypothesis testing</w:t>
            </w:r>
            <w:r w:rsidRPr="00997AE6">
              <w:t xml:space="preserve"> </w:t>
            </w:r>
            <w:r>
              <w:t xml:space="preserve">(e.g. </w:t>
            </w:r>
            <w:r w:rsidRPr="00997AE6">
              <w:t>NOEC/LOEC/MATC</w:t>
            </w:r>
            <w:r>
              <w:t>)</w:t>
            </w:r>
            <w:r w:rsidRPr="00997AE6">
              <w:t>, was the significance level 0.05 or less?</w:t>
            </w:r>
          </w:p>
        </w:tc>
        <w:tc>
          <w:tcPr>
            <w:tcW w:w="1700" w:type="dxa"/>
            <w:tcBorders>
              <w:top w:val="single" w:sz="4" w:space="0" w:color="auto"/>
              <w:left w:val="nil"/>
              <w:bottom w:val="single" w:sz="4" w:space="0" w:color="auto"/>
              <w:right w:val="nil"/>
            </w:tcBorders>
            <w:hideMark/>
          </w:tcPr>
          <w:p w14:paraId="5120561E" w14:textId="028E3CB7" w:rsidR="007705B4" w:rsidRPr="00997AE6" w:rsidRDefault="007705B4" w:rsidP="00E2749F">
            <w:pPr>
              <w:pStyle w:val="TableText"/>
              <w:spacing w:before="50" w:after="50"/>
            </w:pPr>
            <w:r w:rsidRPr="00997AE6">
              <w:t>Yes (2), No (0</w:t>
            </w:r>
            <w:r w:rsidR="002803B5">
              <w:t>)</w:t>
            </w:r>
          </w:p>
        </w:tc>
      </w:tr>
      <w:tr w:rsidR="007705B4" w:rsidRPr="00997AE6" w14:paraId="675E6579" w14:textId="77777777" w:rsidTr="00CA02BC">
        <w:trPr>
          <w:trHeight w:val="320"/>
        </w:trPr>
        <w:tc>
          <w:tcPr>
            <w:tcW w:w="680" w:type="dxa"/>
            <w:tcBorders>
              <w:top w:val="single" w:sz="4" w:space="0" w:color="auto"/>
              <w:left w:val="nil"/>
              <w:bottom w:val="single" w:sz="12" w:space="0" w:color="auto"/>
              <w:right w:val="nil"/>
            </w:tcBorders>
            <w:hideMark/>
          </w:tcPr>
          <w:p w14:paraId="3E876C6B" w14:textId="77777777" w:rsidR="007705B4" w:rsidRPr="00997AE6" w:rsidRDefault="007705B4" w:rsidP="00E2749F">
            <w:pPr>
              <w:pStyle w:val="TableText"/>
              <w:spacing w:before="50" w:after="50"/>
            </w:pPr>
          </w:p>
        </w:tc>
        <w:tc>
          <w:tcPr>
            <w:tcW w:w="6833" w:type="dxa"/>
            <w:tcBorders>
              <w:top w:val="single" w:sz="4" w:space="0" w:color="auto"/>
              <w:left w:val="nil"/>
              <w:bottom w:val="single" w:sz="12" w:space="0" w:color="auto"/>
              <w:right w:val="nil"/>
            </w:tcBorders>
            <w:vAlign w:val="center"/>
            <w:hideMark/>
          </w:tcPr>
          <w:p w14:paraId="483E7890" w14:textId="14CC0054" w:rsidR="007705B4" w:rsidRPr="00997AE6" w:rsidRDefault="007705B4" w:rsidP="00E2749F">
            <w:pPr>
              <w:pStyle w:val="TableText"/>
              <w:spacing w:before="50" w:after="50"/>
            </w:pPr>
            <w:r>
              <w:t>Maximum sub-total for Part B = 47</w:t>
            </w:r>
          </w:p>
        </w:tc>
        <w:tc>
          <w:tcPr>
            <w:tcW w:w="1700" w:type="dxa"/>
            <w:tcBorders>
              <w:top w:val="single" w:sz="4" w:space="0" w:color="auto"/>
              <w:left w:val="nil"/>
              <w:bottom w:val="single" w:sz="12" w:space="0" w:color="auto"/>
              <w:right w:val="nil"/>
            </w:tcBorders>
            <w:vAlign w:val="center"/>
          </w:tcPr>
          <w:p w14:paraId="6C572CCB" w14:textId="3EC28A3F" w:rsidR="007705B4" w:rsidRPr="00997AE6" w:rsidRDefault="007705B4" w:rsidP="00E2749F">
            <w:pPr>
              <w:pStyle w:val="TableText"/>
              <w:spacing w:before="50" w:after="50"/>
            </w:pPr>
          </w:p>
        </w:tc>
      </w:tr>
      <w:tr w:rsidR="00427045" w:rsidRPr="00903169" w14:paraId="40ADC4A8" w14:textId="77777777" w:rsidTr="00CA02BC">
        <w:trPr>
          <w:trHeight w:val="320"/>
        </w:trPr>
        <w:tc>
          <w:tcPr>
            <w:tcW w:w="7513" w:type="dxa"/>
            <w:gridSpan w:val="2"/>
            <w:tcBorders>
              <w:top w:val="single" w:sz="12" w:space="0" w:color="auto"/>
              <w:left w:val="nil"/>
              <w:bottom w:val="single" w:sz="12" w:space="0" w:color="auto"/>
              <w:right w:val="nil"/>
            </w:tcBorders>
            <w:noWrap/>
          </w:tcPr>
          <w:p w14:paraId="3A19C445" w14:textId="263990C5" w:rsidR="00427045" w:rsidRPr="009D6B76" w:rsidRDefault="00427045" w:rsidP="00E2749F">
            <w:pPr>
              <w:pStyle w:val="TableText"/>
              <w:spacing w:before="50" w:after="50"/>
              <w:rPr>
                <w:b/>
                <w:bCs/>
              </w:rPr>
            </w:pPr>
            <w:r w:rsidRPr="009D6B76">
              <w:rPr>
                <w:b/>
                <w:bCs/>
              </w:rPr>
              <w:t>C. T</w:t>
            </w:r>
            <w:r>
              <w:rPr>
                <w:b/>
                <w:bCs/>
              </w:rPr>
              <w:t>est water chemistry/test conditions</w:t>
            </w:r>
          </w:p>
        </w:tc>
        <w:tc>
          <w:tcPr>
            <w:tcW w:w="1700" w:type="dxa"/>
            <w:tcBorders>
              <w:top w:val="single" w:sz="12" w:space="0" w:color="auto"/>
              <w:left w:val="nil"/>
              <w:bottom w:val="single" w:sz="12" w:space="0" w:color="auto"/>
              <w:right w:val="nil"/>
            </w:tcBorders>
            <w:vAlign w:val="center"/>
          </w:tcPr>
          <w:p w14:paraId="47EBEB46" w14:textId="3F6FABAC" w:rsidR="00427045" w:rsidRPr="009D6B76" w:rsidRDefault="00427045" w:rsidP="00E2749F">
            <w:pPr>
              <w:pStyle w:val="TableText"/>
              <w:spacing w:before="50" w:after="50"/>
              <w:rPr>
                <w:b/>
                <w:bCs/>
              </w:rPr>
            </w:pPr>
          </w:p>
        </w:tc>
      </w:tr>
      <w:tr w:rsidR="007705B4" w:rsidRPr="00B1499A" w14:paraId="2E3D66E1" w14:textId="77777777" w:rsidTr="00CA02BC">
        <w:trPr>
          <w:trHeight w:val="320"/>
        </w:trPr>
        <w:tc>
          <w:tcPr>
            <w:tcW w:w="680" w:type="dxa"/>
            <w:tcBorders>
              <w:top w:val="single" w:sz="12" w:space="0" w:color="auto"/>
              <w:left w:val="nil"/>
              <w:bottom w:val="single" w:sz="4" w:space="0" w:color="auto"/>
              <w:right w:val="nil"/>
            </w:tcBorders>
            <w:hideMark/>
          </w:tcPr>
          <w:p w14:paraId="655E2DE8" w14:textId="77777777" w:rsidR="007705B4" w:rsidRPr="00B1499A" w:rsidRDefault="007705B4" w:rsidP="00E2749F">
            <w:pPr>
              <w:pStyle w:val="TableText"/>
              <w:spacing w:before="50" w:after="50"/>
            </w:pPr>
            <w:r w:rsidRPr="00B1499A">
              <w:t>18</w:t>
            </w:r>
          </w:p>
        </w:tc>
        <w:tc>
          <w:tcPr>
            <w:tcW w:w="6833" w:type="dxa"/>
            <w:tcBorders>
              <w:top w:val="single" w:sz="12" w:space="0" w:color="auto"/>
              <w:left w:val="nil"/>
              <w:bottom w:val="single" w:sz="4" w:space="0" w:color="auto"/>
              <w:right w:val="nil"/>
            </w:tcBorders>
            <w:hideMark/>
          </w:tcPr>
          <w:p w14:paraId="6914050E" w14:textId="097389DF" w:rsidR="007705B4" w:rsidRPr="00B1499A" w:rsidRDefault="007705B4" w:rsidP="00E2749F">
            <w:pPr>
              <w:pStyle w:val="TableText"/>
              <w:spacing w:before="50" w:after="50"/>
            </w:pPr>
            <w:r w:rsidRPr="00B1499A">
              <w:t>Were the following parameters measured and reported?</w:t>
            </w:r>
          </w:p>
        </w:tc>
        <w:tc>
          <w:tcPr>
            <w:tcW w:w="1700" w:type="dxa"/>
            <w:tcBorders>
              <w:top w:val="single" w:sz="12" w:space="0" w:color="auto"/>
              <w:left w:val="nil"/>
              <w:bottom w:val="single" w:sz="4" w:space="0" w:color="auto"/>
              <w:right w:val="nil"/>
            </w:tcBorders>
            <w:hideMark/>
          </w:tcPr>
          <w:p w14:paraId="4012D9E1" w14:textId="307CDB3F" w:rsidR="007705B4" w:rsidRPr="00B1499A" w:rsidRDefault="007705B4" w:rsidP="00E2749F">
            <w:pPr>
              <w:pStyle w:val="TableText"/>
              <w:spacing w:before="50" w:after="50"/>
            </w:pPr>
          </w:p>
        </w:tc>
      </w:tr>
      <w:tr w:rsidR="007705B4" w:rsidRPr="00B1499A" w14:paraId="2BBDF701" w14:textId="77777777" w:rsidTr="00CA02BC">
        <w:trPr>
          <w:trHeight w:val="215"/>
        </w:trPr>
        <w:tc>
          <w:tcPr>
            <w:tcW w:w="680" w:type="dxa"/>
            <w:tcBorders>
              <w:top w:val="single" w:sz="4" w:space="0" w:color="auto"/>
              <w:left w:val="nil"/>
              <w:bottom w:val="single" w:sz="4" w:space="0" w:color="auto"/>
              <w:right w:val="nil"/>
            </w:tcBorders>
            <w:hideMark/>
          </w:tcPr>
          <w:p w14:paraId="04A08CED" w14:textId="77777777" w:rsidR="007705B4" w:rsidRPr="00B1499A" w:rsidRDefault="007705B4" w:rsidP="00E2749F">
            <w:pPr>
              <w:pStyle w:val="TableText"/>
              <w:spacing w:before="50" w:after="50"/>
            </w:pPr>
            <w:r w:rsidRPr="00B1499A">
              <w:t>18.1</w:t>
            </w:r>
          </w:p>
        </w:tc>
        <w:tc>
          <w:tcPr>
            <w:tcW w:w="6833" w:type="dxa"/>
            <w:tcBorders>
              <w:top w:val="single" w:sz="4" w:space="0" w:color="auto"/>
              <w:left w:val="nil"/>
              <w:bottom w:val="single" w:sz="4" w:space="0" w:color="auto"/>
              <w:right w:val="nil"/>
            </w:tcBorders>
            <w:hideMark/>
          </w:tcPr>
          <w:p w14:paraId="1E4B02A4" w14:textId="64D7F30B" w:rsidR="007705B4" w:rsidRPr="00B1499A" w:rsidRDefault="007705B4" w:rsidP="00E2749F">
            <w:pPr>
              <w:pStyle w:val="TableText"/>
              <w:spacing w:before="50" w:after="50"/>
            </w:pPr>
            <w:r w:rsidRPr="00B1499A">
              <w:t xml:space="preserve">pH </w:t>
            </w:r>
            <w:r>
              <w:t>–</w:t>
            </w:r>
            <w:r w:rsidRPr="00B1499A">
              <w:t xml:space="preserve"> </w:t>
            </w:r>
            <w:r w:rsidR="00116066">
              <w:t>w</w:t>
            </w:r>
            <w:r w:rsidRPr="00B1499A">
              <w:t>as pH measured at least at the beginning and end of the toxicity test?</w:t>
            </w:r>
          </w:p>
        </w:tc>
        <w:tc>
          <w:tcPr>
            <w:tcW w:w="1700" w:type="dxa"/>
            <w:tcBorders>
              <w:top w:val="single" w:sz="4" w:space="0" w:color="auto"/>
              <w:left w:val="nil"/>
              <w:bottom w:val="single" w:sz="4" w:space="0" w:color="auto"/>
              <w:right w:val="nil"/>
            </w:tcBorders>
            <w:hideMark/>
          </w:tcPr>
          <w:p w14:paraId="3EB11D4D" w14:textId="4B93DEBD" w:rsidR="007705B4" w:rsidRPr="00B1499A" w:rsidRDefault="007705B4" w:rsidP="00E2749F">
            <w:pPr>
              <w:pStyle w:val="TableText"/>
              <w:spacing w:before="50" w:after="50"/>
            </w:pPr>
            <w:r w:rsidRPr="00B1499A">
              <w:t>Yes (3), No (0/FAIL)</w:t>
            </w:r>
          </w:p>
        </w:tc>
      </w:tr>
      <w:tr w:rsidR="007705B4" w:rsidRPr="00B1499A" w14:paraId="481CBEB2" w14:textId="77777777" w:rsidTr="00CA02BC">
        <w:trPr>
          <w:trHeight w:val="150"/>
        </w:trPr>
        <w:tc>
          <w:tcPr>
            <w:tcW w:w="680" w:type="dxa"/>
            <w:tcBorders>
              <w:top w:val="single" w:sz="4" w:space="0" w:color="auto"/>
              <w:left w:val="nil"/>
              <w:bottom w:val="single" w:sz="4" w:space="0" w:color="auto"/>
              <w:right w:val="nil"/>
            </w:tcBorders>
            <w:hideMark/>
          </w:tcPr>
          <w:p w14:paraId="31B9A7A6" w14:textId="77777777" w:rsidR="007705B4" w:rsidRPr="00B1499A" w:rsidRDefault="007705B4" w:rsidP="00E2749F">
            <w:pPr>
              <w:pStyle w:val="TableText"/>
              <w:spacing w:before="50" w:after="50"/>
            </w:pPr>
            <w:r w:rsidRPr="00B1499A">
              <w:t>18.2</w:t>
            </w:r>
          </w:p>
        </w:tc>
        <w:tc>
          <w:tcPr>
            <w:tcW w:w="6833" w:type="dxa"/>
            <w:tcBorders>
              <w:top w:val="single" w:sz="4" w:space="0" w:color="auto"/>
              <w:left w:val="nil"/>
              <w:bottom w:val="single" w:sz="4" w:space="0" w:color="auto"/>
              <w:right w:val="nil"/>
            </w:tcBorders>
            <w:hideMark/>
          </w:tcPr>
          <w:p w14:paraId="3A614D51" w14:textId="77777777" w:rsidR="007705B4" w:rsidRPr="00B1499A" w:rsidRDefault="007705B4" w:rsidP="00E2749F">
            <w:pPr>
              <w:pStyle w:val="TableText"/>
              <w:spacing w:before="50" w:after="50"/>
            </w:pPr>
            <w:r w:rsidRPr="00B1499A">
              <w:t>Hardness</w:t>
            </w:r>
          </w:p>
        </w:tc>
        <w:tc>
          <w:tcPr>
            <w:tcW w:w="1700" w:type="dxa"/>
            <w:tcBorders>
              <w:top w:val="single" w:sz="4" w:space="0" w:color="auto"/>
              <w:left w:val="nil"/>
              <w:bottom w:val="single" w:sz="4" w:space="0" w:color="auto"/>
              <w:right w:val="nil"/>
            </w:tcBorders>
            <w:hideMark/>
          </w:tcPr>
          <w:p w14:paraId="41DFF73D" w14:textId="02D4C82A" w:rsidR="007705B4" w:rsidRPr="00B1499A" w:rsidRDefault="007705B4" w:rsidP="00E2749F">
            <w:pPr>
              <w:pStyle w:val="TableText"/>
              <w:spacing w:before="50" w:after="50"/>
            </w:pPr>
            <w:r w:rsidRPr="00B1499A">
              <w:t>Yes (3), No (0/FAIL)</w:t>
            </w:r>
          </w:p>
        </w:tc>
      </w:tr>
      <w:tr w:rsidR="007705B4" w:rsidRPr="00B1499A" w14:paraId="25F647BE" w14:textId="77777777" w:rsidTr="00CA02BC">
        <w:trPr>
          <w:trHeight w:val="83"/>
        </w:trPr>
        <w:tc>
          <w:tcPr>
            <w:tcW w:w="680" w:type="dxa"/>
            <w:tcBorders>
              <w:top w:val="single" w:sz="4" w:space="0" w:color="auto"/>
              <w:left w:val="nil"/>
              <w:bottom w:val="single" w:sz="4" w:space="0" w:color="auto"/>
              <w:right w:val="nil"/>
            </w:tcBorders>
            <w:hideMark/>
          </w:tcPr>
          <w:p w14:paraId="11CC7CD9" w14:textId="77777777" w:rsidR="007705B4" w:rsidRPr="00B1499A" w:rsidRDefault="007705B4" w:rsidP="00E2749F">
            <w:pPr>
              <w:pStyle w:val="TableText"/>
              <w:spacing w:before="50" w:after="50"/>
            </w:pPr>
            <w:r w:rsidRPr="00B1499A">
              <w:t>18.3</w:t>
            </w:r>
          </w:p>
        </w:tc>
        <w:tc>
          <w:tcPr>
            <w:tcW w:w="6833" w:type="dxa"/>
            <w:tcBorders>
              <w:top w:val="single" w:sz="4" w:space="0" w:color="auto"/>
              <w:left w:val="nil"/>
              <w:bottom w:val="single" w:sz="4" w:space="0" w:color="auto"/>
              <w:right w:val="nil"/>
            </w:tcBorders>
            <w:hideMark/>
          </w:tcPr>
          <w:p w14:paraId="6CDE3D90" w14:textId="77777777" w:rsidR="007705B4" w:rsidRPr="00B1499A" w:rsidRDefault="007705B4" w:rsidP="00E2749F">
            <w:pPr>
              <w:pStyle w:val="TableText"/>
              <w:spacing w:before="50" w:after="50"/>
            </w:pPr>
            <w:r w:rsidRPr="00B1499A">
              <w:t>Alkalinity</w:t>
            </w:r>
          </w:p>
        </w:tc>
        <w:tc>
          <w:tcPr>
            <w:tcW w:w="1700" w:type="dxa"/>
            <w:tcBorders>
              <w:top w:val="single" w:sz="4" w:space="0" w:color="auto"/>
              <w:left w:val="nil"/>
              <w:bottom w:val="single" w:sz="4" w:space="0" w:color="auto"/>
              <w:right w:val="nil"/>
            </w:tcBorders>
            <w:hideMark/>
          </w:tcPr>
          <w:p w14:paraId="24ECA803" w14:textId="380F9C05" w:rsidR="007705B4" w:rsidRPr="00B1499A" w:rsidRDefault="007705B4" w:rsidP="00E2749F">
            <w:pPr>
              <w:pStyle w:val="TableText"/>
              <w:spacing w:before="50" w:after="50"/>
            </w:pPr>
            <w:r w:rsidRPr="00B1499A">
              <w:t>Yes (3), No (0/FAIL)</w:t>
            </w:r>
          </w:p>
        </w:tc>
      </w:tr>
      <w:tr w:rsidR="007705B4" w:rsidRPr="00B1499A" w14:paraId="10CA35EF" w14:textId="77777777" w:rsidTr="00CA02BC">
        <w:trPr>
          <w:trHeight w:val="173"/>
        </w:trPr>
        <w:tc>
          <w:tcPr>
            <w:tcW w:w="680" w:type="dxa"/>
            <w:tcBorders>
              <w:top w:val="single" w:sz="4" w:space="0" w:color="auto"/>
              <w:left w:val="nil"/>
              <w:bottom w:val="single" w:sz="4" w:space="0" w:color="auto"/>
              <w:right w:val="nil"/>
            </w:tcBorders>
            <w:hideMark/>
          </w:tcPr>
          <w:p w14:paraId="742B16E4" w14:textId="77777777" w:rsidR="007705B4" w:rsidRPr="00B1499A" w:rsidRDefault="007705B4" w:rsidP="00E2749F">
            <w:pPr>
              <w:pStyle w:val="TableText"/>
              <w:spacing w:before="50" w:after="50"/>
            </w:pPr>
            <w:r w:rsidRPr="00B1499A">
              <w:t>18.4</w:t>
            </w:r>
          </w:p>
        </w:tc>
        <w:tc>
          <w:tcPr>
            <w:tcW w:w="6833" w:type="dxa"/>
            <w:tcBorders>
              <w:top w:val="single" w:sz="4" w:space="0" w:color="auto"/>
              <w:left w:val="nil"/>
              <w:bottom w:val="single" w:sz="4" w:space="0" w:color="auto"/>
              <w:right w:val="nil"/>
            </w:tcBorders>
            <w:hideMark/>
          </w:tcPr>
          <w:p w14:paraId="341A24FC" w14:textId="77777777" w:rsidR="007705B4" w:rsidRPr="00B1499A" w:rsidRDefault="007705B4" w:rsidP="00E2749F">
            <w:pPr>
              <w:pStyle w:val="TableText"/>
              <w:spacing w:before="50" w:after="50"/>
            </w:pPr>
            <w:r w:rsidRPr="00B1499A">
              <w:t>Dissolved organic carbon concentration</w:t>
            </w:r>
          </w:p>
        </w:tc>
        <w:tc>
          <w:tcPr>
            <w:tcW w:w="1700" w:type="dxa"/>
            <w:tcBorders>
              <w:top w:val="single" w:sz="4" w:space="0" w:color="auto"/>
              <w:left w:val="nil"/>
              <w:bottom w:val="single" w:sz="4" w:space="0" w:color="auto"/>
              <w:right w:val="nil"/>
            </w:tcBorders>
            <w:hideMark/>
          </w:tcPr>
          <w:p w14:paraId="6A09B0A2" w14:textId="49E13E77" w:rsidR="007705B4" w:rsidRPr="00B1499A" w:rsidRDefault="007705B4" w:rsidP="00E2749F">
            <w:pPr>
              <w:pStyle w:val="TableText"/>
              <w:spacing w:before="50" w:after="50"/>
            </w:pPr>
            <w:r w:rsidRPr="00B1499A">
              <w:t>Yes (3), No (0/FAIL)</w:t>
            </w:r>
          </w:p>
        </w:tc>
      </w:tr>
      <w:tr w:rsidR="007705B4" w:rsidRPr="00B1499A" w14:paraId="06E54499" w14:textId="77777777" w:rsidTr="00CA02BC">
        <w:trPr>
          <w:trHeight w:val="108"/>
        </w:trPr>
        <w:tc>
          <w:tcPr>
            <w:tcW w:w="680" w:type="dxa"/>
            <w:tcBorders>
              <w:top w:val="single" w:sz="4" w:space="0" w:color="auto"/>
              <w:left w:val="nil"/>
              <w:bottom w:val="single" w:sz="4" w:space="0" w:color="auto"/>
              <w:right w:val="nil"/>
            </w:tcBorders>
            <w:hideMark/>
          </w:tcPr>
          <w:p w14:paraId="3883C7B3" w14:textId="77777777" w:rsidR="007705B4" w:rsidRPr="00B1499A" w:rsidRDefault="007705B4" w:rsidP="00E2749F">
            <w:pPr>
              <w:pStyle w:val="TableText"/>
              <w:spacing w:before="50" w:after="50"/>
            </w:pPr>
            <w:r w:rsidRPr="00B1499A">
              <w:t>18.5</w:t>
            </w:r>
          </w:p>
        </w:tc>
        <w:tc>
          <w:tcPr>
            <w:tcW w:w="6833" w:type="dxa"/>
            <w:tcBorders>
              <w:top w:val="single" w:sz="4" w:space="0" w:color="auto"/>
              <w:left w:val="nil"/>
              <w:bottom w:val="single" w:sz="4" w:space="0" w:color="auto"/>
              <w:right w:val="nil"/>
            </w:tcBorders>
            <w:hideMark/>
          </w:tcPr>
          <w:p w14:paraId="3290E882" w14:textId="6126331F" w:rsidR="007705B4" w:rsidRPr="00B1499A" w:rsidRDefault="007705B4" w:rsidP="00E2749F">
            <w:pPr>
              <w:pStyle w:val="TableText"/>
              <w:spacing w:before="50" w:after="50"/>
            </w:pPr>
            <w:r w:rsidRPr="00B1499A">
              <w:t>Dissolved oxygen</w:t>
            </w:r>
            <w:r>
              <w:t xml:space="preserve"> (DO) – </w:t>
            </w:r>
            <w:r w:rsidR="00C40D06">
              <w:t>w</w:t>
            </w:r>
            <w:r w:rsidRPr="00B1499A">
              <w:t xml:space="preserve">as </w:t>
            </w:r>
            <w:r>
              <w:t>DO</w:t>
            </w:r>
            <w:r w:rsidRPr="00B1499A">
              <w:t xml:space="preserve"> measured at least at the beginning and end of the toxicity test?</w:t>
            </w:r>
          </w:p>
        </w:tc>
        <w:tc>
          <w:tcPr>
            <w:tcW w:w="1700" w:type="dxa"/>
            <w:tcBorders>
              <w:top w:val="single" w:sz="4" w:space="0" w:color="auto"/>
              <w:left w:val="nil"/>
              <w:bottom w:val="single" w:sz="4" w:space="0" w:color="auto"/>
              <w:right w:val="nil"/>
            </w:tcBorders>
            <w:hideMark/>
          </w:tcPr>
          <w:p w14:paraId="7C348BD4" w14:textId="11840894" w:rsidR="007705B4" w:rsidRPr="00B1499A" w:rsidRDefault="007705B4" w:rsidP="00E2749F">
            <w:pPr>
              <w:pStyle w:val="TableText"/>
              <w:spacing w:before="50" w:after="50"/>
            </w:pPr>
            <w:r w:rsidRPr="00B1499A">
              <w:t>Yes (2), No (0/FAIL)</w:t>
            </w:r>
          </w:p>
        </w:tc>
      </w:tr>
      <w:tr w:rsidR="007705B4" w:rsidRPr="00B1499A" w14:paraId="0417BD44" w14:textId="77777777" w:rsidTr="00CA02BC">
        <w:trPr>
          <w:trHeight w:val="183"/>
        </w:trPr>
        <w:tc>
          <w:tcPr>
            <w:tcW w:w="680" w:type="dxa"/>
            <w:tcBorders>
              <w:top w:val="single" w:sz="4" w:space="0" w:color="auto"/>
              <w:left w:val="nil"/>
              <w:bottom w:val="single" w:sz="4" w:space="0" w:color="auto"/>
              <w:right w:val="nil"/>
            </w:tcBorders>
            <w:hideMark/>
          </w:tcPr>
          <w:p w14:paraId="2485495F" w14:textId="77777777" w:rsidR="007705B4" w:rsidRPr="00B1499A" w:rsidRDefault="007705B4" w:rsidP="00E2749F">
            <w:pPr>
              <w:pStyle w:val="TableText"/>
              <w:spacing w:before="50" w:after="50"/>
            </w:pPr>
            <w:r w:rsidRPr="00B1499A">
              <w:t>18.6</w:t>
            </w:r>
          </w:p>
        </w:tc>
        <w:tc>
          <w:tcPr>
            <w:tcW w:w="6833" w:type="dxa"/>
            <w:tcBorders>
              <w:top w:val="single" w:sz="4" w:space="0" w:color="auto"/>
              <w:left w:val="nil"/>
              <w:bottom w:val="single" w:sz="4" w:space="0" w:color="auto"/>
              <w:right w:val="nil"/>
            </w:tcBorders>
            <w:hideMark/>
          </w:tcPr>
          <w:p w14:paraId="285C864C" w14:textId="1149C0DA" w:rsidR="007705B4" w:rsidRPr="00B1499A" w:rsidRDefault="007705B4" w:rsidP="00E2749F">
            <w:pPr>
              <w:pStyle w:val="TableText"/>
              <w:spacing w:before="50" w:after="50"/>
            </w:pPr>
            <w:r w:rsidRPr="00B1499A">
              <w:t>Conductivity</w:t>
            </w:r>
          </w:p>
        </w:tc>
        <w:tc>
          <w:tcPr>
            <w:tcW w:w="1700" w:type="dxa"/>
            <w:tcBorders>
              <w:top w:val="single" w:sz="4" w:space="0" w:color="auto"/>
              <w:left w:val="nil"/>
              <w:bottom w:val="single" w:sz="4" w:space="0" w:color="auto"/>
              <w:right w:val="nil"/>
            </w:tcBorders>
            <w:hideMark/>
          </w:tcPr>
          <w:p w14:paraId="0098E1B6" w14:textId="55782FAE" w:rsidR="007705B4" w:rsidRPr="00B1499A" w:rsidRDefault="007705B4" w:rsidP="00E2749F">
            <w:pPr>
              <w:pStyle w:val="TableText"/>
              <w:spacing w:before="50" w:after="50"/>
            </w:pPr>
            <w:r w:rsidRPr="00B1499A">
              <w:t>Yes (2), No (0/FAIL)</w:t>
            </w:r>
          </w:p>
        </w:tc>
      </w:tr>
      <w:tr w:rsidR="007705B4" w:rsidRPr="00B1499A" w14:paraId="4E4AE6D9" w14:textId="77777777" w:rsidTr="00CA02BC">
        <w:trPr>
          <w:trHeight w:val="529"/>
        </w:trPr>
        <w:tc>
          <w:tcPr>
            <w:tcW w:w="680" w:type="dxa"/>
            <w:tcBorders>
              <w:top w:val="single" w:sz="4" w:space="0" w:color="auto"/>
              <w:left w:val="nil"/>
              <w:bottom w:val="single" w:sz="4" w:space="0" w:color="auto"/>
              <w:right w:val="nil"/>
            </w:tcBorders>
            <w:hideMark/>
          </w:tcPr>
          <w:p w14:paraId="1DC48B62" w14:textId="77777777" w:rsidR="007705B4" w:rsidRPr="00B1499A" w:rsidRDefault="007705B4" w:rsidP="00E2749F">
            <w:pPr>
              <w:pStyle w:val="TableText"/>
              <w:spacing w:before="50" w:after="50"/>
            </w:pPr>
            <w:r w:rsidRPr="00B1499A">
              <w:t>18.7</w:t>
            </w:r>
          </w:p>
        </w:tc>
        <w:tc>
          <w:tcPr>
            <w:tcW w:w="6833" w:type="dxa"/>
            <w:tcBorders>
              <w:top w:val="single" w:sz="4" w:space="0" w:color="auto"/>
              <w:left w:val="nil"/>
              <w:bottom w:val="single" w:sz="4" w:space="0" w:color="auto"/>
              <w:right w:val="nil"/>
            </w:tcBorders>
            <w:hideMark/>
          </w:tcPr>
          <w:p w14:paraId="1823FDFE" w14:textId="77777777" w:rsidR="007705B4" w:rsidRPr="00B1499A" w:rsidRDefault="007705B4" w:rsidP="00E2749F">
            <w:pPr>
              <w:pStyle w:val="TableText"/>
              <w:spacing w:before="50" w:after="50"/>
            </w:pPr>
            <w:r w:rsidRPr="00B1499A">
              <w:t>Temperature</w:t>
            </w:r>
          </w:p>
        </w:tc>
        <w:tc>
          <w:tcPr>
            <w:tcW w:w="1700" w:type="dxa"/>
            <w:tcBorders>
              <w:top w:val="single" w:sz="4" w:space="0" w:color="auto"/>
              <w:left w:val="nil"/>
              <w:bottom w:val="single" w:sz="4" w:space="0" w:color="auto"/>
              <w:right w:val="nil"/>
            </w:tcBorders>
            <w:hideMark/>
          </w:tcPr>
          <w:p w14:paraId="37D3AAC4" w14:textId="7ECA00CC" w:rsidR="007705B4" w:rsidRPr="00B1499A" w:rsidRDefault="007705B4" w:rsidP="00E2749F">
            <w:pPr>
              <w:pStyle w:val="TableText"/>
              <w:spacing w:before="50" w:after="50"/>
            </w:pPr>
            <w:r w:rsidRPr="00B1499A">
              <w:t>Yes (2), Temperature of room or chamber was reported (1), No (0/FAIL)</w:t>
            </w:r>
          </w:p>
        </w:tc>
      </w:tr>
      <w:tr w:rsidR="007705B4" w:rsidRPr="00B1499A" w14:paraId="56955184" w14:textId="77777777" w:rsidTr="00F45C65">
        <w:trPr>
          <w:trHeight w:val="340"/>
        </w:trPr>
        <w:tc>
          <w:tcPr>
            <w:tcW w:w="680" w:type="dxa"/>
            <w:tcBorders>
              <w:top w:val="single" w:sz="4" w:space="0" w:color="auto"/>
              <w:left w:val="nil"/>
              <w:bottom w:val="single" w:sz="4" w:space="0" w:color="auto"/>
              <w:right w:val="nil"/>
            </w:tcBorders>
          </w:tcPr>
          <w:p w14:paraId="3E491905" w14:textId="4156E6A3" w:rsidR="007705B4" w:rsidRPr="00B1499A" w:rsidRDefault="007705B4" w:rsidP="00E2749F">
            <w:pPr>
              <w:pStyle w:val="TableText"/>
              <w:spacing w:before="50" w:after="50"/>
            </w:pPr>
            <w:r>
              <w:t>18.8</w:t>
            </w:r>
          </w:p>
        </w:tc>
        <w:tc>
          <w:tcPr>
            <w:tcW w:w="6833" w:type="dxa"/>
            <w:tcBorders>
              <w:top w:val="single" w:sz="4" w:space="0" w:color="auto"/>
              <w:left w:val="nil"/>
              <w:bottom w:val="single" w:sz="4" w:space="0" w:color="auto"/>
              <w:right w:val="nil"/>
            </w:tcBorders>
          </w:tcPr>
          <w:p w14:paraId="1551B660" w14:textId="268D831A" w:rsidR="007705B4" w:rsidRPr="00B1499A" w:rsidRDefault="007705B4" w:rsidP="00E2749F">
            <w:pPr>
              <w:pStyle w:val="TableText"/>
              <w:spacing w:before="50" w:after="50"/>
              <w:rPr>
                <w:color w:val="000000"/>
              </w:rPr>
            </w:pPr>
            <w:r w:rsidRPr="57352DF8">
              <w:t>Any other parameters of relevance (e.g. other toxicity</w:t>
            </w:r>
            <w:r w:rsidR="00F45C65">
              <w:t>-</w:t>
            </w:r>
            <w:r w:rsidRPr="57352DF8">
              <w:t>modifying factors)</w:t>
            </w:r>
          </w:p>
        </w:tc>
        <w:tc>
          <w:tcPr>
            <w:tcW w:w="1700" w:type="dxa"/>
            <w:tcBorders>
              <w:top w:val="single" w:sz="4" w:space="0" w:color="auto"/>
              <w:left w:val="nil"/>
              <w:bottom w:val="single" w:sz="4" w:space="0" w:color="auto"/>
              <w:right w:val="nil"/>
            </w:tcBorders>
          </w:tcPr>
          <w:p w14:paraId="7ACE4761" w14:textId="1DEB52FD" w:rsidR="007705B4" w:rsidRPr="00B1499A" w:rsidRDefault="007705B4" w:rsidP="00E2749F">
            <w:pPr>
              <w:pStyle w:val="TableText"/>
              <w:spacing w:before="50" w:after="50"/>
            </w:pPr>
            <w:r w:rsidRPr="00B1499A">
              <w:t>Yes (2), No (0/FAIL)</w:t>
            </w:r>
          </w:p>
        </w:tc>
      </w:tr>
      <w:tr w:rsidR="007705B4" w:rsidRPr="00B1499A" w14:paraId="5E22811D" w14:textId="77777777" w:rsidTr="00CA02BC">
        <w:trPr>
          <w:trHeight w:val="70"/>
        </w:trPr>
        <w:tc>
          <w:tcPr>
            <w:tcW w:w="680" w:type="dxa"/>
            <w:tcBorders>
              <w:top w:val="single" w:sz="4" w:space="0" w:color="auto"/>
              <w:bottom w:val="single" w:sz="4" w:space="0" w:color="auto"/>
            </w:tcBorders>
            <w:hideMark/>
          </w:tcPr>
          <w:p w14:paraId="2A86F98F" w14:textId="77777777" w:rsidR="007705B4" w:rsidRPr="00B1499A" w:rsidRDefault="007705B4" w:rsidP="00E2749F">
            <w:pPr>
              <w:pStyle w:val="TableText"/>
              <w:spacing w:before="50" w:after="50"/>
            </w:pPr>
          </w:p>
        </w:tc>
        <w:tc>
          <w:tcPr>
            <w:tcW w:w="6833" w:type="dxa"/>
            <w:tcBorders>
              <w:top w:val="single" w:sz="4" w:space="0" w:color="auto"/>
              <w:bottom w:val="single" w:sz="4" w:space="0" w:color="auto"/>
            </w:tcBorders>
            <w:vAlign w:val="center"/>
            <w:hideMark/>
          </w:tcPr>
          <w:p w14:paraId="678D9F1D" w14:textId="085EA968" w:rsidR="007705B4" w:rsidRPr="00B1499A" w:rsidRDefault="007705B4" w:rsidP="00E2749F">
            <w:pPr>
              <w:pStyle w:val="TableText"/>
              <w:spacing w:before="50" w:after="50"/>
              <w:rPr>
                <w:color w:val="000000"/>
              </w:rPr>
            </w:pPr>
            <w:r w:rsidRPr="009D7457">
              <w:rPr>
                <w:color w:val="000000"/>
              </w:rPr>
              <w:t>M</w:t>
            </w:r>
            <w:r>
              <w:rPr>
                <w:color w:val="000000"/>
              </w:rPr>
              <w:t>aximum sub-total for Part C = 20</w:t>
            </w:r>
          </w:p>
        </w:tc>
        <w:tc>
          <w:tcPr>
            <w:tcW w:w="1700" w:type="dxa"/>
            <w:tcBorders>
              <w:top w:val="single" w:sz="4" w:space="0" w:color="auto"/>
              <w:bottom w:val="single" w:sz="4" w:space="0" w:color="auto"/>
            </w:tcBorders>
            <w:vAlign w:val="center"/>
          </w:tcPr>
          <w:p w14:paraId="1720BDEA" w14:textId="40466496" w:rsidR="007705B4" w:rsidRPr="00B1499A" w:rsidRDefault="007705B4" w:rsidP="00E2749F">
            <w:pPr>
              <w:pStyle w:val="TableText"/>
              <w:spacing w:before="50" w:after="50"/>
              <w:rPr>
                <w:color w:val="000000"/>
              </w:rPr>
            </w:pPr>
          </w:p>
        </w:tc>
      </w:tr>
      <w:tr w:rsidR="007705B4" w:rsidRPr="00163D3D" w14:paraId="7FB05438" w14:textId="77777777" w:rsidTr="00CA02BC">
        <w:trPr>
          <w:trHeight w:val="70"/>
        </w:trPr>
        <w:tc>
          <w:tcPr>
            <w:tcW w:w="680" w:type="dxa"/>
            <w:tcBorders>
              <w:top w:val="single" w:sz="4" w:space="0" w:color="auto"/>
              <w:bottom w:val="single" w:sz="12" w:space="0" w:color="auto"/>
            </w:tcBorders>
          </w:tcPr>
          <w:p w14:paraId="6CC01DD5" w14:textId="77777777" w:rsidR="007705B4" w:rsidRPr="00163D3D" w:rsidRDefault="007705B4" w:rsidP="00E2749F">
            <w:pPr>
              <w:pStyle w:val="TableText"/>
              <w:spacing w:before="50" w:after="50"/>
            </w:pPr>
          </w:p>
        </w:tc>
        <w:tc>
          <w:tcPr>
            <w:tcW w:w="6833" w:type="dxa"/>
            <w:tcBorders>
              <w:top w:val="single" w:sz="4" w:space="0" w:color="auto"/>
              <w:bottom w:val="single" w:sz="12" w:space="0" w:color="auto"/>
            </w:tcBorders>
            <w:vAlign w:val="center"/>
          </w:tcPr>
          <w:p w14:paraId="404D1464" w14:textId="5AA810DC" w:rsidR="007705B4" w:rsidRPr="00163D3D" w:rsidRDefault="007705B4" w:rsidP="00E2749F">
            <w:pPr>
              <w:pStyle w:val="TableText"/>
              <w:spacing w:before="50" w:after="50"/>
            </w:pPr>
            <w:r w:rsidRPr="00163D3D">
              <w:t>M</w:t>
            </w:r>
            <w:r>
              <w:t xml:space="preserve">aximum total for parts </w:t>
            </w:r>
            <w:r w:rsidRPr="00163D3D">
              <w:t>A</w:t>
            </w:r>
            <w:r>
              <w:t xml:space="preserve"> +</w:t>
            </w:r>
            <w:r w:rsidRPr="00163D3D">
              <w:t xml:space="preserve"> B </w:t>
            </w:r>
            <w:r>
              <w:t>+</w:t>
            </w:r>
            <w:r w:rsidRPr="00163D3D">
              <w:t xml:space="preserve"> C </w:t>
            </w:r>
            <w:r>
              <w:t>=</w:t>
            </w:r>
            <w:r w:rsidRPr="00163D3D">
              <w:t xml:space="preserve"> 9</w:t>
            </w:r>
            <w:r>
              <w:t>7</w:t>
            </w:r>
          </w:p>
        </w:tc>
        <w:tc>
          <w:tcPr>
            <w:tcW w:w="1700" w:type="dxa"/>
            <w:tcBorders>
              <w:top w:val="single" w:sz="4" w:space="0" w:color="auto"/>
              <w:bottom w:val="single" w:sz="12" w:space="0" w:color="auto"/>
            </w:tcBorders>
            <w:vAlign w:val="center"/>
          </w:tcPr>
          <w:p w14:paraId="21456E97" w14:textId="71B177C7" w:rsidR="007705B4" w:rsidRPr="00163D3D" w:rsidRDefault="007705B4" w:rsidP="00E2749F">
            <w:pPr>
              <w:pStyle w:val="TableText"/>
              <w:spacing w:before="50" w:after="50"/>
            </w:pPr>
          </w:p>
        </w:tc>
      </w:tr>
    </w:tbl>
    <w:p w14:paraId="6F794B66" w14:textId="77777777" w:rsidR="00A115F7" w:rsidRDefault="00A115F7" w:rsidP="004D7186">
      <w:pPr>
        <w:pStyle w:val="FigureTableNoteSource"/>
        <w:rPr>
          <w:lang w:eastAsia="ja-JP"/>
        </w:rPr>
      </w:pPr>
      <w:r w:rsidRPr="0026617C">
        <w:rPr>
          <w:lang w:eastAsia="ja-JP"/>
        </w:rPr>
        <w:t xml:space="preserve">Source: </w:t>
      </w:r>
      <w:r>
        <w:rPr>
          <w:lang w:eastAsia="ja-JP"/>
        </w:rPr>
        <w:t>Updated from Warne et al. (2018).</w:t>
      </w:r>
    </w:p>
    <w:p w14:paraId="2A9BDF7B" w14:textId="6AF257B2" w:rsidR="00A115F7" w:rsidRDefault="00A115F7" w:rsidP="00666E63">
      <w:pPr>
        <w:pStyle w:val="FigureTableNoteSource"/>
      </w:pPr>
      <w:r w:rsidRPr="57352DF8">
        <w:rPr>
          <w:vertAlign w:val="superscript"/>
        </w:rPr>
        <w:t>a</w:t>
      </w:r>
      <w:r w:rsidRPr="57352DF8">
        <w:t xml:space="preserve"> Where a question has a possible </w:t>
      </w:r>
      <w:r w:rsidR="00666E63">
        <w:t>‘</w:t>
      </w:r>
      <w:r w:rsidRPr="57352DF8">
        <w:t>No (0/FAIL)</w:t>
      </w:r>
      <w:r w:rsidR="00666E63">
        <w:t>’</w:t>
      </w:r>
      <w:r w:rsidRPr="57352DF8">
        <w:t xml:space="preserve"> outcome, professional </w:t>
      </w:r>
      <w:r w:rsidR="00E53721">
        <w:t>judgement</w:t>
      </w:r>
      <w:r w:rsidRPr="57352DF8">
        <w:t xml:space="preserve"> may be required to determine if a 0 is assigned or if the test fails the quality</w:t>
      </w:r>
      <w:r w:rsidR="00666E63">
        <w:t>-</w:t>
      </w:r>
      <w:r w:rsidRPr="57352DF8">
        <w:t>assessment process.</w:t>
      </w:r>
    </w:p>
    <w:p w14:paraId="4A65CF96" w14:textId="77777777" w:rsidR="006C5761" w:rsidRDefault="00A115F7" w:rsidP="006C5761">
      <w:pPr>
        <w:pStyle w:val="FigureTableNoteSource"/>
      </w:pPr>
      <w:r w:rsidRPr="00C35A81">
        <w:rPr>
          <w:vertAlign w:val="superscript"/>
        </w:rPr>
        <w:t>b</w:t>
      </w:r>
      <w:r w:rsidRPr="00C35A81">
        <w:t xml:space="preserve"> See </w:t>
      </w:r>
      <w:r w:rsidR="00C35A81" w:rsidRPr="00C35A81">
        <w:fldChar w:fldCharType="begin"/>
      </w:r>
      <w:r w:rsidR="00C35A81" w:rsidRPr="00C35A81">
        <w:instrText xml:space="preserve"> REF _Ref520276250 \h </w:instrText>
      </w:r>
      <w:r w:rsidR="00C35A81">
        <w:instrText xml:space="preserve"> \* MERGEFORMAT </w:instrText>
      </w:r>
      <w:r w:rsidR="00C35A81" w:rsidRPr="00C35A81">
        <w:fldChar w:fldCharType="separate"/>
      </w:r>
    </w:p>
    <w:p w14:paraId="4F2F5775" w14:textId="383B2FCC" w:rsidR="00A278F6" w:rsidRDefault="006C5761" w:rsidP="00666E63">
      <w:pPr>
        <w:pStyle w:val="FigureTableNoteSource"/>
      </w:pPr>
      <w:r w:rsidRPr="57352DF8">
        <w:t>Table</w:t>
      </w:r>
      <w:r>
        <w:t> </w:t>
      </w:r>
      <w:r>
        <w:rPr>
          <w:noProof/>
        </w:rPr>
        <w:t>2</w:t>
      </w:r>
      <w:r w:rsidR="00C35A81" w:rsidRPr="00C35A81">
        <w:fldChar w:fldCharType="end"/>
      </w:r>
      <w:r w:rsidR="00A115F7" w:rsidRPr="00C35A81">
        <w:t xml:space="preserve"> for </w:t>
      </w:r>
      <w:r w:rsidR="00A115F7" w:rsidRPr="00666E63">
        <w:t>additional</w:t>
      </w:r>
      <w:r w:rsidR="00A115F7" w:rsidRPr="00C35A81">
        <w:t xml:space="preserve"> guidance.</w:t>
      </w:r>
    </w:p>
    <w:p w14:paraId="732C31AB" w14:textId="77777777" w:rsidR="00A92090" w:rsidRDefault="00A92090" w:rsidP="00FD6F19"/>
    <w:p w14:paraId="72D1311B" w14:textId="77777777" w:rsidR="00FD6F19" w:rsidRDefault="00FD6F19" w:rsidP="00FD6F19">
      <w:pPr>
        <w:pStyle w:val="Heading4"/>
        <w:rPr>
          <w:lang w:eastAsia="ja-JP"/>
        </w:rPr>
      </w:pPr>
      <w:bookmarkStart w:id="83" w:name="_Ref522008082"/>
      <w:r>
        <w:rPr>
          <w:lang w:eastAsia="ja-JP"/>
        </w:rPr>
        <w:t>Field-based, microcosm and mesocosm data</w:t>
      </w:r>
      <w:bookmarkEnd w:id="83"/>
    </w:p>
    <w:p w14:paraId="7B83539A" w14:textId="77777777" w:rsidR="006C5761" w:rsidRDefault="00FD6F19">
      <w:pPr>
        <w:spacing w:before="0" w:after="0" w:line="240" w:lineRule="auto"/>
      </w:pPr>
      <w:r>
        <w:t>Field-based, microcosm and mesocosm data are generated using different methods to those used to generate laboratory-based data, as they are trying to be more environmentally realistic. Therefore, a different (non-quantitative) quality-assessment scheme is used, although many of the key elements are the same as the laboratory-based data assessment (</w:t>
      </w:r>
      <w:r>
        <w:fldChar w:fldCharType="begin"/>
      </w:r>
      <w:r>
        <w:instrText xml:space="preserve"> REF _Ref202087490 \h </w:instrText>
      </w:r>
      <w:r>
        <w:fldChar w:fldCharType="separate"/>
      </w:r>
      <w:r w:rsidR="006C5761">
        <w:rPr>
          <w:b/>
          <w:bCs/>
        </w:rPr>
        <w:br w:type="page"/>
      </w:r>
    </w:p>
    <w:p w14:paraId="5E55D5CA" w14:textId="220708D4" w:rsidR="00FD6F19" w:rsidRDefault="006C5761" w:rsidP="00FD6F19">
      <w:r>
        <w:lastRenderedPageBreak/>
        <w:t>Table </w:t>
      </w:r>
      <w:r>
        <w:rPr>
          <w:noProof/>
        </w:rPr>
        <w:t>3</w:t>
      </w:r>
      <w:r w:rsidR="00FD6F19">
        <w:fldChar w:fldCharType="end"/>
      </w:r>
      <w:r w:rsidR="00FD6F19">
        <w:t xml:space="preserve">). The quality of field-based, microcosm and mesocosm data should be assessed using a combination of factors considered crucial by the OECD (1992) and the European Commission (2018), as summarised below. Note that some of these factors are also relevant to laboratory, single-species toxicity testing, and assessment of the overall reliability of such tests should also take these factors into consideration (most of which are captured in the formal quality-assessment process – see Section </w:t>
      </w:r>
      <w:r w:rsidR="00FD6F19">
        <w:fldChar w:fldCharType="begin"/>
      </w:r>
      <w:r w:rsidR="00FD6F19">
        <w:instrText xml:space="preserve"> REF _Ref522007975 \r \h </w:instrText>
      </w:r>
      <w:r w:rsidR="00FD6F19">
        <w:fldChar w:fldCharType="separate"/>
      </w:r>
      <w:r>
        <w:t>3.3.1</w:t>
      </w:r>
      <w:r w:rsidR="00FD6F19">
        <w:fldChar w:fldCharType="end"/>
      </w:r>
      <w:r w:rsidR="00FD6F19">
        <w:t>).</w:t>
      </w:r>
    </w:p>
    <w:p w14:paraId="1DF77F53" w14:textId="77777777" w:rsidR="00FD6F19" w:rsidRPr="00A276A1" w:rsidRDefault="00FD6F19" w:rsidP="00FD6F19">
      <w:r w:rsidRPr="00A276A1">
        <w:t>For field-based, microcosm and mesocosm data to be considered of acceptable quality and, therefore, suitable to derive GVs (either by themselves or in combination with laboratory-based data) or to ground-truth laboratory-based GVs, they should</w:t>
      </w:r>
      <w:r>
        <w:t xml:space="preserve"> meet all or at least most of the following criteria</w:t>
      </w:r>
      <w:r w:rsidRPr="00A276A1">
        <w:t>:</w:t>
      </w:r>
    </w:p>
    <w:p w14:paraId="3ADC5DEE" w14:textId="77777777" w:rsidR="00FD6F19" w:rsidRPr="00A276A1" w:rsidRDefault="00FD6F19" w:rsidP="00FD6F19">
      <w:pPr>
        <w:pStyle w:val="ListBullet"/>
      </w:pPr>
      <w:r>
        <w:t xml:space="preserve">have an adequate and </w:t>
      </w:r>
      <w:r w:rsidRPr="00FC28C6">
        <w:t>unambiguous</w:t>
      </w:r>
      <w:r>
        <w:t xml:space="preserve"> experimental set up, including a toxicant exposure regime, that reflects:</w:t>
      </w:r>
    </w:p>
    <w:p w14:paraId="330C57F1" w14:textId="77777777" w:rsidR="00FD6F19" w:rsidRPr="00FC28C6" w:rsidRDefault="00FD6F19" w:rsidP="00FD6F19">
      <w:pPr>
        <w:pStyle w:val="ListBullet2"/>
      </w:pPr>
      <w:r w:rsidRPr="00FC28C6">
        <w:t>exposure in the field, including the relevant exposure pathways and fate of the toxicant</w:t>
      </w:r>
    </w:p>
    <w:p w14:paraId="7B968247" w14:textId="77777777" w:rsidR="00FD6F19" w:rsidRPr="00A276A1" w:rsidRDefault="00FD6F19" w:rsidP="00FD6F19">
      <w:pPr>
        <w:pStyle w:val="ListBullet2"/>
      </w:pPr>
      <w:r w:rsidRPr="00FC28C6">
        <w:t>me</w:t>
      </w:r>
      <w:r w:rsidRPr="00BF03D7">
        <w:t>asurement</w:t>
      </w:r>
      <w:r w:rsidRPr="00A276A1">
        <w:t xml:space="preserve"> of chemicals</w:t>
      </w:r>
    </w:p>
    <w:p w14:paraId="24F22B04" w14:textId="2BD84C82" w:rsidR="0026617C" w:rsidRPr="00C73F99" w:rsidRDefault="0026617C" w:rsidP="00FC28C6">
      <w:pPr>
        <w:pStyle w:val="ListBullet"/>
      </w:pPr>
      <w:r w:rsidRPr="57352DF8">
        <w:t xml:space="preserve">have </w:t>
      </w:r>
      <w:r w:rsidR="00090D7E" w:rsidRPr="00A43A52">
        <w:t>≥</w:t>
      </w:r>
      <w:r w:rsidR="00090D7E">
        <w:t xml:space="preserve"> </w:t>
      </w:r>
      <w:r w:rsidR="00C64837">
        <w:t>3</w:t>
      </w:r>
      <w:r w:rsidRPr="57352DF8">
        <w:t xml:space="preserve"> concentration treatments, a suitable control and appropriate replication</w:t>
      </w:r>
      <w:r w:rsidR="00F65E0F" w:rsidRPr="57352DF8">
        <w:t xml:space="preserve">. </w:t>
      </w:r>
      <w:r w:rsidR="00222229" w:rsidRPr="57352DF8">
        <w:t xml:space="preserve">Control performance should be reported and deemed to be acceptable. </w:t>
      </w:r>
      <w:r w:rsidR="00F65E0F" w:rsidRPr="57352DF8">
        <w:t>T</w:t>
      </w:r>
      <w:r w:rsidRPr="57352DF8">
        <w:t xml:space="preserve">he required degree of replication depends on the statistical method used to calculate the toxicity. If a hypothesis-based method is used to calculate NOECs or LOECs, treatments should be </w:t>
      </w:r>
      <w:r w:rsidR="006139BB" w:rsidRPr="57352DF8">
        <w:t xml:space="preserve">replicated </w:t>
      </w:r>
      <w:r w:rsidRPr="57352DF8">
        <w:t xml:space="preserve">at least in triplicate. </w:t>
      </w:r>
      <w:r w:rsidR="006139BB" w:rsidRPr="57352DF8">
        <w:t>H</w:t>
      </w:r>
      <w:r w:rsidRPr="57352DF8">
        <w:t xml:space="preserve">owever, </w:t>
      </w:r>
      <w:r w:rsidR="006139BB" w:rsidRPr="57352DF8">
        <w:t xml:space="preserve">if </w:t>
      </w:r>
      <w:r w:rsidRPr="57352DF8">
        <w:t xml:space="preserve">a regression method </w:t>
      </w:r>
      <w:r w:rsidR="006139BB" w:rsidRPr="57352DF8">
        <w:t xml:space="preserve">is </w:t>
      </w:r>
      <w:r w:rsidRPr="57352DF8">
        <w:t>used to calculate the toxicity</w:t>
      </w:r>
      <w:r w:rsidR="68BFB5DC" w:rsidRPr="57352DF8">
        <w:t>,</w:t>
      </w:r>
      <w:r w:rsidRPr="57352DF8">
        <w:t xml:space="preserve"> no replication is required</w:t>
      </w:r>
      <w:r w:rsidR="005D127D">
        <w:t>,</w:t>
      </w:r>
      <w:r w:rsidR="00937B11" w:rsidRPr="57352DF8">
        <w:t xml:space="preserve"> but</w:t>
      </w:r>
      <w:r w:rsidRPr="57352DF8">
        <w:t xml:space="preserve"> the number of treatments </w:t>
      </w:r>
      <w:r w:rsidR="000C01DB">
        <w:t xml:space="preserve">should be increased </w:t>
      </w:r>
      <w:r w:rsidRPr="57352DF8">
        <w:t xml:space="preserve">to </w:t>
      </w:r>
      <w:r w:rsidR="00694B12" w:rsidRPr="00A43A52">
        <w:t>≥</w:t>
      </w:r>
      <w:r w:rsidR="00694B12">
        <w:t xml:space="preserve"> </w:t>
      </w:r>
      <w:r w:rsidR="00C64837">
        <w:t>6</w:t>
      </w:r>
      <w:r w:rsidR="00F65E0F" w:rsidRPr="57352DF8">
        <w:t>.</w:t>
      </w:r>
      <w:r w:rsidR="00305AC0" w:rsidRPr="57352DF8">
        <w:t xml:space="preserve"> Ultimately, the design should permit a sound statistical evaluation</w:t>
      </w:r>
    </w:p>
    <w:p w14:paraId="79690759" w14:textId="77777777" w:rsidR="0026617C" w:rsidRPr="00F17AD3" w:rsidRDefault="0026617C" w:rsidP="00FC28C6">
      <w:pPr>
        <w:pStyle w:val="ListBullet"/>
      </w:pPr>
      <w:r w:rsidRPr="00F17AD3">
        <w:t xml:space="preserve">have a realistic biological </w:t>
      </w:r>
      <w:r w:rsidRPr="00FC28C6">
        <w:t>community</w:t>
      </w:r>
      <w:r w:rsidRPr="00F17AD3">
        <w:t xml:space="preserve"> that</w:t>
      </w:r>
    </w:p>
    <w:p w14:paraId="77020460" w14:textId="5E8A5048" w:rsidR="00B679A4" w:rsidRDefault="00F61D38" w:rsidP="00FC28C6">
      <w:pPr>
        <w:pStyle w:val="ListBullet2"/>
      </w:pPr>
      <w:r w:rsidRPr="57352DF8">
        <w:t>is</w:t>
      </w:r>
      <w:r w:rsidR="0026617C" w:rsidRPr="57352DF8">
        <w:t xml:space="preserve"> representative of the taxa distribution and trophic structure in the ecosystem being assessed and </w:t>
      </w:r>
      <w:r w:rsidR="0026617C" w:rsidRPr="00FC28C6">
        <w:t>should</w:t>
      </w:r>
      <w:r w:rsidR="0026617C" w:rsidRPr="57352DF8">
        <w:t xml:space="preserve"> contain at least invertebrates, phototrophs and organisms associated with nutrient cycling. </w:t>
      </w:r>
      <w:r w:rsidR="00C710A0" w:rsidRPr="57352DF8">
        <w:t xml:space="preserve">While fish </w:t>
      </w:r>
      <w:r w:rsidR="7EBD63B6" w:rsidRPr="57352DF8">
        <w:t>c</w:t>
      </w:r>
      <w:r w:rsidR="0026617C" w:rsidRPr="57352DF8">
        <w:t xml:space="preserve">ould be included, this may not be possible for either </w:t>
      </w:r>
      <w:r w:rsidR="000B760C" w:rsidRPr="57352DF8">
        <w:t>practical</w:t>
      </w:r>
      <w:r w:rsidR="0026617C" w:rsidRPr="57352DF8">
        <w:t xml:space="preserve"> reasons (the fish may eat the other test organisms) or ethical reasons (the use of fish may be precluded by animal ethics)</w:t>
      </w:r>
    </w:p>
    <w:p w14:paraId="74A1E4B9" w14:textId="06B45F8D" w:rsidR="0026617C" w:rsidRPr="00F17AD3" w:rsidRDefault="0026617C" w:rsidP="00FC28C6">
      <w:pPr>
        <w:pStyle w:val="ListBullet2"/>
      </w:pPr>
      <w:r w:rsidRPr="57352DF8">
        <w:t>contain</w:t>
      </w:r>
      <w:r w:rsidR="00F61D38" w:rsidRPr="57352DF8">
        <w:t>s</w:t>
      </w:r>
      <w:r w:rsidRPr="57352DF8">
        <w:t xml:space="preserve"> taxa sensitive to the mode of action of the toxicant</w:t>
      </w:r>
      <w:r w:rsidR="007F2206" w:rsidRPr="57352DF8">
        <w:t>, as best as can reasonably be predicted</w:t>
      </w:r>
    </w:p>
    <w:p w14:paraId="1FCE4C7D" w14:textId="32995840" w:rsidR="0026617C" w:rsidRPr="00FC28C6" w:rsidRDefault="0026617C" w:rsidP="00FC28C6">
      <w:pPr>
        <w:pStyle w:val="ListBullet"/>
      </w:pPr>
      <w:r w:rsidRPr="57352DF8">
        <w:t xml:space="preserve">measure sensitive </w:t>
      </w:r>
      <w:r w:rsidRPr="00FC28C6">
        <w:t>endpoints consistent with the mode of action of the toxicant</w:t>
      </w:r>
      <w:r w:rsidR="001A6DE3" w:rsidRPr="00FC28C6">
        <w:t>, as best as can reasonably be predicted</w:t>
      </w:r>
    </w:p>
    <w:p w14:paraId="48592A48" w14:textId="42A23420" w:rsidR="0026617C" w:rsidRPr="00FC28C6" w:rsidRDefault="0026617C" w:rsidP="00FC28C6">
      <w:pPr>
        <w:pStyle w:val="ListBullet"/>
      </w:pPr>
      <w:r w:rsidRPr="00FC28C6">
        <w:t>measure chemical and physical properties that are known to, or are likely to, affect exposure to the toxicant or the bioavailability</w:t>
      </w:r>
      <w:r w:rsidR="007F2206" w:rsidRPr="00FC28C6">
        <w:t>, at appropriate intervals throughout the duration of the study</w:t>
      </w:r>
    </w:p>
    <w:p w14:paraId="1FB7E1F4" w14:textId="5C1544D8" w:rsidR="0026617C" w:rsidRPr="00FC28C6" w:rsidRDefault="0026617C" w:rsidP="00FC28C6">
      <w:pPr>
        <w:pStyle w:val="ListBullet"/>
      </w:pPr>
      <w:r w:rsidRPr="00FC28C6">
        <w:t>permit concentration</w:t>
      </w:r>
      <w:r w:rsidR="008D2AA8" w:rsidRPr="00FC28C6">
        <w:t>-</w:t>
      </w:r>
      <w:r w:rsidRPr="00FC28C6">
        <w:t>response curves for individual contaminants to be derived</w:t>
      </w:r>
    </w:p>
    <w:p w14:paraId="236EC805" w14:textId="31490C2A" w:rsidR="00B679A4" w:rsidRPr="00FC28C6" w:rsidRDefault="0026617C" w:rsidP="00FC28C6">
      <w:pPr>
        <w:pStyle w:val="ListBullet"/>
      </w:pPr>
      <w:r w:rsidRPr="00FC28C6">
        <w:t>measure individual</w:t>
      </w:r>
      <w:r w:rsidR="006B307B">
        <w:t>-level</w:t>
      </w:r>
      <w:r w:rsidRPr="00FC28C6">
        <w:t>, population</w:t>
      </w:r>
      <w:r w:rsidR="006B307B">
        <w:t>-level</w:t>
      </w:r>
      <w:r w:rsidRPr="00FC28C6">
        <w:t xml:space="preserve"> or community</w:t>
      </w:r>
      <w:r w:rsidR="006B307B">
        <w:t>-</w:t>
      </w:r>
      <w:r w:rsidRPr="00FC28C6">
        <w:t>level endpoints</w:t>
      </w:r>
    </w:p>
    <w:p w14:paraId="6BFC25EE" w14:textId="21BDB002" w:rsidR="00B679A4" w:rsidRPr="00FC28C6" w:rsidRDefault="0026617C" w:rsidP="00FC28C6">
      <w:pPr>
        <w:pStyle w:val="ListBullet"/>
      </w:pPr>
      <w:r w:rsidRPr="00FC28C6">
        <w:t xml:space="preserve">be of sufficient duration to account for a significant proportion of </w:t>
      </w:r>
      <w:r w:rsidR="008E6376" w:rsidRPr="00FC28C6">
        <w:t xml:space="preserve">the </w:t>
      </w:r>
      <w:r w:rsidR="00B43C33">
        <w:t xml:space="preserve">test </w:t>
      </w:r>
      <w:r w:rsidR="00B43C33" w:rsidRPr="00FC28C6">
        <w:t>organism</w:t>
      </w:r>
      <w:r w:rsidR="00B43C33">
        <w:t>s’</w:t>
      </w:r>
      <w:r w:rsidR="00B43C33" w:rsidRPr="00FC28C6">
        <w:t xml:space="preserve"> </w:t>
      </w:r>
      <w:r w:rsidR="008E6376" w:rsidRPr="00FC28C6">
        <w:t>life span</w:t>
      </w:r>
      <w:r w:rsidR="00B43C33">
        <w:t>s</w:t>
      </w:r>
    </w:p>
    <w:p w14:paraId="738806B4" w14:textId="2D0AB455" w:rsidR="008E6376" w:rsidRDefault="0026617C" w:rsidP="00FC28C6">
      <w:pPr>
        <w:pStyle w:val="ListBullet"/>
      </w:pPr>
      <w:r w:rsidRPr="00FC28C6">
        <w:t>be of sufficient duration</w:t>
      </w:r>
      <w:r w:rsidRPr="57352DF8">
        <w:t xml:space="preserve"> to reflect the persistence of the toxicant</w:t>
      </w:r>
      <w:r w:rsidR="00D25A94" w:rsidRPr="57352DF8">
        <w:t>, as best as can be reasonably achieved</w:t>
      </w:r>
      <w:r w:rsidRPr="57352DF8">
        <w:t>.</w:t>
      </w:r>
    </w:p>
    <w:p w14:paraId="00A12826" w14:textId="037C3476" w:rsidR="006F6EE0" w:rsidRDefault="009B09F1" w:rsidP="004D7186">
      <w:r w:rsidRPr="57352DF8">
        <w:t xml:space="preserve">Although </w:t>
      </w:r>
      <w:r w:rsidR="005A02CA" w:rsidRPr="57352DF8">
        <w:t xml:space="preserve">it is possible to </w:t>
      </w:r>
      <w:r w:rsidR="00445BCF" w:rsidRPr="57352DF8">
        <w:t xml:space="preserve">generate </w:t>
      </w:r>
      <w:r w:rsidRPr="57352DF8">
        <w:t>sufficient toxicity data from a single field-based, microcosm or mesocosm study</w:t>
      </w:r>
      <w:r w:rsidR="00445BCF" w:rsidRPr="57352DF8">
        <w:t xml:space="preserve"> to derive a DGV</w:t>
      </w:r>
      <w:r w:rsidRPr="57352DF8">
        <w:t xml:space="preserve">, this is not acceptable. Data from multiple </w:t>
      </w:r>
      <w:r w:rsidR="00F234BF" w:rsidRPr="57352DF8">
        <w:t xml:space="preserve">such </w:t>
      </w:r>
      <w:r w:rsidR="008E6376" w:rsidRPr="57352DF8">
        <w:t>studies</w:t>
      </w:r>
      <w:r w:rsidRPr="57352DF8">
        <w:t xml:space="preserve"> are required</w:t>
      </w:r>
      <w:r w:rsidR="00BE1AB3" w:rsidRPr="57352DF8">
        <w:t xml:space="preserve"> to derive a DGV </w:t>
      </w:r>
      <w:r w:rsidR="00892F59">
        <w:t xml:space="preserve">that is </w:t>
      </w:r>
      <w:r w:rsidR="00BE1AB3" w:rsidRPr="57352DF8">
        <w:t xml:space="preserve">based on </w:t>
      </w:r>
      <w:r w:rsidR="003519BF" w:rsidRPr="57352DF8">
        <w:t>microcosm or mesocosm data only. Alternatively,</w:t>
      </w:r>
      <w:r w:rsidR="008E6376" w:rsidRPr="57352DF8">
        <w:t xml:space="preserve"> </w:t>
      </w:r>
      <w:r w:rsidRPr="57352DF8">
        <w:t xml:space="preserve">data from </w:t>
      </w:r>
      <w:r w:rsidRPr="57352DF8">
        <w:lastRenderedPageBreak/>
        <w:t xml:space="preserve">microcosm or mesocosm </w:t>
      </w:r>
      <w:r w:rsidR="003519BF" w:rsidRPr="57352DF8">
        <w:t xml:space="preserve">studies can </w:t>
      </w:r>
      <w:r w:rsidRPr="57352DF8">
        <w:t xml:space="preserve">be combined </w:t>
      </w:r>
      <w:r w:rsidR="00B37C26" w:rsidRPr="57352DF8">
        <w:t xml:space="preserve">in an SSD </w:t>
      </w:r>
      <w:r w:rsidRPr="57352DF8">
        <w:t xml:space="preserve">with data from </w:t>
      </w:r>
      <w:r w:rsidR="00B37C26" w:rsidRPr="57352DF8">
        <w:t>single</w:t>
      </w:r>
      <w:r w:rsidR="007A6180">
        <w:t>-</w:t>
      </w:r>
      <w:r w:rsidR="00B37C26" w:rsidRPr="57352DF8">
        <w:t xml:space="preserve">species </w:t>
      </w:r>
      <w:r w:rsidRPr="57352DF8">
        <w:t>laboratory toxicity tests</w:t>
      </w:r>
      <w:r w:rsidR="007A6180">
        <w:t>,</w:t>
      </w:r>
      <w:r w:rsidRPr="57352DF8">
        <w:t xml:space="preserve"> </w:t>
      </w:r>
      <w:r w:rsidR="08003667" w:rsidRPr="57352DF8">
        <w:t>provided that</w:t>
      </w:r>
      <w:r w:rsidR="000C1FD8" w:rsidRPr="57352DF8">
        <w:t xml:space="preserve"> the microcosm or mesocosm data are reported for individual species, and it can be reasonably assumed that the individual responses are a direct result of exposure </w:t>
      </w:r>
      <w:r w:rsidR="00F0091A" w:rsidRPr="57352DF8">
        <w:t xml:space="preserve">to </w:t>
      </w:r>
      <w:r w:rsidR="000C1FD8" w:rsidRPr="57352DF8">
        <w:t>the toxicant and not a result of overall community or ecosystem changes in the mesocosm across concentrations</w:t>
      </w:r>
      <w:r w:rsidR="00F05741" w:rsidRPr="57352DF8">
        <w:t xml:space="preserve">. Effects data reported for higher taxonomic levels (e.g. </w:t>
      </w:r>
      <w:r w:rsidR="00960FF7" w:rsidRPr="57352DF8">
        <w:t>genus</w:t>
      </w:r>
      <w:r w:rsidR="007A6180">
        <w:t>,</w:t>
      </w:r>
      <w:r w:rsidR="00960FF7" w:rsidRPr="57352DF8">
        <w:t xml:space="preserve"> </w:t>
      </w:r>
      <w:r w:rsidR="00F05741" w:rsidRPr="57352DF8">
        <w:t xml:space="preserve">family) should not be used in an SSD </w:t>
      </w:r>
      <w:r w:rsidR="00F0091A" w:rsidRPr="57352DF8">
        <w:t xml:space="preserve">that </w:t>
      </w:r>
      <w:r w:rsidR="00914813" w:rsidRPr="57352DF8">
        <w:t>includes</w:t>
      </w:r>
      <w:r w:rsidR="00813BDC" w:rsidRPr="57352DF8">
        <w:t xml:space="preserve"> individual</w:t>
      </w:r>
      <w:r w:rsidR="00332CFB">
        <w:t>-</w:t>
      </w:r>
      <w:r w:rsidR="00813BDC" w:rsidRPr="57352DF8">
        <w:t xml:space="preserve">species data. </w:t>
      </w:r>
      <w:r w:rsidR="009D4364" w:rsidRPr="57352DF8">
        <w:t xml:space="preserve">If data from microcosm or mesocosm studies are not suitable for inclusion in </w:t>
      </w:r>
      <w:r w:rsidR="00914813" w:rsidRPr="57352DF8">
        <w:t>an SSD</w:t>
      </w:r>
      <w:r w:rsidR="009D4364" w:rsidRPr="57352DF8">
        <w:t>, they can be used as an additional line of evidence for helping to validate the final GVs.</w:t>
      </w:r>
      <w:r w:rsidR="002B5962" w:rsidRPr="57352DF8">
        <w:t xml:space="preserve"> </w:t>
      </w:r>
      <w:r w:rsidR="00DD7297" w:rsidRPr="57352DF8">
        <w:t xml:space="preserve">Where </w:t>
      </w:r>
      <w:r w:rsidR="006F6EE0" w:rsidRPr="57352DF8">
        <w:t xml:space="preserve">DGVs </w:t>
      </w:r>
      <w:r w:rsidR="00DD7297" w:rsidRPr="57352DF8">
        <w:t xml:space="preserve">are to be </w:t>
      </w:r>
      <w:r w:rsidR="006F6EE0" w:rsidRPr="57352DF8">
        <w:t xml:space="preserve">derived using data </w:t>
      </w:r>
      <w:r w:rsidR="00DD7297" w:rsidRPr="57352DF8">
        <w:t xml:space="preserve">solely </w:t>
      </w:r>
      <w:r w:rsidR="006F6EE0" w:rsidRPr="57352DF8">
        <w:t>from field-based, microcosm or mesocosm studies</w:t>
      </w:r>
      <w:r w:rsidR="00DD7297" w:rsidRPr="57352DF8">
        <w:t>,</w:t>
      </w:r>
      <w:r w:rsidR="006F6EE0" w:rsidRPr="57352DF8">
        <w:t xml:space="preserve"> the method detailed in this report</w:t>
      </w:r>
      <w:r w:rsidR="00DD7297" w:rsidRPr="57352DF8">
        <w:t xml:space="preserve"> should be used</w:t>
      </w:r>
      <w:r w:rsidR="005F7D08" w:rsidRPr="57352DF8">
        <w:t xml:space="preserve"> unless an appropriate alternative method can be justified</w:t>
      </w:r>
      <w:r w:rsidR="006F6EE0" w:rsidRPr="57352DF8">
        <w:t>.</w:t>
      </w:r>
    </w:p>
    <w:p w14:paraId="0289732D" w14:textId="05DA258B" w:rsidR="009B09F1" w:rsidRDefault="009B09F1" w:rsidP="004D7186">
      <w:r w:rsidRPr="57352DF8">
        <w:t>When deriving site-specific GVs, constraints around the type and amount</w:t>
      </w:r>
      <w:r w:rsidR="62B4E142" w:rsidRPr="57352DF8">
        <w:t>s</w:t>
      </w:r>
      <w:r w:rsidRPr="57352DF8">
        <w:t xml:space="preserve"> of data/studies may require alternative, but still scientifically defensible, approaches to be used</w:t>
      </w:r>
      <w:r w:rsidR="001769A4" w:rsidRPr="57352DF8">
        <w:t>, as described in ANZG (2018</w:t>
      </w:r>
      <w:r w:rsidR="00A543CE">
        <w:t>;</w:t>
      </w:r>
      <w:r w:rsidR="001769A4" w:rsidRPr="57352DF8">
        <w:t xml:space="preserve"> see </w:t>
      </w:r>
      <w:hyperlink r:id="rId30">
        <w:r w:rsidR="001769A4" w:rsidRPr="00332CFB">
          <w:rPr>
            <w:rStyle w:val="Hyperlink"/>
            <w:i/>
            <w:iCs/>
          </w:rPr>
          <w:t>Deriving guideline values for water quality</w:t>
        </w:r>
      </w:hyperlink>
      <w:r w:rsidR="001769A4" w:rsidRPr="57352DF8">
        <w:t>)</w:t>
      </w:r>
      <w:r w:rsidR="00E304F7" w:rsidRPr="57352DF8">
        <w:t xml:space="preserve"> and by</w:t>
      </w:r>
      <w:r w:rsidR="001769A4" w:rsidRPr="57352DF8">
        <w:t xml:space="preserve"> </w:t>
      </w:r>
      <w:r w:rsidR="000C6B14" w:rsidRPr="57352DF8">
        <w:t>Huynh and Hobbs (2019)</w:t>
      </w:r>
      <w:r w:rsidR="00F65E0F" w:rsidRPr="57352DF8">
        <w:t xml:space="preserve"> and van Dam et al. (2019)</w:t>
      </w:r>
      <w:r w:rsidRPr="57352DF8">
        <w:t>. In such cases, all decisions and associated justifications need to be documented</w:t>
      </w:r>
      <w:r w:rsidR="00A04B86">
        <w:t>,</w:t>
      </w:r>
      <w:r w:rsidRPr="57352DF8">
        <w:t xml:space="preserve"> </w:t>
      </w:r>
      <w:r w:rsidR="0032706E">
        <w:t>and</w:t>
      </w:r>
      <w:r w:rsidR="0032706E" w:rsidRPr="57352DF8">
        <w:t xml:space="preserve"> </w:t>
      </w:r>
      <w:r w:rsidRPr="57352DF8">
        <w:t>peer</w:t>
      </w:r>
      <w:r w:rsidR="00A543CE">
        <w:t xml:space="preserve"> </w:t>
      </w:r>
      <w:r w:rsidRPr="57352DF8">
        <w:t>review</w:t>
      </w:r>
      <w:r w:rsidR="0079663E">
        <w:t xml:space="preserve"> is</w:t>
      </w:r>
      <w:r w:rsidRPr="57352DF8">
        <w:t xml:space="preserve"> necessary. </w:t>
      </w:r>
      <w:r w:rsidR="0081475F" w:rsidRPr="57352DF8">
        <w:t>Also, the relevant government agency should always be consulted on appropriate methods during the planning stage of the derivation process.</w:t>
      </w:r>
    </w:p>
    <w:p w14:paraId="185EEDA2" w14:textId="77777777" w:rsidR="009B09F1" w:rsidRDefault="009B09F1" w:rsidP="00686469">
      <w:pPr>
        <w:pStyle w:val="Heading3"/>
      </w:pPr>
      <w:bookmarkStart w:id="84" w:name="_Ref522007986"/>
      <w:bookmarkStart w:id="85" w:name="_Toc202084771"/>
      <w:bookmarkStart w:id="86" w:name="_Toc206143331"/>
      <w:r w:rsidRPr="57352DF8">
        <w:t>Selection of data to derive guideline values</w:t>
      </w:r>
      <w:bookmarkEnd w:id="84"/>
      <w:bookmarkEnd w:id="85"/>
      <w:bookmarkEnd w:id="86"/>
    </w:p>
    <w:p w14:paraId="356E2B47" w14:textId="6AAB71D3" w:rsidR="00457B27" w:rsidRDefault="00457B27" w:rsidP="00BD4CEC">
      <w:pPr>
        <w:pStyle w:val="Heading4"/>
      </w:pPr>
      <w:bookmarkStart w:id="87" w:name="_Ref202089773"/>
      <w:r w:rsidRPr="00686469">
        <w:t>General</w:t>
      </w:r>
      <w:bookmarkEnd w:id="87"/>
    </w:p>
    <w:p w14:paraId="43480B8E" w14:textId="18D5964B" w:rsidR="00B679A4" w:rsidRDefault="009B09F1" w:rsidP="004D7186">
      <w:r w:rsidRPr="57352DF8">
        <w:t>The collated data that have successfully passed the quality</w:t>
      </w:r>
      <w:r w:rsidR="000C5F37">
        <w:t>-</w:t>
      </w:r>
      <w:r w:rsidRPr="57352DF8">
        <w:t xml:space="preserve">assurance procedures should be </w:t>
      </w:r>
      <w:r w:rsidR="00D8443F" w:rsidRPr="57352DF8">
        <w:t>entered into</w:t>
      </w:r>
      <w:r w:rsidRPr="57352DF8">
        <w:t xml:space="preserve"> </w:t>
      </w:r>
      <w:r w:rsidR="00814FFF">
        <w:t>the</w:t>
      </w:r>
      <w:r w:rsidR="005C22FF" w:rsidRPr="57352DF8">
        <w:t xml:space="preserve"> </w:t>
      </w:r>
      <w:hyperlink r:id="rId31" w:history="1">
        <w:r w:rsidR="005C22FF" w:rsidRPr="0079373E">
          <w:rPr>
            <w:rStyle w:val="Hyperlink"/>
          </w:rPr>
          <w:t>Excel</w:t>
        </w:r>
        <w:r w:rsidR="00577768" w:rsidRPr="0079373E">
          <w:rPr>
            <w:rStyle w:val="Hyperlink"/>
          </w:rPr>
          <w:t xml:space="preserve">™ </w:t>
        </w:r>
        <w:r w:rsidR="004702B0" w:rsidRPr="0079373E">
          <w:rPr>
            <w:rStyle w:val="Hyperlink"/>
          </w:rPr>
          <w:t>data</w:t>
        </w:r>
        <w:r w:rsidR="00D1521C" w:rsidRPr="0079373E">
          <w:rPr>
            <w:rStyle w:val="Hyperlink"/>
          </w:rPr>
          <w:t>-</w:t>
        </w:r>
        <w:r w:rsidR="004702B0" w:rsidRPr="0079373E">
          <w:rPr>
            <w:rStyle w:val="Hyperlink"/>
          </w:rPr>
          <w:t xml:space="preserve">entry </w:t>
        </w:r>
        <w:r w:rsidR="00DF5130" w:rsidRPr="0079373E">
          <w:rPr>
            <w:rStyle w:val="Hyperlink"/>
          </w:rPr>
          <w:t>spreadsheet</w:t>
        </w:r>
      </w:hyperlink>
      <w:r w:rsidR="005C22FF" w:rsidRPr="57352DF8">
        <w:t xml:space="preserve"> </w:t>
      </w:r>
      <w:r w:rsidR="00814FFF">
        <w:t xml:space="preserve">that has been developed </w:t>
      </w:r>
      <w:r w:rsidR="005C22FF" w:rsidRPr="57352DF8">
        <w:t>for this purpose</w:t>
      </w:r>
      <w:r w:rsidR="00577768" w:rsidRPr="57352DF8">
        <w:t xml:space="preserve"> </w:t>
      </w:r>
      <w:r w:rsidR="006470D9" w:rsidRPr="57352DF8">
        <w:t xml:space="preserve">and </w:t>
      </w:r>
      <w:r w:rsidR="00B469D5">
        <w:t xml:space="preserve">that </w:t>
      </w:r>
      <w:r w:rsidR="006470D9" w:rsidRPr="57352DF8">
        <w:t>can be made available</w:t>
      </w:r>
      <w:r w:rsidR="005540AF" w:rsidRPr="57352DF8">
        <w:t xml:space="preserve"> by the </w:t>
      </w:r>
      <w:r w:rsidR="00447B40">
        <w:t xml:space="preserve">Australian </w:t>
      </w:r>
      <w:r w:rsidR="005540AF" w:rsidRPr="57352DF8">
        <w:t>Department of Climate Change, Energy, the Environment and Water.</w:t>
      </w:r>
      <w:r w:rsidR="005C22FF" w:rsidRPr="57352DF8">
        <w:t xml:space="preserve"> </w:t>
      </w:r>
      <w:r w:rsidR="00275CC0" w:rsidRPr="57352DF8">
        <w:t xml:space="preserve">The associated information </w:t>
      </w:r>
      <w:r w:rsidRPr="57352DF8">
        <w:t xml:space="preserve">that </w:t>
      </w:r>
      <w:r w:rsidR="008D2AA8" w:rsidRPr="57352DF8">
        <w:t>should be</w:t>
      </w:r>
      <w:r w:rsidRPr="57352DF8">
        <w:t xml:space="preserve"> include</w:t>
      </w:r>
      <w:r w:rsidR="008D2AA8" w:rsidRPr="57352DF8">
        <w:t>d</w:t>
      </w:r>
      <w:r w:rsidRPr="57352DF8">
        <w:t xml:space="preserve"> in the spreadsheet </w:t>
      </w:r>
      <w:r w:rsidR="00B43C33">
        <w:t xml:space="preserve">includes </w:t>
      </w:r>
      <w:r w:rsidRPr="57352DF8">
        <w:t xml:space="preserve">(where applicable): source of the data; species (scientific and common) name; phyla of the species; type of organism (refer to </w:t>
      </w:r>
      <w:r>
        <w:fldChar w:fldCharType="begin"/>
      </w:r>
      <w:r>
        <w:instrText xml:space="preserve"> REF _Ref520276069 \h </w:instrText>
      </w:r>
      <w:r>
        <w:fldChar w:fldCharType="separate"/>
      </w:r>
      <w:r w:rsidR="006C5761">
        <w:t>Table </w:t>
      </w:r>
      <w:r w:rsidR="006C5761">
        <w:rPr>
          <w:noProof/>
        </w:rPr>
        <w:t>1</w:t>
      </w:r>
      <w:r>
        <w:fldChar w:fldCharType="end"/>
      </w:r>
      <w:r w:rsidRPr="57352DF8">
        <w:t xml:space="preserve">); life stage of test organism (refer to </w:t>
      </w:r>
      <w:r>
        <w:fldChar w:fldCharType="begin"/>
      </w:r>
      <w:r>
        <w:instrText xml:space="preserve"> REF _Ref520276069 \h </w:instrText>
      </w:r>
      <w:r>
        <w:fldChar w:fldCharType="separate"/>
      </w:r>
      <w:r w:rsidR="006C5761">
        <w:t>Table </w:t>
      </w:r>
      <w:r w:rsidR="006C5761">
        <w:rPr>
          <w:noProof/>
        </w:rPr>
        <w:t>1</w:t>
      </w:r>
      <w:r>
        <w:fldChar w:fldCharType="end"/>
      </w:r>
      <w:r w:rsidRPr="57352DF8">
        <w:t>); media type (fresh, marine</w:t>
      </w:r>
      <w:r w:rsidR="00D8443F" w:rsidRPr="57352DF8">
        <w:t xml:space="preserve"> or </w:t>
      </w:r>
      <w:r w:rsidR="008D2AA8" w:rsidRPr="57352DF8">
        <w:t>estuarine</w:t>
      </w:r>
      <w:r w:rsidRPr="57352DF8">
        <w:t xml:space="preserve">); key water quality parameters such as pH and temperature (also see </w:t>
      </w:r>
      <w:r w:rsidR="00B816A8">
        <w:t>s</w:t>
      </w:r>
      <w:r w:rsidR="0012042E" w:rsidRPr="57352DF8">
        <w:t>ection</w:t>
      </w:r>
      <w:r w:rsidR="00B816A8">
        <w:t>s</w:t>
      </w:r>
      <w:r w:rsidR="0012042E" w:rsidRPr="57352DF8">
        <w:t xml:space="preserve"> </w:t>
      </w:r>
      <w:r w:rsidR="00B816A8">
        <w:fldChar w:fldCharType="begin"/>
      </w:r>
      <w:r w:rsidR="00B816A8">
        <w:instrText xml:space="preserve"> REF _Ref522008190 \r \h </w:instrText>
      </w:r>
      <w:r w:rsidR="00B816A8">
        <w:fldChar w:fldCharType="separate"/>
      </w:r>
      <w:r w:rsidR="006C5761">
        <w:t>3.2</w:t>
      </w:r>
      <w:r w:rsidR="00B816A8">
        <w:fldChar w:fldCharType="end"/>
      </w:r>
      <w:r w:rsidR="0012042E" w:rsidRPr="57352DF8">
        <w:t xml:space="preserve"> and </w:t>
      </w:r>
      <w:r w:rsidR="00B816A8">
        <w:fldChar w:fldCharType="begin"/>
      </w:r>
      <w:r w:rsidR="00B816A8">
        <w:instrText xml:space="preserve"> REF _Ref522008179 \r \h </w:instrText>
      </w:r>
      <w:r w:rsidR="00B816A8">
        <w:fldChar w:fldCharType="separate"/>
      </w:r>
      <w:r w:rsidR="006C5761">
        <w:t>3.1</w:t>
      </w:r>
      <w:r w:rsidR="00B816A8">
        <w:fldChar w:fldCharType="end"/>
      </w:r>
      <w:r w:rsidR="0012042E" w:rsidRPr="57352DF8">
        <w:t>, respectively</w:t>
      </w:r>
      <w:r w:rsidRPr="57352DF8">
        <w:t xml:space="preserve">); exposure duration; exposure type (acute or chronic); statistical estimate of toxicity </w:t>
      </w:r>
      <w:r w:rsidR="006C047F">
        <w:t>(e.g.</w:t>
      </w:r>
      <w:r w:rsidRPr="57352DF8">
        <w:t xml:space="preserve"> EC10, IC10 and NOEC); endpoint </w:t>
      </w:r>
      <w:r w:rsidR="00C74687">
        <w:t>(e.g.</w:t>
      </w:r>
      <w:r w:rsidRPr="57352DF8">
        <w:t xml:space="preserve"> immobilisation, population growth); concentration at the estimate of toxicity; the </w:t>
      </w:r>
      <w:r w:rsidR="00B70DA9" w:rsidRPr="57352DF8">
        <w:t xml:space="preserve">conversion </w:t>
      </w:r>
      <w:r w:rsidRPr="57352DF8">
        <w:t>factor used to convert chronic</w:t>
      </w:r>
      <w:r w:rsidR="001F1BBB" w:rsidRPr="57352DF8">
        <w:t xml:space="preserve"> median </w:t>
      </w:r>
      <w:r w:rsidR="00B95A11" w:rsidRPr="57352DF8">
        <w:t xml:space="preserve">(i.e. EC/IC/LC50) </w:t>
      </w:r>
      <w:r w:rsidR="001F1BBB" w:rsidRPr="57352DF8">
        <w:t>and low</w:t>
      </w:r>
      <w:r w:rsidR="00DF5FA5">
        <w:t>-</w:t>
      </w:r>
      <w:r w:rsidR="001F1BBB" w:rsidRPr="57352DF8">
        <w:t>effect</w:t>
      </w:r>
      <w:r w:rsidRPr="57352DF8">
        <w:t xml:space="preserve"> </w:t>
      </w:r>
      <w:r w:rsidR="00B95A11" w:rsidRPr="57352DF8">
        <w:t xml:space="preserve">(i.e. LOEC) </w:t>
      </w:r>
      <w:r w:rsidRPr="57352DF8">
        <w:t xml:space="preserve">toxicity values to </w:t>
      </w:r>
      <w:r w:rsidR="001C7E65">
        <w:t>negligible-effect</w:t>
      </w:r>
      <w:r w:rsidR="001F1BBB" w:rsidRPr="57352DF8">
        <w:t xml:space="preserve"> values</w:t>
      </w:r>
      <w:r w:rsidRPr="57352DF8">
        <w:t xml:space="preserve">; </w:t>
      </w:r>
      <w:r w:rsidR="001E7337" w:rsidRPr="57352DF8">
        <w:t xml:space="preserve">the </w:t>
      </w:r>
      <w:r w:rsidRPr="57352DF8">
        <w:t xml:space="preserve">chronic estimated </w:t>
      </w:r>
      <w:r w:rsidR="001F1BBB" w:rsidRPr="57352DF8">
        <w:t>negligible</w:t>
      </w:r>
      <w:r w:rsidR="00DF5FA5">
        <w:t>-</w:t>
      </w:r>
      <w:r w:rsidR="001F1BBB" w:rsidRPr="57352DF8">
        <w:t>effect values</w:t>
      </w:r>
      <w:r w:rsidRPr="57352DF8">
        <w:t xml:space="preserve">; the </w:t>
      </w:r>
      <w:r w:rsidR="00B70DA9" w:rsidRPr="57352DF8">
        <w:t xml:space="preserve">conversion </w:t>
      </w:r>
      <w:r w:rsidRPr="57352DF8">
        <w:t>factor to convert acute toxicity values to chronic toxicity</w:t>
      </w:r>
      <w:r w:rsidR="00635FB3" w:rsidRPr="57352DF8">
        <w:t xml:space="preserve"> values</w:t>
      </w:r>
      <w:r w:rsidRPr="57352DF8">
        <w:t xml:space="preserve">; and </w:t>
      </w:r>
      <w:r w:rsidR="006B74A7" w:rsidRPr="57352DF8">
        <w:t xml:space="preserve">the </w:t>
      </w:r>
      <w:r w:rsidRPr="57352DF8">
        <w:t>converted</w:t>
      </w:r>
      <w:r w:rsidR="005B17EE">
        <w:t>-</w:t>
      </w:r>
      <w:r w:rsidRPr="57352DF8">
        <w:t>acute toxicity values.</w:t>
      </w:r>
    </w:p>
    <w:p w14:paraId="23B13FE5" w14:textId="599CF52B" w:rsidR="00084C35" w:rsidRDefault="009B09F1" w:rsidP="004D7186">
      <w:r w:rsidRPr="57352DF8">
        <w:t xml:space="preserve">For particular groups of toxicants, additional information may be required. For example, for metals affected by </w:t>
      </w:r>
      <w:r w:rsidR="006E29C6">
        <w:t>TMFs</w:t>
      </w:r>
      <w:r w:rsidRPr="57352DF8">
        <w:t xml:space="preserve"> (see Section </w:t>
      </w:r>
      <w:r>
        <w:fldChar w:fldCharType="begin"/>
      </w:r>
      <w:r>
        <w:instrText xml:space="preserve"> REF _Ref522008057 \n \h </w:instrText>
      </w:r>
      <w:r>
        <w:fldChar w:fldCharType="separate"/>
      </w:r>
      <w:r w:rsidR="006C5761">
        <w:rPr>
          <w:b/>
          <w:bCs/>
          <w:lang w:val="en-US"/>
        </w:rPr>
        <w:t>Error! Reference source not found.</w:t>
      </w:r>
      <w:r>
        <w:fldChar w:fldCharType="end"/>
      </w:r>
      <w:r w:rsidRPr="57352DF8">
        <w:t xml:space="preserve">), the spreadsheet should include the values of the </w:t>
      </w:r>
      <w:r w:rsidR="001821BA">
        <w:t>TMFs</w:t>
      </w:r>
      <w:r w:rsidRPr="57352DF8">
        <w:t xml:space="preserve"> at which the test was conducted</w:t>
      </w:r>
      <w:r w:rsidR="008A11A2" w:rsidRPr="57352DF8">
        <w:t>. Also,</w:t>
      </w:r>
      <w:r w:rsidR="008F5B58" w:rsidRPr="57352DF8">
        <w:t xml:space="preserve"> where </w:t>
      </w:r>
      <w:r w:rsidR="001821BA">
        <w:t>TMFs</w:t>
      </w:r>
      <w:r w:rsidR="008A11A2" w:rsidRPr="57352DF8">
        <w:t xml:space="preserve"> have been built into </w:t>
      </w:r>
      <w:r w:rsidR="0062507A" w:rsidRPr="57352DF8">
        <w:t xml:space="preserve">a </w:t>
      </w:r>
      <w:r w:rsidR="008A11A2" w:rsidRPr="57352DF8">
        <w:t>GV derivation</w:t>
      </w:r>
      <w:r w:rsidR="006B74A7" w:rsidRPr="57352DF8">
        <w:t xml:space="preserve"> (i.e. a bioavailability-based GV – see Section </w:t>
      </w:r>
      <w:r>
        <w:fldChar w:fldCharType="begin"/>
      </w:r>
      <w:r>
        <w:instrText xml:space="preserve"> REF _Ref166141028 \r \h </w:instrText>
      </w:r>
      <w:r>
        <w:fldChar w:fldCharType="separate"/>
      </w:r>
      <w:r w:rsidR="006C5761">
        <w:t>0</w:t>
      </w:r>
      <w:r>
        <w:fldChar w:fldCharType="end"/>
      </w:r>
      <w:r w:rsidR="006B74A7" w:rsidRPr="57352DF8">
        <w:t>)</w:t>
      </w:r>
      <w:r w:rsidR="008A11A2" w:rsidRPr="57352DF8">
        <w:t xml:space="preserve">, </w:t>
      </w:r>
      <w:r w:rsidR="0062507A" w:rsidRPr="57352DF8">
        <w:t xml:space="preserve">the toxicity values adjusted for the relevant </w:t>
      </w:r>
      <w:r w:rsidR="001821BA">
        <w:t>TMFs</w:t>
      </w:r>
      <w:r w:rsidR="0062507A" w:rsidRPr="57352DF8">
        <w:t xml:space="preserve"> should also be included</w:t>
      </w:r>
      <w:r w:rsidRPr="57352DF8">
        <w:t>.</w:t>
      </w:r>
    </w:p>
    <w:p w14:paraId="3E91D8DC" w14:textId="6C883E71" w:rsidR="00B679A4" w:rsidRDefault="009B09F1" w:rsidP="004D7186">
      <w:r w:rsidRPr="00461286">
        <w:t xml:space="preserve">The data should first be sorted </w:t>
      </w:r>
      <w:r w:rsidR="003B29F2">
        <w:t>in this order:</w:t>
      </w:r>
      <w:r w:rsidRPr="00461286">
        <w:t xml:space="preserve"> media type, species, endpoint, </w:t>
      </w:r>
      <w:r w:rsidR="007E2EED">
        <w:t>statistical estimate</w:t>
      </w:r>
      <w:r w:rsidR="007E2EED" w:rsidRPr="00461286">
        <w:t xml:space="preserve"> </w:t>
      </w:r>
      <w:r w:rsidRPr="00461286">
        <w:t>of toxicity, exposure type.</w:t>
      </w:r>
    </w:p>
    <w:p w14:paraId="7C393A53" w14:textId="563D9E17" w:rsidR="00B679A4" w:rsidRDefault="009B09F1" w:rsidP="004D7186">
      <w:r>
        <w:t>In general, the more closely a</w:t>
      </w:r>
      <w:r w:rsidR="00F01274">
        <w:t xml:space="preserve"> laboratory or field</w:t>
      </w:r>
      <w:r>
        <w:t xml:space="preserve"> experiment mimics the exposure of organisms in the field and the complexity of the ecosystems in which they live, the more relevant the resulting data should be for GV derivation</w:t>
      </w:r>
      <w:r w:rsidR="00B66A7F">
        <w:t xml:space="preserve"> (see Section </w:t>
      </w:r>
      <w:r w:rsidR="00B816A8">
        <w:fldChar w:fldCharType="begin"/>
      </w:r>
      <w:r w:rsidR="00B816A8">
        <w:instrText xml:space="preserve"> REF _Ref522008082 \r \h </w:instrText>
      </w:r>
      <w:r w:rsidR="00B816A8">
        <w:fldChar w:fldCharType="separate"/>
      </w:r>
      <w:r w:rsidR="006C5761">
        <w:t>3.3.2</w:t>
      </w:r>
      <w:r w:rsidR="00B816A8">
        <w:fldChar w:fldCharType="end"/>
      </w:r>
      <w:r w:rsidR="00B66A7F">
        <w:t xml:space="preserve"> for more details)</w:t>
      </w:r>
      <w:r>
        <w:t>.</w:t>
      </w:r>
    </w:p>
    <w:p w14:paraId="402964AC" w14:textId="3C8CBECE" w:rsidR="009B09F1" w:rsidRPr="00A26B6E" w:rsidRDefault="009B09F1" w:rsidP="004D7186">
      <w:pPr>
        <w:rPr>
          <w:rFonts w:ascii="Calibri" w:hAnsi="Calibri"/>
          <w:sz w:val="24"/>
          <w:szCs w:val="24"/>
        </w:rPr>
      </w:pPr>
      <w:r w:rsidRPr="57352DF8">
        <w:lastRenderedPageBreak/>
        <w:t xml:space="preserve">When deriving site-specific GVs, a </w:t>
      </w:r>
      <w:r w:rsidR="00E53182" w:rsidRPr="57352DF8">
        <w:t xml:space="preserve">WoE </w:t>
      </w:r>
      <w:r w:rsidRPr="57352DF8">
        <w:t xml:space="preserve">approach, such as used by Cormier et al. (2008), van Dam et al. (2014) and Moore et al. (2017), might be appropriate, provided a rigorous and justified approach is followed. </w:t>
      </w:r>
      <w:r w:rsidR="005032F8" w:rsidRPr="57352DF8">
        <w:t>G</w:t>
      </w:r>
      <w:r w:rsidRPr="57352DF8">
        <w:t xml:space="preserve">uidance on </w:t>
      </w:r>
      <w:r w:rsidR="00C84B12" w:rsidRPr="57352DF8">
        <w:t xml:space="preserve">when and </w:t>
      </w:r>
      <w:r w:rsidRPr="57352DF8">
        <w:t>how to use W</w:t>
      </w:r>
      <w:r w:rsidR="000B2A73" w:rsidRPr="57352DF8">
        <w:t>o</w:t>
      </w:r>
      <w:r w:rsidRPr="57352DF8">
        <w:t>E to help derive a GV has been provided by US</w:t>
      </w:r>
      <w:r w:rsidR="006D7E4E">
        <w:t xml:space="preserve"> </w:t>
      </w:r>
      <w:r w:rsidRPr="57352DF8">
        <w:t>EPA (2016)</w:t>
      </w:r>
      <w:r w:rsidR="00192689" w:rsidRPr="57352DF8">
        <w:t xml:space="preserve">, ANZG (2018; see </w:t>
      </w:r>
      <w:hyperlink r:id="rId32">
        <w:r w:rsidR="00D7015E" w:rsidRPr="0028755C">
          <w:rPr>
            <w:rStyle w:val="Hyperlink"/>
            <w:i/>
            <w:iCs/>
          </w:rPr>
          <w:t>Deriving guideline values using multiple lines of evidence</w:t>
        </w:r>
      </w:hyperlink>
      <w:r w:rsidR="00D7015E" w:rsidRPr="57352DF8">
        <w:t>)</w:t>
      </w:r>
      <w:r w:rsidR="006A6B05" w:rsidRPr="57352DF8">
        <w:t xml:space="preserve"> and van Dam et al. (2019</w:t>
      </w:r>
      <w:r w:rsidR="005032F8" w:rsidRPr="57352DF8">
        <w:rPr>
          <w:rStyle w:val="Hyperlink"/>
          <w:color w:val="auto"/>
          <w:u w:val="none"/>
        </w:rPr>
        <w:t>)</w:t>
      </w:r>
      <w:r w:rsidRPr="57352DF8">
        <w:t>.</w:t>
      </w:r>
    </w:p>
    <w:p w14:paraId="0F07E80A" w14:textId="17633CC0" w:rsidR="009B09F1" w:rsidRPr="009B09F1" w:rsidRDefault="009B09F1" w:rsidP="00BD4CEC">
      <w:pPr>
        <w:pStyle w:val="Heading4"/>
      </w:pPr>
      <w:bookmarkStart w:id="88" w:name="_Ref202087270"/>
      <w:bookmarkStart w:id="89" w:name="_Toc501260513"/>
      <w:bookmarkStart w:id="90" w:name="_Ref166140783"/>
      <w:r w:rsidRPr="009B09F1">
        <w:t>Conversion of toxicity data</w:t>
      </w:r>
      <w:bookmarkEnd w:id="88"/>
      <w:bookmarkEnd w:id="89"/>
      <w:bookmarkEnd w:id="90"/>
    </w:p>
    <w:p w14:paraId="59C64004" w14:textId="35CE6731" w:rsidR="00821492" w:rsidRPr="00BD48B5" w:rsidRDefault="00821492" w:rsidP="00BD4CEC">
      <w:pPr>
        <w:pStyle w:val="Heading5"/>
      </w:pPr>
      <w:bookmarkStart w:id="91" w:name="_Ref202090288"/>
      <w:r w:rsidRPr="00BD48B5">
        <w:t>Conv</w:t>
      </w:r>
      <w:r w:rsidR="00873CF0" w:rsidRPr="00BD48B5">
        <w:t xml:space="preserve">ersion of </w:t>
      </w:r>
      <w:r w:rsidR="00C47090" w:rsidRPr="00BD48B5">
        <w:t>low</w:t>
      </w:r>
      <w:r w:rsidR="004C42A7">
        <w:t xml:space="preserve">-effects and </w:t>
      </w:r>
      <w:r w:rsidR="00C47090" w:rsidRPr="00BD48B5">
        <w:t>median</w:t>
      </w:r>
      <w:r w:rsidR="004C42A7">
        <w:t>-</w:t>
      </w:r>
      <w:r w:rsidR="00873CF0" w:rsidRPr="00BD48B5">
        <w:t>effect</w:t>
      </w:r>
      <w:r w:rsidR="001C343F" w:rsidRPr="00BD48B5">
        <w:t xml:space="preserve">s estimates </w:t>
      </w:r>
      <w:r w:rsidR="00873CF0" w:rsidRPr="00BD48B5">
        <w:t>to</w:t>
      </w:r>
      <w:r w:rsidRPr="00BD48B5">
        <w:t xml:space="preserve"> </w:t>
      </w:r>
      <w:r w:rsidR="00A62F30">
        <w:t>negligible-effect</w:t>
      </w:r>
      <w:r w:rsidR="001C343F" w:rsidRPr="00BD48B5">
        <w:t>s estimates</w:t>
      </w:r>
      <w:bookmarkEnd w:id="91"/>
    </w:p>
    <w:p w14:paraId="3A7F6A27" w14:textId="72ECE736" w:rsidR="00B679A4" w:rsidRDefault="005E4D49" w:rsidP="004D7186">
      <w:r w:rsidRPr="57352DF8">
        <w:t xml:space="preserve">Section </w:t>
      </w:r>
      <w:r>
        <w:fldChar w:fldCharType="begin"/>
      </w:r>
      <w:r>
        <w:instrText xml:space="preserve"> REF _Ref522008190 \r \h </w:instrText>
      </w:r>
      <w:r>
        <w:fldChar w:fldCharType="separate"/>
      </w:r>
      <w:r w:rsidR="006C5761">
        <w:t>3.2</w:t>
      </w:r>
      <w:r>
        <w:fldChar w:fldCharType="end"/>
      </w:r>
      <w:r w:rsidRPr="57352DF8">
        <w:t xml:space="preserve"> outlined </w:t>
      </w:r>
      <w:r w:rsidR="00C12790" w:rsidRPr="57352DF8">
        <w:t xml:space="preserve">a general hierarchy of preferred, appropriate and less preferred </w:t>
      </w:r>
      <w:r w:rsidR="006B2C88" w:rsidRPr="57352DF8">
        <w:t xml:space="preserve">statistical estimates of </w:t>
      </w:r>
      <w:r w:rsidR="00F647CE" w:rsidRPr="57352DF8">
        <w:t xml:space="preserve">chronic </w:t>
      </w:r>
      <w:r w:rsidR="006B2C88" w:rsidRPr="57352DF8">
        <w:t>toxicity.</w:t>
      </w:r>
      <w:r w:rsidR="009B09F1" w:rsidRPr="57352DF8">
        <w:t xml:space="preserve"> </w:t>
      </w:r>
      <w:r w:rsidR="00223619" w:rsidRPr="57352DF8">
        <w:t>Although t</w:t>
      </w:r>
      <w:r w:rsidR="00C84DD1" w:rsidRPr="57352DF8">
        <w:t>he preferred</w:t>
      </w:r>
      <w:r w:rsidR="007604A5">
        <w:t xml:space="preserve"> toxicity estimates</w:t>
      </w:r>
      <w:r w:rsidR="00C84DD1" w:rsidRPr="57352DF8">
        <w:t xml:space="preserve"> (</w:t>
      </w:r>
      <w:r w:rsidR="007E322B" w:rsidRPr="57352DF8">
        <w:t xml:space="preserve">i.e. </w:t>
      </w:r>
      <w:r w:rsidR="00C84DD1" w:rsidRPr="57352DF8">
        <w:t>NEC, NSEC)</w:t>
      </w:r>
      <w:r w:rsidR="003070C7" w:rsidRPr="57352DF8">
        <w:t>,</w:t>
      </w:r>
      <w:r w:rsidR="00C84DD1" w:rsidRPr="57352DF8">
        <w:t xml:space="preserve"> appropriate </w:t>
      </w:r>
      <w:r w:rsidR="007604A5" w:rsidRPr="57352DF8">
        <w:t xml:space="preserve">toxicity estimates </w:t>
      </w:r>
      <w:r w:rsidR="00C84DD1" w:rsidRPr="57352DF8">
        <w:t>(</w:t>
      </w:r>
      <w:r w:rsidR="007E322B" w:rsidRPr="57352DF8">
        <w:t xml:space="preserve">i.e. </w:t>
      </w:r>
      <w:r w:rsidR="00C7113D" w:rsidRPr="57352DF8">
        <w:t>EC/IC/LCx where x ≤</w:t>
      </w:r>
      <w:r w:rsidR="006D7E4E">
        <w:t> </w:t>
      </w:r>
      <w:r w:rsidR="00C7113D" w:rsidRPr="57352DF8">
        <w:t xml:space="preserve">10; </w:t>
      </w:r>
      <w:r w:rsidR="002521CF" w:rsidRPr="57352DF8">
        <w:t>BEC10</w:t>
      </w:r>
      <w:r w:rsidR="00C84DD1" w:rsidRPr="57352DF8">
        <w:t>)</w:t>
      </w:r>
      <w:r w:rsidR="007E322B" w:rsidRPr="57352DF8">
        <w:t xml:space="preserve"> </w:t>
      </w:r>
      <w:r w:rsidR="003070C7" w:rsidRPr="57352DF8">
        <w:t xml:space="preserve">and some of the less preferred </w:t>
      </w:r>
      <w:r w:rsidR="007604A5" w:rsidRPr="57352DF8">
        <w:t xml:space="preserve">toxicity estimates </w:t>
      </w:r>
      <w:r w:rsidR="003070C7" w:rsidRPr="57352DF8">
        <w:t>(</w:t>
      </w:r>
      <w:r w:rsidR="007E322B" w:rsidRPr="57352DF8">
        <w:t xml:space="preserve">i.e. </w:t>
      </w:r>
      <w:r w:rsidR="003070C7" w:rsidRPr="57352DF8">
        <w:t>EC/IC/LCx where x &gt;</w:t>
      </w:r>
      <w:r w:rsidR="006D7E4E">
        <w:t> </w:t>
      </w:r>
      <w:r w:rsidR="003070C7" w:rsidRPr="57352DF8">
        <w:t>10 and ≤</w:t>
      </w:r>
      <w:r w:rsidR="006D7E4E">
        <w:t> </w:t>
      </w:r>
      <w:r w:rsidR="003070C7" w:rsidRPr="57352DF8">
        <w:t>20, NOEC)</w:t>
      </w:r>
      <w:r w:rsidR="00C84DD1" w:rsidRPr="57352DF8">
        <w:t xml:space="preserve"> </w:t>
      </w:r>
      <w:r w:rsidR="009B09F1" w:rsidRPr="57352DF8">
        <w:t xml:space="preserve">are not numerically the same, they are all treated as </w:t>
      </w:r>
      <w:r w:rsidR="000A2149" w:rsidRPr="57352DF8">
        <w:t xml:space="preserve">representing </w:t>
      </w:r>
      <w:r w:rsidR="00A62F30">
        <w:t>negligible-effect</w:t>
      </w:r>
      <w:r w:rsidR="000A2149" w:rsidRPr="57352DF8">
        <w:t xml:space="preserve"> estimates</w:t>
      </w:r>
      <w:r w:rsidR="009B09F1" w:rsidRPr="57352DF8">
        <w:t xml:space="preserve"> for the purposes of deriving GVs. </w:t>
      </w:r>
      <w:r w:rsidR="0082659B" w:rsidRPr="57352DF8">
        <w:t xml:space="preserve">This means that </w:t>
      </w:r>
      <w:r w:rsidR="001B4C18" w:rsidRPr="57352DF8">
        <w:t xml:space="preserve">no conversion factors are applied to </w:t>
      </w:r>
      <w:r w:rsidR="0082659B" w:rsidRPr="57352DF8">
        <w:t>these type</w:t>
      </w:r>
      <w:r w:rsidR="6242058B" w:rsidRPr="57352DF8">
        <w:t>s</w:t>
      </w:r>
      <w:r w:rsidR="0082659B" w:rsidRPr="57352DF8">
        <w:t xml:space="preserve"> of data</w:t>
      </w:r>
      <w:r w:rsidR="00344D0B" w:rsidRPr="57352DF8">
        <w:t>, and they are used as is</w:t>
      </w:r>
      <w:r w:rsidR="001B4C18" w:rsidRPr="57352DF8">
        <w:t xml:space="preserve">. </w:t>
      </w:r>
      <w:r w:rsidR="000A2149" w:rsidRPr="57352DF8">
        <w:t>The rigour and associated defensibility of all statistical estimates of toxicity should be assessed as part of the data</w:t>
      </w:r>
      <w:r w:rsidR="00477834">
        <w:t>-</w:t>
      </w:r>
      <w:r w:rsidR="000A2149" w:rsidRPr="57352DF8">
        <w:t xml:space="preserve">selection process. This would include (but not be limited to) </w:t>
      </w:r>
      <w:r w:rsidR="007E2EED" w:rsidRPr="57352DF8">
        <w:t xml:space="preserve">the standard error of a point estimate of toxicity </w:t>
      </w:r>
      <w:r w:rsidR="00DD38FD">
        <w:t xml:space="preserve">(e.g. </w:t>
      </w:r>
      <w:r w:rsidR="00DD38FD" w:rsidRPr="57352DF8">
        <w:t>EC/IC/LCx</w:t>
      </w:r>
      <w:r w:rsidR="00DD38FD">
        <w:t xml:space="preserve">) </w:t>
      </w:r>
      <w:r w:rsidR="007E2EED" w:rsidRPr="57352DF8">
        <w:t xml:space="preserve">or even a coefficient of variation (i.e. the standard error of a point estimate of toxicity </w:t>
      </w:r>
      <w:r w:rsidR="00270CDD" w:rsidRPr="57352DF8">
        <w:t xml:space="preserve">relative to the magnitude of the estimate), </w:t>
      </w:r>
      <w:r w:rsidR="009B09F1" w:rsidRPr="57352DF8">
        <w:t>particularly EC/IC/LCx data, where x</w:t>
      </w:r>
      <w:r w:rsidR="00474964">
        <w:t> </w:t>
      </w:r>
      <w:r w:rsidR="009B09F1" w:rsidRPr="57352DF8">
        <w:t>≤</w:t>
      </w:r>
      <w:r w:rsidR="00474964">
        <w:t> </w:t>
      </w:r>
      <w:r w:rsidR="009B09F1" w:rsidRPr="57352DF8">
        <w:t xml:space="preserve">10, </w:t>
      </w:r>
      <w:r w:rsidR="000A2149" w:rsidRPr="57352DF8">
        <w:t>as well as the measured</w:t>
      </w:r>
      <w:r w:rsidR="00474964">
        <w:t>-</w:t>
      </w:r>
      <w:r w:rsidR="000A2149" w:rsidRPr="57352DF8">
        <w:t>effect size of a NOEC</w:t>
      </w:r>
      <w:r w:rsidR="00084C74" w:rsidRPr="57352DF8">
        <w:t xml:space="preserve"> or NSEC</w:t>
      </w:r>
      <w:r w:rsidR="000A2149" w:rsidRPr="57352DF8">
        <w:t xml:space="preserve">, </w:t>
      </w:r>
      <w:r w:rsidR="009B09F1" w:rsidRPr="57352DF8">
        <w:t xml:space="preserve">to consider whether such data are </w:t>
      </w:r>
      <w:r w:rsidR="000A2149" w:rsidRPr="57352DF8">
        <w:t>appropriate to use</w:t>
      </w:r>
      <w:r w:rsidR="009B09F1" w:rsidRPr="57352DF8">
        <w:t xml:space="preserve">. </w:t>
      </w:r>
      <w:r w:rsidR="00DD38FD">
        <w:t>For example, any NOECs and NSECs with an effect size &gt;</w:t>
      </w:r>
      <w:r w:rsidR="00C7270D">
        <w:t> </w:t>
      </w:r>
      <w:r w:rsidR="00DD38FD">
        <w:t xml:space="preserve">20% should probably not be used </w:t>
      </w:r>
      <w:r w:rsidR="00C7270D">
        <w:t xml:space="preserve">to derive </w:t>
      </w:r>
      <w:r w:rsidR="00DD38FD">
        <w:t>GV</w:t>
      </w:r>
      <w:r w:rsidR="00C7270D">
        <w:t>s</w:t>
      </w:r>
      <w:r w:rsidR="00DD38FD">
        <w:t xml:space="preserve">. </w:t>
      </w:r>
      <w:r w:rsidR="009B09F1" w:rsidRPr="57352DF8">
        <w:t>The exclusion of any data on this basis needs to be appropriately justified and documented.</w:t>
      </w:r>
    </w:p>
    <w:p w14:paraId="7FBB77F7" w14:textId="7FA0C9EB" w:rsidR="009B09F1" w:rsidRDefault="009B09F1" w:rsidP="004D7186">
      <w:r w:rsidRPr="57352DF8">
        <w:t xml:space="preserve">In cases where there are insufficient chronic </w:t>
      </w:r>
      <w:r w:rsidR="00B43C33" w:rsidRPr="57352DF8">
        <w:t xml:space="preserve">NEC, NSEC, </w:t>
      </w:r>
      <w:r w:rsidRPr="57352DF8">
        <w:t>EC/IC/LCx (where x</w:t>
      </w:r>
      <w:r w:rsidR="000F2086">
        <w:t> </w:t>
      </w:r>
      <w:r w:rsidRPr="57352DF8">
        <w:t>≤</w:t>
      </w:r>
      <w:r w:rsidR="000F2086">
        <w:t> </w:t>
      </w:r>
      <w:r w:rsidRPr="57352DF8">
        <w:t xml:space="preserve">10), BEC10, EC/IC/LC15–20 and NOEC data to derive a GV </w:t>
      </w:r>
      <w:r w:rsidR="00DE6AF9" w:rsidRPr="57352DF8">
        <w:t xml:space="preserve">using </w:t>
      </w:r>
      <w:r w:rsidRPr="57352DF8">
        <w:t xml:space="preserve">the SSD method, chronic LC/IC/EC50, LOEC and MATC values </w:t>
      </w:r>
      <w:r w:rsidR="001222C3" w:rsidRPr="57352DF8">
        <w:t xml:space="preserve">can be used but </w:t>
      </w:r>
      <w:r w:rsidRPr="57352DF8">
        <w:t xml:space="preserve">should be divided by </w:t>
      </w:r>
      <w:r w:rsidR="003B702F" w:rsidRPr="57352DF8">
        <w:t xml:space="preserve">a conversion factor of </w:t>
      </w:r>
      <w:r w:rsidRPr="57352DF8">
        <w:t xml:space="preserve">5, 2.5 </w:t>
      </w:r>
      <w:r w:rsidR="00337CD7">
        <w:t>or</w:t>
      </w:r>
      <w:r w:rsidR="00337CD7" w:rsidRPr="57352DF8">
        <w:t xml:space="preserve"> </w:t>
      </w:r>
      <w:r w:rsidRPr="57352DF8">
        <w:t xml:space="preserve">2, respectively, to provide estimates of chronic </w:t>
      </w:r>
      <w:r w:rsidR="00A62F30">
        <w:t>negligible-effect</w:t>
      </w:r>
      <w:r w:rsidRPr="57352DF8">
        <w:t xml:space="preserve"> </w:t>
      </w:r>
      <w:r w:rsidR="003B702F" w:rsidRPr="57352DF8">
        <w:t xml:space="preserve">values </w:t>
      </w:r>
      <w:r w:rsidRPr="57352DF8">
        <w:t>(</w:t>
      </w:r>
      <w:r w:rsidR="001465BE">
        <w:t>ANZECC and ARMCANZ</w:t>
      </w:r>
      <w:r w:rsidRPr="57352DF8">
        <w:t xml:space="preserve"> 2000b; Warne 2001). </w:t>
      </w:r>
      <w:r w:rsidR="007423B5" w:rsidRPr="57352DF8">
        <w:t xml:space="preserve">Alternatively, if the </w:t>
      </w:r>
      <w:r w:rsidR="00EB58C0" w:rsidRPr="57352DF8">
        <w:t xml:space="preserve">concentration-response </w:t>
      </w:r>
      <w:r w:rsidR="007423B5" w:rsidRPr="57352DF8">
        <w:t>data are available in the source referenc</w:t>
      </w:r>
      <w:r w:rsidR="00EB58C0" w:rsidRPr="57352DF8">
        <w:t xml:space="preserve">e, the data can be re-modelled </w:t>
      </w:r>
      <w:r w:rsidR="00BE59D2" w:rsidRPr="57352DF8">
        <w:t xml:space="preserve">in order to estimate </w:t>
      </w:r>
      <w:r w:rsidR="008441FD" w:rsidRPr="57352DF8">
        <w:t xml:space="preserve">a preferred or other appropriate </w:t>
      </w:r>
      <w:r w:rsidR="00BE59D2" w:rsidRPr="57352DF8">
        <w:t>estimate</w:t>
      </w:r>
      <w:r w:rsidR="008441FD" w:rsidRPr="57352DF8">
        <w:t xml:space="preserve"> of toxicity.</w:t>
      </w:r>
      <w:r w:rsidR="00FB1CBE" w:rsidRPr="57352DF8">
        <w:t xml:space="preserve"> Such analyses should </w:t>
      </w:r>
      <w:r w:rsidR="003A39D7" w:rsidRPr="57352DF8">
        <w:t xml:space="preserve">always </w:t>
      </w:r>
      <w:r w:rsidR="00FB1CBE" w:rsidRPr="57352DF8">
        <w:t>be presented as supporting information for the GV derivation.</w:t>
      </w:r>
      <w:r w:rsidR="008441FD" w:rsidRPr="57352DF8">
        <w:t xml:space="preserve"> </w:t>
      </w:r>
      <w:r w:rsidRPr="57352DF8">
        <w:t>If estimated chronic values are used</w:t>
      </w:r>
      <w:r w:rsidR="003A3EBE" w:rsidRPr="57352DF8">
        <w:t xml:space="preserve"> (i.e. those for which a conversion factor has </w:t>
      </w:r>
      <w:r w:rsidR="003B702F" w:rsidRPr="57352DF8">
        <w:t>been applied)</w:t>
      </w:r>
      <w:r w:rsidRPr="57352DF8">
        <w:t>, this information should be recorded in the spreadsheets used for data calculation and in the SSD plots or the accompanying text and tables of toxicity values.</w:t>
      </w:r>
    </w:p>
    <w:p w14:paraId="610D3D43" w14:textId="14D475E8" w:rsidR="009B09F1" w:rsidRPr="009B09F1" w:rsidRDefault="009B09F1" w:rsidP="00BD4CEC">
      <w:pPr>
        <w:pStyle w:val="Heading5"/>
      </w:pPr>
      <w:bookmarkStart w:id="92" w:name="_Ref522008131"/>
      <w:r>
        <w:t xml:space="preserve">Conversion of acute </w:t>
      </w:r>
      <w:r w:rsidR="00141492" w:rsidRPr="00461063">
        <w:t>data</w:t>
      </w:r>
      <w:r w:rsidR="00141492">
        <w:t xml:space="preserve"> </w:t>
      </w:r>
      <w:r>
        <w:t>to chronic data</w:t>
      </w:r>
      <w:bookmarkEnd w:id="92"/>
    </w:p>
    <w:p w14:paraId="50FE3BE3" w14:textId="5696E122" w:rsidR="002C03DA" w:rsidRDefault="00DE6AF9" w:rsidP="004D7186">
      <w:r w:rsidRPr="57352DF8">
        <w:t>T</w:t>
      </w:r>
      <w:r w:rsidR="009B09F1" w:rsidRPr="57352DF8">
        <w:t>he use of chronic toxicity data is always preferred</w:t>
      </w:r>
      <w:r w:rsidR="00B21DA6">
        <w:t>. H</w:t>
      </w:r>
      <w:r w:rsidRPr="57352DF8">
        <w:t>owever</w:t>
      </w:r>
      <w:r w:rsidR="009B09F1" w:rsidRPr="57352DF8">
        <w:t>, in cases where there are insufficient chronic data to derive a GV, there are often considerable acute toxicity data that can be converted to provide an estimate of chronic toxicity. In such cases, chronic and converted</w:t>
      </w:r>
      <w:r w:rsidR="00417476">
        <w:t>-</w:t>
      </w:r>
      <w:r w:rsidR="009B09F1" w:rsidRPr="57352DF8">
        <w:t>acute toxicity data should be combined to derive a GV. An ACR is the ratio of the acute toxicity (</w:t>
      </w:r>
      <w:r w:rsidR="001222C3" w:rsidRPr="57352DF8">
        <w:t xml:space="preserve">reported as the </w:t>
      </w:r>
      <w:r w:rsidR="009B09F1" w:rsidRPr="57352DF8">
        <w:t>LC</w:t>
      </w:r>
      <w:r w:rsidR="00C72C0B" w:rsidRPr="57352DF8">
        <w:t xml:space="preserve">50 or </w:t>
      </w:r>
      <w:r w:rsidR="009B09F1" w:rsidRPr="57352DF8">
        <w:t>EC50) to the chronic toxicity data (</w:t>
      </w:r>
      <w:r w:rsidR="001222C3" w:rsidRPr="57352DF8">
        <w:t xml:space="preserve">reported as the </w:t>
      </w:r>
      <w:r w:rsidR="009B09F1" w:rsidRPr="57352DF8">
        <w:t>NOEC</w:t>
      </w:r>
      <w:r w:rsidR="00E10C68" w:rsidRPr="57352DF8">
        <w:t>,</w:t>
      </w:r>
      <w:r w:rsidR="00DF4207" w:rsidRPr="57352DF8">
        <w:t xml:space="preserve"> </w:t>
      </w:r>
      <w:r w:rsidR="009B09F1" w:rsidRPr="57352DF8">
        <w:t>EC10</w:t>
      </w:r>
      <w:r w:rsidR="00E10C68" w:rsidRPr="57352DF8">
        <w:t xml:space="preserve"> or other </w:t>
      </w:r>
      <w:r w:rsidR="00A62F30">
        <w:t>negligible-effect</w:t>
      </w:r>
      <w:r w:rsidR="00E10C68" w:rsidRPr="57352DF8">
        <w:t xml:space="preserve"> value</w:t>
      </w:r>
      <w:r w:rsidR="009B09F1" w:rsidRPr="57352DF8">
        <w:t xml:space="preserve">) for a particular chemical. </w:t>
      </w:r>
      <w:r w:rsidR="002C03DA" w:rsidRPr="57352DF8">
        <w:t>Note that acute EC/IC/LCx (where x</w:t>
      </w:r>
      <w:r w:rsidR="00E46AAD">
        <w:t> </w:t>
      </w:r>
      <w:r w:rsidR="002C03DA" w:rsidRPr="57352DF8">
        <w:t>≠</w:t>
      </w:r>
      <w:r w:rsidR="00E46AAD">
        <w:t> </w:t>
      </w:r>
      <w:r w:rsidR="002C03DA" w:rsidRPr="57352DF8">
        <w:t xml:space="preserve">50), NOEC, LOEC and MATC values </w:t>
      </w:r>
      <w:r w:rsidR="0052727F" w:rsidRPr="57352DF8">
        <w:t>must</w:t>
      </w:r>
      <w:r w:rsidR="002C03DA" w:rsidRPr="57352DF8">
        <w:t xml:space="preserve"> not be used to derive chronic GVs.</w:t>
      </w:r>
    </w:p>
    <w:p w14:paraId="53F41AE4" w14:textId="327FBE23" w:rsidR="009B09F1" w:rsidRPr="007C67F1" w:rsidRDefault="0052727F" w:rsidP="004D7186">
      <w:r>
        <w:t>Acute</w:t>
      </w:r>
      <w:r w:rsidR="005633D7">
        <w:t>-</w:t>
      </w:r>
      <w:r>
        <w:t>to</w:t>
      </w:r>
      <w:r w:rsidR="005633D7">
        <w:t>-</w:t>
      </w:r>
      <w:r>
        <w:t>chronic ratios can be expected to be both chemical (or chemical group) specific and species (or taxon) specific and</w:t>
      </w:r>
      <w:r w:rsidR="005633D7">
        <w:t>,</w:t>
      </w:r>
      <w:r>
        <w:t xml:space="preserve"> therefore, highly variable. </w:t>
      </w:r>
      <w:r w:rsidR="009B09F1">
        <w:t xml:space="preserve">Limitations to the use of ACRs are discussed by Warne (1998). </w:t>
      </w:r>
      <w:r>
        <w:t xml:space="preserve">If acute data are to be used for the derivation of chronic SSDs, it is preferable to calculate chemical and taxon-specific ACRs. </w:t>
      </w:r>
      <w:r w:rsidR="009B09F1">
        <w:t xml:space="preserve">The data used to calculate an ACR do not have to be for </w:t>
      </w:r>
      <w:r w:rsidR="009B09F1">
        <w:lastRenderedPageBreak/>
        <w:t>the same statistical estimates of toxicity or endpoints, but they must be for the same species and have been presented in the same paper or at least determined in the same laboratory. A</w:t>
      </w:r>
      <w:r w:rsidR="00D42CFB">
        <w:t>cute-to-chronic ratio</w:t>
      </w:r>
      <w:r w:rsidR="009B09F1">
        <w:t>s should be calculated directly from experimental toxicity data</w:t>
      </w:r>
      <w:r w:rsidR="00567E39">
        <w:t xml:space="preserve">. While it may be possible to use the chemical-specific ACRs reported in the detailed chemical descriptions in Section 8.3.7 of </w:t>
      </w:r>
      <w:r w:rsidR="001465BE">
        <w:t>ANZECC and ARMCANZ</w:t>
      </w:r>
      <w:r w:rsidR="00567E39">
        <w:t xml:space="preserve"> (2000</w:t>
      </w:r>
      <w:r w:rsidR="00F0503D">
        <w:t>b</w:t>
      </w:r>
      <w:r w:rsidR="006D6568">
        <w:t>)</w:t>
      </w:r>
      <w:r w:rsidR="00567E39">
        <w:t>, they should be validated or updated based on new data and knowledge from the past 25 years</w:t>
      </w:r>
      <w:r w:rsidR="009B09F1">
        <w:t>. The following rules should be applied when applying ACRs to acute toxicity data for a chemical:</w:t>
      </w:r>
    </w:p>
    <w:p w14:paraId="45183881" w14:textId="0D6078F4" w:rsidR="00B679A4" w:rsidRPr="00FC28C6" w:rsidRDefault="00D42CFB" w:rsidP="00FC28C6">
      <w:pPr>
        <w:pStyle w:val="ListBullet"/>
      </w:pPr>
      <w:r>
        <w:t>I</w:t>
      </w:r>
      <w:r w:rsidR="009B09F1" w:rsidRPr="00543457">
        <w:t xml:space="preserve">f there is only </w:t>
      </w:r>
      <w:r w:rsidR="009B09F1" w:rsidRPr="00FC28C6">
        <w:t>one ACR, that ACR should be used for all species</w:t>
      </w:r>
      <w:r>
        <w:t>.</w:t>
      </w:r>
    </w:p>
    <w:p w14:paraId="7DD58DFB" w14:textId="4CD5D2AC" w:rsidR="009B09F1" w:rsidRPr="00FC28C6" w:rsidRDefault="008F7219" w:rsidP="00FC28C6">
      <w:pPr>
        <w:pStyle w:val="ListBullet"/>
      </w:pPr>
      <w:r>
        <w:t>I</w:t>
      </w:r>
      <w:r w:rsidR="009B09F1" w:rsidRPr="00FC28C6">
        <w:t>f there is more than one ACR, the geometric mean of ACR values for each taxonomic group should be determined</w:t>
      </w:r>
      <w:r w:rsidR="004903D4">
        <w:t>,</w:t>
      </w:r>
      <w:r w:rsidR="009B09F1" w:rsidRPr="00FC28C6">
        <w:t xml:space="preserve"> and the appropriate taxonomic group ACR values should then be applied to acute data for that taxonomic group</w:t>
      </w:r>
      <w:r>
        <w:t>.</w:t>
      </w:r>
    </w:p>
    <w:p w14:paraId="4D3C7AA3" w14:textId="2D8445F4" w:rsidR="00B679A4" w:rsidRDefault="008F7219" w:rsidP="00FC28C6">
      <w:pPr>
        <w:pStyle w:val="ListBullet"/>
      </w:pPr>
      <w:r>
        <w:t>I</w:t>
      </w:r>
      <w:r w:rsidR="009B09F1" w:rsidRPr="00FC28C6">
        <w:t>f there is more than one ACR</w:t>
      </w:r>
      <w:r w:rsidR="009B09F1" w:rsidRPr="00543457">
        <w:t xml:space="preserve"> but none for the taxonomic group with acute toxicity data, the geometric mean of all the ACR values for the chemical should be used.</w:t>
      </w:r>
    </w:p>
    <w:p w14:paraId="259A87DB" w14:textId="2D14F9AF" w:rsidR="009B09F1" w:rsidRPr="00D21A06" w:rsidRDefault="009B09F1" w:rsidP="004D7186">
      <w:r w:rsidRPr="57352DF8">
        <w:t xml:space="preserve">In the absence of an ACR for a particular toxicant, a default ACR of 10 should be used to convert acute LC/EC/IC/50 values to chronic </w:t>
      </w:r>
      <w:r w:rsidR="00A62F30">
        <w:t>negligible-effect</w:t>
      </w:r>
      <w:r w:rsidRPr="57352DF8">
        <w:t xml:space="preserve"> values</w:t>
      </w:r>
      <w:r w:rsidR="00B70425">
        <w:t xml:space="preserve"> (originally recommended by US</w:t>
      </w:r>
      <w:r w:rsidR="004903D4">
        <w:t xml:space="preserve"> </w:t>
      </w:r>
      <w:r w:rsidR="00B70425">
        <w:t>EPA 1986 and OECD 1992)</w:t>
      </w:r>
      <w:r w:rsidRPr="57352DF8">
        <w:t xml:space="preserve">. Use of default ACRs should be carefully considered, taking into account whether the chemical is known to have similar acute and chronic toxicity, whether acute toxicity is more likely to occur than chronic toxicity in natural situations </w:t>
      </w:r>
      <w:r w:rsidR="00C74687">
        <w:t>(e.g.</w:t>
      </w:r>
      <w:r w:rsidRPr="57352DF8">
        <w:t xml:space="preserve"> chlorine), or whether the chemical is an essential element </w:t>
      </w:r>
      <w:r w:rsidR="00C74687">
        <w:t>(e.g.</w:t>
      </w:r>
      <w:r w:rsidRPr="57352DF8">
        <w:t xml:space="preserve"> boron, copper, iron, manganese, molybdenum, nickel, selenium</w:t>
      </w:r>
      <w:r w:rsidR="009C6B44">
        <w:t>,</w:t>
      </w:r>
      <w:r w:rsidR="00603EA5" w:rsidRPr="57352DF8">
        <w:t xml:space="preserve"> </w:t>
      </w:r>
      <w:r w:rsidRPr="57352DF8">
        <w:t>zinc)</w:t>
      </w:r>
      <w:r w:rsidR="00CF5824" w:rsidRPr="57352DF8">
        <w:t xml:space="preserve"> that can be physiologically regulated when environmental concentrations are low</w:t>
      </w:r>
      <w:r w:rsidRPr="57352DF8">
        <w:t>. Justification for any professional judgement decisions is required. If converted</w:t>
      </w:r>
      <w:r w:rsidR="005B17EE">
        <w:t>-</w:t>
      </w:r>
      <w:r w:rsidRPr="57352DF8">
        <w:t xml:space="preserve">acute values are used, this information should be recorded in the spreadsheet used for data calculation and in the </w:t>
      </w:r>
      <w:r w:rsidR="00CF3FDD" w:rsidRPr="57352DF8">
        <w:t xml:space="preserve">(shiny)ssdtools </w:t>
      </w:r>
      <w:r w:rsidRPr="57352DF8">
        <w:t>SSD plots or the accompanying text and tables of toxicity values.</w:t>
      </w:r>
    </w:p>
    <w:p w14:paraId="188856EB" w14:textId="0CDAF1EB" w:rsidR="00051766" w:rsidRDefault="00051766" w:rsidP="00BD4CEC">
      <w:pPr>
        <w:pStyle w:val="Heading5"/>
      </w:pPr>
      <w:bookmarkStart w:id="93" w:name="_Ref202090194"/>
      <w:r>
        <w:t xml:space="preserve">Conversion of toxicity data for short-term </w:t>
      </w:r>
      <w:r w:rsidRPr="00BD4CEC">
        <w:t>guideline</w:t>
      </w:r>
      <w:r>
        <w:t xml:space="preserve"> values</w:t>
      </w:r>
      <w:bookmarkEnd w:id="93"/>
    </w:p>
    <w:p w14:paraId="593C82DA" w14:textId="7E693A70" w:rsidR="003654D8" w:rsidRDefault="00FF530E" w:rsidP="004D7186">
      <w:r w:rsidRPr="57352DF8">
        <w:t xml:space="preserve">As noted in Section </w:t>
      </w:r>
      <w:r w:rsidR="00874FF7">
        <w:fldChar w:fldCharType="begin"/>
      </w:r>
      <w:r w:rsidR="00874FF7">
        <w:instrText xml:space="preserve"> REF _Ref202088703 \r \h </w:instrText>
      </w:r>
      <w:r w:rsidR="00874FF7">
        <w:fldChar w:fldCharType="separate"/>
      </w:r>
      <w:r w:rsidR="006C5761">
        <w:t>0</w:t>
      </w:r>
      <w:r w:rsidR="00874FF7">
        <w:fldChar w:fldCharType="end"/>
      </w:r>
      <w:r w:rsidRPr="57352DF8">
        <w:t>, t</w:t>
      </w:r>
      <w:r w:rsidR="001771D3" w:rsidRPr="57352DF8">
        <w:t>he</w:t>
      </w:r>
      <w:r w:rsidRPr="57352DF8">
        <w:t xml:space="preserve"> preferred hierarchy of statistical estimates of toxicity </w:t>
      </w:r>
      <w:r w:rsidR="00B9235E" w:rsidRPr="57352DF8">
        <w:t xml:space="preserve">also </w:t>
      </w:r>
      <w:r w:rsidRPr="57352DF8">
        <w:t xml:space="preserve">applies </w:t>
      </w:r>
      <w:r w:rsidR="003813CD" w:rsidRPr="57352DF8">
        <w:t xml:space="preserve">to acute toxicity data for deriving short-term </w:t>
      </w:r>
      <w:r w:rsidR="003D1044" w:rsidRPr="57352DF8">
        <w:t>GVs</w:t>
      </w:r>
      <w:r w:rsidR="001771D3" w:rsidRPr="57352DF8">
        <w:t xml:space="preserve">. </w:t>
      </w:r>
      <w:r>
        <w:fldChar w:fldCharType="begin"/>
      </w:r>
      <w:r>
        <w:instrText xml:space="preserve"> REF _Ref520276069 \h </w:instrText>
      </w:r>
      <w:r>
        <w:fldChar w:fldCharType="separate"/>
      </w:r>
      <w:r w:rsidR="006C5761">
        <w:t>Table </w:t>
      </w:r>
      <w:r w:rsidR="006C5761">
        <w:rPr>
          <w:noProof/>
        </w:rPr>
        <w:t>1</w:t>
      </w:r>
      <w:r>
        <w:fldChar w:fldCharType="end"/>
      </w:r>
      <w:r w:rsidR="00D646C5" w:rsidRPr="57352DF8">
        <w:t xml:space="preserve"> provides details of </w:t>
      </w:r>
      <w:r w:rsidR="00AA0A1B" w:rsidRPr="57352DF8">
        <w:t>what would constitute acute toxicity data.</w:t>
      </w:r>
      <w:r w:rsidR="001771D3" w:rsidRPr="57352DF8">
        <w:t xml:space="preserve"> </w:t>
      </w:r>
      <w:r w:rsidR="00187E80" w:rsidRPr="57352DF8">
        <w:t>Acute toxicity data are mo</w:t>
      </w:r>
      <w:r w:rsidR="001E7FC6" w:rsidRPr="57352DF8">
        <w:t>st</w:t>
      </w:r>
      <w:r w:rsidR="00187E80" w:rsidRPr="57352DF8">
        <w:t xml:space="preserve"> often reported as </w:t>
      </w:r>
      <w:r w:rsidR="00470151" w:rsidRPr="57352DF8">
        <w:t>LC/IC/EC50</w:t>
      </w:r>
      <w:r w:rsidR="00C45432" w:rsidRPr="57352DF8">
        <w:t xml:space="preserve"> values rather than </w:t>
      </w:r>
      <w:r w:rsidR="00A62F30">
        <w:t>negligible-effect</w:t>
      </w:r>
      <w:r w:rsidR="00C45432" w:rsidRPr="57352DF8">
        <w:t xml:space="preserve"> values</w:t>
      </w:r>
      <w:r w:rsidR="00B97C65" w:rsidRPr="57352DF8">
        <w:t xml:space="preserve">. </w:t>
      </w:r>
      <w:r w:rsidR="00470151" w:rsidRPr="57352DF8">
        <w:t>A</w:t>
      </w:r>
      <w:r w:rsidR="00F40009" w:rsidRPr="57352DF8">
        <w:t xml:space="preserve">cute LC/IC/EC50 values can be </w:t>
      </w:r>
      <w:r w:rsidR="00A9377E" w:rsidRPr="57352DF8">
        <w:t xml:space="preserve">converted to acute </w:t>
      </w:r>
      <w:r w:rsidR="00A62F30">
        <w:t>negligible-effect</w:t>
      </w:r>
      <w:r w:rsidR="00A9377E" w:rsidRPr="57352DF8">
        <w:t xml:space="preserve"> values by </w:t>
      </w:r>
      <w:r w:rsidR="00F40009" w:rsidRPr="57352DF8">
        <w:t>divid</w:t>
      </w:r>
      <w:r w:rsidR="00384E9F" w:rsidRPr="57352DF8">
        <w:t>ing</w:t>
      </w:r>
      <w:r w:rsidR="00F40009" w:rsidRPr="57352DF8">
        <w:t xml:space="preserve"> by </w:t>
      </w:r>
      <w:r w:rsidR="00992B3B" w:rsidRPr="57352DF8">
        <w:t xml:space="preserve">a </w:t>
      </w:r>
      <w:r w:rsidR="00F40009" w:rsidRPr="57352DF8">
        <w:t xml:space="preserve">default conversion factor of 5, </w:t>
      </w:r>
      <w:r w:rsidR="00992B3B" w:rsidRPr="57352DF8">
        <w:t>as applied to chronic</w:t>
      </w:r>
      <w:r w:rsidR="00BF1D8E" w:rsidRPr="57352DF8">
        <w:t xml:space="preserve"> data conversion (Section</w:t>
      </w:r>
      <w:r w:rsidR="00F217ED">
        <w:t> </w:t>
      </w:r>
      <w:r w:rsidR="00F217ED">
        <w:fldChar w:fldCharType="begin"/>
      </w:r>
      <w:r w:rsidR="00F217ED">
        <w:instrText xml:space="preserve"> REF _Ref202090288 \r \h </w:instrText>
      </w:r>
      <w:r w:rsidR="00F217ED">
        <w:fldChar w:fldCharType="separate"/>
      </w:r>
      <w:r w:rsidR="006C5761">
        <w:t>3.4.2.1</w:t>
      </w:r>
      <w:r w:rsidR="00F217ED">
        <w:fldChar w:fldCharType="end"/>
      </w:r>
      <w:r w:rsidR="009543E0" w:rsidRPr="57352DF8">
        <w:t>)</w:t>
      </w:r>
      <w:r w:rsidR="003D1044" w:rsidRPr="57352DF8">
        <w:t>.</w:t>
      </w:r>
      <w:r w:rsidR="002449DC" w:rsidRPr="57352DF8">
        <w:t xml:space="preserve"> </w:t>
      </w:r>
      <w:r w:rsidR="00D96473" w:rsidRPr="57352DF8">
        <w:t xml:space="preserve">Alternatively, </w:t>
      </w:r>
      <w:r w:rsidR="00570F9C" w:rsidRPr="57352DF8">
        <w:t xml:space="preserve">species-specific </w:t>
      </w:r>
      <w:r w:rsidR="005823D6" w:rsidRPr="57352DF8">
        <w:t xml:space="preserve">conversion factors can be derived if there are matched acute </w:t>
      </w:r>
      <w:r w:rsidR="00A62F30">
        <w:t>negligible-effect</w:t>
      </w:r>
      <w:r w:rsidR="00B14C7E" w:rsidRPr="57352DF8">
        <w:t xml:space="preserve"> </w:t>
      </w:r>
      <w:r w:rsidR="00F13150" w:rsidRPr="57352DF8">
        <w:t>(e.g. EC10</w:t>
      </w:r>
      <w:r w:rsidR="00653B4E" w:rsidRPr="57352DF8">
        <w:t>, NOEC</w:t>
      </w:r>
      <w:r w:rsidR="00F13150" w:rsidRPr="57352DF8">
        <w:t xml:space="preserve">) </w:t>
      </w:r>
      <w:r w:rsidR="00B14C7E" w:rsidRPr="57352DF8">
        <w:t>and median</w:t>
      </w:r>
      <w:r w:rsidR="004C42A7">
        <w:t>-</w:t>
      </w:r>
      <w:r w:rsidR="00B14C7E" w:rsidRPr="57352DF8">
        <w:t>effect</w:t>
      </w:r>
      <w:r w:rsidR="00F13150" w:rsidRPr="57352DF8">
        <w:t xml:space="preserve"> (e.g. EC50)</w:t>
      </w:r>
      <w:r w:rsidR="00B14C7E" w:rsidRPr="57352DF8">
        <w:t xml:space="preserve"> </w:t>
      </w:r>
      <w:r w:rsidR="005823D6" w:rsidRPr="57352DF8">
        <w:t xml:space="preserve">data </w:t>
      </w:r>
      <w:r w:rsidR="00B14C7E" w:rsidRPr="57352DF8">
        <w:t xml:space="preserve">available for species from the same </w:t>
      </w:r>
      <w:r w:rsidR="00F13150" w:rsidRPr="57352DF8">
        <w:t xml:space="preserve">acute toxicity </w:t>
      </w:r>
      <w:r w:rsidR="00B14C7E" w:rsidRPr="57352DF8">
        <w:t>study</w:t>
      </w:r>
      <w:r w:rsidR="00811FCD" w:rsidRPr="57352DF8">
        <w:t xml:space="preserve">. </w:t>
      </w:r>
      <w:r w:rsidR="00E86A05" w:rsidRPr="57352DF8">
        <w:t xml:space="preserve">When </w:t>
      </w:r>
      <w:r w:rsidR="00DE5EA0" w:rsidRPr="57352DF8">
        <w:t xml:space="preserve">applying conversion factors </w:t>
      </w:r>
      <w:r w:rsidR="007313B8" w:rsidRPr="57352DF8">
        <w:t>to the median</w:t>
      </w:r>
      <w:r w:rsidR="004C42A7">
        <w:t>-</w:t>
      </w:r>
      <w:r w:rsidR="007313B8" w:rsidRPr="57352DF8">
        <w:t xml:space="preserve">effect data, the same rules should be adopted as described for ACRs in </w:t>
      </w:r>
      <w:r w:rsidR="006A706E">
        <w:t>S</w:t>
      </w:r>
      <w:r w:rsidR="007313B8" w:rsidRPr="57352DF8">
        <w:t>ection</w:t>
      </w:r>
      <w:r w:rsidR="006A706E">
        <w:t> </w:t>
      </w:r>
      <w:r w:rsidR="00284511">
        <w:fldChar w:fldCharType="begin"/>
      </w:r>
      <w:r w:rsidR="00284511">
        <w:instrText xml:space="preserve"> REF _Ref522008131 \r \h </w:instrText>
      </w:r>
      <w:r w:rsidR="00284511">
        <w:fldChar w:fldCharType="separate"/>
      </w:r>
      <w:r w:rsidR="006C5761">
        <w:t>3.4.2.2</w:t>
      </w:r>
      <w:r w:rsidR="00284511">
        <w:fldChar w:fldCharType="end"/>
      </w:r>
      <w:r w:rsidR="003654D8" w:rsidRPr="57352DF8">
        <w:t xml:space="preserve">. </w:t>
      </w:r>
      <w:r w:rsidR="008E4A5D" w:rsidRPr="57352DF8">
        <w:t>As for long-term (chronic) GVs, if acute ECx or ICx data are available for a species, they should be used in preference to acute LCx data, unless a reliable LCx value is lower than the ECx or ICx values.</w:t>
      </w:r>
    </w:p>
    <w:p w14:paraId="2439ADE3" w14:textId="3C318A0C" w:rsidR="00B679A4" w:rsidRDefault="00811FCD" w:rsidP="004D7186">
      <w:r>
        <w:t>This approach was used for the chlorine marine</w:t>
      </w:r>
      <w:r w:rsidR="00FA688B">
        <w:t xml:space="preserve"> water</w:t>
      </w:r>
      <w:r>
        <w:t xml:space="preserve"> DGVs (ANZG </w:t>
      </w:r>
      <w:r w:rsidR="00506A6C">
        <w:t>2025a</w:t>
      </w:r>
      <w:r>
        <w:t xml:space="preserve">) and for short-term GVs for </w:t>
      </w:r>
      <w:r w:rsidR="00FA688B">
        <w:t xml:space="preserve">copper and zinc for New Zealand (Gadd </w:t>
      </w:r>
      <w:r w:rsidR="0070275C">
        <w:t>et al.</w:t>
      </w:r>
      <w:r w:rsidR="00B12838">
        <w:t xml:space="preserve"> 2024</w:t>
      </w:r>
      <w:r w:rsidR="00FA688B">
        <w:t>)</w:t>
      </w:r>
      <w:r w:rsidR="000B160B">
        <w:t xml:space="preserve">. When converting </w:t>
      </w:r>
      <w:r w:rsidR="00455D98">
        <w:t>acute low</w:t>
      </w:r>
      <w:r w:rsidR="004C42A7">
        <w:t xml:space="preserve">-effects and </w:t>
      </w:r>
      <w:r w:rsidR="00455D98">
        <w:t>median</w:t>
      </w:r>
      <w:r w:rsidR="004C42A7">
        <w:t>-</w:t>
      </w:r>
      <w:r w:rsidR="00455D98">
        <w:t xml:space="preserve">effects data to acute </w:t>
      </w:r>
      <w:r w:rsidR="00A62F30">
        <w:t>negligible-effect</w:t>
      </w:r>
      <w:r w:rsidR="00455D98">
        <w:t xml:space="preserve">s data, care needs to be taken that the conversion does not reduce the converted value </w:t>
      </w:r>
      <w:r w:rsidR="00D12E3F">
        <w:t>below values associated with chronic toxicity.</w:t>
      </w:r>
    </w:p>
    <w:p w14:paraId="53D09BCE" w14:textId="0A6B0DBB" w:rsidR="00B679A4" w:rsidRDefault="003D1044" w:rsidP="004D7186">
      <w:r>
        <w:t>Notably, i</w:t>
      </w:r>
      <w:r w:rsidR="001771D3">
        <w:t xml:space="preserve">f short-term </w:t>
      </w:r>
      <w:r>
        <w:t>GVs</w:t>
      </w:r>
      <w:r w:rsidR="001771D3">
        <w:t xml:space="preserve"> are to be used for regulatory purposes</w:t>
      </w:r>
      <w:r w:rsidR="00284511">
        <w:t>,</w:t>
      </w:r>
      <w:r w:rsidR="001771D3">
        <w:t xml:space="preserve"> such as setting </w:t>
      </w:r>
      <w:r w:rsidR="00C071FC">
        <w:t xml:space="preserve">licence </w:t>
      </w:r>
      <w:r w:rsidR="001771D3">
        <w:t>conditions or in prosecutions, the data preferences may change to reflect the purpose of the GV.</w:t>
      </w:r>
      <w:bookmarkStart w:id="94" w:name="_Ref166141028"/>
    </w:p>
    <w:p w14:paraId="145F77E6" w14:textId="64D9814A" w:rsidR="0093788C" w:rsidRPr="00153617" w:rsidRDefault="00A900AE" w:rsidP="00BD4CEC">
      <w:pPr>
        <w:pStyle w:val="Heading4"/>
      </w:pPr>
      <w:r>
        <w:lastRenderedPageBreak/>
        <w:t>The use of b</w:t>
      </w:r>
      <w:r w:rsidR="005347B7">
        <w:t xml:space="preserve">ioavailability models for metal </w:t>
      </w:r>
      <w:r w:rsidR="00880C39">
        <w:t>default guideline value</w:t>
      </w:r>
      <w:r w:rsidR="005347B7">
        <w:t>s</w:t>
      </w:r>
      <w:bookmarkEnd w:id="94"/>
    </w:p>
    <w:p w14:paraId="2D876150" w14:textId="6D724610" w:rsidR="00D02612" w:rsidRDefault="0093788C" w:rsidP="004D7186">
      <w:r w:rsidRPr="57352DF8">
        <w:t xml:space="preserve">It is well established that there are a number of abiotic </w:t>
      </w:r>
      <w:r w:rsidR="00F345D2">
        <w:t>TMFs</w:t>
      </w:r>
      <w:r w:rsidR="00F345D2" w:rsidRPr="57352DF8">
        <w:t xml:space="preserve"> </w:t>
      </w:r>
      <w:r w:rsidRPr="57352DF8">
        <w:t xml:space="preserve">that can modify the bioavailability </w:t>
      </w:r>
      <w:r w:rsidR="003B6E3B" w:rsidRPr="57352DF8">
        <w:t xml:space="preserve">and toxicity </w:t>
      </w:r>
      <w:r w:rsidRPr="57352DF8">
        <w:t xml:space="preserve">of </w:t>
      </w:r>
      <w:r w:rsidR="000A30F7" w:rsidRPr="57352DF8">
        <w:t xml:space="preserve">chemicals (particularly </w:t>
      </w:r>
      <w:r w:rsidRPr="57352DF8">
        <w:t>metals and metalloids</w:t>
      </w:r>
      <w:r w:rsidR="000A30F7" w:rsidRPr="57352DF8">
        <w:t>)</w:t>
      </w:r>
      <w:r w:rsidRPr="57352DF8">
        <w:t xml:space="preserve"> to aquatic organisms. These include, but are not limited to organic carbon, pH, temperature, alkalinity, </w:t>
      </w:r>
      <w:r w:rsidR="0AD270E8" w:rsidRPr="57352DF8">
        <w:t xml:space="preserve">chloride, </w:t>
      </w:r>
      <w:r w:rsidRPr="57352DF8">
        <w:t xml:space="preserve">hardness </w:t>
      </w:r>
      <w:r w:rsidR="00C74687">
        <w:t>(i.e.</w:t>
      </w:r>
      <w:r w:rsidRPr="57352DF8">
        <w:t xml:space="preserve"> the aqueous concentration of calcium and magnesium ions) and inorganic ligands </w:t>
      </w:r>
      <w:r w:rsidR="00C74687">
        <w:t>(e.g.</w:t>
      </w:r>
      <w:r w:rsidRPr="57352DF8">
        <w:t xml:space="preserve"> Wang 1987). </w:t>
      </w:r>
      <w:r w:rsidR="003B6E3B" w:rsidRPr="57352DF8">
        <w:t xml:space="preserve">Bioavailability models aim to predict the effect that a TMF or set of TMFs will have on the toxicity of a </w:t>
      </w:r>
      <w:r w:rsidR="004B2431" w:rsidRPr="57352DF8">
        <w:t>chemical</w:t>
      </w:r>
      <w:r w:rsidR="003B6E3B" w:rsidRPr="57352DF8">
        <w:t xml:space="preserve"> and can also be used to adjust GVs based on the </w:t>
      </w:r>
      <w:r w:rsidR="004E08C9" w:rsidRPr="57352DF8">
        <w:t>values</w:t>
      </w:r>
      <w:r w:rsidR="00CB01A5">
        <w:t xml:space="preserve"> or </w:t>
      </w:r>
      <w:r w:rsidR="004E08C9" w:rsidRPr="57352DF8">
        <w:t xml:space="preserve">concentrations of the </w:t>
      </w:r>
      <w:r w:rsidR="003B6E3B" w:rsidRPr="57352DF8">
        <w:t xml:space="preserve">TMF at the site of interest. When bioavailability models are incorporated into GV derivations, the GVs are initially derived </w:t>
      </w:r>
      <w:r w:rsidR="00243976" w:rsidRPr="57352DF8">
        <w:t>for a specific</w:t>
      </w:r>
      <w:r w:rsidR="00114CF8">
        <w:t xml:space="preserve"> </w:t>
      </w:r>
      <w:r w:rsidR="00114CF8" w:rsidRPr="57352DF8">
        <w:t>‘reference’ condition that is representative of a</w:t>
      </w:r>
      <w:r w:rsidR="00243976" w:rsidRPr="57352DF8">
        <w:t xml:space="preserve"> </w:t>
      </w:r>
      <w:r w:rsidR="00D73036" w:rsidRPr="57352DF8">
        <w:t>high</w:t>
      </w:r>
      <w:r w:rsidR="00D73036">
        <w:t>-</w:t>
      </w:r>
      <w:r w:rsidR="00D73036" w:rsidRPr="57352DF8">
        <w:t xml:space="preserve">bioavailability </w:t>
      </w:r>
      <w:r w:rsidR="003B6E3B" w:rsidRPr="57352DF8">
        <w:t>condition</w:t>
      </w:r>
      <w:r w:rsidR="00114CF8">
        <w:t>,</w:t>
      </w:r>
      <w:r w:rsidR="003B6E3B" w:rsidRPr="57352DF8">
        <w:t xml:space="preserve"> </w:t>
      </w:r>
      <w:r w:rsidR="00D73036">
        <w:t>and will include</w:t>
      </w:r>
      <w:r w:rsidR="00C93409" w:rsidRPr="57352DF8">
        <w:t xml:space="preserve"> </w:t>
      </w:r>
      <w:r w:rsidR="003B6E3B" w:rsidRPr="57352DF8">
        <w:t>look</w:t>
      </w:r>
      <w:r w:rsidR="44417E1F" w:rsidRPr="57352DF8">
        <w:t>-</w:t>
      </w:r>
      <w:r w:rsidR="003B6E3B" w:rsidRPr="57352DF8">
        <w:t xml:space="preserve">up tables </w:t>
      </w:r>
      <w:r w:rsidR="00DA7801" w:rsidRPr="57352DF8">
        <w:t>or a spreadsheet-based o</w:t>
      </w:r>
      <w:r w:rsidR="004E08C9" w:rsidRPr="57352DF8">
        <w:t>r</w:t>
      </w:r>
      <w:r w:rsidR="00DA7801" w:rsidRPr="57352DF8">
        <w:t xml:space="preserve"> online calculator that </w:t>
      </w:r>
      <w:r w:rsidR="003B6E3B" w:rsidRPr="57352DF8">
        <w:t xml:space="preserve">can be used to </w:t>
      </w:r>
      <w:r w:rsidR="00DA7801" w:rsidRPr="57352DF8">
        <w:t xml:space="preserve">provide the GV that is relevant to the </w:t>
      </w:r>
      <w:r w:rsidR="004E08C9" w:rsidRPr="57352DF8">
        <w:t xml:space="preserve">combination of </w:t>
      </w:r>
      <w:r w:rsidR="00DA7801" w:rsidRPr="57352DF8">
        <w:t>TMF conditions at the site of interest.</w:t>
      </w:r>
      <w:r w:rsidR="00890C3F" w:rsidRPr="57352DF8">
        <w:t xml:space="preserve"> To date, bioavailability-based </w:t>
      </w:r>
      <w:r w:rsidR="00025815" w:rsidRPr="57352DF8">
        <w:t>D</w:t>
      </w:r>
      <w:r w:rsidR="00890C3F" w:rsidRPr="57352DF8">
        <w:t>GVs have been predominantly developed for metals but also</w:t>
      </w:r>
      <w:r w:rsidR="00EC0D0A">
        <w:t xml:space="preserve"> for</w:t>
      </w:r>
      <w:r w:rsidR="00890C3F" w:rsidRPr="57352DF8">
        <w:t xml:space="preserve"> </w:t>
      </w:r>
      <w:r w:rsidR="00A90D82" w:rsidRPr="57352DF8">
        <w:t>ammonia</w:t>
      </w:r>
      <w:r w:rsidR="00B77BCF" w:rsidRPr="57352DF8">
        <w:t xml:space="preserve"> </w:t>
      </w:r>
      <w:r w:rsidR="00A90D82" w:rsidRPr="57352DF8">
        <w:t>(</w:t>
      </w:r>
      <w:r w:rsidR="00C43B9E" w:rsidRPr="57352DF8">
        <w:t xml:space="preserve">ANZG </w:t>
      </w:r>
      <w:r w:rsidR="00C7282D" w:rsidRPr="57352DF8">
        <w:t>2025</w:t>
      </w:r>
      <w:r w:rsidR="00C7282D">
        <w:t>b</w:t>
      </w:r>
      <w:r w:rsidR="00A90D82" w:rsidRPr="57352DF8">
        <w:t>)</w:t>
      </w:r>
      <w:r w:rsidR="00025815" w:rsidRPr="57352DF8">
        <w:t xml:space="preserve">, nitrate (ANZG </w:t>
      </w:r>
      <w:r w:rsidR="00C7282D" w:rsidRPr="57352DF8">
        <w:t>2025</w:t>
      </w:r>
      <w:r w:rsidR="00C7282D">
        <w:t>c</w:t>
      </w:r>
      <w:r w:rsidR="00025815" w:rsidRPr="57352DF8">
        <w:t>)</w:t>
      </w:r>
      <w:r w:rsidR="00A90D82" w:rsidRPr="57352DF8">
        <w:t xml:space="preserve"> </w:t>
      </w:r>
      <w:r w:rsidR="00B77BCF" w:rsidRPr="57352DF8">
        <w:t>and hydrogen sulfide</w:t>
      </w:r>
      <w:r w:rsidR="00A90D82" w:rsidRPr="57352DF8">
        <w:t xml:space="preserve"> (</w:t>
      </w:r>
      <w:r w:rsidR="001465BE">
        <w:t>ANZECC and ARMCANZ</w:t>
      </w:r>
      <w:r w:rsidR="00C43B9E" w:rsidRPr="57352DF8">
        <w:t xml:space="preserve"> 2000e)</w:t>
      </w:r>
      <w:r w:rsidR="00A33F37" w:rsidRPr="57352DF8">
        <w:t>.</w:t>
      </w:r>
    </w:p>
    <w:p w14:paraId="38FF354C" w14:textId="30D8B1BB" w:rsidR="009248D5" w:rsidRDefault="0093788C" w:rsidP="004D7186">
      <w:r w:rsidRPr="57352DF8">
        <w:t>In the 2000 Guidelines (</w:t>
      </w:r>
      <w:r w:rsidR="001465BE">
        <w:t>ANZECC and ARMCANZ</w:t>
      </w:r>
      <w:r w:rsidRPr="57352DF8">
        <w:t xml:space="preserve"> 2000a, b), </w:t>
      </w:r>
      <w:r w:rsidR="00B900B4" w:rsidRPr="57352DF8">
        <w:t>D</w:t>
      </w:r>
      <w:r w:rsidR="00BA4557" w:rsidRPr="57352DF8">
        <w:t xml:space="preserve">GVs </w:t>
      </w:r>
      <w:r w:rsidRPr="57352DF8">
        <w:t>for cadmium, chromium (III), copper, lead, nickel and zinc were normalised to a water hardness of 30 mg/L</w:t>
      </w:r>
      <w:r w:rsidR="00EC0D0A">
        <w:t> </w:t>
      </w:r>
      <w:r w:rsidR="00EC0D0A" w:rsidRPr="57352DF8">
        <w:t>CaCO</w:t>
      </w:r>
      <w:r w:rsidR="00EC0D0A" w:rsidRPr="57352DF8">
        <w:rPr>
          <w:vertAlign w:val="subscript"/>
        </w:rPr>
        <w:t>3</w:t>
      </w:r>
      <w:r w:rsidR="00EC0D0A" w:rsidRPr="00EC0D0A">
        <w:t xml:space="preserve"> </w:t>
      </w:r>
      <w:r w:rsidRPr="57352DF8">
        <w:t>and could subsequently be adjusted using hardness-based algorithms (adopted from US</w:t>
      </w:r>
      <w:r w:rsidR="00C73FEC">
        <w:t xml:space="preserve"> </w:t>
      </w:r>
      <w:r w:rsidRPr="57352DF8">
        <w:t>EPA 1996)</w:t>
      </w:r>
      <w:r w:rsidR="00243976" w:rsidRPr="57352DF8">
        <w:t>,</w:t>
      </w:r>
      <w:r w:rsidRPr="57352DF8">
        <w:t xml:space="preserve"> </w:t>
      </w:r>
      <w:r w:rsidR="45BA7C65" w:rsidRPr="57352DF8">
        <w:t>which were</w:t>
      </w:r>
      <w:r w:rsidRPr="57352DF8">
        <w:t xml:space="preserve"> largely based on acute toxicity data for fish</w:t>
      </w:r>
      <w:r w:rsidR="005347B7" w:rsidRPr="57352DF8">
        <w:t xml:space="preserve"> (see Table 3.4.3 and</w:t>
      </w:r>
      <w:r w:rsidR="00C73FEC">
        <w:t xml:space="preserve"> Table</w:t>
      </w:r>
      <w:r w:rsidR="005347B7" w:rsidRPr="57352DF8">
        <w:t xml:space="preserve"> 3.4.4 in </w:t>
      </w:r>
      <w:r w:rsidR="00BE77EF">
        <w:t>ANZECC and ARMCANZ 2000a</w:t>
      </w:r>
      <w:r w:rsidR="005347B7" w:rsidRPr="57352DF8">
        <w:t>)</w:t>
      </w:r>
      <w:r w:rsidRPr="57352DF8">
        <w:t>. Since then</w:t>
      </w:r>
      <w:r w:rsidR="00FA52A1" w:rsidRPr="57352DF8">
        <w:t>,</w:t>
      </w:r>
      <w:r w:rsidRPr="57352DF8">
        <w:t xml:space="preserve"> considerable research has shown the limitations of these hardness algorithms. For example, Markich et al. (2005) showed that hardness has either no </w:t>
      </w:r>
      <w:r w:rsidR="00C73FEC">
        <w:t xml:space="preserve">effect </w:t>
      </w:r>
      <w:r w:rsidRPr="57352DF8">
        <w:t xml:space="preserve">or a limited effect on copper toxicity </w:t>
      </w:r>
      <w:r w:rsidR="00143EC5" w:rsidRPr="57352DF8">
        <w:t xml:space="preserve">for </w:t>
      </w:r>
      <w:r w:rsidRPr="57352DF8">
        <w:t xml:space="preserve">a variety of </w:t>
      </w:r>
      <w:r w:rsidR="00FA52A1" w:rsidRPr="57352DF8">
        <w:t xml:space="preserve">freshwater </w:t>
      </w:r>
      <w:r w:rsidRPr="57352DF8">
        <w:t>organisms</w:t>
      </w:r>
      <w:r w:rsidR="301FB09F" w:rsidRPr="57352DF8">
        <w:t xml:space="preserve"> (i.e. an alga, </w:t>
      </w:r>
      <w:r w:rsidR="006A21E8">
        <w:t xml:space="preserve">a </w:t>
      </w:r>
      <w:r w:rsidR="301FB09F" w:rsidRPr="57352DF8">
        <w:t>bacterium and a cladoceran)</w:t>
      </w:r>
      <w:r w:rsidRPr="57352DF8">
        <w:t xml:space="preserve">. </w:t>
      </w:r>
      <w:r w:rsidR="00FA52A1" w:rsidRPr="57352DF8">
        <w:t xml:space="preserve">Similarly, </w:t>
      </w:r>
      <w:r w:rsidR="00B900B4" w:rsidRPr="57352DF8">
        <w:t>currently in-draft DGVs for chromium (III)</w:t>
      </w:r>
      <w:r w:rsidR="00001487" w:rsidRPr="57352DF8">
        <w:t>,</w:t>
      </w:r>
      <w:r w:rsidR="00B900B4" w:rsidRPr="57352DF8">
        <w:t xml:space="preserve"> nickel</w:t>
      </w:r>
      <w:r w:rsidR="00001487" w:rsidRPr="57352DF8">
        <w:t xml:space="preserve"> and zinc</w:t>
      </w:r>
      <w:r w:rsidR="00B900B4" w:rsidRPr="57352DF8">
        <w:t xml:space="preserve"> have</w:t>
      </w:r>
      <w:r w:rsidR="00FA52A1" w:rsidRPr="57352DF8">
        <w:t xml:space="preserve"> reported that the hardness algorithm</w:t>
      </w:r>
      <w:r w:rsidR="00B900B4" w:rsidRPr="57352DF8">
        <w:t>s</w:t>
      </w:r>
      <w:r w:rsidR="00FA52A1" w:rsidRPr="57352DF8">
        <w:t xml:space="preserve"> for </w:t>
      </w:r>
      <w:r w:rsidR="00B900B4" w:rsidRPr="57352DF8">
        <w:t>these metals have</w:t>
      </w:r>
      <w:r w:rsidR="00FA52A1" w:rsidRPr="57352DF8">
        <w:t xml:space="preserve"> numerous limitations and should not be used to adjust DGVs</w:t>
      </w:r>
      <w:r w:rsidR="00B900B4" w:rsidRPr="57352DF8">
        <w:t xml:space="preserve"> (ANZG, unpublished data)</w:t>
      </w:r>
      <w:r w:rsidR="00FA52A1" w:rsidRPr="57352DF8">
        <w:t xml:space="preserve">. Common </w:t>
      </w:r>
      <w:r w:rsidRPr="57352DF8">
        <w:t>criticisms of the hardness</w:t>
      </w:r>
      <w:r w:rsidR="006A21E8">
        <w:t xml:space="preserve"> </w:t>
      </w:r>
      <w:r w:rsidRPr="57352DF8">
        <w:t xml:space="preserve">algorithms include that they are based on narrow ranges of water hardness </w:t>
      </w:r>
      <w:r w:rsidR="00143EC5" w:rsidRPr="57352DF8">
        <w:t xml:space="preserve">for </w:t>
      </w:r>
      <w:r w:rsidRPr="57352DF8">
        <w:t>a limited range of species (with many Australian and New Zealand waters having values outside the tested ranges) and then are extrapolated to all species. A Dutch review of the use of hardness</w:t>
      </w:r>
      <w:r w:rsidR="006A21E8">
        <w:t>-</w:t>
      </w:r>
      <w:r w:rsidRPr="57352DF8">
        <w:t xml:space="preserve">based </w:t>
      </w:r>
      <w:r w:rsidR="007A075B">
        <w:t>e</w:t>
      </w:r>
      <w:r w:rsidRPr="57352DF8">
        <w:t xml:space="preserve">nvironmental </w:t>
      </w:r>
      <w:r w:rsidR="007A075B">
        <w:t>q</w:t>
      </w:r>
      <w:r w:rsidRPr="57352DF8">
        <w:t xml:space="preserve">uality </w:t>
      </w:r>
      <w:r w:rsidR="007A075B">
        <w:t>s</w:t>
      </w:r>
      <w:r w:rsidRPr="57352DF8">
        <w:t xml:space="preserve">tandards concluded that they were not predictors of ecological risk posed by metals (RIVM 2004). </w:t>
      </w:r>
      <w:r w:rsidR="00561540" w:rsidRPr="57352DF8">
        <w:t xml:space="preserve">Updated guidance on the use of the hardness algorithms is provided in </w:t>
      </w:r>
      <w:r w:rsidR="00F16366" w:rsidRPr="00F16366">
        <w:t>ANZG (2018)</w:t>
      </w:r>
      <w:r w:rsidR="00561540" w:rsidRPr="57352DF8">
        <w:t>.</w:t>
      </w:r>
    </w:p>
    <w:p w14:paraId="29C4DE31" w14:textId="14790DE7" w:rsidR="00B679A4" w:rsidRDefault="0093788C" w:rsidP="004D7186">
      <w:r w:rsidRPr="57352DF8">
        <w:t>The</w:t>
      </w:r>
      <w:r w:rsidR="009248D5" w:rsidRPr="57352DF8">
        <w:t xml:space="preserve"> above</w:t>
      </w:r>
      <w:r w:rsidRPr="57352DF8">
        <w:t xml:space="preserve"> limitations contributed to the development of </w:t>
      </w:r>
      <w:r w:rsidR="007A075B">
        <w:t>b</w:t>
      </w:r>
      <w:r w:rsidRPr="57352DF8">
        <w:t xml:space="preserve">iotic </w:t>
      </w:r>
      <w:r w:rsidR="007A075B">
        <w:t>l</w:t>
      </w:r>
      <w:r w:rsidRPr="57352DF8">
        <w:t xml:space="preserve">igand </w:t>
      </w:r>
      <w:r w:rsidR="007A075B">
        <w:t>m</w:t>
      </w:r>
      <w:r w:rsidRPr="57352DF8">
        <w:t xml:space="preserve">odels (BLMs) that consider the effect of </w:t>
      </w:r>
      <w:r w:rsidR="00A900AE" w:rsidRPr="57352DF8">
        <w:t>TMFs</w:t>
      </w:r>
      <w:r w:rsidRPr="57352DF8">
        <w:t>, including water hardness, that compete for the biotic ligand and affect metal toxicity. Some BLMs have been adopted by national and international regulatory bodies</w:t>
      </w:r>
      <w:r w:rsidR="000013AF">
        <w:t>,</w:t>
      </w:r>
      <w:r w:rsidRPr="57352DF8">
        <w:t xml:space="preserve"> including the </w:t>
      </w:r>
      <w:r w:rsidR="00213FB8" w:rsidRPr="57352DF8">
        <w:t xml:space="preserve">nickel </w:t>
      </w:r>
      <w:r w:rsidRPr="57352DF8">
        <w:t xml:space="preserve">BLM adopted by the European Commission to derive </w:t>
      </w:r>
      <w:r w:rsidR="007A075B">
        <w:t>e</w:t>
      </w:r>
      <w:r w:rsidR="00A71FB3">
        <w:t xml:space="preserve">nvironmental </w:t>
      </w:r>
      <w:r w:rsidR="007A075B">
        <w:t>q</w:t>
      </w:r>
      <w:r w:rsidR="00A71FB3">
        <w:t xml:space="preserve">uality </w:t>
      </w:r>
      <w:r w:rsidR="007A075B">
        <w:t>s</w:t>
      </w:r>
      <w:r w:rsidR="00A71FB3">
        <w:t>tandard</w:t>
      </w:r>
      <w:r w:rsidR="00143EC5" w:rsidRPr="57352DF8">
        <w:t>s</w:t>
      </w:r>
      <w:r w:rsidRPr="57352DF8">
        <w:t xml:space="preserve"> for freshwaters (European Commission </w:t>
      </w:r>
      <w:r w:rsidR="00A578AA" w:rsidRPr="57352DF8">
        <w:t>2019</w:t>
      </w:r>
      <w:r w:rsidRPr="57352DF8">
        <w:t>). At present</w:t>
      </w:r>
      <w:r w:rsidR="000013AF">
        <w:t>,</w:t>
      </w:r>
      <w:r w:rsidRPr="57352DF8">
        <w:t xml:space="preserve"> no BLMs have been endorsed </w:t>
      </w:r>
      <w:r w:rsidR="00143EC5" w:rsidRPr="57352DF8">
        <w:t xml:space="preserve">for the </w:t>
      </w:r>
      <w:r w:rsidRPr="57352DF8">
        <w:t>deriv</w:t>
      </w:r>
      <w:r w:rsidR="00143EC5" w:rsidRPr="57352DF8">
        <w:t>ation of</w:t>
      </w:r>
      <w:r w:rsidRPr="57352DF8">
        <w:t xml:space="preserve"> </w:t>
      </w:r>
      <w:r w:rsidR="00A900AE" w:rsidRPr="57352DF8">
        <w:t>D</w:t>
      </w:r>
      <w:r w:rsidRPr="57352DF8">
        <w:t>GVs for Australia and New Zealand</w:t>
      </w:r>
      <w:r w:rsidR="001A2E5F" w:rsidRPr="57352DF8">
        <w:t>.</w:t>
      </w:r>
      <w:r w:rsidR="00F71276" w:rsidRPr="57352DF8">
        <w:t xml:space="preserve"> </w:t>
      </w:r>
      <w:r w:rsidRPr="57352DF8">
        <w:t>Considerably more work is required to develop and validate scientifically robust method(s) for modifying or deriving GVs for metals.</w:t>
      </w:r>
    </w:p>
    <w:p w14:paraId="008CC5E3" w14:textId="371B9BE6" w:rsidR="00B679A4" w:rsidRDefault="0093788C" w:rsidP="004D7186">
      <w:r w:rsidRPr="57352DF8">
        <w:t>A</w:t>
      </w:r>
      <w:r w:rsidR="00BA4557" w:rsidRPr="57352DF8">
        <w:t>n alternative</w:t>
      </w:r>
      <w:r w:rsidRPr="57352DF8">
        <w:t xml:space="preserve"> approach, </w:t>
      </w:r>
      <w:r w:rsidR="001A1B44" w:rsidRPr="57352DF8">
        <w:t>known as</w:t>
      </w:r>
      <w:r w:rsidRPr="57352DF8">
        <w:t xml:space="preserve"> </w:t>
      </w:r>
      <w:r w:rsidR="005347B7" w:rsidRPr="57352DF8">
        <w:t xml:space="preserve">a </w:t>
      </w:r>
      <w:r w:rsidRPr="57352DF8">
        <w:t>multiple linear regression (MLR)</w:t>
      </w:r>
      <w:r w:rsidR="001A1F10" w:rsidRPr="57352DF8">
        <w:t xml:space="preserve"> model</w:t>
      </w:r>
      <w:r w:rsidRPr="57352DF8">
        <w:t xml:space="preserve">, </w:t>
      </w:r>
      <w:r w:rsidR="001A1F10" w:rsidRPr="57352DF8">
        <w:t>predicts</w:t>
      </w:r>
      <w:r w:rsidRPr="57352DF8">
        <w:t xml:space="preserve"> the toxicity of </w:t>
      </w:r>
      <w:r w:rsidR="00657D83" w:rsidRPr="57352DF8">
        <w:t xml:space="preserve">a </w:t>
      </w:r>
      <w:r w:rsidRPr="57352DF8">
        <w:t xml:space="preserve">metal </w:t>
      </w:r>
      <w:r w:rsidR="001A1F10" w:rsidRPr="57352DF8">
        <w:t xml:space="preserve">based on empirical data for </w:t>
      </w:r>
      <w:r w:rsidR="00A900AE" w:rsidRPr="57352DF8">
        <w:t>TMFs</w:t>
      </w:r>
      <w:r w:rsidRPr="57352DF8">
        <w:t xml:space="preserve"> such as hardness, pH and DOC</w:t>
      </w:r>
      <w:r w:rsidR="00901CB5" w:rsidRPr="57352DF8">
        <w:t xml:space="preserve"> (Brix et al. 2020)</w:t>
      </w:r>
      <w:r w:rsidR="001A1F10" w:rsidRPr="57352DF8">
        <w:t>. M</w:t>
      </w:r>
      <w:r w:rsidR="00F0479A">
        <w:t>ultiple linear regression</w:t>
      </w:r>
      <w:r w:rsidR="001A1F10" w:rsidRPr="57352DF8">
        <w:t xml:space="preserve"> models have been developed and used for aluminium in the United States </w:t>
      </w:r>
      <w:r w:rsidR="00C65F89" w:rsidRPr="57352DF8">
        <w:t>and Canada (US</w:t>
      </w:r>
      <w:r w:rsidR="00F0479A">
        <w:t xml:space="preserve"> </w:t>
      </w:r>
      <w:r w:rsidR="00C65F89" w:rsidRPr="57352DF8">
        <w:t xml:space="preserve">EPA 2018) </w:t>
      </w:r>
      <w:r w:rsidR="001A1F10" w:rsidRPr="57352DF8">
        <w:t xml:space="preserve">and </w:t>
      </w:r>
      <w:r w:rsidR="00F0479A">
        <w:t xml:space="preserve">for </w:t>
      </w:r>
      <w:r w:rsidR="00D01A77" w:rsidRPr="57352DF8">
        <w:t>iron</w:t>
      </w:r>
      <w:r w:rsidR="00F82985" w:rsidRPr="57352DF8">
        <w:t xml:space="preserve">, lead </w:t>
      </w:r>
      <w:r w:rsidR="00D01A77" w:rsidRPr="57352DF8">
        <w:t xml:space="preserve">and </w:t>
      </w:r>
      <w:r w:rsidR="001A1F10" w:rsidRPr="57352DF8">
        <w:t>zinc in Canada</w:t>
      </w:r>
      <w:r w:rsidR="00C65F89" w:rsidRPr="57352DF8">
        <w:t xml:space="preserve"> (ECCC 2020</w:t>
      </w:r>
      <w:r w:rsidR="00692F5F">
        <w:t>, 2024</w:t>
      </w:r>
      <w:r w:rsidR="00881478">
        <w:t>;</w:t>
      </w:r>
      <w:r w:rsidR="00C65F89" w:rsidRPr="57352DF8">
        <w:t xml:space="preserve"> CCME 2018)</w:t>
      </w:r>
      <w:r w:rsidR="001A1F10" w:rsidRPr="57352DF8">
        <w:t xml:space="preserve">. </w:t>
      </w:r>
      <w:r w:rsidR="00942611">
        <w:t>They</w:t>
      </w:r>
      <w:r w:rsidR="006C4A03" w:rsidRPr="57352DF8">
        <w:t xml:space="preserve"> have also been proposed </w:t>
      </w:r>
      <w:r w:rsidR="2642822A" w:rsidRPr="57352DF8">
        <w:t xml:space="preserve">for use for </w:t>
      </w:r>
      <w:r w:rsidR="00D25011" w:rsidRPr="57352DF8">
        <w:t xml:space="preserve">DGVs for </w:t>
      </w:r>
      <w:r w:rsidR="2642822A" w:rsidRPr="57352DF8">
        <w:t xml:space="preserve">nickel </w:t>
      </w:r>
      <w:r w:rsidR="006C4A03" w:rsidRPr="57352DF8">
        <w:t xml:space="preserve">(Stauber et al. 2021) and zinc </w:t>
      </w:r>
      <w:r w:rsidR="00D25011" w:rsidRPr="57352DF8">
        <w:t>(</w:t>
      </w:r>
      <w:r w:rsidR="00AF1FDA" w:rsidRPr="57352DF8">
        <w:t>Stauber et al. 2022</w:t>
      </w:r>
      <w:r w:rsidR="00D25011" w:rsidRPr="57352DF8">
        <w:t xml:space="preserve">) </w:t>
      </w:r>
      <w:r w:rsidR="2642822A" w:rsidRPr="57352DF8">
        <w:t xml:space="preserve">in freshwaters </w:t>
      </w:r>
      <w:r w:rsidR="00FE77BC" w:rsidRPr="57352DF8">
        <w:t xml:space="preserve">for </w:t>
      </w:r>
      <w:r w:rsidR="2642822A" w:rsidRPr="57352DF8">
        <w:t>Australia and New Zealand.</w:t>
      </w:r>
      <w:r w:rsidRPr="57352DF8">
        <w:t xml:space="preserve"> M</w:t>
      </w:r>
      <w:r w:rsidR="00881478">
        <w:t>ultiple linear regression model</w:t>
      </w:r>
      <w:r w:rsidRPr="57352DF8">
        <w:t xml:space="preserve">s are </w:t>
      </w:r>
      <w:r w:rsidR="772666F8" w:rsidRPr="57352DF8">
        <w:t xml:space="preserve">also </w:t>
      </w:r>
      <w:r w:rsidRPr="57352DF8">
        <w:t>used in the Australian ecological investigation levels for contaminated sites (NEPC 2013). Similar to the BLM approach, toxicity data from</w:t>
      </w:r>
      <w:r w:rsidR="00AF16C5">
        <w:t xml:space="preserve"> a</w:t>
      </w:r>
      <w:r w:rsidRPr="57352DF8">
        <w:t xml:space="preserve"> single species can be used to develop relationships, or data for </w:t>
      </w:r>
      <w:r w:rsidRPr="57352DF8">
        <w:lastRenderedPageBreak/>
        <w:t xml:space="preserve">multiple species can be pooled to select the best MLR, provided that </w:t>
      </w:r>
      <w:r w:rsidR="00AF16C5">
        <w:t xml:space="preserve">the </w:t>
      </w:r>
      <w:r w:rsidR="001971E8">
        <w:t xml:space="preserve">effects of </w:t>
      </w:r>
      <w:r w:rsidRPr="57352DF8">
        <w:t xml:space="preserve">water chemistry on toxicity are similar across species. Such approaches may assist </w:t>
      </w:r>
      <w:r w:rsidR="00143EC5" w:rsidRPr="57352DF8">
        <w:t xml:space="preserve">in </w:t>
      </w:r>
      <w:r w:rsidRPr="57352DF8">
        <w:t xml:space="preserve">the transition from simple algorithm approaches to more complex BLM approaches for </w:t>
      </w:r>
      <w:r w:rsidR="001971E8">
        <w:t xml:space="preserve">deriving GVs for </w:t>
      </w:r>
      <w:r w:rsidRPr="57352DF8">
        <w:t>metals.</w:t>
      </w:r>
      <w:r w:rsidR="00170B06" w:rsidRPr="57352DF8">
        <w:t xml:space="preserve"> </w:t>
      </w:r>
      <w:r w:rsidR="009859A1" w:rsidRPr="57352DF8">
        <w:t xml:space="preserve">The use of non-linear models </w:t>
      </w:r>
      <w:r w:rsidR="006D0522" w:rsidRPr="57352DF8">
        <w:t xml:space="preserve">for accounting for TMFs is less common (e.g. </w:t>
      </w:r>
      <w:r w:rsidR="00A91FA7" w:rsidRPr="57352DF8">
        <w:t>Erickson et al. 1987</w:t>
      </w:r>
      <w:r w:rsidR="00AF16C5">
        <w:t>;</w:t>
      </w:r>
      <w:r w:rsidR="00A91FA7" w:rsidRPr="57352DF8">
        <w:t xml:space="preserve"> </w:t>
      </w:r>
      <w:r w:rsidR="00135A4C" w:rsidRPr="57352DF8">
        <w:t>Cui et al. 2023</w:t>
      </w:r>
      <w:r w:rsidR="006D0522" w:rsidRPr="57352DF8">
        <w:t xml:space="preserve">) but </w:t>
      </w:r>
      <w:r w:rsidR="00BA217C" w:rsidRPr="57352DF8">
        <w:t xml:space="preserve">does represent an option. </w:t>
      </w:r>
      <w:r w:rsidR="00EC137A" w:rsidRPr="57352DF8">
        <w:t>Such models are likely to be more complex than linear models and would equally need appropriate validation and, ultimately,</w:t>
      </w:r>
      <w:r w:rsidR="00097588" w:rsidRPr="57352DF8">
        <w:t xml:space="preserve"> to be simple enough </w:t>
      </w:r>
      <w:r w:rsidR="00E75B15" w:rsidRPr="57352DF8">
        <w:t>to encourage implementation by stakeholders.</w:t>
      </w:r>
    </w:p>
    <w:p w14:paraId="0462274F" w14:textId="14855F15" w:rsidR="00A900AE" w:rsidRPr="00B03C81" w:rsidRDefault="00A900AE" w:rsidP="004D7186">
      <w:r w:rsidRPr="57352DF8">
        <w:t>M</w:t>
      </w:r>
      <w:r w:rsidR="00253144" w:rsidRPr="57352DF8">
        <w:t xml:space="preserve">odels </w:t>
      </w:r>
      <w:r w:rsidR="00561540" w:rsidRPr="57352DF8">
        <w:t xml:space="preserve">(e.g. BLMs, MLRs) </w:t>
      </w:r>
      <w:r w:rsidR="00253144" w:rsidRPr="57352DF8">
        <w:t xml:space="preserve">for predicting </w:t>
      </w:r>
      <w:r w:rsidR="00561540" w:rsidRPr="57352DF8">
        <w:t xml:space="preserve">the effects of TMFs on </w:t>
      </w:r>
      <w:r w:rsidR="00253144" w:rsidRPr="57352DF8">
        <w:t xml:space="preserve">metal toxicity and adjusting GVs accordingly can be included in the development of DGVs. However, </w:t>
      </w:r>
      <w:r w:rsidR="00726989" w:rsidRPr="57352DF8">
        <w:t>if this is to be done, it needs</w:t>
      </w:r>
      <w:r w:rsidR="005347B7" w:rsidRPr="57352DF8">
        <w:t xml:space="preserve"> to take into account the </w:t>
      </w:r>
      <w:r w:rsidR="00D11132" w:rsidRPr="57352DF8">
        <w:t>following considerations</w:t>
      </w:r>
      <w:r w:rsidR="001276DB" w:rsidRPr="57352DF8">
        <w:t>:</w:t>
      </w:r>
    </w:p>
    <w:p w14:paraId="10341900" w14:textId="659F3AB4" w:rsidR="004973F6" w:rsidRPr="00B03C81" w:rsidRDefault="00A900AE" w:rsidP="00FC28C6">
      <w:pPr>
        <w:pStyle w:val="ListBullet"/>
      </w:pPr>
      <w:r>
        <w:t xml:space="preserve">There needs to be sufficient evidence that </w:t>
      </w:r>
      <w:r w:rsidR="004973F6">
        <w:t xml:space="preserve">the </w:t>
      </w:r>
      <w:r>
        <w:t>model incorporate</w:t>
      </w:r>
      <w:r w:rsidR="004973F6">
        <w:t>s</w:t>
      </w:r>
      <w:r>
        <w:t xml:space="preserve"> TMFs that are relevant </w:t>
      </w:r>
      <w:r w:rsidR="004973F6">
        <w:t>to the metal of interest – i.e. that the TMFs exhibit relationships with the chronic toxicity of the metal that can be accurately modelled</w:t>
      </w:r>
      <w:r w:rsidR="003C688E">
        <w:t>.</w:t>
      </w:r>
    </w:p>
    <w:p w14:paraId="33903EE7" w14:textId="6E441ECE" w:rsidR="00B679A4" w:rsidRDefault="004973F6" w:rsidP="00FC28C6">
      <w:pPr>
        <w:pStyle w:val="ListBullet"/>
      </w:pPr>
      <w:r>
        <w:t xml:space="preserve">It may be beneficial if the role of </w:t>
      </w:r>
      <w:r w:rsidR="00250B4A">
        <w:t xml:space="preserve">the </w:t>
      </w:r>
      <w:r>
        <w:t xml:space="preserve">TMFs </w:t>
      </w:r>
      <w:r w:rsidR="00250B4A">
        <w:t>in affecting the toxicity of the metal</w:t>
      </w:r>
      <w:r w:rsidR="00844CB3">
        <w:t>,</w:t>
      </w:r>
      <w:r w:rsidR="00250B4A">
        <w:t xml:space="preserve"> </w:t>
      </w:r>
      <w:r>
        <w:t xml:space="preserve">and any associated model that has been developed </w:t>
      </w:r>
      <w:r w:rsidR="00250B4A">
        <w:t>to predict this</w:t>
      </w:r>
      <w:r w:rsidR="00844CB3">
        <w:t>,</w:t>
      </w:r>
      <w:r w:rsidR="00250B4A">
        <w:t xml:space="preserve"> </w:t>
      </w:r>
      <w:r>
        <w:t>has been</w:t>
      </w:r>
      <w:r w:rsidR="0093788C">
        <w:t xml:space="preserve"> recognised by other national or international regulatory authorities</w:t>
      </w:r>
      <w:r>
        <w:t xml:space="preserve"> (</w:t>
      </w:r>
      <w:r w:rsidR="0070630E">
        <w:t>e.g.</w:t>
      </w:r>
      <w:r>
        <w:t xml:space="preserve"> U</w:t>
      </w:r>
      <w:r w:rsidR="00EF1884">
        <w:t xml:space="preserve">nited </w:t>
      </w:r>
      <w:r>
        <w:t>S</w:t>
      </w:r>
      <w:r w:rsidR="00EF1884">
        <w:t xml:space="preserve">tates </w:t>
      </w:r>
      <w:r>
        <w:t>E</w:t>
      </w:r>
      <w:r w:rsidR="00EF1884">
        <w:t xml:space="preserve">nvironmental </w:t>
      </w:r>
      <w:r>
        <w:t>P</w:t>
      </w:r>
      <w:r w:rsidR="00EF1884">
        <w:t xml:space="preserve">rotection </w:t>
      </w:r>
      <w:r>
        <w:t>A</w:t>
      </w:r>
      <w:r w:rsidR="00EF1884">
        <w:t>gency</w:t>
      </w:r>
      <w:r>
        <w:t xml:space="preserve">, </w:t>
      </w:r>
      <w:r w:rsidR="00444817" w:rsidRPr="00444817">
        <w:t>Environment and Climate Change Canada</w:t>
      </w:r>
      <w:r>
        <w:t>)</w:t>
      </w:r>
      <w:r w:rsidR="001276DB">
        <w:t xml:space="preserve"> </w:t>
      </w:r>
      <w:r w:rsidR="006D1F79">
        <w:t>or</w:t>
      </w:r>
      <w:r w:rsidR="001276DB">
        <w:t xml:space="preserve"> has been published in the peer</w:t>
      </w:r>
      <w:r w:rsidR="31DE0820">
        <w:t>-</w:t>
      </w:r>
      <w:r w:rsidR="001276DB">
        <w:t>reviewed literature</w:t>
      </w:r>
      <w:r w:rsidR="007249AE">
        <w:t>.</w:t>
      </w:r>
    </w:p>
    <w:p w14:paraId="70652398" w14:textId="3AA65080" w:rsidR="00D11132" w:rsidRPr="00B03C81" w:rsidRDefault="00D11132" w:rsidP="00FC28C6">
      <w:pPr>
        <w:pStyle w:val="ListBullet"/>
      </w:pPr>
      <w:r w:rsidRPr="00B03C81">
        <w:t>The validated ranges of the TMFs in the model should be relevant to Australian and New Zealand water</w:t>
      </w:r>
      <w:r w:rsidR="007249AE">
        <w:t>-</w:t>
      </w:r>
      <w:r w:rsidRPr="00B03C81">
        <w:t>quality conditions.</w:t>
      </w:r>
    </w:p>
    <w:p w14:paraId="622FE3AC" w14:textId="7140D2B6" w:rsidR="004973F6" w:rsidRPr="00B03C81" w:rsidRDefault="00250B4A" w:rsidP="00FC28C6">
      <w:pPr>
        <w:pStyle w:val="ListBullet"/>
      </w:pPr>
      <w:r w:rsidRPr="57352DF8">
        <w:t xml:space="preserve">A model is more likely to be accepted </w:t>
      </w:r>
      <w:r w:rsidR="003B6E3B" w:rsidRPr="57352DF8">
        <w:t xml:space="preserve">for use in the development of a DGV </w:t>
      </w:r>
      <w:r w:rsidRPr="57352DF8">
        <w:t>if it has been validated using water</w:t>
      </w:r>
      <w:r w:rsidR="007249AE">
        <w:t>-</w:t>
      </w:r>
      <w:r w:rsidRPr="57352DF8">
        <w:t xml:space="preserve">quality conditions </w:t>
      </w:r>
      <w:r w:rsidR="00BD6FF3">
        <w:t>and</w:t>
      </w:r>
      <w:r w:rsidRPr="57352DF8">
        <w:t xml:space="preserve"> species relevant for Australia and New Zealand, as was done for nickel (Peters et al. 2018</w:t>
      </w:r>
      <w:r w:rsidR="007249AE">
        <w:t>;</w:t>
      </w:r>
      <w:r w:rsidRPr="57352DF8">
        <w:t xml:space="preserve"> Stauber et al. 2021) and zinc (Stauber et al. 2022).</w:t>
      </w:r>
      <w:r w:rsidR="006D1F79" w:rsidRPr="57352DF8">
        <w:t xml:space="preserve"> Validation may include assessing </w:t>
      </w:r>
      <w:r w:rsidR="00556EBF" w:rsidRPr="57352DF8">
        <w:t xml:space="preserve">model outputs for </w:t>
      </w:r>
      <w:r w:rsidR="006D1F79" w:rsidRPr="57352DF8">
        <w:t xml:space="preserve">both predictiveness </w:t>
      </w:r>
      <w:r w:rsidR="00556EBF" w:rsidRPr="57352DF8">
        <w:t>and protectiveness.</w:t>
      </w:r>
    </w:p>
    <w:p w14:paraId="3FC9E88E" w14:textId="4C961E1E" w:rsidR="00B679A4" w:rsidRDefault="0093788C" w:rsidP="00FC28C6">
      <w:pPr>
        <w:pStyle w:val="ListBullet"/>
      </w:pPr>
      <w:r w:rsidRPr="57352DF8">
        <w:t xml:space="preserve">Additional lines of evidence supporting the </w:t>
      </w:r>
      <w:r w:rsidR="00C27406" w:rsidRPr="57352DF8">
        <w:t xml:space="preserve">approach </w:t>
      </w:r>
      <w:r w:rsidRPr="57352DF8">
        <w:t xml:space="preserve">and appropriate caveats </w:t>
      </w:r>
      <w:r w:rsidR="00C74687">
        <w:t>(e.g.</w:t>
      </w:r>
      <w:r w:rsidRPr="57352DF8">
        <w:t xml:space="preserve"> non-validation to local conditions</w:t>
      </w:r>
      <w:r w:rsidR="007249AE">
        <w:t xml:space="preserve"> or </w:t>
      </w:r>
      <w:r w:rsidRPr="57352DF8">
        <w:t>species) should also be documented.</w:t>
      </w:r>
    </w:p>
    <w:p w14:paraId="606CE37E" w14:textId="19D6CC65" w:rsidR="00D11132" w:rsidRDefault="00D11132" w:rsidP="007249AE">
      <w:pPr>
        <w:keepNext/>
      </w:pPr>
      <w:r w:rsidRPr="57352DF8">
        <w:t xml:space="preserve">Reflecting these considerations, </w:t>
      </w:r>
      <w:r w:rsidR="00AD1B7E" w:rsidRPr="57352DF8">
        <w:t>the following</w:t>
      </w:r>
      <w:r w:rsidRPr="57352DF8">
        <w:t xml:space="preserve"> </w:t>
      </w:r>
      <w:r w:rsidR="00AD1B7E" w:rsidRPr="57352DF8">
        <w:t>4-step approach is recommended for assessing and validating bioavailability models for Australian and New Zealand conditions:</w:t>
      </w:r>
    </w:p>
    <w:p w14:paraId="115B7013" w14:textId="535F288B" w:rsidR="00AD1B7E" w:rsidRPr="00186608" w:rsidRDefault="00AD1B7E" w:rsidP="005B051B">
      <w:pPr>
        <w:pStyle w:val="ListParagraph"/>
        <w:numPr>
          <w:ilvl w:val="0"/>
          <w:numId w:val="15"/>
        </w:numPr>
        <w:rPr>
          <w:lang w:val="en-GB"/>
        </w:rPr>
      </w:pPr>
      <w:r w:rsidRPr="6ECD9F26">
        <w:rPr>
          <w:b/>
          <w:bCs/>
          <w:lang w:val="en-GB"/>
        </w:rPr>
        <w:t>Confirm model rigour:</w:t>
      </w:r>
      <w:r w:rsidRPr="6ECD9F26">
        <w:rPr>
          <w:lang w:val="en-GB"/>
        </w:rPr>
        <w:t xml:space="preserve"> Has the model been developed and adopted by a key overseas jurisdiction</w:t>
      </w:r>
      <w:r w:rsidR="00BB0D23">
        <w:rPr>
          <w:lang w:val="en-GB"/>
        </w:rPr>
        <w:t>,</w:t>
      </w:r>
      <w:r w:rsidRPr="6ECD9F26">
        <w:rPr>
          <w:lang w:val="en-GB"/>
        </w:rPr>
        <w:t xml:space="preserve"> such as the U</w:t>
      </w:r>
      <w:r w:rsidR="00AC6058">
        <w:rPr>
          <w:lang w:val="en-GB"/>
        </w:rPr>
        <w:t xml:space="preserve">nited </w:t>
      </w:r>
      <w:r w:rsidRPr="6ECD9F26">
        <w:rPr>
          <w:lang w:val="en-GB"/>
        </w:rPr>
        <w:t>S</w:t>
      </w:r>
      <w:r w:rsidR="00AC6058">
        <w:rPr>
          <w:lang w:val="en-GB"/>
        </w:rPr>
        <w:t xml:space="preserve">tates </w:t>
      </w:r>
      <w:r w:rsidRPr="6ECD9F26">
        <w:rPr>
          <w:lang w:val="en-GB"/>
        </w:rPr>
        <w:t>E</w:t>
      </w:r>
      <w:r w:rsidR="00AC6058">
        <w:rPr>
          <w:lang w:val="en-GB"/>
        </w:rPr>
        <w:t xml:space="preserve">nvironmental </w:t>
      </w:r>
      <w:r w:rsidRPr="6ECD9F26">
        <w:rPr>
          <w:lang w:val="en-GB"/>
        </w:rPr>
        <w:t>P</w:t>
      </w:r>
      <w:r w:rsidR="00AC6058">
        <w:rPr>
          <w:lang w:val="en-GB"/>
        </w:rPr>
        <w:t xml:space="preserve">rotection </w:t>
      </w:r>
      <w:r w:rsidRPr="6ECD9F26">
        <w:rPr>
          <w:lang w:val="en-GB"/>
        </w:rPr>
        <w:t>A</w:t>
      </w:r>
      <w:r w:rsidR="00AC6058">
        <w:rPr>
          <w:lang w:val="en-GB"/>
        </w:rPr>
        <w:t>gency</w:t>
      </w:r>
      <w:r w:rsidRPr="6ECD9F26">
        <w:rPr>
          <w:lang w:val="en-GB"/>
        </w:rPr>
        <w:t>, Environment and Climate Change Canada or the European Commission</w:t>
      </w:r>
      <w:r w:rsidR="007165F7" w:rsidRPr="6ECD9F26">
        <w:rPr>
          <w:lang w:val="en-GB"/>
        </w:rPr>
        <w:t xml:space="preserve">, </w:t>
      </w:r>
      <w:r w:rsidR="00D34945" w:rsidRPr="6ECD9F26">
        <w:rPr>
          <w:lang w:val="en-GB"/>
        </w:rPr>
        <w:t>or</w:t>
      </w:r>
      <w:r w:rsidR="007165F7" w:rsidRPr="6ECD9F26">
        <w:rPr>
          <w:lang w:val="en-GB"/>
        </w:rPr>
        <w:t xml:space="preserve"> has </w:t>
      </w:r>
      <w:r w:rsidR="00E45BB5" w:rsidRPr="6ECD9F26">
        <w:rPr>
          <w:lang w:val="en-GB"/>
        </w:rPr>
        <w:t xml:space="preserve">the model </w:t>
      </w:r>
      <w:r w:rsidR="007165F7" w:rsidRPr="6ECD9F26">
        <w:rPr>
          <w:lang w:val="en-GB"/>
        </w:rPr>
        <w:t>been published in the peer-reviewed literature</w:t>
      </w:r>
      <w:r w:rsidRPr="6ECD9F26">
        <w:rPr>
          <w:lang w:val="en-GB"/>
        </w:rPr>
        <w:t xml:space="preserve">? </w:t>
      </w:r>
      <w:r w:rsidR="007165F7" w:rsidRPr="6ECD9F26">
        <w:rPr>
          <w:lang w:val="en-GB"/>
        </w:rPr>
        <w:t xml:space="preserve">This </w:t>
      </w:r>
      <w:r w:rsidR="00480564" w:rsidRPr="6ECD9F26">
        <w:rPr>
          <w:lang w:val="en-GB"/>
        </w:rPr>
        <w:t>represents a</w:t>
      </w:r>
      <w:r w:rsidR="007165F7" w:rsidRPr="6ECD9F26">
        <w:rPr>
          <w:lang w:val="en-GB"/>
        </w:rPr>
        <w:t xml:space="preserve"> starting point for </w:t>
      </w:r>
      <w:r w:rsidR="002E2284" w:rsidRPr="6ECD9F26">
        <w:rPr>
          <w:lang w:val="en-GB"/>
        </w:rPr>
        <w:t>identifying potentially suitable models</w:t>
      </w:r>
      <w:r w:rsidR="00177AFB" w:rsidRPr="6ECD9F26">
        <w:rPr>
          <w:lang w:val="en-GB"/>
        </w:rPr>
        <w:t>. T</w:t>
      </w:r>
      <w:r w:rsidR="003F1BBA" w:rsidRPr="6ECD9F26">
        <w:rPr>
          <w:lang w:val="en-GB"/>
        </w:rPr>
        <w:t xml:space="preserve">he validation of </w:t>
      </w:r>
      <w:r w:rsidR="00E84829" w:rsidRPr="6ECD9F26">
        <w:rPr>
          <w:lang w:val="en-GB"/>
        </w:rPr>
        <w:t xml:space="preserve">the </w:t>
      </w:r>
      <w:r w:rsidR="003F1BBA" w:rsidRPr="6ECD9F26">
        <w:rPr>
          <w:lang w:val="en-GB"/>
        </w:rPr>
        <w:t>model</w:t>
      </w:r>
      <w:r w:rsidR="00E84829" w:rsidRPr="6ECD9F26">
        <w:rPr>
          <w:lang w:val="en-GB"/>
        </w:rPr>
        <w:t>’s</w:t>
      </w:r>
      <w:r w:rsidR="003F1BBA" w:rsidRPr="6ECD9F26">
        <w:rPr>
          <w:lang w:val="en-GB"/>
        </w:rPr>
        <w:t xml:space="preserve"> performance </w:t>
      </w:r>
      <w:r w:rsidR="00912FF7" w:rsidRPr="6ECD9F26">
        <w:rPr>
          <w:lang w:val="en-GB"/>
        </w:rPr>
        <w:t xml:space="preserve">needs </w:t>
      </w:r>
      <w:r w:rsidR="60E3A120" w:rsidRPr="6ECD9F26">
        <w:rPr>
          <w:lang w:val="en-GB"/>
        </w:rPr>
        <w:t xml:space="preserve">to </w:t>
      </w:r>
      <w:r w:rsidR="003F1BBA" w:rsidRPr="6ECD9F26">
        <w:rPr>
          <w:lang w:val="en-GB"/>
        </w:rPr>
        <w:t>be examined</w:t>
      </w:r>
      <w:r w:rsidR="00177AFB" w:rsidRPr="6ECD9F26">
        <w:rPr>
          <w:lang w:val="en-GB"/>
        </w:rPr>
        <w:t xml:space="preserve"> and</w:t>
      </w:r>
      <w:r w:rsidR="00577B08" w:rsidRPr="6ECD9F26">
        <w:rPr>
          <w:lang w:val="en-GB"/>
        </w:rPr>
        <w:t xml:space="preserve"> should include, as a minimum</w:t>
      </w:r>
      <w:r w:rsidR="009514F0">
        <w:rPr>
          <w:lang w:val="en-GB"/>
        </w:rPr>
        <w:t>,</w:t>
      </w:r>
      <w:r w:rsidR="00577B08" w:rsidRPr="6ECD9F26">
        <w:rPr>
          <w:lang w:val="en-GB"/>
        </w:rPr>
        <w:t xml:space="preserve"> consideration of the appropriateness of the model structure</w:t>
      </w:r>
      <w:r w:rsidR="009514F0">
        <w:rPr>
          <w:lang w:val="en-GB"/>
        </w:rPr>
        <w:t>,</w:t>
      </w:r>
      <w:r w:rsidR="00577B08" w:rsidRPr="6ECD9F26">
        <w:rPr>
          <w:lang w:val="en-GB"/>
        </w:rPr>
        <w:t xml:space="preserve"> the quality and representativeness of the data used for calibration or parametrisation</w:t>
      </w:r>
      <w:r w:rsidR="009514F0">
        <w:rPr>
          <w:lang w:val="en-GB"/>
        </w:rPr>
        <w:t>,</w:t>
      </w:r>
      <w:r w:rsidR="00577B08" w:rsidRPr="6ECD9F26">
        <w:rPr>
          <w:lang w:val="en-GB"/>
        </w:rPr>
        <w:t xml:space="preserve"> and graphical and quantitative model</w:t>
      </w:r>
      <w:r w:rsidR="009255E6">
        <w:rPr>
          <w:lang w:val="en-GB"/>
        </w:rPr>
        <w:t>-</w:t>
      </w:r>
      <w:r w:rsidR="00577B08" w:rsidRPr="6ECD9F26">
        <w:rPr>
          <w:lang w:val="en-GB"/>
        </w:rPr>
        <w:t>residual</w:t>
      </w:r>
      <w:r w:rsidR="009255E6">
        <w:rPr>
          <w:lang w:val="en-GB"/>
        </w:rPr>
        <w:t>-</w:t>
      </w:r>
      <w:r w:rsidR="00577B08" w:rsidRPr="6ECD9F26">
        <w:rPr>
          <w:lang w:val="en-GB"/>
        </w:rPr>
        <w:t>based assessments of bias following the methods in Garman et al. (2020).</w:t>
      </w:r>
      <w:r w:rsidRPr="6ECD9F26">
        <w:rPr>
          <w:lang w:val="en-GB"/>
        </w:rPr>
        <w:t xml:space="preserve"> A description of the technical elements of the model development and validation should be provided.</w:t>
      </w:r>
    </w:p>
    <w:p w14:paraId="7BE755B3" w14:textId="32873A0B" w:rsidR="00AD1B7E" w:rsidRPr="00186608" w:rsidRDefault="00AD1B7E" w:rsidP="005B051B">
      <w:pPr>
        <w:pStyle w:val="ListParagraph"/>
        <w:numPr>
          <w:ilvl w:val="0"/>
          <w:numId w:val="15"/>
        </w:numPr>
        <w:rPr>
          <w:lang w:val="en-GB"/>
        </w:rPr>
      </w:pPr>
      <w:r w:rsidRPr="17C8C3CB">
        <w:rPr>
          <w:b/>
          <w:bCs/>
          <w:lang w:val="en-GB"/>
        </w:rPr>
        <w:t>Assess water quality representation:</w:t>
      </w:r>
      <w:r w:rsidRPr="17C8C3CB">
        <w:rPr>
          <w:lang w:val="en-GB"/>
        </w:rPr>
        <w:t xml:space="preserve"> What are the validated ranges of the TMFs in the model</w:t>
      </w:r>
      <w:r w:rsidR="009255E6">
        <w:rPr>
          <w:lang w:val="en-GB"/>
        </w:rPr>
        <w:t>,</w:t>
      </w:r>
      <w:r w:rsidRPr="17C8C3CB">
        <w:rPr>
          <w:lang w:val="en-GB"/>
        </w:rPr>
        <w:t xml:space="preserve"> and are they relevant to Australian and New Zealand water types? If no, are the gaps in water quality coverage significant enough to render the model not relevant for Australian </w:t>
      </w:r>
      <w:r w:rsidRPr="17C8C3CB">
        <w:rPr>
          <w:lang w:val="en-GB"/>
        </w:rPr>
        <w:lastRenderedPageBreak/>
        <w:t>and New Zealand water quality conditions? Is more research required to extend the models to a sufficient coverage of Australian and New Zealand water</w:t>
      </w:r>
      <w:r w:rsidR="007177A1">
        <w:rPr>
          <w:lang w:val="en-GB"/>
        </w:rPr>
        <w:t>-</w:t>
      </w:r>
      <w:r w:rsidRPr="17C8C3CB">
        <w:rPr>
          <w:lang w:val="en-GB"/>
        </w:rPr>
        <w:t>quality conditions (e.g. as done for nickel by Peters et al. 2018)</w:t>
      </w:r>
      <w:r w:rsidR="007177A1">
        <w:rPr>
          <w:lang w:val="en-GB"/>
        </w:rPr>
        <w:t>?</w:t>
      </w:r>
      <w:r w:rsidRPr="17C8C3CB">
        <w:rPr>
          <w:lang w:val="en-GB"/>
        </w:rPr>
        <w:t xml:space="preserve"> Note that it is </w:t>
      </w:r>
      <w:r w:rsidRPr="17C8C3CB">
        <w:t xml:space="preserve">more important for a model to be representative of </w:t>
      </w:r>
      <w:r w:rsidRPr="17C8C3CB">
        <w:rPr>
          <w:lang w:val="en-GB"/>
        </w:rPr>
        <w:t xml:space="preserve">Australian and New Zealand </w:t>
      </w:r>
      <w:r w:rsidRPr="17C8C3CB">
        <w:t>water</w:t>
      </w:r>
      <w:r w:rsidR="007177A1">
        <w:t>-</w:t>
      </w:r>
      <w:r w:rsidRPr="17C8C3CB">
        <w:t xml:space="preserve">quality conditions than it </w:t>
      </w:r>
      <w:r w:rsidR="00001487" w:rsidRPr="17C8C3CB">
        <w:t>is</w:t>
      </w:r>
      <w:r w:rsidRPr="17C8C3CB">
        <w:t xml:space="preserve"> to have incorporated data for </w:t>
      </w:r>
      <w:r w:rsidRPr="17C8C3CB">
        <w:rPr>
          <w:lang w:val="en-GB"/>
        </w:rPr>
        <w:t>Australian and New Zealand</w:t>
      </w:r>
      <w:r w:rsidRPr="17C8C3CB">
        <w:t xml:space="preserve"> species. This is because water</w:t>
      </w:r>
      <w:r w:rsidR="007177A1">
        <w:t>-</w:t>
      </w:r>
      <w:r w:rsidRPr="17C8C3CB">
        <w:t>quality conditions (i.e. TMFs) are more likely to affect the toxicity of a toxicant than geographical differences in biological communities.</w:t>
      </w:r>
    </w:p>
    <w:p w14:paraId="53E5A6E1" w14:textId="7CC59541" w:rsidR="00AD1B7E" w:rsidRDefault="00AD1B7E" w:rsidP="005B051B">
      <w:pPr>
        <w:pStyle w:val="ListParagraph"/>
        <w:numPr>
          <w:ilvl w:val="0"/>
          <w:numId w:val="15"/>
        </w:numPr>
        <w:rPr>
          <w:lang w:val="en-GB"/>
        </w:rPr>
      </w:pPr>
      <w:r w:rsidRPr="1EE4F1FC">
        <w:rPr>
          <w:b/>
          <w:bCs/>
          <w:lang w:val="en-GB"/>
        </w:rPr>
        <w:t>Assess species representation:</w:t>
      </w:r>
      <w:r w:rsidRPr="1EE4F1FC">
        <w:rPr>
          <w:lang w:val="en-GB"/>
        </w:rPr>
        <w:t xml:space="preserve"> Did model development or validation include any data from Australian or New Zealand species? </w:t>
      </w:r>
      <w:r w:rsidRPr="007177A1">
        <w:rPr>
          <w:lang w:val="en-GB"/>
        </w:rPr>
        <w:t>N</w:t>
      </w:r>
      <w:r w:rsidR="0002598F">
        <w:rPr>
          <w:lang w:val="en-GB"/>
        </w:rPr>
        <w:t>ote that t</w:t>
      </w:r>
      <w:r w:rsidRPr="1EE4F1FC">
        <w:rPr>
          <w:lang w:val="en-GB"/>
        </w:rPr>
        <w:t>his should not be a criterion for acceptance of a model but will help to understand the overall relevance of the model to Australian and New Zealand species.</w:t>
      </w:r>
    </w:p>
    <w:p w14:paraId="5619C8A9" w14:textId="45AC60E5" w:rsidR="00AD1B7E" w:rsidRDefault="00AD1B7E" w:rsidP="005B051B">
      <w:pPr>
        <w:pStyle w:val="ListParagraph"/>
        <w:numPr>
          <w:ilvl w:val="0"/>
          <w:numId w:val="15"/>
        </w:numPr>
        <w:rPr>
          <w:lang w:val="en-GB"/>
        </w:rPr>
      </w:pPr>
      <w:bookmarkStart w:id="95" w:name="_Ref202088564"/>
      <w:r w:rsidRPr="00AD1B7E">
        <w:rPr>
          <w:b/>
          <w:bCs/>
          <w:lang w:val="en-GB"/>
        </w:rPr>
        <w:t xml:space="preserve">Undertake </w:t>
      </w:r>
      <w:r w:rsidR="00544359" w:rsidRPr="00544359">
        <w:rPr>
          <w:b/>
          <w:bCs/>
          <w:lang w:val="en-GB"/>
        </w:rPr>
        <w:t>Australian and New Zealand</w:t>
      </w:r>
      <w:r w:rsidRPr="00AD1B7E">
        <w:rPr>
          <w:b/>
          <w:bCs/>
          <w:lang w:val="en-GB"/>
        </w:rPr>
        <w:t xml:space="preserve"> water</w:t>
      </w:r>
      <w:r w:rsidR="007177A1">
        <w:rPr>
          <w:b/>
          <w:bCs/>
          <w:lang w:val="en-GB"/>
        </w:rPr>
        <w:t>-</w:t>
      </w:r>
      <w:r w:rsidRPr="00AD1B7E">
        <w:rPr>
          <w:b/>
          <w:bCs/>
          <w:lang w:val="en-GB"/>
        </w:rPr>
        <w:t>quality validation:</w:t>
      </w:r>
      <w:r w:rsidRPr="00AD1B7E">
        <w:rPr>
          <w:lang w:val="en-GB"/>
        </w:rPr>
        <w:t xml:space="preserve"> </w:t>
      </w:r>
      <w:r>
        <w:rPr>
          <w:lang w:val="en-GB"/>
        </w:rPr>
        <w:t>Even if</w:t>
      </w:r>
      <w:r w:rsidRPr="00AD1B7E">
        <w:rPr>
          <w:lang w:val="en-GB"/>
        </w:rPr>
        <w:t xml:space="preserve"> steps 1 to 3, above, </w:t>
      </w:r>
      <w:r>
        <w:rPr>
          <w:lang w:val="en-GB"/>
        </w:rPr>
        <w:t>indicate that the model is relevant to Australian and New Zealand</w:t>
      </w:r>
      <w:r w:rsidRPr="00186608">
        <w:rPr>
          <w:lang w:val="en-GB"/>
        </w:rPr>
        <w:t xml:space="preserve"> </w:t>
      </w:r>
      <w:r>
        <w:rPr>
          <w:lang w:val="en-GB"/>
        </w:rPr>
        <w:t xml:space="preserve">conditions, some level </w:t>
      </w:r>
      <w:r w:rsidR="00304BAF">
        <w:rPr>
          <w:lang w:val="en-GB"/>
        </w:rPr>
        <w:t xml:space="preserve">of </w:t>
      </w:r>
      <w:r w:rsidRPr="00AD1B7E">
        <w:rPr>
          <w:lang w:val="en-GB"/>
        </w:rPr>
        <w:t xml:space="preserve">validation of the model for a range of </w:t>
      </w:r>
      <w:r>
        <w:rPr>
          <w:lang w:val="en-GB"/>
        </w:rPr>
        <w:t>Australian and New Zealand</w:t>
      </w:r>
      <w:r w:rsidRPr="00AD1B7E">
        <w:rPr>
          <w:lang w:val="en-GB"/>
        </w:rPr>
        <w:t xml:space="preserve"> water</w:t>
      </w:r>
      <w:r w:rsidR="000A6851">
        <w:rPr>
          <w:lang w:val="en-GB"/>
        </w:rPr>
        <w:t>-</w:t>
      </w:r>
      <w:r w:rsidRPr="00AD1B7E">
        <w:rPr>
          <w:lang w:val="en-GB"/>
        </w:rPr>
        <w:t xml:space="preserve">quality conditions is </w:t>
      </w:r>
      <w:r w:rsidR="00544359">
        <w:rPr>
          <w:lang w:val="en-GB"/>
        </w:rPr>
        <w:t xml:space="preserve">likely to be </w:t>
      </w:r>
      <w:r w:rsidRPr="00AD1B7E">
        <w:rPr>
          <w:lang w:val="en-GB"/>
        </w:rPr>
        <w:t xml:space="preserve">required. The objective is to determine whether the model </w:t>
      </w:r>
      <w:r w:rsidR="00001487">
        <w:rPr>
          <w:lang w:val="en-GB"/>
        </w:rPr>
        <w:t xml:space="preserve">accurately </w:t>
      </w:r>
      <w:r w:rsidRPr="00AD1B7E">
        <w:rPr>
          <w:lang w:val="en-GB"/>
        </w:rPr>
        <w:t xml:space="preserve">predicts toxicity in </w:t>
      </w:r>
      <w:r>
        <w:rPr>
          <w:lang w:val="en-GB"/>
        </w:rPr>
        <w:t>Australian and New Zealand</w:t>
      </w:r>
      <w:r w:rsidRPr="00186608">
        <w:rPr>
          <w:lang w:val="en-GB"/>
        </w:rPr>
        <w:t xml:space="preserve"> </w:t>
      </w:r>
      <w:r w:rsidRPr="00AD1B7E">
        <w:rPr>
          <w:lang w:val="en-GB"/>
        </w:rPr>
        <w:t xml:space="preserve">water types with sufficient confidence and </w:t>
      </w:r>
      <w:r w:rsidR="002739A7">
        <w:rPr>
          <w:lang w:val="en-GB"/>
        </w:rPr>
        <w:t>provides sufficient protection</w:t>
      </w:r>
      <w:r w:rsidRPr="00AD1B7E">
        <w:rPr>
          <w:lang w:val="en-GB"/>
        </w:rPr>
        <w:t xml:space="preserve">. If possible, this should rely on existing or new data for toxicity of the toxicant in question to </w:t>
      </w:r>
      <w:r>
        <w:rPr>
          <w:lang w:val="en-GB"/>
        </w:rPr>
        <w:t>Australian and New Zealand</w:t>
      </w:r>
      <w:r w:rsidRPr="00AD1B7E">
        <w:rPr>
          <w:lang w:val="en-GB"/>
        </w:rPr>
        <w:t xml:space="preserve"> species in different </w:t>
      </w:r>
      <w:r w:rsidR="0075726F">
        <w:rPr>
          <w:lang w:val="en-GB"/>
        </w:rPr>
        <w:t>Australian and New Zealand</w:t>
      </w:r>
      <w:r w:rsidR="0075726F" w:rsidRPr="00AD1B7E">
        <w:rPr>
          <w:lang w:val="en-GB"/>
        </w:rPr>
        <w:t xml:space="preserve"> </w:t>
      </w:r>
      <w:r w:rsidRPr="00AD1B7E">
        <w:rPr>
          <w:lang w:val="en-GB"/>
        </w:rPr>
        <w:t>water</w:t>
      </w:r>
      <w:r w:rsidR="000A6851">
        <w:rPr>
          <w:lang w:val="en-GB"/>
        </w:rPr>
        <w:t>-</w:t>
      </w:r>
      <w:r w:rsidRPr="00AD1B7E">
        <w:rPr>
          <w:lang w:val="en-GB"/>
        </w:rPr>
        <w:t>quality types</w:t>
      </w:r>
      <w:r w:rsidR="00B23315">
        <w:rPr>
          <w:lang w:val="en-GB"/>
        </w:rPr>
        <w:t xml:space="preserve"> that cover the range </w:t>
      </w:r>
      <w:r w:rsidR="00AE7DC6">
        <w:rPr>
          <w:lang w:val="en-GB"/>
        </w:rPr>
        <w:t>from</w:t>
      </w:r>
      <w:r w:rsidR="00B23315">
        <w:rPr>
          <w:lang w:val="en-GB"/>
        </w:rPr>
        <w:t xml:space="preserve"> low to high TMF levels</w:t>
      </w:r>
      <w:r w:rsidRPr="00AD1B7E">
        <w:rPr>
          <w:lang w:val="en-GB"/>
        </w:rPr>
        <w:t>. As an example, Peters et al. (2018) assessed the applicability of a nickel BLM for Australian conditions by comparing the BLM toxicity predictions with the measured toxicity of nickel to various Australian freshwater species in a range of different Australian water</w:t>
      </w:r>
      <w:r w:rsidR="000A6851">
        <w:rPr>
          <w:lang w:val="en-GB"/>
        </w:rPr>
        <w:t>-</w:t>
      </w:r>
      <w:r w:rsidRPr="00AD1B7E">
        <w:rPr>
          <w:lang w:val="en-GB"/>
        </w:rPr>
        <w:t>quality conditions.</w:t>
      </w:r>
      <w:bookmarkEnd w:id="95"/>
    </w:p>
    <w:p w14:paraId="3FEB5D40" w14:textId="178B89B8" w:rsidR="00B679A4" w:rsidRDefault="003A5538" w:rsidP="004D7186">
      <w:r w:rsidRPr="57352DF8">
        <w:t>If bioavailability-based GVs are being derived from data that require conversion (e.g. acute</w:t>
      </w:r>
      <w:r w:rsidR="004C42A7">
        <w:t>-</w:t>
      </w:r>
      <w:r w:rsidRPr="57352DF8">
        <w:t>to</w:t>
      </w:r>
      <w:r w:rsidR="004C42A7">
        <w:t>-</w:t>
      </w:r>
      <w:r w:rsidRPr="57352DF8">
        <w:t>chronic conversions, median</w:t>
      </w:r>
      <w:r w:rsidR="004C42A7">
        <w:t>-</w:t>
      </w:r>
      <w:r w:rsidRPr="57352DF8">
        <w:t xml:space="preserve">effect to </w:t>
      </w:r>
      <w:r w:rsidR="00A62F30">
        <w:t>negligible-effect</w:t>
      </w:r>
      <w:r w:rsidRPr="57352DF8">
        <w:t xml:space="preserve"> conversions</w:t>
      </w:r>
      <w:r w:rsidR="00797892">
        <w:t>;</w:t>
      </w:r>
      <w:r w:rsidRPr="57352DF8">
        <w:t xml:space="preserve"> see Section </w:t>
      </w:r>
      <w:r w:rsidR="00A3259C">
        <w:fldChar w:fldCharType="begin"/>
      </w:r>
      <w:r w:rsidR="00A3259C">
        <w:instrText xml:space="preserve"> REF _Ref202087270 \r \h </w:instrText>
      </w:r>
      <w:r w:rsidR="00A3259C">
        <w:fldChar w:fldCharType="separate"/>
      </w:r>
      <w:r w:rsidR="006C5761">
        <w:t>3.4.2</w:t>
      </w:r>
      <w:r w:rsidR="00A3259C">
        <w:fldChar w:fldCharType="end"/>
      </w:r>
      <w:r w:rsidR="00991D20" w:rsidRPr="57352DF8">
        <w:t xml:space="preserve">), </w:t>
      </w:r>
      <w:r w:rsidR="00A4716B" w:rsidRPr="57352DF8">
        <w:t xml:space="preserve">it is essential that </w:t>
      </w:r>
      <w:r w:rsidR="00A4104D" w:rsidRPr="57352DF8">
        <w:t>any necessary</w:t>
      </w:r>
      <w:r w:rsidR="00A4716B" w:rsidRPr="57352DF8">
        <w:t xml:space="preserve"> </w:t>
      </w:r>
      <w:r w:rsidR="00A4104D" w:rsidRPr="57352DF8">
        <w:t xml:space="preserve">normalisation </w:t>
      </w:r>
      <w:r w:rsidR="007A4B8B" w:rsidRPr="57352DF8">
        <w:t xml:space="preserve">of </w:t>
      </w:r>
      <w:r w:rsidR="00A4716B" w:rsidRPr="57352DF8">
        <w:t>the</w:t>
      </w:r>
      <w:r w:rsidR="007A4B8B" w:rsidRPr="57352DF8">
        <w:t xml:space="preserve"> data to a standard water</w:t>
      </w:r>
      <w:r w:rsidR="00797892">
        <w:t>-</w:t>
      </w:r>
      <w:r w:rsidR="007A4B8B" w:rsidRPr="57352DF8">
        <w:t xml:space="preserve">quality condition based on </w:t>
      </w:r>
      <w:r w:rsidR="00A4716B" w:rsidRPr="57352DF8">
        <w:t>the TMFs</w:t>
      </w:r>
      <w:r w:rsidR="007A4B8B" w:rsidRPr="57352DF8">
        <w:t xml:space="preserve"> (e.g. hardness, DOC, pH, temperature) </w:t>
      </w:r>
      <w:r w:rsidR="00A4104D" w:rsidRPr="57352DF8">
        <w:t>is performed</w:t>
      </w:r>
      <w:r w:rsidR="007A4B8B" w:rsidRPr="57352DF8">
        <w:t xml:space="preserve"> prior to </w:t>
      </w:r>
      <w:r w:rsidR="00F45401" w:rsidRPr="57352DF8">
        <w:t xml:space="preserve">the </w:t>
      </w:r>
      <w:r w:rsidR="004B2A9A" w:rsidRPr="57352DF8">
        <w:t xml:space="preserve">data </w:t>
      </w:r>
      <w:r w:rsidR="007A4B8B" w:rsidRPr="57352DF8">
        <w:t>conversion</w:t>
      </w:r>
      <w:r w:rsidR="00F45401" w:rsidRPr="57352DF8">
        <w:t>s</w:t>
      </w:r>
      <w:r w:rsidR="007A4B8B" w:rsidRPr="57352DF8">
        <w:t xml:space="preserve">. This is because the </w:t>
      </w:r>
      <w:r w:rsidR="001A7703" w:rsidRPr="57352DF8">
        <w:t>original</w:t>
      </w:r>
      <w:r w:rsidR="007A4B8B" w:rsidRPr="57352DF8">
        <w:t xml:space="preserve"> values are generally the basis for TMF-modifier analys</w:t>
      </w:r>
      <w:r w:rsidR="001A7703" w:rsidRPr="57352DF8">
        <w:t>e</w:t>
      </w:r>
      <w:r w:rsidR="007A4B8B" w:rsidRPr="57352DF8">
        <w:t>s.</w:t>
      </w:r>
      <w:bookmarkStart w:id="96" w:name="_Ref202088868"/>
    </w:p>
    <w:p w14:paraId="505D3C5A" w14:textId="77777777" w:rsidR="0093788C" w:rsidRPr="00153617" w:rsidRDefault="0093788C" w:rsidP="00BD4CEC">
      <w:pPr>
        <w:pStyle w:val="Heading4"/>
      </w:pPr>
      <w:r w:rsidRPr="00153617">
        <w:t xml:space="preserve">Obtaining a </w:t>
      </w:r>
      <w:r>
        <w:t>s</w:t>
      </w:r>
      <w:r w:rsidRPr="00153617">
        <w:t xml:space="preserve">ingle </w:t>
      </w:r>
      <w:r>
        <w:t>t</w:t>
      </w:r>
      <w:r w:rsidRPr="00153617">
        <w:t xml:space="preserve">oxicity </w:t>
      </w:r>
      <w:r>
        <w:t>v</w:t>
      </w:r>
      <w:r w:rsidRPr="00153617">
        <w:t xml:space="preserve">alue for </w:t>
      </w:r>
      <w:r>
        <w:t>e</w:t>
      </w:r>
      <w:r w:rsidRPr="00153617">
        <w:t xml:space="preserve">ach </w:t>
      </w:r>
      <w:r>
        <w:t>s</w:t>
      </w:r>
      <w:r w:rsidRPr="00153617">
        <w:t>pecies</w:t>
      </w:r>
      <w:bookmarkEnd w:id="96"/>
    </w:p>
    <w:p w14:paraId="1405A75E" w14:textId="77777777" w:rsidR="006C5761" w:rsidRDefault="00314FF2" w:rsidP="00FC28C6">
      <w:pPr>
        <w:pStyle w:val="ListBullet"/>
      </w:pPr>
      <w:r w:rsidRPr="57352DF8">
        <w:t>A</w:t>
      </w:r>
      <w:r w:rsidR="0093788C" w:rsidRPr="57352DF8">
        <w:t xml:space="preserve"> single toxicity value is used to represent the sensitivity of each species in a</w:t>
      </w:r>
      <w:r w:rsidR="005C6B57" w:rsidRPr="57352DF8">
        <w:t>n</w:t>
      </w:r>
      <w:r w:rsidR="0093788C" w:rsidRPr="57352DF8">
        <w:t xml:space="preserve"> SSD. However, there are often multiple toxicity values for each species, including data for several endpoints and exposure durations</w:t>
      </w:r>
      <w:r w:rsidR="00544359" w:rsidRPr="57352DF8">
        <w:t xml:space="preserve">. Consequently, </w:t>
      </w:r>
      <w:r w:rsidR="0093788C" w:rsidRPr="57352DF8">
        <w:t>some selection</w:t>
      </w:r>
      <w:r w:rsidR="00FA52A1" w:rsidRPr="57352DF8">
        <w:t>,</w:t>
      </w:r>
      <w:r w:rsidR="0093788C" w:rsidRPr="57352DF8">
        <w:t xml:space="preserve"> manipulation</w:t>
      </w:r>
      <w:r w:rsidR="00FA52A1" w:rsidRPr="57352DF8">
        <w:t xml:space="preserve"> and reduction</w:t>
      </w:r>
      <w:r w:rsidR="0093788C" w:rsidRPr="57352DF8">
        <w:t xml:space="preserve"> </w:t>
      </w:r>
      <w:r w:rsidR="00C72C0B" w:rsidRPr="57352DF8">
        <w:t xml:space="preserve">in the number </w:t>
      </w:r>
      <w:r w:rsidR="0093788C" w:rsidRPr="57352DF8">
        <w:t xml:space="preserve">of the toxicity data </w:t>
      </w:r>
      <w:r w:rsidR="0017619A" w:rsidRPr="57352DF8">
        <w:t xml:space="preserve">are </w:t>
      </w:r>
      <w:r w:rsidR="0093788C" w:rsidRPr="57352DF8">
        <w:t>required. An example of the application of these procedures to a dataset is presented</w:t>
      </w:r>
      <w:r w:rsidR="00F74014" w:rsidRPr="00F74014">
        <w:t xml:space="preserve"> </w:t>
      </w:r>
      <w:r w:rsidR="00F74014" w:rsidRPr="57352DF8">
        <w:t xml:space="preserve">for the cladoceran </w:t>
      </w:r>
      <w:r w:rsidR="00F74014" w:rsidRPr="57352DF8">
        <w:rPr>
          <w:i/>
          <w:iCs/>
        </w:rPr>
        <w:t>Ceriodaphnia</w:t>
      </w:r>
      <w:r w:rsidR="00F74014" w:rsidRPr="57352DF8">
        <w:t xml:space="preserve"> cf. </w:t>
      </w:r>
      <w:r w:rsidR="00F74014" w:rsidRPr="57352DF8">
        <w:rPr>
          <w:i/>
          <w:iCs/>
        </w:rPr>
        <w:t>dubia</w:t>
      </w:r>
      <w:r w:rsidR="0093788C" w:rsidRPr="57352DF8">
        <w:t xml:space="preserve"> in </w:t>
      </w:r>
      <w:r w:rsidR="0093788C">
        <w:fldChar w:fldCharType="begin"/>
      </w:r>
      <w:r w:rsidR="0093788C">
        <w:instrText xml:space="preserve"> REF _Ref520276577 \h </w:instrText>
      </w:r>
      <w:r w:rsidR="0093788C">
        <w:fldChar w:fldCharType="separate"/>
      </w:r>
    </w:p>
    <w:p w14:paraId="37F282DD" w14:textId="77777777" w:rsidR="006C5761" w:rsidRDefault="006C5761" w:rsidP="00E93A24">
      <w:pPr>
        <w:pStyle w:val="ListBullet"/>
      </w:pPr>
      <w:r w:rsidRPr="57352DF8">
        <w:t>Determine the lowest value for each species (</w:t>
      </w:r>
      <w:r w:rsidRPr="00FC28C6">
        <w:t>column</w:t>
      </w:r>
      <w:r w:rsidRPr="57352DF8">
        <w:t xml:space="preserve"> </w:t>
      </w:r>
      <w:r>
        <w:t>8</w:t>
      </w:r>
      <w:r w:rsidRPr="57352DF8">
        <w:t xml:space="preserve">, </w:t>
      </w:r>
      <w:r>
        <w:rPr>
          <w:b/>
          <w:bCs/>
          <w:lang w:val="en-US"/>
        </w:rPr>
        <w:t>Error! Not a valid bookmark self-reference.</w:t>
      </w:r>
      <w:r w:rsidRPr="57352DF8">
        <w:t>). The lowest endpoint value is adopted as the toxicity value to represent the sensitivity of the species in the final dataset. For example, there are</w:t>
      </w:r>
      <w:r>
        <w:t xml:space="preserve"> 4</w:t>
      </w:r>
      <w:r w:rsidRPr="57352DF8">
        <w:t xml:space="preserve"> </w:t>
      </w:r>
      <w:r w:rsidRPr="57352DF8">
        <w:rPr>
          <w:i/>
          <w:iCs/>
        </w:rPr>
        <w:t>C. dubia</w:t>
      </w:r>
      <w:r w:rsidRPr="57352DF8">
        <w:t xml:space="preserve"> endpoint combinations (</w:t>
      </w:r>
      <w:r>
        <w:t xml:space="preserve">development, </w:t>
      </w:r>
      <w:r w:rsidRPr="57352DF8">
        <w:t>growth, immobilisation</w:t>
      </w:r>
      <w:r>
        <w:t>,</w:t>
      </w:r>
      <w:r w:rsidRPr="57352DF8">
        <w:t xml:space="preserve"> reproduction) with toxicity values of </w:t>
      </w:r>
      <w:r>
        <w:t>5.1</w:t>
      </w:r>
      <w:r w:rsidRPr="57352DF8">
        <w:t> </w:t>
      </w:r>
      <w:r w:rsidRPr="57352DF8">
        <w:rPr>
          <w:rFonts w:cs="Calibri"/>
        </w:rPr>
        <w:t>µ</w:t>
      </w:r>
      <w:r w:rsidRPr="57352DF8">
        <w:t>g/L</w:t>
      </w:r>
      <w:r>
        <w:t xml:space="preserve">, </w:t>
      </w:r>
      <w:r w:rsidRPr="57352DF8">
        <w:t>7 </w:t>
      </w:r>
      <w:r w:rsidRPr="57352DF8">
        <w:rPr>
          <w:rFonts w:cs="Calibri"/>
        </w:rPr>
        <w:t>µ</w:t>
      </w:r>
      <w:r w:rsidRPr="57352DF8">
        <w:t>g/L, 3.9 </w:t>
      </w:r>
      <w:r w:rsidRPr="57352DF8">
        <w:rPr>
          <w:rFonts w:cs="Calibri"/>
        </w:rPr>
        <w:t>µ</w:t>
      </w:r>
      <w:r w:rsidRPr="57352DF8">
        <w:t>g/L and 0.19 </w:t>
      </w:r>
      <w:r w:rsidRPr="57352DF8">
        <w:rPr>
          <w:rFonts w:cs="Calibri"/>
        </w:rPr>
        <w:t>µ</w:t>
      </w:r>
      <w:r w:rsidRPr="57352DF8">
        <w:t>g/L, respectively. Thus, the value of 0.19 </w:t>
      </w:r>
      <w:r w:rsidRPr="57352DF8">
        <w:rPr>
          <w:rFonts w:cs="Calibri"/>
        </w:rPr>
        <w:t>µ</w:t>
      </w:r>
      <w:r w:rsidRPr="57352DF8">
        <w:t xml:space="preserve">g/L for reproduction would be adopted as the toxicity value for </w:t>
      </w:r>
      <w:r w:rsidRPr="57352DF8">
        <w:rPr>
          <w:i/>
          <w:iCs/>
        </w:rPr>
        <w:t>C.</w:t>
      </w:r>
      <w:r>
        <w:rPr>
          <w:i/>
          <w:iCs/>
        </w:rPr>
        <w:t> </w:t>
      </w:r>
      <w:r w:rsidRPr="57352DF8">
        <w:rPr>
          <w:i/>
          <w:iCs/>
        </w:rPr>
        <w:t>dubia</w:t>
      </w:r>
      <w:r w:rsidRPr="57352DF8">
        <w:t>.</w:t>
      </w:r>
    </w:p>
    <w:p w14:paraId="6D931739" w14:textId="77777777" w:rsidR="006C5761" w:rsidRDefault="006C5761" w:rsidP="00BA0672"/>
    <w:p w14:paraId="23E115E0" w14:textId="6B8A0953" w:rsidR="0093788C" w:rsidRPr="007C67F1" w:rsidRDefault="006C5761" w:rsidP="004D7186">
      <w:r w:rsidRPr="57352DF8">
        <w:lastRenderedPageBreak/>
        <w:t>Table</w:t>
      </w:r>
      <w:r>
        <w:t> </w:t>
      </w:r>
      <w:r w:rsidRPr="57352DF8">
        <w:rPr>
          <w:noProof/>
        </w:rPr>
        <w:t>4</w:t>
      </w:r>
      <w:r w:rsidR="0093788C">
        <w:fldChar w:fldCharType="end"/>
      </w:r>
      <w:r w:rsidR="0093788C" w:rsidRPr="57352DF8">
        <w:t xml:space="preserve">. The </w:t>
      </w:r>
      <w:r w:rsidR="008319ED">
        <w:t xml:space="preserve">following </w:t>
      </w:r>
      <w:r w:rsidR="0093788C" w:rsidRPr="57352DF8">
        <w:t>rules for data manipulation should be applied to all toxicity data for each species:</w:t>
      </w:r>
    </w:p>
    <w:p w14:paraId="6FD926B3" w14:textId="77777777" w:rsidR="006C5761" w:rsidRDefault="0093788C" w:rsidP="00FC28C6">
      <w:pPr>
        <w:pStyle w:val="ListBullet"/>
      </w:pPr>
      <w:r w:rsidRPr="57352DF8">
        <w:t>Determine the toxicity value for each combination of endpoint</w:t>
      </w:r>
      <w:r w:rsidR="00C759BD" w:rsidRPr="57352DF8">
        <w:t>, statistical estimate of toxicity</w:t>
      </w:r>
      <w:r w:rsidR="009F7407">
        <w:t xml:space="preserve">, life </w:t>
      </w:r>
      <w:r w:rsidR="009F7407" w:rsidRPr="00FC28C6">
        <w:t>stage</w:t>
      </w:r>
      <w:r w:rsidRPr="57352DF8">
        <w:t xml:space="preserve"> and duration (column </w:t>
      </w:r>
      <w:r w:rsidR="009F7407">
        <w:t>6</w:t>
      </w:r>
      <w:r w:rsidRPr="57352DF8">
        <w:t xml:space="preserve">, </w:t>
      </w:r>
      <w:r>
        <w:fldChar w:fldCharType="begin"/>
      </w:r>
      <w:r>
        <w:instrText xml:space="preserve"> REF _Ref520276577 \h </w:instrText>
      </w:r>
      <w:r>
        <w:fldChar w:fldCharType="separate"/>
      </w:r>
    </w:p>
    <w:p w14:paraId="78AEA593" w14:textId="77777777" w:rsidR="006C5761" w:rsidRDefault="006C5761" w:rsidP="00E93A24">
      <w:pPr>
        <w:pStyle w:val="ListBullet"/>
      </w:pPr>
      <w:r w:rsidRPr="57352DF8">
        <w:t>Determine the lowest value for each species (</w:t>
      </w:r>
      <w:r w:rsidRPr="00FC28C6">
        <w:t>column</w:t>
      </w:r>
      <w:r w:rsidRPr="57352DF8">
        <w:t xml:space="preserve"> </w:t>
      </w:r>
      <w:r>
        <w:t>8</w:t>
      </w:r>
      <w:r w:rsidRPr="57352DF8">
        <w:t xml:space="preserve">, </w:t>
      </w:r>
      <w:r>
        <w:rPr>
          <w:b/>
          <w:bCs/>
          <w:lang w:val="en-US"/>
        </w:rPr>
        <w:t>Error! Not a valid bookmark self-reference.</w:t>
      </w:r>
      <w:r w:rsidRPr="57352DF8">
        <w:t>). The lowest endpoint value is adopted as the toxicity value to represent the sensitivity of the species in the final dataset. For example, there are</w:t>
      </w:r>
      <w:r>
        <w:t xml:space="preserve"> 4</w:t>
      </w:r>
      <w:r w:rsidRPr="57352DF8">
        <w:t xml:space="preserve"> </w:t>
      </w:r>
      <w:r w:rsidRPr="57352DF8">
        <w:rPr>
          <w:i/>
          <w:iCs/>
        </w:rPr>
        <w:t>C. dubia</w:t>
      </w:r>
      <w:r w:rsidRPr="57352DF8">
        <w:t xml:space="preserve"> endpoint combinations (</w:t>
      </w:r>
      <w:r>
        <w:t xml:space="preserve">development, </w:t>
      </w:r>
      <w:r w:rsidRPr="57352DF8">
        <w:t>growth, immobilisation</w:t>
      </w:r>
      <w:r>
        <w:t>,</w:t>
      </w:r>
      <w:r w:rsidRPr="57352DF8">
        <w:t xml:space="preserve"> reproduction) with toxicity values of </w:t>
      </w:r>
      <w:r>
        <w:t>5.1</w:t>
      </w:r>
      <w:r w:rsidRPr="57352DF8">
        <w:t> </w:t>
      </w:r>
      <w:r w:rsidRPr="57352DF8">
        <w:rPr>
          <w:rFonts w:cs="Calibri"/>
        </w:rPr>
        <w:t>µ</w:t>
      </w:r>
      <w:r w:rsidRPr="57352DF8">
        <w:t>g/L</w:t>
      </w:r>
      <w:r>
        <w:t xml:space="preserve">, </w:t>
      </w:r>
      <w:r w:rsidRPr="57352DF8">
        <w:t>7 </w:t>
      </w:r>
      <w:r w:rsidRPr="57352DF8">
        <w:rPr>
          <w:rFonts w:cs="Calibri"/>
        </w:rPr>
        <w:t>µ</w:t>
      </w:r>
      <w:r w:rsidRPr="57352DF8">
        <w:t>g/L, 3.9 </w:t>
      </w:r>
      <w:r w:rsidRPr="57352DF8">
        <w:rPr>
          <w:rFonts w:cs="Calibri"/>
        </w:rPr>
        <w:t>µ</w:t>
      </w:r>
      <w:r w:rsidRPr="57352DF8">
        <w:t>g/L and 0.19 </w:t>
      </w:r>
      <w:r w:rsidRPr="57352DF8">
        <w:rPr>
          <w:rFonts w:cs="Calibri"/>
        </w:rPr>
        <w:t>µ</w:t>
      </w:r>
      <w:r w:rsidRPr="57352DF8">
        <w:t>g/L, respectively. Thus, the value of 0.19 </w:t>
      </w:r>
      <w:r w:rsidRPr="57352DF8">
        <w:rPr>
          <w:rFonts w:cs="Calibri"/>
        </w:rPr>
        <w:t>µ</w:t>
      </w:r>
      <w:r w:rsidRPr="57352DF8">
        <w:t xml:space="preserve">g/L for reproduction would be adopted as the toxicity value for </w:t>
      </w:r>
      <w:r w:rsidRPr="57352DF8">
        <w:rPr>
          <w:i/>
          <w:iCs/>
        </w:rPr>
        <w:t>C.</w:t>
      </w:r>
      <w:r>
        <w:rPr>
          <w:i/>
          <w:iCs/>
        </w:rPr>
        <w:t> </w:t>
      </w:r>
      <w:r w:rsidRPr="57352DF8">
        <w:rPr>
          <w:i/>
          <w:iCs/>
        </w:rPr>
        <w:t>dubia</w:t>
      </w:r>
      <w:r w:rsidRPr="57352DF8">
        <w:t>.</w:t>
      </w:r>
    </w:p>
    <w:p w14:paraId="5F12DEAE" w14:textId="77777777" w:rsidR="006C5761" w:rsidRDefault="006C5761" w:rsidP="00BA0672"/>
    <w:p w14:paraId="7C24F960" w14:textId="77777777" w:rsidR="006C5761" w:rsidRDefault="006C5761" w:rsidP="00FC28C6">
      <w:pPr>
        <w:pStyle w:val="ListBullet"/>
      </w:pPr>
      <w:r w:rsidRPr="57352DF8">
        <w:t>Table</w:t>
      </w:r>
      <w:r>
        <w:t> </w:t>
      </w:r>
      <w:r>
        <w:rPr>
          <w:noProof/>
        </w:rPr>
        <w:t>4</w:t>
      </w:r>
      <w:r w:rsidR="0093788C">
        <w:fldChar w:fldCharType="end"/>
      </w:r>
      <w:r w:rsidR="0093788C" w:rsidRPr="57352DF8">
        <w:t>). If there is a single value for a combination, it is adopted (</w:t>
      </w:r>
      <w:r w:rsidR="00A42B1C" w:rsidRPr="57352DF8">
        <w:t>e.g.</w:t>
      </w:r>
      <w:r w:rsidR="0093788C" w:rsidRPr="57352DF8">
        <w:t xml:space="preserve"> row 1, </w:t>
      </w:r>
      <w:r w:rsidR="0093788C">
        <w:fldChar w:fldCharType="begin"/>
      </w:r>
      <w:r w:rsidR="0093788C">
        <w:instrText xml:space="preserve"> REF _Ref520276577 \h </w:instrText>
      </w:r>
      <w:r w:rsidR="0093788C">
        <w:fldChar w:fldCharType="separate"/>
      </w:r>
    </w:p>
    <w:p w14:paraId="317FE32C" w14:textId="77777777" w:rsidR="006C5761" w:rsidRDefault="006C5761" w:rsidP="00E93A24">
      <w:pPr>
        <w:pStyle w:val="ListBullet"/>
      </w:pPr>
      <w:r w:rsidRPr="57352DF8">
        <w:t>Determine the lowest value for each species (</w:t>
      </w:r>
      <w:r w:rsidRPr="00FC28C6">
        <w:t>column</w:t>
      </w:r>
      <w:r w:rsidRPr="57352DF8">
        <w:t xml:space="preserve"> </w:t>
      </w:r>
      <w:r>
        <w:t>8</w:t>
      </w:r>
      <w:r w:rsidRPr="57352DF8">
        <w:t xml:space="preserve">, </w:t>
      </w:r>
      <w:r>
        <w:rPr>
          <w:b/>
          <w:bCs/>
          <w:lang w:val="en-US"/>
        </w:rPr>
        <w:t>Error! Not a valid bookmark self-reference.</w:t>
      </w:r>
      <w:r w:rsidRPr="57352DF8">
        <w:t>). The lowest endpoint value is adopted as the toxicity value to represent the sensitivity of the species in the final dataset. For example, there are</w:t>
      </w:r>
      <w:r>
        <w:t xml:space="preserve"> 4</w:t>
      </w:r>
      <w:r w:rsidRPr="57352DF8">
        <w:t xml:space="preserve"> </w:t>
      </w:r>
      <w:r w:rsidRPr="57352DF8">
        <w:rPr>
          <w:i/>
          <w:iCs/>
        </w:rPr>
        <w:t>C. dubia</w:t>
      </w:r>
      <w:r w:rsidRPr="57352DF8">
        <w:t xml:space="preserve"> endpoint combinations (</w:t>
      </w:r>
      <w:r>
        <w:t xml:space="preserve">development, </w:t>
      </w:r>
      <w:r w:rsidRPr="57352DF8">
        <w:t>growth, immobilisation</w:t>
      </w:r>
      <w:r>
        <w:t>,</w:t>
      </w:r>
      <w:r w:rsidRPr="57352DF8">
        <w:t xml:space="preserve"> reproduction) with toxicity values of </w:t>
      </w:r>
      <w:r>
        <w:t>5.1</w:t>
      </w:r>
      <w:r w:rsidRPr="57352DF8">
        <w:t> </w:t>
      </w:r>
      <w:r w:rsidRPr="57352DF8">
        <w:rPr>
          <w:rFonts w:cs="Calibri"/>
        </w:rPr>
        <w:t>µ</w:t>
      </w:r>
      <w:r w:rsidRPr="57352DF8">
        <w:t>g/L</w:t>
      </w:r>
      <w:r>
        <w:t xml:space="preserve">, </w:t>
      </w:r>
      <w:r w:rsidRPr="57352DF8">
        <w:t>7 </w:t>
      </w:r>
      <w:r w:rsidRPr="57352DF8">
        <w:rPr>
          <w:rFonts w:cs="Calibri"/>
        </w:rPr>
        <w:t>µ</w:t>
      </w:r>
      <w:r w:rsidRPr="57352DF8">
        <w:t>g/L, 3.9 </w:t>
      </w:r>
      <w:r w:rsidRPr="57352DF8">
        <w:rPr>
          <w:rFonts w:cs="Calibri"/>
        </w:rPr>
        <w:t>µ</w:t>
      </w:r>
      <w:r w:rsidRPr="57352DF8">
        <w:t>g/L and 0.19 </w:t>
      </w:r>
      <w:r w:rsidRPr="57352DF8">
        <w:rPr>
          <w:rFonts w:cs="Calibri"/>
        </w:rPr>
        <w:t>µ</w:t>
      </w:r>
      <w:r w:rsidRPr="57352DF8">
        <w:t>g/L, respectively. Thus, the value of 0.19 </w:t>
      </w:r>
      <w:r w:rsidRPr="57352DF8">
        <w:rPr>
          <w:rFonts w:cs="Calibri"/>
        </w:rPr>
        <w:t>µ</w:t>
      </w:r>
      <w:r w:rsidRPr="57352DF8">
        <w:t xml:space="preserve">g/L for reproduction would be adopted as the toxicity value for </w:t>
      </w:r>
      <w:r w:rsidRPr="57352DF8">
        <w:rPr>
          <w:i/>
          <w:iCs/>
        </w:rPr>
        <w:t>C.</w:t>
      </w:r>
      <w:r>
        <w:rPr>
          <w:i/>
          <w:iCs/>
        </w:rPr>
        <w:t> </w:t>
      </w:r>
      <w:r w:rsidRPr="57352DF8">
        <w:rPr>
          <w:i/>
          <w:iCs/>
        </w:rPr>
        <w:t>dubia</w:t>
      </w:r>
      <w:r w:rsidRPr="57352DF8">
        <w:t>.</w:t>
      </w:r>
    </w:p>
    <w:p w14:paraId="123ACCCE" w14:textId="77777777" w:rsidR="006C5761" w:rsidRDefault="006C5761" w:rsidP="00BA0672"/>
    <w:p w14:paraId="531C2E98" w14:textId="77777777" w:rsidR="006C5761" w:rsidRDefault="006C5761" w:rsidP="00FC28C6">
      <w:pPr>
        <w:pStyle w:val="ListBullet"/>
      </w:pPr>
      <w:r w:rsidRPr="57352DF8">
        <w:t>Table</w:t>
      </w:r>
      <w:r>
        <w:t> </w:t>
      </w:r>
      <w:r>
        <w:rPr>
          <w:noProof/>
        </w:rPr>
        <w:t>4</w:t>
      </w:r>
      <w:r w:rsidR="0093788C">
        <w:fldChar w:fldCharType="end"/>
      </w:r>
      <w:r w:rsidR="0093788C" w:rsidRPr="57352DF8">
        <w:t>). If there are multiple values for a combination, the geometric mean of the values is calculated and adopted for that combination (</w:t>
      </w:r>
      <w:r w:rsidR="00E63346" w:rsidRPr="57352DF8">
        <w:t>i.e.</w:t>
      </w:r>
      <w:r w:rsidR="0093788C" w:rsidRPr="57352DF8">
        <w:t xml:space="preserve"> rows </w:t>
      </w:r>
      <w:r w:rsidR="009F7407">
        <w:t>4</w:t>
      </w:r>
      <w:r w:rsidR="00031B68">
        <w:t>–</w:t>
      </w:r>
      <w:r w:rsidR="009F7407">
        <w:t>5</w:t>
      </w:r>
      <w:r w:rsidR="007F6C80" w:rsidRPr="57352DF8">
        <w:t>,</w:t>
      </w:r>
      <w:r w:rsidR="0093788C" w:rsidRPr="57352DF8">
        <w:t xml:space="preserve"> </w:t>
      </w:r>
      <w:r w:rsidR="009F7407">
        <w:t>7</w:t>
      </w:r>
      <w:r w:rsidR="00031B68">
        <w:t>–</w:t>
      </w:r>
      <w:r w:rsidR="009F7407">
        <w:t>8</w:t>
      </w:r>
      <w:r w:rsidR="009A657B" w:rsidRPr="57352DF8">
        <w:t xml:space="preserve">, </w:t>
      </w:r>
      <w:r w:rsidR="009F7407">
        <w:t>10</w:t>
      </w:r>
      <w:r w:rsidR="00031B68">
        <w:t>–</w:t>
      </w:r>
      <w:r w:rsidR="009F7407">
        <w:t>11</w:t>
      </w:r>
      <w:r w:rsidR="009F7407" w:rsidRPr="57352DF8">
        <w:t xml:space="preserve"> </w:t>
      </w:r>
      <w:r w:rsidR="007F6C80" w:rsidRPr="57352DF8">
        <w:t xml:space="preserve">and </w:t>
      </w:r>
      <w:r w:rsidR="009F7407" w:rsidRPr="57352DF8">
        <w:t>1</w:t>
      </w:r>
      <w:r w:rsidR="009F7407">
        <w:t>2</w:t>
      </w:r>
      <w:r w:rsidR="00031B68">
        <w:t>–</w:t>
      </w:r>
      <w:r w:rsidR="009F7407" w:rsidRPr="57352DF8">
        <w:t>1</w:t>
      </w:r>
      <w:r w:rsidR="009F7407">
        <w:t>4</w:t>
      </w:r>
      <w:r w:rsidR="0093788C" w:rsidRPr="57352DF8">
        <w:t xml:space="preserve">, </w:t>
      </w:r>
      <w:r w:rsidR="0093788C">
        <w:fldChar w:fldCharType="begin"/>
      </w:r>
      <w:r w:rsidR="0093788C">
        <w:instrText xml:space="preserve"> REF _Ref520276577 \h </w:instrText>
      </w:r>
      <w:r w:rsidR="0093788C">
        <w:fldChar w:fldCharType="separate"/>
      </w:r>
    </w:p>
    <w:p w14:paraId="7B345435" w14:textId="77777777" w:rsidR="006C5761" w:rsidRDefault="006C5761" w:rsidP="00E93A24">
      <w:pPr>
        <w:pStyle w:val="ListBullet"/>
      </w:pPr>
      <w:r w:rsidRPr="57352DF8">
        <w:t>Determine the lowest value for each species (</w:t>
      </w:r>
      <w:r w:rsidRPr="00FC28C6">
        <w:t>column</w:t>
      </w:r>
      <w:r w:rsidRPr="57352DF8">
        <w:t xml:space="preserve"> </w:t>
      </w:r>
      <w:r>
        <w:t>8</w:t>
      </w:r>
      <w:r w:rsidRPr="57352DF8">
        <w:t xml:space="preserve">, </w:t>
      </w:r>
      <w:r>
        <w:rPr>
          <w:b/>
          <w:bCs/>
          <w:lang w:val="en-US"/>
        </w:rPr>
        <w:t>Error! Not a valid bookmark self-reference.</w:t>
      </w:r>
      <w:r w:rsidRPr="57352DF8">
        <w:t>). The lowest endpoint value is adopted as the toxicity value to represent the sensitivity of the species in the final dataset. For example, there are</w:t>
      </w:r>
      <w:r>
        <w:t xml:space="preserve"> 4</w:t>
      </w:r>
      <w:r w:rsidRPr="57352DF8">
        <w:t xml:space="preserve"> </w:t>
      </w:r>
      <w:r w:rsidRPr="57352DF8">
        <w:rPr>
          <w:i/>
          <w:iCs/>
        </w:rPr>
        <w:t>C. dubia</w:t>
      </w:r>
      <w:r w:rsidRPr="57352DF8">
        <w:t xml:space="preserve"> endpoint combinations (</w:t>
      </w:r>
      <w:r>
        <w:t xml:space="preserve">development, </w:t>
      </w:r>
      <w:r w:rsidRPr="57352DF8">
        <w:t>growth, immobilisation</w:t>
      </w:r>
      <w:r>
        <w:t>,</w:t>
      </w:r>
      <w:r w:rsidRPr="57352DF8">
        <w:t xml:space="preserve"> reproduction) with toxicity values of </w:t>
      </w:r>
      <w:r>
        <w:t>5.1</w:t>
      </w:r>
      <w:r w:rsidRPr="57352DF8">
        <w:t> </w:t>
      </w:r>
      <w:r w:rsidRPr="57352DF8">
        <w:rPr>
          <w:rFonts w:cs="Calibri"/>
        </w:rPr>
        <w:t>µ</w:t>
      </w:r>
      <w:r w:rsidRPr="57352DF8">
        <w:t>g/L</w:t>
      </w:r>
      <w:r>
        <w:t xml:space="preserve">, </w:t>
      </w:r>
      <w:r w:rsidRPr="57352DF8">
        <w:t>7 </w:t>
      </w:r>
      <w:r w:rsidRPr="57352DF8">
        <w:rPr>
          <w:rFonts w:cs="Calibri"/>
        </w:rPr>
        <w:t>µ</w:t>
      </w:r>
      <w:r w:rsidRPr="57352DF8">
        <w:t>g/L, 3.9 </w:t>
      </w:r>
      <w:r w:rsidRPr="57352DF8">
        <w:rPr>
          <w:rFonts w:cs="Calibri"/>
        </w:rPr>
        <w:t>µ</w:t>
      </w:r>
      <w:r w:rsidRPr="57352DF8">
        <w:t>g/L and 0.19 </w:t>
      </w:r>
      <w:r w:rsidRPr="57352DF8">
        <w:rPr>
          <w:rFonts w:cs="Calibri"/>
        </w:rPr>
        <w:t>µ</w:t>
      </w:r>
      <w:r w:rsidRPr="57352DF8">
        <w:t>g/L, respectively. Thus, the value of 0.19 </w:t>
      </w:r>
      <w:r w:rsidRPr="57352DF8">
        <w:rPr>
          <w:rFonts w:cs="Calibri"/>
        </w:rPr>
        <w:t>µ</w:t>
      </w:r>
      <w:r w:rsidRPr="57352DF8">
        <w:t xml:space="preserve">g/L for reproduction would be adopted as the toxicity value for </w:t>
      </w:r>
      <w:r w:rsidRPr="57352DF8">
        <w:rPr>
          <w:i/>
          <w:iCs/>
        </w:rPr>
        <w:t>C.</w:t>
      </w:r>
      <w:r>
        <w:rPr>
          <w:i/>
          <w:iCs/>
        </w:rPr>
        <w:t> </w:t>
      </w:r>
      <w:r w:rsidRPr="57352DF8">
        <w:rPr>
          <w:i/>
          <w:iCs/>
        </w:rPr>
        <w:t>dubia</w:t>
      </w:r>
      <w:r w:rsidRPr="57352DF8">
        <w:t>.</w:t>
      </w:r>
    </w:p>
    <w:p w14:paraId="218F710A" w14:textId="77777777" w:rsidR="006C5761" w:rsidRDefault="006C5761" w:rsidP="00BA0672"/>
    <w:p w14:paraId="08F910EC" w14:textId="1A3FBF31" w:rsidR="00B679A4" w:rsidRDefault="006C5761" w:rsidP="00FC28C6">
      <w:pPr>
        <w:pStyle w:val="ListBullet"/>
      </w:pPr>
      <w:r w:rsidRPr="57352DF8">
        <w:t>Table</w:t>
      </w:r>
      <w:r>
        <w:t> </w:t>
      </w:r>
      <w:r>
        <w:rPr>
          <w:noProof/>
        </w:rPr>
        <w:t>4</w:t>
      </w:r>
      <w:r w:rsidR="0093788C">
        <w:fldChar w:fldCharType="end"/>
      </w:r>
      <w:r w:rsidR="0093788C" w:rsidRPr="57352DF8">
        <w:t>).</w:t>
      </w:r>
      <w:r w:rsidR="0065064F" w:rsidRPr="57352DF8">
        <w:t xml:space="preserve"> </w:t>
      </w:r>
      <w:r w:rsidR="009653A4">
        <w:t>G</w:t>
      </w:r>
      <w:r w:rsidR="0065064F" w:rsidRPr="57352DF8">
        <w:t>eometric means should not be calculated across different statistical estimates of toxicity</w:t>
      </w:r>
      <w:r w:rsidR="00CB3D81">
        <w:t>, life stages and test durations</w:t>
      </w:r>
      <w:r w:rsidR="0065064F" w:rsidRPr="57352DF8">
        <w:t>.</w:t>
      </w:r>
    </w:p>
    <w:p w14:paraId="59DB44B5" w14:textId="77777777" w:rsidR="006C5761" w:rsidRDefault="0093788C" w:rsidP="00FC28C6">
      <w:pPr>
        <w:pStyle w:val="ListBullet"/>
      </w:pPr>
      <w:r w:rsidRPr="57352DF8">
        <w:t xml:space="preserve">Determine the lowest toxicity value for each endpoint (column </w:t>
      </w:r>
      <w:r w:rsidR="008C7C3E">
        <w:t>7</w:t>
      </w:r>
      <w:r w:rsidRPr="57352DF8">
        <w:t xml:space="preserve">, </w:t>
      </w:r>
      <w:r>
        <w:fldChar w:fldCharType="begin"/>
      </w:r>
      <w:r>
        <w:instrText xml:space="preserve"> REF _Ref520276577 \h </w:instrText>
      </w:r>
      <w:r>
        <w:fldChar w:fldCharType="separate"/>
      </w:r>
    </w:p>
    <w:p w14:paraId="4BE7C98A" w14:textId="77777777" w:rsidR="006C5761" w:rsidRDefault="006C5761" w:rsidP="00E93A24">
      <w:pPr>
        <w:pStyle w:val="ListBullet"/>
      </w:pPr>
      <w:r w:rsidRPr="57352DF8">
        <w:t>Determine the lowest value for each species (</w:t>
      </w:r>
      <w:r w:rsidRPr="00FC28C6">
        <w:t>column</w:t>
      </w:r>
      <w:r w:rsidRPr="57352DF8">
        <w:t xml:space="preserve"> </w:t>
      </w:r>
      <w:r>
        <w:t>8</w:t>
      </w:r>
      <w:r w:rsidRPr="57352DF8">
        <w:t xml:space="preserve">, </w:t>
      </w:r>
      <w:r>
        <w:rPr>
          <w:b/>
          <w:bCs/>
          <w:lang w:val="en-US"/>
        </w:rPr>
        <w:t>Error! Not a valid bookmark self-reference.</w:t>
      </w:r>
      <w:r w:rsidRPr="57352DF8">
        <w:t>). The lowest endpoint value is adopted as the toxicity value to represent the sensitivity of the species in the final dataset. For example, there are</w:t>
      </w:r>
      <w:r>
        <w:t xml:space="preserve"> 4</w:t>
      </w:r>
      <w:r w:rsidRPr="57352DF8">
        <w:t xml:space="preserve"> </w:t>
      </w:r>
      <w:r w:rsidRPr="57352DF8">
        <w:rPr>
          <w:i/>
          <w:iCs/>
        </w:rPr>
        <w:t>C. dubia</w:t>
      </w:r>
      <w:r w:rsidRPr="57352DF8">
        <w:t xml:space="preserve"> endpoint combinations (</w:t>
      </w:r>
      <w:r>
        <w:t xml:space="preserve">development, </w:t>
      </w:r>
      <w:r w:rsidRPr="57352DF8">
        <w:t>growth, immobilisation</w:t>
      </w:r>
      <w:r>
        <w:t>,</w:t>
      </w:r>
      <w:r w:rsidRPr="57352DF8">
        <w:t xml:space="preserve"> reproduction) with toxicity values of </w:t>
      </w:r>
      <w:r>
        <w:t>5.1</w:t>
      </w:r>
      <w:r w:rsidRPr="57352DF8">
        <w:t> </w:t>
      </w:r>
      <w:r w:rsidRPr="57352DF8">
        <w:rPr>
          <w:rFonts w:cs="Calibri"/>
        </w:rPr>
        <w:t>µ</w:t>
      </w:r>
      <w:r w:rsidRPr="57352DF8">
        <w:t>g/L</w:t>
      </w:r>
      <w:r>
        <w:t xml:space="preserve">, </w:t>
      </w:r>
      <w:r w:rsidRPr="57352DF8">
        <w:t>7 </w:t>
      </w:r>
      <w:r w:rsidRPr="57352DF8">
        <w:rPr>
          <w:rFonts w:cs="Calibri"/>
        </w:rPr>
        <w:t>µ</w:t>
      </w:r>
      <w:r w:rsidRPr="57352DF8">
        <w:t>g/L, 3.9 </w:t>
      </w:r>
      <w:r w:rsidRPr="57352DF8">
        <w:rPr>
          <w:rFonts w:cs="Calibri"/>
        </w:rPr>
        <w:t>µ</w:t>
      </w:r>
      <w:r w:rsidRPr="57352DF8">
        <w:t>g/L and 0.19 </w:t>
      </w:r>
      <w:r w:rsidRPr="57352DF8">
        <w:rPr>
          <w:rFonts w:cs="Calibri"/>
        </w:rPr>
        <w:t>µ</w:t>
      </w:r>
      <w:r w:rsidRPr="57352DF8">
        <w:t>g/L, respectively. Thus, the value of 0.19 </w:t>
      </w:r>
      <w:r w:rsidRPr="57352DF8">
        <w:rPr>
          <w:rFonts w:cs="Calibri"/>
        </w:rPr>
        <w:t>µ</w:t>
      </w:r>
      <w:r w:rsidRPr="57352DF8">
        <w:t xml:space="preserve">g/L for reproduction would be adopted as the toxicity value for </w:t>
      </w:r>
      <w:r w:rsidRPr="57352DF8">
        <w:rPr>
          <w:i/>
          <w:iCs/>
        </w:rPr>
        <w:t>C.</w:t>
      </w:r>
      <w:r>
        <w:rPr>
          <w:i/>
          <w:iCs/>
        </w:rPr>
        <w:t> </w:t>
      </w:r>
      <w:r w:rsidRPr="57352DF8">
        <w:rPr>
          <w:i/>
          <w:iCs/>
        </w:rPr>
        <w:t>dubia</w:t>
      </w:r>
      <w:r w:rsidRPr="57352DF8">
        <w:t>.</w:t>
      </w:r>
    </w:p>
    <w:p w14:paraId="162BA1A8" w14:textId="77777777" w:rsidR="006C5761" w:rsidRDefault="006C5761" w:rsidP="00BA0672"/>
    <w:p w14:paraId="7407DA09" w14:textId="77777777" w:rsidR="006C5761" w:rsidRDefault="006C5761" w:rsidP="00FC28C6">
      <w:pPr>
        <w:pStyle w:val="ListBullet"/>
      </w:pPr>
      <w:r w:rsidRPr="57352DF8">
        <w:lastRenderedPageBreak/>
        <w:t>Table</w:t>
      </w:r>
      <w:r>
        <w:t> </w:t>
      </w:r>
      <w:r>
        <w:rPr>
          <w:noProof/>
        </w:rPr>
        <w:t>4</w:t>
      </w:r>
      <w:r w:rsidR="0093788C">
        <w:fldChar w:fldCharType="end"/>
      </w:r>
      <w:r w:rsidR="0093788C" w:rsidRPr="57352DF8">
        <w:t>). This will be the lowest of the values for each combination of endpoint</w:t>
      </w:r>
      <w:r w:rsidR="009D31C4" w:rsidRPr="57352DF8">
        <w:t>, statistical estimate of toxicity</w:t>
      </w:r>
      <w:r w:rsidR="0093788C" w:rsidRPr="57352DF8">
        <w:t xml:space="preserve"> and duration (column </w:t>
      </w:r>
      <w:r w:rsidR="008C7C3E">
        <w:t>6</w:t>
      </w:r>
      <w:r w:rsidR="0093788C" w:rsidRPr="57352DF8">
        <w:t xml:space="preserve">, </w:t>
      </w:r>
      <w:r w:rsidR="0093788C">
        <w:fldChar w:fldCharType="begin"/>
      </w:r>
      <w:r w:rsidR="0093788C">
        <w:instrText xml:space="preserve"> REF _Ref520276577 \h </w:instrText>
      </w:r>
      <w:r w:rsidR="0093788C">
        <w:fldChar w:fldCharType="separate"/>
      </w:r>
    </w:p>
    <w:p w14:paraId="6C4482C7" w14:textId="77777777" w:rsidR="006C5761" w:rsidRDefault="006C5761" w:rsidP="00E93A24">
      <w:pPr>
        <w:pStyle w:val="ListBullet"/>
      </w:pPr>
      <w:r w:rsidRPr="57352DF8">
        <w:t>Determine the lowest value for each species (</w:t>
      </w:r>
      <w:r w:rsidRPr="00FC28C6">
        <w:t>column</w:t>
      </w:r>
      <w:r w:rsidRPr="57352DF8">
        <w:t xml:space="preserve"> </w:t>
      </w:r>
      <w:r>
        <w:t>8</w:t>
      </w:r>
      <w:r w:rsidRPr="57352DF8">
        <w:t xml:space="preserve">, </w:t>
      </w:r>
      <w:r>
        <w:rPr>
          <w:b/>
          <w:bCs/>
          <w:lang w:val="en-US"/>
        </w:rPr>
        <w:t>Error! Not a valid bookmark self-reference.</w:t>
      </w:r>
      <w:r w:rsidRPr="57352DF8">
        <w:t>). The lowest endpoint value is adopted as the toxicity value to represent the sensitivity of the species in the final dataset. For example, there are</w:t>
      </w:r>
      <w:r>
        <w:t xml:space="preserve"> 4</w:t>
      </w:r>
      <w:r w:rsidRPr="57352DF8">
        <w:t xml:space="preserve"> </w:t>
      </w:r>
      <w:r w:rsidRPr="57352DF8">
        <w:rPr>
          <w:i/>
          <w:iCs/>
        </w:rPr>
        <w:t>C. dubia</w:t>
      </w:r>
      <w:r w:rsidRPr="57352DF8">
        <w:t xml:space="preserve"> endpoint combinations (</w:t>
      </w:r>
      <w:r>
        <w:t xml:space="preserve">development, </w:t>
      </w:r>
      <w:r w:rsidRPr="57352DF8">
        <w:t>growth, immobilisation</w:t>
      </w:r>
      <w:r>
        <w:t>,</w:t>
      </w:r>
      <w:r w:rsidRPr="57352DF8">
        <w:t xml:space="preserve"> reproduction) with toxicity values of </w:t>
      </w:r>
      <w:r>
        <w:t>5.1</w:t>
      </w:r>
      <w:r w:rsidRPr="57352DF8">
        <w:t> </w:t>
      </w:r>
      <w:r w:rsidRPr="57352DF8">
        <w:rPr>
          <w:rFonts w:cs="Calibri"/>
        </w:rPr>
        <w:t>µ</w:t>
      </w:r>
      <w:r w:rsidRPr="57352DF8">
        <w:t>g/L</w:t>
      </w:r>
      <w:r>
        <w:t xml:space="preserve">, </w:t>
      </w:r>
      <w:r w:rsidRPr="57352DF8">
        <w:t>7 </w:t>
      </w:r>
      <w:r w:rsidRPr="57352DF8">
        <w:rPr>
          <w:rFonts w:cs="Calibri"/>
        </w:rPr>
        <w:t>µ</w:t>
      </w:r>
      <w:r w:rsidRPr="57352DF8">
        <w:t>g/L, 3.9 </w:t>
      </w:r>
      <w:r w:rsidRPr="57352DF8">
        <w:rPr>
          <w:rFonts w:cs="Calibri"/>
        </w:rPr>
        <w:t>µ</w:t>
      </w:r>
      <w:r w:rsidRPr="57352DF8">
        <w:t>g/L and 0.19 </w:t>
      </w:r>
      <w:r w:rsidRPr="57352DF8">
        <w:rPr>
          <w:rFonts w:cs="Calibri"/>
        </w:rPr>
        <w:t>µ</w:t>
      </w:r>
      <w:r w:rsidRPr="57352DF8">
        <w:t>g/L, respectively. Thus, the value of 0.19 </w:t>
      </w:r>
      <w:r w:rsidRPr="57352DF8">
        <w:rPr>
          <w:rFonts w:cs="Calibri"/>
        </w:rPr>
        <w:t>µ</w:t>
      </w:r>
      <w:r w:rsidRPr="57352DF8">
        <w:t xml:space="preserve">g/L for reproduction would be adopted as the toxicity value for </w:t>
      </w:r>
      <w:r w:rsidRPr="57352DF8">
        <w:rPr>
          <w:i/>
          <w:iCs/>
        </w:rPr>
        <w:t>C.</w:t>
      </w:r>
      <w:r>
        <w:rPr>
          <w:i/>
          <w:iCs/>
        </w:rPr>
        <w:t> </w:t>
      </w:r>
      <w:r w:rsidRPr="57352DF8">
        <w:rPr>
          <w:i/>
          <w:iCs/>
        </w:rPr>
        <w:t>dubia</w:t>
      </w:r>
      <w:r w:rsidRPr="57352DF8">
        <w:t>.</w:t>
      </w:r>
    </w:p>
    <w:p w14:paraId="1B5A01B5" w14:textId="77777777" w:rsidR="006C5761" w:rsidRDefault="006C5761" w:rsidP="00BA0672"/>
    <w:p w14:paraId="64CAD190" w14:textId="77777777" w:rsidR="006C5761" w:rsidRDefault="006C5761" w:rsidP="00FC28C6">
      <w:pPr>
        <w:pStyle w:val="ListBullet"/>
      </w:pPr>
      <w:r w:rsidRPr="57352DF8">
        <w:t>Table</w:t>
      </w:r>
      <w:r>
        <w:t> </w:t>
      </w:r>
      <w:r>
        <w:rPr>
          <w:noProof/>
        </w:rPr>
        <w:t>4</w:t>
      </w:r>
      <w:r w:rsidR="0093788C">
        <w:fldChar w:fldCharType="end"/>
      </w:r>
      <w:r w:rsidR="0093788C" w:rsidRPr="57352DF8">
        <w:t>). Generally</w:t>
      </w:r>
      <w:r w:rsidR="10C5B426" w:rsidRPr="57352DF8">
        <w:t>,</w:t>
      </w:r>
      <w:r w:rsidR="0093788C" w:rsidRPr="57352DF8">
        <w:t xml:space="preserve"> the longest duration will have the lowest toxicity values, but this is not always the case. If there is a single </w:t>
      </w:r>
      <w:r w:rsidR="0093788C" w:rsidRPr="00FC28C6">
        <w:t>value</w:t>
      </w:r>
      <w:r w:rsidR="0093788C" w:rsidRPr="57352DF8">
        <w:t xml:space="preserve"> for each combination of species, endpoint and duration, it is adopted (</w:t>
      </w:r>
      <w:r w:rsidR="0084050B" w:rsidRPr="57352DF8">
        <w:t>e.g.</w:t>
      </w:r>
      <w:r w:rsidR="0093788C" w:rsidRPr="57352DF8">
        <w:t xml:space="preserve"> row 1, </w:t>
      </w:r>
      <w:r w:rsidR="0093788C">
        <w:fldChar w:fldCharType="begin"/>
      </w:r>
      <w:r w:rsidR="0093788C">
        <w:instrText xml:space="preserve"> REF _Ref520276577 \h </w:instrText>
      </w:r>
      <w:r w:rsidR="0093788C">
        <w:fldChar w:fldCharType="separate"/>
      </w:r>
    </w:p>
    <w:p w14:paraId="53D66651" w14:textId="77777777" w:rsidR="006C5761" w:rsidRDefault="006C5761" w:rsidP="00E93A24">
      <w:pPr>
        <w:pStyle w:val="ListBullet"/>
      </w:pPr>
      <w:r w:rsidRPr="57352DF8">
        <w:t>Determine the lowest value for each species (</w:t>
      </w:r>
      <w:r w:rsidRPr="00FC28C6">
        <w:t>column</w:t>
      </w:r>
      <w:r w:rsidRPr="57352DF8">
        <w:t xml:space="preserve"> </w:t>
      </w:r>
      <w:r>
        <w:t>8</w:t>
      </w:r>
      <w:r w:rsidRPr="57352DF8">
        <w:t xml:space="preserve">, </w:t>
      </w:r>
      <w:r>
        <w:rPr>
          <w:b/>
          <w:bCs/>
          <w:lang w:val="en-US"/>
        </w:rPr>
        <w:t>Error! Not a valid bookmark self-reference.</w:t>
      </w:r>
      <w:r w:rsidRPr="57352DF8">
        <w:t>). The lowest endpoint value is adopted as the toxicity value to represent the sensitivity of the species in the final dataset. For example, there are</w:t>
      </w:r>
      <w:r>
        <w:t xml:space="preserve"> 4</w:t>
      </w:r>
      <w:r w:rsidRPr="57352DF8">
        <w:t xml:space="preserve"> </w:t>
      </w:r>
      <w:r w:rsidRPr="57352DF8">
        <w:rPr>
          <w:i/>
          <w:iCs/>
        </w:rPr>
        <w:t>C. dubia</w:t>
      </w:r>
      <w:r w:rsidRPr="57352DF8">
        <w:t xml:space="preserve"> endpoint combinations (</w:t>
      </w:r>
      <w:r>
        <w:t xml:space="preserve">development, </w:t>
      </w:r>
      <w:r w:rsidRPr="57352DF8">
        <w:t>growth, immobilisation</w:t>
      </w:r>
      <w:r>
        <w:t>,</w:t>
      </w:r>
      <w:r w:rsidRPr="57352DF8">
        <w:t xml:space="preserve"> reproduction) with toxicity values of </w:t>
      </w:r>
      <w:r>
        <w:t>5.1</w:t>
      </w:r>
      <w:r w:rsidRPr="57352DF8">
        <w:t> </w:t>
      </w:r>
      <w:r w:rsidRPr="57352DF8">
        <w:rPr>
          <w:rFonts w:cs="Calibri"/>
        </w:rPr>
        <w:t>µ</w:t>
      </w:r>
      <w:r w:rsidRPr="57352DF8">
        <w:t>g/L</w:t>
      </w:r>
      <w:r>
        <w:t xml:space="preserve">, </w:t>
      </w:r>
      <w:r w:rsidRPr="57352DF8">
        <w:t>7 </w:t>
      </w:r>
      <w:r w:rsidRPr="57352DF8">
        <w:rPr>
          <w:rFonts w:cs="Calibri"/>
        </w:rPr>
        <w:t>µ</w:t>
      </w:r>
      <w:r w:rsidRPr="57352DF8">
        <w:t>g/L, 3.9 </w:t>
      </w:r>
      <w:r w:rsidRPr="57352DF8">
        <w:rPr>
          <w:rFonts w:cs="Calibri"/>
        </w:rPr>
        <w:t>µ</w:t>
      </w:r>
      <w:r w:rsidRPr="57352DF8">
        <w:t>g/L and 0.19 </w:t>
      </w:r>
      <w:r w:rsidRPr="57352DF8">
        <w:rPr>
          <w:rFonts w:cs="Calibri"/>
        </w:rPr>
        <w:t>µ</w:t>
      </w:r>
      <w:r w:rsidRPr="57352DF8">
        <w:t>g/L, respectively. Thus, the value of 0.19 </w:t>
      </w:r>
      <w:r w:rsidRPr="57352DF8">
        <w:rPr>
          <w:rFonts w:cs="Calibri"/>
        </w:rPr>
        <w:t>µ</w:t>
      </w:r>
      <w:r w:rsidRPr="57352DF8">
        <w:t xml:space="preserve">g/L for reproduction would be adopted as the toxicity value for </w:t>
      </w:r>
      <w:r w:rsidRPr="57352DF8">
        <w:rPr>
          <w:i/>
          <w:iCs/>
        </w:rPr>
        <w:t>C.</w:t>
      </w:r>
      <w:r>
        <w:rPr>
          <w:i/>
          <w:iCs/>
        </w:rPr>
        <w:t> </w:t>
      </w:r>
      <w:r w:rsidRPr="57352DF8">
        <w:rPr>
          <w:i/>
          <w:iCs/>
        </w:rPr>
        <w:t>dubia</w:t>
      </w:r>
      <w:r w:rsidRPr="57352DF8">
        <w:t>.</w:t>
      </w:r>
    </w:p>
    <w:p w14:paraId="63200592" w14:textId="77777777" w:rsidR="006C5761" w:rsidRDefault="006C5761" w:rsidP="00BA0672"/>
    <w:p w14:paraId="54A49204" w14:textId="77777777" w:rsidR="006C5761" w:rsidRDefault="006C5761" w:rsidP="00FC28C6">
      <w:pPr>
        <w:pStyle w:val="ListBullet"/>
      </w:pPr>
      <w:r w:rsidRPr="57352DF8">
        <w:t>Table</w:t>
      </w:r>
      <w:r>
        <w:t> </w:t>
      </w:r>
      <w:r>
        <w:rPr>
          <w:noProof/>
        </w:rPr>
        <w:t>4</w:t>
      </w:r>
      <w:r w:rsidR="0093788C">
        <w:fldChar w:fldCharType="end"/>
      </w:r>
      <w:r w:rsidR="0093788C" w:rsidRPr="57352DF8">
        <w:t>). If there are multiple combinations of species, endpoint</w:t>
      </w:r>
      <w:r w:rsidR="00CF055B" w:rsidRPr="57352DF8">
        <w:t>, statistical estimate of toxicity</w:t>
      </w:r>
      <w:r w:rsidR="0093788C" w:rsidRPr="57352DF8">
        <w:t xml:space="preserve"> and duration, the lowest value is adopted. For example, for the combination of immobilisation (rows </w:t>
      </w:r>
      <w:r w:rsidR="008C7C3E">
        <w:t>4</w:t>
      </w:r>
      <w:r w:rsidR="00BA1389">
        <w:t>–</w:t>
      </w:r>
      <w:r w:rsidR="008C7C3E">
        <w:t>8</w:t>
      </w:r>
      <w:r w:rsidR="0093788C" w:rsidRPr="57352DF8">
        <w:t xml:space="preserve">, </w:t>
      </w:r>
      <w:r w:rsidR="0093788C">
        <w:fldChar w:fldCharType="begin"/>
      </w:r>
      <w:r w:rsidR="0093788C">
        <w:instrText xml:space="preserve"> REF _Ref520276577 \h </w:instrText>
      </w:r>
      <w:r w:rsidR="0093788C">
        <w:fldChar w:fldCharType="separate"/>
      </w:r>
    </w:p>
    <w:p w14:paraId="48827520" w14:textId="77777777" w:rsidR="006C5761" w:rsidRDefault="006C5761" w:rsidP="00E93A24">
      <w:pPr>
        <w:pStyle w:val="ListBullet"/>
      </w:pPr>
      <w:r w:rsidRPr="57352DF8">
        <w:t>Determine the lowest value for each species (</w:t>
      </w:r>
      <w:r w:rsidRPr="00FC28C6">
        <w:t>column</w:t>
      </w:r>
      <w:r w:rsidRPr="57352DF8">
        <w:t xml:space="preserve"> </w:t>
      </w:r>
      <w:r>
        <w:t>8</w:t>
      </w:r>
      <w:r w:rsidRPr="57352DF8">
        <w:t xml:space="preserve">, </w:t>
      </w:r>
      <w:r>
        <w:rPr>
          <w:b/>
          <w:bCs/>
          <w:lang w:val="en-US"/>
        </w:rPr>
        <w:t>Error! Not a valid bookmark self-reference.</w:t>
      </w:r>
      <w:r w:rsidRPr="57352DF8">
        <w:t>). The lowest endpoint value is adopted as the toxicity value to represent the sensitivity of the species in the final dataset. For example, there are</w:t>
      </w:r>
      <w:r>
        <w:t xml:space="preserve"> 4</w:t>
      </w:r>
      <w:r w:rsidRPr="57352DF8">
        <w:t xml:space="preserve"> </w:t>
      </w:r>
      <w:r w:rsidRPr="57352DF8">
        <w:rPr>
          <w:i/>
          <w:iCs/>
        </w:rPr>
        <w:t>C. dubia</w:t>
      </w:r>
      <w:r w:rsidRPr="57352DF8">
        <w:t xml:space="preserve"> endpoint combinations (</w:t>
      </w:r>
      <w:r>
        <w:t xml:space="preserve">development, </w:t>
      </w:r>
      <w:r w:rsidRPr="57352DF8">
        <w:t>growth, immobilisation</w:t>
      </w:r>
      <w:r>
        <w:t>,</w:t>
      </w:r>
      <w:r w:rsidRPr="57352DF8">
        <w:t xml:space="preserve"> reproduction) with toxicity values of </w:t>
      </w:r>
      <w:r>
        <w:t>5.1</w:t>
      </w:r>
      <w:r w:rsidRPr="57352DF8">
        <w:t> </w:t>
      </w:r>
      <w:r w:rsidRPr="57352DF8">
        <w:rPr>
          <w:rFonts w:cs="Calibri"/>
        </w:rPr>
        <w:t>µ</w:t>
      </w:r>
      <w:r w:rsidRPr="57352DF8">
        <w:t>g/L</w:t>
      </w:r>
      <w:r>
        <w:t xml:space="preserve">, </w:t>
      </w:r>
      <w:r w:rsidRPr="57352DF8">
        <w:t>7 </w:t>
      </w:r>
      <w:r w:rsidRPr="57352DF8">
        <w:rPr>
          <w:rFonts w:cs="Calibri"/>
        </w:rPr>
        <w:t>µ</w:t>
      </w:r>
      <w:r w:rsidRPr="57352DF8">
        <w:t>g/L, 3.9 </w:t>
      </w:r>
      <w:r w:rsidRPr="57352DF8">
        <w:rPr>
          <w:rFonts w:cs="Calibri"/>
        </w:rPr>
        <w:t>µ</w:t>
      </w:r>
      <w:r w:rsidRPr="57352DF8">
        <w:t>g/L and 0.19 </w:t>
      </w:r>
      <w:r w:rsidRPr="57352DF8">
        <w:rPr>
          <w:rFonts w:cs="Calibri"/>
        </w:rPr>
        <w:t>µ</w:t>
      </w:r>
      <w:r w:rsidRPr="57352DF8">
        <w:t>g/L, respectively. Thus, the value of 0.19 </w:t>
      </w:r>
      <w:r w:rsidRPr="57352DF8">
        <w:rPr>
          <w:rFonts w:cs="Calibri"/>
        </w:rPr>
        <w:t>µ</w:t>
      </w:r>
      <w:r w:rsidRPr="57352DF8">
        <w:t xml:space="preserve">g/L for reproduction would be adopted as the toxicity value for </w:t>
      </w:r>
      <w:r w:rsidRPr="57352DF8">
        <w:rPr>
          <w:i/>
          <w:iCs/>
        </w:rPr>
        <w:t>C.</w:t>
      </w:r>
      <w:r>
        <w:rPr>
          <w:i/>
          <w:iCs/>
        </w:rPr>
        <w:t> </w:t>
      </w:r>
      <w:r w:rsidRPr="57352DF8">
        <w:rPr>
          <w:i/>
          <w:iCs/>
        </w:rPr>
        <w:t>dubia</w:t>
      </w:r>
      <w:r w:rsidRPr="57352DF8">
        <w:t>.</w:t>
      </w:r>
    </w:p>
    <w:p w14:paraId="4FD42604" w14:textId="77777777" w:rsidR="006C5761" w:rsidRDefault="006C5761" w:rsidP="00BA0672"/>
    <w:p w14:paraId="560AEE79" w14:textId="13EF1FF7" w:rsidR="00B679A4" w:rsidRDefault="006C5761" w:rsidP="00FC28C6">
      <w:pPr>
        <w:pStyle w:val="ListBullet"/>
      </w:pPr>
      <w:r w:rsidRPr="57352DF8">
        <w:t>Table</w:t>
      </w:r>
      <w:r>
        <w:t> </w:t>
      </w:r>
      <w:r>
        <w:rPr>
          <w:noProof/>
        </w:rPr>
        <w:t>4</w:t>
      </w:r>
      <w:r w:rsidR="0093788C">
        <w:fldChar w:fldCharType="end"/>
      </w:r>
      <w:r w:rsidR="0093788C" w:rsidRPr="57352DF8">
        <w:t>)</w:t>
      </w:r>
      <w:r w:rsidR="00BA1389">
        <w:t>,</w:t>
      </w:r>
      <w:r w:rsidR="0093788C" w:rsidRPr="57352DF8">
        <w:t xml:space="preserve"> there </w:t>
      </w:r>
      <w:r w:rsidR="00814999" w:rsidRPr="57352DF8">
        <w:t>is a single 192-h NOEC</w:t>
      </w:r>
      <w:r w:rsidR="00591DD6" w:rsidRPr="57352DF8">
        <w:t xml:space="preserve"> value </w:t>
      </w:r>
      <w:r w:rsidR="00C75671" w:rsidRPr="57352DF8">
        <w:t>of 10</w:t>
      </w:r>
      <w:r w:rsidR="00BA1389">
        <w:t> </w:t>
      </w:r>
      <w:r w:rsidR="00C75671" w:rsidRPr="57352DF8">
        <w:rPr>
          <w:rFonts w:cs="Calibri"/>
        </w:rPr>
        <w:t>µ</w:t>
      </w:r>
      <w:r w:rsidR="00C75671" w:rsidRPr="57352DF8">
        <w:t xml:space="preserve">g/L </w:t>
      </w:r>
      <w:r w:rsidR="00591DD6" w:rsidRPr="57352DF8">
        <w:t>and</w:t>
      </w:r>
      <w:r w:rsidR="00C64837">
        <w:t xml:space="preserve"> 2</w:t>
      </w:r>
      <w:r w:rsidR="00591DD6" w:rsidRPr="57352DF8">
        <w:t xml:space="preserve"> </w:t>
      </w:r>
      <w:r w:rsidR="0093788C" w:rsidRPr="57352DF8">
        <w:t xml:space="preserve">geometric mean </w:t>
      </w:r>
      <w:r w:rsidR="00591DD6" w:rsidRPr="57352DF8">
        <w:t>E</w:t>
      </w:r>
      <w:r w:rsidR="00C75671" w:rsidRPr="57352DF8">
        <w:t>C</w:t>
      </w:r>
      <w:r w:rsidR="00591DD6" w:rsidRPr="57352DF8">
        <w:t xml:space="preserve">10 </w:t>
      </w:r>
      <w:r w:rsidR="0093788C" w:rsidRPr="57352DF8">
        <w:t>values for</w:t>
      </w:r>
      <w:r w:rsidR="00C64837">
        <w:t xml:space="preserve"> 2</w:t>
      </w:r>
      <w:r w:rsidR="0093788C" w:rsidRPr="57352DF8">
        <w:t xml:space="preserve"> durations (</w:t>
      </w:r>
      <w:r w:rsidR="000649CC" w:rsidRPr="57352DF8">
        <w:t xml:space="preserve">168 h and 192 </w:t>
      </w:r>
      <w:r w:rsidR="0093788C" w:rsidRPr="57352DF8">
        <w:t>h) of 27.4</w:t>
      </w:r>
      <w:r w:rsidR="008830C9" w:rsidRPr="57352DF8">
        <w:t> </w:t>
      </w:r>
      <w:r w:rsidR="008830C9" w:rsidRPr="57352DF8">
        <w:rPr>
          <w:rFonts w:cs="Calibri"/>
        </w:rPr>
        <w:t>µ</w:t>
      </w:r>
      <w:r w:rsidR="008830C9" w:rsidRPr="57352DF8">
        <w:t>g/L</w:t>
      </w:r>
      <w:r w:rsidR="0093788C" w:rsidRPr="57352DF8">
        <w:t xml:space="preserve"> and </w:t>
      </w:r>
      <w:r w:rsidR="00C75671" w:rsidRPr="57352DF8">
        <w:t>3.9</w:t>
      </w:r>
      <w:r w:rsidR="0093788C" w:rsidRPr="57352DF8">
        <w:t> </w:t>
      </w:r>
      <w:r w:rsidR="0093788C" w:rsidRPr="57352DF8">
        <w:rPr>
          <w:rFonts w:cs="Calibri"/>
        </w:rPr>
        <w:t>µ</w:t>
      </w:r>
      <w:r w:rsidR="0093788C" w:rsidRPr="57352DF8">
        <w:t>g/L</w:t>
      </w:r>
      <w:r w:rsidR="005C78D7" w:rsidRPr="57352DF8">
        <w:t xml:space="preserve">; </w:t>
      </w:r>
      <w:r w:rsidR="0093788C" w:rsidRPr="57352DF8">
        <w:t>thus</w:t>
      </w:r>
      <w:r w:rsidR="005C78D7" w:rsidRPr="57352DF8">
        <w:t>,</w:t>
      </w:r>
      <w:r w:rsidR="0093788C" w:rsidRPr="57352DF8">
        <w:t xml:space="preserve"> the </w:t>
      </w:r>
      <w:r w:rsidR="005C78D7" w:rsidRPr="57352DF8">
        <w:t xml:space="preserve">lowest </w:t>
      </w:r>
      <w:r w:rsidR="0093788C" w:rsidRPr="57352DF8">
        <w:t xml:space="preserve">value of </w:t>
      </w:r>
      <w:r w:rsidR="005C78D7" w:rsidRPr="57352DF8">
        <w:t>3.9</w:t>
      </w:r>
      <w:r w:rsidR="0093788C" w:rsidRPr="57352DF8">
        <w:t> </w:t>
      </w:r>
      <w:r w:rsidR="0093788C" w:rsidRPr="57352DF8">
        <w:rPr>
          <w:rFonts w:cs="Calibri"/>
        </w:rPr>
        <w:t>µ</w:t>
      </w:r>
      <w:r w:rsidR="0093788C" w:rsidRPr="57352DF8">
        <w:t>g/L would be adopted as the lowest geometric</w:t>
      </w:r>
      <w:r w:rsidR="007F1C9A">
        <w:t>-</w:t>
      </w:r>
      <w:r w:rsidR="0093788C" w:rsidRPr="57352DF8">
        <w:t xml:space="preserve">mean value for </w:t>
      </w:r>
      <w:r w:rsidR="00F52C6F" w:rsidRPr="57352DF8">
        <w:t>the immobilisation</w:t>
      </w:r>
      <w:r w:rsidR="0093788C" w:rsidRPr="57352DF8">
        <w:t xml:space="preserve"> endpoint.</w:t>
      </w:r>
      <w:bookmarkStart w:id="97" w:name="_Ref520276577"/>
    </w:p>
    <w:p w14:paraId="1D8C50B8" w14:textId="369CB59F" w:rsidR="00A46906" w:rsidRDefault="00A46906" w:rsidP="00E93A24">
      <w:pPr>
        <w:pStyle w:val="ListBullet"/>
      </w:pPr>
      <w:r w:rsidRPr="57352DF8">
        <w:t>Determine the lowest value for each species (</w:t>
      </w:r>
      <w:r w:rsidRPr="00FC28C6">
        <w:t>column</w:t>
      </w:r>
      <w:r w:rsidRPr="57352DF8">
        <w:t xml:space="preserve"> </w:t>
      </w:r>
      <w:r>
        <w:t>8</w:t>
      </w:r>
      <w:r w:rsidRPr="57352DF8">
        <w:t xml:space="preserve">, </w:t>
      </w:r>
      <w:r>
        <w:fldChar w:fldCharType="begin"/>
      </w:r>
      <w:r>
        <w:instrText xml:space="preserve"> REF _Ref520276577 \h </w:instrText>
      </w:r>
      <w:r>
        <w:fldChar w:fldCharType="separate"/>
      </w:r>
      <w:r w:rsidR="006C5761">
        <w:rPr>
          <w:b/>
          <w:bCs/>
          <w:lang w:val="en-US"/>
        </w:rPr>
        <w:t>Error! Not a valid bookmark self-reference.</w:t>
      </w:r>
      <w:r>
        <w:fldChar w:fldCharType="end"/>
      </w:r>
      <w:r w:rsidRPr="57352DF8">
        <w:t>). The lowest endpoint value is adopted as the toxicity value to represent the sensitivity of the species in the final dataset. For example, there are</w:t>
      </w:r>
      <w:r w:rsidR="00C64837">
        <w:t xml:space="preserve"> 4</w:t>
      </w:r>
      <w:r w:rsidRPr="57352DF8">
        <w:t xml:space="preserve"> </w:t>
      </w:r>
      <w:r w:rsidRPr="57352DF8">
        <w:rPr>
          <w:i/>
          <w:iCs/>
        </w:rPr>
        <w:t>C. dubia</w:t>
      </w:r>
      <w:r w:rsidRPr="57352DF8">
        <w:t xml:space="preserve"> endpoint combinations (</w:t>
      </w:r>
      <w:r>
        <w:t xml:space="preserve">development, </w:t>
      </w:r>
      <w:r w:rsidRPr="57352DF8">
        <w:t>growth, immobilisation</w:t>
      </w:r>
      <w:r w:rsidR="0083255B">
        <w:t>,</w:t>
      </w:r>
      <w:r w:rsidRPr="57352DF8">
        <w:t xml:space="preserve"> reproduction) with toxicity values of </w:t>
      </w:r>
      <w:r>
        <w:t>5.1</w:t>
      </w:r>
      <w:r w:rsidR="008830C9" w:rsidRPr="57352DF8">
        <w:t> </w:t>
      </w:r>
      <w:r w:rsidR="008830C9" w:rsidRPr="57352DF8">
        <w:rPr>
          <w:rFonts w:cs="Calibri"/>
        </w:rPr>
        <w:t>µ</w:t>
      </w:r>
      <w:r w:rsidR="008830C9" w:rsidRPr="57352DF8">
        <w:t>g/L</w:t>
      </w:r>
      <w:r>
        <w:t xml:space="preserve">, </w:t>
      </w:r>
      <w:r w:rsidRPr="57352DF8">
        <w:t>7</w:t>
      </w:r>
      <w:r w:rsidR="008830C9" w:rsidRPr="57352DF8">
        <w:t> </w:t>
      </w:r>
      <w:r w:rsidR="008830C9" w:rsidRPr="57352DF8">
        <w:rPr>
          <w:rFonts w:cs="Calibri"/>
        </w:rPr>
        <w:t>µ</w:t>
      </w:r>
      <w:r w:rsidR="008830C9" w:rsidRPr="57352DF8">
        <w:t>g/L</w:t>
      </w:r>
      <w:r w:rsidRPr="57352DF8">
        <w:t>, 3.9</w:t>
      </w:r>
      <w:r w:rsidR="008830C9" w:rsidRPr="57352DF8">
        <w:t> </w:t>
      </w:r>
      <w:r w:rsidR="008830C9" w:rsidRPr="57352DF8">
        <w:rPr>
          <w:rFonts w:cs="Calibri"/>
        </w:rPr>
        <w:t>µ</w:t>
      </w:r>
      <w:r w:rsidR="008830C9" w:rsidRPr="57352DF8">
        <w:t>g/L</w:t>
      </w:r>
      <w:r w:rsidRPr="57352DF8">
        <w:t xml:space="preserve"> and 0.19 </w:t>
      </w:r>
      <w:r w:rsidRPr="57352DF8">
        <w:rPr>
          <w:rFonts w:cs="Calibri"/>
        </w:rPr>
        <w:t>µ</w:t>
      </w:r>
      <w:r w:rsidRPr="57352DF8">
        <w:t>g/L, respectively. Thus, the value of 0.19 </w:t>
      </w:r>
      <w:r w:rsidRPr="57352DF8">
        <w:rPr>
          <w:rFonts w:cs="Calibri"/>
        </w:rPr>
        <w:t>µ</w:t>
      </w:r>
      <w:r w:rsidRPr="57352DF8">
        <w:t xml:space="preserve">g/L for reproduction would be adopted as the toxicity value for </w:t>
      </w:r>
      <w:r w:rsidRPr="57352DF8">
        <w:rPr>
          <w:i/>
          <w:iCs/>
        </w:rPr>
        <w:t>C.</w:t>
      </w:r>
      <w:r w:rsidR="00B8089C">
        <w:rPr>
          <w:i/>
          <w:iCs/>
        </w:rPr>
        <w:t> </w:t>
      </w:r>
      <w:r w:rsidRPr="57352DF8">
        <w:rPr>
          <w:i/>
          <w:iCs/>
        </w:rPr>
        <w:t>dubia</w:t>
      </w:r>
      <w:r w:rsidRPr="57352DF8">
        <w:t>.</w:t>
      </w:r>
    </w:p>
    <w:p w14:paraId="03DCE3B6" w14:textId="77777777" w:rsidR="00BA0672" w:rsidRDefault="00BA0672" w:rsidP="00BA0672"/>
    <w:p w14:paraId="3A12ACAD" w14:textId="4BA12112" w:rsidR="00217AC6" w:rsidRPr="0093788C" w:rsidRDefault="00217AC6" w:rsidP="00217AC6">
      <w:pPr>
        <w:pStyle w:val="Caption"/>
      </w:pPr>
      <w:bookmarkStart w:id="98" w:name="_Ref205558538"/>
      <w:bookmarkStart w:id="99" w:name="_Toc206085217"/>
      <w:r w:rsidRPr="57352DF8">
        <w:lastRenderedPageBreak/>
        <w:t>Table</w:t>
      </w:r>
      <w:r w:rsidR="0065094E">
        <w:t> </w:t>
      </w:r>
      <w:r w:rsidRPr="57352DF8">
        <w:rPr>
          <w:noProof/>
        </w:rPr>
        <w:fldChar w:fldCharType="begin"/>
      </w:r>
      <w:r w:rsidRPr="57352DF8">
        <w:rPr>
          <w:noProof/>
        </w:rPr>
        <w:instrText xml:space="preserve"> SEQ Table \* ARABIC </w:instrText>
      </w:r>
      <w:r w:rsidRPr="57352DF8">
        <w:rPr>
          <w:noProof/>
        </w:rPr>
        <w:fldChar w:fldCharType="separate"/>
      </w:r>
      <w:r w:rsidR="006C5761">
        <w:rPr>
          <w:noProof/>
        </w:rPr>
        <w:t>4</w:t>
      </w:r>
      <w:r w:rsidRPr="57352DF8">
        <w:rPr>
          <w:noProof/>
        </w:rPr>
        <w:fldChar w:fldCharType="end"/>
      </w:r>
      <w:bookmarkEnd w:id="97"/>
      <w:bookmarkEnd w:id="98"/>
      <w:r w:rsidRPr="57352DF8">
        <w:t xml:space="preserve"> Example of the application of data</w:t>
      </w:r>
      <w:r w:rsidR="0030477D">
        <w:t>-</w:t>
      </w:r>
      <w:r w:rsidRPr="57352DF8">
        <w:t xml:space="preserve">manipulation rules to obtain a single toxicity value for a species </w:t>
      </w:r>
      <w:r w:rsidR="0065094E">
        <w:t>–</w:t>
      </w:r>
      <w:r w:rsidRPr="57352DF8">
        <w:t xml:space="preserve"> in this case the microcrustacean </w:t>
      </w:r>
      <w:r w:rsidRPr="57352DF8">
        <w:rPr>
          <w:rFonts w:ascii="Calibri" w:eastAsia="Times New Roman" w:hAnsi="Calibri"/>
          <w:i/>
          <w:iCs/>
        </w:rPr>
        <w:t>Ceriodaphnia</w:t>
      </w:r>
      <w:r w:rsidRPr="57352DF8">
        <w:rPr>
          <w:rFonts w:ascii="Calibri" w:eastAsia="Times New Roman" w:hAnsi="Calibri"/>
        </w:rPr>
        <w:t xml:space="preserve"> cf. </w:t>
      </w:r>
      <w:r w:rsidRPr="57352DF8">
        <w:rPr>
          <w:rFonts w:ascii="Calibri" w:eastAsia="Times New Roman" w:hAnsi="Calibri"/>
          <w:i/>
          <w:iCs/>
        </w:rPr>
        <w:t>dubia</w:t>
      </w:r>
      <w:bookmarkEnd w:id="99"/>
    </w:p>
    <w:tbl>
      <w:tblPr>
        <w:tblW w:w="4997" w:type="pct"/>
        <w:tblBorders>
          <w:top w:val="single" w:sz="4" w:space="0" w:color="auto"/>
          <w:bottom w:val="single" w:sz="4" w:space="0" w:color="auto"/>
        </w:tblBorders>
        <w:tblLayout w:type="fixed"/>
        <w:tblLook w:val="00A0" w:firstRow="1" w:lastRow="0" w:firstColumn="1" w:lastColumn="0" w:noHBand="0" w:noVBand="0"/>
        <w:tblCaption w:val="Example of the application of data manipulation rules to obtain a single toxicity value (microcrustacean Daphnia carinata)"/>
        <w:tblDescription w:val="Table shows how the data manipulation rules apply to Daphnia carinata and how these rules are used to calculate the lowest value for that species. The lowest EC10 value is taken from each duration and is carried forward. Out of these values, the lowest EC10 is taken from each endpoint. The lowest value of the 3 endpoints is then carried forward as the lowest EC10 value for that species."/>
      </w:tblPr>
      <w:tblGrid>
        <w:gridCol w:w="400"/>
        <w:gridCol w:w="1318"/>
        <w:gridCol w:w="1146"/>
        <w:gridCol w:w="852"/>
        <w:gridCol w:w="1041"/>
        <w:gridCol w:w="905"/>
        <w:gridCol w:w="1525"/>
        <w:gridCol w:w="1015"/>
        <w:gridCol w:w="863"/>
      </w:tblGrid>
      <w:tr w:rsidR="0030477D" w:rsidRPr="00576C4A" w14:paraId="08B36C2E" w14:textId="77777777" w:rsidTr="00B8089C">
        <w:trPr>
          <w:cantSplit/>
          <w:tblHeader/>
        </w:trPr>
        <w:tc>
          <w:tcPr>
            <w:tcW w:w="221" w:type="pct"/>
            <w:tcBorders>
              <w:top w:val="single" w:sz="12" w:space="0" w:color="auto"/>
              <w:bottom w:val="nil"/>
            </w:tcBorders>
          </w:tcPr>
          <w:p w14:paraId="79773233" w14:textId="77777777" w:rsidR="00217AC6" w:rsidRPr="00576C4A" w:rsidRDefault="00217AC6" w:rsidP="0030477D">
            <w:pPr>
              <w:pStyle w:val="TableHeading"/>
            </w:pPr>
          </w:p>
        </w:tc>
        <w:tc>
          <w:tcPr>
            <w:tcW w:w="727" w:type="pct"/>
            <w:tcBorders>
              <w:top w:val="single" w:sz="12" w:space="0" w:color="auto"/>
              <w:bottom w:val="nil"/>
            </w:tcBorders>
            <w:vAlign w:val="center"/>
          </w:tcPr>
          <w:p w14:paraId="6CCDC80F" w14:textId="77777777" w:rsidR="00217AC6" w:rsidRPr="00576C4A" w:rsidRDefault="00217AC6" w:rsidP="0030477D">
            <w:pPr>
              <w:pStyle w:val="TableHeading"/>
            </w:pPr>
            <w:r w:rsidRPr="00576C4A">
              <w:t>1</w:t>
            </w:r>
          </w:p>
        </w:tc>
        <w:tc>
          <w:tcPr>
            <w:tcW w:w="632" w:type="pct"/>
            <w:tcBorders>
              <w:top w:val="single" w:sz="12" w:space="0" w:color="auto"/>
              <w:bottom w:val="nil"/>
            </w:tcBorders>
            <w:vAlign w:val="center"/>
          </w:tcPr>
          <w:p w14:paraId="2D80D91E" w14:textId="77777777" w:rsidR="00217AC6" w:rsidRPr="00576C4A" w:rsidRDefault="00217AC6" w:rsidP="0030477D">
            <w:pPr>
              <w:pStyle w:val="TableHeading"/>
            </w:pPr>
            <w:r w:rsidRPr="00576C4A">
              <w:t>2</w:t>
            </w:r>
          </w:p>
        </w:tc>
        <w:tc>
          <w:tcPr>
            <w:tcW w:w="470" w:type="pct"/>
            <w:tcBorders>
              <w:top w:val="single" w:sz="12" w:space="0" w:color="auto"/>
              <w:bottom w:val="nil"/>
            </w:tcBorders>
          </w:tcPr>
          <w:p w14:paraId="43161C81" w14:textId="77777777" w:rsidR="00217AC6" w:rsidRPr="00576C4A" w:rsidRDefault="00217AC6" w:rsidP="0030477D">
            <w:pPr>
              <w:pStyle w:val="TableHeading"/>
            </w:pPr>
            <w:r>
              <w:t>3</w:t>
            </w:r>
          </w:p>
        </w:tc>
        <w:tc>
          <w:tcPr>
            <w:tcW w:w="574" w:type="pct"/>
            <w:tcBorders>
              <w:top w:val="single" w:sz="12" w:space="0" w:color="auto"/>
              <w:bottom w:val="nil"/>
            </w:tcBorders>
            <w:vAlign w:val="center"/>
          </w:tcPr>
          <w:p w14:paraId="42505B14" w14:textId="77777777" w:rsidR="00217AC6" w:rsidRPr="00576C4A" w:rsidRDefault="00217AC6" w:rsidP="0030477D">
            <w:pPr>
              <w:pStyle w:val="TableHeading"/>
            </w:pPr>
            <w:r>
              <w:t>4</w:t>
            </w:r>
          </w:p>
        </w:tc>
        <w:tc>
          <w:tcPr>
            <w:tcW w:w="499" w:type="pct"/>
            <w:tcBorders>
              <w:top w:val="single" w:sz="12" w:space="0" w:color="auto"/>
              <w:bottom w:val="nil"/>
            </w:tcBorders>
            <w:vAlign w:val="center"/>
          </w:tcPr>
          <w:p w14:paraId="1FC2DC6B" w14:textId="77777777" w:rsidR="00217AC6" w:rsidRPr="00576C4A" w:rsidRDefault="00217AC6" w:rsidP="0030477D">
            <w:pPr>
              <w:pStyle w:val="TableHeading"/>
            </w:pPr>
            <w:r>
              <w:t>5</w:t>
            </w:r>
          </w:p>
        </w:tc>
        <w:tc>
          <w:tcPr>
            <w:tcW w:w="841" w:type="pct"/>
            <w:tcBorders>
              <w:top w:val="single" w:sz="12" w:space="0" w:color="auto"/>
              <w:bottom w:val="nil"/>
            </w:tcBorders>
            <w:vAlign w:val="center"/>
          </w:tcPr>
          <w:p w14:paraId="118EB9A9" w14:textId="77777777" w:rsidR="00217AC6" w:rsidRPr="00576C4A" w:rsidRDefault="00217AC6" w:rsidP="0030477D">
            <w:pPr>
              <w:pStyle w:val="TableHeading"/>
            </w:pPr>
            <w:r>
              <w:t>6</w:t>
            </w:r>
          </w:p>
        </w:tc>
        <w:tc>
          <w:tcPr>
            <w:tcW w:w="560" w:type="pct"/>
            <w:tcBorders>
              <w:top w:val="single" w:sz="12" w:space="0" w:color="auto"/>
              <w:bottom w:val="nil"/>
            </w:tcBorders>
            <w:vAlign w:val="center"/>
          </w:tcPr>
          <w:p w14:paraId="2B753222" w14:textId="77777777" w:rsidR="00217AC6" w:rsidRPr="00576C4A" w:rsidRDefault="00217AC6" w:rsidP="0030477D">
            <w:pPr>
              <w:pStyle w:val="TableHeading"/>
            </w:pPr>
            <w:r>
              <w:t>7</w:t>
            </w:r>
          </w:p>
        </w:tc>
        <w:tc>
          <w:tcPr>
            <w:tcW w:w="477" w:type="pct"/>
            <w:tcBorders>
              <w:top w:val="single" w:sz="12" w:space="0" w:color="auto"/>
              <w:bottom w:val="nil"/>
            </w:tcBorders>
            <w:vAlign w:val="center"/>
          </w:tcPr>
          <w:p w14:paraId="4A10FC7F" w14:textId="77777777" w:rsidR="00217AC6" w:rsidRPr="00576C4A" w:rsidRDefault="00217AC6" w:rsidP="0030477D">
            <w:pPr>
              <w:pStyle w:val="TableHeading"/>
            </w:pPr>
            <w:r>
              <w:t>8</w:t>
            </w:r>
          </w:p>
        </w:tc>
      </w:tr>
      <w:tr w:rsidR="00EF2A7E" w:rsidRPr="00576C4A" w14:paraId="290870C3" w14:textId="77777777" w:rsidTr="00B8089C">
        <w:trPr>
          <w:cantSplit/>
          <w:tblHeader/>
        </w:trPr>
        <w:tc>
          <w:tcPr>
            <w:tcW w:w="221" w:type="pct"/>
            <w:tcBorders>
              <w:top w:val="nil"/>
              <w:bottom w:val="single" w:sz="12" w:space="0" w:color="auto"/>
            </w:tcBorders>
            <w:vAlign w:val="center"/>
          </w:tcPr>
          <w:p w14:paraId="6649E498" w14:textId="77777777" w:rsidR="00217AC6" w:rsidRPr="00576C4A" w:rsidRDefault="00217AC6" w:rsidP="00EF2A7E">
            <w:pPr>
              <w:pStyle w:val="TableHeading"/>
            </w:pPr>
          </w:p>
        </w:tc>
        <w:tc>
          <w:tcPr>
            <w:tcW w:w="727" w:type="pct"/>
            <w:tcBorders>
              <w:top w:val="nil"/>
              <w:bottom w:val="single" w:sz="12" w:space="0" w:color="auto"/>
            </w:tcBorders>
          </w:tcPr>
          <w:p w14:paraId="3D802C9E" w14:textId="2A5AAF0A" w:rsidR="00217AC6" w:rsidRPr="00EF2A7E" w:rsidRDefault="00217AC6" w:rsidP="00EF2A7E">
            <w:pPr>
              <w:pStyle w:val="TableHeading"/>
            </w:pPr>
            <w:r w:rsidRPr="00EF2A7E">
              <w:t>E</w:t>
            </w:r>
            <w:r w:rsidR="00EF2A7E" w:rsidRPr="00EF2A7E">
              <w:t>ndpoint</w:t>
            </w:r>
          </w:p>
        </w:tc>
        <w:tc>
          <w:tcPr>
            <w:tcW w:w="632" w:type="pct"/>
            <w:tcBorders>
              <w:top w:val="nil"/>
              <w:bottom w:val="single" w:sz="12" w:space="0" w:color="auto"/>
            </w:tcBorders>
          </w:tcPr>
          <w:p w14:paraId="793C7CF1" w14:textId="73F9DAF0" w:rsidR="00217AC6" w:rsidRPr="00EF2A7E" w:rsidRDefault="00217AC6" w:rsidP="00EF2A7E">
            <w:pPr>
              <w:pStyle w:val="TableHeading"/>
            </w:pPr>
            <w:r w:rsidRPr="00EF2A7E">
              <w:t>S</w:t>
            </w:r>
            <w:r w:rsidR="00EF2A7E" w:rsidRPr="00EF2A7E">
              <w:t>tatistical estimate of toxicity</w:t>
            </w:r>
          </w:p>
        </w:tc>
        <w:tc>
          <w:tcPr>
            <w:tcW w:w="470" w:type="pct"/>
            <w:tcBorders>
              <w:top w:val="nil"/>
              <w:bottom w:val="single" w:sz="12" w:space="0" w:color="auto"/>
            </w:tcBorders>
          </w:tcPr>
          <w:p w14:paraId="209217B3" w14:textId="53510DE4" w:rsidR="00217AC6" w:rsidRPr="00EF2A7E" w:rsidRDefault="00EF2A7E" w:rsidP="00EF2A7E">
            <w:pPr>
              <w:pStyle w:val="TableHeading"/>
            </w:pPr>
            <w:r w:rsidRPr="00EF2A7E">
              <w:t>Life stage</w:t>
            </w:r>
          </w:p>
        </w:tc>
        <w:tc>
          <w:tcPr>
            <w:tcW w:w="574" w:type="pct"/>
            <w:tcBorders>
              <w:top w:val="nil"/>
              <w:bottom w:val="single" w:sz="12" w:space="0" w:color="auto"/>
            </w:tcBorders>
          </w:tcPr>
          <w:p w14:paraId="1FA3E1F4" w14:textId="678EC276" w:rsidR="00217AC6" w:rsidRPr="00EF2A7E" w:rsidRDefault="00EF2A7E" w:rsidP="00EF2A7E">
            <w:pPr>
              <w:pStyle w:val="TableHeading"/>
            </w:pPr>
            <w:r w:rsidRPr="00EF2A7E">
              <w:t xml:space="preserve">Duration </w:t>
            </w:r>
            <w:r w:rsidR="00217AC6" w:rsidRPr="00EF2A7E">
              <w:t>(h)</w:t>
            </w:r>
          </w:p>
        </w:tc>
        <w:tc>
          <w:tcPr>
            <w:tcW w:w="499" w:type="pct"/>
            <w:tcBorders>
              <w:top w:val="nil"/>
              <w:bottom w:val="single" w:sz="12" w:space="0" w:color="auto"/>
            </w:tcBorders>
          </w:tcPr>
          <w:p w14:paraId="6D2022C2" w14:textId="6AC71284" w:rsidR="00217AC6" w:rsidRPr="00EF2A7E" w:rsidRDefault="00217AC6" w:rsidP="00EF2A7E">
            <w:pPr>
              <w:pStyle w:val="TableHeading"/>
            </w:pPr>
            <w:r w:rsidRPr="00EF2A7E">
              <w:t>T</w:t>
            </w:r>
            <w:r w:rsidR="00EF2A7E" w:rsidRPr="00EF2A7E">
              <w:t>oxicity value</w:t>
            </w:r>
            <w:r w:rsidRPr="00EF2A7E">
              <w:t xml:space="preserve"> (µg/L)</w:t>
            </w:r>
          </w:p>
        </w:tc>
        <w:tc>
          <w:tcPr>
            <w:tcW w:w="841" w:type="pct"/>
            <w:tcBorders>
              <w:top w:val="nil"/>
              <w:bottom w:val="single" w:sz="12" w:space="0" w:color="auto"/>
            </w:tcBorders>
          </w:tcPr>
          <w:p w14:paraId="04E25382" w14:textId="721E3023" w:rsidR="00217AC6" w:rsidRPr="00EF2A7E" w:rsidRDefault="00217AC6" w:rsidP="00EF2A7E">
            <w:pPr>
              <w:pStyle w:val="TableHeading"/>
            </w:pPr>
            <w:r w:rsidRPr="00EF2A7E">
              <w:t>V</w:t>
            </w:r>
            <w:r w:rsidR="00EF2A7E" w:rsidRPr="00EF2A7E">
              <w:t>alue for each combination of endpoint, estimate of toxicity, life stage and duration</w:t>
            </w:r>
            <w:r w:rsidRPr="00EF2A7E">
              <w:t xml:space="preserve"> (µg/L)</w:t>
            </w:r>
          </w:p>
        </w:tc>
        <w:tc>
          <w:tcPr>
            <w:tcW w:w="560" w:type="pct"/>
            <w:tcBorders>
              <w:top w:val="nil"/>
              <w:bottom w:val="single" w:sz="12" w:space="0" w:color="auto"/>
            </w:tcBorders>
          </w:tcPr>
          <w:p w14:paraId="79AA4C68" w14:textId="0B2994FF" w:rsidR="00217AC6" w:rsidRPr="00EF2A7E" w:rsidRDefault="00217AC6" w:rsidP="00EF2A7E">
            <w:pPr>
              <w:pStyle w:val="TableHeading"/>
            </w:pPr>
            <w:r w:rsidRPr="00EF2A7E">
              <w:t>L</w:t>
            </w:r>
            <w:r w:rsidR="00EF2A7E" w:rsidRPr="00EF2A7E">
              <w:t xml:space="preserve">owest value for each endpoint </w:t>
            </w:r>
            <w:r w:rsidRPr="00EF2A7E">
              <w:t>(µg/L)</w:t>
            </w:r>
          </w:p>
        </w:tc>
        <w:tc>
          <w:tcPr>
            <w:tcW w:w="477" w:type="pct"/>
            <w:tcBorders>
              <w:top w:val="nil"/>
              <w:bottom w:val="single" w:sz="12" w:space="0" w:color="auto"/>
            </w:tcBorders>
          </w:tcPr>
          <w:p w14:paraId="15423C1A" w14:textId="5545ABDD" w:rsidR="00217AC6" w:rsidRPr="00EF2A7E" w:rsidRDefault="00EF2A7E" w:rsidP="00EF2A7E">
            <w:pPr>
              <w:pStyle w:val="TableHeading"/>
            </w:pPr>
            <w:r w:rsidRPr="00EF2A7E">
              <w:t>Lowest value for species</w:t>
            </w:r>
            <w:r w:rsidR="00217AC6" w:rsidRPr="00EF2A7E">
              <w:t xml:space="preserve"> (µg/L)</w:t>
            </w:r>
          </w:p>
        </w:tc>
      </w:tr>
      <w:tr w:rsidR="00217AC6" w:rsidRPr="00946557" w14:paraId="315E4F67" w14:textId="77777777" w:rsidTr="00B8089C">
        <w:trPr>
          <w:cantSplit/>
        </w:trPr>
        <w:tc>
          <w:tcPr>
            <w:tcW w:w="221" w:type="pct"/>
            <w:tcBorders>
              <w:top w:val="single" w:sz="12" w:space="0" w:color="auto"/>
              <w:bottom w:val="single" w:sz="4" w:space="0" w:color="auto"/>
            </w:tcBorders>
            <w:vAlign w:val="center"/>
          </w:tcPr>
          <w:p w14:paraId="43DAAEF9" w14:textId="77777777" w:rsidR="00217AC6" w:rsidRPr="00576C4A" w:rsidRDefault="00217AC6" w:rsidP="00EF2A7E">
            <w:pPr>
              <w:pStyle w:val="TableText"/>
            </w:pPr>
            <w:r>
              <w:t>1</w:t>
            </w:r>
          </w:p>
        </w:tc>
        <w:tc>
          <w:tcPr>
            <w:tcW w:w="727" w:type="pct"/>
            <w:tcBorders>
              <w:top w:val="single" w:sz="12" w:space="0" w:color="auto"/>
              <w:bottom w:val="single" w:sz="4" w:space="0" w:color="auto"/>
            </w:tcBorders>
            <w:vAlign w:val="center"/>
          </w:tcPr>
          <w:p w14:paraId="377760E5" w14:textId="77777777" w:rsidR="00217AC6" w:rsidRPr="00946557" w:rsidRDefault="00217AC6" w:rsidP="00EF2A7E">
            <w:pPr>
              <w:pStyle w:val="TableText"/>
            </w:pPr>
            <w:r>
              <w:t>Development</w:t>
            </w:r>
          </w:p>
        </w:tc>
        <w:tc>
          <w:tcPr>
            <w:tcW w:w="632" w:type="pct"/>
            <w:tcBorders>
              <w:top w:val="single" w:sz="12" w:space="0" w:color="auto"/>
              <w:bottom w:val="single" w:sz="4" w:space="0" w:color="auto"/>
            </w:tcBorders>
            <w:vAlign w:val="center"/>
          </w:tcPr>
          <w:p w14:paraId="79CD143E" w14:textId="77777777" w:rsidR="00217AC6" w:rsidRPr="00946557" w:rsidRDefault="00217AC6" w:rsidP="00EF2A7E">
            <w:pPr>
              <w:pStyle w:val="TableText"/>
            </w:pPr>
            <w:r>
              <w:t>NEC</w:t>
            </w:r>
          </w:p>
        </w:tc>
        <w:tc>
          <w:tcPr>
            <w:tcW w:w="470" w:type="pct"/>
            <w:tcBorders>
              <w:top w:val="single" w:sz="12" w:space="0" w:color="auto"/>
              <w:bottom w:val="single" w:sz="4" w:space="0" w:color="auto"/>
            </w:tcBorders>
            <w:vAlign w:val="center"/>
          </w:tcPr>
          <w:p w14:paraId="4B8E93AC" w14:textId="77777777" w:rsidR="00217AC6" w:rsidRDefault="00217AC6" w:rsidP="00EF2A7E">
            <w:pPr>
              <w:pStyle w:val="TableText"/>
            </w:pPr>
            <w:r>
              <w:t>Neonate</w:t>
            </w:r>
          </w:p>
        </w:tc>
        <w:tc>
          <w:tcPr>
            <w:tcW w:w="574" w:type="pct"/>
            <w:tcBorders>
              <w:top w:val="single" w:sz="12" w:space="0" w:color="auto"/>
              <w:bottom w:val="single" w:sz="4" w:space="0" w:color="auto"/>
            </w:tcBorders>
            <w:vAlign w:val="center"/>
          </w:tcPr>
          <w:p w14:paraId="37C3FEC8" w14:textId="77777777" w:rsidR="00217AC6" w:rsidRPr="00946557" w:rsidRDefault="00217AC6" w:rsidP="009E3507">
            <w:pPr>
              <w:pStyle w:val="TableText"/>
              <w:jc w:val="center"/>
            </w:pPr>
            <w:r w:rsidRPr="00946557">
              <w:t>168</w:t>
            </w:r>
          </w:p>
        </w:tc>
        <w:tc>
          <w:tcPr>
            <w:tcW w:w="499" w:type="pct"/>
            <w:tcBorders>
              <w:top w:val="single" w:sz="12" w:space="0" w:color="auto"/>
              <w:bottom w:val="single" w:sz="4" w:space="0" w:color="auto"/>
            </w:tcBorders>
            <w:vAlign w:val="center"/>
          </w:tcPr>
          <w:p w14:paraId="75121B90" w14:textId="77777777" w:rsidR="00217AC6" w:rsidRPr="00946557" w:rsidRDefault="00217AC6" w:rsidP="009E3507">
            <w:pPr>
              <w:pStyle w:val="TableText"/>
              <w:jc w:val="center"/>
            </w:pPr>
            <w:r>
              <w:t>5.1</w:t>
            </w:r>
          </w:p>
        </w:tc>
        <w:tc>
          <w:tcPr>
            <w:tcW w:w="841" w:type="pct"/>
            <w:tcBorders>
              <w:top w:val="single" w:sz="12" w:space="0" w:color="auto"/>
              <w:bottom w:val="single" w:sz="4" w:space="0" w:color="auto"/>
            </w:tcBorders>
            <w:vAlign w:val="center"/>
          </w:tcPr>
          <w:p w14:paraId="52B86C81" w14:textId="77777777" w:rsidR="00217AC6" w:rsidRPr="00946557" w:rsidRDefault="00217AC6" w:rsidP="009E3507">
            <w:pPr>
              <w:pStyle w:val="TableText"/>
              <w:jc w:val="center"/>
            </w:pPr>
            <w:r>
              <w:t>5.1</w:t>
            </w:r>
          </w:p>
        </w:tc>
        <w:tc>
          <w:tcPr>
            <w:tcW w:w="560" w:type="pct"/>
            <w:tcBorders>
              <w:top w:val="single" w:sz="12" w:space="0" w:color="auto"/>
            </w:tcBorders>
            <w:vAlign w:val="center"/>
          </w:tcPr>
          <w:p w14:paraId="0827812F" w14:textId="77777777" w:rsidR="00217AC6" w:rsidRPr="00946557" w:rsidRDefault="00217AC6" w:rsidP="009E3507">
            <w:pPr>
              <w:pStyle w:val="TableText"/>
              <w:jc w:val="center"/>
            </w:pPr>
            <w:r>
              <w:t>5.1</w:t>
            </w:r>
          </w:p>
        </w:tc>
        <w:tc>
          <w:tcPr>
            <w:tcW w:w="477" w:type="pct"/>
            <w:vMerge w:val="restart"/>
            <w:tcBorders>
              <w:top w:val="single" w:sz="12" w:space="0" w:color="auto"/>
            </w:tcBorders>
            <w:vAlign w:val="center"/>
          </w:tcPr>
          <w:p w14:paraId="6E93A643" w14:textId="77777777" w:rsidR="00217AC6" w:rsidRPr="00946557" w:rsidRDefault="00217AC6" w:rsidP="009E3507">
            <w:pPr>
              <w:pStyle w:val="TableText"/>
              <w:jc w:val="center"/>
            </w:pPr>
            <w:r w:rsidRPr="00946557">
              <w:t>0.19</w:t>
            </w:r>
          </w:p>
        </w:tc>
      </w:tr>
      <w:tr w:rsidR="00217AC6" w:rsidRPr="00946557" w14:paraId="0A61AEBC" w14:textId="77777777" w:rsidTr="00110D7C">
        <w:trPr>
          <w:cantSplit/>
        </w:trPr>
        <w:tc>
          <w:tcPr>
            <w:tcW w:w="221" w:type="pct"/>
            <w:tcBorders>
              <w:top w:val="single" w:sz="4" w:space="0" w:color="auto"/>
              <w:bottom w:val="single" w:sz="4" w:space="0" w:color="auto"/>
            </w:tcBorders>
            <w:vAlign w:val="center"/>
          </w:tcPr>
          <w:p w14:paraId="0A18EE06" w14:textId="77777777" w:rsidR="00217AC6" w:rsidRPr="00576C4A" w:rsidRDefault="00217AC6" w:rsidP="00EF2A7E">
            <w:pPr>
              <w:pStyle w:val="TableText"/>
            </w:pPr>
            <w:r>
              <w:t>2</w:t>
            </w:r>
          </w:p>
        </w:tc>
        <w:tc>
          <w:tcPr>
            <w:tcW w:w="727" w:type="pct"/>
            <w:tcBorders>
              <w:top w:val="single" w:sz="4" w:space="0" w:color="auto"/>
              <w:bottom w:val="single" w:sz="4" w:space="0" w:color="auto"/>
            </w:tcBorders>
            <w:vAlign w:val="center"/>
          </w:tcPr>
          <w:p w14:paraId="79701A38" w14:textId="77777777" w:rsidR="00217AC6" w:rsidRPr="00946557" w:rsidRDefault="00217AC6" w:rsidP="00EF2A7E">
            <w:pPr>
              <w:pStyle w:val="TableText"/>
            </w:pPr>
            <w:r w:rsidRPr="00946557">
              <w:t>Growth</w:t>
            </w:r>
          </w:p>
        </w:tc>
        <w:tc>
          <w:tcPr>
            <w:tcW w:w="632" w:type="pct"/>
            <w:tcBorders>
              <w:top w:val="single" w:sz="4" w:space="0" w:color="auto"/>
              <w:bottom w:val="single" w:sz="4" w:space="0" w:color="auto"/>
            </w:tcBorders>
            <w:vAlign w:val="center"/>
          </w:tcPr>
          <w:p w14:paraId="5CAABF77" w14:textId="77777777" w:rsidR="00217AC6" w:rsidRPr="00946557" w:rsidRDefault="00217AC6" w:rsidP="00EF2A7E">
            <w:pPr>
              <w:pStyle w:val="TableText"/>
            </w:pPr>
            <w:r w:rsidRPr="00946557">
              <w:t>EC10</w:t>
            </w:r>
          </w:p>
        </w:tc>
        <w:tc>
          <w:tcPr>
            <w:tcW w:w="470" w:type="pct"/>
            <w:tcBorders>
              <w:top w:val="single" w:sz="4" w:space="0" w:color="auto"/>
              <w:bottom w:val="single" w:sz="4" w:space="0" w:color="auto"/>
            </w:tcBorders>
            <w:vAlign w:val="center"/>
          </w:tcPr>
          <w:p w14:paraId="1D803271" w14:textId="77777777" w:rsidR="00217AC6" w:rsidRPr="00946557" w:rsidRDefault="00217AC6" w:rsidP="00EF2A7E">
            <w:pPr>
              <w:pStyle w:val="TableText"/>
            </w:pPr>
            <w:r>
              <w:t>Neonate</w:t>
            </w:r>
          </w:p>
        </w:tc>
        <w:tc>
          <w:tcPr>
            <w:tcW w:w="574" w:type="pct"/>
            <w:tcBorders>
              <w:top w:val="single" w:sz="4" w:space="0" w:color="auto"/>
              <w:bottom w:val="single" w:sz="4" w:space="0" w:color="auto"/>
            </w:tcBorders>
            <w:vAlign w:val="center"/>
          </w:tcPr>
          <w:p w14:paraId="5A1BD657" w14:textId="77777777" w:rsidR="00217AC6" w:rsidRPr="00946557" w:rsidRDefault="00217AC6" w:rsidP="009E3507">
            <w:pPr>
              <w:pStyle w:val="TableText"/>
              <w:jc w:val="center"/>
            </w:pPr>
            <w:r w:rsidRPr="00946557">
              <w:t>168</w:t>
            </w:r>
          </w:p>
        </w:tc>
        <w:tc>
          <w:tcPr>
            <w:tcW w:w="499" w:type="pct"/>
            <w:tcBorders>
              <w:top w:val="single" w:sz="4" w:space="0" w:color="auto"/>
              <w:bottom w:val="single" w:sz="4" w:space="0" w:color="auto"/>
            </w:tcBorders>
            <w:vAlign w:val="center"/>
          </w:tcPr>
          <w:p w14:paraId="78FAB7C5" w14:textId="77777777" w:rsidR="00217AC6" w:rsidRPr="00946557" w:rsidRDefault="00217AC6" w:rsidP="009E3507">
            <w:pPr>
              <w:pStyle w:val="TableText"/>
              <w:jc w:val="center"/>
            </w:pPr>
            <w:r w:rsidRPr="00946557">
              <w:t>7</w:t>
            </w:r>
          </w:p>
        </w:tc>
        <w:tc>
          <w:tcPr>
            <w:tcW w:w="841" w:type="pct"/>
            <w:tcBorders>
              <w:top w:val="single" w:sz="4" w:space="0" w:color="auto"/>
              <w:bottom w:val="single" w:sz="4" w:space="0" w:color="auto"/>
            </w:tcBorders>
            <w:vAlign w:val="center"/>
          </w:tcPr>
          <w:p w14:paraId="4568FD8C" w14:textId="77777777" w:rsidR="00217AC6" w:rsidRPr="00946557" w:rsidRDefault="00217AC6" w:rsidP="009E3507">
            <w:pPr>
              <w:pStyle w:val="TableText"/>
              <w:jc w:val="center"/>
            </w:pPr>
            <w:r w:rsidRPr="00946557">
              <w:t>7</w:t>
            </w:r>
          </w:p>
        </w:tc>
        <w:tc>
          <w:tcPr>
            <w:tcW w:w="560" w:type="pct"/>
            <w:vMerge w:val="restart"/>
            <w:tcBorders>
              <w:top w:val="single" w:sz="4" w:space="0" w:color="auto"/>
            </w:tcBorders>
            <w:vAlign w:val="center"/>
          </w:tcPr>
          <w:p w14:paraId="67D3BCCC" w14:textId="77777777" w:rsidR="00217AC6" w:rsidRPr="00946557" w:rsidRDefault="00217AC6" w:rsidP="009E3507">
            <w:pPr>
              <w:pStyle w:val="TableText"/>
              <w:jc w:val="center"/>
            </w:pPr>
            <w:r w:rsidRPr="00946557">
              <w:t>7</w:t>
            </w:r>
          </w:p>
        </w:tc>
        <w:tc>
          <w:tcPr>
            <w:tcW w:w="477" w:type="pct"/>
            <w:vMerge/>
            <w:vAlign w:val="center"/>
          </w:tcPr>
          <w:p w14:paraId="40FECF40" w14:textId="77777777" w:rsidR="00217AC6" w:rsidRPr="00946557" w:rsidRDefault="00217AC6" w:rsidP="004D7186"/>
        </w:tc>
      </w:tr>
      <w:tr w:rsidR="00217AC6" w:rsidRPr="00946557" w14:paraId="32FB0F0D" w14:textId="77777777" w:rsidTr="008928C8">
        <w:trPr>
          <w:cantSplit/>
        </w:trPr>
        <w:tc>
          <w:tcPr>
            <w:tcW w:w="221" w:type="pct"/>
            <w:tcBorders>
              <w:top w:val="single" w:sz="4" w:space="0" w:color="auto"/>
              <w:bottom w:val="single" w:sz="4" w:space="0" w:color="auto"/>
            </w:tcBorders>
            <w:vAlign w:val="center"/>
          </w:tcPr>
          <w:p w14:paraId="607905A9" w14:textId="77777777" w:rsidR="00217AC6" w:rsidRPr="00576C4A" w:rsidRDefault="00217AC6" w:rsidP="00EF2A7E">
            <w:pPr>
              <w:pStyle w:val="TableText"/>
            </w:pPr>
            <w:r>
              <w:t>3</w:t>
            </w:r>
          </w:p>
        </w:tc>
        <w:tc>
          <w:tcPr>
            <w:tcW w:w="727" w:type="pct"/>
            <w:tcBorders>
              <w:top w:val="single" w:sz="4" w:space="0" w:color="auto"/>
              <w:bottom w:val="single" w:sz="4" w:space="0" w:color="auto"/>
            </w:tcBorders>
            <w:vAlign w:val="center"/>
          </w:tcPr>
          <w:p w14:paraId="1DDB1A69" w14:textId="77777777" w:rsidR="00217AC6" w:rsidRPr="00946557" w:rsidRDefault="00217AC6" w:rsidP="00EF2A7E">
            <w:pPr>
              <w:pStyle w:val="TableText"/>
            </w:pPr>
            <w:r>
              <w:t>Growth</w:t>
            </w:r>
          </w:p>
        </w:tc>
        <w:tc>
          <w:tcPr>
            <w:tcW w:w="632" w:type="pct"/>
            <w:tcBorders>
              <w:top w:val="single" w:sz="4" w:space="0" w:color="auto"/>
              <w:bottom w:val="single" w:sz="4" w:space="0" w:color="auto"/>
            </w:tcBorders>
            <w:vAlign w:val="center"/>
          </w:tcPr>
          <w:p w14:paraId="7990E4D7" w14:textId="77777777" w:rsidR="00217AC6" w:rsidRPr="00946557" w:rsidRDefault="00217AC6" w:rsidP="00EF2A7E">
            <w:pPr>
              <w:pStyle w:val="TableText"/>
            </w:pPr>
            <w:r>
              <w:t>EC10</w:t>
            </w:r>
          </w:p>
        </w:tc>
        <w:tc>
          <w:tcPr>
            <w:tcW w:w="470" w:type="pct"/>
            <w:tcBorders>
              <w:top w:val="single" w:sz="4" w:space="0" w:color="auto"/>
              <w:bottom w:val="single" w:sz="4" w:space="0" w:color="auto"/>
            </w:tcBorders>
            <w:vAlign w:val="center"/>
          </w:tcPr>
          <w:p w14:paraId="46A7FCDF" w14:textId="77777777" w:rsidR="00217AC6" w:rsidRPr="00946557" w:rsidRDefault="00217AC6" w:rsidP="00EF2A7E">
            <w:pPr>
              <w:pStyle w:val="TableText"/>
            </w:pPr>
            <w:r>
              <w:t>Adult</w:t>
            </w:r>
          </w:p>
        </w:tc>
        <w:tc>
          <w:tcPr>
            <w:tcW w:w="574" w:type="pct"/>
            <w:tcBorders>
              <w:top w:val="single" w:sz="4" w:space="0" w:color="auto"/>
              <w:bottom w:val="single" w:sz="4" w:space="0" w:color="auto"/>
            </w:tcBorders>
            <w:vAlign w:val="center"/>
          </w:tcPr>
          <w:p w14:paraId="359CDF17" w14:textId="77777777" w:rsidR="00217AC6" w:rsidRPr="00946557" w:rsidRDefault="00217AC6" w:rsidP="009E3507">
            <w:pPr>
              <w:pStyle w:val="TableText"/>
              <w:jc w:val="center"/>
            </w:pPr>
            <w:r>
              <w:t>240</w:t>
            </w:r>
          </w:p>
        </w:tc>
        <w:tc>
          <w:tcPr>
            <w:tcW w:w="499" w:type="pct"/>
            <w:tcBorders>
              <w:top w:val="single" w:sz="4" w:space="0" w:color="auto"/>
              <w:bottom w:val="single" w:sz="4" w:space="0" w:color="auto"/>
            </w:tcBorders>
            <w:vAlign w:val="center"/>
          </w:tcPr>
          <w:p w14:paraId="5E27344B" w14:textId="77777777" w:rsidR="00217AC6" w:rsidRPr="00946557" w:rsidRDefault="00217AC6" w:rsidP="009E3507">
            <w:pPr>
              <w:pStyle w:val="TableText"/>
              <w:jc w:val="center"/>
            </w:pPr>
            <w:r>
              <w:t>23</w:t>
            </w:r>
          </w:p>
        </w:tc>
        <w:tc>
          <w:tcPr>
            <w:tcW w:w="841" w:type="pct"/>
            <w:tcBorders>
              <w:top w:val="single" w:sz="4" w:space="0" w:color="auto"/>
              <w:bottom w:val="single" w:sz="4" w:space="0" w:color="auto"/>
            </w:tcBorders>
            <w:vAlign w:val="center"/>
          </w:tcPr>
          <w:p w14:paraId="210E1144" w14:textId="77777777" w:rsidR="00217AC6" w:rsidRPr="00946557" w:rsidRDefault="00217AC6" w:rsidP="009E3507">
            <w:pPr>
              <w:pStyle w:val="TableText"/>
              <w:jc w:val="center"/>
            </w:pPr>
            <w:r>
              <w:t>23</w:t>
            </w:r>
          </w:p>
        </w:tc>
        <w:tc>
          <w:tcPr>
            <w:tcW w:w="560" w:type="pct"/>
            <w:vMerge/>
            <w:tcBorders>
              <w:bottom w:val="single" w:sz="4" w:space="0" w:color="auto"/>
            </w:tcBorders>
            <w:vAlign w:val="center"/>
          </w:tcPr>
          <w:p w14:paraId="33B92662" w14:textId="77777777" w:rsidR="00217AC6" w:rsidRPr="00946557" w:rsidRDefault="00217AC6" w:rsidP="009E3507">
            <w:pPr>
              <w:pStyle w:val="TableText"/>
              <w:jc w:val="center"/>
            </w:pPr>
          </w:p>
        </w:tc>
        <w:tc>
          <w:tcPr>
            <w:tcW w:w="477" w:type="pct"/>
            <w:vMerge/>
            <w:vAlign w:val="center"/>
          </w:tcPr>
          <w:p w14:paraId="61025EC8" w14:textId="77777777" w:rsidR="00217AC6" w:rsidRPr="00946557" w:rsidRDefault="00217AC6" w:rsidP="004D7186"/>
        </w:tc>
      </w:tr>
      <w:tr w:rsidR="00217AC6" w:rsidRPr="00946557" w14:paraId="6B3B6AC6" w14:textId="77777777" w:rsidTr="008928C8">
        <w:trPr>
          <w:cantSplit/>
        </w:trPr>
        <w:tc>
          <w:tcPr>
            <w:tcW w:w="221" w:type="pct"/>
            <w:tcBorders>
              <w:top w:val="single" w:sz="4" w:space="0" w:color="auto"/>
              <w:bottom w:val="single" w:sz="4" w:space="0" w:color="auto"/>
            </w:tcBorders>
            <w:vAlign w:val="center"/>
          </w:tcPr>
          <w:p w14:paraId="647D2AE1" w14:textId="77777777" w:rsidR="00217AC6" w:rsidRPr="00576C4A" w:rsidRDefault="00217AC6" w:rsidP="00EF2A7E">
            <w:pPr>
              <w:pStyle w:val="TableText"/>
            </w:pPr>
            <w:r>
              <w:t>4</w:t>
            </w:r>
          </w:p>
        </w:tc>
        <w:tc>
          <w:tcPr>
            <w:tcW w:w="727" w:type="pct"/>
            <w:tcBorders>
              <w:top w:val="single" w:sz="4" w:space="0" w:color="auto"/>
              <w:bottom w:val="single" w:sz="4" w:space="0" w:color="auto"/>
            </w:tcBorders>
            <w:vAlign w:val="center"/>
          </w:tcPr>
          <w:p w14:paraId="30E2ECAE" w14:textId="77777777" w:rsidR="00217AC6" w:rsidRPr="00946557" w:rsidRDefault="00217AC6" w:rsidP="00EF2A7E">
            <w:pPr>
              <w:pStyle w:val="TableText"/>
            </w:pPr>
            <w:r w:rsidRPr="00946557">
              <w:t>Immobilisation</w:t>
            </w:r>
          </w:p>
        </w:tc>
        <w:tc>
          <w:tcPr>
            <w:tcW w:w="632" w:type="pct"/>
            <w:tcBorders>
              <w:top w:val="single" w:sz="4" w:space="0" w:color="auto"/>
              <w:bottom w:val="single" w:sz="4" w:space="0" w:color="auto"/>
            </w:tcBorders>
            <w:vAlign w:val="center"/>
          </w:tcPr>
          <w:p w14:paraId="0C9E9B1E" w14:textId="77777777" w:rsidR="00217AC6" w:rsidRPr="00946557" w:rsidRDefault="00217AC6" w:rsidP="00EF2A7E">
            <w:pPr>
              <w:pStyle w:val="TableText"/>
            </w:pPr>
            <w:r w:rsidRPr="00946557">
              <w:t>EC10</w:t>
            </w:r>
          </w:p>
        </w:tc>
        <w:tc>
          <w:tcPr>
            <w:tcW w:w="470" w:type="pct"/>
            <w:tcBorders>
              <w:top w:val="single" w:sz="4" w:space="0" w:color="auto"/>
              <w:bottom w:val="single" w:sz="4" w:space="0" w:color="auto"/>
            </w:tcBorders>
            <w:vAlign w:val="center"/>
          </w:tcPr>
          <w:p w14:paraId="3BB18173" w14:textId="77777777" w:rsidR="00217AC6" w:rsidRPr="00946557" w:rsidRDefault="00217AC6" w:rsidP="00EF2A7E">
            <w:pPr>
              <w:pStyle w:val="TableText"/>
            </w:pPr>
            <w:r w:rsidRPr="00EB3818">
              <w:t>Neonate</w:t>
            </w:r>
          </w:p>
        </w:tc>
        <w:tc>
          <w:tcPr>
            <w:tcW w:w="574" w:type="pct"/>
            <w:tcBorders>
              <w:top w:val="single" w:sz="4" w:space="0" w:color="auto"/>
              <w:bottom w:val="single" w:sz="4" w:space="0" w:color="auto"/>
            </w:tcBorders>
            <w:vAlign w:val="center"/>
          </w:tcPr>
          <w:p w14:paraId="23BFF16B" w14:textId="77777777" w:rsidR="00217AC6" w:rsidRPr="00946557" w:rsidRDefault="00217AC6" w:rsidP="009E3507">
            <w:pPr>
              <w:pStyle w:val="TableText"/>
              <w:jc w:val="center"/>
            </w:pPr>
            <w:r w:rsidRPr="00946557">
              <w:t>168</w:t>
            </w:r>
          </w:p>
        </w:tc>
        <w:tc>
          <w:tcPr>
            <w:tcW w:w="499" w:type="pct"/>
            <w:tcBorders>
              <w:top w:val="single" w:sz="4" w:space="0" w:color="auto"/>
              <w:bottom w:val="single" w:sz="4" w:space="0" w:color="auto"/>
            </w:tcBorders>
            <w:vAlign w:val="center"/>
          </w:tcPr>
          <w:p w14:paraId="159D6B24" w14:textId="77777777" w:rsidR="00217AC6" w:rsidRPr="00946557" w:rsidRDefault="00217AC6" w:rsidP="009E3507">
            <w:pPr>
              <w:pStyle w:val="TableText"/>
              <w:jc w:val="center"/>
            </w:pPr>
            <w:r w:rsidRPr="00946557">
              <w:t>25</w:t>
            </w:r>
          </w:p>
        </w:tc>
        <w:tc>
          <w:tcPr>
            <w:tcW w:w="841" w:type="pct"/>
            <w:vMerge w:val="restart"/>
            <w:tcBorders>
              <w:top w:val="single" w:sz="4" w:space="0" w:color="auto"/>
              <w:bottom w:val="single" w:sz="4" w:space="0" w:color="auto"/>
            </w:tcBorders>
            <w:vAlign w:val="center"/>
          </w:tcPr>
          <w:p w14:paraId="532412AD" w14:textId="68107278" w:rsidR="00217AC6" w:rsidRPr="00946557" w:rsidRDefault="00217AC6" w:rsidP="009E3507">
            <w:pPr>
              <w:pStyle w:val="TableText"/>
              <w:jc w:val="center"/>
            </w:pPr>
            <w:r w:rsidRPr="00946557">
              <w:t>27.4</w:t>
            </w:r>
            <w:r w:rsidRPr="00576C4A">
              <w:rPr>
                <w:vertAlign w:val="superscript"/>
              </w:rPr>
              <w:t>a</w:t>
            </w:r>
          </w:p>
        </w:tc>
        <w:tc>
          <w:tcPr>
            <w:tcW w:w="560" w:type="pct"/>
            <w:vMerge w:val="restart"/>
            <w:tcBorders>
              <w:top w:val="single" w:sz="4" w:space="0" w:color="auto"/>
              <w:bottom w:val="single" w:sz="4" w:space="0" w:color="auto"/>
            </w:tcBorders>
            <w:vAlign w:val="center"/>
          </w:tcPr>
          <w:p w14:paraId="29ED6572" w14:textId="77777777" w:rsidR="00217AC6" w:rsidRPr="00946557" w:rsidRDefault="00217AC6" w:rsidP="009E3507">
            <w:pPr>
              <w:pStyle w:val="TableText"/>
              <w:jc w:val="center"/>
            </w:pPr>
            <w:r w:rsidRPr="00946557">
              <w:t>3.9</w:t>
            </w:r>
          </w:p>
        </w:tc>
        <w:tc>
          <w:tcPr>
            <w:tcW w:w="477" w:type="pct"/>
            <w:vMerge/>
            <w:vAlign w:val="center"/>
          </w:tcPr>
          <w:p w14:paraId="13597DCA" w14:textId="77777777" w:rsidR="00217AC6" w:rsidRPr="00946557" w:rsidRDefault="00217AC6" w:rsidP="004D7186"/>
        </w:tc>
      </w:tr>
      <w:tr w:rsidR="00217AC6" w:rsidRPr="00946557" w14:paraId="65BD8799" w14:textId="77777777" w:rsidTr="008928C8">
        <w:trPr>
          <w:cantSplit/>
        </w:trPr>
        <w:tc>
          <w:tcPr>
            <w:tcW w:w="221" w:type="pct"/>
            <w:tcBorders>
              <w:top w:val="single" w:sz="4" w:space="0" w:color="auto"/>
              <w:bottom w:val="single" w:sz="4" w:space="0" w:color="auto"/>
            </w:tcBorders>
            <w:vAlign w:val="center"/>
          </w:tcPr>
          <w:p w14:paraId="617C1734" w14:textId="77777777" w:rsidR="00217AC6" w:rsidRPr="00576C4A" w:rsidRDefault="00217AC6" w:rsidP="00EF2A7E">
            <w:pPr>
              <w:pStyle w:val="TableText"/>
            </w:pPr>
            <w:r>
              <w:t>5</w:t>
            </w:r>
          </w:p>
        </w:tc>
        <w:tc>
          <w:tcPr>
            <w:tcW w:w="727" w:type="pct"/>
            <w:tcBorders>
              <w:top w:val="single" w:sz="4" w:space="0" w:color="auto"/>
              <w:bottom w:val="single" w:sz="4" w:space="0" w:color="auto"/>
            </w:tcBorders>
            <w:vAlign w:val="center"/>
          </w:tcPr>
          <w:p w14:paraId="709307AB" w14:textId="77777777" w:rsidR="00217AC6" w:rsidRPr="00946557" w:rsidRDefault="00217AC6" w:rsidP="00EF2A7E">
            <w:pPr>
              <w:pStyle w:val="TableText"/>
            </w:pPr>
            <w:r w:rsidRPr="00946557">
              <w:t>Immobilisation</w:t>
            </w:r>
          </w:p>
        </w:tc>
        <w:tc>
          <w:tcPr>
            <w:tcW w:w="632" w:type="pct"/>
            <w:tcBorders>
              <w:top w:val="single" w:sz="4" w:space="0" w:color="auto"/>
              <w:bottom w:val="single" w:sz="4" w:space="0" w:color="auto"/>
            </w:tcBorders>
            <w:vAlign w:val="center"/>
          </w:tcPr>
          <w:p w14:paraId="539A2CE5" w14:textId="77777777" w:rsidR="00217AC6" w:rsidRPr="00946557" w:rsidRDefault="00217AC6" w:rsidP="00EF2A7E">
            <w:pPr>
              <w:pStyle w:val="TableText"/>
            </w:pPr>
            <w:r w:rsidRPr="00946557">
              <w:t>EC10</w:t>
            </w:r>
          </w:p>
        </w:tc>
        <w:tc>
          <w:tcPr>
            <w:tcW w:w="470" w:type="pct"/>
            <w:tcBorders>
              <w:top w:val="single" w:sz="4" w:space="0" w:color="auto"/>
              <w:bottom w:val="single" w:sz="4" w:space="0" w:color="auto"/>
            </w:tcBorders>
            <w:vAlign w:val="center"/>
          </w:tcPr>
          <w:p w14:paraId="5CB93E1B" w14:textId="77777777" w:rsidR="00217AC6" w:rsidRPr="00946557" w:rsidRDefault="00217AC6" w:rsidP="00EF2A7E">
            <w:pPr>
              <w:pStyle w:val="TableText"/>
            </w:pPr>
            <w:r w:rsidRPr="00EB3818">
              <w:t>Neonate</w:t>
            </w:r>
          </w:p>
        </w:tc>
        <w:tc>
          <w:tcPr>
            <w:tcW w:w="574" w:type="pct"/>
            <w:tcBorders>
              <w:top w:val="single" w:sz="4" w:space="0" w:color="auto"/>
              <w:bottom w:val="single" w:sz="4" w:space="0" w:color="auto"/>
            </w:tcBorders>
            <w:vAlign w:val="center"/>
          </w:tcPr>
          <w:p w14:paraId="499087BF" w14:textId="77777777" w:rsidR="00217AC6" w:rsidRPr="00946557" w:rsidRDefault="00217AC6" w:rsidP="009E3507">
            <w:pPr>
              <w:pStyle w:val="TableText"/>
              <w:jc w:val="center"/>
            </w:pPr>
            <w:r w:rsidRPr="00946557">
              <w:t>168</w:t>
            </w:r>
          </w:p>
        </w:tc>
        <w:tc>
          <w:tcPr>
            <w:tcW w:w="499" w:type="pct"/>
            <w:tcBorders>
              <w:top w:val="single" w:sz="4" w:space="0" w:color="auto"/>
              <w:bottom w:val="single" w:sz="4" w:space="0" w:color="auto"/>
            </w:tcBorders>
            <w:vAlign w:val="center"/>
          </w:tcPr>
          <w:p w14:paraId="48B4807B" w14:textId="77777777" w:rsidR="00217AC6" w:rsidRPr="00946557" w:rsidRDefault="00217AC6" w:rsidP="009E3507">
            <w:pPr>
              <w:pStyle w:val="TableText"/>
              <w:jc w:val="center"/>
            </w:pPr>
            <w:r w:rsidRPr="00946557">
              <w:t>30</w:t>
            </w:r>
          </w:p>
        </w:tc>
        <w:tc>
          <w:tcPr>
            <w:tcW w:w="841" w:type="pct"/>
            <w:vMerge/>
            <w:tcBorders>
              <w:top w:val="single" w:sz="4" w:space="0" w:color="auto"/>
              <w:bottom w:val="single" w:sz="4" w:space="0" w:color="auto"/>
            </w:tcBorders>
            <w:vAlign w:val="center"/>
          </w:tcPr>
          <w:p w14:paraId="4FB1BD35" w14:textId="77777777" w:rsidR="00217AC6" w:rsidRPr="00946557" w:rsidRDefault="00217AC6" w:rsidP="009E3507">
            <w:pPr>
              <w:pStyle w:val="TableText"/>
              <w:jc w:val="center"/>
            </w:pPr>
          </w:p>
        </w:tc>
        <w:tc>
          <w:tcPr>
            <w:tcW w:w="560" w:type="pct"/>
            <w:vMerge/>
            <w:tcBorders>
              <w:top w:val="single" w:sz="4" w:space="0" w:color="auto"/>
              <w:bottom w:val="single" w:sz="4" w:space="0" w:color="auto"/>
            </w:tcBorders>
            <w:vAlign w:val="center"/>
          </w:tcPr>
          <w:p w14:paraId="70B481E1" w14:textId="77777777" w:rsidR="00217AC6" w:rsidRPr="00946557" w:rsidRDefault="00217AC6" w:rsidP="009E3507">
            <w:pPr>
              <w:pStyle w:val="TableText"/>
              <w:jc w:val="center"/>
            </w:pPr>
          </w:p>
        </w:tc>
        <w:tc>
          <w:tcPr>
            <w:tcW w:w="477" w:type="pct"/>
            <w:vMerge/>
            <w:vAlign w:val="center"/>
          </w:tcPr>
          <w:p w14:paraId="57E77698" w14:textId="77777777" w:rsidR="00217AC6" w:rsidRPr="00946557" w:rsidRDefault="00217AC6" w:rsidP="004D7186"/>
        </w:tc>
      </w:tr>
      <w:tr w:rsidR="00217AC6" w:rsidRPr="00946557" w14:paraId="15BD47B1" w14:textId="77777777" w:rsidTr="009E3507">
        <w:trPr>
          <w:cantSplit/>
        </w:trPr>
        <w:tc>
          <w:tcPr>
            <w:tcW w:w="221" w:type="pct"/>
            <w:tcBorders>
              <w:top w:val="single" w:sz="4" w:space="0" w:color="auto"/>
              <w:bottom w:val="single" w:sz="4" w:space="0" w:color="auto"/>
            </w:tcBorders>
            <w:vAlign w:val="center"/>
          </w:tcPr>
          <w:p w14:paraId="3307E561" w14:textId="77777777" w:rsidR="00217AC6" w:rsidRPr="00576C4A" w:rsidRDefault="00217AC6" w:rsidP="00EF2A7E">
            <w:pPr>
              <w:pStyle w:val="TableText"/>
            </w:pPr>
            <w:r>
              <w:t>6</w:t>
            </w:r>
          </w:p>
        </w:tc>
        <w:tc>
          <w:tcPr>
            <w:tcW w:w="727" w:type="pct"/>
            <w:tcBorders>
              <w:top w:val="single" w:sz="4" w:space="0" w:color="auto"/>
              <w:bottom w:val="single" w:sz="4" w:space="0" w:color="auto"/>
            </w:tcBorders>
            <w:vAlign w:val="center"/>
          </w:tcPr>
          <w:p w14:paraId="50F78A30" w14:textId="77777777" w:rsidR="00217AC6" w:rsidRPr="00946557" w:rsidRDefault="00217AC6" w:rsidP="00EF2A7E">
            <w:pPr>
              <w:pStyle w:val="TableText"/>
            </w:pPr>
            <w:r w:rsidRPr="00946557">
              <w:t>Immobilisation</w:t>
            </w:r>
          </w:p>
        </w:tc>
        <w:tc>
          <w:tcPr>
            <w:tcW w:w="632" w:type="pct"/>
            <w:tcBorders>
              <w:top w:val="single" w:sz="4" w:space="0" w:color="auto"/>
              <w:bottom w:val="single" w:sz="4" w:space="0" w:color="auto"/>
            </w:tcBorders>
            <w:vAlign w:val="center"/>
          </w:tcPr>
          <w:p w14:paraId="437D2602" w14:textId="77777777" w:rsidR="00217AC6" w:rsidRPr="00946557" w:rsidRDefault="00217AC6" w:rsidP="00EF2A7E">
            <w:pPr>
              <w:pStyle w:val="TableText"/>
            </w:pPr>
            <w:r w:rsidRPr="00946557">
              <w:t>NOEC</w:t>
            </w:r>
          </w:p>
        </w:tc>
        <w:tc>
          <w:tcPr>
            <w:tcW w:w="470" w:type="pct"/>
            <w:tcBorders>
              <w:top w:val="single" w:sz="4" w:space="0" w:color="auto"/>
              <w:bottom w:val="single" w:sz="4" w:space="0" w:color="auto"/>
            </w:tcBorders>
            <w:vAlign w:val="center"/>
          </w:tcPr>
          <w:p w14:paraId="3327FB03" w14:textId="77777777" w:rsidR="00217AC6" w:rsidRPr="00946557" w:rsidRDefault="00217AC6" w:rsidP="00EF2A7E">
            <w:pPr>
              <w:pStyle w:val="TableText"/>
            </w:pPr>
            <w:r w:rsidRPr="00EB3818">
              <w:t>Neonate</w:t>
            </w:r>
          </w:p>
        </w:tc>
        <w:tc>
          <w:tcPr>
            <w:tcW w:w="574" w:type="pct"/>
            <w:tcBorders>
              <w:top w:val="single" w:sz="4" w:space="0" w:color="auto"/>
              <w:bottom w:val="single" w:sz="4" w:space="0" w:color="auto"/>
            </w:tcBorders>
            <w:vAlign w:val="center"/>
          </w:tcPr>
          <w:p w14:paraId="1FD5653A" w14:textId="77777777" w:rsidR="00217AC6" w:rsidRPr="00946557" w:rsidRDefault="00217AC6" w:rsidP="009E3507">
            <w:pPr>
              <w:pStyle w:val="TableText"/>
              <w:jc w:val="center"/>
            </w:pPr>
            <w:r w:rsidRPr="00946557">
              <w:t>192</w:t>
            </w:r>
          </w:p>
        </w:tc>
        <w:tc>
          <w:tcPr>
            <w:tcW w:w="499" w:type="pct"/>
            <w:tcBorders>
              <w:top w:val="single" w:sz="4" w:space="0" w:color="auto"/>
              <w:bottom w:val="single" w:sz="4" w:space="0" w:color="auto"/>
            </w:tcBorders>
            <w:vAlign w:val="center"/>
          </w:tcPr>
          <w:p w14:paraId="58993251" w14:textId="77777777" w:rsidR="00217AC6" w:rsidRPr="00946557" w:rsidRDefault="00217AC6" w:rsidP="009E3507">
            <w:pPr>
              <w:pStyle w:val="TableText"/>
              <w:jc w:val="center"/>
            </w:pPr>
            <w:r w:rsidRPr="00946557">
              <w:t>10</w:t>
            </w:r>
          </w:p>
        </w:tc>
        <w:tc>
          <w:tcPr>
            <w:tcW w:w="841" w:type="pct"/>
            <w:tcBorders>
              <w:top w:val="single" w:sz="4" w:space="0" w:color="auto"/>
              <w:bottom w:val="single" w:sz="4" w:space="0" w:color="auto"/>
            </w:tcBorders>
            <w:vAlign w:val="center"/>
          </w:tcPr>
          <w:p w14:paraId="082C3BE0" w14:textId="77777777" w:rsidR="00217AC6" w:rsidRPr="00946557" w:rsidRDefault="00217AC6" w:rsidP="009E3507">
            <w:pPr>
              <w:pStyle w:val="TableText"/>
              <w:jc w:val="center"/>
            </w:pPr>
            <w:r w:rsidRPr="00946557">
              <w:t>10</w:t>
            </w:r>
          </w:p>
        </w:tc>
        <w:tc>
          <w:tcPr>
            <w:tcW w:w="560" w:type="pct"/>
            <w:vMerge/>
            <w:tcBorders>
              <w:top w:val="single" w:sz="4" w:space="0" w:color="auto"/>
              <w:bottom w:val="single" w:sz="4" w:space="0" w:color="auto"/>
            </w:tcBorders>
            <w:vAlign w:val="center"/>
          </w:tcPr>
          <w:p w14:paraId="2401A9D0" w14:textId="77777777" w:rsidR="00217AC6" w:rsidRPr="00946557" w:rsidRDefault="00217AC6" w:rsidP="009E3507">
            <w:pPr>
              <w:pStyle w:val="TableText"/>
              <w:jc w:val="center"/>
            </w:pPr>
          </w:p>
        </w:tc>
        <w:tc>
          <w:tcPr>
            <w:tcW w:w="477" w:type="pct"/>
            <w:vMerge/>
            <w:vAlign w:val="center"/>
          </w:tcPr>
          <w:p w14:paraId="6EDC5532" w14:textId="77777777" w:rsidR="00217AC6" w:rsidRPr="00946557" w:rsidRDefault="00217AC6" w:rsidP="004D7186"/>
        </w:tc>
      </w:tr>
      <w:tr w:rsidR="00217AC6" w:rsidRPr="00946557" w14:paraId="0965FAD2" w14:textId="77777777" w:rsidTr="009E3507">
        <w:trPr>
          <w:cantSplit/>
        </w:trPr>
        <w:tc>
          <w:tcPr>
            <w:tcW w:w="221" w:type="pct"/>
            <w:tcBorders>
              <w:top w:val="single" w:sz="4" w:space="0" w:color="auto"/>
              <w:bottom w:val="single" w:sz="4" w:space="0" w:color="auto"/>
            </w:tcBorders>
            <w:vAlign w:val="center"/>
          </w:tcPr>
          <w:p w14:paraId="197413C4" w14:textId="77777777" w:rsidR="00217AC6" w:rsidRPr="00576C4A" w:rsidRDefault="00217AC6" w:rsidP="00EF2A7E">
            <w:pPr>
              <w:pStyle w:val="TableText"/>
            </w:pPr>
            <w:r>
              <w:t>7</w:t>
            </w:r>
          </w:p>
        </w:tc>
        <w:tc>
          <w:tcPr>
            <w:tcW w:w="727" w:type="pct"/>
            <w:tcBorders>
              <w:top w:val="single" w:sz="4" w:space="0" w:color="auto"/>
              <w:bottom w:val="single" w:sz="4" w:space="0" w:color="auto"/>
            </w:tcBorders>
            <w:vAlign w:val="center"/>
          </w:tcPr>
          <w:p w14:paraId="1526FE1A" w14:textId="77777777" w:rsidR="00217AC6" w:rsidRPr="00946557" w:rsidRDefault="00217AC6" w:rsidP="00EF2A7E">
            <w:pPr>
              <w:pStyle w:val="TableText"/>
            </w:pPr>
            <w:r w:rsidRPr="00946557">
              <w:t>Immobilisation</w:t>
            </w:r>
          </w:p>
        </w:tc>
        <w:tc>
          <w:tcPr>
            <w:tcW w:w="632" w:type="pct"/>
            <w:tcBorders>
              <w:top w:val="single" w:sz="4" w:space="0" w:color="auto"/>
              <w:bottom w:val="single" w:sz="4" w:space="0" w:color="auto"/>
            </w:tcBorders>
            <w:vAlign w:val="center"/>
          </w:tcPr>
          <w:p w14:paraId="13EEF241" w14:textId="77777777" w:rsidR="00217AC6" w:rsidRPr="00946557" w:rsidRDefault="00217AC6" w:rsidP="00EF2A7E">
            <w:pPr>
              <w:pStyle w:val="TableText"/>
            </w:pPr>
            <w:r w:rsidRPr="00946557">
              <w:t>EC10</w:t>
            </w:r>
          </w:p>
        </w:tc>
        <w:tc>
          <w:tcPr>
            <w:tcW w:w="470" w:type="pct"/>
            <w:tcBorders>
              <w:top w:val="single" w:sz="4" w:space="0" w:color="auto"/>
              <w:bottom w:val="single" w:sz="4" w:space="0" w:color="auto"/>
            </w:tcBorders>
            <w:vAlign w:val="center"/>
          </w:tcPr>
          <w:p w14:paraId="50D0740A" w14:textId="77777777" w:rsidR="00217AC6" w:rsidRPr="00946557" w:rsidRDefault="00217AC6" w:rsidP="00EF2A7E">
            <w:pPr>
              <w:pStyle w:val="TableText"/>
            </w:pPr>
            <w:r w:rsidRPr="00EB3818">
              <w:t>Neonate</w:t>
            </w:r>
          </w:p>
        </w:tc>
        <w:tc>
          <w:tcPr>
            <w:tcW w:w="574" w:type="pct"/>
            <w:tcBorders>
              <w:top w:val="single" w:sz="4" w:space="0" w:color="auto"/>
              <w:bottom w:val="single" w:sz="4" w:space="0" w:color="auto"/>
            </w:tcBorders>
            <w:vAlign w:val="center"/>
          </w:tcPr>
          <w:p w14:paraId="680087F6" w14:textId="77777777" w:rsidR="00217AC6" w:rsidRPr="00946557" w:rsidRDefault="00217AC6" w:rsidP="009E3507">
            <w:pPr>
              <w:pStyle w:val="TableText"/>
              <w:jc w:val="center"/>
            </w:pPr>
            <w:r w:rsidRPr="00946557">
              <w:t>192</w:t>
            </w:r>
          </w:p>
        </w:tc>
        <w:tc>
          <w:tcPr>
            <w:tcW w:w="499" w:type="pct"/>
            <w:tcBorders>
              <w:top w:val="single" w:sz="4" w:space="0" w:color="auto"/>
              <w:bottom w:val="single" w:sz="4" w:space="0" w:color="auto"/>
            </w:tcBorders>
            <w:vAlign w:val="center"/>
          </w:tcPr>
          <w:p w14:paraId="776CCA85" w14:textId="77777777" w:rsidR="00217AC6" w:rsidRPr="00946557" w:rsidRDefault="00217AC6" w:rsidP="009E3507">
            <w:pPr>
              <w:pStyle w:val="TableText"/>
              <w:jc w:val="center"/>
            </w:pPr>
            <w:r w:rsidRPr="00946557">
              <w:t>5</w:t>
            </w:r>
          </w:p>
        </w:tc>
        <w:tc>
          <w:tcPr>
            <w:tcW w:w="841" w:type="pct"/>
            <w:vMerge w:val="restart"/>
            <w:tcBorders>
              <w:top w:val="single" w:sz="4" w:space="0" w:color="auto"/>
              <w:bottom w:val="nil"/>
            </w:tcBorders>
            <w:vAlign w:val="center"/>
          </w:tcPr>
          <w:p w14:paraId="23A24E93" w14:textId="5A04626C" w:rsidR="00217AC6" w:rsidRPr="00946557" w:rsidRDefault="00217AC6" w:rsidP="009E3507">
            <w:pPr>
              <w:pStyle w:val="TableText"/>
              <w:jc w:val="center"/>
            </w:pPr>
            <w:r w:rsidRPr="00946557">
              <w:t>3.9</w:t>
            </w:r>
            <w:r w:rsidRPr="00576C4A">
              <w:rPr>
                <w:vertAlign w:val="superscript"/>
              </w:rPr>
              <w:t>a</w:t>
            </w:r>
          </w:p>
        </w:tc>
        <w:tc>
          <w:tcPr>
            <w:tcW w:w="560" w:type="pct"/>
            <w:vMerge/>
            <w:tcBorders>
              <w:top w:val="single" w:sz="4" w:space="0" w:color="auto"/>
              <w:bottom w:val="single" w:sz="4" w:space="0" w:color="auto"/>
            </w:tcBorders>
            <w:vAlign w:val="center"/>
          </w:tcPr>
          <w:p w14:paraId="24AD136D" w14:textId="77777777" w:rsidR="00217AC6" w:rsidRPr="00946557" w:rsidRDefault="00217AC6" w:rsidP="009E3507">
            <w:pPr>
              <w:pStyle w:val="TableText"/>
              <w:jc w:val="center"/>
            </w:pPr>
          </w:p>
        </w:tc>
        <w:tc>
          <w:tcPr>
            <w:tcW w:w="477" w:type="pct"/>
            <w:vMerge/>
            <w:vAlign w:val="center"/>
          </w:tcPr>
          <w:p w14:paraId="1ECF1504" w14:textId="77777777" w:rsidR="00217AC6" w:rsidRPr="00946557" w:rsidRDefault="00217AC6" w:rsidP="004D7186"/>
        </w:tc>
      </w:tr>
      <w:tr w:rsidR="00217AC6" w:rsidRPr="00946557" w14:paraId="361A9883" w14:textId="77777777" w:rsidTr="009E3507">
        <w:trPr>
          <w:cantSplit/>
        </w:trPr>
        <w:tc>
          <w:tcPr>
            <w:tcW w:w="221" w:type="pct"/>
            <w:tcBorders>
              <w:top w:val="single" w:sz="4" w:space="0" w:color="auto"/>
              <w:bottom w:val="single" w:sz="4" w:space="0" w:color="auto"/>
            </w:tcBorders>
            <w:vAlign w:val="center"/>
          </w:tcPr>
          <w:p w14:paraId="2853FEE4" w14:textId="77777777" w:rsidR="00217AC6" w:rsidRPr="00576C4A" w:rsidRDefault="00217AC6" w:rsidP="00EF2A7E">
            <w:pPr>
              <w:pStyle w:val="TableText"/>
            </w:pPr>
            <w:r>
              <w:t>8</w:t>
            </w:r>
          </w:p>
        </w:tc>
        <w:tc>
          <w:tcPr>
            <w:tcW w:w="727" w:type="pct"/>
            <w:tcBorders>
              <w:top w:val="single" w:sz="4" w:space="0" w:color="auto"/>
              <w:bottom w:val="single" w:sz="4" w:space="0" w:color="auto"/>
            </w:tcBorders>
            <w:vAlign w:val="center"/>
          </w:tcPr>
          <w:p w14:paraId="396637F0" w14:textId="77777777" w:rsidR="00217AC6" w:rsidRPr="00946557" w:rsidRDefault="00217AC6" w:rsidP="00EF2A7E">
            <w:pPr>
              <w:pStyle w:val="TableText"/>
            </w:pPr>
            <w:r w:rsidRPr="00946557">
              <w:t>Immobilisation</w:t>
            </w:r>
          </w:p>
        </w:tc>
        <w:tc>
          <w:tcPr>
            <w:tcW w:w="632" w:type="pct"/>
            <w:tcBorders>
              <w:top w:val="single" w:sz="4" w:space="0" w:color="auto"/>
              <w:bottom w:val="single" w:sz="4" w:space="0" w:color="auto"/>
            </w:tcBorders>
            <w:vAlign w:val="center"/>
          </w:tcPr>
          <w:p w14:paraId="217CB420" w14:textId="77777777" w:rsidR="00217AC6" w:rsidRPr="00946557" w:rsidRDefault="00217AC6" w:rsidP="00EF2A7E">
            <w:pPr>
              <w:pStyle w:val="TableText"/>
            </w:pPr>
            <w:r w:rsidRPr="00946557">
              <w:t>EC10</w:t>
            </w:r>
          </w:p>
        </w:tc>
        <w:tc>
          <w:tcPr>
            <w:tcW w:w="470" w:type="pct"/>
            <w:tcBorders>
              <w:top w:val="single" w:sz="4" w:space="0" w:color="auto"/>
              <w:bottom w:val="single" w:sz="4" w:space="0" w:color="auto"/>
            </w:tcBorders>
            <w:vAlign w:val="center"/>
          </w:tcPr>
          <w:p w14:paraId="48170378" w14:textId="77777777" w:rsidR="00217AC6" w:rsidRPr="00946557" w:rsidRDefault="00217AC6" w:rsidP="00EF2A7E">
            <w:pPr>
              <w:pStyle w:val="TableText"/>
            </w:pPr>
            <w:r w:rsidRPr="00EB3818">
              <w:t>Neonate</w:t>
            </w:r>
          </w:p>
        </w:tc>
        <w:tc>
          <w:tcPr>
            <w:tcW w:w="574" w:type="pct"/>
            <w:tcBorders>
              <w:top w:val="single" w:sz="4" w:space="0" w:color="auto"/>
              <w:bottom w:val="single" w:sz="4" w:space="0" w:color="auto"/>
            </w:tcBorders>
            <w:vAlign w:val="center"/>
          </w:tcPr>
          <w:p w14:paraId="35ECF640" w14:textId="77777777" w:rsidR="00217AC6" w:rsidRPr="00946557" w:rsidRDefault="00217AC6" w:rsidP="009E3507">
            <w:pPr>
              <w:pStyle w:val="TableText"/>
              <w:jc w:val="center"/>
            </w:pPr>
            <w:r w:rsidRPr="00946557">
              <w:t>192</w:t>
            </w:r>
          </w:p>
        </w:tc>
        <w:tc>
          <w:tcPr>
            <w:tcW w:w="499" w:type="pct"/>
            <w:tcBorders>
              <w:top w:val="single" w:sz="4" w:space="0" w:color="auto"/>
              <w:bottom w:val="single" w:sz="4" w:space="0" w:color="auto"/>
            </w:tcBorders>
            <w:vAlign w:val="center"/>
          </w:tcPr>
          <w:p w14:paraId="5EAFBF0E" w14:textId="77777777" w:rsidR="00217AC6" w:rsidRPr="00946557" w:rsidRDefault="00217AC6" w:rsidP="009E3507">
            <w:pPr>
              <w:pStyle w:val="TableText"/>
              <w:jc w:val="center"/>
            </w:pPr>
            <w:r w:rsidRPr="00946557">
              <w:t>3</w:t>
            </w:r>
          </w:p>
        </w:tc>
        <w:tc>
          <w:tcPr>
            <w:tcW w:w="841" w:type="pct"/>
            <w:vMerge/>
            <w:tcBorders>
              <w:top w:val="nil"/>
              <w:bottom w:val="single" w:sz="4" w:space="0" w:color="auto"/>
            </w:tcBorders>
            <w:vAlign w:val="center"/>
          </w:tcPr>
          <w:p w14:paraId="174152B5" w14:textId="77777777" w:rsidR="00217AC6" w:rsidRPr="00946557" w:rsidRDefault="00217AC6" w:rsidP="009E3507">
            <w:pPr>
              <w:pStyle w:val="TableText"/>
              <w:jc w:val="center"/>
            </w:pPr>
          </w:p>
        </w:tc>
        <w:tc>
          <w:tcPr>
            <w:tcW w:w="560" w:type="pct"/>
            <w:vMerge/>
            <w:tcBorders>
              <w:top w:val="single" w:sz="4" w:space="0" w:color="auto"/>
              <w:bottom w:val="single" w:sz="4" w:space="0" w:color="auto"/>
            </w:tcBorders>
            <w:vAlign w:val="center"/>
          </w:tcPr>
          <w:p w14:paraId="400E9C55" w14:textId="77777777" w:rsidR="00217AC6" w:rsidRPr="00946557" w:rsidRDefault="00217AC6" w:rsidP="009E3507">
            <w:pPr>
              <w:pStyle w:val="TableText"/>
              <w:jc w:val="center"/>
            </w:pPr>
          </w:p>
        </w:tc>
        <w:tc>
          <w:tcPr>
            <w:tcW w:w="477" w:type="pct"/>
            <w:vMerge/>
            <w:vAlign w:val="center"/>
          </w:tcPr>
          <w:p w14:paraId="0B9033A9" w14:textId="77777777" w:rsidR="00217AC6" w:rsidRPr="00946557" w:rsidRDefault="00217AC6" w:rsidP="004D7186"/>
        </w:tc>
      </w:tr>
      <w:tr w:rsidR="00217AC6" w:rsidRPr="00946557" w14:paraId="2615872D" w14:textId="77777777" w:rsidTr="00E93A24">
        <w:trPr>
          <w:cantSplit/>
        </w:trPr>
        <w:tc>
          <w:tcPr>
            <w:tcW w:w="221" w:type="pct"/>
            <w:tcBorders>
              <w:top w:val="single" w:sz="4" w:space="0" w:color="auto"/>
              <w:bottom w:val="single" w:sz="4" w:space="0" w:color="auto"/>
            </w:tcBorders>
            <w:vAlign w:val="center"/>
          </w:tcPr>
          <w:p w14:paraId="3559A352" w14:textId="77777777" w:rsidR="00217AC6" w:rsidRPr="00576C4A" w:rsidRDefault="00217AC6" w:rsidP="00EF2A7E">
            <w:pPr>
              <w:pStyle w:val="TableText"/>
            </w:pPr>
            <w:r>
              <w:t>9</w:t>
            </w:r>
          </w:p>
        </w:tc>
        <w:tc>
          <w:tcPr>
            <w:tcW w:w="727" w:type="pct"/>
            <w:tcBorders>
              <w:top w:val="single" w:sz="4" w:space="0" w:color="auto"/>
              <w:bottom w:val="single" w:sz="4" w:space="0" w:color="auto"/>
            </w:tcBorders>
            <w:vAlign w:val="center"/>
          </w:tcPr>
          <w:p w14:paraId="4ADB5070" w14:textId="77777777" w:rsidR="00217AC6" w:rsidRPr="00946557" w:rsidRDefault="00217AC6" w:rsidP="00EF2A7E">
            <w:pPr>
              <w:pStyle w:val="TableText"/>
            </w:pPr>
            <w:r w:rsidRPr="00946557">
              <w:t>Reproduction</w:t>
            </w:r>
          </w:p>
        </w:tc>
        <w:tc>
          <w:tcPr>
            <w:tcW w:w="632" w:type="pct"/>
            <w:tcBorders>
              <w:top w:val="single" w:sz="4" w:space="0" w:color="auto"/>
              <w:bottom w:val="single" w:sz="4" w:space="0" w:color="auto"/>
            </w:tcBorders>
            <w:vAlign w:val="center"/>
          </w:tcPr>
          <w:p w14:paraId="5AA9B5BF" w14:textId="77777777" w:rsidR="00217AC6" w:rsidRPr="00946557" w:rsidRDefault="00217AC6" w:rsidP="00EF2A7E">
            <w:pPr>
              <w:pStyle w:val="TableText"/>
            </w:pPr>
            <w:r w:rsidRPr="00946557">
              <w:t>EC20</w:t>
            </w:r>
          </w:p>
        </w:tc>
        <w:tc>
          <w:tcPr>
            <w:tcW w:w="470" w:type="pct"/>
            <w:tcBorders>
              <w:top w:val="single" w:sz="4" w:space="0" w:color="auto"/>
              <w:bottom w:val="single" w:sz="4" w:space="0" w:color="auto"/>
            </w:tcBorders>
            <w:vAlign w:val="center"/>
          </w:tcPr>
          <w:p w14:paraId="3BAE5128" w14:textId="77777777" w:rsidR="00217AC6" w:rsidRPr="00946557" w:rsidRDefault="00217AC6" w:rsidP="00EF2A7E">
            <w:pPr>
              <w:pStyle w:val="TableText"/>
            </w:pPr>
            <w:r w:rsidRPr="00EB3818">
              <w:t>Neonate</w:t>
            </w:r>
          </w:p>
        </w:tc>
        <w:tc>
          <w:tcPr>
            <w:tcW w:w="574" w:type="pct"/>
            <w:tcBorders>
              <w:top w:val="single" w:sz="4" w:space="0" w:color="auto"/>
              <w:bottom w:val="single" w:sz="4" w:space="0" w:color="auto"/>
            </w:tcBorders>
            <w:vAlign w:val="center"/>
          </w:tcPr>
          <w:p w14:paraId="296C2D2C" w14:textId="77777777" w:rsidR="00217AC6" w:rsidRPr="00946557" w:rsidRDefault="00217AC6" w:rsidP="009E3507">
            <w:pPr>
              <w:pStyle w:val="TableText"/>
              <w:jc w:val="center"/>
            </w:pPr>
            <w:r w:rsidRPr="00946557">
              <w:t>240</w:t>
            </w:r>
          </w:p>
        </w:tc>
        <w:tc>
          <w:tcPr>
            <w:tcW w:w="499" w:type="pct"/>
            <w:tcBorders>
              <w:top w:val="single" w:sz="4" w:space="0" w:color="auto"/>
              <w:bottom w:val="single" w:sz="4" w:space="0" w:color="auto"/>
            </w:tcBorders>
            <w:vAlign w:val="center"/>
          </w:tcPr>
          <w:p w14:paraId="360DA8F5" w14:textId="77777777" w:rsidR="00217AC6" w:rsidRPr="00946557" w:rsidRDefault="00217AC6" w:rsidP="009E3507">
            <w:pPr>
              <w:pStyle w:val="TableText"/>
              <w:jc w:val="center"/>
            </w:pPr>
            <w:r w:rsidRPr="00946557">
              <w:t>5.0</w:t>
            </w:r>
          </w:p>
        </w:tc>
        <w:tc>
          <w:tcPr>
            <w:tcW w:w="841" w:type="pct"/>
            <w:tcBorders>
              <w:top w:val="single" w:sz="4" w:space="0" w:color="auto"/>
              <w:bottom w:val="single" w:sz="4" w:space="0" w:color="auto"/>
            </w:tcBorders>
            <w:vAlign w:val="center"/>
          </w:tcPr>
          <w:p w14:paraId="45178CC8" w14:textId="77777777" w:rsidR="00217AC6" w:rsidRPr="00946557" w:rsidRDefault="00217AC6" w:rsidP="009E3507">
            <w:pPr>
              <w:pStyle w:val="TableText"/>
              <w:jc w:val="center"/>
            </w:pPr>
            <w:r w:rsidRPr="00946557">
              <w:t>5.0</w:t>
            </w:r>
          </w:p>
        </w:tc>
        <w:tc>
          <w:tcPr>
            <w:tcW w:w="560" w:type="pct"/>
            <w:vMerge w:val="restart"/>
            <w:tcBorders>
              <w:top w:val="single" w:sz="4" w:space="0" w:color="auto"/>
              <w:bottom w:val="single" w:sz="4" w:space="0" w:color="auto"/>
            </w:tcBorders>
            <w:vAlign w:val="center"/>
          </w:tcPr>
          <w:p w14:paraId="33809CF7" w14:textId="77777777" w:rsidR="00217AC6" w:rsidRPr="00946557" w:rsidRDefault="00217AC6" w:rsidP="009E3507">
            <w:pPr>
              <w:pStyle w:val="TableText"/>
              <w:jc w:val="center"/>
            </w:pPr>
            <w:r w:rsidRPr="00946557">
              <w:t>0.19</w:t>
            </w:r>
          </w:p>
        </w:tc>
        <w:tc>
          <w:tcPr>
            <w:tcW w:w="477" w:type="pct"/>
            <w:vMerge/>
            <w:vAlign w:val="center"/>
          </w:tcPr>
          <w:p w14:paraId="68126E12" w14:textId="77777777" w:rsidR="00217AC6" w:rsidRPr="00946557" w:rsidRDefault="00217AC6" w:rsidP="004D7186"/>
        </w:tc>
      </w:tr>
      <w:tr w:rsidR="00217AC6" w:rsidRPr="00946557" w14:paraId="73A61803" w14:textId="77777777" w:rsidTr="00E93A24">
        <w:trPr>
          <w:cantSplit/>
          <w:trHeight w:val="345"/>
        </w:trPr>
        <w:tc>
          <w:tcPr>
            <w:tcW w:w="221" w:type="pct"/>
            <w:tcBorders>
              <w:top w:val="single" w:sz="4" w:space="0" w:color="auto"/>
              <w:bottom w:val="single" w:sz="4" w:space="0" w:color="auto"/>
            </w:tcBorders>
            <w:vAlign w:val="center"/>
          </w:tcPr>
          <w:p w14:paraId="22EF8CA3" w14:textId="77777777" w:rsidR="00217AC6" w:rsidRPr="00576C4A" w:rsidRDefault="00217AC6" w:rsidP="00EF2A7E">
            <w:pPr>
              <w:pStyle w:val="TableText"/>
            </w:pPr>
            <w:r>
              <w:t>10</w:t>
            </w:r>
          </w:p>
        </w:tc>
        <w:tc>
          <w:tcPr>
            <w:tcW w:w="727" w:type="pct"/>
            <w:tcBorders>
              <w:top w:val="single" w:sz="4" w:space="0" w:color="auto"/>
              <w:bottom w:val="single" w:sz="4" w:space="0" w:color="auto"/>
            </w:tcBorders>
            <w:vAlign w:val="center"/>
          </w:tcPr>
          <w:p w14:paraId="5AF30109" w14:textId="77777777" w:rsidR="00217AC6" w:rsidRPr="00946557" w:rsidRDefault="00217AC6" w:rsidP="00EF2A7E">
            <w:pPr>
              <w:pStyle w:val="TableText"/>
            </w:pPr>
            <w:r w:rsidRPr="00946557">
              <w:t>Reproduction</w:t>
            </w:r>
          </w:p>
        </w:tc>
        <w:tc>
          <w:tcPr>
            <w:tcW w:w="632" w:type="pct"/>
            <w:tcBorders>
              <w:top w:val="single" w:sz="4" w:space="0" w:color="auto"/>
              <w:bottom w:val="single" w:sz="4" w:space="0" w:color="auto"/>
            </w:tcBorders>
            <w:vAlign w:val="center"/>
          </w:tcPr>
          <w:p w14:paraId="377B9C79" w14:textId="77777777" w:rsidR="00217AC6" w:rsidRPr="00946557" w:rsidRDefault="00217AC6" w:rsidP="00EF2A7E">
            <w:pPr>
              <w:pStyle w:val="TableText"/>
            </w:pPr>
            <w:r w:rsidRPr="00946557">
              <w:t>EC10</w:t>
            </w:r>
          </w:p>
        </w:tc>
        <w:tc>
          <w:tcPr>
            <w:tcW w:w="470" w:type="pct"/>
            <w:tcBorders>
              <w:top w:val="single" w:sz="4" w:space="0" w:color="auto"/>
              <w:bottom w:val="single" w:sz="4" w:space="0" w:color="auto"/>
            </w:tcBorders>
            <w:vAlign w:val="center"/>
          </w:tcPr>
          <w:p w14:paraId="1C2E9E82" w14:textId="77777777" w:rsidR="00217AC6" w:rsidRPr="00946557" w:rsidRDefault="00217AC6" w:rsidP="00EF2A7E">
            <w:pPr>
              <w:pStyle w:val="TableText"/>
            </w:pPr>
            <w:r w:rsidRPr="00EB3818">
              <w:t>Neonate</w:t>
            </w:r>
          </w:p>
        </w:tc>
        <w:tc>
          <w:tcPr>
            <w:tcW w:w="574" w:type="pct"/>
            <w:tcBorders>
              <w:top w:val="single" w:sz="4" w:space="0" w:color="auto"/>
              <w:bottom w:val="single" w:sz="4" w:space="0" w:color="auto"/>
            </w:tcBorders>
            <w:vAlign w:val="center"/>
          </w:tcPr>
          <w:p w14:paraId="43839ED1" w14:textId="77777777" w:rsidR="00217AC6" w:rsidRPr="00946557" w:rsidRDefault="00217AC6" w:rsidP="009E3507">
            <w:pPr>
              <w:pStyle w:val="TableText"/>
              <w:jc w:val="center"/>
            </w:pPr>
            <w:r w:rsidRPr="00946557">
              <w:t>240</w:t>
            </w:r>
          </w:p>
        </w:tc>
        <w:tc>
          <w:tcPr>
            <w:tcW w:w="499" w:type="pct"/>
            <w:tcBorders>
              <w:top w:val="single" w:sz="4" w:space="0" w:color="auto"/>
              <w:bottom w:val="single" w:sz="4" w:space="0" w:color="auto"/>
            </w:tcBorders>
            <w:vAlign w:val="center"/>
          </w:tcPr>
          <w:p w14:paraId="2B709D9B" w14:textId="77777777" w:rsidR="00217AC6" w:rsidRPr="00946557" w:rsidRDefault="00217AC6" w:rsidP="009E3507">
            <w:pPr>
              <w:pStyle w:val="TableText"/>
              <w:jc w:val="center"/>
            </w:pPr>
            <w:r w:rsidRPr="00946557">
              <w:t>2.0</w:t>
            </w:r>
          </w:p>
        </w:tc>
        <w:tc>
          <w:tcPr>
            <w:tcW w:w="841" w:type="pct"/>
            <w:vMerge w:val="restart"/>
            <w:tcBorders>
              <w:top w:val="single" w:sz="4" w:space="0" w:color="auto"/>
            </w:tcBorders>
            <w:vAlign w:val="center"/>
          </w:tcPr>
          <w:p w14:paraId="1A5B0972" w14:textId="46F6D5AD" w:rsidR="00217AC6" w:rsidRPr="00946557" w:rsidRDefault="00217AC6" w:rsidP="009E3507">
            <w:pPr>
              <w:pStyle w:val="TableText"/>
              <w:jc w:val="center"/>
            </w:pPr>
            <w:r w:rsidRPr="00946557">
              <w:t>1.3</w:t>
            </w:r>
            <w:r w:rsidRPr="00576C4A">
              <w:rPr>
                <w:vertAlign w:val="superscript"/>
              </w:rPr>
              <w:t>a</w:t>
            </w:r>
          </w:p>
        </w:tc>
        <w:tc>
          <w:tcPr>
            <w:tcW w:w="560" w:type="pct"/>
            <w:vMerge/>
            <w:tcBorders>
              <w:top w:val="single" w:sz="4" w:space="0" w:color="auto"/>
            </w:tcBorders>
            <w:vAlign w:val="center"/>
          </w:tcPr>
          <w:p w14:paraId="31860E7E" w14:textId="77777777" w:rsidR="00217AC6" w:rsidRPr="00946557" w:rsidRDefault="00217AC6" w:rsidP="004D7186"/>
        </w:tc>
        <w:tc>
          <w:tcPr>
            <w:tcW w:w="477" w:type="pct"/>
            <w:vMerge/>
            <w:vAlign w:val="center"/>
          </w:tcPr>
          <w:p w14:paraId="7EE6B476" w14:textId="77777777" w:rsidR="00217AC6" w:rsidRPr="00946557" w:rsidRDefault="00217AC6" w:rsidP="004D7186"/>
        </w:tc>
      </w:tr>
      <w:tr w:rsidR="00217AC6" w:rsidRPr="00946557" w14:paraId="7800D7E5" w14:textId="77777777" w:rsidTr="00E93A24">
        <w:trPr>
          <w:cantSplit/>
        </w:trPr>
        <w:tc>
          <w:tcPr>
            <w:tcW w:w="221" w:type="pct"/>
            <w:tcBorders>
              <w:top w:val="single" w:sz="4" w:space="0" w:color="auto"/>
              <w:bottom w:val="single" w:sz="4" w:space="0" w:color="auto"/>
            </w:tcBorders>
            <w:vAlign w:val="center"/>
          </w:tcPr>
          <w:p w14:paraId="45F422C0" w14:textId="77777777" w:rsidR="00217AC6" w:rsidRPr="00576C4A" w:rsidRDefault="00217AC6" w:rsidP="00EF2A7E">
            <w:pPr>
              <w:pStyle w:val="TableText"/>
            </w:pPr>
            <w:r>
              <w:t>11</w:t>
            </w:r>
          </w:p>
        </w:tc>
        <w:tc>
          <w:tcPr>
            <w:tcW w:w="727" w:type="pct"/>
            <w:tcBorders>
              <w:top w:val="single" w:sz="4" w:space="0" w:color="auto"/>
              <w:bottom w:val="single" w:sz="4" w:space="0" w:color="auto"/>
            </w:tcBorders>
            <w:vAlign w:val="center"/>
          </w:tcPr>
          <w:p w14:paraId="41E5FCBC" w14:textId="77777777" w:rsidR="00217AC6" w:rsidRPr="00946557" w:rsidRDefault="00217AC6" w:rsidP="00EF2A7E">
            <w:pPr>
              <w:pStyle w:val="TableText"/>
            </w:pPr>
            <w:r w:rsidRPr="00946557">
              <w:t>Reproduction</w:t>
            </w:r>
          </w:p>
        </w:tc>
        <w:tc>
          <w:tcPr>
            <w:tcW w:w="632" w:type="pct"/>
            <w:tcBorders>
              <w:top w:val="single" w:sz="4" w:space="0" w:color="auto"/>
              <w:bottom w:val="single" w:sz="4" w:space="0" w:color="auto"/>
            </w:tcBorders>
            <w:vAlign w:val="center"/>
          </w:tcPr>
          <w:p w14:paraId="2F1DA219" w14:textId="77777777" w:rsidR="00217AC6" w:rsidRPr="00946557" w:rsidRDefault="00217AC6" w:rsidP="00EF2A7E">
            <w:pPr>
              <w:pStyle w:val="TableText"/>
            </w:pPr>
            <w:r w:rsidRPr="00946557">
              <w:t>EC10</w:t>
            </w:r>
          </w:p>
        </w:tc>
        <w:tc>
          <w:tcPr>
            <w:tcW w:w="470" w:type="pct"/>
            <w:tcBorders>
              <w:top w:val="single" w:sz="4" w:space="0" w:color="auto"/>
              <w:bottom w:val="single" w:sz="4" w:space="0" w:color="auto"/>
            </w:tcBorders>
            <w:vAlign w:val="center"/>
          </w:tcPr>
          <w:p w14:paraId="1EE05ED8" w14:textId="77777777" w:rsidR="00217AC6" w:rsidRPr="00946557" w:rsidRDefault="00217AC6" w:rsidP="00EF2A7E">
            <w:pPr>
              <w:pStyle w:val="TableText"/>
            </w:pPr>
            <w:r w:rsidRPr="00EB3818">
              <w:t>Neonate</w:t>
            </w:r>
          </w:p>
        </w:tc>
        <w:tc>
          <w:tcPr>
            <w:tcW w:w="574" w:type="pct"/>
            <w:tcBorders>
              <w:top w:val="single" w:sz="4" w:space="0" w:color="auto"/>
              <w:bottom w:val="single" w:sz="4" w:space="0" w:color="auto"/>
            </w:tcBorders>
            <w:vAlign w:val="center"/>
          </w:tcPr>
          <w:p w14:paraId="20A33C11" w14:textId="77777777" w:rsidR="00217AC6" w:rsidRPr="00946557" w:rsidRDefault="00217AC6" w:rsidP="009E3507">
            <w:pPr>
              <w:pStyle w:val="TableText"/>
              <w:jc w:val="center"/>
            </w:pPr>
            <w:r w:rsidRPr="00946557">
              <w:t>240</w:t>
            </w:r>
          </w:p>
        </w:tc>
        <w:tc>
          <w:tcPr>
            <w:tcW w:w="499" w:type="pct"/>
            <w:tcBorders>
              <w:top w:val="single" w:sz="4" w:space="0" w:color="auto"/>
              <w:bottom w:val="single" w:sz="4" w:space="0" w:color="auto"/>
            </w:tcBorders>
            <w:vAlign w:val="center"/>
          </w:tcPr>
          <w:p w14:paraId="31442979" w14:textId="77777777" w:rsidR="00217AC6" w:rsidRPr="00946557" w:rsidRDefault="00217AC6" w:rsidP="009E3507">
            <w:pPr>
              <w:pStyle w:val="TableText"/>
              <w:jc w:val="center"/>
            </w:pPr>
            <w:r w:rsidRPr="00946557">
              <w:t>0.9</w:t>
            </w:r>
          </w:p>
        </w:tc>
        <w:tc>
          <w:tcPr>
            <w:tcW w:w="841" w:type="pct"/>
            <w:vMerge/>
            <w:tcBorders>
              <w:bottom w:val="single" w:sz="4" w:space="0" w:color="auto"/>
            </w:tcBorders>
            <w:vAlign w:val="center"/>
          </w:tcPr>
          <w:p w14:paraId="1EF7E3DF" w14:textId="77777777" w:rsidR="00217AC6" w:rsidRPr="00946557" w:rsidRDefault="00217AC6" w:rsidP="009E3507">
            <w:pPr>
              <w:pStyle w:val="TableText"/>
              <w:jc w:val="center"/>
            </w:pPr>
          </w:p>
        </w:tc>
        <w:tc>
          <w:tcPr>
            <w:tcW w:w="560" w:type="pct"/>
            <w:vMerge/>
            <w:vAlign w:val="center"/>
          </w:tcPr>
          <w:p w14:paraId="26ED9E7B" w14:textId="77777777" w:rsidR="00217AC6" w:rsidRPr="00946557" w:rsidRDefault="00217AC6" w:rsidP="004D7186"/>
        </w:tc>
        <w:tc>
          <w:tcPr>
            <w:tcW w:w="477" w:type="pct"/>
            <w:vMerge/>
            <w:vAlign w:val="center"/>
          </w:tcPr>
          <w:p w14:paraId="04E59E91" w14:textId="77777777" w:rsidR="00217AC6" w:rsidRPr="00946557" w:rsidRDefault="00217AC6" w:rsidP="004D7186"/>
        </w:tc>
      </w:tr>
      <w:tr w:rsidR="00217AC6" w:rsidRPr="00946557" w14:paraId="5E8D9602" w14:textId="77777777" w:rsidTr="00E93A24">
        <w:trPr>
          <w:cantSplit/>
        </w:trPr>
        <w:tc>
          <w:tcPr>
            <w:tcW w:w="221" w:type="pct"/>
            <w:tcBorders>
              <w:top w:val="single" w:sz="4" w:space="0" w:color="auto"/>
              <w:bottom w:val="single" w:sz="4" w:space="0" w:color="auto"/>
            </w:tcBorders>
            <w:vAlign w:val="center"/>
          </w:tcPr>
          <w:p w14:paraId="5367675F" w14:textId="77777777" w:rsidR="00217AC6" w:rsidRPr="00576C4A" w:rsidRDefault="00217AC6" w:rsidP="00EF2A7E">
            <w:pPr>
              <w:pStyle w:val="TableText"/>
            </w:pPr>
            <w:r w:rsidRPr="00576C4A">
              <w:t>1</w:t>
            </w:r>
            <w:r>
              <w:t>2</w:t>
            </w:r>
          </w:p>
        </w:tc>
        <w:tc>
          <w:tcPr>
            <w:tcW w:w="727" w:type="pct"/>
            <w:tcBorders>
              <w:top w:val="single" w:sz="4" w:space="0" w:color="auto"/>
              <w:bottom w:val="single" w:sz="4" w:space="0" w:color="auto"/>
            </w:tcBorders>
            <w:vAlign w:val="center"/>
          </w:tcPr>
          <w:p w14:paraId="40F59907" w14:textId="77777777" w:rsidR="00217AC6" w:rsidRPr="00946557" w:rsidRDefault="00217AC6" w:rsidP="00EF2A7E">
            <w:pPr>
              <w:pStyle w:val="TableText"/>
            </w:pPr>
            <w:r w:rsidRPr="00946557">
              <w:t>Reproduction</w:t>
            </w:r>
          </w:p>
        </w:tc>
        <w:tc>
          <w:tcPr>
            <w:tcW w:w="632" w:type="pct"/>
            <w:tcBorders>
              <w:top w:val="single" w:sz="4" w:space="0" w:color="auto"/>
              <w:bottom w:val="single" w:sz="4" w:space="0" w:color="auto"/>
            </w:tcBorders>
            <w:vAlign w:val="center"/>
          </w:tcPr>
          <w:p w14:paraId="28FC8280" w14:textId="77777777" w:rsidR="00217AC6" w:rsidRPr="00946557" w:rsidRDefault="00217AC6" w:rsidP="00EF2A7E">
            <w:pPr>
              <w:pStyle w:val="TableText"/>
            </w:pPr>
            <w:r w:rsidRPr="00946557">
              <w:t>EC10</w:t>
            </w:r>
          </w:p>
        </w:tc>
        <w:tc>
          <w:tcPr>
            <w:tcW w:w="470" w:type="pct"/>
            <w:tcBorders>
              <w:top w:val="single" w:sz="4" w:space="0" w:color="auto"/>
              <w:bottom w:val="single" w:sz="4" w:space="0" w:color="auto"/>
            </w:tcBorders>
            <w:vAlign w:val="center"/>
          </w:tcPr>
          <w:p w14:paraId="7A2743FC" w14:textId="77777777" w:rsidR="00217AC6" w:rsidRPr="00946557" w:rsidRDefault="00217AC6" w:rsidP="00EF2A7E">
            <w:pPr>
              <w:pStyle w:val="TableText"/>
            </w:pPr>
            <w:r w:rsidRPr="00EB3818">
              <w:t>Neonate</w:t>
            </w:r>
          </w:p>
        </w:tc>
        <w:tc>
          <w:tcPr>
            <w:tcW w:w="574" w:type="pct"/>
            <w:tcBorders>
              <w:top w:val="single" w:sz="4" w:space="0" w:color="auto"/>
              <w:bottom w:val="single" w:sz="4" w:space="0" w:color="auto"/>
            </w:tcBorders>
            <w:vAlign w:val="center"/>
          </w:tcPr>
          <w:p w14:paraId="4F68126E" w14:textId="77777777" w:rsidR="00217AC6" w:rsidRPr="00946557" w:rsidRDefault="00217AC6" w:rsidP="009E3507">
            <w:pPr>
              <w:pStyle w:val="TableText"/>
              <w:jc w:val="center"/>
            </w:pPr>
            <w:r w:rsidRPr="00946557">
              <w:t>480</w:t>
            </w:r>
          </w:p>
        </w:tc>
        <w:tc>
          <w:tcPr>
            <w:tcW w:w="499" w:type="pct"/>
            <w:tcBorders>
              <w:top w:val="single" w:sz="4" w:space="0" w:color="auto"/>
              <w:bottom w:val="single" w:sz="4" w:space="0" w:color="auto"/>
            </w:tcBorders>
            <w:vAlign w:val="center"/>
          </w:tcPr>
          <w:p w14:paraId="6697F7C6" w14:textId="77777777" w:rsidR="00217AC6" w:rsidRPr="00946557" w:rsidRDefault="00217AC6" w:rsidP="009E3507">
            <w:pPr>
              <w:pStyle w:val="TableText"/>
              <w:jc w:val="center"/>
            </w:pPr>
            <w:r w:rsidRPr="00946557">
              <w:t>0.2</w:t>
            </w:r>
          </w:p>
        </w:tc>
        <w:tc>
          <w:tcPr>
            <w:tcW w:w="841" w:type="pct"/>
            <w:vMerge w:val="restart"/>
            <w:tcBorders>
              <w:top w:val="single" w:sz="4" w:space="0" w:color="auto"/>
              <w:bottom w:val="single" w:sz="4" w:space="0" w:color="auto"/>
            </w:tcBorders>
            <w:vAlign w:val="center"/>
          </w:tcPr>
          <w:p w14:paraId="6F0963C2" w14:textId="06701E66" w:rsidR="00217AC6" w:rsidRPr="00946557" w:rsidRDefault="00217AC6" w:rsidP="009E3507">
            <w:pPr>
              <w:pStyle w:val="TableText"/>
              <w:jc w:val="center"/>
            </w:pPr>
            <w:r w:rsidRPr="00946557">
              <w:t>0.19</w:t>
            </w:r>
            <w:r w:rsidRPr="00576C4A">
              <w:rPr>
                <w:vertAlign w:val="superscript"/>
              </w:rPr>
              <w:t>a</w:t>
            </w:r>
          </w:p>
        </w:tc>
        <w:tc>
          <w:tcPr>
            <w:tcW w:w="560" w:type="pct"/>
            <w:vMerge/>
            <w:vAlign w:val="center"/>
          </w:tcPr>
          <w:p w14:paraId="5644FAD8" w14:textId="77777777" w:rsidR="00217AC6" w:rsidRPr="00946557" w:rsidRDefault="00217AC6" w:rsidP="004D7186"/>
        </w:tc>
        <w:tc>
          <w:tcPr>
            <w:tcW w:w="477" w:type="pct"/>
            <w:vMerge/>
            <w:vAlign w:val="center"/>
          </w:tcPr>
          <w:p w14:paraId="2F580391" w14:textId="77777777" w:rsidR="00217AC6" w:rsidRPr="00946557" w:rsidRDefault="00217AC6" w:rsidP="004D7186"/>
        </w:tc>
      </w:tr>
      <w:tr w:rsidR="00217AC6" w:rsidRPr="00946557" w14:paraId="64FCFE95" w14:textId="77777777" w:rsidTr="00E93A24">
        <w:trPr>
          <w:cantSplit/>
        </w:trPr>
        <w:tc>
          <w:tcPr>
            <w:tcW w:w="221" w:type="pct"/>
            <w:tcBorders>
              <w:top w:val="single" w:sz="4" w:space="0" w:color="auto"/>
              <w:bottom w:val="single" w:sz="4" w:space="0" w:color="auto"/>
            </w:tcBorders>
            <w:vAlign w:val="center"/>
          </w:tcPr>
          <w:p w14:paraId="78C0BDBD" w14:textId="77777777" w:rsidR="00217AC6" w:rsidRPr="00EF2A7E" w:rsidRDefault="00217AC6" w:rsidP="00EF2A7E">
            <w:pPr>
              <w:pStyle w:val="TableText"/>
            </w:pPr>
            <w:r w:rsidRPr="00EF2A7E">
              <w:t>13</w:t>
            </w:r>
          </w:p>
        </w:tc>
        <w:tc>
          <w:tcPr>
            <w:tcW w:w="727" w:type="pct"/>
            <w:tcBorders>
              <w:top w:val="single" w:sz="4" w:space="0" w:color="auto"/>
              <w:bottom w:val="single" w:sz="4" w:space="0" w:color="auto"/>
            </w:tcBorders>
            <w:vAlign w:val="center"/>
          </w:tcPr>
          <w:p w14:paraId="153BF4E6" w14:textId="77777777" w:rsidR="00217AC6" w:rsidRPr="00EF2A7E" w:rsidRDefault="00217AC6" w:rsidP="00EF2A7E">
            <w:pPr>
              <w:pStyle w:val="TableText"/>
            </w:pPr>
            <w:r w:rsidRPr="00EF2A7E">
              <w:t>Reproduction</w:t>
            </w:r>
          </w:p>
        </w:tc>
        <w:tc>
          <w:tcPr>
            <w:tcW w:w="632" w:type="pct"/>
            <w:tcBorders>
              <w:top w:val="single" w:sz="4" w:space="0" w:color="auto"/>
              <w:bottom w:val="single" w:sz="4" w:space="0" w:color="auto"/>
            </w:tcBorders>
            <w:vAlign w:val="center"/>
          </w:tcPr>
          <w:p w14:paraId="382ECAFC" w14:textId="77777777" w:rsidR="00217AC6" w:rsidRPr="00EF2A7E" w:rsidRDefault="00217AC6" w:rsidP="00EF2A7E">
            <w:pPr>
              <w:pStyle w:val="TableText"/>
            </w:pPr>
            <w:r w:rsidRPr="00EF2A7E">
              <w:t>EC10</w:t>
            </w:r>
          </w:p>
        </w:tc>
        <w:tc>
          <w:tcPr>
            <w:tcW w:w="470" w:type="pct"/>
            <w:tcBorders>
              <w:top w:val="single" w:sz="4" w:space="0" w:color="auto"/>
              <w:bottom w:val="single" w:sz="4" w:space="0" w:color="auto"/>
            </w:tcBorders>
            <w:vAlign w:val="center"/>
          </w:tcPr>
          <w:p w14:paraId="762DFE8F" w14:textId="77777777" w:rsidR="00217AC6" w:rsidRPr="00EF2A7E" w:rsidRDefault="00217AC6" w:rsidP="00EF2A7E">
            <w:pPr>
              <w:pStyle w:val="TableText"/>
            </w:pPr>
            <w:r w:rsidRPr="00EF2A7E">
              <w:t>Neonate</w:t>
            </w:r>
          </w:p>
        </w:tc>
        <w:tc>
          <w:tcPr>
            <w:tcW w:w="574" w:type="pct"/>
            <w:tcBorders>
              <w:top w:val="single" w:sz="4" w:space="0" w:color="auto"/>
              <w:bottom w:val="single" w:sz="4" w:space="0" w:color="auto"/>
            </w:tcBorders>
            <w:vAlign w:val="center"/>
          </w:tcPr>
          <w:p w14:paraId="5D8BAC0F" w14:textId="77777777" w:rsidR="00217AC6" w:rsidRPr="00EF2A7E" w:rsidRDefault="00217AC6" w:rsidP="009E3507">
            <w:pPr>
              <w:pStyle w:val="TableText"/>
              <w:jc w:val="center"/>
            </w:pPr>
            <w:r w:rsidRPr="00EF2A7E">
              <w:t>480</w:t>
            </w:r>
          </w:p>
        </w:tc>
        <w:tc>
          <w:tcPr>
            <w:tcW w:w="499" w:type="pct"/>
            <w:tcBorders>
              <w:top w:val="single" w:sz="4" w:space="0" w:color="auto"/>
              <w:bottom w:val="single" w:sz="4" w:space="0" w:color="auto"/>
            </w:tcBorders>
            <w:vAlign w:val="center"/>
          </w:tcPr>
          <w:p w14:paraId="52549BE2" w14:textId="77777777" w:rsidR="00217AC6" w:rsidRPr="00EF2A7E" w:rsidRDefault="00217AC6" w:rsidP="009E3507">
            <w:pPr>
              <w:pStyle w:val="TableText"/>
              <w:jc w:val="center"/>
            </w:pPr>
            <w:r w:rsidRPr="00EF2A7E">
              <w:t>0.15</w:t>
            </w:r>
          </w:p>
        </w:tc>
        <w:tc>
          <w:tcPr>
            <w:tcW w:w="841" w:type="pct"/>
            <w:vMerge/>
            <w:tcBorders>
              <w:top w:val="nil"/>
              <w:bottom w:val="single" w:sz="4" w:space="0" w:color="auto"/>
            </w:tcBorders>
            <w:vAlign w:val="center"/>
          </w:tcPr>
          <w:p w14:paraId="12ECFE2D" w14:textId="77777777" w:rsidR="00217AC6" w:rsidRPr="00946557" w:rsidRDefault="00217AC6" w:rsidP="004D7186"/>
        </w:tc>
        <w:tc>
          <w:tcPr>
            <w:tcW w:w="560" w:type="pct"/>
            <w:vMerge/>
            <w:vAlign w:val="center"/>
          </w:tcPr>
          <w:p w14:paraId="28DFCC5B" w14:textId="77777777" w:rsidR="00217AC6" w:rsidRPr="00946557" w:rsidRDefault="00217AC6" w:rsidP="004D7186"/>
        </w:tc>
        <w:tc>
          <w:tcPr>
            <w:tcW w:w="477" w:type="pct"/>
            <w:vMerge/>
            <w:vAlign w:val="center"/>
          </w:tcPr>
          <w:p w14:paraId="2CAF87E4" w14:textId="77777777" w:rsidR="00217AC6" w:rsidRPr="00946557" w:rsidRDefault="00217AC6" w:rsidP="004D7186"/>
        </w:tc>
      </w:tr>
      <w:tr w:rsidR="00217AC6" w:rsidRPr="00946557" w14:paraId="0381E4ED" w14:textId="77777777" w:rsidTr="00B8089C">
        <w:trPr>
          <w:cantSplit/>
        </w:trPr>
        <w:tc>
          <w:tcPr>
            <w:tcW w:w="221" w:type="pct"/>
            <w:tcBorders>
              <w:top w:val="single" w:sz="4" w:space="0" w:color="auto"/>
              <w:bottom w:val="single" w:sz="12" w:space="0" w:color="auto"/>
            </w:tcBorders>
            <w:vAlign w:val="center"/>
          </w:tcPr>
          <w:p w14:paraId="58BF8247" w14:textId="77777777" w:rsidR="00217AC6" w:rsidRPr="00EF2A7E" w:rsidRDefault="00217AC6" w:rsidP="00EF2A7E">
            <w:pPr>
              <w:pStyle w:val="TableText"/>
            </w:pPr>
            <w:r w:rsidRPr="00EF2A7E">
              <w:t>14</w:t>
            </w:r>
          </w:p>
        </w:tc>
        <w:tc>
          <w:tcPr>
            <w:tcW w:w="727" w:type="pct"/>
            <w:tcBorders>
              <w:top w:val="single" w:sz="4" w:space="0" w:color="auto"/>
              <w:bottom w:val="single" w:sz="12" w:space="0" w:color="auto"/>
            </w:tcBorders>
            <w:vAlign w:val="center"/>
          </w:tcPr>
          <w:p w14:paraId="45F5CA10" w14:textId="77777777" w:rsidR="00217AC6" w:rsidRPr="00EF2A7E" w:rsidRDefault="00217AC6" w:rsidP="00EF2A7E">
            <w:pPr>
              <w:pStyle w:val="TableText"/>
            </w:pPr>
            <w:r w:rsidRPr="00EF2A7E">
              <w:t>Reproduction</w:t>
            </w:r>
          </w:p>
        </w:tc>
        <w:tc>
          <w:tcPr>
            <w:tcW w:w="632" w:type="pct"/>
            <w:tcBorders>
              <w:top w:val="single" w:sz="4" w:space="0" w:color="auto"/>
              <w:bottom w:val="single" w:sz="12" w:space="0" w:color="auto"/>
            </w:tcBorders>
            <w:vAlign w:val="center"/>
          </w:tcPr>
          <w:p w14:paraId="0155B3B7" w14:textId="77777777" w:rsidR="00217AC6" w:rsidRPr="00EF2A7E" w:rsidRDefault="00217AC6" w:rsidP="00EF2A7E">
            <w:pPr>
              <w:pStyle w:val="TableText"/>
            </w:pPr>
            <w:r w:rsidRPr="00EF2A7E">
              <w:t>EC10</w:t>
            </w:r>
          </w:p>
        </w:tc>
        <w:tc>
          <w:tcPr>
            <w:tcW w:w="470" w:type="pct"/>
            <w:tcBorders>
              <w:top w:val="single" w:sz="4" w:space="0" w:color="auto"/>
              <w:bottom w:val="single" w:sz="12" w:space="0" w:color="auto"/>
            </w:tcBorders>
            <w:vAlign w:val="center"/>
          </w:tcPr>
          <w:p w14:paraId="4FDC162C" w14:textId="77777777" w:rsidR="00217AC6" w:rsidRPr="00EF2A7E" w:rsidRDefault="00217AC6" w:rsidP="00EF2A7E">
            <w:pPr>
              <w:pStyle w:val="TableText"/>
            </w:pPr>
            <w:r w:rsidRPr="00EF2A7E">
              <w:t>Neonate</w:t>
            </w:r>
          </w:p>
        </w:tc>
        <w:tc>
          <w:tcPr>
            <w:tcW w:w="574" w:type="pct"/>
            <w:tcBorders>
              <w:top w:val="single" w:sz="4" w:space="0" w:color="auto"/>
              <w:bottom w:val="single" w:sz="12" w:space="0" w:color="auto"/>
            </w:tcBorders>
            <w:vAlign w:val="center"/>
          </w:tcPr>
          <w:p w14:paraId="494B73A5" w14:textId="77777777" w:rsidR="00217AC6" w:rsidRPr="00EF2A7E" w:rsidRDefault="00217AC6" w:rsidP="009E3507">
            <w:pPr>
              <w:pStyle w:val="TableText"/>
              <w:jc w:val="center"/>
            </w:pPr>
            <w:r w:rsidRPr="00EF2A7E">
              <w:t>480</w:t>
            </w:r>
          </w:p>
        </w:tc>
        <w:tc>
          <w:tcPr>
            <w:tcW w:w="499" w:type="pct"/>
            <w:tcBorders>
              <w:top w:val="single" w:sz="4" w:space="0" w:color="auto"/>
              <w:bottom w:val="single" w:sz="12" w:space="0" w:color="auto"/>
            </w:tcBorders>
            <w:vAlign w:val="center"/>
          </w:tcPr>
          <w:p w14:paraId="6EA06831" w14:textId="77777777" w:rsidR="00217AC6" w:rsidRPr="00EF2A7E" w:rsidRDefault="00217AC6" w:rsidP="009E3507">
            <w:pPr>
              <w:pStyle w:val="TableText"/>
              <w:jc w:val="center"/>
            </w:pPr>
            <w:r w:rsidRPr="00EF2A7E">
              <w:t>0.24</w:t>
            </w:r>
          </w:p>
        </w:tc>
        <w:tc>
          <w:tcPr>
            <w:tcW w:w="841" w:type="pct"/>
            <w:vMerge/>
            <w:tcBorders>
              <w:top w:val="nil"/>
              <w:bottom w:val="single" w:sz="12" w:space="0" w:color="auto"/>
            </w:tcBorders>
            <w:vAlign w:val="center"/>
          </w:tcPr>
          <w:p w14:paraId="1ACA052E" w14:textId="77777777" w:rsidR="00217AC6" w:rsidRPr="00946557" w:rsidRDefault="00217AC6" w:rsidP="004D7186"/>
        </w:tc>
        <w:tc>
          <w:tcPr>
            <w:tcW w:w="560" w:type="pct"/>
            <w:vMerge/>
            <w:tcBorders>
              <w:bottom w:val="single" w:sz="12" w:space="0" w:color="auto"/>
            </w:tcBorders>
            <w:vAlign w:val="center"/>
          </w:tcPr>
          <w:p w14:paraId="53358668" w14:textId="77777777" w:rsidR="00217AC6" w:rsidRPr="00946557" w:rsidRDefault="00217AC6" w:rsidP="004D7186"/>
        </w:tc>
        <w:tc>
          <w:tcPr>
            <w:tcW w:w="477" w:type="pct"/>
            <w:vMerge/>
            <w:tcBorders>
              <w:bottom w:val="single" w:sz="12" w:space="0" w:color="auto"/>
            </w:tcBorders>
            <w:vAlign w:val="center"/>
          </w:tcPr>
          <w:p w14:paraId="477235AC" w14:textId="77777777" w:rsidR="00217AC6" w:rsidRPr="00946557" w:rsidRDefault="00217AC6" w:rsidP="004D7186"/>
        </w:tc>
      </w:tr>
    </w:tbl>
    <w:p w14:paraId="2937F89E" w14:textId="77777777" w:rsidR="00217AC6" w:rsidRDefault="00217AC6" w:rsidP="00FC28C6">
      <w:pPr>
        <w:pStyle w:val="FigureTableNoteSource"/>
      </w:pPr>
      <w:r w:rsidRPr="57352DF8">
        <w:t>Source: modified from Batley et al. (2018)</w:t>
      </w:r>
    </w:p>
    <w:p w14:paraId="197783F5" w14:textId="1F66CB22" w:rsidR="00217AC6" w:rsidRDefault="00217AC6" w:rsidP="00FC28C6">
      <w:pPr>
        <w:pStyle w:val="FigureTableNoteSource"/>
      </w:pPr>
      <w:r w:rsidRPr="57352DF8">
        <w:rPr>
          <w:vertAlign w:val="superscript"/>
        </w:rPr>
        <w:t>a</w:t>
      </w:r>
      <w:r w:rsidRPr="57352DF8">
        <w:t xml:space="preserve"> Values represent </w:t>
      </w:r>
      <w:r w:rsidRPr="00FC28C6">
        <w:t>geometric</w:t>
      </w:r>
      <w:r w:rsidRPr="57352DF8">
        <w:t xml:space="preserve"> means.</w:t>
      </w:r>
    </w:p>
    <w:p w14:paraId="75B5279F" w14:textId="77777777" w:rsidR="0002244D" w:rsidRDefault="0002244D" w:rsidP="004D7186"/>
    <w:p w14:paraId="4E8128A6" w14:textId="77777777" w:rsidR="00BA0672" w:rsidRDefault="00BA0672" w:rsidP="00BA0672">
      <w:r>
        <w:t>It is inappropriate to calculate a geometric mean for 2 or more values for the same species, endpoint, statistical estimate of toxicity, life stage and test duration if they differ by a large amount (e.g. by more than one order of magnitude). In such cases, professional judgement will be required to select the value. Potential options for selecting a value include (i) selecting the lowest value and (ii) comparing the reliability of the studies and using the value from the study deemed the most reliable. The justification for any such decisions should be documented. Chapman (2015) provided some useful general guidance and 7 rules regarding the calculation of geometric means; however, where there is a difference between the above rules and those of Chapman (2015), the above take precedence.</w:t>
      </w:r>
    </w:p>
    <w:p w14:paraId="48CB5331" w14:textId="68DA4586" w:rsidR="0002244D" w:rsidRDefault="00BA0672" w:rsidP="0002244D">
      <w:r w:rsidRPr="57352DF8">
        <w:t xml:space="preserve">Where water quality may have significantly varied across the tests for some reason </w:t>
      </w:r>
      <w:r>
        <w:t>(e.g.</w:t>
      </w:r>
      <w:r w:rsidRPr="57352DF8">
        <w:t xml:space="preserve"> in studies specifically designed to assess the effects of physicochemical variables, such as pH, hardness, alkalinity or dissolved organic carbon, on toxicity), best professional judgement will need to be applied as to whether the geometric mean or the lowest toxicity value from across the tests should be used for the GV derivation. Where tests for individual species have demonstrated a significant dependence of toxicity on a physicochemical variable, the toxicity data that correspond to the most toxic set of conditions should be used for GV derivation. Justification for all decisions relating to </w:t>
      </w:r>
      <w:r w:rsidRPr="57352DF8">
        <w:lastRenderedPageBreak/>
        <w:t>these issues needs to be provided. Where the measured value of an important physicochemical</w:t>
      </w:r>
      <w:r>
        <w:t xml:space="preserve"> </w:t>
      </w:r>
      <w:r w:rsidRPr="57352DF8">
        <w:t xml:space="preserve">variable </w:t>
      </w:r>
      <w:r>
        <w:t>(i.e.</w:t>
      </w:r>
      <w:r w:rsidRPr="57352DF8">
        <w:t xml:space="preserve"> one that affects the toxicity of the contaminant in question) in the toxicity</w:t>
      </w:r>
      <w:r>
        <w:t>-</w:t>
      </w:r>
      <w:r w:rsidRPr="57352DF8">
        <w:t xml:space="preserve">test dilution water is well outside of the typical range of that variable in Australia and New Zealand (see Table 3 in </w:t>
      </w:r>
      <w:r w:rsidR="0002244D" w:rsidRPr="57352DF8">
        <w:t>Batley et al. 2018), best professional judgement should be applied to determine whether or not the toxicity value associated with that test should be included in the dataset.</w:t>
      </w:r>
    </w:p>
    <w:p w14:paraId="7E4492F1" w14:textId="329C8AA3" w:rsidR="00542B5D" w:rsidRPr="00461286" w:rsidRDefault="00542B5D" w:rsidP="004D7186">
      <w:r w:rsidRPr="57352DF8">
        <w:t>In many cases, available data will still be dominated by NOECs and, although less preferred, these values may be used. Although the phasing out of NOEC data to derive GVs has been widely recommended (e.g. Warne and van Dam 2008, van Dam et al. 2012a, b), in many cases datasets for GV derivation will be very small if NOEC data are excluded</w:t>
      </w:r>
      <w:r w:rsidR="006938A7">
        <w:t>. U</w:t>
      </w:r>
      <w:r w:rsidRPr="57352DF8">
        <w:t>ltimately, it is highly desirable to include as many data in an SSD as possible. Moreover, under appropriate experimental designs and test performance, NOEC values can still represent robust estimates of negligible effects. As a guide, if there are preferred</w:t>
      </w:r>
      <w:r w:rsidR="00082588">
        <w:t xml:space="preserve"> toxicity estimates</w:t>
      </w:r>
      <w:r w:rsidRPr="57352DF8">
        <w:t xml:space="preserve"> (i.e. NEC, NSEC) or other appropriate</w:t>
      </w:r>
      <w:r w:rsidR="00082588" w:rsidRPr="00082588">
        <w:t xml:space="preserve"> </w:t>
      </w:r>
      <w:r w:rsidR="00082588" w:rsidRPr="57352DF8">
        <w:t>toxicity estimates</w:t>
      </w:r>
      <w:r w:rsidRPr="57352DF8">
        <w:t xml:space="preserve"> (i.e. EC/IC/LCx where x ≤</w:t>
      </w:r>
      <w:r w:rsidR="00AA78F5">
        <w:t> </w:t>
      </w:r>
      <w:r w:rsidRPr="57352DF8">
        <w:t>10</w:t>
      </w:r>
      <w:r w:rsidR="00AA78F5">
        <w:t>,</w:t>
      </w:r>
      <w:r w:rsidRPr="57352DF8">
        <w:t xml:space="preserve"> BEC10) for </w:t>
      </w:r>
      <w:r w:rsidR="001E6DAB">
        <w:t>≥</w:t>
      </w:r>
      <w:r w:rsidR="00320625">
        <w:t> </w:t>
      </w:r>
      <w:r w:rsidRPr="57352DF8">
        <w:t>15 species that belong to ≥</w:t>
      </w:r>
      <w:r w:rsidR="00320625">
        <w:t> </w:t>
      </w:r>
      <w:r w:rsidRPr="57352DF8">
        <w:t>4 taxonomic groups, available NOEC data could be excluded from the final dataset. In addition, it is preferable to include a NOEC for a species if there are no more</w:t>
      </w:r>
      <w:r w:rsidR="001600C2">
        <w:t>-</w:t>
      </w:r>
      <w:r w:rsidRPr="57352DF8">
        <w:t xml:space="preserve">preferred values for that species, irrespective of the sample size of the overall dataset. The effect of the omission of NOEC data from a toxicity dataset on the resultant SSD and GVs needs </w:t>
      </w:r>
      <w:r w:rsidR="00FB4DE2" w:rsidRPr="57352DF8">
        <w:t xml:space="preserve">to </w:t>
      </w:r>
      <w:r w:rsidRPr="57352DF8">
        <w:t xml:space="preserve">be examined on a case-by-case basis, primarily in the context of any changes to the reliability of the resulting GV (see Section </w:t>
      </w:r>
      <w:r>
        <w:fldChar w:fldCharType="begin"/>
      </w:r>
      <w:r>
        <w:instrText xml:space="preserve"> REF _Ref522008106 \n \h </w:instrText>
      </w:r>
      <w:r>
        <w:fldChar w:fldCharType="separate"/>
      </w:r>
      <w:r w:rsidR="006C5761">
        <w:t>3.8</w:t>
      </w:r>
      <w:r>
        <w:fldChar w:fldCharType="end"/>
      </w:r>
      <w:r w:rsidRPr="57352DF8">
        <w:t>). All related decisions on the inclusion or exclusion of NOEC data need to be appropriately justified and documented.</w:t>
      </w:r>
    </w:p>
    <w:p w14:paraId="650FB86B" w14:textId="141F37CD" w:rsidR="0093788C" w:rsidRPr="0093788C" w:rsidRDefault="0093788C" w:rsidP="00BD4CEC">
      <w:pPr>
        <w:pStyle w:val="Heading4"/>
      </w:pPr>
      <w:bookmarkStart w:id="100" w:name="_Toc501260517"/>
      <w:bookmarkStart w:id="101" w:name="_Ref522008027"/>
      <w:bookmarkStart w:id="102" w:name="_Ref202088556"/>
      <w:bookmarkStart w:id="103" w:name="_Ref202090595"/>
      <w:bookmarkStart w:id="104" w:name="_Ref202090972"/>
      <w:r w:rsidRPr="0093788C">
        <w:t xml:space="preserve">Do the data meet the minimum data requirements of the </w:t>
      </w:r>
      <w:r w:rsidR="00415DEF">
        <w:t>species sensitivity distribution</w:t>
      </w:r>
      <w:r w:rsidRPr="0093788C">
        <w:t xml:space="preserve"> method?</w:t>
      </w:r>
      <w:bookmarkEnd w:id="100"/>
      <w:bookmarkEnd w:id="101"/>
      <w:bookmarkEnd w:id="102"/>
      <w:bookmarkEnd w:id="103"/>
      <w:bookmarkEnd w:id="104"/>
    </w:p>
    <w:p w14:paraId="54D39302" w14:textId="6B52DFAF" w:rsidR="00B679A4" w:rsidRDefault="0093788C" w:rsidP="004D7186">
      <w:r w:rsidRPr="57352DF8">
        <w:t xml:space="preserve">The minimum data requirements to use the SSD method </w:t>
      </w:r>
      <w:r w:rsidR="00CF3FDD" w:rsidRPr="57352DF8">
        <w:t>have been updated as a result of the transition from the use of Burrlioz to (shiny)ssdtools for deriving GVs</w:t>
      </w:r>
      <w:r w:rsidR="00545B18" w:rsidRPr="57352DF8">
        <w:t xml:space="preserve">. Toxicity data are required for </w:t>
      </w:r>
      <w:r w:rsidR="00847FC4">
        <w:t>≥ </w:t>
      </w:r>
      <w:r w:rsidR="00C64837">
        <w:t>6</w:t>
      </w:r>
      <w:r w:rsidR="00545B18" w:rsidRPr="57352DF8">
        <w:t xml:space="preserve"> </w:t>
      </w:r>
      <w:r w:rsidRPr="57352DF8">
        <w:t xml:space="preserve">species that belong to </w:t>
      </w:r>
      <w:r w:rsidR="00847FC4">
        <w:t>≥ </w:t>
      </w:r>
      <w:r w:rsidR="00C64837">
        <w:t>4</w:t>
      </w:r>
      <w:r w:rsidRPr="57352DF8">
        <w:t xml:space="preserve"> different taxonomic groups</w:t>
      </w:r>
      <w:r w:rsidR="004A71F4" w:rsidRPr="57352DF8">
        <w:t xml:space="preserve"> (Fox et al. 2024b)</w:t>
      </w:r>
      <w:r w:rsidRPr="57352DF8">
        <w:t>.</w:t>
      </w:r>
    </w:p>
    <w:p w14:paraId="3B661A14" w14:textId="77777777" w:rsidR="006C5761" w:rsidRDefault="0093788C" w:rsidP="004D7186">
      <w:r w:rsidRPr="57352DF8">
        <w:t xml:space="preserve">Taxonomic groups are generally considered to be </w:t>
      </w:r>
      <w:r w:rsidR="00FA52A1" w:rsidRPr="57352DF8">
        <w:t xml:space="preserve">defined by phylum </w:t>
      </w:r>
      <w:r w:rsidR="006C04CF" w:rsidRPr="57352DF8">
        <w:t>(</w:t>
      </w:r>
      <w:r w:rsidR="00FA52A1" w:rsidRPr="57352DF8">
        <w:t xml:space="preserve">or </w:t>
      </w:r>
      <w:r w:rsidR="006C04CF" w:rsidRPr="57352DF8">
        <w:t xml:space="preserve">sometimes </w:t>
      </w:r>
      <w:r w:rsidR="00FA52A1" w:rsidRPr="57352DF8">
        <w:t>class</w:t>
      </w:r>
      <w:r w:rsidR="006C04CF" w:rsidRPr="57352DF8">
        <w:t>)</w:t>
      </w:r>
      <w:r w:rsidR="00FA52A1" w:rsidRPr="57352DF8">
        <w:t xml:space="preserve">, although this is not always possible or meaningful. </w:t>
      </w:r>
      <w:r>
        <w:fldChar w:fldCharType="begin"/>
      </w:r>
      <w:r>
        <w:instrText xml:space="preserve"> REF _Ref520276703 \h </w:instrText>
      </w:r>
      <w:r>
        <w:fldChar w:fldCharType="separate"/>
      </w:r>
    </w:p>
    <w:p w14:paraId="53BBA026" w14:textId="340640C0" w:rsidR="00B679A4" w:rsidRDefault="006C5761" w:rsidP="004D7186">
      <w:r w:rsidRPr="57352DF8">
        <w:t>Table</w:t>
      </w:r>
      <w:r>
        <w:t> </w:t>
      </w:r>
      <w:r>
        <w:rPr>
          <w:noProof/>
        </w:rPr>
        <w:t>5</w:t>
      </w:r>
      <w:r w:rsidR="0093788C">
        <w:fldChar w:fldCharType="end"/>
      </w:r>
      <w:r w:rsidR="00FA52A1" w:rsidRPr="57352DF8">
        <w:t xml:space="preserve"> provides guidance on the assignment of taxonomic groups.</w:t>
      </w:r>
      <w:r w:rsidR="00F84205" w:rsidRPr="57352DF8">
        <w:t xml:space="preserve"> Although the recommended taxonomic groupings may not be fully based on a formal scientific designation, </w:t>
      </w:r>
      <w:r w:rsidR="00B812D8" w:rsidRPr="57352DF8">
        <w:t>they nevertheless represent taxonomically distinct groupings that are useful for non-experts to understand the types of organisms represented in a GV derivation</w:t>
      </w:r>
      <w:r w:rsidR="00F84205" w:rsidRPr="57352DF8">
        <w:t xml:space="preserve">. Moreover, as </w:t>
      </w:r>
      <w:r w:rsidR="00FA52A1" w:rsidRPr="57352DF8">
        <w:t xml:space="preserve">it is not possible to include taxonomic groups for all organisms that have been used for toxicity testing, some professional </w:t>
      </w:r>
      <w:r w:rsidR="00542D1C">
        <w:t>judgement</w:t>
      </w:r>
      <w:r w:rsidR="00FA52A1" w:rsidRPr="57352DF8">
        <w:t xml:space="preserve"> may be required to assign additional taxonomic groups for some species</w:t>
      </w:r>
      <w:r w:rsidR="0093788C" w:rsidRPr="57352DF8">
        <w:t>.</w:t>
      </w:r>
      <w:bookmarkStart w:id="105" w:name="_Ref520276703"/>
    </w:p>
    <w:p w14:paraId="7CBA6EC2" w14:textId="591CFA7A" w:rsidR="0093788C" w:rsidRDefault="006F5541" w:rsidP="00601D87">
      <w:pPr>
        <w:pStyle w:val="Captionwithnote"/>
      </w:pPr>
      <w:bookmarkStart w:id="106" w:name="_Ref205558623"/>
      <w:bookmarkStart w:id="107" w:name="_Toc206085218"/>
      <w:r w:rsidRPr="57352DF8">
        <w:t>Table</w:t>
      </w:r>
      <w:r w:rsidR="0065094E">
        <w:t> </w:t>
      </w:r>
      <w:r w:rsidRPr="57352DF8">
        <w:rPr>
          <w:noProof/>
        </w:rPr>
        <w:fldChar w:fldCharType="begin"/>
      </w:r>
      <w:r w:rsidRPr="57352DF8">
        <w:rPr>
          <w:noProof/>
        </w:rPr>
        <w:instrText xml:space="preserve"> SEQ Table \* ARABIC </w:instrText>
      </w:r>
      <w:r w:rsidRPr="57352DF8">
        <w:rPr>
          <w:noProof/>
        </w:rPr>
        <w:fldChar w:fldCharType="separate"/>
      </w:r>
      <w:r w:rsidR="006C5761">
        <w:rPr>
          <w:noProof/>
        </w:rPr>
        <w:t>5</w:t>
      </w:r>
      <w:r w:rsidRPr="57352DF8">
        <w:rPr>
          <w:noProof/>
        </w:rPr>
        <w:fldChar w:fldCharType="end"/>
      </w:r>
      <w:bookmarkEnd w:id="105"/>
      <w:bookmarkEnd w:id="106"/>
      <w:r w:rsidRPr="57352DF8">
        <w:t xml:space="preserve"> </w:t>
      </w:r>
      <w:r w:rsidR="0093788C" w:rsidRPr="57352DF8">
        <w:t xml:space="preserve">Examples of </w:t>
      </w:r>
      <w:r w:rsidR="0041392C">
        <w:t xml:space="preserve">distinct </w:t>
      </w:r>
      <w:r w:rsidR="00A87B22" w:rsidRPr="57352DF8">
        <w:t>taxonomic groups</w:t>
      </w:r>
      <w:bookmarkEnd w:id="107"/>
    </w:p>
    <w:p w14:paraId="019C9C29" w14:textId="10985C1C" w:rsidR="00601D87" w:rsidRPr="00601D87" w:rsidRDefault="00601D87" w:rsidP="00E343B1">
      <w:pPr>
        <w:pStyle w:val="Captionnote"/>
        <w:keepNext/>
      </w:pPr>
      <w:r>
        <w:t xml:space="preserve">Dash (–) indicates </w:t>
      </w:r>
      <w:r w:rsidR="001059B3">
        <w:t>no additional comments for that organism.</w:t>
      </w:r>
    </w:p>
    <w:tbl>
      <w:tblPr>
        <w:tblW w:w="4995" w:type="pct"/>
        <w:tblLayout w:type="fixed"/>
        <w:tblLook w:val="0000" w:firstRow="0" w:lastRow="0" w:firstColumn="0" w:lastColumn="0" w:noHBand="0" w:noVBand="0"/>
        <w:tblCaption w:val="Examples of taxonomically different organism types"/>
        <w:tblDescription w:val="Table shows the four major types of organisms (vertebrates, invertebrates, plants and others) against the organisms within each type that are considered to be taxonomically different."/>
      </w:tblPr>
      <w:tblGrid>
        <w:gridCol w:w="1427"/>
        <w:gridCol w:w="2541"/>
        <w:gridCol w:w="2445"/>
        <w:gridCol w:w="2648"/>
      </w:tblGrid>
      <w:tr w:rsidR="00DC403C" w:rsidRPr="000C3C64" w14:paraId="4F6F2EF6" w14:textId="77777777" w:rsidTr="00B03077">
        <w:trPr>
          <w:cantSplit/>
          <w:tblHeader/>
        </w:trPr>
        <w:tc>
          <w:tcPr>
            <w:tcW w:w="788" w:type="pct"/>
            <w:tcBorders>
              <w:top w:val="single" w:sz="12" w:space="0" w:color="auto"/>
              <w:bottom w:val="single" w:sz="12" w:space="0" w:color="auto"/>
            </w:tcBorders>
          </w:tcPr>
          <w:p w14:paraId="6D5EA761" w14:textId="189B64A8" w:rsidR="008C7CA9" w:rsidRPr="00B8089C" w:rsidRDefault="008C7CA9" w:rsidP="00B8089C">
            <w:pPr>
              <w:pStyle w:val="TableHeading"/>
            </w:pPr>
            <w:r w:rsidRPr="00B8089C">
              <w:t>M</w:t>
            </w:r>
            <w:r w:rsidR="00DC403C">
              <w:t>ajor types of organisms</w:t>
            </w:r>
          </w:p>
        </w:tc>
        <w:tc>
          <w:tcPr>
            <w:tcW w:w="1402" w:type="pct"/>
            <w:tcBorders>
              <w:top w:val="single" w:sz="12" w:space="0" w:color="auto"/>
              <w:bottom w:val="single" w:sz="12" w:space="0" w:color="auto"/>
            </w:tcBorders>
          </w:tcPr>
          <w:p w14:paraId="63481BCA" w14:textId="777EC21D" w:rsidR="008C7CA9" w:rsidRPr="00B8089C" w:rsidRDefault="008C7CA9" w:rsidP="00B8089C">
            <w:pPr>
              <w:pStyle w:val="TableHeading"/>
            </w:pPr>
            <w:r w:rsidRPr="00B8089C">
              <w:t>P</w:t>
            </w:r>
            <w:r w:rsidR="00DC403C">
              <w:t>hylum or other classification level</w:t>
            </w:r>
          </w:p>
        </w:tc>
        <w:tc>
          <w:tcPr>
            <w:tcW w:w="1349" w:type="pct"/>
            <w:tcBorders>
              <w:top w:val="single" w:sz="12" w:space="0" w:color="auto"/>
              <w:bottom w:val="single" w:sz="12" w:space="0" w:color="auto"/>
            </w:tcBorders>
          </w:tcPr>
          <w:p w14:paraId="605EEF6B" w14:textId="25E81535" w:rsidR="008C7CA9" w:rsidRPr="00B8089C" w:rsidRDefault="008C7CA9" w:rsidP="00B8089C">
            <w:pPr>
              <w:pStyle w:val="TableHeading"/>
            </w:pPr>
            <w:r w:rsidRPr="00B8089C">
              <w:t>R</w:t>
            </w:r>
            <w:r w:rsidR="00DC403C">
              <w:t>ecommended taxonomic grouping</w:t>
            </w:r>
            <w:r w:rsidRPr="00DC403C">
              <w:rPr>
                <w:vertAlign w:val="superscript"/>
              </w:rPr>
              <w:t>a</w:t>
            </w:r>
          </w:p>
        </w:tc>
        <w:tc>
          <w:tcPr>
            <w:tcW w:w="1462" w:type="pct"/>
            <w:tcBorders>
              <w:top w:val="single" w:sz="12" w:space="0" w:color="auto"/>
              <w:bottom w:val="single" w:sz="12" w:space="0" w:color="auto"/>
            </w:tcBorders>
          </w:tcPr>
          <w:p w14:paraId="3513D050" w14:textId="03CF26DE" w:rsidR="008C7CA9" w:rsidRPr="00B8089C" w:rsidRDefault="008C7CA9" w:rsidP="00B8089C">
            <w:pPr>
              <w:pStyle w:val="TableHeading"/>
            </w:pPr>
            <w:r w:rsidRPr="00B8089C">
              <w:t>C</w:t>
            </w:r>
            <w:r w:rsidR="00DC403C">
              <w:t>omments, including example test organisms</w:t>
            </w:r>
          </w:p>
        </w:tc>
      </w:tr>
      <w:tr w:rsidR="001A1B44" w:rsidRPr="006B4B43" w14:paraId="3B2AFC79" w14:textId="77777777" w:rsidTr="00B03077">
        <w:trPr>
          <w:cantSplit/>
        </w:trPr>
        <w:tc>
          <w:tcPr>
            <w:tcW w:w="788" w:type="pct"/>
            <w:tcBorders>
              <w:top w:val="single" w:sz="12" w:space="0" w:color="auto"/>
              <w:bottom w:val="single" w:sz="4" w:space="0" w:color="auto"/>
            </w:tcBorders>
          </w:tcPr>
          <w:p w14:paraId="1BE46DF6" w14:textId="77777777" w:rsidR="008C7CA9" w:rsidRPr="006B4B43" w:rsidRDefault="008C7CA9" w:rsidP="00624CCC">
            <w:pPr>
              <w:pStyle w:val="TableText"/>
            </w:pPr>
            <w:r w:rsidRPr="006B4B43">
              <w:t>Vertebrates</w:t>
            </w:r>
          </w:p>
        </w:tc>
        <w:tc>
          <w:tcPr>
            <w:tcW w:w="1402" w:type="pct"/>
            <w:tcBorders>
              <w:top w:val="single" w:sz="12" w:space="0" w:color="auto"/>
              <w:bottom w:val="single" w:sz="4" w:space="0" w:color="auto"/>
            </w:tcBorders>
          </w:tcPr>
          <w:p w14:paraId="255B3024" w14:textId="77777777" w:rsidR="008C7CA9" w:rsidRPr="006B4B43" w:rsidRDefault="008C7CA9" w:rsidP="00624CCC">
            <w:pPr>
              <w:pStyle w:val="TableText"/>
            </w:pPr>
            <w:r>
              <w:t>Chordata</w:t>
            </w:r>
          </w:p>
        </w:tc>
        <w:tc>
          <w:tcPr>
            <w:tcW w:w="1349" w:type="pct"/>
            <w:tcBorders>
              <w:top w:val="single" w:sz="12" w:space="0" w:color="auto"/>
              <w:bottom w:val="single" w:sz="4" w:space="0" w:color="auto"/>
            </w:tcBorders>
          </w:tcPr>
          <w:p w14:paraId="36528A47" w14:textId="77777777" w:rsidR="008C7CA9" w:rsidRPr="006B4B43" w:rsidRDefault="008C7CA9" w:rsidP="00624CCC">
            <w:pPr>
              <w:pStyle w:val="TableText"/>
            </w:pPr>
            <w:r>
              <w:t>Fish</w:t>
            </w:r>
          </w:p>
        </w:tc>
        <w:tc>
          <w:tcPr>
            <w:tcW w:w="1462" w:type="pct"/>
            <w:tcBorders>
              <w:top w:val="single" w:sz="12" w:space="0" w:color="auto"/>
              <w:bottom w:val="single" w:sz="4" w:space="0" w:color="auto"/>
            </w:tcBorders>
          </w:tcPr>
          <w:p w14:paraId="178F9E49" w14:textId="4D769E7A" w:rsidR="008C7CA9" w:rsidRDefault="00DC403C" w:rsidP="00624CCC">
            <w:pPr>
              <w:pStyle w:val="TableText"/>
            </w:pPr>
            <w:r>
              <w:t>–</w:t>
            </w:r>
          </w:p>
        </w:tc>
      </w:tr>
      <w:tr w:rsidR="001A1B44" w:rsidRPr="006B4B43" w14:paraId="06BE890A" w14:textId="77777777" w:rsidTr="00B03077">
        <w:trPr>
          <w:cantSplit/>
        </w:trPr>
        <w:tc>
          <w:tcPr>
            <w:tcW w:w="788" w:type="pct"/>
            <w:tcBorders>
              <w:top w:val="single" w:sz="4" w:space="0" w:color="auto"/>
              <w:bottom w:val="single" w:sz="4" w:space="0" w:color="auto"/>
            </w:tcBorders>
          </w:tcPr>
          <w:p w14:paraId="615E0B09" w14:textId="00EE110B" w:rsidR="008C7CA9" w:rsidRPr="006B4B43" w:rsidRDefault="008C7CA9" w:rsidP="00624CCC">
            <w:pPr>
              <w:pStyle w:val="TableText"/>
            </w:pPr>
          </w:p>
        </w:tc>
        <w:tc>
          <w:tcPr>
            <w:tcW w:w="1402" w:type="pct"/>
            <w:tcBorders>
              <w:top w:val="single" w:sz="4" w:space="0" w:color="auto"/>
              <w:bottom w:val="single" w:sz="4" w:space="0" w:color="auto"/>
            </w:tcBorders>
          </w:tcPr>
          <w:p w14:paraId="6FDA4630" w14:textId="07F70834" w:rsidR="008C7CA9" w:rsidRDefault="008C7CA9" w:rsidP="00624CCC">
            <w:pPr>
              <w:pStyle w:val="TableText"/>
            </w:pPr>
          </w:p>
        </w:tc>
        <w:tc>
          <w:tcPr>
            <w:tcW w:w="1349" w:type="pct"/>
            <w:tcBorders>
              <w:top w:val="single" w:sz="4" w:space="0" w:color="auto"/>
              <w:bottom w:val="single" w:sz="4" w:space="0" w:color="auto"/>
            </w:tcBorders>
          </w:tcPr>
          <w:p w14:paraId="23C38B30" w14:textId="77777777" w:rsidR="008C7CA9" w:rsidRDefault="008C7CA9" w:rsidP="00624CCC">
            <w:pPr>
              <w:pStyle w:val="TableText"/>
            </w:pPr>
            <w:r>
              <w:t>Amphibian</w:t>
            </w:r>
          </w:p>
        </w:tc>
        <w:tc>
          <w:tcPr>
            <w:tcW w:w="1462" w:type="pct"/>
            <w:tcBorders>
              <w:top w:val="single" w:sz="4" w:space="0" w:color="auto"/>
              <w:bottom w:val="single" w:sz="4" w:space="0" w:color="auto"/>
            </w:tcBorders>
          </w:tcPr>
          <w:p w14:paraId="1FBF6BB5" w14:textId="45A15DA4" w:rsidR="008C7CA9" w:rsidRDefault="00DC403C" w:rsidP="00624CCC">
            <w:pPr>
              <w:pStyle w:val="TableText"/>
            </w:pPr>
            <w:r>
              <w:t>–</w:t>
            </w:r>
          </w:p>
        </w:tc>
      </w:tr>
      <w:tr w:rsidR="001A1B44" w:rsidRPr="006B4B43" w14:paraId="7F13E07F" w14:textId="77777777" w:rsidTr="00B03077">
        <w:trPr>
          <w:cantSplit/>
        </w:trPr>
        <w:tc>
          <w:tcPr>
            <w:tcW w:w="788" w:type="pct"/>
            <w:tcBorders>
              <w:top w:val="single" w:sz="4" w:space="0" w:color="auto"/>
            </w:tcBorders>
          </w:tcPr>
          <w:p w14:paraId="7A0EC63A" w14:textId="77777777" w:rsidR="008C7CA9" w:rsidRPr="006B4B43" w:rsidRDefault="008C7CA9" w:rsidP="00624CCC">
            <w:pPr>
              <w:pStyle w:val="TableText"/>
            </w:pPr>
            <w:r w:rsidRPr="006B4B43">
              <w:t>Invertebrates</w:t>
            </w:r>
          </w:p>
        </w:tc>
        <w:tc>
          <w:tcPr>
            <w:tcW w:w="1402" w:type="pct"/>
            <w:tcBorders>
              <w:top w:val="single" w:sz="4" w:space="0" w:color="auto"/>
            </w:tcBorders>
          </w:tcPr>
          <w:p w14:paraId="23D79443" w14:textId="77777777" w:rsidR="008C7CA9" w:rsidRPr="006B4B43" w:rsidRDefault="008C7CA9" w:rsidP="00624CCC">
            <w:pPr>
              <w:pStyle w:val="TableText"/>
            </w:pPr>
            <w:r>
              <w:t>Arthropoda</w:t>
            </w:r>
          </w:p>
        </w:tc>
        <w:tc>
          <w:tcPr>
            <w:tcW w:w="1349" w:type="pct"/>
            <w:tcBorders>
              <w:top w:val="single" w:sz="4" w:space="0" w:color="auto"/>
              <w:bottom w:val="single" w:sz="4" w:space="0" w:color="auto"/>
            </w:tcBorders>
          </w:tcPr>
          <w:p w14:paraId="205F851D" w14:textId="289C797A" w:rsidR="008C7CA9" w:rsidRPr="006B4B43" w:rsidRDefault="008C7CA9" w:rsidP="00624CCC">
            <w:pPr>
              <w:pStyle w:val="TableText"/>
            </w:pPr>
            <w:r>
              <w:t>Crustacean</w:t>
            </w:r>
          </w:p>
        </w:tc>
        <w:tc>
          <w:tcPr>
            <w:tcW w:w="1462" w:type="pct"/>
            <w:tcBorders>
              <w:top w:val="single" w:sz="4" w:space="0" w:color="auto"/>
              <w:bottom w:val="single" w:sz="4" w:space="0" w:color="auto"/>
            </w:tcBorders>
          </w:tcPr>
          <w:p w14:paraId="0B827AE9" w14:textId="472662EE" w:rsidR="008C7CA9" w:rsidRDefault="008C7CA9" w:rsidP="00624CCC">
            <w:pPr>
              <w:pStyle w:val="TableText"/>
            </w:pPr>
            <w:r w:rsidRPr="57352DF8">
              <w:t>Cladoceran, shrimp, amphipod, copepod, barnacle, crab, crayfish</w:t>
            </w:r>
            <w:r w:rsidR="003C6469" w:rsidRPr="57352DF8">
              <w:t>, lobster</w:t>
            </w:r>
          </w:p>
        </w:tc>
      </w:tr>
      <w:tr w:rsidR="001A1B44" w:rsidRPr="006B4B43" w14:paraId="06A5A153" w14:textId="77777777" w:rsidTr="00B03077">
        <w:trPr>
          <w:cantSplit/>
        </w:trPr>
        <w:tc>
          <w:tcPr>
            <w:tcW w:w="788" w:type="pct"/>
          </w:tcPr>
          <w:p w14:paraId="71D6D59A" w14:textId="7B773D52" w:rsidR="008C7CA9" w:rsidRPr="006B4B43" w:rsidRDefault="008C7CA9" w:rsidP="00624CCC">
            <w:pPr>
              <w:pStyle w:val="TableText"/>
            </w:pPr>
          </w:p>
        </w:tc>
        <w:tc>
          <w:tcPr>
            <w:tcW w:w="1402" w:type="pct"/>
            <w:tcBorders>
              <w:bottom w:val="single" w:sz="4" w:space="0" w:color="auto"/>
            </w:tcBorders>
          </w:tcPr>
          <w:p w14:paraId="59CD6590" w14:textId="11C631F5" w:rsidR="008C7CA9" w:rsidRDefault="008C7CA9" w:rsidP="00624CCC">
            <w:pPr>
              <w:pStyle w:val="TableText"/>
            </w:pPr>
          </w:p>
        </w:tc>
        <w:tc>
          <w:tcPr>
            <w:tcW w:w="1349" w:type="pct"/>
            <w:tcBorders>
              <w:top w:val="single" w:sz="4" w:space="0" w:color="auto"/>
              <w:bottom w:val="single" w:sz="4" w:space="0" w:color="auto"/>
            </w:tcBorders>
          </w:tcPr>
          <w:p w14:paraId="37BE1F74" w14:textId="77777777" w:rsidR="008C7CA9" w:rsidRDefault="008C7CA9" w:rsidP="00624CCC">
            <w:pPr>
              <w:pStyle w:val="TableText"/>
            </w:pPr>
            <w:r>
              <w:t>Insect</w:t>
            </w:r>
          </w:p>
        </w:tc>
        <w:tc>
          <w:tcPr>
            <w:tcW w:w="1462" w:type="pct"/>
            <w:tcBorders>
              <w:top w:val="single" w:sz="4" w:space="0" w:color="auto"/>
              <w:bottom w:val="single" w:sz="4" w:space="0" w:color="auto"/>
            </w:tcBorders>
          </w:tcPr>
          <w:p w14:paraId="13C96C53" w14:textId="77777777" w:rsidR="008C7CA9" w:rsidRDefault="008C7CA9" w:rsidP="00624CCC">
            <w:pPr>
              <w:pStyle w:val="TableText"/>
            </w:pPr>
            <w:r>
              <w:t>Mayfly, chironomid</w:t>
            </w:r>
          </w:p>
        </w:tc>
      </w:tr>
      <w:tr w:rsidR="001A1B44" w:rsidRPr="006B4B43" w14:paraId="03A586AA" w14:textId="77777777" w:rsidTr="00B03077">
        <w:trPr>
          <w:cantSplit/>
        </w:trPr>
        <w:tc>
          <w:tcPr>
            <w:tcW w:w="788" w:type="pct"/>
          </w:tcPr>
          <w:p w14:paraId="0390902D" w14:textId="28787145" w:rsidR="008C7CA9" w:rsidRPr="006B4B43" w:rsidRDefault="008C7CA9" w:rsidP="00624CCC">
            <w:pPr>
              <w:pStyle w:val="TableText"/>
            </w:pPr>
          </w:p>
        </w:tc>
        <w:tc>
          <w:tcPr>
            <w:tcW w:w="1402" w:type="pct"/>
            <w:tcBorders>
              <w:top w:val="single" w:sz="4" w:space="0" w:color="auto"/>
            </w:tcBorders>
          </w:tcPr>
          <w:p w14:paraId="5BF7CC03" w14:textId="77777777" w:rsidR="008C7CA9" w:rsidRDefault="008C7CA9" w:rsidP="00624CCC">
            <w:pPr>
              <w:pStyle w:val="TableText"/>
            </w:pPr>
            <w:r>
              <w:t>Mollusca</w:t>
            </w:r>
          </w:p>
        </w:tc>
        <w:tc>
          <w:tcPr>
            <w:tcW w:w="1349" w:type="pct"/>
            <w:tcBorders>
              <w:top w:val="single" w:sz="4" w:space="0" w:color="auto"/>
              <w:bottom w:val="single" w:sz="4" w:space="0" w:color="auto"/>
            </w:tcBorders>
          </w:tcPr>
          <w:p w14:paraId="4C5A7BBC" w14:textId="77777777" w:rsidR="008C7CA9" w:rsidRPr="006B4B43" w:rsidRDefault="008C7CA9" w:rsidP="00624CCC">
            <w:pPr>
              <w:pStyle w:val="TableText"/>
            </w:pPr>
            <w:r>
              <w:t>Bivalve</w:t>
            </w:r>
          </w:p>
        </w:tc>
        <w:tc>
          <w:tcPr>
            <w:tcW w:w="1462" w:type="pct"/>
            <w:tcBorders>
              <w:top w:val="single" w:sz="4" w:space="0" w:color="auto"/>
              <w:bottom w:val="single" w:sz="4" w:space="0" w:color="auto"/>
            </w:tcBorders>
          </w:tcPr>
          <w:p w14:paraId="4649C3AC" w14:textId="77777777" w:rsidR="008C7CA9" w:rsidRDefault="008C7CA9" w:rsidP="00624CCC">
            <w:pPr>
              <w:pStyle w:val="TableText"/>
            </w:pPr>
            <w:r>
              <w:t>Mussel, oyster, scallop, clam</w:t>
            </w:r>
          </w:p>
        </w:tc>
      </w:tr>
      <w:tr w:rsidR="001A1B44" w:rsidRPr="006B4B43" w14:paraId="30D1287E" w14:textId="77777777" w:rsidTr="00B03077">
        <w:trPr>
          <w:cantSplit/>
        </w:trPr>
        <w:tc>
          <w:tcPr>
            <w:tcW w:w="788" w:type="pct"/>
          </w:tcPr>
          <w:p w14:paraId="55E7DB24" w14:textId="1313A7FE" w:rsidR="008C7CA9" w:rsidRPr="006B4B43" w:rsidRDefault="008C7CA9" w:rsidP="00624CCC">
            <w:pPr>
              <w:pStyle w:val="TableText"/>
            </w:pPr>
          </w:p>
        </w:tc>
        <w:tc>
          <w:tcPr>
            <w:tcW w:w="1402" w:type="pct"/>
          </w:tcPr>
          <w:p w14:paraId="3ACEE49F" w14:textId="2F9E2EEC" w:rsidR="008C7CA9" w:rsidRDefault="008C7CA9" w:rsidP="00624CCC">
            <w:pPr>
              <w:pStyle w:val="TableText"/>
            </w:pPr>
          </w:p>
        </w:tc>
        <w:tc>
          <w:tcPr>
            <w:tcW w:w="1349" w:type="pct"/>
            <w:tcBorders>
              <w:top w:val="single" w:sz="4" w:space="0" w:color="auto"/>
              <w:bottom w:val="single" w:sz="4" w:space="0" w:color="auto"/>
            </w:tcBorders>
          </w:tcPr>
          <w:p w14:paraId="2E257ADC" w14:textId="77777777" w:rsidR="008C7CA9" w:rsidRDefault="008C7CA9" w:rsidP="00624CCC">
            <w:pPr>
              <w:pStyle w:val="TableText"/>
            </w:pPr>
            <w:r>
              <w:t>Gastropod</w:t>
            </w:r>
          </w:p>
        </w:tc>
        <w:tc>
          <w:tcPr>
            <w:tcW w:w="1462" w:type="pct"/>
            <w:tcBorders>
              <w:top w:val="single" w:sz="4" w:space="0" w:color="auto"/>
              <w:bottom w:val="single" w:sz="4" w:space="0" w:color="auto"/>
            </w:tcBorders>
          </w:tcPr>
          <w:p w14:paraId="6EE70E41" w14:textId="77777777" w:rsidR="008C7CA9" w:rsidRDefault="008C7CA9" w:rsidP="00624CCC">
            <w:pPr>
              <w:pStyle w:val="TableText"/>
            </w:pPr>
            <w:r>
              <w:t>Snail, abalone</w:t>
            </w:r>
          </w:p>
        </w:tc>
      </w:tr>
      <w:tr w:rsidR="00E2590E" w:rsidRPr="006B4B43" w14:paraId="707B4E0E" w14:textId="77777777" w:rsidTr="00B03077">
        <w:trPr>
          <w:cantSplit/>
        </w:trPr>
        <w:tc>
          <w:tcPr>
            <w:tcW w:w="788" w:type="pct"/>
          </w:tcPr>
          <w:p w14:paraId="43321931" w14:textId="7420738B" w:rsidR="00E2590E" w:rsidRPr="006B4B43" w:rsidRDefault="00E2590E" w:rsidP="00624CCC">
            <w:pPr>
              <w:pStyle w:val="TableText"/>
            </w:pPr>
          </w:p>
        </w:tc>
        <w:tc>
          <w:tcPr>
            <w:tcW w:w="1402" w:type="pct"/>
            <w:tcBorders>
              <w:bottom w:val="single" w:sz="4" w:space="0" w:color="auto"/>
            </w:tcBorders>
          </w:tcPr>
          <w:p w14:paraId="73FD3B53" w14:textId="4C5FAE65" w:rsidR="00E2590E" w:rsidRDefault="00E2590E" w:rsidP="00624CCC">
            <w:pPr>
              <w:pStyle w:val="TableText"/>
            </w:pPr>
          </w:p>
        </w:tc>
        <w:tc>
          <w:tcPr>
            <w:tcW w:w="1349" w:type="pct"/>
            <w:tcBorders>
              <w:top w:val="single" w:sz="4" w:space="0" w:color="auto"/>
              <w:bottom w:val="single" w:sz="4" w:space="0" w:color="auto"/>
            </w:tcBorders>
          </w:tcPr>
          <w:p w14:paraId="54D9C6C7" w14:textId="64B573DA" w:rsidR="00E2590E" w:rsidRDefault="00A52DC8" w:rsidP="00624CCC">
            <w:pPr>
              <w:pStyle w:val="TableText"/>
            </w:pPr>
            <w:r>
              <w:t>Cephalopod</w:t>
            </w:r>
          </w:p>
        </w:tc>
        <w:tc>
          <w:tcPr>
            <w:tcW w:w="1462" w:type="pct"/>
            <w:tcBorders>
              <w:top w:val="single" w:sz="4" w:space="0" w:color="auto"/>
              <w:bottom w:val="single" w:sz="4" w:space="0" w:color="auto"/>
            </w:tcBorders>
          </w:tcPr>
          <w:p w14:paraId="41ABA239" w14:textId="624CC4C8" w:rsidR="00E2590E" w:rsidRDefault="00E2590E" w:rsidP="00624CCC">
            <w:pPr>
              <w:pStyle w:val="TableText"/>
            </w:pPr>
            <w:r>
              <w:t>Cuttlefish, octopus</w:t>
            </w:r>
          </w:p>
        </w:tc>
      </w:tr>
      <w:tr w:rsidR="001A1B44" w:rsidRPr="006B4B43" w14:paraId="32FFD106" w14:textId="77777777" w:rsidTr="00B03077">
        <w:trPr>
          <w:cantSplit/>
        </w:trPr>
        <w:tc>
          <w:tcPr>
            <w:tcW w:w="788" w:type="pct"/>
          </w:tcPr>
          <w:p w14:paraId="6B42E16E" w14:textId="3DAC4505" w:rsidR="008C7CA9" w:rsidRPr="006B4B43" w:rsidRDefault="008C7CA9" w:rsidP="00624CCC">
            <w:pPr>
              <w:pStyle w:val="TableText"/>
            </w:pPr>
          </w:p>
        </w:tc>
        <w:tc>
          <w:tcPr>
            <w:tcW w:w="1402" w:type="pct"/>
            <w:tcBorders>
              <w:top w:val="single" w:sz="4" w:space="0" w:color="auto"/>
              <w:bottom w:val="single" w:sz="4" w:space="0" w:color="auto"/>
            </w:tcBorders>
          </w:tcPr>
          <w:p w14:paraId="7FCF3C15" w14:textId="77777777" w:rsidR="008C7CA9" w:rsidRDefault="008C7CA9" w:rsidP="00624CCC">
            <w:pPr>
              <w:pStyle w:val="TableText"/>
            </w:pPr>
            <w:r>
              <w:t>Annelida</w:t>
            </w:r>
          </w:p>
        </w:tc>
        <w:tc>
          <w:tcPr>
            <w:tcW w:w="1349" w:type="pct"/>
            <w:tcBorders>
              <w:top w:val="single" w:sz="4" w:space="0" w:color="auto"/>
              <w:bottom w:val="single" w:sz="4" w:space="0" w:color="auto"/>
            </w:tcBorders>
          </w:tcPr>
          <w:p w14:paraId="4C40ED09" w14:textId="77777777" w:rsidR="008C7CA9" w:rsidRPr="006B4B43" w:rsidRDefault="008C7CA9" w:rsidP="00624CCC">
            <w:pPr>
              <w:pStyle w:val="TableText"/>
            </w:pPr>
            <w:r>
              <w:t>Annelid</w:t>
            </w:r>
          </w:p>
        </w:tc>
        <w:tc>
          <w:tcPr>
            <w:tcW w:w="1462" w:type="pct"/>
            <w:tcBorders>
              <w:top w:val="single" w:sz="4" w:space="0" w:color="auto"/>
              <w:bottom w:val="single" w:sz="4" w:space="0" w:color="auto"/>
            </w:tcBorders>
          </w:tcPr>
          <w:p w14:paraId="71D25266" w14:textId="77777777" w:rsidR="008C7CA9" w:rsidRDefault="008C7CA9" w:rsidP="00624CCC">
            <w:pPr>
              <w:pStyle w:val="TableText"/>
            </w:pPr>
            <w:r>
              <w:t>Polychaete</w:t>
            </w:r>
          </w:p>
        </w:tc>
      </w:tr>
      <w:tr w:rsidR="001A1B44" w:rsidRPr="006B4B43" w14:paraId="2C884CFE" w14:textId="77777777" w:rsidTr="00B03077">
        <w:trPr>
          <w:cantSplit/>
        </w:trPr>
        <w:tc>
          <w:tcPr>
            <w:tcW w:w="788" w:type="pct"/>
          </w:tcPr>
          <w:p w14:paraId="7A21B9D2" w14:textId="58EBB7F3" w:rsidR="008C7CA9" w:rsidRPr="006B4B43" w:rsidRDefault="008C7CA9" w:rsidP="00624CCC">
            <w:pPr>
              <w:pStyle w:val="TableText"/>
            </w:pPr>
          </w:p>
        </w:tc>
        <w:tc>
          <w:tcPr>
            <w:tcW w:w="1402" w:type="pct"/>
            <w:tcBorders>
              <w:top w:val="single" w:sz="4" w:space="0" w:color="auto"/>
              <w:bottom w:val="single" w:sz="4" w:space="0" w:color="auto"/>
            </w:tcBorders>
          </w:tcPr>
          <w:p w14:paraId="7AE2A8EB" w14:textId="77777777" w:rsidR="008C7CA9" w:rsidRDefault="008C7CA9" w:rsidP="00624CCC">
            <w:pPr>
              <w:pStyle w:val="TableText"/>
            </w:pPr>
            <w:r>
              <w:t>Echinodermata</w:t>
            </w:r>
          </w:p>
        </w:tc>
        <w:tc>
          <w:tcPr>
            <w:tcW w:w="1349" w:type="pct"/>
            <w:tcBorders>
              <w:top w:val="single" w:sz="4" w:space="0" w:color="auto"/>
              <w:bottom w:val="single" w:sz="4" w:space="0" w:color="auto"/>
            </w:tcBorders>
          </w:tcPr>
          <w:p w14:paraId="6477347B" w14:textId="77777777" w:rsidR="008C7CA9" w:rsidRPr="006B4B43" w:rsidRDefault="008C7CA9" w:rsidP="00624CCC">
            <w:pPr>
              <w:pStyle w:val="TableText"/>
            </w:pPr>
            <w:r>
              <w:t>Echinoderm</w:t>
            </w:r>
          </w:p>
        </w:tc>
        <w:tc>
          <w:tcPr>
            <w:tcW w:w="1462" w:type="pct"/>
            <w:tcBorders>
              <w:top w:val="single" w:sz="4" w:space="0" w:color="auto"/>
              <w:bottom w:val="single" w:sz="4" w:space="0" w:color="auto"/>
            </w:tcBorders>
          </w:tcPr>
          <w:p w14:paraId="4C254F4A" w14:textId="77777777" w:rsidR="008C7CA9" w:rsidRDefault="008C7CA9" w:rsidP="00624CCC">
            <w:pPr>
              <w:pStyle w:val="TableText"/>
            </w:pPr>
            <w:r>
              <w:t>Sea urchin, sand dollar</w:t>
            </w:r>
          </w:p>
        </w:tc>
      </w:tr>
      <w:tr w:rsidR="001A1B44" w:rsidRPr="006B4B43" w14:paraId="77F8E4CE" w14:textId="77777777" w:rsidTr="00B03077">
        <w:trPr>
          <w:cantSplit/>
        </w:trPr>
        <w:tc>
          <w:tcPr>
            <w:tcW w:w="788" w:type="pct"/>
          </w:tcPr>
          <w:p w14:paraId="467D5D5A" w14:textId="20C04D7E" w:rsidR="008C7CA9" w:rsidRPr="006B4B43" w:rsidRDefault="008C7CA9" w:rsidP="00624CCC">
            <w:pPr>
              <w:pStyle w:val="TableText"/>
            </w:pPr>
          </w:p>
        </w:tc>
        <w:tc>
          <w:tcPr>
            <w:tcW w:w="1402" w:type="pct"/>
            <w:tcBorders>
              <w:top w:val="single" w:sz="4" w:space="0" w:color="auto"/>
              <w:bottom w:val="single" w:sz="4" w:space="0" w:color="auto"/>
            </w:tcBorders>
          </w:tcPr>
          <w:p w14:paraId="5273284D" w14:textId="77777777" w:rsidR="008C7CA9" w:rsidRDefault="008C7CA9" w:rsidP="00624CCC">
            <w:pPr>
              <w:pStyle w:val="TableText"/>
            </w:pPr>
            <w:r>
              <w:t>Cnidaria</w:t>
            </w:r>
          </w:p>
        </w:tc>
        <w:tc>
          <w:tcPr>
            <w:tcW w:w="1349" w:type="pct"/>
            <w:tcBorders>
              <w:top w:val="single" w:sz="4" w:space="0" w:color="auto"/>
              <w:bottom w:val="single" w:sz="4" w:space="0" w:color="auto"/>
            </w:tcBorders>
          </w:tcPr>
          <w:p w14:paraId="26DDED50" w14:textId="77777777" w:rsidR="008C7CA9" w:rsidRPr="006B4B43" w:rsidRDefault="008C7CA9" w:rsidP="00624CCC">
            <w:pPr>
              <w:pStyle w:val="TableText"/>
            </w:pPr>
            <w:r>
              <w:t>Cnidarian</w:t>
            </w:r>
          </w:p>
        </w:tc>
        <w:tc>
          <w:tcPr>
            <w:tcW w:w="1462" w:type="pct"/>
            <w:tcBorders>
              <w:top w:val="single" w:sz="4" w:space="0" w:color="auto"/>
              <w:bottom w:val="single" w:sz="4" w:space="0" w:color="auto"/>
            </w:tcBorders>
          </w:tcPr>
          <w:p w14:paraId="2AE5D9A6" w14:textId="77777777" w:rsidR="008C7CA9" w:rsidRDefault="008C7CA9" w:rsidP="00624CCC">
            <w:pPr>
              <w:pStyle w:val="TableText"/>
            </w:pPr>
            <w:r>
              <w:t>Coral, anemone, hydra</w:t>
            </w:r>
          </w:p>
        </w:tc>
      </w:tr>
      <w:tr w:rsidR="001A1B44" w:rsidRPr="006B4B43" w14:paraId="7FCD2702" w14:textId="77777777" w:rsidTr="00B03077">
        <w:trPr>
          <w:cantSplit/>
        </w:trPr>
        <w:tc>
          <w:tcPr>
            <w:tcW w:w="788" w:type="pct"/>
            <w:tcBorders>
              <w:bottom w:val="single" w:sz="4" w:space="0" w:color="auto"/>
            </w:tcBorders>
          </w:tcPr>
          <w:p w14:paraId="57239AB8" w14:textId="415DCD5C" w:rsidR="008C7CA9" w:rsidRPr="006B4B43" w:rsidRDefault="008C7CA9" w:rsidP="00624CCC">
            <w:pPr>
              <w:pStyle w:val="TableText"/>
            </w:pPr>
          </w:p>
        </w:tc>
        <w:tc>
          <w:tcPr>
            <w:tcW w:w="1402" w:type="pct"/>
            <w:tcBorders>
              <w:top w:val="single" w:sz="4" w:space="0" w:color="auto"/>
              <w:bottom w:val="single" w:sz="4" w:space="0" w:color="auto"/>
            </w:tcBorders>
          </w:tcPr>
          <w:p w14:paraId="0BF356E5" w14:textId="77777777" w:rsidR="008C7CA9" w:rsidRDefault="008C7CA9" w:rsidP="57352DF8">
            <w:pPr>
              <w:pStyle w:val="TableText"/>
            </w:pPr>
            <w:r w:rsidRPr="57352DF8">
              <w:t>Rotifera</w:t>
            </w:r>
          </w:p>
        </w:tc>
        <w:tc>
          <w:tcPr>
            <w:tcW w:w="1349" w:type="pct"/>
            <w:tcBorders>
              <w:top w:val="single" w:sz="4" w:space="0" w:color="auto"/>
              <w:bottom w:val="single" w:sz="4" w:space="0" w:color="auto"/>
            </w:tcBorders>
          </w:tcPr>
          <w:p w14:paraId="11593EB3" w14:textId="77777777" w:rsidR="008C7CA9" w:rsidRPr="006B4B43" w:rsidRDefault="008C7CA9" w:rsidP="00624CCC">
            <w:pPr>
              <w:pStyle w:val="TableText"/>
            </w:pPr>
            <w:r>
              <w:t>Rotifer</w:t>
            </w:r>
          </w:p>
        </w:tc>
        <w:tc>
          <w:tcPr>
            <w:tcW w:w="1462" w:type="pct"/>
            <w:tcBorders>
              <w:top w:val="single" w:sz="4" w:space="0" w:color="auto"/>
              <w:bottom w:val="single" w:sz="4" w:space="0" w:color="auto"/>
            </w:tcBorders>
          </w:tcPr>
          <w:p w14:paraId="27C712A6" w14:textId="753DADB3" w:rsidR="008C7CA9" w:rsidRDefault="00E172F4" w:rsidP="00624CCC">
            <w:pPr>
              <w:pStyle w:val="TableText"/>
            </w:pPr>
            <w:r>
              <w:t>–</w:t>
            </w:r>
          </w:p>
        </w:tc>
      </w:tr>
      <w:tr w:rsidR="00FD2A4A" w:rsidRPr="006B4B43" w14:paraId="47C9FD09" w14:textId="77777777" w:rsidTr="00B03077">
        <w:trPr>
          <w:cantSplit/>
        </w:trPr>
        <w:tc>
          <w:tcPr>
            <w:tcW w:w="788" w:type="pct"/>
            <w:vMerge w:val="restart"/>
            <w:tcBorders>
              <w:top w:val="single" w:sz="4" w:space="0" w:color="auto"/>
            </w:tcBorders>
          </w:tcPr>
          <w:p w14:paraId="31258632" w14:textId="03F5DC17" w:rsidR="00FD2A4A" w:rsidRPr="006B4B43" w:rsidRDefault="00FD2A4A" w:rsidP="00624CCC">
            <w:pPr>
              <w:pStyle w:val="TableText"/>
            </w:pPr>
            <w:r>
              <w:t>Unicellular plants</w:t>
            </w:r>
            <w:r w:rsidRPr="00FD2A4A">
              <w:rPr>
                <w:vertAlign w:val="superscript"/>
              </w:rPr>
              <w:t>b</w:t>
            </w:r>
          </w:p>
        </w:tc>
        <w:tc>
          <w:tcPr>
            <w:tcW w:w="1402" w:type="pct"/>
            <w:tcBorders>
              <w:top w:val="single" w:sz="4" w:space="0" w:color="auto"/>
              <w:bottom w:val="single" w:sz="4" w:space="0" w:color="auto"/>
            </w:tcBorders>
          </w:tcPr>
          <w:p w14:paraId="0799F2C0" w14:textId="5226CF30" w:rsidR="00FD2A4A" w:rsidRPr="006B4B43" w:rsidRDefault="00FD2A4A" w:rsidP="00624CCC">
            <w:pPr>
              <w:pStyle w:val="TableText"/>
            </w:pPr>
            <w:r w:rsidRPr="00753B45">
              <w:t>Heterokontophyta</w:t>
            </w:r>
          </w:p>
        </w:tc>
        <w:tc>
          <w:tcPr>
            <w:tcW w:w="1349" w:type="pct"/>
            <w:tcBorders>
              <w:top w:val="single" w:sz="4" w:space="0" w:color="auto"/>
              <w:bottom w:val="single" w:sz="4" w:space="0" w:color="auto"/>
            </w:tcBorders>
          </w:tcPr>
          <w:p w14:paraId="4F40B2C2" w14:textId="1F1CC313" w:rsidR="00FD2A4A" w:rsidRPr="006B4B43" w:rsidRDefault="00FD2A4A" w:rsidP="00B4495C">
            <w:pPr>
              <w:pStyle w:val="TableText"/>
            </w:pPr>
            <w:r>
              <w:t>Diatom</w:t>
            </w:r>
          </w:p>
        </w:tc>
        <w:tc>
          <w:tcPr>
            <w:tcW w:w="1462" w:type="pct"/>
            <w:tcBorders>
              <w:top w:val="single" w:sz="4" w:space="0" w:color="auto"/>
              <w:bottom w:val="single" w:sz="4" w:space="0" w:color="auto"/>
            </w:tcBorders>
          </w:tcPr>
          <w:p w14:paraId="00169D83" w14:textId="3FA6CCFD" w:rsidR="00FD2A4A" w:rsidRDefault="00FD2A4A" w:rsidP="00624CCC">
            <w:pPr>
              <w:pStyle w:val="TableText"/>
            </w:pPr>
            <w:r>
              <w:t>–</w:t>
            </w:r>
          </w:p>
        </w:tc>
      </w:tr>
      <w:tr w:rsidR="00FD2A4A" w:rsidRPr="006B4B43" w14:paraId="5E895435" w14:textId="77777777" w:rsidTr="00B03077">
        <w:trPr>
          <w:cantSplit/>
        </w:trPr>
        <w:tc>
          <w:tcPr>
            <w:tcW w:w="788" w:type="pct"/>
            <w:vMerge/>
          </w:tcPr>
          <w:p w14:paraId="2A6114FA" w14:textId="7F9E1063" w:rsidR="00FD2A4A" w:rsidRPr="006B4B43" w:rsidRDefault="00FD2A4A" w:rsidP="009758FF">
            <w:pPr>
              <w:pStyle w:val="TableText"/>
            </w:pPr>
          </w:p>
        </w:tc>
        <w:tc>
          <w:tcPr>
            <w:tcW w:w="1402" w:type="pct"/>
            <w:tcBorders>
              <w:top w:val="single" w:sz="4" w:space="0" w:color="auto"/>
              <w:bottom w:val="single" w:sz="4" w:space="0" w:color="auto"/>
            </w:tcBorders>
          </w:tcPr>
          <w:p w14:paraId="696E945B" w14:textId="77777777" w:rsidR="00FD2A4A" w:rsidRPr="00C1201D" w:rsidRDefault="00FD2A4A" w:rsidP="009758FF">
            <w:pPr>
              <w:pStyle w:val="TableText"/>
            </w:pPr>
            <w:r>
              <w:t>Chlorophyta</w:t>
            </w:r>
          </w:p>
        </w:tc>
        <w:tc>
          <w:tcPr>
            <w:tcW w:w="1349" w:type="pct"/>
            <w:tcBorders>
              <w:top w:val="single" w:sz="4" w:space="0" w:color="auto"/>
              <w:bottom w:val="single" w:sz="4" w:space="0" w:color="auto"/>
            </w:tcBorders>
          </w:tcPr>
          <w:p w14:paraId="523E6995" w14:textId="77777777" w:rsidR="00FD2A4A" w:rsidRPr="006B4B43" w:rsidRDefault="00FD2A4A" w:rsidP="009758FF">
            <w:pPr>
              <w:pStyle w:val="TableText"/>
            </w:pPr>
            <w:r>
              <w:t>Green microalga</w:t>
            </w:r>
          </w:p>
        </w:tc>
        <w:tc>
          <w:tcPr>
            <w:tcW w:w="1462" w:type="pct"/>
            <w:tcBorders>
              <w:top w:val="single" w:sz="4" w:space="0" w:color="auto"/>
              <w:bottom w:val="single" w:sz="4" w:space="0" w:color="auto"/>
            </w:tcBorders>
          </w:tcPr>
          <w:p w14:paraId="3F656301" w14:textId="740C455F" w:rsidR="00FD2A4A" w:rsidRDefault="00FD2A4A" w:rsidP="009758FF">
            <w:pPr>
              <w:pStyle w:val="TableText"/>
            </w:pPr>
            <w:r>
              <w:t>–</w:t>
            </w:r>
          </w:p>
        </w:tc>
      </w:tr>
      <w:tr w:rsidR="00FD2A4A" w:rsidRPr="006B4B43" w14:paraId="7E70B68D" w14:textId="77777777" w:rsidTr="00B03077">
        <w:trPr>
          <w:cantSplit/>
        </w:trPr>
        <w:tc>
          <w:tcPr>
            <w:tcW w:w="788" w:type="pct"/>
            <w:vMerge/>
          </w:tcPr>
          <w:p w14:paraId="58884E31" w14:textId="01B93FF3" w:rsidR="00FD2A4A" w:rsidRPr="006B4B43" w:rsidRDefault="00FD2A4A" w:rsidP="009758FF">
            <w:pPr>
              <w:pStyle w:val="TableText"/>
            </w:pPr>
          </w:p>
        </w:tc>
        <w:tc>
          <w:tcPr>
            <w:tcW w:w="1402" w:type="pct"/>
            <w:tcBorders>
              <w:top w:val="single" w:sz="4" w:space="0" w:color="auto"/>
              <w:bottom w:val="single" w:sz="4" w:space="0" w:color="auto"/>
            </w:tcBorders>
          </w:tcPr>
          <w:p w14:paraId="002CA5D7" w14:textId="1A9CE0E8" w:rsidR="00FD2A4A" w:rsidRDefault="00FD2A4A" w:rsidP="009758FF">
            <w:pPr>
              <w:pStyle w:val="TableText"/>
            </w:pPr>
            <w:r w:rsidRPr="57352DF8">
              <w:t>Haptophyta</w:t>
            </w:r>
          </w:p>
        </w:tc>
        <w:tc>
          <w:tcPr>
            <w:tcW w:w="1349" w:type="pct"/>
            <w:tcBorders>
              <w:top w:val="single" w:sz="4" w:space="0" w:color="auto"/>
              <w:bottom w:val="single" w:sz="4" w:space="0" w:color="auto"/>
            </w:tcBorders>
          </w:tcPr>
          <w:p w14:paraId="4BE2DC22" w14:textId="31E6A00D" w:rsidR="00FD2A4A" w:rsidRDefault="00FD2A4A" w:rsidP="009758FF">
            <w:pPr>
              <w:pStyle w:val="TableText"/>
            </w:pPr>
            <w:r>
              <w:t>Golden-brown microalga</w:t>
            </w:r>
          </w:p>
        </w:tc>
        <w:tc>
          <w:tcPr>
            <w:tcW w:w="1462" w:type="pct"/>
            <w:tcBorders>
              <w:top w:val="single" w:sz="4" w:space="0" w:color="auto"/>
              <w:bottom w:val="single" w:sz="4" w:space="0" w:color="auto"/>
            </w:tcBorders>
          </w:tcPr>
          <w:p w14:paraId="5923D294" w14:textId="449C4FE4" w:rsidR="00FD2A4A" w:rsidRDefault="00FD2A4A" w:rsidP="009758FF">
            <w:pPr>
              <w:pStyle w:val="TableText"/>
            </w:pPr>
            <w:r>
              <w:t>–</w:t>
            </w:r>
          </w:p>
        </w:tc>
      </w:tr>
      <w:tr w:rsidR="00762D74" w:rsidRPr="006B4B43" w14:paraId="0EA78009" w14:textId="77777777" w:rsidTr="00B03077">
        <w:trPr>
          <w:cantSplit/>
        </w:trPr>
        <w:tc>
          <w:tcPr>
            <w:tcW w:w="788" w:type="pct"/>
          </w:tcPr>
          <w:p w14:paraId="3FDE738B" w14:textId="77777777" w:rsidR="00FD2A4A" w:rsidRPr="006B4B43" w:rsidRDefault="00FD2A4A" w:rsidP="009758FF">
            <w:pPr>
              <w:pStyle w:val="TableText"/>
            </w:pPr>
          </w:p>
        </w:tc>
        <w:tc>
          <w:tcPr>
            <w:tcW w:w="1402" w:type="pct"/>
            <w:tcBorders>
              <w:top w:val="single" w:sz="4" w:space="0" w:color="auto"/>
              <w:bottom w:val="single" w:sz="4" w:space="0" w:color="auto"/>
            </w:tcBorders>
          </w:tcPr>
          <w:p w14:paraId="54037EDA" w14:textId="42C7C777" w:rsidR="00FD2A4A" w:rsidRPr="57352DF8" w:rsidRDefault="00FD2A4A" w:rsidP="009758FF">
            <w:pPr>
              <w:pStyle w:val="TableText"/>
            </w:pPr>
            <w:r w:rsidRPr="57352DF8">
              <w:t>Crypt</w:t>
            </w:r>
            <w:r>
              <w:t>ista</w:t>
            </w:r>
          </w:p>
        </w:tc>
        <w:tc>
          <w:tcPr>
            <w:tcW w:w="1349" w:type="pct"/>
            <w:tcBorders>
              <w:top w:val="single" w:sz="4" w:space="0" w:color="auto"/>
              <w:bottom w:val="single" w:sz="4" w:space="0" w:color="auto"/>
            </w:tcBorders>
          </w:tcPr>
          <w:p w14:paraId="2526457E" w14:textId="301F1C62" w:rsidR="00FD2A4A" w:rsidRDefault="00FD2A4A" w:rsidP="009758FF">
            <w:pPr>
              <w:pStyle w:val="TableText"/>
            </w:pPr>
            <w:r>
              <w:t>Cryptomonad</w:t>
            </w:r>
          </w:p>
        </w:tc>
        <w:tc>
          <w:tcPr>
            <w:tcW w:w="1462" w:type="pct"/>
            <w:tcBorders>
              <w:top w:val="single" w:sz="4" w:space="0" w:color="auto"/>
              <w:bottom w:val="single" w:sz="4" w:space="0" w:color="auto"/>
            </w:tcBorders>
          </w:tcPr>
          <w:p w14:paraId="4844B383" w14:textId="2D6FBE91" w:rsidR="00FD2A4A" w:rsidRDefault="00FD2A4A" w:rsidP="009758FF">
            <w:pPr>
              <w:pStyle w:val="TableText"/>
            </w:pPr>
            <w:r>
              <w:t>–</w:t>
            </w:r>
          </w:p>
        </w:tc>
      </w:tr>
      <w:tr w:rsidR="00FD2A4A" w:rsidRPr="006B4B43" w14:paraId="18AF8B40" w14:textId="77777777" w:rsidTr="00B03077">
        <w:trPr>
          <w:cantSplit/>
        </w:trPr>
        <w:tc>
          <w:tcPr>
            <w:tcW w:w="788" w:type="pct"/>
            <w:tcBorders>
              <w:bottom w:val="single" w:sz="4" w:space="0" w:color="auto"/>
            </w:tcBorders>
          </w:tcPr>
          <w:p w14:paraId="471CF877" w14:textId="033144EF" w:rsidR="00FD2A4A" w:rsidRPr="006B4B43" w:rsidRDefault="00FD2A4A" w:rsidP="009758FF">
            <w:pPr>
              <w:pStyle w:val="TableText"/>
            </w:pPr>
          </w:p>
        </w:tc>
        <w:tc>
          <w:tcPr>
            <w:tcW w:w="1402" w:type="pct"/>
            <w:tcBorders>
              <w:top w:val="single" w:sz="4" w:space="0" w:color="auto"/>
              <w:bottom w:val="single" w:sz="4" w:space="0" w:color="auto"/>
            </w:tcBorders>
          </w:tcPr>
          <w:p w14:paraId="3D74B623" w14:textId="77777777" w:rsidR="00FD2A4A" w:rsidRDefault="00FD2A4A" w:rsidP="009758FF">
            <w:pPr>
              <w:pStyle w:val="TableText"/>
            </w:pPr>
            <w:r w:rsidRPr="57352DF8">
              <w:t>Dinoflagellata</w:t>
            </w:r>
          </w:p>
        </w:tc>
        <w:tc>
          <w:tcPr>
            <w:tcW w:w="1349" w:type="pct"/>
            <w:tcBorders>
              <w:top w:val="single" w:sz="4" w:space="0" w:color="auto"/>
              <w:bottom w:val="single" w:sz="4" w:space="0" w:color="auto"/>
            </w:tcBorders>
          </w:tcPr>
          <w:p w14:paraId="417C2C70" w14:textId="77777777" w:rsidR="00FD2A4A" w:rsidRDefault="00FD2A4A" w:rsidP="009758FF">
            <w:pPr>
              <w:pStyle w:val="TableText"/>
            </w:pPr>
            <w:r>
              <w:t>Dinoflagellate</w:t>
            </w:r>
          </w:p>
        </w:tc>
        <w:tc>
          <w:tcPr>
            <w:tcW w:w="1462" w:type="pct"/>
            <w:tcBorders>
              <w:top w:val="single" w:sz="4" w:space="0" w:color="auto"/>
              <w:bottom w:val="single" w:sz="4" w:space="0" w:color="auto"/>
            </w:tcBorders>
          </w:tcPr>
          <w:p w14:paraId="53C1A8B7" w14:textId="6BC0414D" w:rsidR="00FD2A4A" w:rsidRDefault="00FD2A4A" w:rsidP="009758FF">
            <w:pPr>
              <w:pStyle w:val="TableText"/>
            </w:pPr>
            <w:r>
              <w:t>–</w:t>
            </w:r>
          </w:p>
        </w:tc>
      </w:tr>
      <w:tr w:rsidR="009758FF" w:rsidRPr="006B4B43" w14:paraId="4CBEAE75" w14:textId="77777777" w:rsidTr="00B03077">
        <w:trPr>
          <w:cantSplit/>
        </w:trPr>
        <w:tc>
          <w:tcPr>
            <w:tcW w:w="788" w:type="pct"/>
            <w:tcBorders>
              <w:top w:val="single" w:sz="4" w:space="0" w:color="auto"/>
            </w:tcBorders>
          </w:tcPr>
          <w:p w14:paraId="0A04F101" w14:textId="2B859BD2" w:rsidR="009758FF" w:rsidRPr="006B4B43" w:rsidRDefault="009758FF" w:rsidP="009758FF">
            <w:pPr>
              <w:pStyle w:val="TableText"/>
            </w:pPr>
            <w:r>
              <w:t>Multicellular plants</w:t>
            </w:r>
            <w:r w:rsidR="00FD2A4A" w:rsidRPr="00FD2A4A">
              <w:rPr>
                <w:vertAlign w:val="superscript"/>
              </w:rPr>
              <w:t>b</w:t>
            </w:r>
          </w:p>
        </w:tc>
        <w:tc>
          <w:tcPr>
            <w:tcW w:w="1402" w:type="pct"/>
            <w:tcBorders>
              <w:top w:val="single" w:sz="4" w:space="0" w:color="auto"/>
              <w:bottom w:val="single" w:sz="4" w:space="0" w:color="auto"/>
            </w:tcBorders>
          </w:tcPr>
          <w:p w14:paraId="7A9E67CF" w14:textId="77777777" w:rsidR="009758FF" w:rsidRPr="006B4B43" w:rsidRDefault="009758FF" w:rsidP="009758FF">
            <w:pPr>
              <w:pStyle w:val="TableText"/>
            </w:pPr>
            <w:r>
              <w:t>Chlorophyta</w:t>
            </w:r>
          </w:p>
        </w:tc>
        <w:tc>
          <w:tcPr>
            <w:tcW w:w="1349" w:type="pct"/>
            <w:tcBorders>
              <w:top w:val="single" w:sz="4" w:space="0" w:color="auto"/>
              <w:bottom w:val="single" w:sz="4" w:space="0" w:color="auto"/>
            </w:tcBorders>
          </w:tcPr>
          <w:p w14:paraId="2A017619" w14:textId="77777777" w:rsidR="009758FF" w:rsidRPr="006B4B43" w:rsidRDefault="009758FF" w:rsidP="009758FF">
            <w:pPr>
              <w:pStyle w:val="TableText"/>
            </w:pPr>
            <w:r>
              <w:t>Green macroalga</w:t>
            </w:r>
          </w:p>
        </w:tc>
        <w:tc>
          <w:tcPr>
            <w:tcW w:w="1462" w:type="pct"/>
            <w:tcBorders>
              <w:top w:val="single" w:sz="4" w:space="0" w:color="auto"/>
              <w:bottom w:val="single" w:sz="4" w:space="0" w:color="auto"/>
            </w:tcBorders>
          </w:tcPr>
          <w:p w14:paraId="151C6757" w14:textId="1A1522EE" w:rsidR="009758FF" w:rsidRPr="004931DE" w:rsidRDefault="009758FF" w:rsidP="009758FF">
            <w:pPr>
              <w:pStyle w:val="TableText"/>
              <w:rPr>
                <w:lang w:val="en-GB"/>
              </w:rPr>
            </w:pPr>
            <w:r>
              <w:t>–</w:t>
            </w:r>
          </w:p>
        </w:tc>
      </w:tr>
      <w:tr w:rsidR="009758FF" w:rsidRPr="006B4B43" w14:paraId="368B505D" w14:textId="77777777" w:rsidTr="00B03077">
        <w:trPr>
          <w:cantSplit/>
        </w:trPr>
        <w:tc>
          <w:tcPr>
            <w:tcW w:w="788" w:type="pct"/>
          </w:tcPr>
          <w:p w14:paraId="29D81EEA" w14:textId="500E1317" w:rsidR="009758FF" w:rsidRDefault="009758FF" w:rsidP="009758FF">
            <w:pPr>
              <w:pStyle w:val="TableText"/>
            </w:pPr>
          </w:p>
        </w:tc>
        <w:tc>
          <w:tcPr>
            <w:tcW w:w="1402" w:type="pct"/>
            <w:tcBorders>
              <w:top w:val="single" w:sz="4" w:space="0" w:color="auto"/>
              <w:bottom w:val="single" w:sz="4" w:space="0" w:color="auto"/>
            </w:tcBorders>
          </w:tcPr>
          <w:p w14:paraId="6326C41B" w14:textId="46F26A18" w:rsidR="009758FF" w:rsidRDefault="009758FF" w:rsidP="009758FF">
            <w:pPr>
              <w:pStyle w:val="TableText"/>
            </w:pPr>
            <w:r w:rsidRPr="57352DF8">
              <w:t>Ochrophyta</w:t>
            </w:r>
          </w:p>
        </w:tc>
        <w:tc>
          <w:tcPr>
            <w:tcW w:w="1349" w:type="pct"/>
            <w:tcBorders>
              <w:top w:val="single" w:sz="4" w:space="0" w:color="auto"/>
              <w:bottom w:val="single" w:sz="4" w:space="0" w:color="auto"/>
            </w:tcBorders>
          </w:tcPr>
          <w:p w14:paraId="613E3C7D" w14:textId="77777777" w:rsidR="009758FF" w:rsidRDefault="009758FF" w:rsidP="009758FF">
            <w:pPr>
              <w:pStyle w:val="TableText"/>
            </w:pPr>
            <w:r>
              <w:t>Brown macroalga</w:t>
            </w:r>
          </w:p>
        </w:tc>
        <w:tc>
          <w:tcPr>
            <w:tcW w:w="1462" w:type="pct"/>
            <w:tcBorders>
              <w:top w:val="single" w:sz="4" w:space="0" w:color="auto"/>
              <w:bottom w:val="single" w:sz="4" w:space="0" w:color="auto"/>
            </w:tcBorders>
          </w:tcPr>
          <w:p w14:paraId="2BA36AD7" w14:textId="0BF48364" w:rsidR="009758FF" w:rsidRDefault="009758FF" w:rsidP="009758FF">
            <w:pPr>
              <w:pStyle w:val="TableText"/>
            </w:pPr>
            <w:r>
              <w:t>–</w:t>
            </w:r>
          </w:p>
        </w:tc>
      </w:tr>
      <w:tr w:rsidR="009758FF" w:rsidRPr="006B4B43" w14:paraId="3078E82A" w14:textId="77777777" w:rsidTr="00B03077">
        <w:trPr>
          <w:cantSplit/>
        </w:trPr>
        <w:tc>
          <w:tcPr>
            <w:tcW w:w="788" w:type="pct"/>
          </w:tcPr>
          <w:p w14:paraId="29DD1A21" w14:textId="42592D88" w:rsidR="009758FF" w:rsidRDefault="009758FF" w:rsidP="009758FF">
            <w:pPr>
              <w:pStyle w:val="TableText"/>
            </w:pPr>
          </w:p>
        </w:tc>
        <w:tc>
          <w:tcPr>
            <w:tcW w:w="1402" w:type="pct"/>
            <w:tcBorders>
              <w:top w:val="single" w:sz="4" w:space="0" w:color="auto"/>
              <w:bottom w:val="single" w:sz="4" w:space="0" w:color="auto"/>
            </w:tcBorders>
          </w:tcPr>
          <w:p w14:paraId="22403BCE" w14:textId="77777777" w:rsidR="009758FF" w:rsidRDefault="009758FF" w:rsidP="009758FF">
            <w:pPr>
              <w:pStyle w:val="TableText"/>
            </w:pPr>
            <w:r>
              <w:t>Rhodophyta</w:t>
            </w:r>
          </w:p>
        </w:tc>
        <w:tc>
          <w:tcPr>
            <w:tcW w:w="1349" w:type="pct"/>
            <w:tcBorders>
              <w:top w:val="single" w:sz="4" w:space="0" w:color="auto"/>
              <w:bottom w:val="single" w:sz="4" w:space="0" w:color="auto"/>
            </w:tcBorders>
          </w:tcPr>
          <w:p w14:paraId="1543232F" w14:textId="77777777" w:rsidR="009758FF" w:rsidRDefault="009758FF" w:rsidP="009758FF">
            <w:pPr>
              <w:pStyle w:val="TableText"/>
            </w:pPr>
            <w:r>
              <w:t>Red macroalga</w:t>
            </w:r>
          </w:p>
        </w:tc>
        <w:tc>
          <w:tcPr>
            <w:tcW w:w="1462" w:type="pct"/>
            <w:tcBorders>
              <w:top w:val="single" w:sz="4" w:space="0" w:color="auto"/>
              <w:bottom w:val="single" w:sz="4" w:space="0" w:color="auto"/>
            </w:tcBorders>
          </w:tcPr>
          <w:p w14:paraId="4BA97147" w14:textId="7D3CBB12" w:rsidR="009758FF" w:rsidRDefault="009758FF" w:rsidP="009758FF">
            <w:pPr>
              <w:pStyle w:val="TableText"/>
            </w:pPr>
            <w:r>
              <w:t>–</w:t>
            </w:r>
          </w:p>
        </w:tc>
      </w:tr>
      <w:tr w:rsidR="009758FF" w:rsidRPr="006B4B43" w14:paraId="216D5ADD" w14:textId="77777777" w:rsidTr="00B03077">
        <w:trPr>
          <w:cantSplit/>
        </w:trPr>
        <w:tc>
          <w:tcPr>
            <w:tcW w:w="788" w:type="pct"/>
            <w:tcBorders>
              <w:bottom w:val="single" w:sz="4" w:space="0" w:color="auto"/>
            </w:tcBorders>
          </w:tcPr>
          <w:p w14:paraId="41305DD0" w14:textId="57068570" w:rsidR="009758FF" w:rsidRPr="006B4B43" w:rsidRDefault="009758FF" w:rsidP="009758FF">
            <w:pPr>
              <w:pStyle w:val="TableText"/>
            </w:pPr>
          </w:p>
        </w:tc>
        <w:tc>
          <w:tcPr>
            <w:tcW w:w="1402" w:type="pct"/>
            <w:tcBorders>
              <w:top w:val="single" w:sz="4" w:space="0" w:color="auto"/>
              <w:bottom w:val="single" w:sz="4" w:space="0" w:color="auto"/>
            </w:tcBorders>
          </w:tcPr>
          <w:p w14:paraId="778BD3CB" w14:textId="77777777" w:rsidR="009758FF" w:rsidRPr="006B4B43" w:rsidRDefault="009758FF" w:rsidP="009758FF">
            <w:pPr>
              <w:pStyle w:val="TableText"/>
            </w:pPr>
            <w:r w:rsidRPr="57352DF8">
              <w:t>Tracheophyta</w:t>
            </w:r>
          </w:p>
        </w:tc>
        <w:tc>
          <w:tcPr>
            <w:tcW w:w="1349" w:type="pct"/>
            <w:tcBorders>
              <w:top w:val="single" w:sz="4" w:space="0" w:color="auto"/>
              <w:bottom w:val="single" w:sz="4" w:space="0" w:color="auto"/>
            </w:tcBorders>
          </w:tcPr>
          <w:p w14:paraId="4A490DC7" w14:textId="77777777" w:rsidR="009758FF" w:rsidRPr="006B4B43" w:rsidRDefault="009758FF" w:rsidP="009758FF">
            <w:pPr>
              <w:pStyle w:val="TableText"/>
            </w:pPr>
            <w:r>
              <w:t>Macrophyte</w:t>
            </w:r>
          </w:p>
        </w:tc>
        <w:tc>
          <w:tcPr>
            <w:tcW w:w="1462" w:type="pct"/>
            <w:tcBorders>
              <w:top w:val="single" w:sz="4" w:space="0" w:color="auto"/>
              <w:bottom w:val="single" w:sz="4" w:space="0" w:color="auto"/>
            </w:tcBorders>
          </w:tcPr>
          <w:p w14:paraId="458A09F4" w14:textId="26E82ED6" w:rsidR="009758FF" w:rsidRDefault="009758FF" w:rsidP="009758FF">
            <w:pPr>
              <w:pStyle w:val="TableText"/>
            </w:pPr>
            <w:r>
              <w:t xml:space="preserve">Duckweed, </w:t>
            </w:r>
            <w:r w:rsidRPr="00204E4F">
              <w:t>watermilfoil</w:t>
            </w:r>
            <w:r>
              <w:t xml:space="preserve">, </w:t>
            </w:r>
            <w:r w:rsidRPr="006E1D2E">
              <w:rPr>
                <w:i/>
                <w:iCs/>
              </w:rPr>
              <w:t>Hydrilla</w:t>
            </w:r>
            <w:r>
              <w:t>, seagrass</w:t>
            </w:r>
          </w:p>
        </w:tc>
      </w:tr>
      <w:tr w:rsidR="009758FF" w:rsidRPr="006B4B43" w14:paraId="6938EDF6" w14:textId="77777777" w:rsidTr="00B03077">
        <w:trPr>
          <w:cantSplit/>
        </w:trPr>
        <w:tc>
          <w:tcPr>
            <w:tcW w:w="788" w:type="pct"/>
            <w:tcBorders>
              <w:top w:val="single" w:sz="4" w:space="0" w:color="auto"/>
            </w:tcBorders>
          </w:tcPr>
          <w:p w14:paraId="09C0DFC6" w14:textId="77777777" w:rsidR="009758FF" w:rsidRPr="006B4B43" w:rsidRDefault="009758FF" w:rsidP="009758FF">
            <w:pPr>
              <w:pStyle w:val="TableText"/>
            </w:pPr>
            <w:r w:rsidRPr="006B4B43">
              <w:t>Others</w:t>
            </w:r>
          </w:p>
        </w:tc>
        <w:tc>
          <w:tcPr>
            <w:tcW w:w="1402" w:type="pct"/>
            <w:tcBorders>
              <w:top w:val="single" w:sz="4" w:space="0" w:color="auto"/>
              <w:bottom w:val="single" w:sz="4" w:space="0" w:color="auto"/>
            </w:tcBorders>
          </w:tcPr>
          <w:p w14:paraId="47556DF2" w14:textId="77777777" w:rsidR="009758FF" w:rsidRPr="006B4B43" w:rsidRDefault="009758FF" w:rsidP="009758FF">
            <w:pPr>
              <w:pStyle w:val="TableText"/>
            </w:pPr>
            <w:r>
              <w:t>C</w:t>
            </w:r>
            <w:r w:rsidRPr="006B4B43">
              <w:t>yanobacteria</w:t>
            </w:r>
          </w:p>
        </w:tc>
        <w:tc>
          <w:tcPr>
            <w:tcW w:w="1349" w:type="pct"/>
            <w:tcBorders>
              <w:top w:val="single" w:sz="4" w:space="0" w:color="auto"/>
              <w:bottom w:val="single" w:sz="4" w:space="0" w:color="auto"/>
            </w:tcBorders>
          </w:tcPr>
          <w:p w14:paraId="3367AD8A" w14:textId="7E59BDC4" w:rsidR="009758FF" w:rsidRPr="006B4B43" w:rsidRDefault="009758FF" w:rsidP="009758FF">
            <w:pPr>
              <w:pStyle w:val="TableText"/>
            </w:pPr>
            <w:r>
              <w:t>Cyanobacterium</w:t>
            </w:r>
          </w:p>
        </w:tc>
        <w:tc>
          <w:tcPr>
            <w:tcW w:w="1462" w:type="pct"/>
            <w:tcBorders>
              <w:top w:val="single" w:sz="4" w:space="0" w:color="auto"/>
              <w:bottom w:val="single" w:sz="4" w:space="0" w:color="auto"/>
            </w:tcBorders>
          </w:tcPr>
          <w:p w14:paraId="2B794BB2" w14:textId="5D2BE6F7" w:rsidR="009758FF" w:rsidRDefault="009758FF" w:rsidP="009758FF">
            <w:pPr>
              <w:pStyle w:val="TableText"/>
            </w:pPr>
            <w:r>
              <w:t>–</w:t>
            </w:r>
          </w:p>
        </w:tc>
      </w:tr>
      <w:tr w:rsidR="009758FF" w:rsidRPr="006B4B43" w14:paraId="3DAA5DA3" w14:textId="77777777" w:rsidTr="00B03077">
        <w:trPr>
          <w:cantSplit/>
        </w:trPr>
        <w:tc>
          <w:tcPr>
            <w:tcW w:w="788" w:type="pct"/>
          </w:tcPr>
          <w:p w14:paraId="75630C6D" w14:textId="5DD034B6" w:rsidR="009758FF" w:rsidRPr="006B4B43" w:rsidRDefault="009758FF" w:rsidP="009758FF">
            <w:pPr>
              <w:pStyle w:val="TableText"/>
            </w:pPr>
          </w:p>
        </w:tc>
        <w:tc>
          <w:tcPr>
            <w:tcW w:w="1402" w:type="pct"/>
            <w:tcBorders>
              <w:top w:val="single" w:sz="4" w:space="0" w:color="auto"/>
              <w:bottom w:val="single" w:sz="4" w:space="0" w:color="auto"/>
            </w:tcBorders>
          </w:tcPr>
          <w:p w14:paraId="73E0AEE0" w14:textId="77777777" w:rsidR="009758FF" w:rsidRPr="006B4B43" w:rsidRDefault="009758FF" w:rsidP="009758FF">
            <w:pPr>
              <w:pStyle w:val="TableText"/>
            </w:pPr>
            <w:r>
              <w:t>Bacteria</w:t>
            </w:r>
          </w:p>
        </w:tc>
        <w:tc>
          <w:tcPr>
            <w:tcW w:w="1349" w:type="pct"/>
            <w:tcBorders>
              <w:top w:val="single" w:sz="4" w:space="0" w:color="auto"/>
              <w:bottom w:val="single" w:sz="4" w:space="0" w:color="auto"/>
            </w:tcBorders>
          </w:tcPr>
          <w:p w14:paraId="0DA1BC31" w14:textId="77777777" w:rsidR="009758FF" w:rsidRPr="006B4B43" w:rsidRDefault="009758FF" w:rsidP="009758FF">
            <w:pPr>
              <w:pStyle w:val="TableText"/>
            </w:pPr>
            <w:r>
              <w:t>Bacterium</w:t>
            </w:r>
          </w:p>
        </w:tc>
        <w:tc>
          <w:tcPr>
            <w:tcW w:w="1462" w:type="pct"/>
            <w:tcBorders>
              <w:top w:val="single" w:sz="4" w:space="0" w:color="auto"/>
              <w:bottom w:val="single" w:sz="4" w:space="0" w:color="auto"/>
            </w:tcBorders>
          </w:tcPr>
          <w:p w14:paraId="10BD5E2C" w14:textId="1768391F" w:rsidR="009758FF" w:rsidRDefault="009758FF" w:rsidP="009758FF">
            <w:pPr>
              <w:pStyle w:val="TableText"/>
            </w:pPr>
            <w:r>
              <w:t>–</w:t>
            </w:r>
          </w:p>
        </w:tc>
      </w:tr>
      <w:tr w:rsidR="009758FF" w:rsidRPr="006B4B43" w14:paraId="558E650D" w14:textId="77777777" w:rsidTr="00B03077">
        <w:trPr>
          <w:cantSplit/>
        </w:trPr>
        <w:tc>
          <w:tcPr>
            <w:tcW w:w="788" w:type="pct"/>
          </w:tcPr>
          <w:p w14:paraId="66348C8F" w14:textId="5937A236" w:rsidR="009758FF" w:rsidRPr="006B4B43" w:rsidRDefault="009758FF" w:rsidP="009758FF">
            <w:pPr>
              <w:pStyle w:val="TableText"/>
            </w:pPr>
          </w:p>
        </w:tc>
        <w:tc>
          <w:tcPr>
            <w:tcW w:w="1402" w:type="pct"/>
            <w:tcBorders>
              <w:top w:val="single" w:sz="4" w:space="0" w:color="auto"/>
              <w:bottom w:val="single" w:sz="4" w:space="0" w:color="auto"/>
            </w:tcBorders>
          </w:tcPr>
          <w:p w14:paraId="09013AA5" w14:textId="77777777" w:rsidR="009758FF" w:rsidRPr="006B4B43" w:rsidRDefault="009758FF" w:rsidP="009758FF">
            <w:pPr>
              <w:pStyle w:val="TableText"/>
            </w:pPr>
            <w:r>
              <w:t>Protozoa</w:t>
            </w:r>
          </w:p>
        </w:tc>
        <w:tc>
          <w:tcPr>
            <w:tcW w:w="1349" w:type="pct"/>
            <w:tcBorders>
              <w:top w:val="single" w:sz="4" w:space="0" w:color="auto"/>
              <w:bottom w:val="single" w:sz="4" w:space="0" w:color="auto"/>
            </w:tcBorders>
          </w:tcPr>
          <w:p w14:paraId="0F33869D" w14:textId="77777777" w:rsidR="009758FF" w:rsidRPr="006B4B43" w:rsidRDefault="009758FF" w:rsidP="009758FF">
            <w:pPr>
              <w:pStyle w:val="TableText"/>
            </w:pPr>
            <w:r>
              <w:t>Protozoan</w:t>
            </w:r>
          </w:p>
        </w:tc>
        <w:tc>
          <w:tcPr>
            <w:tcW w:w="1462" w:type="pct"/>
            <w:tcBorders>
              <w:top w:val="single" w:sz="4" w:space="0" w:color="auto"/>
              <w:bottom w:val="single" w:sz="4" w:space="0" w:color="auto"/>
            </w:tcBorders>
          </w:tcPr>
          <w:p w14:paraId="46BFF121" w14:textId="1B961508" w:rsidR="009758FF" w:rsidRDefault="009758FF" w:rsidP="009758FF">
            <w:pPr>
              <w:pStyle w:val="TableText"/>
            </w:pPr>
            <w:r>
              <w:t>–</w:t>
            </w:r>
          </w:p>
        </w:tc>
      </w:tr>
      <w:tr w:rsidR="009758FF" w:rsidRPr="006B4B43" w14:paraId="06BD3C64" w14:textId="77777777" w:rsidTr="00B03077">
        <w:trPr>
          <w:cantSplit/>
        </w:trPr>
        <w:tc>
          <w:tcPr>
            <w:tcW w:w="788" w:type="pct"/>
            <w:tcBorders>
              <w:bottom w:val="single" w:sz="12" w:space="0" w:color="auto"/>
            </w:tcBorders>
          </w:tcPr>
          <w:p w14:paraId="23896428" w14:textId="5B642BC9" w:rsidR="009758FF" w:rsidRPr="006B4B43" w:rsidRDefault="009758FF" w:rsidP="009758FF">
            <w:pPr>
              <w:pStyle w:val="TableText"/>
            </w:pPr>
          </w:p>
        </w:tc>
        <w:tc>
          <w:tcPr>
            <w:tcW w:w="1402" w:type="pct"/>
            <w:tcBorders>
              <w:top w:val="single" w:sz="4" w:space="0" w:color="auto"/>
              <w:bottom w:val="single" w:sz="12" w:space="0" w:color="auto"/>
            </w:tcBorders>
          </w:tcPr>
          <w:p w14:paraId="68D4257A" w14:textId="77777777" w:rsidR="009758FF" w:rsidRPr="006B4B43" w:rsidRDefault="009758FF" w:rsidP="009758FF">
            <w:pPr>
              <w:pStyle w:val="TableText"/>
            </w:pPr>
            <w:r>
              <w:t>F</w:t>
            </w:r>
            <w:r w:rsidRPr="006B4B43">
              <w:t>ungi</w:t>
            </w:r>
          </w:p>
        </w:tc>
        <w:tc>
          <w:tcPr>
            <w:tcW w:w="1349" w:type="pct"/>
            <w:tcBorders>
              <w:top w:val="single" w:sz="4" w:space="0" w:color="auto"/>
              <w:bottom w:val="single" w:sz="12" w:space="0" w:color="auto"/>
            </w:tcBorders>
          </w:tcPr>
          <w:p w14:paraId="2DAE9615" w14:textId="77777777" w:rsidR="009758FF" w:rsidRPr="006B4B43" w:rsidRDefault="009758FF" w:rsidP="009758FF">
            <w:pPr>
              <w:pStyle w:val="TableText"/>
            </w:pPr>
            <w:r>
              <w:t>Fungus</w:t>
            </w:r>
          </w:p>
        </w:tc>
        <w:tc>
          <w:tcPr>
            <w:tcW w:w="1462" w:type="pct"/>
            <w:tcBorders>
              <w:top w:val="single" w:sz="4" w:space="0" w:color="auto"/>
              <w:bottom w:val="single" w:sz="12" w:space="0" w:color="auto"/>
            </w:tcBorders>
          </w:tcPr>
          <w:p w14:paraId="1DC07886" w14:textId="6A91F1E2" w:rsidR="009758FF" w:rsidRDefault="009758FF" w:rsidP="009758FF">
            <w:pPr>
              <w:pStyle w:val="TableText"/>
            </w:pPr>
            <w:r>
              <w:t>–</w:t>
            </w:r>
          </w:p>
        </w:tc>
      </w:tr>
    </w:tbl>
    <w:p w14:paraId="6DAD22D4" w14:textId="42CCE7C9" w:rsidR="00B679A4" w:rsidRDefault="008C7CA9" w:rsidP="00DC403C">
      <w:pPr>
        <w:pStyle w:val="FigureTableNoteSource"/>
      </w:pPr>
      <w:r w:rsidRPr="00DC403C">
        <w:rPr>
          <w:b/>
          <w:bCs/>
          <w:vertAlign w:val="superscript"/>
        </w:rPr>
        <w:t>a</w:t>
      </w:r>
      <w:r w:rsidRPr="57352DF8">
        <w:t xml:space="preserve"> List is not exhaustive </w:t>
      </w:r>
      <w:r w:rsidRPr="00DC403C">
        <w:t>for</w:t>
      </w:r>
      <w:r w:rsidRPr="57352DF8">
        <w:t xml:space="preserve"> all test species, and professional </w:t>
      </w:r>
      <w:r w:rsidR="00542D1C">
        <w:t>judgement</w:t>
      </w:r>
      <w:r w:rsidRPr="57352DF8">
        <w:t xml:space="preserve"> may be required to assign other taxonomic group</w:t>
      </w:r>
      <w:r w:rsidR="00A87B22" w:rsidRPr="57352DF8">
        <w:t>s</w:t>
      </w:r>
      <w:r w:rsidRPr="57352DF8">
        <w:t xml:space="preserve"> that </w:t>
      </w:r>
      <w:r w:rsidR="00A87B22" w:rsidRPr="57352DF8">
        <w:t>are</w:t>
      </w:r>
      <w:r w:rsidRPr="57352DF8">
        <w:t xml:space="preserve"> not listed.</w:t>
      </w:r>
    </w:p>
    <w:p w14:paraId="74D9A6EE" w14:textId="3597A408" w:rsidR="00FD2A4A" w:rsidRPr="00FD2A4A" w:rsidRDefault="00FD2A4A" w:rsidP="00FD2A4A">
      <w:pPr>
        <w:pStyle w:val="FigureTableNoteSource"/>
      </w:pPr>
      <w:r w:rsidRPr="00FD2A4A">
        <w:rPr>
          <w:vertAlign w:val="superscript"/>
        </w:rPr>
        <w:t>b</w:t>
      </w:r>
      <w:r>
        <w:t xml:space="preserve"> Phylum classifications may vary between different </w:t>
      </w:r>
      <w:r w:rsidR="002D1782">
        <w:t xml:space="preserve">information </w:t>
      </w:r>
      <w:r>
        <w:t>sources.</w:t>
      </w:r>
    </w:p>
    <w:p w14:paraId="23DBDFAC" w14:textId="68BE90F5" w:rsidR="0093788C" w:rsidRPr="00545B18" w:rsidRDefault="00FA6EFD" w:rsidP="004D7186">
      <w:r w:rsidRPr="57352DF8">
        <w:t xml:space="preserve">The minimum acceptable </w:t>
      </w:r>
      <w:r w:rsidR="0093788C" w:rsidRPr="57352DF8">
        <w:t xml:space="preserve">data </w:t>
      </w:r>
      <w:r w:rsidR="00B66189" w:rsidRPr="57352DF8">
        <w:t xml:space="preserve">requirement </w:t>
      </w:r>
      <w:r w:rsidRPr="57352DF8">
        <w:t>is</w:t>
      </w:r>
      <w:r w:rsidR="00B66189" w:rsidRPr="57352DF8">
        <w:t>, however,</w:t>
      </w:r>
      <w:r w:rsidRPr="57352DF8">
        <w:t xml:space="preserve"> </w:t>
      </w:r>
      <w:r w:rsidR="0093788C" w:rsidRPr="57352DF8">
        <w:t xml:space="preserve">not optimal, and the use of toxicity data for more </w:t>
      </w:r>
      <w:r w:rsidR="00CB2353">
        <w:t xml:space="preserve">than 6 </w:t>
      </w:r>
      <w:r w:rsidR="0093788C" w:rsidRPr="57352DF8">
        <w:t xml:space="preserve">species and more </w:t>
      </w:r>
      <w:r w:rsidR="00CB2353">
        <w:t xml:space="preserve">than 4 </w:t>
      </w:r>
      <w:r w:rsidR="0093788C" w:rsidRPr="57352DF8">
        <w:t xml:space="preserve">taxonomic groups is </w:t>
      </w:r>
      <w:r w:rsidR="00545B18" w:rsidRPr="57352DF8">
        <w:t xml:space="preserve">highly desirable </w:t>
      </w:r>
      <w:r w:rsidR="0093788C" w:rsidRPr="57352DF8">
        <w:t xml:space="preserve">(see Section </w:t>
      </w:r>
      <w:r>
        <w:fldChar w:fldCharType="begin"/>
      </w:r>
      <w:r>
        <w:instrText xml:space="preserve"> REF _Ref522008117 \n \h </w:instrText>
      </w:r>
      <w:r>
        <w:fldChar w:fldCharType="separate"/>
      </w:r>
      <w:r w:rsidR="006C5761">
        <w:t>3.8</w:t>
      </w:r>
      <w:r>
        <w:fldChar w:fldCharType="end"/>
      </w:r>
      <w:r w:rsidR="0093788C" w:rsidRPr="57352DF8">
        <w:t>).</w:t>
      </w:r>
      <w:r w:rsidR="00006AEC" w:rsidRPr="57352DF8">
        <w:t xml:space="preserve"> </w:t>
      </w:r>
      <w:r w:rsidR="00CB7C58" w:rsidRPr="57352DF8">
        <w:t>F</w:t>
      </w:r>
      <w:r w:rsidR="00545B18" w:rsidRPr="57352DF8">
        <w:t xml:space="preserve">or the purposes of the current derivation method, and assuming </w:t>
      </w:r>
      <w:r w:rsidR="007266F1" w:rsidRPr="57352DF8">
        <w:t xml:space="preserve">that </w:t>
      </w:r>
      <w:r w:rsidR="00A652B2">
        <w:t>≥ </w:t>
      </w:r>
      <w:r w:rsidR="00C64837">
        <w:t>4</w:t>
      </w:r>
      <w:r w:rsidR="007266F1" w:rsidRPr="57352DF8">
        <w:t xml:space="preserve"> taxonomic groups are represented, datasets </w:t>
      </w:r>
      <w:r w:rsidR="0093788C" w:rsidRPr="57352DF8">
        <w:t xml:space="preserve">that </w:t>
      </w:r>
      <w:r w:rsidR="007266F1" w:rsidRPr="57352DF8">
        <w:t>contain data for</w:t>
      </w:r>
      <w:r w:rsidR="0093788C" w:rsidRPr="57352DF8">
        <w:t xml:space="preserve"> </w:t>
      </w:r>
      <w:r w:rsidR="00545B18" w:rsidRPr="57352DF8">
        <w:t>6</w:t>
      </w:r>
      <w:r w:rsidR="0093788C" w:rsidRPr="57352DF8">
        <w:t xml:space="preserve">–7 species are termed ‘adequate’, </w:t>
      </w:r>
      <w:r w:rsidR="008A54C3" w:rsidRPr="57352DF8">
        <w:t>datasets</w:t>
      </w:r>
      <w:r w:rsidR="0093788C" w:rsidRPr="57352DF8">
        <w:t xml:space="preserve"> that contain data for 8–14 species are</w:t>
      </w:r>
      <w:r w:rsidR="007266F1" w:rsidRPr="57352DF8">
        <w:t xml:space="preserve"> termed</w:t>
      </w:r>
      <w:r w:rsidR="0093788C" w:rsidRPr="57352DF8">
        <w:t xml:space="preserve"> ‘good’, and </w:t>
      </w:r>
      <w:r w:rsidR="008A54C3" w:rsidRPr="57352DF8">
        <w:t xml:space="preserve">datasets </w:t>
      </w:r>
      <w:r w:rsidR="0093788C" w:rsidRPr="57352DF8">
        <w:t xml:space="preserve">that contain data for </w:t>
      </w:r>
      <w:r w:rsidR="00154626">
        <w:t>≥ </w:t>
      </w:r>
      <w:r w:rsidR="0093788C" w:rsidRPr="57352DF8">
        <w:t>15 species are termed ‘preferred’.</w:t>
      </w:r>
      <w:r w:rsidR="00545B18" w:rsidRPr="57352DF8">
        <w:t xml:space="preserve"> These data categories are used to inform the reliability classification for GVs (see Section</w:t>
      </w:r>
      <w:r w:rsidR="00866AAC">
        <w:t> </w:t>
      </w:r>
      <w:r w:rsidR="00A3259C">
        <w:fldChar w:fldCharType="begin"/>
      </w:r>
      <w:r w:rsidR="00A3259C">
        <w:instrText xml:space="preserve"> REF _Ref522008106 \r \h </w:instrText>
      </w:r>
      <w:r w:rsidR="00A3259C">
        <w:fldChar w:fldCharType="separate"/>
      </w:r>
      <w:r w:rsidR="006C5761">
        <w:t>3.8</w:t>
      </w:r>
      <w:r w:rsidR="00A3259C">
        <w:fldChar w:fldCharType="end"/>
      </w:r>
      <w:r w:rsidR="00545B18" w:rsidRPr="57352DF8">
        <w:t>).</w:t>
      </w:r>
    </w:p>
    <w:p w14:paraId="261E0944" w14:textId="3829B15D" w:rsidR="00B679A4" w:rsidRDefault="00B66189" w:rsidP="004D7186">
      <w:r>
        <w:t>For t</w:t>
      </w:r>
      <w:r w:rsidR="0093788C">
        <w:t>oxicity datasets that meet the minimum data requirements</w:t>
      </w:r>
      <w:r w:rsidR="000E5DE2">
        <w:t>,</w:t>
      </w:r>
      <w:r w:rsidR="0093788C">
        <w:t xml:space="preserve"> </w:t>
      </w:r>
      <w:r w:rsidR="007E4C51">
        <w:t xml:space="preserve">GVs should be derived </w:t>
      </w:r>
      <w:r w:rsidR="003D4D55">
        <w:t xml:space="preserve">by </w:t>
      </w:r>
      <w:r w:rsidR="00CD70A6">
        <w:t>model</w:t>
      </w:r>
      <w:r w:rsidR="003D4D55">
        <w:t>-</w:t>
      </w:r>
      <w:r w:rsidR="00CD70A6">
        <w:t xml:space="preserve">averaging a set of candidate distributions </w:t>
      </w:r>
      <w:r w:rsidR="007E4C51">
        <w:t xml:space="preserve">using </w:t>
      </w:r>
      <w:r w:rsidR="006C7F6D">
        <w:t xml:space="preserve">the </w:t>
      </w:r>
      <w:r w:rsidR="003D4D55">
        <w:t>‘</w:t>
      </w:r>
      <w:r w:rsidR="006C7F6D">
        <w:t>ssd_fit_bcanz()</w:t>
      </w:r>
      <w:r w:rsidR="003D4D55">
        <w:t>’</w:t>
      </w:r>
      <w:r w:rsidR="006C7F6D">
        <w:t xml:space="preserve"> function in ssdtools or via </w:t>
      </w:r>
      <w:r w:rsidR="00D94020">
        <w:t>shinyssdtools</w:t>
      </w:r>
      <w:r w:rsidR="006C7F6D">
        <w:t xml:space="preserve">. </w:t>
      </w:r>
      <w:r w:rsidR="00961B60">
        <w:t xml:space="preserve">The use of this method will ensure </w:t>
      </w:r>
      <w:r w:rsidR="30CAFD9B">
        <w:t xml:space="preserve">that </w:t>
      </w:r>
      <w:r w:rsidR="00961B60">
        <w:t xml:space="preserve">the currently </w:t>
      </w:r>
      <w:r w:rsidR="00184D20">
        <w:t>approved</w:t>
      </w:r>
      <w:r w:rsidR="00961B60">
        <w:t xml:space="preserve"> </w:t>
      </w:r>
      <w:r w:rsidR="00184D20">
        <w:t xml:space="preserve">ssdtools settings </w:t>
      </w:r>
      <w:r w:rsidR="0048446A">
        <w:t xml:space="preserve">and associated methods </w:t>
      </w:r>
      <w:r w:rsidR="00184D20">
        <w:t>are used</w:t>
      </w:r>
      <w:r w:rsidR="0048446A">
        <w:t xml:space="preserve"> for the derivation</w:t>
      </w:r>
      <w:r w:rsidR="00F869ED">
        <w:t xml:space="preserve"> (see Section </w:t>
      </w:r>
      <w:r w:rsidR="00A3259C">
        <w:fldChar w:fldCharType="begin"/>
      </w:r>
      <w:r w:rsidR="00A3259C">
        <w:instrText xml:space="preserve"> REF _Ref202089066 \r \h </w:instrText>
      </w:r>
      <w:r w:rsidR="00A3259C">
        <w:fldChar w:fldCharType="separate"/>
      </w:r>
      <w:r w:rsidR="006C5761">
        <w:t>0</w:t>
      </w:r>
      <w:r w:rsidR="00A3259C">
        <w:fldChar w:fldCharType="end"/>
      </w:r>
      <w:r w:rsidR="00F869ED">
        <w:t xml:space="preserve"> for further details)</w:t>
      </w:r>
      <w:r w:rsidR="00184D20">
        <w:t xml:space="preserve">. </w:t>
      </w:r>
      <w:r w:rsidR="00756D65">
        <w:t>As previously specified, D</w:t>
      </w:r>
      <w:r w:rsidR="0093788C">
        <w:t xml:space="preserve">GVs </w:t>
      </w:r>
      <w:r w:rsidR="00756D65">
        <w:t xml:space="preserve">should be derived </w:t>
      </w:r>
      <w:r w:rsidR="0093788C">
        <w:t xml:space="preserve">using chronic ecotoxicity data. If, however, there are insufficient chronic ecotoxicity data to generate </w:t>
      </w:r>
      <w:r w:rsidR="00756D65">
        <w:t>D</w:t>
      </w:r>
      <w:r w:rsidR="0093788C">
        <w:t>GVs using the SSD method or there are sufficient data but the fit of the SSD to the data is poor, there are</w:t>
      </w:r>
      <w:r w:rsidR="00C64837">
        <w:t xml:space="preserve"> 2</w:t>
      </w:r>
      <w:r w:rsidR="0093788C">
        <w:t xml:space="preserve"> potential methods to overcome these situations</w:t>
      </w:r>
      <w:r w:rsidR="00D5491A">
        <w:t>:</w:t>
      </w:r>
    </w:p>
    <w:p w14:paraId="156CEA1E" w14:textId="6A1BF0B4" w:rsidR="00A57A92" w:rsidRDefault="0093788C" w:rsidP="00703FF0">
      <w:pPr>
        <w:pStyle w:val="ListNumber"/>
      </w:pPr>
      <w:r w:rsidRPr="57352DF8">
        <w:lastRenderedPageBreak/>
        <w:t xml:space="preserve">The first method involves supplementing chronic data with acute data </w:t>
      </w:r>
      <w:r w:rsidR="00CB7C58" w:rsidRPr="57352DF8">
        <w:t xml:space="preserve">that have been </w:t>
      </w:r>
      <w:r w:rsidRPr="57352DF8">
        <w:t>converted to chronic equivalent data</w:t>
      </w:r>
      <w:r w:rsidR="00CB7C58" w:rsidRPr="57352DF8">
        <w:t>,</w:t>
      </w:r>
      <w:r w:rsidRPr="57352DF8">
        <w:t xml:space="preserve"> as discussed in Section </w:t>
      </w:r>
      <w:r>
        <w:fldChar w:fldCharType="begin"/>
      </w:r>
      <w:r>
        <w:instrText xml:space="preserve"> REF _Ref522008131 \n \h </w:instrText>
      </w:r>
      <w:r>
        <w:fldChar w:fldCharType="separate"/>
      </w:r>
      <w:r w:rsidR="006C5761">
        <w:t>3.4.2.2</w:t>
      </w:r>
      <w:r>
        <w:fldChar w:fldCharType="end"/>
      </w:r>
      <w:r w:rsidRPr="57352DF8">
        <w:t xml:space="preserve">. This method can be applied to </w:t>
      </w:r>
      <w:r w:rsidR="00B66189" w:rsidRPr="57352DF8">
        <w:t>all types of toxicants (e.g. metals, non-metallic inorganics, organics)</w:t>
      </w:r>
      <w:r w:rsidRPr="57352DF8">
        <w:t xml:space="preserve">. It was not prescribed by the 2000 Guidelines for the derivation of GVs but it has been used since in deriving site-specific GVs </w:t>
      </w:r>
      <w:r w:rsidR="00B66189" w:rsidRPr="57352DF8">
        <w:t xml:space="preserve">in order </w:t>
      </w:r>
      <w:r w:rsidRPr="57352DF8">
        <w:t xml:space="preserve">to overcome a lack of data. The value of this approach for </w:t>
      </w:r>
      <w:r w:rsidR="00B66189" w:rsidRPr="57352DF8">
        <w:t xml:space="preserve">toxicants with </w:t>
      </w:r>
      <w:r w:rsidRPr="57352DF8">
        <w:t xml:space="preserve">small chronic datasets is now recognised and, as such, </w:t>
      </w:r>
      <w:r w:rsidR="0032233E">
        <w:t xml:space="preserve">it </w:t>
      </w:r>
      <w:r w:rsidR="00CB7C58" w:rsidRPr="57352DF8">
        <w:t>is</w:t>
      </w:r>
      <w:r w:rsidRPr="57352DF8">
        <w:t xml:space="preserve"> included in the </w:t>
      </w:r>
      <w:r w:rsidR="00CB7C58" w:rsidRPr="57352DF8">
        <w:t xml:space="preserve">current </w:t>
      </w:r>
      <w:r w:rsidRPr="57352DF8">
        <w:t>derivation method and can be used to deriv</w:t>
      </w:r>
      <w:r w:rsidR="00794EAB" w:rsidRPr="57352DF8">
        <w:t>e GVs at any spatial scale (</w:t>
      </w:r>
      <w:r w:rsidR="0032233E">
        <w:t>e.g.</w:t>
      </w:r>
      <w:r w:rsidRPr="57352DF8">
        <w:t xml:space="preserve"> national, regional</w:t>
      </w:r>
      <w:r w:rsidR="0032233E">
        <w:t>,</w:t>
      </w:r>
      <w:r w:rsidRPr="57352DF8">
        <w:t xml:space="preserve"> site-specific). </w:t>
      </w:r>
      <w:r w:rsidR="009B455F" w:rsidRPr="57352DF8">
        <w:t xml:space="preserve">Using this method will result in a lower reliability being assigned to the resulting GVs, as described in Section </w:t>
      </w:r>
      <w:r>
        <w:fldChar w:fldCharType="begin"/>
      </w:r>
      <w:r>
        <w:instrText xml:space="preserve"> REF _Ref522008142 \n \h </w:instrText>
      </w:r>
      <w:r>
        <w:fldChar w:fldCharType="separate"/>
      </w:r>
      <w:r w:rsidR="006C5761">
        <w:t>3.8</w:t>
      </w:r>
      <w:r>
        <w:fldChar w:fldCharType="end"/>
      </w:r>
      <w:r w:rsidR="009B455F" w:rsidRPr="57352DF8">
        <w:t>.</w:t>
      </w:r>
    </w:p>
    <w:p w14:paraId="328F06CB" w14:textId="77777777" w:rsidR="00A57A92" w:rsidRDefault="0093788C" w:rsidP="004D7186">
      <w:pPr>
        <w:pStyle w:val="ListNumber"/>
      </w:pPr>
      <w:r w:rsidRPr="57352DF8">
        <w:t xml:space="preserve">The second method is to combine chronic ecotoxicity data from more than one medium </w:t>
      </w:r>
      <w:r w:rsidR="000D2BB9">
        <w:t>(i.e.</w:t>
      </w:r>
      <w:r w:rsidRPr="57352DF8">
        <w:t xml:space="preserve"> fresh</w:t>
      </w:r>
      <w:r w:rsidR="00D20939">
        <w:t>water</w:t>
      </w:r>
      <w:r w:rsidR="008A7E04">
        <w:t>,</w:t>
      </w:r>
      <w:r w:rsidRPr="57352DF8">
        <w:t xml:space="preserve"> estuarine</w:t>
      </w:r>
      <w:r w:rsidR="008A7E04">
        <w:t xml:space="preserve"> water,</w:t>
      </w:r>
      <w:r w:rsidRPr="57352DF8">
        <w:t xml:space="preserve"> marine water). This method can only be applied to organic </w:t>
      </w:r>
      <w:r w:rsidR="00B66189" w:rsidRPr="57352DF8">
        <w:t xml:space="preserve">toxicants </w:t>
      </w:r>
      <w:r w:rsidRPr="57352DF8">
        <w:t xml:space="preserve">when </w:t>
      </w:r>
      <w:r w:rsidR="00F74CA1" w:rsidRPr="57352DF8">
        <w:t xml:space="preserve">(i) </w:t>
      </w:r>
      <w:r w:rsidRPr="57352DF8">
        <w:t xml:space="preserve">statistical analysis indicates </w:t>
      </w:r>
      <w:r w:rsidR="004B1642" w:rsidRPr="57352DF8">
        <w:t xml:space="preserve">that </w:t>
      </w:r>
      <w:r w:rsidRPr="57352DF8">
        <w:t xml:space="preserve">there is no difference in the </w:t>
      </w:r>
      <w:r w:rsidR="004B1642" w:rsidRPr="57352DF8">
        <w:t xml:space="preserve">bioavailability or </w:t>
      </w:r>
      <w:r w:rsidR="00223E4A" w:rsidRPr="57352DF8">
        <w:t>toxicity of</w:t>
      </w:r>
      <w:r w:rsidR="008A54C3" w:rsidRPr="57352DF8">
        <w:t xml:space="preserve"> </w:t>
      </w:r>
      <w:r w:rsidRPr="57352DF8">
        <w:t xml:space="preserve">the chemical in the media being combined or </w:t>
      </w:r>
      <w:r w:rsidR="00F74CA1" w:rsidRPr="57352DF8">
        <w:t xml:space="preserve">(ii) </w:t>
      </w:r>
      <w:r w:rsidRPr="57352DF8">
        <w:t xml:space="preserve">based on knowledge of the chemistry of the chemical or its mode of action, there is no reason to expect differences in the toxicity of the chemical in the media being combined. </w:t>
      </w:r>
      <w:r w:rsidR="00F053EF" w:rsidRPr="57352DF8">
        <w:t xml:space="preserve">Although separate DGVs for freshwater and marine water </w:t>
      </w:r>
      <w:r w:rsidR="00D5491A" w:rsidRPr="57352DF8">
        <w:t>are</w:t>
      </w:r>
      <w:r w:rsidR="00F053EF" w:rsidRPr="57352DF8">
        <w:t xml:space="preserve"> typically derived, it may be possible</w:t>
      </w:r>
      <w:r w:rsidR="00733F60" w:rsidRPr="57352DF8">
        <w:t xml:space="preserve">, </w:t>
      </w:r>
      <w:r w:rsidR="00C74194" w:rsidRPr="57352DF8">
        <w:t>and</w:t>
      </w:r>
      <w:r w:rsidR="00733F60" w:rsidRPr="57352DF8">
        <w:t xml:space="preserve"> </w:t>
      </w:r>
      <w:r w:rsidR="00A849B6" w:rsidRPr="57352DF8">
        <w:t>in some cases</w:t>
      </w:r>
      <w:r w:rsidR="00733F60" w:rsidRPr="57352DF8">
        <w:t xml:space="preserve"> </w:t>
      </w:r>
      <w:r w:rsidR="00C74194" w:rsidRPr="57352DF8">
        <w:t>preferable</w:t>
      </w:r>
      <w:r w:rsidR="00733F60" w:rsidRPr="57352DF8">
        <w:t>,</w:t>
      </w:r>
      <w:r w:rsidR="00F053EF" w:rsidRPr="57352DF8">
        <w:t xml:space="preserve"> to derive a single DG</w:t>
      </w:r>
      <w:r w:rsidR="001655AF" w:rsidRPr="57352DF8">
        <w:t>V</w:t>
      </w:r>
      <w:r w:rsidR="00F053EF" w:rsidRPr="57352DF8">
        <w:t xml:space="preserve"> for both freshwater and marine water </w:t>
      </w:r>
      <w:r w:rsidR="001655AF" w:rsidRPr="57352DF8">
        <w:t xml:space="preserve">where the </w:t>
      </w:r>
      <w:r w:rsidR="00D5491A" w:rsidRPr="57352DF8">
        <w:t>above c</w:t>
      </w:r>
      <w:r w:rsidR="00C74725" w:rsidRPr="57352DF8">
        <w:t xml:space="preserve">riteria have been met. </w:t>
      </w:r>
      <w:r w:rsidR="007A6490">
        <w:t xml:space="preserve">Such a </w:t>
      </w:r>
      <w:r w:rsidR="007A6490" w:rsidRPr="00703FF0">
        <w:t>decision</w:t>
      </w:r>
      <w:r w:rsidR="007A6490">
        <w:t xml:space="preserve"> should be based on the circumstances of each specific case. Notably, i</w:t>
      </w:r>
      <w:r w:rsidR="009B455F" w:rsidRPr="57352DF8">
        <w:t xml:space="preserve">f </w:t>
      </w:r>
      <w:r w:rsidR="00123560">
        <w:t>it is deemed valid to pool data from both media (based on the above criteria)</w:t>
      </w:r>
      <w:r w:rsidR="009B455F" w:rsidRPr="57352DF8">
        <w:t>, the GV reliability is not downgraded as it is for a dataset containing a mix of chronic and (converted) acute data.</w:t>
      </w:r>
    </w:p>
    <w:p w14:paraId="2CB835E1" w14:textId="2658AA6E" w:rsidR="00B679A4" w:rsidRDefault="0093788C" w:rsidP="00A57A92">
      <w:r>
        <w:t xml:space="preserve">The use of either method for supplementing the chronic dataset </w:t>
      </w:r>
      <w:r w:rsidRPr="00C127D4">
        <w:t>should be justified</w:t>
      </w:r>
      <w:r>
        <w:t>. In</w:t>
      </w:r>
      <w:r w:rsidRPr="00C127D4">
        <w:t xml:space="preserve"> the case of organic chemicals</w:t>
      </w:r>
      <w:r>
        <w:t>,</w:t>
      </w:r>
      <w:r w:rsidRPr="00C127D4">
        <w:t xml:space="preserve"> the justification should include </w:t>
      </w:r>
      <w:r w:rsidR="00B66189">
        <w:t xml:space="preserve">consideration of </w:t>
      </w:r>
      <w:r w:rsidRPr="00C127D4">
        <w:t xml:space="preserve">the number of species and taxa represented in </w:t>
      </w:r>
      <w:r>
        <w:t xml:space="preserve">each </w:t>
      </w:r>
      <w:r w:rsidRPr="00C127D4">
        <w:t xml:space="preserve">combined dataset and the fit of the SSD </w:t>
      </w:r>
      <w:r w:rsidRPr="008A54C3">
        <w:t>to</w:t>
      </w:r>
      <w:r w:rsidRPr="00C127D4">
        <w:t xml:space="preserve"> the combined data. The method </w:t>
      </w:r>
      <w:r>
        <w:t xml:space="preserve">selected for </w:t>
      </w:r>
      <w:r w:rsidRPr="00C127D4">
        <w:t xml:space="preserve">use </w:t>
      </w:r>
      <w:r>
        <w:t>should be</w:t>
      </w:r>
      <w:r w:rsidRPr="00C127D4">
        <w:t xml:space="preserve"> the one that </w:t>
      </w:r>
      <w:r w:rsidR="00B66189">
        <w:t>results in</w:t>
      </w:r>
      <w:r w:rsidR="00B66189" w:rsidRPr="00C127D4">
        <w:t xml:space="preserve"> </w:t>
      </w:r>
      <w:r w:rsidRPr="00C127D4">
        <w:t xml:space="preserve">data for more species and taxa </w:t>
      </w:r>
      <w:r>
        <w:t>or</w:t>
      </w:r>
      <w:r w:rsidRPr="00C127D4">
        <w:t xml:space="preserve"> a </w:t>
      </w:r>
      <w:r w:rsidRPr="008A54C3">
        <w:t>better fit of the SSD to the data.</w:t>
      </w:r>
    </w:p>
    <w:p w14:paraId="31F7CC49" w14:textId="669F0AD2" w:rsidR="00B679A4" w:rsidRDefault="0093788C" w:rsidP="004D7186">
      <w:r w:rsidRPr="00C127D4">
        <w:t>If there are still insufficient data to derive GVs using the SSD method</w:t>
      </w:r>
      <w:r w:rsidR="00BC1549">
        <w:t>,</w:t>
      </w:r>
      <w:r w:rsidRPr="00C127D4">
        <w:t xml:space="preserve"> the less-favoured </w:t>
      </w:r>
      <w:r w:rsidR="00BC1549">
        <w:t>AF</w:t>
      </w:r>
      <w:r w:rsidRPr="00C127D4">
        <w:t xml:space="preserve"> method should be used (</w:t>
      </w:r>
      <w:r w:rsidR="00B66189">
        <w:t xml:space="preserve">see </w:t>
      </w:r>
      <w:r w:rsidR="00024767">
        <w:t>S</w:t>
      </w:r>
      <w:r w:rsidR="00B66189">
        <w:t xml:space="preserve">ection </w:t>
      </w:r>
      <w:r w:rsidR="00A3259C">
        <w:fldChar w:fldCharType="begin"/>
      </w:r>
      <w:r w:rsidR="00A3259C">
        <w:instrText xml:space="preserve"> REF _Ref202089081 \r \h </w:instrText>
      </w:r>
      <w:r w:rsidR="00A3259C">
        <w:fldChar w:fldCharType="separate"/>
      </w:r>
      <w:r w:rsidR="006C5761">
        <w:t>4</w:t>
      </w:r>
      <w:r w:rsidR="00A3259C">
        <w:fldChar w:fldCharType="end"/>
      </w:r>
      <w:r w:rsidR="00B66189">
        <w:t xml:space="preserve"> and </w:t>
      </w:r>
      <w:r w:rsidRPr="00C127D4">
        <w:t>Warne 2001).</w:t>
      </w:r>
      <w:bookmarkStart w:id="108" w:name="_Ref522008201"/>
      <w:bookmarkStart w:id="109" w:name="_Toc202084772"/>
    </w:p>
    <w:p w14:paraId="7CCD3A47" w14:textId="7FDD1A64" w:rsidR="00B679A4" w:rsidRDefault="0093788C" w:rsidP="008C3DDF">
      <w:pPr>
        <w:pStyle w:val="Heading3"/>
      </w:pPr>
      <w:bookmarkStart w:id="110" w:name="_Toc206143332"/>
      <w:r>
        <w:t>Check</w:t>
      </w:r>
      <w:r w:rsidR="00365705">
        <w:t>ing</w:t>
      </w:r>
      <w:r>
        <w:t xml:space="preserve"> </w:t>
      </w:r>
      <w:r w:rsidR="00F23321">
        <w:t xml:space="preserve">the </w:t>
      </w:r>
      <w:r>
        <w:t xml:space="preserve">toxicity data </w:t>
      </w:r>
      <w:r w:rsidR="00F23321">
        <w:t xml:space="preserve">for </w:t>
      </w:r>
      <w:r>
        <w:t>multimodal distributions</w:t>
      </w:r>
      <w:bookmarkEnd w:id="108"/>
      <w:bookmarkEnd w:id="109"/>
      <w:bookmarkEnd w:id="110"/>
    </w:p>
    <w:p w14:paraId="6841A79B" w14:textId="05CB774C" w:rsidR="00B679A4" w:rsidRDefault="0093788C" w:rsidP="004D7186">
      <w:pPr>
        <w:rPr>
          <w:rFonts w:cs="Arial"/>
        </w:rPr>
      </w:pPr>
      <w:r w:rsidRPr="57352DF8">
        <w:t>Toxicity datasets for chemicals with specific modes of action that target certain processes that occur in some taxa but not others can often be bimodal or multimodal. For example, t</w:t>
      </w:r>
      <w:r w:rsidRPr="57352DF8">
        <w:rPr>
          <w:rFonts w:cs="Arial"/>
        </w:rPr>
        <w:t xml:space="preserve">oxicity datasets for </w:t>
      </w:r>
      <w:r w:rsidR="000C6456" w:rsidRPr="57352DF8">
        <w:rPr>
          <w:rFonts w:cs="Arial"/>
        </w:rPr>
        <w:t xml:space="preserve">many </w:t>
      </w:r>
      <w:r w:rsidRPr="57352DF8">
        <w:rPr>
          <w:rFonts w:cs="Arial"/>
        </w:rPr>
        <w:t>herbicides are bimodal</w:t>
      </w:r>
      <w:r w:rsidR="003E76A2">
        <w:rPr>
          <w:rFonts w:cs="Arial"/>
        </w:rPr>
        <w:t xml:space="preserve"> –</w:t>
      </w:r>
      <w:r w:rsidRPr="57352DF8">
        <w:rPr>
          <w:rFonts w:cs="Arial"/>
        </w:rPr>
        <w:t xml:space="preserve"> the sensitivity of plants </w:t>
      </w:r>
      <w:r w:rsidR="00A524EB">
        <w:rPr>
          <w:rFonts w:cs="Arial"/>
        </w:rPr>
        <w:t>is</w:t>
      </w:r>
      <w:r w:rsidR="00A524EB" w:rsidRPr="57352DF8">
        <w:rPr>
          <w:rFonts w:cs="Arial"/>
        </w:rPr>
        <w:t xml:space="preserve"> </w:t>
      </w:r>
      <w:r w:rsidRPr="57352DF8">
        <w:rPr>
          <w:rFonts w:cs="Arial"/>
        </w:rPr>
        <w:t>significantly greater than that of animals due to the chemicals targeting biochemical processes that only occur in plants (</w:t>
      </w:r>
      <w:r w:rsidR="00F974FE">
        <w:rPr>
          <w:rFonts w:cs="Arial"/>
        </w:rPr>
        <w:t>e.g.</w:t>
      </w:r>
      <w:r w:rsidRPr="57352DF8">
        <w:rPr>
          <w:rFonts w:cs="Arial"/>
        </w:rPr>
        <w:t xml:space="preserve"> photosynthesis). The statistical distributions typically used in SSD method</w:t>
      </w:r>
      <w:r w:rsidR="00C52854" w:rsidRPr="57352DF8">
        <w:rPr>
          <w:rFonts w:cs="Arial"/>
        </w:rPr>
        <w:t>s</w:t>
      </w:r>
      <w:r w:rsidRPr="57352DF8">
        <w:rPr>
          <w:rFonts w:cs="Arial"/>
        </w:rPr>
        <w:t xml:space="preserve"> (</w:t>
      </w:r>
      <w:r w:rsidR="00F974FE">
        <w:rPr>
          <w:rFonts w:cs="Arial"/>
        </w:rPr>
        <w:t>e.g.</w:t>
      </w:r>
      <w:r w:rsidR="00794EAB" w:rsidRPr="57352DF8">
        <w:rPr>
          <w:rFonts w:cs="Arial"/>
        </w:rPr>
        <w:t xml:space="preserve"> </w:t>
      </w:r>
      <w:r w:rsidRPr="57352DF8">
        <w:rPr>
          <w:rFonts w:cs="Arial"/>
        </w:rPr>
        <w:t>log-normal, log-logistic, Burr Type III) are unimodal. The fit</w:t>
      </w:r>
      <w:r w:rsidR="0019181E" w:rsidRPr="57352DF8">
        <w:rPr>
          <w:rFonts w:cs="Arial"/>
        </w:rPr>
        <w:t>ting</w:t>
      </w:r>
      <w:r w:rsidRPr="57352DF8">
        <w:rPr>
          <w:rFonts w:cs="Arial"/>
        </w:rPr>
        <w:t xml:space="preserve"> of such distributions to bi</w:t>
      </w:r>
      <w:r w:rsidR="008A54C3" w:rsidRPr="57352DF8">
        <w:rPr>
          <w:rFonts w:cs="Arial"/>
        </w:rPr>
        <w:t>modal</w:t>
      </w:r>
      <w:r w:rsidRPr="57352DF8">
        <w:rPr>
          <w:rFonts w:cs="Arial"/>
        </w:rPr>
        <w:t xml:space="preserve"> or multimodal datasets can lead to unrepresentative results. </w:t>
      </w:r>
      <w:r w:rsidR="0019181E" w:rsidRPr="57352DF8">
        <w:rPr>
          <w:rFonts w:cs="Arial"/>
        </w:rPr>
        <w:t>(shiny)ssdtools includes</w:t>
      </w:r>
      <w:r w:rsidR="00C64837">
        <w:rPr>
          <w:rFonts w:cs="Arial"/>
        </w:rPr>
        <w:t xml:space="preserve"> 2</w:t>
      </w:r>
      <w:r w:rsidR="0019181E" w:rsidRPr="57352DF8">
        <w:rPr>
          <w:rFonts w:cs="Arial"/>
        </w:rPr>
        <w:t xml:space="preserve"> 5-parameter distributions that incorporate</w:t>
      </w:r>
      <w:r w:rsidR="00C64837">
        <w:rPr>
          <w:rFonts w:cs="Arial"/>
        </w:rPr>
        <w:t xml:space="preserve"> 2</w:t>
      </w:r>
      <w:r w:rsidR="009C392F">
        <w:rPr>
          <w:rFonts w:cs="Arial"/>
        </w:rPr>
        <w:t> </w:t>
      </w:r>
      <w:r w:rsidR="0019181E" w:rsidRPr="57352DF8">
        <w:rPr>
          <w:rFonts w:cs="Arial"/>
        </w:rPr>
        <w:t xml:space="preserve">distributions connected by a </w:t>
      </w:r>
      <w:r w:rsidR="004B6AE1" w:rsidRPr="57352DF8">
        <w:rPr>
          <w:rFonts w:cs="Arial"/>
        </w:rPr>
        <w:t>mixing proportion</w:t>
      </w:r>
      <w:r w:rsidR="0019181E" w:rsidRPr="57352DF8">
        <w:rPr>
          <w:rFonts w:cs="Arial"/>
        </w:rPr>
        <w:t xml:space="preserve">, </w:t>
      </w:r>
      <w:r w:rsidR="00C52854" w:rsidRPr="57352DF8">
        <w:rPr>
          <w:rFonts w:cs="Arial"/>
        </w:rPr>
        <w:t>which</w:t>
      </w:r>
      <w:r w:rsidR="0019181E" w:rsidRPr="57352DF8">
        <w:rPr>
          <w:rFonts w:cs="Arial"/>
        </w:rPr>
        <w:t xml:space="preserve"> </w:t>
      </w:r>
      <w:r w:rsidR="009D2087" w:rsidRPr="57352DF8">
        <w:rPr>
          <w:rFonts w:cs="Arial"/>
        </w:rPr>
        <w:t>are</w:t>
      </w:r>
      <w:r w:rsidR="0019181E" w:rsidRPr="57352DF8">
        <w:rPr>
          <w:rFonts w:cs="Arial"/>
        </w:rPr>
        <w:t xml:space="preserve"> appropriate for </w:t>
      </w:r>
      <w:r w:rsidR="00C52854" w:rsidRPr="57352DF8">
        <w:rPr>
          <w:rFonts w:cs="Arial"/>
        </w:rPr>
        <w:t>modelling</w:t>
      </w:r>
      <w:r w:rsidR="0019181E" w:rsidRPr="57352DF8">
        <w:rPr>
          <w:rFonts w:cs="Arial"/>
        </w:rPr>
        <w:t xml:space="preserve"> bimodal datasets. </w:t>
      </w:r>
      <w:r w:rsidR="004B6AE1" w:rsidRPr="57352DF8">
        <w:rPr>
          <w:rFonts w:cs="Arial"/>
        </w:rPr>
        <w:t>One of the</w:t>
      </w:r>
      <w:r w:rsidR="00C64837">
        <w:rPr>
          <w:rFonts w:cs="Arial"/>
        </w:rPr>
        <w:t xml:space="preserve"> 2</w:t>
      </w:r>
      <w:r w:rsidR="004B6AE1" w:rsidRPr="57352DF8">
        <w:rPr>
          <w:rFonts w:cs="Arial"/>
        </w:rPr>
        <w:t xml:space="preserve"> mixture distributions, the </w:t>
      </w:r>
      <w:r w:rsidR="002C4073">
        <w:t>l</w:t>
      </w:r>
      <w:r w:rsidR="00D849B9">
        <w:t>og</w:t>
      </w:r>
      <w:r w:rsidR="002C4073">
        <w:t>-</w:t>
      </w:r>
      <w:r w:rsidR="00D849B9">
        <w:t>normal–</w:t>
      </w:r>
      <w:r w:rsidR="002C4073">
        <w:t>l</w:t>
      </w:r>
      <w:r w:rsidR="00D849B9">
        <w:t>og</w:t>
      </w:r>
      <w:r w:rsidR="002C4073">
        <w:t>-</w:t>
      </w:r>
      <w:r w:rsidR="00D849B9">
        <w:t>normal</w:t>
      </w:r>
      <w:r w:rsidR="004B6AE1" w:rsidRPr="57352DF8">
        <w:t>,</w:t>
      </w:r>
      <w:r w:rsidR="004B6AE1" w:rsidRPr="57352DF8">
        <w:rPr>
          <w:rFonts w:cs="Arial"/>
        </w:rPr>
        <w:t xml:space="preserve"> is included in the set of default distributions</w:t>
      </w:r>
      <w:r w:rsidR="00C30941" w:rsidRPr="57352DF8">
        <w:rPr>
          <w:rFonts w:cs="Arial"/>
        </w:rPr>
        <w:t xml:space="preserve"> (</w:t>
      </w:r>
      <w:r w:rsidR="004B6AE1" w:rsidRPr="57352DF8">
        <w:rPr>
          <w:rFonts w:cs="Arial"/>
        </w:rPr>
        <w:t xml:space="preserve">see Section </w:t>
      </w:r>
      <w:r w:rsidR="00141A63">
        <w:rPr>
          <w:rFonts w:cs="Arial"/>
        </w:rPr>
        <w:fldChar w:fldCharType="begin"/>
      </w:r>
      <w:r w:rsidR="00141A63">
        <w:rPr>
          <w:rFonts w:cs="Arial"/>
        </w:rPr>
        <w:instrText xml:space="preserve"> REF _Ref202089099 \r \h </w:instrText>
      </w:r>
      <w:r w:rsidR="00141A63">
        <w:rPr>
          <w:rFonts w:cs="Arial"/>
        </w:rPr>
      </w:r>
      <w:r w:rsidR="00141A63">
        <w:rPr>
          <w:rFonts w:cs="Arial"/>
        </w:rPr>
        <w:fldChar w:fldCharType="separate"/>
      </w:r>
      <w:r w:rsidR="006C5761">
        <w:rPr>
          <w:rFonts w:cs="Arial"/>
        </w:rPr>
        <w:t>0</w:t>
      </w:r>
      <w:r w:rsidR="00141A63">
        <w:rPr>
          <w:rFonts w:cs="Arial"/>
        </w:rPr>
        <w:fldChar w:fldCharType="end"/>
      </w:r>
      <w:r w:rsidR="004B6AE1" w:rsidRPr="57352DF8">
        <w:rPr>
          <w:rFonts w:cs="Arial"/>
        </w:rPr>
        <w:t xml:space="preserve">). </w:t>
      </w:r>
      <w:r w:rsidR="00C52854" w:rsidRPr="57352DF8">
        <w:rPr>
          <w:rFonts w:cs="Arial"/>
        </w:rPr>
        <w:t>The current section describes how to check for, and deal with, bimodal datasets</w:t>
      </w:r>
      <w:r w:rsidR="6EEC58DC" w:rsidRPr="57352DF8">
        <w:rPr>
          <w:rFonts w:cs="Arial"/>
        </w:rPr>
        <w:t>.</w:t>
      </w:r>
    </w:p>
    <w:p w14:paraId="055D3C4B" w14:textId="1AFA6787" w:rsidR="003967BE" w:rsidRPr="000F2A68" w:rsidRDefault="003967BE" w:rsidP="00BD4CEC">
      <w:pPr>
        <w:pStyle w:val="Heading4"/>
      </w:pPr>
      <w:r>
        <w:lastRenderedPageBreak/>
        <w:t>Weight</w:t>
      </w:r>
      <w:r w:rsidR="3AF537A9">
        <w:t>-</w:t>
      </w:r>
      <w:r>
        <w:t>of</w:t>
      </w:r>
      <w:r w:rsidR="00EC3BA9">
        <w:t>-</w:t>
      </w:r>
      <w:r>
        <w:t>evidence approach</w:t>
      </w:r>
    </w:p>
    <w:p w14:paraId="39C7E237" w14:textId="32C4E4EA" w:rsidR="00B679A4" w:rsidRDefault="0093788C" w:rsidP="004D7186">
      <w:r w:rsidRPr="2F2010B8">
        <w:t xml:space="preserve">A </w:t>
      </w:r>
      <w:r w:rsidR="3C5777AA" w:rsidRPr="2F2010B8">
        <w:t>weight-of-evidence (WoE)</w:t>
      </w:r>
      <w:r w:rsidR="000866D8" w:rsidRPr="2F2010B8">
        <w:t xml:space="preserve"> </w:t>
      </w:r>
      <w:r w:rsidRPr="2F2010B8">
        <w:t xml:space="preserve">approach should be adopted </w:t>
      </w:r>
      <w:r w:rsidR="009E36E5" w:rsidRPr="2F2010B8">
        <w:t xml:space="preserve">to </w:t>
      </w:r>
      <w:r w:rsidRPr="2F2010B8">
        <w:t>determin</w:t>
      </w:r>
      <w:r w:rsidR="009E36E5" w:rsidRPr="2F2010B8">
        <w:t>e</w:t>
      </w:r>
      <w:r w:rsidRPr="2F2010B8">
        <w:t xml:space="preserve"> if a dataset </w:t>
      </w:r>
      <w:r w:rsidR="002E6403" w:rsidRPr="2F2010B8">
        <w:t>exhibits</w:t>
      </w:r>
      <w:r w:rsidRPr="2F2010B8">
        <w:t xml:space="preserve"> bi</w:t>
      </w:r>
      <w:r w:rsidR="008A54C3" w:rsidRPr="2F2010B8">
        <w:t>modality</w:t>
      </w:r>
      <w:r w:rsidRPr="2F2010B8">
        <w:t xml:space="preserve"> or multimodality</w:t>
      </w:r>
      <w:r w:rsidR="002E6403" w:rsidRPr="2F2010B8">
        <w:t xml:space="preserve"> as a result of </w:t>
      </w:r>
      <w:r w:rsidR="006B24F5" w:rsidRPr="2F2010B8">
        <w:t>differential sensitivity o</w:t>
      </w:r>
      <w:r w:rsidR="1A3BAF69" w:rsidRPr="2F2010B8">
        <w:t>f</w:t>
      </w:r>
      <w:r w:rsidR="006B24F5" w:rsidRPr="2F2010B8">
        <w:t xml:space="preserve"> </w:t>
      </w:r>
      <w:r w:rsidR="2C724CA5" w:rsidRPr="2F2010B8">
        <w:t>a</w:t>
      </w:r>
      <w:r w:rsidR="006B24F5" w:rsidRPr="2F2010B8">
        <w:t xml:space="preserve"> specific taxonomic group or groups</w:t>
      </w:r>
      <w:r w:rsidRPr="2F2010B8">
        <w:t>. The key factors to consider are the chemical’s mode of action, indications of bi</w:t>
      </w:r>
      <w:r w:rsidR="008A54C3" w:rsidRPr="2F2010B8">
        <w:t>modality</w:t>
      </w:r>
      <w:r w:rsidRPr="2F2010B8">
        <w:t xml:space="preserve"> or multimodality, and the presence of taxa-specific sensitivity. Typically, consideration of the</w:t>
      </w:r>
      <w:r w:rsidR="00C64837">
        <w:t xml:space="preserve"> 4</w:t>
      </w:r>
      <w:r w:rsidR="007B092D">
        <w:t> </w:t>
      </w:r>
      <w:r w:rsidRPr="2F2010B8">
        <w:t xml:space="preserve">following questions should provide sufficient information </w:t>
      </w:r>
      <w:r w:rsidR="003E3F79" w:rsidRPr="2F2010B8">
        <w:t xml:space="preserve">with which </w:t>
      </w:r>
      <w:r w:rsidRPr="2F2010B8">
        <w:t>to make a decision. Professional judg</w:t>
      </w:r>
      <w:r w:rsidR="003528E2" w:rsidRPr="2F2010B8">
        <w:t>e</w:t>
      </w:r>
      <w:r w:rsidRPr="2F2010B8">
        <w:t>ment will often be needed to guide the analysis and interpretation and, as such,</w:t>
      </w:r>
      <w:r w:rsidRPr="2F2010B8">
        <w:rPr>
          <w:rFonts w:ascii="Calibri" w:hAnsi="Calibri"/>
          <w:color w:val="000000" w:themeColor="text1"/>
        </w:rPr>
        <w:t xml:space="preserve"> </w:t>
      </w:r>
      <w:r>
        <w:t>the details of the decision processes should be fully documented.</w:t>
      </w:r>
    </w:p>
    <w:p w14:paraId="443E29F4" w14:textId="38A413BE" w:rsidR="00B679A4" w:rsidRDefault="0093788C" w:rsidP="001315AE">
      <w:pPr>
        <w:pStyle w:val="Heading5"/>
        <w:numPr>
          <w:ilvl w:val="0"/>
          <w:numId w:val="0"/>
        </w:numPr>
      </w:pPr>
      <w:r>
        <w:t>Question 1</w:t>
      </w:r>
      <w:r w:rsidR="0050649A">
        <w:t>:</w:t>
      </w:r>
      <w:r>
        <w:t xml:space="preserve"> </w:t>
      </w:r>
      <w:r w:rsidRPr="00725DBC">
        <w:t xml:space="preserve">Is there a specific </w:t>
      </w:r>
      <w:r w:rsidRPr="009E36E5">
        <w:rPr>
          <w:rStyle w:val="Heading5Char"/>
          <w:b/>
        </w:rPr>
        <w:t>m</w:t>
      </w:r>
      <w:r w:rsidRPr="00725DBC">
        <w:t xml:space="preserve">ode of action that </w:t>
      </w:r>
      <w:r>
        <w:t>c</w:t>
      </w:r>
      <w:r w:rsidRPr="00725DBC">
        <w:t>ould result in taxa-specific sensitivity?</w:t>
      </w:r>
    </w:p>
    <w:p w14:paraId="738F4998" w14:textId="462D06D3" w:rsidR="0093788C" w:rsidRDefault="0093788C" w:rsidP="004D7186">
      <w:pPr>
        <w:rPr>
          <w:rFonts w:cs="Arial"/>
        </w:rPr>
      </w:pPr>
      <w:r>
        <w:t>The mode of action of a chemical is a key indicator of whether a dataset might exhibit bi</w:t>
      </w:r>
      <w:r w:rsidR="008A54C3">
        <w:t>modality</w:t>
      </w:r>
      <w:r>
        <w:t xml:space="preserve"> or multimodality and of the likely relative sensitivity of different taxa. Chemicals with </w:t>
      </w:r>
      <w:r w:rsidRPr="2F2010B8">
        <w:rPr>
          <w:rFonts w:cs="Arial"/>
        </w:rPr>
        <w:t>non-specific modes of action (</w:t>
      </w:r>
      <w:r w:rsidR="02A9E6D6" w:rsidRPr="2F2010B8">
        <w:rPr>
          <w:rFonts w:cs="Arial"/>
        </w:rPr>
        <w:t>e.g.</w:t>
      </w:r>
      <w:r w:rsidRPr="2F2010B8">
        <w:rPr>
          <w:rFonts w:cs="Arial"/>
        </w:rPr>
        <w:t xml:space="preserve"> non-polar and polar</w:t>
      </w:r>
      <w:r w:rsidR="7E49C575" w:rsidRPr="2F2010B8">
        <w:rPr>
          <w:rFonts w:cs="Arial"/>
        </w:rPr>
        <w:t xml:space="preserve"> </w:t>
      </w:r>
      <w:r w:rsidRPr="2F2010B8">
        <w:rPr>
          <w:rFonts w:cs="Arial"/>
        </w:rPr>
        <w:t xml:space="preserve">narcosis) are more likely to have unimodal toxicity datasets, while those with highly specific modes of action </w:t>
      </w:r>
      <w:r w:rsidR="00C74687">
        <w:rPr>
          <w:rFonts w:cs="Arial"/>
        </w:rPr>
        <w:t>(e.g.</w:t>
      </w:r>
      <w:r w:rsidRPr="2F2010B8">
        <w:rPr>
          <w:rFonts w:cs="Arial"/>
        </w:rPr>
        <w:t xml:space="preserve"> acetylcholinesterase and photosystem</w:t>
      </w:r>
      <w:r w:rsidR="0004475C">
        <w:rPr>
          <w:rFonts w:cs="Arial"/>
        </w:rPr>
        <w:t>-</w:t>
      </w:r>
      <w:r w:rsidRPr="2F2010B8">
        <w:rPr>
          <w:rFonts w:cs="Arial"/>
        </w:rPr>
        <w:t>II inhibitors) are more likely to have bi</w:t>
      </w:r>
      <w:r w:rsidR="008A54C3" w:rsidRPr="2F2010B8">
        <w:rPr>
          <w:rFonts w:cs="Arial"/>
        </w:rPr>
        <w:t>modal</w:t>
      </w:r>
      <w:r w:rsidRPr="2F2010B8">
        <w:rPr>
          <w:rFonts w:cs="Arial"/>
        </w:rPr>
        <w:t xml:space="preserve"> or multimodal datasets. While the existence of a specific mode of action increases the likelihood that there will be differences in the sensitivity of different types of organisms, this will not always be the case, particularly where the site of action is present in many types of organisms. Evidence of a specific mode of action that could result in taxa-specific sensitivity should be sought from the literature. Where no such information exists, or where the information is conflicting, </w:t>
      </w:r>
      <w:r w:rsidR="00E07000" w:rsidRPr="2F2010B8">
        <w:rPr>
          <w:rFonts w:cs="Arial"/>
        </w:rPr>
        <w:t>the</w:t>
      </w:r>
      <w:r w:rsidRPr="2F2010B8">
        <w:rPr>
          <w:rFonts w:cs="Arial"/>
        </w:rPr>
        <w:t xml:space="preserve"> answer </w:t>
      </w:r>
      <w:r w:rsidR="00E07000" w:rsidRPr="2F2010B8">
        <w:rPr>
          <w:rFonts w:cs="Arial"/>
        </w:rPr>
        <w:t>to this question would be</w:t>
      </w:r>
      <w:r w:rsidRPr="2F2010B8">
        <w:rPr>
          <w:rFonts w:cs="Arial"/>
        </w:rPr>
        <w:t xml:space="preserve"> ‘uncertain’.</w:t>
      </w:r>
    </w:p>
    <w:p w14:paraId="1FDC448B" w14:textId="57C15077" w:rsidR="00B679A4" w:rsidRDefault="0093788C" w:rsidP="001315AE">
      <w:pPr>
        <w:pStyle w:val="Heading5"/>
        <w:numPr>
          <w:ilvl w:val="0"/>
          <w:numId w:val="0"/>
        </w:numPr>
      </w:pPr>
      <w:r>
        <w:t>Question 2</w:t>
      </w:r>
      <w:r w:rsidR="00EB5755">
        <w:t>:</w:t>
      </w:r>
      <w:r>
        <w:t xml:space="preserve"> </w:t>
      </w:r>
      <w:r w:rsidRPr="00725DBC">
        <w:t xml:space="preserve">Does the </w:t>
      </w:r>
      <w:r>
        <w:t xml:space="preserve">dataset suggest </w:t>
      </w:r>
      <w:r w:rsidRPr="00725DBC">
        <w:t>bimodality?</w:t>
      </w:r>
    </w:p>
    <w:p w14:paraId="603E463C" w14:textId="450EDCF3" w:rsidR="00B679A4" w:rsidRDefault="0093788C" w:rsidP="004D7186">
      <w:r>
        <w:t>Modality of the data can be assessed both visually and statistically.</w:t>
      </w:r>
    </w:p>
    <w:p w14:paraId="2D6658BB" w14:textId="10B876B2" w:rsidR="0093788C" w:rsidRPr="000F2A68" w:rsidRDefault="0093788C" w:rsidP="004D7186">
      <w:r w:rsidRPr="57352DF8">
        <w:t>Inspection of the dataset using a</w:t>
      </w:r>
      <w:r w:rsidR="009E36E5" w:rsidRPr="57352DF8">
        <w:t>n</w:t>
      </w:r>
      <w:r w:rsidRPr="57352DF8">
        <w:t xml:space="preserve"> SSD or a frequency histogram will provide an initial indication of modality. In addition to the presence of more than one </w:t>
      </w:r>
      <w:r w:rsidR="00AC7947" w:rsidRPr="57352DF8">
        <w:t xml:space="preserve">distinct </w:t>
      </w:r>
      <w:r w:rsidRPr="57352DF8">
        <w:t>sub-group</w:t>
      </w:r>
      <w:r w:rsidR="00AC7947" w:rsidRPr="57352DF8">
        <w:t>ing</w:t>
      </w:r>
      <w:r w:rsidRPr="57352DF8">
        <w:t xml:space="preserve"> of data, datasets spanning very large ranges </w:t>
      </w:r>
      <w:r w:rsidR="00C74687">
        <w:t>(e.g.</w:t>
      </w:r>
      <w:r w:rsidRPr="57352DF8">
        <w:t xml:space="preserve"> &gt;</w:t>
      </w:r>
      <w:r w:rsidR="00352B78">
        <w:t> </w:t>
      </w:r>
      <w:r w:rsidRPr="57352DF8">
        <w:t>4 orders of magnitude) can suggest bi</w:t>
      </w:r>
      <w:r w:rsidR="009E36E5" w:rsidRPr="57352DF8">
        <w:t>modality</w:t>
      </w:r>
      <w:r w:rsidRPr="57352DF8">
        <w:t xml:space="preserve"> or multimodality.</w:t>
      </w:r>
    </w:p>
    <w:p w14:paraId="50195F69" w14:textId="60098D7B" w:rsidR="00B679A4" w:rsidRDefault="00BE2574" w:rsidP="004D7186">
      <w:r w:rsidRPr="57352DF8">
        <w:t>S</w:t>
      </w:r>
      <w:r w:rsidR="008C1C2C" w:rsidRPr="57352DF8">
        <w:t xml:space="preserve">tatistical </w:t>
      </w:r>
      <w:r w:rsidR="00880A5F" w:rsidRPr="57352DF8">
        <w:t>support</w:t>
      </w:r>
      <w:r w:rsidR="008C1C2C" w:rsidRPr="57352DF8">
        <w:t xml:space="preserve"> for bimodality </w:t>
      </w:r>
      <w:r w:rsidR="008361CF" w:rsidRPr="57352DF8">
        <w:t xml:space="preserve">will be evident </w:t>
      </w:r>
      <w:r w:rsidR="00880A5F" w:rsidRPr="57352DF8">
        <w:t>as</w:t>
      </w:r>
      <w:r w:rsidR="008361CF" w:rsidRPr="57352DF8">
        <w:t xml:space="preserve"> a high weight </w:t>
      </w:r>
      <w:r w:rsidR="00B7659E" w:rsidRPr="57352DF8">
        <w:t xml:space="preserve">assigned to </w:t>
      </w:r>
      <w:r w:rsidR="00AA6195" w:rsidRPr="57352DF8">
        <w:t xml:space="preserve">the 5-parameter bimodal </w:t>
      </w:r>
      <w:r w:rsidR="00141BF7">
        <w:t>log-normal–log-normal</w:t>
      </w:r>
      <w:r w:rsidR="00AA6195" w:rsidRPr="57352DF8">
        <w:t xml:space="preserve"> distribution in the set of default distributions in </w:t>
      </w:r>
      <w:r w:rsidR="00CB2353">
        <w:t>(shiny)</w:t>
      </w:r>
      <w:r w:rsidR="00AA6195" w:rsidRPr="57352DF8">
        <w:t xml:space="preserve">ssdtools </w:t>
      </w:r>
      <w:r w:rsidR="008361CF" w:rsidRPr="57352DF8">
        <w:t>when compared to the unimodal distributions.</w:t>
      </w:r>
      <w:r w:rsidR="00880A5F" w:rsidRPr="57352DF8">
        <w:t xml:space="preserve"> A</w:t>
      </w:r>
      <w:r w:rsidR="00200BE9">
        <w:t xml:space="preserve">s a general guide, </w:t>
      </w:r>
      <w:r w:rsidR="00A3265A">
        <w:t>a corrected</w:t>
      </w:r>
      <w:r w:rsidR="00A3265A" w:rsidRPr="57352DF8">
        <w:t xml:space="preserve"> </w:t>
      </w:r>
      <w:r w:rsidR="003F79D3" w:rsidRPr="003F79D3">
        <w:t xml:space="preserve">Akaike Information Criterion </w:t>
      </w:r>
      <w:r w:rsidR="00147F48" w:rsidRPr="57352DF8">
        <w:t xml:space="preserve"> weight </w:t>
      </w:r>
      <w:r w:rsidR="007B5B31" w:rsidRPr="57352DF8">
        <w:t xml:space="preserve">for the bimodal distribution </w:t>
      </w:r>
      <w:r w:rsidR="003F79D3">
        <w:t xml:space="preserve">that is </w:t>
      </w:r>
      <w:r w:rsidR="00147F48" w:rsidRPr="57352DF8">
        <w:t xml:space="preserve">equal to, or better than, the </w:t>
      </w:r>
      <w:r w:rsidR="00200BE9">
        <w:t>most highly</w:t>
      </w:r>
      <w:r w:rsidR="003F79D3">
        <w:t xml:space="preserve"> </w:t>
      </w:r>
      <w:r w:rsidR="00200BE9">
        <w:t xml:space="preserve">weighted </w:t>
      </w:r>
      <w:r w:rsidR="00147F48" w:rsidRPr="57352DF8">
        <w:t xml:space="preserve">unimodal distribution will </w:t>
      </w:r>
      <w:r w:rsidR="00F04BDB" w:rsidRPr="57352DF8">
        <w:t>indicate</w:t>
      </w:r>
      <w:r w:rsidR="00147F48" w:rsidRPr="57352DF8">
        <w:t xml:space="preserve"> </w:t>
      </w:r>
      <w:r w:rsidR="007B5B31" w:rsidRPr="57352DF8">
        <w:t>the data</w:t>
      </w:r>
      <w:r w:rsidR="00B7659E" w:rsidRPr="57352DF8">
        <w:t>set</w:t>
      </w:r>
      <w:r w:rsidR="007B5B31" w:rsidRPr="57352DF8">
        <w:t xml:space="preserve"> </w:t>
      </w:r>
      <w:r w:rsidR="00F04BDB" w:rsidRPr="57352DF8">
        <w:t>could be</w:t>
      </w:r>
      <w:r w:rsidR="007B5B31" w:rsidRPr="57352DF8">
        <w:t xml:space="preserve"> bimodal</w:t>
      </w:r>
      <w:r w:rsidR="004A3365" w:rsidRPr="57352DF8">
        <w:t>.</w:t>
      </w:r>
      <w:r w:rsidR="00B7659E" w:rsidRPr="57352DF8">
        <w:t xml:space="preserve"> </w:t>
      </w:r>
      <w:r w:rsidR="003576CB" w:rsidRPr="57352DF8">
        <w:t xml:space="preserve">However, the </w:t>
      </w:r>
      <w:r w:rsidR="00141BF7">
        <w:t>log-normal–log-normal</w:t>
      </w:r>
      <w:r w:rsidR="003576CB" w:rsidRPr="57352DF8">
        <w:t xml:space="preserve"> distribution can also be assigned a high weight for datasets that are not bimodal but for which different </w:t>
      </w:r>
      <w:r w:rsidR="00140049" w:rsidRPr="57352DF8">
        <w:t>groups</w:t>
      </w:r>
      <w:r w:rsidR="003576CB" w:rsidRPr="57352DF8">
        <w:t xml:space="preserve"> of the dataset have </w:t>
      </w:r>
      <w:r w:rsidR="0001286C" w:rsidRPr="57352DF8">
        <w:t xml:space="preserve">markedly </w:t>
      </w:r>
      <w:r w:rsidR="003576CB" w:rsidRPr="57352DF8">
        <w:t xml:space="preserve">different variances. </w:t>
      </w:r>
      <w:r w:rsidR="00E37D8F" w:rsidRPr="57352DF8">
        <w:t xml:space="preserve">Such characteristics of a dataset </w:t>
      </w:r>
      <w:r w:rsidR="001B0BFF" w:rsidRPr="57352DF8">
        <w:t xml:space="preserve">may be due to various reasons, including simple </w:t>
      </w:r>
      <w:r w:rsidR="00CA2E8E" w:rsidRPr="57352DF8">
        <w:t xml:space="preserve">artefacts in the dataset that have no toxicological basis (e.g. </w:t>
      </w:r>
      <w:r w:rsidR="005A31A5" w:rsidRPr="57352DF8">
        <w:t>a series of identical NOECs for a number of species, sourced from the same study)</w:t>
      </w:r>
      <w:r w:rsidR="00CA2E8E" w:rsidRPr="57352DF8">
        <w:t xml:space="preserve">. </w:t>
      </w:r>
      <w:r w:rsidR="003576CB" w:rsidRPr="57352DF8">
        <w:t xml:space="preserve">Thus, a high weight assigned to the </w:t>
      </w:r>
      <w:r w:rsidR="00141BF7">
        <w:t>log-normal–log-normal</w:t>
      </w:r>
      <w:r w:rsidR="003576CB" w:rsidRPr="57352DF8">
        <w:t xml:space="preserve"> distribution should not automatically be assumed to indicate that the dataset is bimodal.</w:t>
      </w:r>
      <w:r w:rsidR="0001286C" w:rsidRPr="57352DF8">
        <w:t xml:space="preserve"> </w:t>
      </w:r>
      <w:r w:rsidR="00734F72" w:rsidRPr="57352DF8">
        <w:t xml:space="preserve">Future versions of </w:t>
      </w:r>
      <w:r w:rsidR="00CB2353">
        <w:t>(shiny)</w:t>
      </w:r>
      <w:r w:rsidR="00734F72" w:rsidRPr="57352DF8">
        <w:t xml:space="preserve">ssdtools may include a wider range of distributions that capture these different causes of </w:t>
      </w:r>
      <w:r w:rsidR="00576F2A">
        <w:t xml:space="preserve">apparent </w:t>
      </w:r>
      <w:r w:rsidR="00734F72" w:rsidRPr="57352DF8">
        <w:t xml:space="preserve">bimodality. </w:t>
      </w:r>
      <w:r w:rsidR="0001286C" w:rsidRPr="57352DF8">
        <w:t>Moreover</w:t>
      </w:r>
      <w:r w:rsidR="00B7659E" w:rsidRPr="57352DF8">
        <w:t>, given that the model</w:t>
      </w:r>
      <w:r w:rsidR="0060005B">
        <w:t>-</w:t>
      </w:r>
      <w:r w:rsidR="00B7659E" w:rsidRPr="57352DF8">
        <w:t xml:space="preserve">averaging process applies a penalty to distributions with more parameters, it will be unlikely for the </w:t>
      </w:r>
      <w:r w:rsidR="00141BF7">
        <w:t>log-normal–log-normal</w:t>
      </w:r>
      <w:r w:rsidR="00B7659E" w:rsidRPr="57352DF8">
        <w:t xml:space="preserve"> distribution to be assigned a high weight for smaller datasets (e.g. n &lt;</w:t>
      </w:r>
      <w:r w:rsidR="00E96C02">
        <w:t> </w:t>
      </w:r>
      <w:r w:rsidR="00B7659E" w:rsidRPr="57352DF8">
        <w:t>15). Therefore, for smaller datasets (e.g. n &lt;</w:t>
      </w:r>
      <w:r w:rsidR="00E96C02">
        <w:t> </w:t>
      </w:r>
      <w:r w:rsidR="00B7659E" w:rsidRPr="57352DF8">
        <w:t xml:space="preserve">15), a low weight assigned to the </w:t>
      </w:r>
      <w:r w:rsidR="00141BF7">
        <w:t>log-normal–log-normal</w:t>
      </w:r>
      <w:r w:rsidR="00B7659E" w:rsidRPr="57352DF8">
        <w:t xml:space="preserve"> distribution should not automatically </w:t>
      </w:r>
      <w:r w:rsidR="004630EB" w:rsidRPr="57352DF8">
        <w:t xml:space="preserve">be </w:t>
      </w:r>
      <w:r w:rsidR="00B7659E" w:rsidRPr="57352DF8">
        <w:t>assumed to indicate that the dataset is not bimodal.</w:t>
      </w:r>
    </w:p>
    <w:p w14:paraId="786E2365" w14:textId="45CF7898" w:rsidR="00B679A4" w:rsidRDefault="0093788C" w:rsidP="001315AE">
      <w:pPr>
        <w:pStyle w:val="Heading5"/>
        <w:numPr>
          <w:ilvl w:val="0"/>
          <w:numId w:val="0"/>
        </w:numPr>
      </w:pPr>
      <w:r w:rsidRPr="57352DF8">
        <w:lastRenderedPageBreak/>
        <w:t>Question 3</w:t>
      </w:r>
      <w:r w:rsidR="00E96C02">
        <w:t>:</w:t>
      </w:r>
      <w:r w:rsidRPr="57352DF8">
        <w:t xml:space="preserve"> Do the data show taxa-specific sensitivity </w:t>
      </w:r>
      <w:r w:rsidR="000D2BB9">
        <w:t>(i.e.</w:t>
      </w:r>
      <w:r w:rsidRPr="57352DF8">
        <w:t xml:space="preserve"> through distinct grouping of different taxa types)?</w:t>
      </w:r>
    </w:p>
    <w:p w14:paraId="3450DB3E" w14:textId="66D1E1FB" w:rsidR="00B679A4" w:rsidRDefault="007648A7" w:rsidP="004D7186">
      <w:r w:rsidRPr="57352DF8">
        <w:t>I</w:t>
      </w:r>
      <w:r w:rsidR="0093788C" w:rsidRPr="57352DF8">
        <w:t>n addition to conducting the above check for mul</w:t>
      </w:r>
      <w:r w:rsidR="00C91AFE" w:rsidRPr="57352DF8">
        <w:t>ti</w:t>
      </w:r>
      <w:r w:rsidR="0093788C" w:rsidRPr="57352DF8">
        <w:t xml:space="preserve">modality, the data should be examined for signs of taxa-specific sensitivity. Information from Question 1, above, can inform this step </w:t>
      </w:r>
      <w:r w:rsidR="000D2BB9">
        <w:t>(i.e.</w:t>
      </w:r>
      <w:r w:rsidR="0093788C" w:rsidRPr="57352DF8">
        <w:t xml:space="preserve"> a known specific mode of action will point to potentially sensitive taxa groups). Examine the data or an SSD of the data with the species or taxonomic group names tagged to the values and look for distinct sub-groups of different tax</w:t>
      </w:r>
      <w:r w:rsidR="700CF659" w:rsidRPr="57352DF8">
        <w:t>on</w:t>
      </w:r>
      <w:r w:rsidR="0093788C" w:rsidRPr="57352DF8">
        <w:t xml:space="preserve"> types. If the mode of action of the chemical is known, consider whether the composition and distribution of the sub-groups is consistent with the mode of action. If distinct or even overlapping sub-groups can be identified, use a graphical method such as a box</w:t>
      </w:r>
      <w:r w:rsidR="00EE03B7">
        <w:t>-</w:t>
      </w:r>
      <w:r w:rsidR="00AB7297" w:rsidRPr="57352DF8">
        <w:t>and</w:t>
      </w:r>
      <w:r w:rsidR="00EE03B7">
        <w:t>-</w:t>
      </w:r>
      <w:r w:rsidR="00AB7297" w:rsidRPr="57352DF8">
        <w:t xml:space="preserve">whisker </w:t>
      </w:r>
      <w:r w:rsidR="0093788C" w:rsidRPr="57352DF8">
        <w:t>plot and confidence intervals to further assess the differences between the subsets of data.</w:t>
      </w:r>
    </w:p>
    <w:p w14:paraId="1CF7B59D" w14:textId="0ACD8F7F" w:rsidR="00B679A4" w:rsidRDefault="0093788C" w:rsidP="001315AE">
      <w:pPr>
        <w:pStyle w:val="Heading5"/>
        <w:numPr>
          <w:ilvl w:val="0"/>
          <w:numId w:val="0"/>
        </w:numPr>
        <w:rPr>
          <w:lang w:val="en-US"/>
        </w:rPr>
      </w:pPr>
      <w:r>
        <w:t>Question 4</w:t>
      </w:r>
      <w:r w:rsidR="003157D8">
        <w:t>:</w:t>
      </w:r>
      <w:r>
        <w:t xml:space="preserve"> </w:t>
      </w:r>
      <w:r w:rsidRPr="00725DBC">
        <w:t>Is it likely that</w:t>
      </w:r>
      <w:r w:rsidRPr="00111584">
        <w:t xml:space="preserve"> indications</w:t>
      </w:r>
      <w:r w:rsidRPr="00725DBC">
        <w:t xml:space="preserve"> of bi</w:t>
      </w:r>
      <w:r w:rsidR="008A54C3">
        <w:t>modality</w:t>
      </w:r>
      <w:r>
        <w:t xml:space="preserve"> or multi</w:t>
      </w:r>
      <w:r w:rsidRPr="00725DBC">
        <w:t xml:space="preserve">modality or distinct clustering of taxa groups are </w:t>
      </w:r>
      <w:r w:rsidRPr="00BF03D7">
        <w:rPr>
          <w:bCs/>
          <w:i/>
        </w:rPr>
        <w:t>not</w:t>
      </w:r>
      <w:r w:rsidRPr="00725DBC">
        <w:t xml:space="preserve"> due to </w:t>
      </w:r>
      <w:r w:rsidRPr="00725DBC">
        <w:rPr>
          <w:lang w:val="en-US"/>
        </w:rPr>
        <w:t xml:space="preserve">artefacts of data selection, small sample size, test procedures or </w:t>
      </w:r>
      <w:r>
        <w:rPr>
          <w:lang w:val="en-US"/>
        </w:rPr>
        <w:t>other</w:t>
      </w:r>
      <w:r w:rsidRPr="00725DBC">
        <w:rPr>
          <w:lang w:val="en-US"/>
        </w:rPr>
        <w:t xml:space="preserve"> reasons unrelated to a specific </w:t>
      </w:r>
      <w:r>
        <w:rPr>
          <w:lang w:val="en-US"/>
        </w:rPr>
        <w:t>mode of action</w:t>
      </w:r>
      <w:r w:rsidRPr="00725DBC">
        <w:rPr>
          <w:lang w:val="en-US"/>
        </w:rPr>
        <w:t>?</w:t>
      </w:r>
    </w:p>
    <w:p w14:paraId="65FF0493" w14:textId="1F095F33" w:rsidR="00B679A4" w:rsidRDefault="0093788C" w:rsidP="004D7186">
      <w:r>
        <w:t xml:space="preserve">As a final check, it is important to consider the strength (including quality) of evidence associated </w:t>
      </w:r>
      <w:r w:rsidRPr="000F2A68">
        <w:t xml:space="preserve">with the answers to each of the above questions. Specifically, </w:t>
      </w:r>
      <w:r w:rsidR="00F209A5" w:rsidRPr="000F2A68">
        <w:t xml:space="preserve">for </w:t>
      </w:r>
      <w:r w:rsidR="00372AB8">
        <w:t>Q</w:t>
      </w:r>
      <w:r w:rsidR="00F209A5" w:rsidRPr="000F2A68">
        <w:t xml:space="preserve">uestion 2 and </w:t>
      </w:r>
      <w:r w:rsidR="00372AB8">
        <w:t xml:space="preserve">Question </w:t>
      </w:r>
      <w:r w:rsidR="00F209A5" w:rsidRPr="000F2A68">
        <w:t xml:space="preserve">3, the likelihood that </w:t>
      </w:r>
      <w:r w:rsidR="00D15FEA" w:rsidRPr="000F2A68">
        <w:t>an indication of bimodality or taxa-specific sensitivity is</w:t>
      </w:r>
      <w:r w:rsidR="00AA7E51" w:rsidRPr="000F2A68">
        <w:t xml:space="preserve"> due to</w:t>
      </w:r>
      <w:r w:rsidR="00FC3EB3" w:rsidRPr="000F2A68">
        <w:t xml:space="preserve"> </w:t>
      </w:r>
      <w:r w:rsidRPr="000F2A68">
        <w:t>an artefact associated with data selection (</w:t>
      </w:r>
      <w:r w:rsidR="00A66C6F" w:rsidRPr="000F2A68">
        <w:t xml:space="preserve">e.g. </w:t>
      </w:r>
      <w:r w:rsidR="00D43A57" w:rsidRPr="000F2A68">
        <w:t xml:space="preserve">inclusion and exclusion of certain data during </w:t>
      </w:r>
      <w:r w:rsidRPr="000F2A68">
        <w:t>the data</w:t>
      </w:r>
      <w:r w:rsidR="00672BCD">
        <w:t>-</w:t>
      </w:r>
      <w:r w:rsidRPr="000F2A68">
        <w:t xml:space="preserve">screening process, </w:t>
      </w:r>
      <w:r w:rsidR="3DE7964A" w:rsidRPr="000F2A68">
        <w:t xml:space="preserve">or </w:t>
      </w:r>
      <w:r w:rsidR="00FD50F5" w:rsidRPr="000F2A68">
        <w:t xml:space="preserve">a </w:t>
      </w:r>
      <w:r w:rsidR="00854961" w:rsidRPr="000F2A68">
        <w:t xml:space="preserve">distinct </w:t>
      </w:r>
      <w:r w:rsidR="00FD50F5" w:rsidRPr="000F2A68">
        <w:t>division between chronic and converted</w:t>
      </w:r>
      <w:r w:rsidR="005B17EE">
        <w:t>-</w:t>
      </w:r>
      <w:r w:rsidR="00FD50F5" w:rsidRPr="000F2A68">
        <w:t>acute data</w:t>
      </w:r>
      <w:r w:rsidRPr="000F2A68">
        <w:t>), small sample size (</w:t>
      </w:r>
      <w:r w:rsidR="00622397" w:rsidRPr="000F2A68">
        <w:t>i.e.</w:t>
      </w:r>
      <w:r w:rsidRPr="000F2A68">
        <w:t xml:space="preserve"> insufficient data to indicate </w:t>
      </w:r>
      <w:r w:rsidR="007157A3" w:rsidRPr="000F2A68">
        <w:t>biologically meaningful</w:t>
      </w:r>
      <w:r w:rsidRPr="000F2A68">
        <w:t xml:space="preserve"> differences in sensitivity between taxa groups), or test procedures (</w:t>
      </w:r>
      <w:r w:rsidR="00622397" w:rsidRPr="000F2A68">
        <w:t>e.g.</w:t>
      </w:r>
      <w:r w:rsidRPr="000F2A68">
        <w:t xml:space="preserve"> differences in sensitivity reported from chronic sho</w:t>
      </w:r>
      <w:r w:rsidR="007157A3" w:rsidRPr="000F2A68">
        <w:t>rt-term versus long-term tests</w:t>
      </w:r>
      <w:r w:rsidR="00B2648D" w:rsidRPr="000F2A68">
        <w:t xml:space="preserve">) should be considered. </w:t>
      </w:r>
      <w:r w:rsidRPr="000F2A68">
        <w:t>Other factors to consider include:</w:t>
      </w:r>
    </w:p>
    <w:p w14:paraId="035F729E" w14:textId="4163CC0B" w:rsidR="00B679A4" w:rsidRPr="00372AB8" w:rsidRDefault="008B450D" w:rsidP="00372AB8">
      <w:pPr>
        <w:pStyle w:val="ListBullet"/>
      </w:pPr>
      <w:r w:rsidRPr="57352DF8">
        <w:t xml:space="preserve">whether </w:t>
      </w:r>
      <w:r w:rsidR="0093788C" w:rsidRPr="57352DF8">
        <w:t>data for the same chemical in the alternat</w:t>
      </w:r>
      <w:r w:rsidR="00783024" w:rsidRPr="57352DF8">
        <w:t>iv</w:t>
      </w:r>
      <w:r w:rsidR="0093788C" w:rsidRPr="57352DF8">
        <w:t xml:space="preserve">e medium </w:t>
      </w:r>
      <w:r w:rsidR="00C74687">
        <w:t>(e.g.</w:t>
      </w:r>
      <w:r w:rsidR="0093788C" w:rsidRPr="57352DF8">
        <w:t xml:space="preserve"> marine where freshwater is the medium of </w:t>
      </w:r>
      <w:r w:rsidR="0093788C" w:rsidRPr="00372AB8">
        <w:t>interest and vice versa) are uni</w:t>
      </w:r>
      <w:r w:rsidR="008A54C3" w:rsidRPr="00372AB8">
        <w:t>modal</w:t>
      </w:r>
      <w:r w:rsidR="0093788C" w:rsidRPr="00372AB8">
        <w:t>, bi</w:t>
      </w:r>
      <w:r w:rsidR="008A54C3" w:rsidRPr="00372AB8">
        <w:t>modal</w:t>
      </w:r>
      <w:r w:rsidR="0093788C" w:rsidRPr="00372AB8">
        <w:t xml:space="preserve"> or multimodal. Note that this will only be relevant where the relative sensitivity of different taxa groups is considered to be similar in fresh and marine water</w:t>
      </w:r>
    </w:p>
    <w:p w14:paraId="2BF7DDE3" w14:textId="1563BCFA" w:rsidR="0093788C" w:rsidRDefault="008B450D" w:rsidP="00372AB8">
      <w:pPr>
        <w:pStyle w:val="ListBullet"/>
      </w:pPr>
      <w:r w:rsidRPr="00372AB8">
        <w:t xml:space="preserve">whether </w:t>
      </w:r>
      <w:r w:rsidR="0093788C" w:rsidRPr="00372AB8">
        <w:t>data for other chem</w:t>
      </w:r>
      <w:r w:rsidR="0093788C" w:rsidRPr="57352DF8">
        <w:t>icals with the same mode of action are uni</w:t>
      </w:r>
      <w:r w:rsidR="008A54C3" w:rsidRPr="57352DF8">
        <w:t>modal</w:t>
      </w:r>
      <w:r w:rsidR="0093788C" w:rsidRPr="57352DF8">
        <w:t>, bi</w:t>
      </w:r>
      <w:r w:rsidR="008A54C3" w:rsidRPr="57352DF8">
        <w:t>modal</w:t>
      </w:r>
      <w:r w:rsidR="0093788C" w:rsidRPr="57352DF8">
        <w:t xml:space="preserve"> or multimodal.</w:t>
      </w:r>
    </w:p>
    <w:p w14:paraId="7FBCCA7F" w14:textId="543E018F" w:rsidR="00B679A4" w:rsidRDefault="0093788C" w:rsidP="004D7186">
      <w:r>
        <w:t>The response to this question requires a judg</w:t>
      </w:r>
      <w:r w:rsidR="003528E2">
        <w:t>e</w:t>
      </w:r>
      <w:r>
        <w:t>ment about whether indications of bi</w:t>
      </w:r>
      <w:r w:rsidR="008A54C3">
        <w:t>modality</w:t>
      </w:r>
      <w:r>
        <w:t xml:space="preserve"> or multimodality or distinct groupings of specific tax</w:t>
      </w:r>
      <w:r w:rsidR="2C905334">
        <w:t>on</w:t>
      </w:r>
      <w:r>
        <w:t xml:space="preserve"> types are </w:t>
      </w:r>
      <w:r w:rsidR="003D4892">
        <w:t>biologically meaningful</w:t>
      </w:r>
      <w:r>
        <w:t xml:space="preserve"> and potentially associated with a specific mode of action or are artefacts of the above types of issues.</w:t>
      </w:r>
      <w:bookmarkStart w:id="111" w:name="_Ref202089123"/>
    </w:p>
    <w:p w14:paraId="53942A72" w14:textId="79E602FE" w:rsidR="003967BE" w:rsidRPr="000F2A68" w:rsidRDefault="003967BE" w:rsidP="00BD4CEC">
      <w:pPr>
        <w:pStyle w:val="Heading4"/>
      </w:pPr>
      <w:r w:rsidRPr="000F2A68">
        <w:t>Decision making</w:t>
      </w:r>
      <w:bookmarkEnd w:id="111"/>
    </w:p>
    <w:p w14:paraId="0A037303" w14:textId="22E6C33F" w:rsidR="007618A8" w:rsidRPr="000F2A68" w:rsidRDefault="0093788C" w:rsidP="004D7186">
      <w:r>
        <w:t xml:space="preserve">If the </w:t>
      </w:r>
      <w:r w:rsidR="005574FD">
        <w:t xml:space="preserve">WoE </w:t>
      </w:r>
      <w:r>
        <w:t>associated with the above</w:t>
      </w:r>
      <w:r w:rsidR="00C64837">
        <w:t xml:space="preserve"> 4</w:t>
      </w:r>
      <w:r>
        <w:t xml:space="preserve"> questions indicates that the dataset is bi</w:t>
      </w:r>
      <w:r w:rsidR="008A54C3">
        <w:t>modal</w:t>
      </w:r>
      <w:r>
        <w:t xml:space="preserve"> or multimodal or that there is distinct taxa-specific sensitivity, and this is known or thought likely to be due to a specific mode of action, the </w:t>
      </w:r>
      <w:r w:rsidR="008E7A82">
        <w:t>model</w:t>
      </w:r>
      <w:r w:rsidR="27747041">
        <w:t>-</w:t>
      </w:r>
      <w:r w:rsidR="008E7A82">
        <w:t xml:space="preserve">averaged </w:t>
      </w:r>
      <w:r w:rsidR="00CC73C1">
        <w:t>estimates that include the bimodal distribution should be used</w:t>
      </w:r>
      <w:r>
        <w:t xml:space="preserve"> to derive the GV.</w:t>
      </w:r>
    </w:p>
    <w:p w14:paraId="275EC524" w14:textId="78E57060" w:rsidR="004331B3" w:rsidRPr="000F2A68" w:rsidRDefault="004331B3" w:rsidP="004D7186">
      <w:r w:rsidRPr="57352DF8">
        <w:t xml:space="preserve">However, </w:t>
      </w:r>
      <w:r w:rsidR="00C22A9F" w:rsidRPr="57352DF8">
        <w:t>the WoE process may result in</w:t>
      </w:r>
      <w:r w:rsidRPr="57352DF8">
        <w:t xml:space="preserve"> </w:t>
      </w:r>
      <w:r w:rsidR="004927D3" w:rsidRPr="57352DF8">
        <w:t>equivocal outcomes for which pro</w:t>
      </w:r>
      <w:r w:rsidR="00A64E0B" w:rsidRPr="57352DF8">
        <w:t>f</w:t>
      </w:r>
      <w:r w:rsidR="004927D3" w:rsidRPr="57352DF8">
        <w:t>essional judgement will be required</w:t>
      </w:r>
      <w:r w:rsidR="008D5EEF" w:rsidRPr="57352DF8">
        <w:t>. Guidance on this is provided below, although it is unlikely to cover all possible outcomes.</w:t>
      </w:r>
    </w:p>
    <w:p w14:paraId="3AD5DE4D" w14:textId="78522881" w:rsidR="00F52B96" w:rsidRPr="000F2A68" w:rsidRDefault="00F52B96" w:rsidP="004D7186">
      <w:r w:rsidRPr="57352DF8">
        <w:t xml:space="preserve">If the WoE indicates that a dataset </w:t>
      </w:r>
      <w:r w:rsidR="0033312F" w:rsidRPr="57352DF8">
        <w:t xml:space="preserve">exhibits no toxicologically-related bimodality, but </w:t>
      </w:r>
      <w:r w:rsidR="00C317B6" w:rsidRPr="57352DF8">
        <w:t>the bimodal distribution is assigned a high weight relative to the other distributions, a 2</w:t>
      </w:r>
      <w:r w:rsidR="396E4CC3" w:rsidRPr="57352DF8">
        <w:t>-</w:t>
      </w:r>
      <w:r w:rsidR="00C317B6" w:rsidRPr="57352DF8">
        <w:t>step process needs to be undertaken, as follows:</w:t>
      </w:r>
    </w:p>
    <w:p w14:paraId="46AC4561" w14:textId="3B92A0CD" w:rsidR="007B1748" w:rsidRPr="000F2A68" w:rsidRDefault="00B21B46" w:rsidP="00BD12B1">
      <w:pPr>
        <w:pStyle w:val="ListNumber"/>
        <w:numPr>
          <w:ilvl w:val="0"/>
          <w:numId w:val="41"/>
        </w:numPr>
        <w:ind w:left="568" w:hanging="284"/>
      </w:pPr>
      <w:r w:rsidRPr="57352DF8">
        <w:lastRenderedPageBreak/>
        <w:t xml:space="preserve">If question 4 concluded that </w:t>
      </w:r>
      <w:r w:rsidR="00175F62" w:rsidRPr="57352DF8">
        <w:t xml:space="preserve">indications of bimodality or taxa-specific sensitivity were due to artefacts </w:t>
      </w:r>
      <w:r w:rsidR="00FF1524" w:rsidRPr="57352DF8">
        <w:t>associated with</w:t>
      </w:r>
      <w:r w:rsidR="00175F62" w:rsidRPr="57352DF8">
        <w:t xml:space="preserve"> the dataset</w:t>
      </w:r>
      <w:r w:rsidR="00FF1524" w:rsidRPr="57352DF8">
        <w:t xml:space="preserve">, </w:t>
      </w:r>
      <w:r w:rsidR="006B030F" w:rsidRPr="57352DF8">
        <w:t xml:space="preserve">determine if </w:t>
      </w:r>
      <w:r w:rsidR="00567463" w:rsidRPr="57352DF8">
        <w:t>the rigour</w:t>
      </w:r>
      <w:r w:rsidR="00BD12B1">
        <w:t xml:space="preserve"> or </w:t>
      </w:r>
      <w:r w:rsidR="00567463" w:rsidRPr="57352DF8">
        <w:t>representativeness of the dataset can be improved.</w:t>
      </w:r>
      <w:r w:rsidR="00E95304" w:rsidRPr="57352DF8">
        <w:t xml:space="preserve"> </w:t>
      </w:r>
      <w:r w:rsidR="005974FA" w:rsidRPr="57352DF8">
        <w:t xml:space="preserve">If the dataset can be improved, re-fit it with the </w:t>
      </w:r>
      <w:r w:rsidR="00526F15" w:rsidRPr="57352DF8">
        <w:t xml:space="preserve">full set of default distributions and re-assess the </w:t>
      </w:r>
      <w:r w:rsidR="00A24B56" w:rsidRPr="57352DF8">
        <w:t xml:space="preserve">modelling </w:t>
      </w:r>
      <w:r w:rsidR="00526F15" w:rsidRPr="57352DF8">
        <w:t>outputs.</w:t>
      </w:r>
    </w:p>
    <w:p w14:paraId="46631F4D" w14:textId="16C57893" w:rsidR="00B679A4" w:rsidRDefault="00832CFE" w:rsidP="00BD12B1">
      <w:pPr>
        <w:pStyle w:val="ListNumber"/>
      </w:pPr>
      <w:r w:rsidRPr="000F2A68">
        <w:t xml:space="preserve">If there are no defensible options for improving the dataset, </w:t>
      </w:r>
      <w:r w:rsidR="00AD1D73" w:rsidRPr="000F2A68">
        <w:t xml:space="preserve">consider whether removal of the </w:t>
      </w:r>
      <w:r w:rsidR="00141BF7">
        <w:t>log-normal–log-normal</w:t>
      </w:r>
      <w:r w:rsidR="00AD1D73" w:rsidRPr="000F2A68">
        <w:t xml:space="preserve"> distribution from the set of default distributions is warranted</w:t>
      </w:r>
      <w:r w:rsidR="00176383" w:rsidRPr="000F2A68">
        <w:rPr>
          <w:noProof/>
        </w:rPr>
        <w:t xml:space="preserve"> </w:t>
      </w:r>
      <w:r w:rsidR="00BD12B1">
        <w:rPr>
          <w:noProof/>
        </w:rPr>
        <w:t>(</w:t>
      </w:r>
      <w:r w:rsidR="00176383" w:rsidRPr="000F2A68">
        <w:rPr>
          <w:noProof/>
        </w:rPr>
        <w:t xml:space="preserve">e.g. </w:t>
      </w:r>
      <w:r w:rsidR="00783486" w:rsidRPr="000F2A68">
        <w:t>if its inclusion</w:t>
      </w:r>
      <w:r w:rsidR="00032D56" w:rsidRPr="000F2A68">
        <w:rPr>
          <w:noProof/>
        </w:rPr>
        <w:t xml:space="preserve"> is having a marked influence on the GVs or their reliability rating</w:t>
      </w:r>
      <w:r w:rsidR="00176383" w:rsidRPr="000F2A68">
        <w:rPr>
          <w:noProof/>
        </w:rPr>
        <w:t>)</w:t>
      </w:r>
      <w:r w:rsidR="00AD1D73" w:rsidRPr="000F2A68">
        <w:t>.</w:t>
      </w:r>
      <w:r w:rsidR="00783486" w:rsidRPr="000F2A68">
        <w:t xml:space="preserve"> </w:t>
      </w:r>
      <w:r w:rsidR="00CA2767" w:rsidRPr="000F2A68">
        <w:t xml:space="preserve">If so, </w:t>
      </w:r>
      <w:r w:rsidR="0093788C" w:rsidRPr="000F2A68">
        <w:rPr>
          <w:rFonts w:cs="Arial"/>
        </w:rPr>
        <w:t xml:space="preserve">the dataset should be </w:t>
      </w:r>
      <w:r w:rsidR="00101955" w:rsidRPr="000F2A68">
        <w:rPr>
          <w:rFonts w:cs="Arial"/>
        </w:rPr>
        <w:t>re-fit</w:t>
      </w:r>
      <w:r w:rsidR="147E072A" w:rsidRPr="000F2A68">
        <w:rPr>
          <w:rFonts w:cs="Arial"/>
        </w:rPr>
        <w:t>ted</w:t>
      </w:r>
      <w:r w:rsidR="00101955" w:rsidRPr="000F2A68">
        <w:rPr>
          <w:rFonts w:cs="Arial"/>
        </w:rPr>
        <w:t xml:space="preserve"> using only the default unimodal distributions and their model</w:t>
      </w:r>
      <w:r w:rsidR="1A160C29" w:rsidRPr="000F2A68">
        <w:rPr>
          <w:rFonts w:cs="Arial"/>
        </w:rPr>
        <w:t>-</w:t>
      </w:r>
      <w:r w:rsidR="00101955" w:rsidRPr="000F2A68">
        <w:rPr>
          <w:rFonts w:cs="Arial"/>
        </w:rPr>
        <w:t xml:space="preserve">averaged estimates </w:t>
      </w:r>
      <w:r w:rsidR="0093788C" w:rsidRPr="000F2A68">
        <w:rPr>
          <w:rFonts w:cs="Arial"/>
        </w:rPr>
        <w:t xml:space="preserve">used to </w:t>
      </w:r>
      <w:r w:rsidR="00101955" w:rsidRPr="000F2A68">
        <w:rPr>
          <w:rFonts w:cs="Arial"/>
        </w:rPr>
        <w:t xml:space="preserve">derive </w:t>
      </w:r>
      <w:r w:rsidR="0093788C" w:rsidRPr="000F2A68">
        <w:rPr>
          <w:rFonts w:cs="Arial"/>
        </w:rPr>
        <w:t>the GV</w:t>
      </w:r>
      <w:r w:rsidR="00CA2767" w:rsidRPr="000F2A68">
        <w:rPr>
          <w:rFonts w:cs="Arial"/>
        </w:rPr>
        <w:t>s</w:t>
      </w:r>
      <w:r w:rsidR="0093788C" w:rsidRPr="000F2A68">
        <w:rPr>
          <w:rFonts w:cs="Arial"/>
        </w:rPr>
        <w:t>.</w:t>
      </w:r>
    </w:p>
    <w:p w14:paraId="56EFABF9" w14:textId="11C1F415" w:rsidR="0093788C" w:rsidRPr="000F2A68" w:rsidRDefault="00EE318A" w:rsidP="004D7186">
      <w:r w:rsidRPr="000F2A68">
        <w:t>To help guide users</w:t>
      </w:r>
      <w:r w:rsidR="00771345" w:rsidRPr="000F2A68">
        <w:t xml:space="preserve"> with this </w:t>
      </w:r>
      <w:r w:rsidR="00BE2255" w:rsidRPr="000F2A68">
        <w:t>process</w:t>
      </w:r>
      <w:r w:rsidRPr="000F2A68">
        <w:t xml:space="preserve">, </w:t>
      </w:r>
      <w:r w:rsidR="00ED778F" w:rsidRPr="000F2A68">
        <w:t>several</w:t>
      </w:r>
      <w:r w:rsidR="009A3195" w:rsidRPr="000F2A68">
        <w:t xml:space="preserve"> examples are detailed in </w:t>
      </w:r>
      <w:r w:rsidR="00CE18A1">
        <w:fldChar w:fldCharType="begin"/>
      </w:r>
      <w:r w:rsidR="00CE18A1">
        <w:instrText xml:space="preserve"> REF _Ref202085553 \n \h </w:instrText>
      </w:r>
      <w:r w:rsidR="00CE18A1">
        <w:fldChar w:fldCharType="separate"/>
      </w:r>
      <w:r w:rsidR="006C5761">
        <w:t>Appendix C</w:t>
      </w:r>
      <w:r w:rsidR="00CE18A1">
        <w:fldChar w:fldCharType="end"/>
      </w:r>
      <w:r w:rsidR="009A3195" w:rsidRPr="000F2A68">
        <w:t>.</w:t>
      </w:r>
    </w:p>
    <w:p w14:paraId="63B4B69F" w14:textId="43425EF4" w:rsidR="00B679A4" w:rsidRDefault="00D32107" w:rsidP="004D7186">
      <w:pPr>
        <w:rPr>
          <w:rFonts w:cs="Arial"/>
        </w:rPr>
      </w:pPr>
      <w:r w:rsidRPr="57352DF8">
        <w:t xml:space="preserve">If </w:t>
      </w:r>
      <w:r w:rsidR="00173E30" w:rsidRPr="57352DF8">
        <w:t>a dataset is relatively small (e.g. n &lt;</w:t>
      </w:r>
      <w:r w:rsidR="00BF3D38">
        <w:t> </w:t>
      </w:r>
      <w:r w:rsidR="00173E30" w:rsidRPr="57352DF8">
        <w:t>15)</w:t>
      </w:r>
      <w:r w:rsidR="007B085F">
        <w:t>,</w:t>
      </w:r>
      <w:r w:rsidR="00173E30" w:rsidRPr="57352DF8">
        <w:t xml:space="preserve"> </w:t>
      </w:r>
      <w:r w:rsidR="004656DC" w:rsidRPr="57352DF8">
        <w:t xml:space="preserve">and the bimodal distribution is accordingly assigned a low weight relative to the unimodal distributions, </w:t>
      </w:r>
      <w:r w:rsidR="00C83878" w:rsidRPr="57352DF8">
        <w:t xml:space="preserve">but </w:t>
      </w:r>
      <w:r w:rsidR="00EA471C" w:rsidRPr="57352DF8">
        <w:t>the</w:t>
      </w:r>
      <w:r w:rsidR="00CB4810" w:rsidRPr="57352DF8">
        <w:t xml:space="preserve">re is </w:t>
      </w:r>
      <w:r w:rsidR="004B786A" w:rsidRPr="57352DF8">
        <w:t>a clear split in the dataset that is consistent with a well</w:t>
      </w:r>
      <w:r w:rsidR="00BF3D38">
        <w:t>-</w:t>
      </w:r>
      <w:r w:rsidR="004B786A" w:rsidRPr="57352DF8">
        <w:t>understood mode of action</w:t>
      </w:r>
      <w:r w:rsidR="00562DF1" w:rsidRPr="57352DF8">
        <w:t xml:space="preserve">, </w:t>
      </w:r>
      <w:r w:rsidR="00C838C9" w:rsidRPr="57352DF8">
        <w:t xml:space="preserve">only </w:t>
      </w:r>
      <w:r w:rsidR="00562DF1" w:rsidRPr="57352DF8">
        <w:rPr>
          <w:rFonts w:cs="Arial"/>
        </w:rPr>
        <w:t xml:space="preserve">the </w:t>
      </w:r>
      <w:r w:rsidR="000B0906" w:rsidRPr="57352DF8">
        <w:rPr>
          <w:rFonts w:cs="Arial"/>
        </w:rPr>
        <w:t xml:space="preserve">data for </w:t>
      </w:r>
      <w:r w:rsidR="0F340DB5" w:rsidRPr="57352DF8">
        <w:rPr>
          <w:rFonts w:cs="Arial"/>
        </w:rPr>
        <w:t xml:space="preserve">the </w:t>
      </w:r>
      <w:r w:rsidR="0020326A" w:rsidRPr="57352DF8">
        <w:rPr>
          <w:rFonts w:cs="Arial"/>
        </w:rPr>
        <w:t xml:space="preserve">most sensitive </w:t>
      </w:r>
      <w:r w:rsidR="00C838C9" w:rsidRPr="57352DF8">
        <w:rPr>
          <w:rFonts w:cs="Arial"/>
        </w:rPr>
        <w:t>taxon</w:t>
      </w:r>
      <w:r w:rsidR="000B0906" w:rsidRPr="57352DF8">
        <w:rPr>
          <w:rFonts w:cs="Arial"/>
        </w:rPr>
        <w:t xml:space="preserve">omic group </w:t>
      </w:r>
      <w:r w:rsidR="00712FA5">
        <w:rPr>
          <w:rFonts w:cs="Arial"/>
        </w:rPr>
        <w:t>sh</w:t>
      </w:r>
      <w:r w:rsidR="00C838C9" w:rsidRPr="57352DF8">
        <w:rPr>
          <w:rFonts w:cs="Arial"/>
        </w:rPr>
        <w:t>ould be used to derive the GVs.</w:t>
      </w:r>
      <w:r w:rsidR="0020326A" w:rsidRPr="57352DF8">
        <w:rPr>
          <w:rFonts w:cs="Arial"/>
        </w:rPr>
        <w:t xml:space="preserve"> </w:t>
      </w:r>
      <w:r w:rsidR="000B0906" w:rsidRPr="57352DF8">
        <w:rPr>
          <w:rFonts w:cs="Arial"/>
        </w:rPr>
        <w:t xml:space="preserve">This assumes that </w:t>
      </w:r>
      <w:r w:rsidR="00604E49" w:rsidRPr="57352DF8">
        <w:rPr>
          <w:rFonts w:cs="Arial"/>
        </w:rPr>
        <w:t xml:space="preserve">(i) </w:t>
      </w:r>
      <w:r w:rsidR="000B0906" w:rsidRPr="57352DF8">
        <w:rPr>
          <w:rFonts w:cs="Arial"/>
        </w:rPr>
        <w:t>there are sufficient data for the most sensitive taxonomic group to do this</w:t>
      </w:r>
      <w:r w:rsidR="0023230D" w:rsidRPr="57352DF8">
        <w:rPr>
          <w:rFonts w:cs="Arial"/>
        </w:rPr>
        <w:t xml:space="preserve"> (i.e. n ≥</w:t>
      </w:r>
      <w:r w:rsidR="000B7842">
        <w:rPr>
          <w:rFonts w:cs="Arial"/>
        </w:rPr>
        <w:t> </w:t>
      </w:r>
      <w:r w:rsidR="0023230D" w:rsidRPr="57352DF8">
        <w:rPr>
          <w:rFonts w:cs="Arial"/>
        </w:rPr>
        <w:t>6)</w:t>
      </w:r>
      <w:r w:rsidR="000B0906" w:rsidRPr="57352DF8">
        <w:rPr>
          <w:rFonts w:cs="Arial"/>
        </w:rPr>
        <w:t>,</w:t>
      </w:r>
      <w:r w:rsidR="00604E49" w:rsidRPr="57352DF8">
        <w:rPr>
          <w:rFonts w:cs="Arial"/>
        </w:rPr>
        <w:t xml:space="preserve"> (ii) </w:t>
      </w:r>
      <w:r w:rsidR="00604E49" w:rsidRPr="57352DF8">
        <w:t xml:space="preserve">the original, full dataset met the </w:t>
      </w:r>
      <w:r w:rsidR="0009519F" w:rsidRPr="57352DF8">
        <w:t xml:space="preserve">minimum </w:t>
      </w:r>
      <w:r w:rsidR="00604E49" w:rsidRPr="57352DF8">
        <w:t>requirement for the number of taxonomic groups (i.e. ≥</w:t>
      </w:r>
      <w:r w:rsidR="000B7842">
        <w:t> </w:t>
      </w:r>
      <w:r w:rsidR="00604E49" w:rsidRPr="57352DF8">
        <w:t>4 taxonomic groups)</w:t>
      </w:r>
      <w:r w:rsidR="0009519F" w:rsidRPr="57352DF8">
        <w:t>,</w:t>
      </w:r>
      <w:r w:rsidR="000B0906" w:rsidRPr="57352DF8">
        <w:rPr>
          <w:rFonts w:cs="Arial"/>
        </w:rPr>
        <w:t xml:space="preserve"> and </w:t>
      </w:r>
      <w:r w:rsidR="0009519F" w:rsidRPr="57352DF8">
        <w:rPr>
          <w:rFonts w:cs="Arial"/>
        </w:rPr>
        <w:t xml:space="preserve">(iii) </w:t>
      </w:r>
      <w:r w:rsidR="000B0906" w:rsidRPr="57352DF8">
        <w:rPr>
          <w:rFonts w:cs="Arial"/>
        </w:rPr>
        <w:t xml:space="preserve">the output is more </w:t>
      </w:r>
      <w:r w:rsidR="0023230D" w:rsidRPr="57352DF8">
        <w:rPr>
          <w:rFonts w:cs="Arial"/>
        </w:rPr>
        <w:t>defensible than that based on retaining all the data</w:t>
      </w:r>
      <w:r w:rsidR="007600F8" w:rsidRPr="57352DF8">
        <w:rPr>
          <w:rFonts w:cs="Arial"/>
        </w:rPr>
        <w:t xml:space="preserve"> (this would include consideration of GV reliability and possibly professional judgement associated with the respective SSDs and resultant GVs)</w:t>
      </w:r>
      <w:r w:rsidR="0023230D" w:rsidRPr="57352DF8">
        <w:rPr>
          <w:rFonts w:cs="Arial"/>
        </w:rPr>
        <w:t>.</w:t>
      </w:r>
      <w:r w:rsidR="000F67CA" w:rsidRPr="57352DF8">
        <w:rPr>
          <w:rFonts w:cs="Arial"/>
        </w:rPr>
        <w:t xml:space="preserve"> Caution should be exercised with such cases</w:t>
      </w:r>
      <w:r w:rsidR="003425EE">
        <w:rPr>
          <w:rFonts w:cs="Arial"/>
        </w:rPr>
        <w:t>,</w:t>
      </w:r>
      <w:r w:rsidR="000F67CA" w:rsidRPr="57352DF8">
        <w:rPr>
          <w:rFonts w:cs="Arial"/>
        </w:rPr>
        <w:t xml:space="preserve"> </w:t>
      </w:r>
      <w:r w:rsidR="00586E1C" w:rsidRPr="57352DF8">
        <w:rPr>
          <w:rFonts w:cs="Arial"/>
        </w:rPr>
        <w:t>given that</w:t>
      </w:r>
      <w:r w:rsidR="00084359" w:rsidRPr="57352DF8">
        <w:rPr>
          <w:rFonts w:cs="Arial"/>
        </w:rPr>
        <w:t xml:space="preserve"> apparent split</w:t>
      </w:r>
      <w:r w:rsidR="00586E1C" w:rsidRPr="57352DF8">
        <w:rPr>
          <w:rFonts w:cs="Arial"/>
        </w:rPr>
        <w:t>s</w:t>
      </w:r>
      <w:r w:rsidR="00084359" w:rsidRPr="57352DF8">
        <w:rPr>
          <w:rFonts w:cs="Arial"/>
        </w:rPr>
        <w:t xml:space="preserve"> in </w:t>
      </w:r>
      <w:r w:rsidR="00586E1C" w:rsidRPr="57352DF8">
        <w:rPr>
          <w:rFonts w:cs="Arial"/>
        </w:rPr>
        <w:t xml:space="preserve">small </w:t>
      </w:r>
      <w:r w:rsidR="00084359" w:rsidRPr="57352DF8">
        <w:rPr>
          <w:rFonts w:cs="Arial"/>
        </w:rPr>
        <w:t>dataset</w:t>
      </w:r>
      <w:r w:rsidR="00586E1C" w:rsidRPr="57352DF8">
        <w:rPr>
          <w:rFonts w:cs="Arial"/>
        </w:rPr>
        <w:t>s</w:t>
      </w:r>
      <w:r w:rsidR="00084359" w:rsidRPr="57352DF8">
        <w:rPr>
          <w:rFonts w:cs="Arial"/>
        </w:rPr>
        <w:t xml:space="preserve"> </w:t>
      </w:r>
      <w:r w:rsidR="00586E1C" w:rsidRPr="57352DF8">
        <w:rPr>
          <w:rFonts w:cs="Arial"/>
        </w:rPr>
        <w:t xml:space="preserve">can be </w:t>
      </w:r>
      <w:r w:rsidR="00DD249C" w:rsidRPr="57352DF8">
        <w:rPr>
          <w:rFonts w:cs="Arial"/>
        </w:rPr>
        <w:t>due to</w:t>
      </w:r>
      <w:r w:rsidR="00084359" w:rsidRPr="57352DF8">
        <w:rPr>
          <w:rFonts w:cs="Arial"/>
        </w:rPr>
        <w:t xml:space="preserve"> </w:t>
      </w:r>
      <w:r w:rsidR="00C73B49" w:rsidRPr="57352DF8">
        <w:rPr>
          <w:rFonts w:cs="Arial"/>
        </w:rPr>
        <w:t>random artefact</w:t>
      </w:r>
      <w:r w:rsidR="00DD249C" w:rsidRPr="57352DF8">
        <w:rPr>
          <w:rFonts w:cs="Arial"/>
        </w:rPr>
        <w:t>s</w:t>
      </w:r>
      <w:r w:rsidR="00C73B49" w:rsidRPr="57352DF8">
        <w:rPr>
          <w:rFonts w:cs="Arial"/>
        </w:rPr>
        <w:t>.</w:t>
      </w:r>
      <w:bookmarkStart w:id="112" w:name="_Toc202084773"/>
      <w:bookmarkStart w:id="113" w:name="_Ref202088575"/>
      <w:bookmarkStart w:id="114" w:name="_Ref202089066"/>
      <w:bookmarkStart w:id="115" w:name="_Ref202089099"/>
      <w:bookmarkStart w:id="116" w:name="_Ref202090549"/>
    </w:p>
    <w:p w14:paraId="50AB97CD" w14:textId="1EF659F8" w:rsidR="00B679A4" w:rsidRDefault="00D878EE" w:rsidP="008C3DDF">
      <w:pPr>
        <w:pStyle w:val="Heading3"/>
      </w:pPr>
      <w:bookmarkStart w:id="117" w:name="_Toc206143333"/>
      <w:r w:rsidRPr="57352DF8">
        <w:t>Use of</w:t>
      </w:r>
      <w:r w:rsidR="0093788C" w:rsidRPr="57352DF8">
        <w:t xml:space="preserve"> </w:t>
      </w:r>
      <w:r w:rsidR="009358C0" w:rsidRPr="57352DF8">
        <w:t>(shiny)ssdtools</w:t>
      </w:r>
      <w:bookmarkEnd w:id="112"/>
      <w:bookmarkEnd w:id="113"/>
      <w:bookmarkEnd w:id="114"/>
      <w:bookmarkEnd w:id="115"/>
      <w:bookmarkEnd w:id="116"/>
      <w:bookmarkEnd w:id="117"/>
    </w:p>
    <w:p w14:paraId="61EB64EB" w14:textId="3967D05F" w:rsidR="00B679A4" w:rsidRDefault="0093788C" w:rsidP="004D7186">
      <w:r w:rsidRPr="57352DF8">
        <w:t xml:space="preserve">The </w:t>
      </w:r>
      <w:r w:rsidR="001E6DAB">
        <w:t>open</w:t>
      </w:r>
      <w:r w:rsidR="00C76C70">
        <w:t>-</w:t>
      </w:r>
      <w:r w:rsidR="001E6DAB">
        <w:t xml:space="preserve">source </w:t>
      </w:r>
      <w:r w:rsidR="009358C0" w:rsidRPr="57352DF8">
        <w:t>ssdtools</w:t>
      </w:r>
      <w:r w:rsidRPr="57352DF8">
        <w:t xml:space="preserve"> software (</w:t>
      </w:r>
      <w:r w:rsidR="003A2BF5" w:rsidRPr="57352DF8">
        <w:t xml:space="preserve">Thorley and Schwarz 2018, </w:t>
      </w:r>
      <w:r w:rsidR="00677395" w:rsidRPr="57352DF8">
        <w:t xml:space="preserve">Thorley </w:t>
      </w:r>
      <w:r w:rsidR="006C4936" w:rsidRPr="57352DF8">
        <w:t>et al. 2025</w:t>
      </w:r>
      <w:r w:rsidRPr="57352DF8">
        <w:t xml:space="preserve">) </w:t>
      </w:r>
      <w:r w:rsidR="009358C0" w:rsidRPr="57352DF8">
        <w:t>or its online interface, shinyssdtools</w:t>
      </w:r>
      <w:r w:rsidR="00677395" w:rsidRPr="57352DF8">
        <w:t xml:space="preserve"> (Dalgarno 2018)</w:t>
      </w:r>
      <w:r w:rsidR="0038540D">
        <w:t xml:space="preserve"> (collectively referred to as </w:t>
      </w:r>
      <w:r w:rsidR="002E120E">
        <w:t>‘</w:t>
      </w:r>
      <w:r w:rsidR="0038540D">
        <w:t>(shiny)ssdtools</w:t>
      </w:r>
      <w:r w:rsidR="002E120E">
        <w:t>’</w:t>
      </w:r>
      <w:r w:rsidR="0038540D">
        <w:t>)</w:t>
      </w:r>
      <w:r w:rsidR="009358C0" w:rsidRPr="57352DF8">
        <w:t xml:space="preserve">, </w:t>
      </w:r>
      <w:r w:rsidRPr="57352DF8">
        <w:t>should be used to calculate the GVs for all chemicals that meet the minimum data requirements of the SSD method. It can also be used to derive low</w:t>
      </w:r>
      <w:r w:rsidR="00B14751">
        <w:t>-</w:t>
      </w:r>
      <w:r w:rsidRPr="57352DF8">
        <w:t xml:space="preserve">reliability GVs for non-polar narcotics (see use of QSARs in Warne 2001). Entry of toxicity data and calculation of GVs should follow the </w:t>
      </w:r>
      <w:r w:rsidR="009358C0" w:rsidRPr="57352DF8">
        <w:t>(shiny)ssdtools</w:t>
      </w:r>
      <w:r w:rsidRPr="57352DF8">
        <w:t xml:space="preserve"> user instructions</w:t>
      </w:r>
      <w:r w:rsidR="00FE2D00" w:rsidRPr="57352DF8">
        <w:t xml:space="preserve"> (</w:t>
      </w:r>
      <w:hyperlink r:id="rId33" w:history="1">
        <w:r w:rsidR="007050E6" w:rsidRPr="0014198F">
          <w:rPr>
            <w:rStyle w:val="Hyperlink"/>
          </w:rPr>
          <w:t>https://www.waterquality.gov.au/anz-guidelines/guideline-values/default/water-quality-toxicants/shinyssdtool</w:t>
        </w:r>
      </w:hyperlink>
      <w:r w:rsidR="00FE2D00" w:rsidRPr="57352DF8">
        <w:t>)</w:t>
      </w:r>
      <w:r w:rsidRPr="57352DF8">
        <w:t>.</w:t>
      </w:r>
    </w:p>
    <w:p w14:paraId="58DB46E5" w14:textId="41E3D822" w:rsidR="00091343" w:rsidRDefault="00264415" w:rsidP="004D7186">
      <w:r w:rsidRPr="14BE8DC7">
        <w:rPr>
          <w:lang w:val="en-US"/>
        </w:rPr>
        <w:t xml:space="preserve">The key feature of (shiny)ssdtools </w:t>
      </w:r>
      <w:r>
        <w:t>is that it employs a technique known as model averaging. In the context of SSD modelling, the approach fits</w:t>
      </w:r>
      <w:r w:rsidRPr="14BE8DC7">
        <w:rPr>
          <w:lang w:val="en-GB"/>
        </w:rPr>
        <w:t xml:space="preserve"> multiple distributions to a toxicity dataset and uses the weights of the fits of each distribution to construct a model-averaged SSD, from which GVs can be estimated. </w:t>
      </w:r>
      <w:r>
        <w:t>Thus, there is no longer a reliance on just a single distribution that may not provide an adequate representation of the dataset</w:t>
      </w:r>
      <w:r w:rsidR="0038540D">
        <w:t>, as was the case with Burrlioz 2.0</w:t>
      </w:r>
      <w:r>
        <w:t xml:space="preserve">. Full statistical details of (shiny)ssdtools </w:t>
      </w:r>
      <w:r w:rsidR="00A540AE">
        <w:t xml:space="preserve">and model averaging in SSDs </w:t>
      </w:r>
      <w:r>
        <w:t>can be found in Thorley and Sch</w:t>
      </w:r>
      <w:r w:rsidR="00EC18C7">
        <w:t xml:space="preserve">warz (2018), </w:t>
      </w:r>
      <w:r w:rsidR="00EC18C7" w:rsidRPr="14BE8DC7">
        <w:rPr>
          <w:lang w:val="en-NZ"/>
        </w:rPr>
        <w:t>Schwarz and Tillmanns (2019)</w:t>
      </w:r>
      <w:r w:rsidR="00CF17B8">
        <w:rPr>
          <w:lang w:val="en-NZ"/>
        </w:rPr>
        <w:t>,</w:t>
      </w:r>
      <w:r w:rsidR="00EC18C7" w:rsidRPr="14BE8DC7">
        <w:rPr>
          <w:lang w:val="en-NZ"/>
        </w:rPr>
        <w:t xml:space="preserve"> </w:t>
      </w:r>
      <w:r>
        <w:t>Fox et al. (2021</w:t>
      </w:r>
      <w:r w:rsidR="00EC18C7">
        <w:t>, 2024</w:t>
      </w:r>
      <w:r w:rsidR="000C5035">
        <w:t>a, b</w:t>
      </w:r>
      <w:r>
        <w:t>)</w:t>
      </w:r>
      <w:r w:rsidR="00CF17B8">
        <w:t xml:space="preserve"> and Thorley et al. (2025)</w:t>
      </w:r>
      <w:r w:rsidR="00091343">
        <w:t>.</w:t>
      </w:r>
    </w:p>
    <w:p w14:paraId="2A30D0FF" w14:textId="7A2FF290" w:rsidR="002A3655" w:rsidRDefault="00091343" w:rsidP="00385295">
      <w:r>
        <w:t>(shiny)ssdtools contains a set of</w:t>
      </w:r>
      <w:r w:rsidR="00A540AE">
        <w:t xml:space="preserve"> </w:t>
      </w:r>
      <w:r>
        <w:t>‘default’ distributions (</w:t>
      </w:r>
      <w:r w:rsidR="003A31ED">
        <w:t xml:space="preserve">currently the </w:t>
      </w:r>
      <w:r w:rsidR="00803791">
        <w:t>g</w:t>
      </w:r>
      <w:r>
        <w:t xml:space="preserve">amma, </w:t>
      </w:r>
      <w:r w:rsidR="00803791">
        <w:t>l</w:t>
      </w:r>
      <w:r>
        <w:t xml:space="preserve">og-Gumbel, </w:t>
      </w:r>
      <w:r w:rsidR="00803791">
        <w:t>l</w:t>
      </w:r>
      <w:r>
        <w:t>og-</w:t>
      </w:r>
      <w:r w:rsidR="00803791">
        <w:t>l</w:t>
      </w:r>
      <w:r>
        <w:t xml:space="preserve">ogistic, </w:t>
      </w:r>
      <w:r w:rsidR="00803791">
        <w:t>l</w:t>
      </w:r>
      <w:r>
        <w:t>og-</w:t>
      </w:r>
      <w:r w:rsidR="00803791">
        <w:t>n</w:t>
      </w:r>
      <w:r>
        <w:t xml:space="preserve">ormal, </w:t>
      </w:r>
      <w:r w:rsidR="00141BF7">
        <w:t>log-normal–log-normal</w:t>
      </w:r>
      <w:r>
        <w:t xml:space="preserve"> and Weibull) that are automatically used to construct a model-averaged SSD. Apart from the </w:t>
      </w:r>
      <w:r w:rsidR="00141BF7">
        <w:t>log-normal–log-normal</w:t>
      </w:r>
      <w:r>
        <w:t xml:space="preserve"> distribution, they are all 2-parameter distributions. The </w:t>
      </w:r>
      <w:r w:rsidR="00141BF7">
        <w:t>log-normal–log-normal</w:t>
      </w:r>
      <w:r>
        <w:t xml:space="preserve"> distribution is a 5-param</w:t>
      </w:r>
      <w:r w:rsidR="00CB7C58">
        <w:t>e</w:t>
      </w:r>
      <w:r>
        <w:t>ter mixture distribution (i.e.</w:t>
      </w:r>
      <w:r w:rsidR="00C64837">
        <w:t xml:space="preserve"> 2</w:t>
      </w:r>
      <w:r w:rsidR="00803791">
        <w:t> </w:t>
      </w:r>
      <w:r w:rsidR="00296925">
        <w:t>log</w:t>
      </w:r>
      <w:r w:rsidR="00803791">
        <w:t>-</w:t>
      </w:r>
      <w:r w:rsidR="00296925">
        <w:t>normal</w:t>
      </w:r>
      <w:r>
        <w:t xml:space="preserve"> distributions </w:t>
      </w:r>
      <w:r w:rsidR="00296925">
        <w:t>with a mixing proportion</w:t>
      </w:r>
      <w:r>
        <w:t xml:space="preserve">) that </w:t>
      </w:r>
      <w:r w:rsidR="00EA13B3">
        <w:t>is</w:t>
      </w:r>
      <w:r>
        <w:t xml:space="preserve"> suitable for modelling bimodal datasets (as described in Section </w:t>
      </w:r>
      <w:r w:rsidR="00141A63">
        <w:fldChar w:fldCharType="begin"/>
      </w:r>
      <w:r w:rsidR="00141A63">
        <w:instrText xml:space="preserve"> REF _Ref522008201 \r \h </w:instrText>
      </w:r>
      <w:r w:rsidR="00141A63">
        <w:fldChar w:fldCharType="separate"/>
      </w:r>
      <w:r w:rsidR="006C5761">
        <w:t>0</w:t>
      </w:r>
      <w:r w:rsidR="00141A63">
        <w:fldChar w:fldCharType="end"/>
      </w:r>
      <w:r>
        <w:t xml:space="preserve">). </w:t>
      </w:r>
      <w:r w:rsidR="002A3655">
        <w:t xml:space="preserve">(shiny)ssdtools also includes a number of additional distributions outside of </w:t>
      </w:r>
      <w:r w:rsidR="002A3655">
        <w:lastRenderedPageBreak/>
        <w:t xml:space="preserve">the default distributions, namely, </w:t>
      </w:r>
      <w:r w:rsidR="00C2255B">
        <w:t xml:space="preserve">the 2-parameter Gompertz distribution, the 3-parameter Burr(III) distribution and the 5-parameter </w:t>
      </w:r>
      <w:r w:rsidR="00803791">
        <w:t>l</w:t>
      </w:r>
      <w:r w:rsidR="00C2255B">
        <w:t>og</w:t>
      </w:r>
      <w:r w:rsidR="00803791">
        <w:t>-</w:t>
      </w:r>
      <w:r w:rsidR="00C2255B">
        <w:t>logistic</w:t>
      </w:r>
      <w:r w:rsidR="00803791">
        <w:t>–l</w:t>
      </w:r>
      <w:r w:rsidR="00C2255B">
        <w:t>og</w:t>
      </w:r>
      <w:r w:rsidR="00803791">
        <w:t>-</w:t>
      </w:r>
      <w:r w:rsidR="00C2255B">
        <w:t>logistic distribution.</w:t>
      </w:r>
      <w:r w:rsidR="002C063C">
        <w:t xml:space="preserve"> The </w:t>
      </w:r>
      <w:r w:rsidR="002717CF">
        <w:t>current</w:t>
      </w:r>
      <w:r w:rsidR="00EF16C8">
        <w:t>ly</w:t>
      </w:r>
      <w:r w:rsidR="002717CF">
        <w:t xml:space="preserve"> list</w:t>
      </w:r>
      <w:r w:rsidR="00EF16C8">
        <w:t>ed</w:t>
      </w:r>
      <w:r w:rsidR="002717CF">
        <w:t xml:space="preserve"> </w:t>
      </w:r>
      <w:r w:rsidR="002C063C">
        <w:t>non-default distributions were not included in the set of default distributions</w:t>
      </w:r>
      <w:r w:rsidR="00AD59CA">
        <w:t xml:space="preserve"> for specific reasons detailed </w:t>
      </w:r>
      <w:r w:rsidR="1CCE89FE">
        <w:t>by</w:t>
      </w:r>
      <w:r w:rsidR="00AD59CA">
        <w:t xml:space="preserve"> Fox et al. (2024</w:t>
      </w:r>
      <w:r w:rsidR="000C5035">
        <w:t>a, b</w:t>
      </w:r>
      <w:bookmarkStart w:id="118" w:name="_Hlk182202842"/>
      <w:r w:rsidR="00AD59CA">
        <w:t>).</w:t>
      </w:r>
      <w:r w:rsidR="00CB7C58">
        <w:t xml:space="preserve"> It should be noted that the set of default distributions may change over time, while additional non-default distributions may also be added.</w:t>
      </w:r>
      <w:r w:rsidR="00754CBE">
        <w:t xml:space="preserve"> In addition, there may be</w:t>
      </w:r>
      <w:r w:rsidR="00A41A85">
        <w:t xml:space="preserve"> </w:t>
      </w:r>
      <w:r w:rsidR="00025A3F">
        <w:t>further</w:t>
      </w:r>
      <w:r w:rsidR="00A41A85">
        <w:t xml:space="preserve"> technical improvements to ssdtools.</w:t>
      </w:r>
      <w:r w:rsidR="0057102C">
        <w:t xml:space="preserve"> Provid</w:t>
      </w:r>
      <w:r w:rsidR="306AACAB">
        <w:t>ed</w:t>
      </w:r>
      <w:r w:rsidR="0057102C">
        <w:t xml:space="preserve"> </w:t>
      </w:r>
      <w:r w:rsidR="00EA13B3">
        <w:t xml:space="preserve">that </w:t>
      </w:r>
      <w:r w:rsidR="0057102C">
        <w:t xml:space="preserve">either the </w:t>
      </w:r>
      <w:r w:rsidR="00754CBE">
        <w:t xml:space="preserve">default </w:t>
      </w:r>
      <w:r w:rsidR="0057102C">
        <w:t xml:space="preserve">(shiny)ssdtools </w:t>
      </w:r>
      <w:r w:rsidR="00754CBE">
        <w:t>setting</w:t>
      </w:r>
      <w:r w:rsidR="00A41A85">
        <w:t>s</w:t>
      </w:r>
      <w:r w:rsidR="00754CBE">
        <w:t xml:space="preserve"> </w:t>
      </w:r>
      <w:r w:rsidR="0057102C">
        <w:t xml:space="preserve">or the </w:t>
      </w:r>
      <w:r w:rsidR="00403ECD">
        <w:t>‘</w:t>
      </w:r>
      <w:r w:rsidR="0057102C">
        <w:t>ssd_fit_bcanz</w:t>
      </w:r>
      <w:r w:rsidR="00A41A85">
        <w:t>()</w:t>
      </w:r>
      <w:r w:rsidR="00403ECD">
        <w:t>’</w:t>
      </w:r>
      <w:r w:rsidR="0057102C">
        <w:t xml:space="preserve"> function</w:t>
      </w:r>
      <w:r w:rsidR="00A41A85">
        <w:t xml:space="preserve"> (within R)</w:t>
      </w:r>
      <w:r w:rsidR="0057102C">
        <w:t xml:space="preserve"> are used</w:t>
      </w:r>
      <w:r w:rsidR="00754CBE">
        <w:t xml:space="preserve"> for derivation</w:t>
      </w:r>
      <w:r w:rsidR="00C909D8">
        <w:t xml:space="preserve"> using the most recent version of ssdtools on </w:t>
      </w:r>
      <w:r w:rsidR="00B8429A">
        <w:t>t</w:t>
      </w:r>
      <w:r w:rsidR="00385295">
        <w:t>he Comprehensive R Archive Network</w:t>
      </w:r>
      <w:r w:rsidR="00754CBE">
        <w:t>, resulting estimates will be generated using the most recently approved methodology.</w:t>
      </w:r>
      <w:r w:rsidR="00A41A85">
        <w:t xml:space="preserve"> The specific version of </w:t>
      </w:r>
      <w:r w:rsidR="00EF16C8">
        <w:t>(shiny)</w:t>
      </w:r>
      <w:r w:rsidR="00A41A85">
        <w:t>ssdtools used to generate the output should a</w:t>
      </w:r>
      <w:r w:rsidR="007F4C21">
        <w:t>lways be reported as part of the derivation, to ensure complete reproducibility.</w:t>
      </w:r>
    </w:p>
    <w:p w14:paraId="1E8B7639" w14:textId="11591B09" w:rsidR="00B679A4" w:rsidRDefault="00081513" w:rsidP="004D7186">
      <w:r>
        <w:t>When entering data into the GV derivation software, each toxicity value should be entered to no more than</w:t>
      </w:r>
      <w:r w:rsidR="00C64837">
        <w:t xml:space="preserve"> 3</w:t>
      </w:r>
      <w:r w:rsidR="00B8429A">
        <w:t> </w:t>
      </w:r>
      <w:r>
        <w:t>significant figures.</w:t>
      </w:r>
      <w:bookmarkEnd w:id="118"/>
    </w:p>
    <w:p w14:paraId="202D024A" w14:textId="78C7046D" w:rsidR="00B679A4" w:rsidRDefault="00091343" w:rsidP="004D7186">
      <w:r>
        <w:t>When deriving GVs</w:t>
      </w:r>
      <w:r w:rsidR="001F7055">
        <w:t xml:space="preserve"> (including DGVs)</w:t>
      </w:r>
      <w:r>
        <w:t xml:space="preserve">, the full set of default distributions </w:t>
      </w:r>
      <w:r w:rsidR="005F1197">
        <w:t xml:space="preserve">in (shiny)ssdtools </w:t>
      </w:r>
      <w:r>
        <w:t xml:space="preserve">must be used unless there is an over-riding reason to </w:t>
      </w:r>
      <w:r w:rsidR="002E50AB">
        <w:t>remove</w:t>
      </w:r>
      <w:r w:rsidR="0020019E">
        <w:t xml:space="preserve"> or add distributions</w:t>
      </w:r>
      <w:r w:rsidR="000F65F6">
        <w:t xml:space="preserve">. </w:t>
      </w:r>
      <w:r w:rsidR="006C34E1">
        <w:t xml:space="preserve">For example, </w:t>
      </w:r>
      <w:r w:rsidR="00955C56">
        <w:t xml:space="preserve">Section </w:t>
      </w:r>
      <w:r w:rsidR="00141A63">
        <w:fldChar w:fldCharType="begin"/>
      </w:r>
      <w:r w:rsidR="00141A63">
        <w:instrText xml:space="preserve"> REF _Ref202089123 \r \h </w:instrText>
      </w:r>
      <w:r w:rsidR="00141A63">
        <w:fldChar w:fldCharType="separate"/>
      </w:r>
      <w:r w:rsidR="006C5761">
        <w:t>0</w:t>
      </w:r>
      <w:r w:rsidR="00141A63">
        <w:fldChar w:fldCharType="end"/>
      </w:r>
      <w:r w:rsidR="00955C56">
        <w:t xml:space="preserve"> </w:t>
      </w:r>
      <w:r w:rsidR="004760E7">
        <w:t>provide</w:t>
      </w:r>
      <w:r w:rsidR="00B8429A">
        <w:t>s</w:t>
      </w:r>
      <w:r w:rsidR="004760E7">
        <w:t xml:space="preserve"> guidance on </w:t>
      </w:r>
      <w:r w:rsidR="002E50AB">
        <w:t xml:space="preserve">the potential removal of the </w:t>
      </w:r>
      <w:r w:rsidR="00141BF7">
        <w:t>log-normal–log-normal</w:t>
      </w:r>
      <w:r w:rsidR="002E50AB">
        <w:t xml:space="preserve"> distribution </w:t>
      </w:r>
      <w:r w:rsidR="00ED37DE">
        <w:t>where it is modelling a dataset artefact and affecting the GVs or reliability rating</w:t>
      </w:r>
      <w:r>
        <w:t xml:space="preserve">. </w:t>
      </w:r>
      <w:r w:rsidR="002E50AB">
        <w:t>Alternatively</w:t>
      </w:r>
      <w:r w:rsidR="00C2255B">
        <w:t>, one of the non-default distributions could be included in the distribution set if it yield</w:t>
      </w:r>
      <w:r w:rsidR="0020019E">
        <w:t>s</w:t>
      </w:r>
      <w:r w:rsidR="00C2255B">
        <w:t xml:space="preserve"> a </w:t>
      </w:r>
      <w:r w:rsidR="00B9772D">
        <w:t xml:space="preserve">demonstrably </w:t>
      </w:r>
      <w:r w:rsidR="00C2255B">
        <w:t xml:space="preserve">better relative fit to the dataset than </w:t>
      </w:r>
      <w:r w:rsidR="0020019E">
        <w:t>all of the default</w:t>
      </w:r>
      <w:r w:rsidR="00C2255B">
        <w:t xml:space="preserve"> distributions. </w:t>
      </w:r>
      <w:r w:rsidR="005F1197">
        <w:t xml:space="preserve">The DGVs </w:t>
      </w:r>
      <w:r w:rsidR="005E2BAB">
        <w:t xml:space="preserve">should </w:t>
      </w:r>
      <w:r w:rsidR="005F1197">
        <w:t>be based on the model-averaged SSD</w:t>
      </w:r>
      <w:r w:rsidR="00DC50CD">
        <w:t xml:space="preserve"> –</w:t>
      </w:r>
      <w:r w:rsidR="00E94F07">
        <w:t xml:space="preserve"> </w:t>
      </w:r>
      <w:r w:rsidR="005E2BAB">
        <w:t xml:space="preserve">there </w:t>
      </w:r>
      <w:r w:rsidR="00896382">
        <w:t xml:space="preserve">is </w:t>
      </w:r>
      <w:r>
        <w:t xml:space="preserve">no </w:t>
      </w:r>
      <w:r w:rsidR="00C2255B">
        <w:t>need</w:t>
      </w:r>
      <w:r>
        <w:t xml:space="preserve"> to exclude poor</w:t>
      </w:r>
      <w:r w:rsidR="00C76C70">
        <w:t>-</w:t>
      </w:r>
      <w:r>
        <w:t xml:space="preserve">fitting </w:t>
      </w:r>
      <w:r w:rsidR="002C063C">
        <w:t xml:space="preserve">default </w:t>
      </w:r>
      <w:r>
        <w:t>distributions</w:t>
      </w:r>
      <w:r w:rsidR="00DC50CD">
        <w:t>,</w:t>
      </w:r>
      <w:r>
        <w:t xml:space="preserve"> as the model averaging will </w:t>
      </w:r>
      <w:r w:rsidR="00896382">
        <w:t>account</w:t>
      </w:r>
      <w:r>
        <w:t xml:space="preserve"> for th</w:t>
      </w:r>
      <w:r w:rsidR="00896382">
        <w:t>e relative fits of the distributions</w:t>
      </w:r>
      <w:r>
        <w:t xml:space="preserve"> </w:t>
      </w:r>
      <w:r w:rsidR="00DC50CD">
        <w:t>(</w:t>
      </w:r>
      <w:r>
        <w:t xml:space="preserve">i.e. </w:t>
      </w:r>
      <w:r w:rsidR="00896382">
        <w:t>a poor</w:t>
      </w:r>
      <w:r w:rsidR="7750D520">
        <w:t>-</w:t>
      </w:r>
      <w:r w:rsidR="00896382">
        <w:t>fitting distribution</w:t>
      </w:r>
      <w:r>
        <w:t xml:space="preserve"> will be assigned a very low weight and will have </w:t>
      </w:r>
      <w:r w:rsidR="003358FC">
        <w:t>minimal</w:t>
      </w:r>
      <w:r>
        <w:t xml:space="preserve"> influence on the final DGVs</w:t>
      </w:r>
      <w:r w:rsidR="00DC50CD">
        <w:t>)</w:t>
      </w:r>
      <w:r>
        <w:t xml:space="preserve">. </w:t>
      </w:r>
      <w:r w:rsidR="1C969AF2">
        <w:t>S</w:t>
      </w:r>
      <w:r w:rsidR="00D62F05">
        <w:t xml:space="preserve">electing only one or a small subset of the default distributions based on </w:t>
      </w:r>
      <w:r w:rsidR="00CB7C58">
        <w:t xml:space="preserve">the </w:t>
      </w:r>
      <w:r w:rsidR="00D62F05">
        <w:t>goodness-of-fit statistics is not recommended</w:t>
      </w:r>
      <w:r w:rsidR="00712439">
        <w:t xml:space="preserve"> (and should not be done for DGVs)</w:t>
      </w:r>
      <w:r w:rsidR="00D62F05">
        <w:t>.</w:t>
      </w:r>
    </w:p>
    <w:p w14:paraId="36A3769D" w14:textId="67FD1254" w:rsidR="00643E12" w:rsidRDefault="00643E12" w:rsidP="004D7186">
      <w:r w:rsidRPr="57352DF8">
        <w:t>Alternative software may be used for the derivation of site-specific GVs</w:t>
      </w:r>
      <w:r w:rsidR="00DC50CD">
        <w:t>;</w:t>
      </w:r>
      <w:r w:rsidRPr="57352DF8">
        <w:t xml:space="preserve"> however, justification would need to be provided as to the technical validity of the alternative method and why it is superior to using </w:t>
      </w:r>
      <w:r w:rsidR="009358C0" w:rsidRPr="57352DF8">
        <w:t>(shiny)ssdtools</w:t>
      </w:r>
      <w:r w:rsidRPr="57352DF8">
        <w:t>.</w:t>
      </w:r>
      <w:r w:rsidR="00DF63AA" w:rsidRPr="57352DF8">
        <w:t xml:space="preserve"> As part of this, </w:t>
      </w:r>
      <w:r w:rsidR="00A329AF" w:rsidRPr="57352DF8">
        <w:t xml:space="preserve">and for SSD-based GVs, </w:t>
      </w:r>
      <w:r w:rsidR="00DF63AA" w:rsidRPr="57352DF8">
        <w:t xml:space="preserve">it would need to be shown that the </w:t>
      </w:r>
      <w:r w:rsidR="009311B3">
        <w:t xml:space="preserve">alternative </w:t>
      </w:r>
      <w:r w:rsidR="00DF63AA" w:rsidRPr="57352DF8">
        <w:t>software is a recognised tool for generating SSDs.</w:t>
      </w:r>
      <w:r w:rsidR="002D5A0E" w:rsidRPr="57352DF8">
        <w:t xml:space="preserve"> </w:t>
      </w:r>
      <w:bookmarkStart w:id="119" w:name="_Hlk187651121"/>
      <w:r w:rsidR="002D5A0E" w:rsidRPr="57352DF8">
        <w:t xml:space="preserve">At the time of publication of this method document, </w:t>
      </w:r>
      <w:r w:rsidR="005747E9">
        <w:t>(</w:t>
      </w:r>
      <w:r w:rsidR="002D5A0E" w:rsidRPr="57352DF8">
        <w:t>shiny</w:t>
      </w:r>
      <w:r w:rsidR="005747E9">
        <w:t>)</w:t>
      </w:r>
      <w:r w:rsidR="002D5A0E" w:rsidRPr="57352DF8">
        <w:t xml:space="preserve">ssdtools </w:t>
      </w:r>
      <w:r w:rsidR="005747E9">
        <w:t>is</w:t>
      </w:r>
      <w:r w:rsidR="002D5A0E" w:rsidRPr="57352DF8">
        <w:t xml:space="preserve"> the only software package endorsed by the </w:t>
      </w:r>
      <w:r w:rsidR="002D5A0E" w:rsidRPr="00E42F0E">
        <w:rPr>
          <w:i/>
          <w:iCs/>
        </w:rPr>
        <w:t>Australian and New Zealand Guidelines for Fresh and Marine Water Quality</w:t>
      </w:r>
      <w:r w:rsidR="002D5A0E" w:rsidRPr="57352DF8">
        <w:t xml:space="preserve"> </w:t>
      </w:r>
      <w:bookmarkStart w:id="120" w:name="_Hlk187651174"/>
      <w:r w:rsidR="002D5A0E" w:rsidRPr="57352DF8">
        <w:t>for the derivation of DGVs</w:t>
      </w:r>
      <w:bookmarkEnd w:id="120"/>
      <w:r w:rsidR="002D5A0E" w:rsidRPr="57352DF8">
        <w:t>.</w:t>
      </w:r>
      <w:bookmarkEnd w:id="119"/>
    </w:p>
    <w:p w14:paraId="3C4A2EC1" w14:textId="66D4B6FC" w:rsidR="00B679A4" w:rsidRDefault="0093788C" w:rsidP="001E2458">
      <w:pPr>
        <w:pStyle w:val="Heading3"/>
      </w:pPr>
      <w:bookmarkStart w:id="121" w:name="_Toc202084774"/>
      <w:bookmarkStart w:id="122" w:name="_Ref202090523"/>
      <w:bookmarkStart w:id="123" w:name="_Toc206143334"/>
      <w:bookmarkStart w:id="124" w:name="_Toc501260520"/>
      <w:bookmarkStart w:id="125" w:name="_Ref522008149"/>
      <w:r w:rsidRPr="00650939">
        <w:t>Calculate</w:t>
      </w:r>
      <w:r w:rsidRPr="00286ABB">
        <w:t xml:space="preserve"> </w:t>
      </w:r>
      <w:r w:rsidR="00FD53F5">
        <w:t>guideline values</w:t>
      </w:r>
      <w:bookmarkStart w:id="126" w:name="_Ref202090531"/>
      <w:bookmarkEnd w:id="121"/>
      <w:bookmarkEnd w:id="122"/>
      <w:bookmarkEnd w:id="123"/>
    </w:p>
    <w:p w14:paraId="5F356CFF" w14:textId="49FF62A1" w:rsidR="00B679A4" w:rsidRDefault="0002753D" w:rsidP="00BD4CEC">
      <w:pPr>
        <w:pStyle w:val="Heading4"/>
      </w:pPr>
      <w:r>
        <w:t>L</w:t>
      </w:r>
      <w:r w:rsidR="0093788C" w:rsidRPr="00744C15">
        <w:t xml:space="preserve">evels of </w:t>
      </w:r>
      <w:r w:rsidR="0093788C">
        <w:t xml:space="preserve">species </w:t>
      </w:r>
      <w:r w:rsidR="0093788C" w:rsidRPr="00365705">
        <w:t>protection</w:t>
      </w:r>
      <w:bookmarkEnd w:id="124"/>
      <w:bookmarkEnd w:id="125"/>
      <w:bookmarkEnd w:id="126"/>
    </w:p>
    <w:p w14:paraId="1FA356E5" w14:textId="1B71D1FA" w:rsidR="00B679A4" w:rsidRDefault="00756D65" w:rsidP="004D7186">
      <w:r w:rsidRPr="57352DF8">
        <w:t>The ANZG (2018)</w:t>
      </w:r>
      <w:r w:rsidR="0093788C" w:rsidRPr="57352DF8">
        <w:t xml:space="preserve"> </w:t>
      </w:r>
      <w:r w:rsidRPr="57352DF8">
        <w:t>Guidelines specify</w:t>
      </w:r>
      <w:r w:rsidR="00C64837">
        <w:t xml:space="preserve"> 3</w:t>
      </w:r>
      <w:r w:rsidR="0093788C" w:rsidRPr="57352DF8">
        <w:t xml:space="preserve"> different levels of ecosystem condition, for which different levels of protection are recommended. Four different protective concentrations (PCx values; where x</w:t>
      </w:r>
      <w:r w:rsidR="00F503A6">
        <w:t> </w:t>
      </w:r>
      <w:r w:rsidR="0093788C" w:rsidRPr="57352DF8">
        <w:t>=</w:t>
      </w:r>
      <w:r w:rsidR="00F503A6">
        <w:t> </w:t>
      </w:r>
      <w:r w:rsidR="0093788C" w:rsidRPr="57352DF8">
        <w:t>the percentage of species to be protected) are derived from the SSD and used as GVs to cover the different levels of protection for these ecosystem conditions</w:t>
      </w:r>
      <w:r w:rsidR="003E7A9E" w:rsidRPr="57352DF8">
        <w:t>: PC99, PC95, PC90 and PC80</w:t>
      </w:r>
      <w:r w:rsidR="0093788C" w:rsidRPr="57352DF8">
        <w:t xml:space="preserve">. To protect </w:t>
      </w:r>
      <w:r w:rsidR="00010BDE">
        <w:t>eco</w:t>
      </w:r>
      <w:r w:rsidR="00BA524A">
        <w:t xml:space="preserve">systems of </w:t>
      </w:r>
      <w:r w:rsidR="0093788C" w:rsidRPr="57352DF8">
        <w:t xml:space="preserve">high conservation value and </w:t>
      </w:r>
      <w:r w:rsidR="00BA524A">
        <w:t xml:space="preserve">ecosystems that are </w:t>
      </w:r>
      <w:r w:rsidR="0093788C" w:rsidRPr="57352DF8">
        <w:t>slightly</w:t>
      </w:r>
      <w:r w:rsidR="00BA524A">
        <w:t xml:space="preserve"> </w:t>
      </w:r>
      <w:r w:rsidR="0093788C" w:rsidRPr="57352DF8">
        <w:t>to</w:t>
      </w:r>
      <w:r w:rsidR="00BA524A">
        <w:t xml:space="preserve"> </w:t>
      </w:r>
      <w:r w:rsidR="0093788C" w:rsidRPr="57352DF8">
        <w:t>moderately disturbed, PC99 and PC95 values (</w:t>
      </w:r>
      <w:r w:rsidR="00024767" w:rsidRPr="57352DF8">
        <w:t xml:space="preserve">i.e. </w:t>
      </w:r>
      <w:r w:rsidR="0093788C" w:rsidRPr="57352DF8">
        <w:t>concentrations protective of 99</w:t>
      </w:r>
      <w:r w:rsidR="00E359A6" w:rsidRPr="57352DF8">
        <w:t>%</w:t>
      </w:r>
      <w:r w:rsidR="0093788C" w:rsidRPr="57352DF8">
        <w:t xml:space="preserve"> and 95% of species) are </w:t>
      </w:r>
      <w:r w:rsidR="00CE2CCD" w:rsidRPr="57352DF8">
        <w:t xml:space="preserve">typically </w:t>
      </w:r>
      <w:r w:rsidR="0093788C" w:rsidRPr="57352DF8">
        <w:t xml:space="preserve">recommended, respectively. </w:t>
      </w:r>
      <w:r w:rsidR="00CE2CCD" w:rsidRPr="57352DF8">
        <w:t xml:space="preserve">The values for slightly to moderately disturbed </w:t>
      </w:r>
      <w:r w:rsidR="00010BDE">
        <w:t>eco</w:t>
      </w:r>
      <w:r w:rsidR="00CE2CCD" w:rsidRPr="57352DF8">
        <w:t>systems are also generally recommended f</w:t>
      </w:r>
      <w:r w:rsidR="0093788C" w:rsidRPr="57352DF8">
        <w:t xml:space="preserve">or highly disturbed </w:t>
      </w:r>
      <w:r w:rsidR="00010BDE">
        <w:t>eco</w:t>
      </w:r>
      <w:r w:rsidR="0093788C" w:rsidRPr="57352DF8">
        <w:t>systems</w:t>
      </w:r>
      <w:r w:rsidR="00CE2CCD" w:rsidRPr="57352DF8">
        <w:t>; however</w:t>
      </w:r>
      <w:r w:rsidR="0093788C" w:rsidRPr="57352DF8">
        <w:t>, depending on the extent of the disturbance</w:t>
      </w:r>
      <w:r w:rsidR="00FB2A43" w:rsidRPr="57352DF8">
        <w:t xml:space="preserve"> and prospects for improvement in ecosystem condition,</w:t>
      </w:r>
      <w:r w:rsidR="0093788C" w:rsidRPr="57352DF8">
        <w:t xml:space="preserve"> and agreement among stakeholders about the </w:t>
      </w:r>
      <w:r w:rsidR="00FB2A43" w:rsidRPr="57352DF8">
        <w:t xml:space="preserve">desired </w:t>
      </w:r>
      <w:r w:rsidR="0093788C" w:rsidRPr="57352DF8">
        <w:t xml:space="preserve">ecosystem condition and </w:t>
      </w:r>
      <w:r w:rsidR="00FB2A43" w:rsidRPr="57352DF8">
        <w:t xml:space="preserve">associated </w:t>
      </w:r>
      <w:r w:rsidR="0093788C" w:rsidRPr="57352DF8">
        <w:t>level of protection</w:t>
      </w:r>
      <w:r w:rsidR="00CE2CCD" w:rsidRPr="57352DF8">
        <w:t>, the PC90 or PC80 values may be applied instead</w:t>
      </w:r>
      <w:r w:rsidR="003E7A9E" w:rsidRPr="57352DF8">
        <w:t>. G</w:t>
      </w:r>
      <w:r w:rsidR="00CE2CCD" w:rsidRPr="57352DF8">
        <w:t xml:space="preserve">uidance related to the application of GVs for toxicants in the </w:t>
      </w:r>
      <w:r w:rsidR="00CE2CCD" w:rsidRPr="57352DF8">
        <w:lastRenderedPageBreak/>
        <w:t xml:space="preserve">context of </w:t>
      </w:r>
      <w:r w:rsidR="003E7A9E" w:rsidRPr="57352DF8">
        <w:t xml:space="preserve">the </w:t>
      </w:r>
      <w:r w:rsidR="00CE2CCD" w:rsidRPr="57352DF8">
        <w:t xml:space="preserve">ecosystem condition and level of protection is provided in ANZG (2018; see </w:t>
      </w:r>
      <w:hyperlink r:id="rId34">
        <w:r w:rsidR="00CE2CCD" w:rsidRPr="00541B98">
          <w:rPr>
            <w:rStyle w:val="Hyperlink"/>
            <w:i/>
            <w:iCs/>
          </w:rPr>
          <w:t>Level of protection</w:t>
        </w:r>
      </w:hyperlink>
      <w:r w:rsidR="00CE2CCD" w:rsidRPr="57352DF8">
        <w:t>)</w:t>
      </w:r>
      <w:r w:rsidR="0093788C" w:rsidRPr="57352DF8">
        <w:t>.</w:t>
      </w:r>
      <w:r w:rsidR="00D90205">
        <w:t xml:space="preserve"> </w:t>
      </w:r>
    </w:p>
    <w:p w14:paraId="43C0D1E9" w14:textId="1AA42FA1" w:rsidR="00852322" w:rsidRDefault="00852322" w:rsidP="004D7186">
      <w:r>
        <w:t>Although (shiny)ssdtools can estimate the 95% confidence limits for each PCx value, the current position for the reporting of DGVs is that the</w:t>
      </w:r>
      <w:r w:rsidR="00C36E3E">
        <w:t xml:space="preserve"> confidence</w:t>
      </w:r>
      <w:r>
        <w:t xml:space="preserve"> limits are not reported. This is largely due to the fact that</w:t>
      </w:r>
      <w:r w:rsidR="001E738C">
        <w:t>, currently,</w:t>
      </w:r>
      <w:r>
        <w:t xml:space="preserve"> there is no agreed approach on how confidence limits </w:t>
      </w:r>
      <w:r w:rsidR="001E738C">
        <w:t xml:space="preserve">for DGVs </w:t>
      </w:r>
      <w:r>
        <w:t xml:space="preserve">should be </w:t>
      </w:r>
      <w:r w:rsidR="001E738C">
        <w:t>interpreted and used</w:t>
      </w:r>
      <w:r>
        <w:t xml:space="preserve"> in a regulatory context. </w:t>
      </w:r>
      <w:r w:rsidR="00C36E3E">
        <w:t>For other types of GVs (e.g. regional, site-specific), the 95% confidence limits</w:t>
      </w:r>
      <w:r>
        <w:t xml:space="preserve"> can be reporte</w:t>
      </w:r>
      <w:r w:rsidR="00C36E3E">
        <w:t>d; however</w:t>
      </w:r>
      <w:r>
        <w:t>, clear guidance</w:t>
      </w:r>
      <w:r w:rsidR="00541B98">
        <w:t xml:space="preserve"> or </w:t>
      </w:r>
      <w:r>
        <w:t>agreement on how these limits are to be interpreted and used is strongly advisable</w:t>
      </w:r>
      <w:r w:rsidR="00C36E3E">
        <w:t xml:space="preserve"> and</w:t>
      </w:r>
      <w:r w:rsidR="00FD05F3">
        <w:t xml:space="preserve"> would </w:t>
      </w:r>
      <w:r w:rsidR="00C36E3E">
        <w:t xml:space="preserve">most likely </w:t>
      </w:r>
      <w:r w:rsidR="00FD05F3">
        <w:t xml:space="preserve">require consultation with </w:t>
      </w:r>
      <w:r w:rsidR="00C36E3E">
        <w:t xml:space="preserve">relevant </w:t>
      </w:r>
      <w:r w:rsidR="00FD05F3">
        <w:t>local jurisdictions.</w:t>
      </w:r>
    </w:p>
    <w:p w14:paraId="58494404" w14:textId="1004312C" w:rsidR="00B679A4" w:rsidRDefault="006E70A4" w:rsidP="004D7186">
      <w:pPr>
        <w:rPr>
          <w:rFonts w:cs="Arial"/>
        </w:rPr>
      </w:pPr>
      <w:r w:rsidRPr="57352DF8">
        <w:t>It should be noted that when the toxicity data for a toxicant are multimodal</w:t>
      </w:r>
      <w:r w:rsidR="00F30F24">
        <w:t>,</w:t>
      </w:r>
      <w:r w:rsidRPr="57352DF8">
        <w:t xml:space="preserve"> and the data for the most sensitive group of taxa need to be used to derive GVs, the levels of protection indicated by the resulting PC values only apply to the most sensitive group. For example, a </w:t>
      </w:r>
      <w:r w:rsidRPr="57352DF8">
        <w:rPr>
          <w:rFonts w:cs="Arial"/>
        </w:rPr>
        <w:t xml:space="preserve">PC95 value for a multimodal toxicant that is more </w:t>
      </w:r>
      <w:r w:rsidR="00A57A92">
        <w:rPr>
          <w:rFonts w:cs="Arial"/>
        </w:rPr>
        <w:t>toxic</w:t>
      </w:r>
      <w:r w:rsidR="00A57A92" w:rsidRPr="57352DF8">
        <w:rPr>
          <w:rFonts w:cs="Arial"/>
        </w:rPr>
        <w:t xml:space="preserve"> </w:t>
      </w:r>
      <w:r w:rsidRPr="57352DF8">
        <w:rPr>
          <w:rFonts w:cs="Arial"/>
        </w:rPr>
        <w:t>to insects and, thus, where only the insect data have been used in the SSD, will protect 95% of insects and a higher percentage of other organisms (as they are less sensitive).</w:t>
      </w:r>
      <w:bookmarkStart w:id="127" w:name="_Ref202090762"/>
    </w:p>
    <w:p w14:paraId="15902ECE" w14:textId="41752FE0" w:rsidR="00616B5C" w:rsidRDefault="00616B5C" w:rsidP="00BD4CEC">
      <w:pPr>
        <w:pStyle w:val="Heading4"/>
      </w:pPr>
      <w:bookmarkStart w:id="128" w:name="_Ref204170254"/>
      <w:r w:rsidRPr="001E2458">
        <w:t>Significant</w:t>
      </w:r>
      <w:r>
        <w:t xml:space="preserve"> figures and rounding</w:t>
      </w:r>
      <w:bookmarkEnd w:id="127"/>
      <w:bookmarkEnd w:id="128"/>
    </w:p>
    <w:p w14:paraId="4E6CC8B6" w14:textId="7E4D6297" w:rsidR="00B679A4" w:rsidRDefault="00D26D43" w:rsidP="004D7186">
      <w:r w:rsidRPr="57352DF8">
        <w:t xml:space="preserve">The </w:t>
      </w:r>
      <w:r w:rsidR="002B0AFD" w:rsidRPr="57352DF8">
        <w:t>precision to which a GV</w:t>
      </w:r>
      <w:r w:rsidRPr="57352DF8">
        <w:t xml:space="preserve"> is reported should be commensurate with the</w:t>
      </w:r>
      <w:r w:rsidR="002B0AFD" w:rsidRPr="57352DF8">
        <w:t xml:space="preserve"> magnitude of the uncertainty in the value</w:t>
      </w:r>
      <w:r w:rsidRPr="57352DF8">
        <w:t xml:space="preserve">, which can be approximated by the standard error </w:t>
      </w:r>
      <w:r w:rsidR="002B0AFD" w:rsidRPr="57352DF8">
        <w:t xml:space="preserve">(SE) </w:t>
      </w:r>
      <w:r w:rsidRPr="57352DF8">
        <w:t>associated with the GV (as reported in the (shiny)ssdtools output).</w:t>
      </w:r>
      <w:r w:rsidR="002B0AFD" w:rsidRPr="57352DF8">
        <w:t xml:space="preserve"> Thus, the SE of the GV should be used as the basis for determining the number of significant figures to which the GV is reported. Normal scientific practice is that the significant figures to which a value is reported should be no more than the first significant figure in the SE of the value. Therefore, the following rule for determining the number of significant figures for DGVs should be applied:</w:t>
      </w:r>
    </w:p>
    <w:p w14:paraId="794A7AE2" w14:textId="6902FC7E" w:rsidR="002B0AFD" w:rsidRPr="000610F1" w:rsidRDefault="002B0AFD" w:rsidP="00066CED">
      <w:pPr>
        <w:pStyle w:val="ListBullet"/>
      </w:pPr>
      <w:r w:rsidRPr="00D02500">
        <w:t xml:space="preserve">The significant figure to which a DGV is reported </w:t>
      </w:r>
      <w:r>
        <w:t xml:space="preserve">must </w:t>
      </w:r>
      <w:r w:rsidRPr="00D02500">
        <w:t xml:space="preserve">correspond to the place of the first significant figure in the </w:t>
      </w:r>
      <w:r>
        <w:t>SE</w:t>
      </w:r>
      <w:r w:rsidRPr="00D02500">
        <w:t xml:space="preserve"> of the DGV</w:t>
      </w:r>
      <w:r>
        <w:t>. W</w:t>
      </w:r>
      <w:r w:rsidRPr="00D02500">
        <w:t xml:space="preserve">here the SE is greater than the DGV, the DGV </w:t>
      </w:r>
      <w:r>
        <w:t>must</w:t>
      </w:r>
      <w:r w:rsidRPr="00D02500">
        <w:t xml:space="preserve"> be reported to one significant figure.</w:t>
      </w:r>
    </w:p>
    <w:p w14:paraId="6625FAE6" w14:textId="6A81F996" w:rsidR="00616B5C" w:rsidRDefault="00645B0E" w:rsidP="004D7186">
      <w:r w:rsidRPr="57352DF8">
        <w:rPr>
          <w:rFonts w:cs="Arial"/>
        </w:rPr>
        <w:t xml:space="preserve">Rounding of a GV to the appropriate number of significant figures </w:t>
      </w:r>
      <w:r w:rsidRPr="57352DF8">
        <w:rPr>
          <w:rFonts w:ascii="Calibri" w:hAnsi="Calibri" w:cs="Calibri"/>
        </w:rPr>
        <w:t xml:space="preserve">should be done in accordance with the </w:t>
      </w:r>
      <w:r w:rsidR="00DC69AA">
        <w:rPr>
          <w:rFonts w:ascii="Calibri" w:hAnsi="Calibri" w:cs="Calibri"/>
        </w:rPr>
        <w:t>‘</w:t>
      </w:r>
      <w:r w:rsidRPr="57352DF8">
        <w:rPr>
          <w:rFonts w:ascii="Calibri" w:eastAsia="Calibri" w:hAnsi="Calibri" w:cs="Calibri"/>
        </w:rPr>
        <w:t>rounding to evens</w:t>
      </w:r>
      <w:r w:rsidR="00DC69AA">
        <w:rPr>
          <w:rFonts w:ascii="Calibri" w:eastAsia="Calibri" w:hAnsi="Calibri" w:cs="Calibri"/>
        </w:rPr>
        <w:t>’</w:t>
      </w:r>
      <w:r w:rsidRPr="57352DF8">
        <w:rPr>
          <w:rFonts w:ascii="Calibri" w:eastAsia="Calibri" w:hAnsi="Calibri" w:cs="Calibri"/>
        </w:rPr>
        <w:t xml:space="preserve"> rule set out in </w:t>
      </w:r>
      <w:r w:rsidRPr="57352DF8">
        <w:t>Australian Standard SAA 2706-2003 (Standards Australia 2003)</w:t>
      </w:r>
      <w:r w:rsidR="00F369E6" w:rsidRPr="57352DF8">
        <w:t xml:space="preserve">. The </w:t>
      </w:r>
      <w:r w:rsidR="00DC69AA">
        <w:t>‘</w:t>
      </w:r>
      <w:r w:rsidR="00F369E6" w:rsidRPr="57352DF8">
        <w:t>rounding to evens</w:t>
      </w:r>
      <w:r w:rsidR="00DC69AA">
        <w:t>’</w:t>
      </w:r>
      <w:r w:rsidR="00F369E6" w:rsidRPr="57352DF8">
        <w:t xml:space="preserve"> rule adopts the most common convention for rounding – that is, rounding up when the value following the last value to be retained is &gt;</w:t>
      </w:r>
      <w:r w:rsidR="0042334E">
        <w:t> </w:t>
      </w:r>
      <w:r w:rsidR="00F369E6" w:rsidRPr="57352DF8">
        <w:t>5 and rounding down when the value following the last value to be retained is &lt;</w:t>
      </w:r>
      <w:r w:rsidR="0042334E">
        <w:t> </w:t>
      </w:r>
      <w:r w:rsidR="00F369E6" w:rsidRPr="57352DF8">
        <w:t>5. However, when the value following the last value to be retained is exactly 5 (i.e. there are no non-zero numbers to the right of this 5), the value should be rounded to the closest even number.</w:t>
      </w:r>
    </w:p>
    <w:p w14:paraId="6A2E2C9D" w14:textId="5A32B825" w:rsidR="00F369E6" w:rsidRDefault="00F369E6" w:rsidP="004D7186">
      <w:pPr>
        <w:rPr>
          <w:rFonts w:cs="Arial"/>
        </w:rPr>
      </w:pPr>
      <w:r>
        <w:t xml:space="preserve">Full details of the significant figures and rounding rules for </w:t>
      </w:r>
      <w:r w:rsidR="001C3A53">
        <w:t xml:space="preserve">toxicant </w:t>
      </w:r>
      <w:r>
        <w:t xml:space="preserve">GVs, including worked examples, are provided in </w:t>
      </w:r>
      <w:hyperlink r:id="rId35" w:history="1">
        <w:r w:rsidRPr="003E7021">
          <w:rPr>
            <w:rStyle w:val="Hyperlink"/>
          </w:rPr>
          <w:t>ANZG (2018)</w:t>
        </w:r>
      </w:hyperlink>
      <w:r>
        <w:t>.</w:t>
      </w:r>
    </w:p>
    <w:p w14:paraId="3E5CC3D6" w14:textId="40744AF2" w:rsidR="00B679A4" w:rsidRDefault="0093788C" w:rsidP="001E2458">
      <w:pPr>
        <w:pStyle w:val="Heading3"/>
      </w:pPr>
      <w:bookmarkStart w:id="129" w:name="_Ref522008106"/>
      <w:bookmarkStart w:id="130" w:name="_Ref522008117"/>
      <w:bookmarkStart w:id="131" w:name="_Ref522008142"/>
      <w:bookmarkStart w:id="132" w:name="_Toc202084775"/>
      <w:bookmarkStart w:id="133" w:name="_Toc206143335"/>
      <w:r w:rsidRPr="57352DF8">
        <w:t>Determine the reliability of the guideline values</w:t>
      </w:r>
      <w:bookmarkEnd w:id="129"/>
      <w:bookmarkEnd w:id="130"/>
      <w:bookmarkEnd w:id="131"/>
      <w:bookmarkEnd w:id="132"/>
      <w:bookmarkEnd w:id="133"/>
    </w:p>
    <w:p w14:paraId="07D1BACB" w14:textId="56309188" w:rsidR="00B679A4" w:rsidRDefault="0093788C" w:rsidP="004D7186">
      <w:r>
        <w:t xml:space="preserve">The classification scheme for assigning the reliability of GVs derived using the SSD method is based on </w:t>
      </w:r>
      <w:r w:rsidR="00E25756">
        <w:t xml:space="preserve">3 </w:t>
      </w:r>
      <w:r>
        <w:t>factors:</w:t>
      </w:r>
    </w:p>
    <w:p w14:paraId="13F7AD41" w14:textId="5B84CC42" w:rsidR="00B679A4" w:rsidRDefault="0093788C" w:rsidP="00DB01AD">
      <w:pPr>
        <w:pStyle w:val="ListNumber"/>
        <w:numPr>
          <w:ilvl w:val="0"/>
          <w:numId w:val="42"/>
        </w:numPr>
        <w:ind w:left="568" w:hanging="284"/>
      </w:pPr>
      <w:r w:rsidRPr="007C67F1">
        <w:t xml:space="preserve">the type of toxicity data (chronic, a mixture of chronic and </w:t>
      </w:r>
      <w:r>
        <w:t>converted</w:t>
      </w:r>
      <w:r w:rsidR="005B17EE">
        <w:t>-</w:t>
      </w:r>
      <w:r>
        <w:t>acute or</w:t>
      </w:r>
      <w:r w:rsidRPr="007C67F1">
        <w:t xml:space="preserve"> only </w:t>
      </w:r>
      <w:r>
        <w:t>converted</w:t>
      </w:r>
      <w:r w:rsidR="005B17EE">
        <w:t>-</w:t>
      </w:r>
      <w:r>
        <w:t>acute</w:t>
      </w:r>
      <w:r w:rsidRPr="007C67F1">
        <w:t xml:space="preserve"> values)</w:t>
      </w:r>
    </w:p>
    <w:p w14:paraId="1FBE503C" w14:textId="109CE3B6" w:rsidR="00B679A4" w:rsidRDefault="00257CA0" w:rsidP="00703FF0">
      <w:pPr>
        <w:pStyle w:val="ListNumber"/>
      </w:pPr>
      <w:r>
        <w:lastRenderedPageBreak/>
        <w:t>the number of species for which toxicity data are available (</w:t>
      </w:r>
      <w:r w:rsidR="00E0209E">
        <w:t>i.e.</w:t>
      </w:r>
      <w:r>
        <w:t xml:space="preserve"> </w:t>
      </w:r>
      <w:r w:rsidR="00863438">
        <w:t>6</w:t>
      </w:r>
      <w:r>
        <w:t>–7, 8–14 or ≥</w:t>
      </w:r>
      <w:r w:rsidR="00DB01AD">
        <w:t> </w:t>
      </w:r>
      <w:r>
        <w:t>15)</w:t>
      </w:r>
    </w:p>
    <w:p w14:paraId="6318DB6C" w14:textId="4E960108" w:rsidR="00B679A4" w:rsidRDefault="0093788C" w:rsidP="00703FF0">
      <w:pPr>
        <w:pStyle w:val="ListNumber"/>
      </w:pPr>
      <w:r>
        <w:t>a visual assessment of the fit of the SSD to the toxicity data (</w:t>
      </w:r>
      <w:r w:rsidR="00CA1C91">
        <w:t>i.e.</w:t>
      </w:r>
      <w:r>
        <w:t xml:space="preserve"> good or poor).</w:t>
      </w:r>
    </w:p>
    <w:p w14:paraId="3D2A23EA" w14:textId="31A3268A" w:rsidR="00BF6848" w:rsidRDefault="0093788C" w:rsidP="004D7186">
      <w:r w:rsidRPr="57352DF8">
        <w:t>There are</w:t>
      </w:r>
      <w:r w:rsidR="00C64837">
        <w:t xml:space="preserve"> 6</w:t>
      </w:r>
      <w:r w:rsidRPr="57352DF8">
        <w:t xml:space="preserve"> classes of reliability: very high, high, moderate, low and very low, </w:t>
      </w:r>
      <w:r w:rsidR="00A524EB">
        <w:t>and</w:t>
      </w:r>
      <w:r w:rsidRPr="57352DF8">
        <w:t xml:space="preserve"> the sixth class of unknown reliability </w:t>
      </w:r>
      <w:r w:rsidR="005E1E97">
        <w:t>is</w:t>
      </w:r>
      <w:r w:rsidR="005E1E97" w:rsidRPr="57352DF8">
        <w:t xml:space="preserve"> </w:t>
      </w:r>
      <w:r w:rsidRPr="57352DF8">
        <w:t>assigned to GVs derived using the AF method (see Section</w:t>
      </w:r>
      <w:r w:rsidR="001F7D62" w:rsidRPr="57352DF8">
        <w:t xml:space="preserve"> </w:t>
      </w:r>
      <w:r w:rsidR="00794889">
        <w:fldChar w:fldCharType="begin"/>
      </w:r>
      <w:r w:rsidR="00794889">
        <w:instrText xml:space="preserve"> REF _Ref202089137 \r \h </w:instrText>
      </w:r>
      <w:r w:rsidR="00794889">
        <w:fldChar w:fldCharType="separate"/>
      </w:r>
      <w:r w:rsidR="006C5761">
        <w:t>1.1</w:t>
      </w:r>
      <w:r w:rsidR="00794889">
        <w:fldChar w:fldCharType="end"/>
      </w:r>
      <w:r w:rsidRPr="57352DF8">
        <w:t>). The reliability of GVs associated with various combinations of these</w:t>
      </w:r>
      <w:r w:rsidR="00C64837">
        <w:t xml:space="preserve"> 3</w:t>
      </w:r>
      <w:r w:rsidRPr="57352DF8">
        <w:t xml:space="preserve"> factors is presented in</w:t>
      </w:r>
      <w:r w:rsidR="00BC7DB0" w:rsidRPr="57352DF8">
        <w:t xml:space="preserve"> </w:t>
      </w:r>
      <w:r>
        <w:fldChar w:fldCharType="begin"/>
      </w:r>
      <w:r>
        <w:instrText xml:space="preserve"> REF _Ref185402576 \h </w:instrText>
      </w:r>
      <w:r>
        <w:fldChar w:fldCharType="separate"/>
      </w:r>
      <w:r w:rsidR="006C5761">
        <w:t>Table </w:t>
      </w:r>
      <w:r w:rsidR="006C5761">
        <w:rPr>
          <w:noProof/>
        </w:rPr>
        <w:t>6</w:t>
      </w:r>
      <w:r>
        <w:fldChar w:fldCharType="end"/>
      </w:r>
      <w:r w:rsidRPr="57352DF8">
        <w:t xml:space="preserve">. </w:t>
      </w:r>
      <w:r w:rsidR="00B24A1F" w:rsidRPr="57352DF8">
        <w:t xml:space="preserve">It is worth noting </w:t>
      </w:r>
      <w:r w:rsidR="00CB4283" w:rsidRPr="57352DF8">
        <w:t xml:space="preserve">that </w:t>
      </w:r>
      <w:r w:rsidR="00B24A1F" w:rsidRPr="57352DF8">
        <w:t xml:space="preserve">the </w:t>
      </w:r>
      <w:r w:rsidR="00141BF7">
        <w:t>log-normal–log-normal</w:t>
      </w:r>
      <w:r w:rsidR="00B24A1F" w:rsidRPr="57352DF8">
        <w:t xml:space="preserve"> distribution</w:t>
      </w:r>
      <w:r w:rsidR="00CB4283" w:rsidRPr="57352DF8">
        <w:t xml:space="preserve"> in (shiny)ssdtools</w:t>
      </w:r>
      <w:r w:rsidR="00B24A1F" w:rsidRPr="57352DF8">
        <w:t xml:space="preserve">, having 5 parameters, </w:t>
      </w:r>
      <w:r w:rsidR="007D0B22" w:rsidRPr="57352DF8">
        <w:t xml:space="preserve">can provide markedly better fits to datasets than the other, 2-parameter </w:t>
      </w:r>
      <w:r w:rsidR="00C909D8" w:rsidRPr="57352DF8">
        <w:t xml:space="preserve">default </w:t>
      </w:r>
      <w:r w:rsidR="007D0B22" w:rsidRPr="57352DF8">
        <w:t>distributions</w:t>
      </w:r>
      <w:r w:rsidR="00CB4283" w:rsidRPr="57352DF8">
        <w:t xml:space="preserve"> in (shiny)ssdtools</w:t>
      </w:r>
      <w:r w:rsidR="007D0B22" w:rsidRPr="57352DF8">
        <w:t xml:space="preserve">. </w:t>
      </w:r>
      <w:r w:rsidR="00C46934" w:rsidRPr="57352DF8">
        <w:t xml:space="preserve">However, where </w:t>
      </w:r>
      <w:r w:rsidR="00654F10" w:rsidRPr="57352DF8">
        <w:t xml:space="preserve">the </w:t>
      </w:r>
      <w:r w:rsidR="00141BF7">
        <w:t>log-normal–log-normal</w:t>
      </w:r>
      <w:r w:rsidR="00654F10" w:rsidRPr="57352DF8">
        <w:t xml:space="preserve"> distribution is </w:t>
      </w:r>
      <w:r w:rsidR="004D719A" w:rsidRPr="57352DF8">
        <w:t xml:space="preserve">specifically </w:t>
      </w:r>
      <w:r w:rsidR="00654F10" w:rsidRPr="57352DF8">
        <w:t xml:space="preserve">modelling dataset artefacts </w:t>
      </w:r>
      <w:r w:rsidR="00A34288" w:rsidRPr="57352DF8">
        <w:t>that are associated with data</w:t>
      </w:r>
      <w:r w:rsidR="005E1E97">
        <w:t>-</w:t>
      </w:r>
      <w:r w:rsidR="00A34288" w:rsidRPr="57352DF8">
        <w:t xml:space="preserve">selection decisions and have no toxicological basis (e.g. </w:t>
      </w:r>
      <w:r w:rsidR="00206438" w:rsidRPr="57352DF8">
        <w:t>clusters</w:t>
      </w:r>
      <w:r w:rsidR="005955F6" w:rsidRPr="57352DF8">
        <w:t xml:space="preserve"> of identical or almost identical values)</w:t>
      </w:r>
      <w:r w:rsidR="00710218" w:rsidRPr="57352DF8">
        <w:t>,</w:t>
      </w:r>
      <w:r w:rsidR="005955F6" w:rsidRPr="57352DF8">
        <w:t xml:space="preserve"> </w:t>
      </w:r>
      <w:r w:rsidR="00E3416C" w:rsidRPr="57352DF8">
        <w:t xml:space="preserve">and these artefacts cannot be </w:t>
      </w:r>
      <w:r w:rsidR="00710218" w:rsidRPr="57352DF8">
        <w:t xml:space="preserve">defensibly </w:t>
      </w:r>
      <w:r w:rsidR="00E3416C" w:rsidRPr="57352DF8">
        <w:t xml:space="preserve">removed, </w:t>
      </w:r>
      <w:r w:rsidR="00DE6FD0" w:rsidRPr="57352DF8">
        <w:t xml:space="preserve">the </w:t>
      </w:r>
      <w:r w:rsidR="00141BF7">
        <w:t>log-normal–log-normal</w:t>
      </w:r>
      <w:r w:rsidR="00DE6FD0" w:rsidRPr="57352DF8">
        <w:t xml:space="preserve"> distribution may need to be remove</w:t>
      </w:r>
      <w:r w:rsidR="00EE36CD" w:rsidRPr="57352DF8">
        <w:t>d, as described in Section</w:t>
      </w:r>
      <w:r w:rsidR="00794889">
        <w:t> </w:t>
      </w:r>
      <w:r w:rsidR="00794889">
        <w:fldChar w:fldCharType="begin"/>
      </w:r>
      <w:r w:rsidR="00794889">
        <w:instrText xml:space="preserve"> REF _Ref202089123 \r \h </w:instrText>
      </w:r>
      <w:r w:rsidR="00794889">
        <w:fldChar w:fldCharType="separate"/>
      </w:r>
      <w:r w:rsidR="006C5761">
        <w:t>0</w:t>
      </w:r>
      <w:r w:rsidR="00794889">
        <w:fldChar w:fldCharType="end"/>
      </w:r>
      <w:r w:rsidR="004D719A" w:rsidRPr="57352DF8">
        <w:t xml:space="preserve"> and </w:t>
      </w:r>
      <w:r w:rsidR="00CE18A1">
        <w:fldChar w:fldCharType="begin"/>
      </w:r>
      <w:r w:rsidR="00CE18A1">
        <w:instrText xml:space="preserve"> REF _Ref202085553 \n \h </w:instrText>
      </w:r>
      <w:r w:rsidR="00CE18A1">
        <w:fldChar w:fldCharType="separate"/>
      </w:r>
      <w:r w:rsidR="006C5761">
        <w:t>Appendix C</w:t>
      </w:r>
      <w:r w:rsidR="00CE18A1">
        <w:fldChar w:fldCharType="end"/>
      </w:r>
      <w:r w:rsidR="00EE36CD" w:rsidRPr="57352DF8">
        <w:t>.</w:t>
      </w:r>
    </w:p>
    <w:p w14:paraId="69450337" w14:textId="74D7EC58" w:rsidR="00BF6848" w:rsidRPr="00A21CD3" w:rsidRDefault="00BF6848" w:rsidP="00BF6848">
      <w:r w:rsidRPr="57352DF8">
        <w:t>It is recognised that other factors not considered in the assessment of GV reliability may affect the accuracy of the GV. Two such factors, and appropriate caveats that should accompany the reliability classification if applicable to the chemical being assessed, are:</w:t>
      </w:r>
    </w:p>
    <w:p w14:paraId="179950B1" w14:textId="77777777" w:rsidR="00BF6848" w:rsidRPr="00A00481" w:rsidRDefault="00BF6848" w:rsidP="00BF6848">
      <w:pPr>
        <w:pStyle w:val="ListBullet"/>
      </w:pPr>
      <w:r w:rsidRPr="57352DF8">
        <w:t>Toxicity datasets spanning 4 or more orders of magnitude</w:t>
      </w:r>
      <w:r>
        <w:t xml:space="preserve"> – a</w:t>
      </w:r>
      <w:r w:rsidRPr="57352DF8">
        <w:t xml:space="preserve">n appropriate caveat would be that </w:t>
      </w:r>
      <w:r w:rsidRPr="008F0409">
        <w:t>GVs</w:t>
      </w:r>
      <w:r w:rsidRPr="57352DF8">
        <w:t xml:space="preserve"> based on data with such a large range of values tend to be highly conservative and uncertain, especially at the 99% species</w:t>
      </w:r>
      <w:r>
        <w:t>-</w:t>
      </w:r>
      <w:r w:rsidRPr="57352DF8">
        <w:t>protection level.</w:t>
      </w:r>
    </w:p>
    <w:p w14:paraId="6FB94581" w14:textId="77777777" w:rsidR="00BF6848" w:rsidRPr="00A00481" w:rsidRDefault="00BF6848" w:rsidP="00BF6848">
      <w:pPr>
        <w:pStyle w:val="ListBullet"/>
      </w:pPr>
      <w:r w:rsidRPr="57352DF8">
        <w:t>A heavy reliance on standard, single-generation toxicity studies for persistent, bioaccumulative and toxic (PBT) chemicals</w:t>
      </w:r>
      <w:r>
        <w:t xml:space="preserve"> – a</w:t>
      </w:r>
      <w:r w:rsidRPr="57352DF8">
        <w:t>n appropriate caveat would be that GVs for PBT substances that are not based on multi-generation tests are likely to not provide sufficient protection to aquatic ecosystems.</w:t>
      </w:r>
    </w:p>
    <w:p w14:paraId="081D11F7" w14:textId="77777777" w:rsidR="00BF6848" w:rsidRDefault="00BF6848" w:rsidP="00BF6848">
      <w:pPr>
        <w:rPr>
          <w:rFonts w:eastAsiaTheme="majorEastAsia" w:cstheme="majorBidi"/>
          <w:b/>
          <w:bCs/>
          <w:color w:val="000000" w:themeColor="text1"/>
        </w:rPr>
      </w:pPr>
      <w:r w:rsidRPr="57352DF8">
        <w:t>In the event that other factors are deemed to significantly affect the accuracy of the GVs, similarly appropriate caveats should be provided.</w:t>
      </w:r>
      <w:bookmarkStart w:id="134" w:name="_Ref520276839"/>
    </w:p>
    <w:bookmarkEnd w:id="134"/>
    <w:p w14:paraId="5E46ED7F" w14:textId="58CE2545" w:rsidR="00BF6848" w:rsidRDefault="00BF6848" w:rsidP="00BF6848">
      <w:pPr>
        <w:rPr>
          <w:rFonts w:cs="Arial"/>
        </w:rPr>
      </w:pPr>
      <w:r w:rsidRPr="57352DF8">
        <w:t xml:space="preserve">To assist in determining whether the fit of the distribution to the toxicity data is good or poor, examples are presented in </w:t>
      </w:r>
      <w:r>
        <w:fldChar w:fldCharType="begin"/>
      </w:r>
      <w:r>
        <w:instrText xml:space="preserve"> REF _Ref520277003 \h </w:instrText>
      </w:r>
      <w:r>
        <w:fldChar w:fldCharType="separate"/>
      </w:r>
      <w:r w:rsidR="006C5761" w:rsidRPr="6A1ABA81">
        <w:rPr>
          <w:lang w:val="en-GB"/>
        </w:rPr>
        <w:t>Figure</w:t>
      </w:r>
      <w:r w:rsidR="006C5761">
        <w:rPr>
          <w:lang w:val="en-GB"/>
        </w:rPr>
        <w:t> </w:t>
      </w:r>
      <w:r w:rsidR="006C5761">
        <w:rPr>
          <w:noProof/>
        </w:rPr>
        <w:t>2</w:t>
      </w:r>
      <w:r>
        <w:fldChar w:fldCharType="end"/>
      </w:r>
      <w:r w:rsidRPr="57352DF8">
        <w:t xml:space="preserve">. </w:t>
      </w:r>
      <w:r>
        <w:fldChar w:fldCharType="begin"/>
      </w:r>
      <w:r>
        <w:instrText xml:space="preserve"> REF _Ref520277003 \h </w:instrText>
      </w:r>
      <w:r>
        <w:fldChar w:fldCharType="separate"/>
      </w:r>
      <w:r w:rsidR="006C5761" w:rsidRPr="6A1ABA81">
        <w:rPr>
          <w:lang w:val="en-GB"/>
        </w:rPr>
        <w:t>Figure</w:t>
      </w:r>
      <w:r w:rsidR="006C5761">
        <w:rPr>
          <w:lang w:val="en-GB"/>
        </w:rPr>
        <w:t> </w:t>
      </w:r>
      <w:r w:rsidR="006C5761">
        <w:rPr>
          <w:noProof/>
        </w:rPr>
        <w:t>2</w:t>
      </w:r>
      <w:r>
        <w:fldChar w:fldCharType="end"/>
      </w:r>
      <w:r>
        <w:t xml:space="preserve">a, </w:t>
      </w:r>
      <w:r>
        <w:fldChar w:fldCharType="begin"/>
      </w:r>
      <w:r>
        <w:instrText xml:space="preserve"> REF _Ref520277003 \h </w:instrText>
      </w:r>
      <w:r>
        <w:fldChar w:fldCharType="separate"/>
      </w:r>
      <w:r w:rsidR="006C5761" w:rsidRPr="6A1ABA81">
        <w:rPr>
          <w:lang w:val="en-GB"/>
        </w:rPr>
        <w:t>Figure</w:t>
      </w:r>
      <w:r w:rsidR="006C5761">
        <w:rPr>
          <w:lang w:val="en-GB"/>
        </w:rPr>
        <w:t> </w:t>
      </w:r>
      <w:r w:rsidR="006C5761">
        <w:rPr>
          <w:noProof/>
        </w:rPr>
        <w:t>2</w:t>
      </w:r>
      <w:r>
        <w:fldChar w:fldCharType="end"/>
      </w:r>
      <w:r>
        <w:t xml:space="preserve">b and </w:t>
      </w:r>
      <w:r>
        <w:fldChar w:fldCharType="begin"/>
      </w:r>
      <w:r>
        <w:instrText xml:space="preserve"> REF _Ref520277003 \h </w:instrText>
      </w:r>
      <w:r>
        <w:fldChar w:fldCharType="separate"/>
      </w:r>
      <w:r w:rsidR="006C5761" w:rsidRPr="6A1ABA81">
        <w:rPr>
          <w:lang w:val="en-GB"/>
        </w:rPr>
        <w:t>Figure</w:t>
      </w:r>
      <w:r w:rsidR="006C5761">
        <w:rPr>
          <w:lang w:val="en-GB"/>
        </w:rPr>
        <w:t> </w:t>
      </w:r>
      <w:r w:rsidR="006C5761">
        <w:rPr>
          <w:noProof/>
        </w:rPr>
        <w:t>2</w:t>
      </w:r>
      <w:r>
        <w:fldChar w:fldCharType="end"/>
      </w:r>
      <w:r>
        <w:t xml:space="preserve">c represent poor fits, characterised by the SSD curve not following the data very well. In contrast, the SSD curves in </w:t>
      </w:r>
      <w:r>
        <w:fldChar w:fldCharType="begin"/>
      </w:r>
      <w:r>
        <w:instrText xml:space="preserve"> REF _Ref520277003 \h </w:instrText>
      </w:r>
      <w:r>
        <w:fldChar w:fldCharType="separate"/>
      </w:r>
      <w:r w:rsidR="006C5761" w:rsidRPr="6A1ABA81">
        <w:rPr>
          <w:lang w:val="en-GB"/>
        </w:rPr>
        <w:t>Figure</w:t>
      </w:r>
      <w:r w:rsidR="006C5761">
        <w:rPr>
          <w:lang w:val="en-GB"/>
        </w:rPr>
        <w:t> </w:t>
      </w:r>
      <w:r w:rsidR="006C5761">
        <w:rPr>
          <w:noProof/>
        </w:rPr>
        <w:t>2</w:t>
      </w:r>
      <w:r>
        <w:fldChar w:fldCharType="end"/>
      </w:r>
      <w:r>
        <w:t xml:space="preserve">d, </w:t>
      </w:r>
      <w:r>
        <w:fldChar w:fldCharType="begin"/>
      </w:r>
      <w:r>
        <w:instrText xml:space="preserve"> REF _Ref520277003 \h </w:instrText>
      </w:r>
      <w:r>
        <w:fldChar w:fldCharType="separate"/>
      </w:r>
      <w:r w:rsidR="006C5761" w:rsidRPr="6A1ABA81">
        <w:rPr>
          <w:lang w:val="en-GB"/>
        </w:rPr>
        <w:t>Figure</w:t>
      </w:r>
      <w:r w:rsidR="006C5761">
        <w:rPr>
          <w:lang w:val="en-GB"/>
        </w:rPr>
        <w:t> </w:t>
      </w:r>
      <w:r w:rsidR="006C5761">
        <w:rPr>
          <w:noProof/>
        </w:rPr>
        <w:t>2</w:t>
      </w:r>
      <w:r>
        <w:fldChar w:fldCharType="end"/>
      </w:r>
      <w:r>
        <w:t xml:space="preserve">e and </w:t>
      </w:r>
      <w:r>
        <w:fldChar w:fldCharType="begin"/>
      </w:r>
      <w:r>
        <w:instrText xml:space="preserve"> REF _Ref520277003 \h </w:instrText>
      </w:r>
      <w:r>
        <w:fldChar w:fldCharType="separate"/>
      </w:r>
      <w:r w:rsidR="006C5761" w:rsidRPr="6A1ABA81">
        <w:rPr>
          <w:lang w:val="en-GB"/>
        </w:rPr>
        <w:t>Figure</w:t>
      </w:r>
      <w:r w:rsidR="006C5761">
        <w:rPr>
          <w:lang w:val="en-GB"/>
        </w:rPr>
        <w:t> </w:t>
      </w:r>
      <w:r w:rsidR="006C5761">
        <w:rPr>
          <w:noProof/>
        </w:rPr>
        <w:t>2</w:t>
      </w:r>
      <w:r>
        <w:fldChar w:fldCharType="end"/>
      </w:r>
      <w:r>
        <w:t xml:space="preserve">f generally follow the data very well and, thus, represent good fits. </w:t>
      </w:r>
      <w:r w:rsidRPr="57352DF8">
        <w:rPr>
          <w:rFonts w:cs="Arial"/>
        </w:rPr>
        <w:t>Although the model fit and the associated GVs are independent of the plotting positions of the toxicity values in the SSD (see Batley et al. 2018 for details), a visual check of the adequacy of the fitted distribution is a valuable exercise for determining the reliability classification (notwithstanding the limitations associated with fitting such models to, typically, very few data). As the current GV derivation method does not weight the toxicity values in the SSD, the entire range of the distribution contributes equally to the model. Thus, any visual assessment of goodness of fit should take into account the whole of the distribution, not only the lower left portion. Nevertheless, the GVs are estimated from the lower end of the distribution and, thus, a poor model fit in this region is cause for concern and should not be ignored.</w:t>
      </w:r>
    </w:p>
    <w:p w14:paraId="24696A6D" w14:textId="56E4E2F7" w:rsidR="00587E61" w:rsidRPr="00EB5FA8" w:rsidRDefault="00587E61" w:rsidP="00587E61">
      <w:pPr>
        <w:pStyle w:val="Caption"/>
        <w:rPr>
          <w:sz w:val="20"/>
        </w:rPr>
      </w:pPr>
      <w:bookmarkStart w:id="135" w:name="_Ref185402576"/>
      <w:bookmarkStart w:id="136" w:name="_Toc206085219"/>
      <w:r>
        <w:lastRenderedPageBreak/>
        <w:t>Table </w:t>
      </w:r>
      <w:r>
        <w:rPr>
          <w:noProof/>
        </w:rPr>
        <w:fldChar w:fldCharType="begin"/>
      </w:r>
      <w:r>
        <w:rPr>
          <w:noProof/>
        </w:rPr>
        <w:instrText xml:space="preserve"> SEQ Table \* ARABIC </w:instrText>
      </w:r>
      <w:r>
        <w:rPr>
          <w:noProof/>
        </w:rPr>
        <w:fldChar w:fldCharType="separate"/>
      </w:r>
      <w:r w:rsidR="006C5761">
        <w:rPr>
          <w:noProof/>
        </w:rPr>
        <w:t>6</w:t>
      </w:r>
      <w:r>
        <w:rPr>
          <w:noProof/>
        </w:rPr>
        <w:fldChar w:fldCharType="end"/>
      </w:r>
      <w:bookmarkEnd w:id="135"/>
      <w:r>
        <w:t xml:space="preserve"> </w:t>
      </w:r>
      <w:r w:rsidRPr="0052381A">
        <w:t xml:space="preserve">Classification </w:t>
      </w:r>
      <w:r>
        <w:t>of</w:t>
      </w:r>
      <w:r w:rsidRPr="0052381A">
        <w:t xml:space="preserve"> the reliability of guideline values using the </w:t>
      </w:r>
      <w:r>
        <w:t>species sensitivity distribution</w:t>
      </w:r>
      <w:r w:rsidRPr="0052381A">
        <w:t xml:space="preserve"> method</w:t>
      </w:r>
      <w:bookmarkEnd w:id="136"/>
    </w:p>
    <w:tbl>
      <w:tblPr>
        <w:tblW w:w="5000" w:type="pct"/>
        <w:tblBorders>
          <w:top w:val="single" w:sz="8" w:space="0" w:color="auto"/>
          <w:bottom w:val="single" w:sz="8" w:space="0" w:color="auto"/>
        </w:tblBorders>
        <w:tblLayout w:type="fixed"/>
        <w:tblCellMar>
          <w:left w:w="113" w:type="dxa"/>
          <w:right w:w="113" w:type="dxa"/>
        </w:tblCellMar>
        <w:tblLook w:val="00A0" w:firstRow="1" w:lastRow="0" w:firstColumn="1" w:lastColumn="0" w:noHBand="0" w:noVBand="0"/>
        <w:tblCaption w:val="Classification of the reliability of guideline values using the SSD method"/>
        <w:tblDescription w:val="Table shows the classification system to determine the reliability of the guideline values. The sample size of each data type is rated according to the adequacy of sample size. Depending on the adequacy of the fit in the SSD, the guideline value is rated good or poor. The reliability of the guideline value is then rated as very high, high, moderate, low or very low."/>
      </w:tblPr>
      <w:tblGrid>
        <w:gridCol w:w="4819"/>
        <w:gridCol w:w="1417"/>
        <w:gridCol w:w="1702"/>
        <w:gridCol w:w="1132"/>
      </w:tblGrid>
      <w:tr w:rsidR="00587E61" w:rsidRPr="007C67F1" w14:paraId="088A83E2" w14:textId="77777777" w:rsidTr="00095B90">
        <w:trPr>
          <w:tblHeader/>
        </w:trPr>
        <w:tc>
          <w:tcPr>
            <w:tcW w:w="2657" w:type="pct"/>
            <w:tcBorders>
              <w:top w:val="single" w:sz="12" w:space="0" w:color="auto"/>
              <w:bottom w:val="single" w:sz="12" w:space="0" w:color="auto"/>
            </w:tcBorders>
            <w:tcMar>
              <w:top w:w="0" w:type="dxa"/>
              <w:left w:w="108" w:type="dxa"/>
              <w:bottom w:w="0" w:type="dxa"/>
              <w:right w:w="108" w:type="dxa"/>
            </w:tcMar>
          </w:tcPr>
          <w:p w14:paraId="7B24A538" w14:textId="77777777" w:rsidR="00587E61" w:rsidRPr="00D52442" w:rsidRDefault="00587E61" w:rsidP="00095B90">
            <w:pPr>
              <w:pStyle w:val="TableHeading"/>
            </w:pPr>
            <w:r w:rsidRPr="00D52442">
              <w:t>D</w:t>
            </w:r>
            <w:r>
              <w:t>ata type</w:t>
            </w:r>
          </w:p>
        </w:tc>
        <w:tc>
          <w:tcPr>
            <w:tcW w:w="781" w:type="pct"/>
            <w:tcBorders>
              <w:top w:val="single" w:sz="12" w:space="0" w:color="auto"/>
              <w:bottom w:val="single" w:sz="12" w:space="0" w:color="auto"/>
            </w:tcBorders>
          </w:tcPr>
          <w:p w14:paraId="47E35C70" w14:textId="77777777" w:rsidR="00587E61" w:rsidRPr="00D52442" w:rsidRDefault="00587E61" w:rsidP="00095B90">
            <w:pPr>
              <w:pStyle w:val="TableHeading"/>
            </w:pPr>
            <w:r w:rsidRPr="00D52442">
              <w:t>S</w:t>
            </w:r>
            <w:r>
              <w:t>ample size (adequacy)</w:t>
            </w:r>
            <w:r w:rsidRPr="00D52442">
              <w:rPr>
                <w:vertAlign w:val="superscript"/>
              </w:rPr>
              <w:t>a</w:t>
            </w:r>
          </w:p>
        </w:tc>
        <w:tc>
          <w:tcPr>
            <w:tcW w:w="938" w:type="pct"/>
            <w:tcBorders>
              <w:top w:val="single" w:sz="12" w:space="0" w:color="auto"/>
              <w:bottom w:val="single" w:sz="12" w:space="0" w:color="auto"/>
            </w:tcBorders>
          </w:tcPr>
          <w:p w14:paraId="785E21B4" w14:textId="77777777" w:rsidR="00587E61" w:rsidRPr="00D52442" w:rsidRDefault="00587E61" w:rsidP="00095B90">
            <w:pPr>
              <w:pStyle w:val="TableHeading"/>
            </w:pPr>
            <w:r w:rsidRPr="00D52442">
              <w:t>A</w:t>
            </w:r>
            <w:r>
              <w:t>dequacy of fit of species sensitivity distribution model</w:t>
            </w:r>
          </w:p>
        </w:tc>
        <w:tc>
          <w:tcPr>
            <w:tcW w:w="624" w:type="pct"/>
            <w:tcBorders>
              <w:top w:val="single" w:sz="12" w:space="0" w:color="auto"/>
              <w:bottom w:val="single" w:sz="12" w:space="0" w:color="auto"/>
            </w:tcBorders>
          </w:tcPr>
          <w:p w14:paraId="4E40019B" w14:textId="77777777" w:rsidR="00587E61" w:rsidRPr="00D52442" w:rsidRDefault="00587E61" w:rsidP="00095B90">
            <w:pPr>
              <w:pStyle w:val="TableHeading"/>
            </w:pPr>
            <w:r w:rsidRPr="00D52442">
              <w:t>R</w:t>
            </w:r>
            <w:r>
              <w:t>eliability</w:t>
            </w:r>
          </w:p>
        </w:tc>
      </w:tr>
      <w:tr w:rsidR="00587E61" w:rsidRPr="007C67F1" w14:paraId="324FF3DF" w14:textId="77777777" w:rsidTr="00095B90">
        <w:tc>
          <w:tcPr>
            <w:tcW w:w="2657" w:type="pct"/>
            <w:vMerge w:val="restart"/>
            <w:tcBorders>
              <w:top w:val="single" w:sz="12" w:space="0" w:color="auto"/>
            </w:tcBorders>
            <w:tcMar>
              <w:top w:w="0" w:type="dxa"/>
              <w:left w:w="108" w:type="dxa"/>
              <w:bottom w:w="0" w:type="dxa"/>
              <w:right w:w="108" w:type="dxa"/>
            </w:tcMar>
            <w:vAlign w:val="center"/>
          </w:tcPr>
          <w:p w14:paraId="44F23025" w14:textId="77777777" w:rsidR="00587E61" w:rsidRPr="00C64A9A" w:rsidRDefault="00587E61" w:rsidP="00095B90">
            <w:pPr>
              <w:pStyle w:val="TableText"/>
            </w:pPr>
            <w:r w:rsidRPr="57352DF8">
              <w:t>Chronic</w:t>
            </w:r>
            <w:r w:rsidRPr="57352DF8">
              <w:rPr>
                <w:vertAlign w:val="superscript"/>
              </w:rPr>
              <w:t>b, c</w:t>
            </w:r>
          </w:p>
        </w:tc>
        <w:tc>
          <w:tcPr>
            <w:tcW w:w="781" w:type="pct"/>
            <w:tcBorders>
              <w:top w:val="single" w:sz="12" w:space="0" w:color="auto"/>
              <w:bottom w:val="single" w:sz="4" w:space="0" w:color="auto"/>
            </w:tcBorders>
            <w:vAlign w:val="center"/>
          </w:tcPr>
          <w:p w14:paraId="1A2DDA61" w14:textId="77777777" w:rsidR="00587E61" w:rsidRPr="00C64A9A" w:rsidRDefault="00587E61" w:rsidP="00095B90">
            <w:pPr>
              <w:pStyle w:val="TableText"/>
            </w:pPr>
            <w:r w:rsidRPr="00C64A9A">
              <w:rPr>
                <w:rFonts w:cs="Calibri"/>
              </w:rPr>
              <w:t>≥</w:t>
            </w:r>
            <w:r>
              <w:rPr>
                <w:rFonts w:cs="Calibri"/>
              </w:rPr>
              <w:t> </w:t>
            </w:r>
            <w:r w:rsidRPr="00C64A9A">
              <w:t xml:space="preserve">15 </w:t>
            </w:r>
            <w:r>
              <w:t>(p</w:t>
            </w:r>
            <w:r w:rsidRPr="00C64A9A">
              <w:t>referred</w:t>
            </w:r>
            <w:r>
              <w:t>)</w:t>
            </w:r>
          </w:p>
        </w:tc>
        <w:tc>
          <w:tcPr>
            <w:tcW w:w="938" w:type="pct"/>
            <w:tcBorders>
              <w:top w:val="single" w:sz="12" w:space="0" w:color="auto"/>
              <w:bottom w:val="single" w:sz="4" w:space="0" w:color="auto"/>
            </w:tcBorders>
            <w:vAlign w:val="center"/>
          </w:tcPr>
          <w:p w14:paraId="6C1F7408" w14:textId="77777777" w:rsidR="00587E61" w:rsidRPr="00C64A9A" w:rsidRDefault="00587E61" w:rsidP="00095B90">
            <w:pPr>
              <w:pStyle w:val="TableText"/>
              <w:rPr>
                <w:color w:val="4F81BD"/>
              </w:rPr>
            </w:pPr>
            <w:r w:rsidRPr="00C64A9A">
              <w:t>Good</w:t>
            </w:r>
          </w:p>
        </w:tc>
        <w:tc>
          <w:tcPr>
            <w:tcW w:w="624" w:type="pct"/>
            <w:tcBorders>
              <w:top w:val="single" w:sz="12" w:space="0" w:color="auto"/>
              <w:bottom w:val="single" w:sz="4" w:space="0" w:color="auto"/>
            </w:tcBorders>
            <w:vAlign w:val="center"/>
          </w:tcPr>
          <w:p w14:paraId="0DB34AF9" w14:textId="77777777" w:rsidR="00587E61" w:rsidRPr="00C64A9A" w:rsidRDefault="00587E61" w:rsidP="00095B90">
            <w:pPr>
              <w:pStyle w:val="TableText"/>
            </w:pPr>
            <w:r w:rsidRPr="57352DF8">
              <w:t>Very high</w:t>
            </w:r>
          </w:p>
        </w:tc>
      </w:tr>
      <w:tr w:rsidR="00587E61" w:rsidRPr="007C67F1" w14:paraId="2FEDF3DE" w14:textId="77777777" w:rsidTr="00095B90">
        <w:tc>
          <w:tcPr>
            <w:tcW w:w="2657" w:type="pct"/>
            <w:vMerge/>
            <w:tcMar>
              <w:top w:w="0" w:type="dxa"/>
              <w:left w:w="108" w:type="dxa"/>
              <w:bottom w:w="0" w:type="dxa"/>
              <w:right w:w="108" w:type="dxa"/>
            </w:tcMar>
            <w:vAlign w:val="center"/>
          </w:tcPr>
          <w:p w14:paraId="404B7B71"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2ACB7831" w14:textId="77777777" w:rsidR="00587E61" w:rsidRPr="00C64A9A" w:rsidRDefault="00587E61" w:rsidP="00095B90">
            <w:pPr>
              <w:pStyle w:val="TableText"/>
            </w:pPr>
            <w:r w:rsidRPr="00C64A9A">
              <w:rPr>
                <w:rFonts w:cs="Calibri"/>
              </w:rPr>
              <w:t>≥</w:t>
            </w:r>
            <w:r>
              <w:rPr>
                <w:rFonts w:cs="Calibri"/>
              </w:rPr>
              <w:t> </w:t>
            </w:r>
            <w:r w:rsidRPr="00C64A9A">
              <w:t xml:space="preserve">15 </w:t>
            </w:r>
            <w:r>
              <w:t>(p</w:t>
            </w:r>
            <w:r w:rsidRPr="00C64A9A">
              <w:t>referred</w:t>
            </w:r>
            <w:r>
              <w:t>)</w:t>
            </w:r>
          </w:p>
        </w:tc>
        <w:tc>
          <w:tcPr>
            <w:tcW w:w="938" w:type="pct"/>
            <w:tcBorders>
              <w:top w:val="single" w:sz="4" w:space="0" w:color="auto"/>
              <w:bottom w:val="single" w:sz="4" w:space="0" w:color="auto"/>
            </w:tcBorders>
            <w:vAlign w:val="center"/>
          </w:tcPr>
          <w:p w14:paraId="5ACEB6FB" w14:textId="77777777" w:rsidR="00587E61" w:rsidRPr="00C64A9A" w:rsidRDefault="00587E61" w:rsidP="00095B90">
            <w:pPr>
              <w:pStyle w:val="TableText"/>
            </w:pPr>
            <w:r w:rsidRPr="00C64A9A">
              <w:t>Poor</w:t>
            </w:r>
          </w:p>
        </w:tc>
        <w:tc>
          <w:tcPr>
            <w:tcW w:w="624" w:type="pct"/>
            <w:tcBorders>
              <w:top w:val="single" w:sz="4" w:space="0" w:color="auto"/>
              <w:bottom w:val="single" w:sz="4" w:space="0" w:color="auto"/>
            </w:tcBorders>
            <w:vAlign w:val="center"/>
          </w:tcPr>
          <w:p w14:paraId="474EAA74" w14:textId="77777777" w:rsidR="00587E61" w:rsidRPr="00C64A9A" w:rsidRDefault="00587E61" w:rsidP="00095B90">
            <w:pPr>
              <w:pStyle w:val="TableText"/>
            </w:pPr>
            <w:r w:rsidRPr="00C64A9A">
              <w:t>Moderate</w:t>
            </w:r>
          </w:p>
        </w:tc>
      </w:tr>
      <w:tr w:rsidR="00587E61" w:rsidRPr="007C67F1" w14:paraId="30E12202" w14:textId="77777777" w:rsidTr="00095B90">
        <w:tc>
          <w:tcPr>
            <w:tcW w:w="2657" w:type="pct"/>
            <w:vMerge/>
            <w:tcMar>
              <w:top w:w="0" w:type="dxa"/>
              <w:left w:w="108" w:type="dxa"/>
              <w:bottom w:w="0" w:type="dxa"/>
              <w:right w:w="108" w:type="dxa"/>
            </w:tcMar>
            <w:vAlign w:val="center"/>
          </w:tcPr>
          <w:p w14:paraId="56B14950"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6A566EB5" w14:textId="77777777" w:rsidR="00587E61" w:rsidRPr="00C64A9A" w:rsidRDefault="00587E61" w:rsidP="00095B90">
            <w:pPr>
              <w:pStyle w:val="TableText"/>
            </w:pPr>
            <w:r>
              <w:t>8–14 (g</w:t>
            </w:r>
            <w:r w:rsidRPr="00C64A9A">
              <w:t>ood</w:t>
            </w:r>
            <w:r>
              <w:t>)</w:t>
            </w:r>
          </w:p>
        </w:tc>
        <w:tc>
          <w:tcPr>
            <w:tcW w:w="938" w:type="pct"/>
            <w:tcBorders>
              <w:top w:val="single" w:sz="4" w:space="0" w:color="auto"/>
              <w:bottom w:val="single" w:sz="4" w:space="0" w:color="auto"/>
            </w:tcBorders>
            <w:vAlign w:val="center"/>
          </w:tcPr>
          <w:p w14:paraId="10E1FE22" w14:textId="77777777" w:rsidR="00587E61" w:rsidRPr="00C64A9A" w:rsidRDefault="00587E61" w:rsidP="00095B90">
            <w:pPr>
              <w:pStyle w:val="TableText"/>
            </w:pPr>
            <w:r w:rsidRPr="00C64A9A">
              <w:t>Good</w:t>
            </w:r>
          </w:p>
        </w:tc>
        <w:tc>
          <w:tcPr>
            <w:tcW w:w="624" w:type="pct"/>
            <w:tcBorders>
              <w:top w:val="single" w:sz="4" w:space="0" w:color="auto"/>
              <w:bottom w:val="single" w:sz="4" w:space="0" w:color="auto"/>
            </w:tcBorders>
            <w:vAlign w:val="center"/>
          </w:tcPr>
          <w:p w14:paraId="48DF12CD" w14:textId="77777777" w:rsidR="00587E61" w:rsidRPr="00C64A9A" w:rsidRDefault="00587E61" w:rsidP="00095B90">
            <w:pPr>
              <w:pStyle w:val="TableText"/>
            </w:pPr>
            <w:r w:rsidRPr="00C64A9A">
              <w:t>High</w:t>
            </w:r>
          </w:p>
        </w:tc>
      </w:tr>
      <w:tr w:rsidR="00587E61" w:rsidRPr="007C67F1" w14:paraId="7B49C7F4" w14:textId="77777777" w:rsidTr="00095B90">
        <w:tc>
          <w:tcPr>
            <w:tcW w:w="2657" w:type="pct"/>
            <w:vMerge/>
            <w:tcMar>
              <w:top w:w="0" w:type="dxa"/>
              <w:left w:w="108" w:type="dxa"/>
              <w:bottom w:w="0" w:type="dxa"/>
              <w:right w:w="108" w:type="dxa"/>
            </w:tcMar>
            <w:vAlign w:val="center"/>
          </w:tcPr>
          <w:p w14:paraId="47E270E8"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55124760" w14:textId="77777777" w:rsidR="00587E61" w:rsidRPr="00C64A9A" w:rsidRDefault="00587E61" w:rsidP="00095B90">
            <w:pPr>
              <w:pStyle w:val="TableText"/>
            </w:pPr>
            <w:r>
              <w:t>8–14 (g</w:t>
            </w:r>
            <w:r w:rsidRPr="00C64A9A">
              <w:t>ood</w:t>
            </w:r>
            <w:r>
              <w:t>)</w:t>
            </w:r>
          </w:p>
        </w:tc>
        <w:tc>
          <w:tcPr>
            <w:tcW w:w="938" w:type="pct"/>
            <w:tcBorders>
              <w:top w:val="single" w:sz="4" w:space="0" w:color="auto"/>
              <w:bottom w:val="single" w:sz="4" w:space="0" w:color="auto"/>
            </w:tcBorders>
            <w:vAlign w:val="center"/>
          </w:tcPr>
          <w:p w14:paraId="39491893" w14:textId="77777777" w:rsidR="00587E61" w:rsidRPr="00C64A9A" w:rsidRDefault="00587E61" w:rsidP="00095B90">
            <w:pPr>
              <w:pStyle w:val="TableText"/>
            </w:pPr>
            <w:r w:rsidRPr="00C64A9A">
              <w:t>Poor</w:t>
            </w:r>
          </w:p>
        </w:tc>
        <w:tc>
          <w:tcPr>
            <w:tcW w:w="624" w:type="pct"/>
            <w:tcBorders>
              <w:top w:val="single" w:sz="4" w:space="0" w:color="auto"/>
              <w:bottom w:val="single" w:sz="4" w:space="0" w:color="auto"/>
            </w:tcBorders>
            <w:vAlign w:val="center"/>
          </w:tcPr>
          <w:p w14:paraId="44408C0E" w14:textId="77777777" w:rsidR="00587E61" w:rsidRPr="00C64A9A" w:rsidRDefault="00587E61" w:rsidP="00095B90">
            <w:pPr>
              <w:pStyle w:val="TableText"/>
            </w:pPr>
            <w:r w:rsidRPr="00C64A9A">
              <w:t>Moderate</w:t>
            </w:r>
          </w:p>
        </w:tc>
      </w:tr>
      <w:tr w:rsidR="00587E61" w:rsidRPr="007C67F1" w14:paraId="3CE29452" w14:textId="77777777" w:rsidTr="00095B90">
        <w:tc>
          <w:tcPr>
            <w:tcW w:w="2657" w:type="pct"/>
            <w:vMerge/>
            <w:tcMar>
              <w:top w:w="0" w:type="dxa"/>
              <w:left w:w="108" w:type="dxa"/>
              <w:bottom w:w="0" w:type="dxa"/>
              <w:right w:w="108" w:type="dxa"/>
            </w:tcMar>
            <w:vAlign w:val="center"/>
          </w:tcPr>
          <w:p w14:paraId="5888D7CC"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14CB8634" w14:textId="77777777" w:rsidR="00587E61" w:rsidRPr="00C64A9A" w:rsidRDefault="00587E61" w:rsidP="00095B90">
            <w:pPr>
              <w:pStyle w:val="TableText"/>
            </w:pPr>
            <w:r>
              <w:t>6</w:t>
            </w:r>
            <w:r>
              <w:rPr>
                <w:rFonts w:cs="Arial"/>
              </w:rPr>
              <w:t>–</w:t>
            </w:r>
            <w:r w:rsidRPr="00C64A9A">
              <w:t xml:space="preserve">7 </w:t>
            </w:r>
            <w:r>
              <w:t>(a</w:t>
            </w:r>
            <w:r w:rsidRPr="00C64A9A">
              <w:t>dequate</w:t>
            </w:r>
            <w:r>
              <w:t>)</w:t>
            </w:r>
          </w:p>
        </w:tc>
        <w:tc>
          <w:tcPr>
            <w:tcW w:w="938" w:type="pct"/>
            <w:tcBorders>
              <w:top w:val="single" w:sz="4" w:space="0" w:color="auto"/>
              <w:bottom w:val="single" w:sz="4" w:space="0" w:color="auto"/>
            </w:tcBorders>
            <w:vAlign w:val="center"/>
          </w:tcPr>
          <w:p w14:paraId="5EE82B3E" w14:textId="77777777" w:rsidR="00587E61" w:rsidRPr="00C64A9A" w:rsidRDefault="00587E61" w:rsidP="00095B90">
            <w:pPr>
              <w:pStyle w:val="TableText"/>
            </w:pPr>
            <w:r w:rsidRPr="00C64A9A">
              <w:t>Good</w:t>
            </w:r>
          </w:p>
        </w:tc>
        <w:tc>
          <w:tcPr>
            <w:tcW w:w="624" w:type="pct"/>
            <w:tcBorders>
              <w:top w:val="single" w:sz="4" w:space="0" w:color="auto"/>
              <w:bottom w:val="single" w:sz="4" w:space="0" w:color="auto"/>
            </w:tcBorders>
            <w:vAlign w:val="center"/>
          </w:tcPr>
          <w:p w14:paraId="0BCFC5C4" w14:textId="77777777" w:rsidR="00587E61" w:rsidRPr="00C64A9A" w:rsidRDefault="00587E61" w:rsidP="00095B90">
            <w:pPr>
              <w:pStyle w:val="TableText"/>
            </w:pPr>
            <w:r w:rsidRPr="00C64A9A">
              <w:t>Moderate</w:t>
            </w:r>
          </w:p>
        </w:tc>
      </w:tr>
      <w:tr w:rsidR="00587E61" w:rsidRPr="007C67F1" w14:paraId="1FC1B146" w14:textId="77777777" w:rsidTr="00095B90">
        <w:tc>
          <w:tcPr>
            <w:tcW w:w="2657" w:type="pct"/>
            <w:vMerge/>
            <w:tcBorders>
              <w:bottom w:val="single" w:sz="4" w:space="0" w:color="auto"/>
            </w:tcBorders>
            <w:tcMar>
              <w:top w:w="0" w:type="dxa"/>
              <w:left w:w="108" w:type="dxa"/>
              <w:bottom w:w="0" w:type="dxa"/>
              <w:right w:w="108" w:type="dxa"/>
            </w:tcMar>
            <w:vAlign w:val="center"/>
          </w:tcPr>
          <w:p w14:paraId="5B60D665"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2D0DBAE8" w14:textId="77777777" w:rsidR="00587E61" w:rsidRPr="00C64A9A" w:rsidRDefault="00587E61" w:rsidP="00095B90">
            <w:pPr>
              <w:pStyle w:val="TableText"/>
            </w:pPr>
            <w:r>
              <w:t>6</w:t>
            </w:r>
            <w:r>
              <w:rPr>
                <w:rFonts w:cs="Arial"/>
              </w:rPr>
              <w:t>–</w:t>
            </w:r>
            <w:r w:rsidRPr="00C64A9A">
              <w:t xml:space="preserve">7 </w:t>
            </w:r>
            <w:r>
              <w:t>(a</w:t>
            </w:r>
            <w:r w:rsidRPr="00C64A9A">
              <w:t>dequate</w:t>
            </w:r>
            <w:r>
              <w:t>)</w:t>
            </w:r>
          </w:p>
        </w:tc>
        <w:tc>
          <w:tcPr>
            <w:tcW w:w="938" w:type="pct"/>
            <w:tcBorders>
              <w:top w:val="single" w:sz="4" w:space="0" w:color="auto"/>
              <w:bottom w:val="single" w:sz="4" w:space="0" w:color="auto"/>
            </w:tcBorders>
            <w:vAlign w:val="center"/>
          </w:tcPr>
          <w:p w14:paraId="02C8246F" w14:textId="77777777" w:rsidR="00587E61" w:rsidRPr="00C64A9A" w:rsidRDefault="00587E61" w:rsidP="00095B90">
            <w:pPr>
              <w:pStyle w:val="TableText"/>
            </w:pPr>
            <w:r w:rsidRPr="00C64A9A">
              <w:t>Poor</w:t>
            </w:r>
          </w:p>
        </w:tc>
        <w:tc>
          <w:tcPr>
            <w:tcW w:w="624" w:type="pct"/>
            <w:tcBorders>
              <w:top w:val="single" w:sz="4" w:space="0" w:color="auto"/>
              <w:bottom w:val="single" w:sz="4" w:space="0" w:color="auto"/>
            </w:tcBorders>
            <w:vAlign w:val="center"/>
          </w:tcPr>
          <w:p w14:paraId="532A7B1C" w14:textId="77777777" w:rsidR="00587E61" w:rsidRPr="00C64A9A" w:rsidRDefault="00587E61" w:rsidP="00095B90">
            <w:pPr>
              <w:pStyle w:val="TableText"/>
            </w:pPr>
            <w:r w:rsidRPr="00C64A9A">
              <w:t>Low</w:t>
            </w:r>
          </w:p>
        </w:tc>
      </w:tr>
      <w:tr w:rsidR="00587E61" w:rsidRPr="007C67F1" w14:paraId="170A973B" w14:textId="77777777" w:rsidTr="00095B90">
        <w:tc>
          <w:tcPr>
            <w:tcW w:w="2657" w:type="pct"/>
            <w:vMerge w:val="restart"/>
            <w:tcBorders>
              <w:top w:val="single" w:sz="4" w:space="0" w:color="auto"/>
            </w:tcBorders>
            <w:tcMar>
              <w:top w:w="0" w:type="dxa"/>
              <w:left w:w="108" w:type="dxa"/>
              <w:bottom w:w="0" w:type="dxa"/>
              <w:right w:w="108" w:type="dxa"/>
            </w:tcMar>
            <w:vAlign w:val="center"/>
          </w:tcPr>
          <w:p w14:paraId="64BA9B93" w14:textId="6C99F3EA" w:rsidR="00587E61" w:rsidRPr="00C64A9A" w:rsidRDefault="00587E61" w:rsidP="00095B90">
            <w:pPr>
              <w:pStyle w:val="TableText"/>
              <w:keepNext/>
              <w:keepLines/>
            </w:pPr>
            <w:r w:rsidRPr="00C127D4">
              <w:t>Combined chronic and converted</w:t>
            </w:r>
            <w:r>
              <w:t>-</w:t>
            </w:r>
            <w:r w:rsidRPr="00C127D4">
              <w:t>acute</w:t>
            </w:r>
            <w:r>
              <w:t xml:space="preserve">, </w:t>
            </w:r>
            <w:r w:rsidRPr="00C127D4">
              <w:t>or</w:t>
            </w:r>
            <w:r>
              <w:t xml:space="preserve"> c</w:t>
            </w:r>
            <w:r w:rsidRPr="00C127D4">
              <w:t xml:space="preserve">ombined chronic fresh and </w:t>
            </w:r>
            <w:r>
              <w:t xml:space="preserve">chronic </w:t>
            </w:r>
            <w:r w:rsidRPr="00C127D4">
              <w:t>marine</w:t>
            </w:r>
            <w:r>
              <w:t xml:space="preserve"> where the 2 criteria in Section </w:t>
            </w:r>
            <w:r>
              <w:fldChar w:fldCharType="begin"/>
            </w:r>
            <w:r>
              <w:instrText xml:space="preserve"> REF _Ref202089190 \r \h </w:instrText>
            </w:r>
            <w:r>
              <w:fldChar w:fldCharType="separate"/>
            </w:r>
            <w:r w:rsidR="006C5761">
              <w:t>3.2.5</w:t>
            </w:r>
            <w:r>
              <w:fldChar w:fldCharType="end"/>
            </w:r>
            <w:r>
              <w:t xml:space="preserve"> are not met</w:t>
            </w:r>
          </w:p>
        </w:tc>
        <w:tc>
          <w:tcPr>
            <w:tcW w:w="781" w:type="pct"/>
            <w:tcBorders>
              <w:top w:val="single" w:sz="4" w:space="0" w:color="auto"/>
              <w:bottom w:val="single" w:sz="4" w:space="0" w:color="auto"/>
            </w:tcBorders>
            <w:vAlign w:val="center"/>
          </w:tcPr>
          <w:p w14:paraId="65EF4BBD" w14:textId="77777777" w:rsidR="00587E61" w:rsidRPr="00C64A9A" w:rsidRDefault="00587E61" w:rsidP="00095B90">
            <w:pPr>
              <w:pStyle w:val="TableText"/>
              <w:keepNext/>
              <w:keepLines/>
              <w:rPr>
                <w:highlight w:val="yellow"/>
              </w:rPr>
            </w:pPr>
            <w:r w:rsidRPr="00C64A9A">
              <w:rPr>
                <w:rFonts w:cs="Calibri"/>
              </w:rPr>
              <w:t>≥</w:t>
            </w:r>
            <w:r>
              <w:rPr>
                <w:rFonts w:cs="Calibri"/>
              </w:rPr>
              <w:t> </w:t>
            </w:r>
            <w:r w:rsidRPr="00C64A9A">
              <w:t xml:space="preserve">15 </w:t>
            </w:r>
            <w:r>
              <w:t>(p</w:t>
            </w:r>
            <w:r w:rsidRPr="00C64A9A">
              <w:t>referred</w:t>
            </w:r>
            <w:r>
              <w:t>)</w:t>
            </w:r>
          </w:p>
        </w:tc>
        <w:tc>
          <w:tcPr>
            <w:tcW w:w="938" w:type="pct"/>
            <w:tcBorders>
              <w:top w:val="single" w:sz="4" w:space="0" w:color="auto"/>
              <w:bottom w:val="single" w:sz="4" w:space="0" w:color="auto"/>
            </w:tcBorders>
            <w:vAlign w:val="center"/>
          </w:tcPr>
          <w:p w14:paraId="28397CBC" w14:textId="77777777" w:rsidR="00587E61" w:rsidRPr="00C64A9A" w:rsidRDefault="00587E61" w:rsidP="00095B90">
            <w:pPr>
              <w:pStyle w:val="TableText"/>
              <w:keepNext/>
              <w:keepLines/>
              <w:rPr>
                <w:color w:val="4F81BD"/>
              </w:rPr>
            </w:pPr>
            <w:r w:rsidRPr="00C64A9A">
              <w:t>Good</w:t>
            </w:r>
          </w:p>
        </w:tc>
        <w:tc>
          <w:tcPr>
            <w:tcW w:w="624" w:type="pct"/>
            <w:tcBorders>
              <w:top w:val="single" w:sz="4" w:space="0" w:color="auto"/>
              <w:bottom w:val="single" w:sz="4" w:space="0" w:color="auto"/>
            </w:tcBorders>
            <w:vAlign w:val="center"/>
          </w:tcPr>
          <w:p w14:paraId="4073016D" w14:textId="77777777" w:rsidR="00587E61" w:rsidRPr="00C64A9A" w:rsidRDefault="00587E61" w:rsidP="00095B90">
            <w:pPr>
              <w:pStyle w:val="TableText"/>
              <w:keepNext/>
              <w:keepLines/>
            </w:pPr>
            <w:r w:rsidRPr="00C64A9A">
              <w:t>Moderate</w:t>
            </w:r>
          </w:p>
        </w:tc>
      </w:tr>
      <w:tr w:rsidR="00587E61" w:rsidRPr="007C67F1" w14:paraId="0EE7DB39" w14:textId="77777777" w:rsidTr="00095B90">
        <w:trPr>
          <w:trHeight w:val="80"/>
        </w:trPr>
        <w:tc>
          <w:tcPr>
            <w:tcW w:w="2657" w:type="pct"/>
            <w:vMerge/>
            <w:tcMar>
              <w:top w:w="0" w:type="dxa"/>
              <w:left w:w="108" w:type="dxa"/>
              <w:bottom w:w="0" w:type="dxa"/>
              <w:right w:w="108" w:type="dxa"/>
            </w:tcMar>
            <w:vAlign w:val="center"/>
          </w:tcPr>
          <w:p w14:paraId="0C5863BD"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35F71111" w14:textId="77777777" w:rsidR="00587E61" w:rsidRPr="00C64A9A" w:rsidRDefault="00587E61" w:rsidP="00095B90">
            <w:pPr>
              <w:pStyle w:val="TableText"/>
              <w:rPr>
                <w:highlight w:val="yellow"/>
              </w:rPr>
            </w:pPr>
            <w:r w:rsidRPr="00C64A9A">
              <w:rPr>
                <w:rFonts w:cs="Calibri"/>
              </w:rPr>
              <w:t>≥</w:t>
            </w:r>
            <w:r>
              <w:rPr>
                <w:rFonts w:cs="Calibri"/>
              </w:rPr>
              <w:t> </w:t>
            </w:r>
            <w:r w:rsidRPr="00C64A9A">
              <w:t xml:space="preserve">15 </w:t>
            </w:r>
            <w:r>
              <w:t>(p</w:t>
            </w:r>
            <w:r w:rsidRPr="00C64A9A">
              <w:t>referred</w:t>
            </w:r>
            <w:r>
              <w:t>)</w:t>
            </w:r>
          </w:p>
        </w:tc>
        <w:tc>
          <w:tcPr>
            <w:tcW w:w="938" w:type="pct"/>
            <w:tcBorders>
              <w:top w:val="single" w:sz="4" w:space="0" w:color="auto"/>
              <w:bottom w:val="single" w:sz="4" w:space="0" w:color="auto"/>
            </w:tcBorders>
            <w:vAlign w:val="center"/>
          </w:tcPr>
          <w:p w14:paraId="625696FC" w14:textId="77777777" w:rsidR="00587E61" w:rsidRPr="00C64A9A" w:rsidRDefault="00587E61" w:rsidP="00095B90">
            <w:pPr>
              <w:pStyle w:val="TableText"/>
            </w:pPr>
            <w:r w:rsidRPr="00C64A9A">
              <w:t>Poor</w:t>
            </w:r>
          </w:p>
        </w:tc>
        <w:tc>
          <w:tcPr>
            <w:tcW w:w="624" w:type="pct"/>
            <w:tcBorders>
              <w:top w:val="single" w:sz="4" w:space="0" w:color="auto"/>
              <w:bottom w:val="single" w:sz="4" w:space="0" w:color="auto"/>
            </w:tcBorders>
            <w:vAlign w:val="center"/>
          </w:tcPr>
          <w:p w14:paraId="2EEB2B46" w14:textId="77777777" w:rsidR="00587E61" w:rsidRPr="00C64A9A" w:rsidRDefault="00587E61" w:rsidP="00095B90">
            <w:pPr>
              <w:pStyle w:val="TableText"/>
            </w:pPr>
            <w:r w:rsidRPr="00C64A9A">
              <w:t>Low</w:t>
            </w:r>
          </w:p>
        </w:tc>
      </w:tr>
      <w:tr w:rsidR="00587E61" w:rsidRPr="007C67F1" w14:paraId="52A745A8" w14:textId="77777777" w:rsidTr="00095B90">
        <w:tc>
          <w:tcPr>
            <w:tcW w:w="2657" w:type="pct"/>
            <w:vMerge/>
            <w:tcMar>
              <w:top w:w="0" w:type="dxa"/>
              <w:left w:w="108" w:type="dxa"/>
              <w:bottom w:w="0" w:type="dxa"/>
              <w:right w:w="108" w:type="dxa"/>
            </w:tcMar>
            <w:vAlign w:val="center"/>
          </w:tcPr>
          <w:p w14:paraId="6FD1D56C"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5FF58785" w14:textId="77777777" w:rsidR="00587E61" w:rsidRPr="00C64A9A" w:rsidRDefault="00587E61" w:rsidP="00095B90">
            <w:pPr>
              <w:pStyle w:val="TableText"/>
            </w:pPr>
            <w:r>
              <w:t>8–14 (g</w:t>
            </w:r>
            <w:r w:rsidRPr="00C64A9A">
              <w:t>ood</w:t>
            </w:r>
            <w:r>
              <w:t>)</w:t>
            </w:r>
          </w:p>
        </w:tc>
        <w:tc>
          <w:tcPr>
            <w:tcW w:w="938" w:type="pct"/>
            <w:tcBorders>
              <w:top w:val="single" w:sz="4" w:space="0" w:color="auto"/>
              <w:bottom w:val="single" w:sz="4" w:space="0" w:color="auto"/>
            </w:tcBorders>
            <w:vAlign w:val="center"/>
          </w:tcPr>
          <w:p w14:paraId="695CD9BF" w14:textId="77777777" w:rsidR="00587E61" w:rsidRPr="00C64A9A" w:rsidRDefault="00587E61" w:rsidP="00095B90">
            <w:pPr>
              <w:pStyle w:val="TableText"/>
            </w:pPr>
            <w:r w:rsidRPr="00C64A9A">
              <w:t>Good</w:t>
            </w:r>
          </w:p>
        </w:tc>
        <w:tc>
          <w:tcPr>
            <w:tcW w:w="624" w:type="pct"/>
            <w:tcBorders>
              <w:top w:val="single" w:sz="4" w:space="0" w:color="auto"/>
              <w:bottom w:val="single" w:sz="4" w:space="0" w:color="auto"/>
            </w:tcBorders>
            <w:vAlign w:val="center"/>
          </w:tcPr>
          <w:p w14:paraId="2A1A6BD3" w14:textId="77777777" w:rsidR="00587E61" w:rsidRPr="00C64A9A" w:rsidRDefault="00587E61" w:rsidP="00095B90">
            <w:pPr>
              <w:pStyle w:val="TableText"/>
            </w:pPr>
            <w:r w:rsidRPr="00C64A9A">
              <w:t>Moderate</w:t>
            </w:r>
          </w:p>
        </w:tc>
      </w:tr>
      <w:tr w:rsidR="00587E61" w:rsidRPr="007C67F1" w14:paraId="5B6392AE" w14:textId="77777777" w:rsidTr="00095B90">
        <w:tc>
          <w:tcPr>
            <w:tcW w:w="2657" w:type="pct"/>
            <w:vMerge/>
            <w:tcMar>
              <w:top w:w="0" w:type="dxa"/>
              <w:left w:w="108" w:type="dxa"/>
              <w:bottom w:w="0" w:type="dxa"/>
              <w:right w:w="108" w:type="dxa"/>
            </w:tcMar>
            <w:vAlign w:val="center"/>
          </w:tcPr>
          <w:p w14:paraId="76282D39"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7E5BD2D2" w14:textId="77777777" w:rsidR="00587E61" w:rsidRPr="00C64A9A" w:rsidRDefault="00587E61" w:rsidP="00095B90">
            <w:pPr>
              <w:pStyle w:val="TableText"/>
            </w:pPr>
            <w:r>
              <w:t>8–14 (g</w:t>
            </w:r>
            <w:r w:rsidRPr="00C64A9A">
              <w:t>ood</w:t>
            </w:r>
            <w:r>
              <w:t>)</w:t>
            </w:r>
          </w:p>
        </w:tc>
        <w:tc>
          <w:tcPr>
            <w:tcW w:w="938" w:type="pct"/>
            <w:tcBorders>
              <w:top w:val="single" w:sz="4" w:space="0" w:color="auto"/>
              <w:bottom w:val="single" w:sz="4" w:space="0" w:color="auto"/>
            </w:tcBorders>
            <w:vAlign w:val="center"/>
          </w:tcPr>
          <w:p w14:paraId="23B3D0E1" w14:textId="77777777" w:rsidR="00587E61" w:rsidRPr="00C64A9A" w:rsidRDefault="00587E61" w:rsidP="00095B90">
            <w:pPr>
              <w:pStyle w:val="TableText"/>
            </w:pPr>
            <w:r w:rsidRPr="00C64A9A">
              <w:t>Poor</w:t>
            </w:r>
          </w:p>
        </w:tc>
        <w:tc>
          <w:tcPr>
            <w:tcW w:w="624" w:type="pct"/>
            <w:tcBorders>
              <w:top w:val="single" w:sz="4" w:space="0" w:color="auto"/>
              <w:bottom w:val="single" w:sz="4" w:space="0" w:color="auto"/>
            </w:tcBorders>
            <w:vAlign w:val="center"/>
          </w:tcPr>
          <w:p w14:paraId="446114B1" w14:textId="77777777" w:rsidR="00587E61" w:rsidRPr="00C64A9A" w:rsidRDefault="00587E61" w:rsidP="00095B90">
            <w:pPr>
              <w:pStyle w:val="TableText"/>
            </w:pPr>
            <w:r w:rsidRPr="00C64A9A">
              <w:t>Low</w:t>
            </w:r>
          </w:p>
        </w:tc>
      </w:tr>
      <w:tr w:rsidR="00587E61" w:rsidRPr="007C67F1" w14:paraId="748D5513" w14:textId="77777777" w:rsidTr="00095B90">
        <w:tc>
          <w:tcPr>
            <w:tcW w:w="2657" w:type="pct"/>
            <w:vMerge/>
            <w:tcMar>
              <w:top w:w="0" w:type="dxa"/>
              <w:left w:w="108" w:type="dxa"/>
              <w:bottom w:w="0" w:type="dxa"/>
              <w:right w:w="108" w:type="dxa"/>
            </w:tcMar>
            <w:vAlign w:val="center"/>
          </w:tcPr>
          <w:p w14:paraId="15FF08E3"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7404A09D" w14:textId="77777777" w:rsidR="00587E61" w:rsidRPr="00C64A9A" w:rsidRDefault="00587E61" w:rsidP="00095B90">
            <w:pPr>
              <w:pStyle w:val="TableText"/>
            </w:pPr>
            <w:r>
              <w:t>6</w:t>
            </w:r>
            <w:r>
              <w:rPr>
                <w:rFonts w:cs="Arial"/>
              </w:rPr>
              <w:t>–</w:t>
            </w:r>
            <w:r w:rsidRPr="00C64A9A">
              <w:t xml:space="preserve">7 </w:t>
            </w:r>
            <w:r>
              <w:t>(a</w:t>
            </w:r>
            <w:r w:rsidRPr="00C64A9A">
              <w:t>dequate</w:t>
            </w:r>
            <w:r>
              <w:t>)</w:t>
            </w:r>
          </w:p>
        </w:tc>
        <w:tc>
          <w:tcPr>
            <w:tcW w:w="938" w:type="pct"/>
            <w:tcBorders>
              <w:top w:val="single" w:sz="4" w:space="0" w:color="auto"/>
              <w:bottom w:val="single" w:sz="4" w:space="0" w:color="auto"/>
            </w:tcBorders>
            <w:vAlign w:val="center"/>
          </w:tcPr>
          <w:p w14:paraId="7092910E" w14:textId="77777777" w:rsidR="00587E61" w:rsidRPr="00C64A9A" w:rsidRDefault="00587E61" w:rsidP="00095B90">
            <w:pPr>
              <w:pStyle w:val="TableText"/>
            </w:pPr>
            <w:r w:rsidRPr="00C64A9A">
              <w:t>Good</w:t>
            </w:r>
          </w:p>
        </w:tc>
        <w:tc>
          <w:tcPr>
            <w:tcW w:w="624" w:type="pct"/>
            <w:tcBorders>
              <w:top w:val="single" w:sz="4" w:space="0" w:color="auto"/>
              <w:bottom w:val="single" w:sz="4" w:space="0" w:color="auto"/>
            </w:tcBorders>
            <w:vAlign w:val="center"/>
          </w:tcPr>
          <w:p w14:paraId="41D3C730" w14:textId="77777777" w:rsidR="00587E61" w:rsidRPr="00C64A9A" w:rsidRDefault="00587E61" w:rsidP="00095B90">
            <w:pPr>
              <w:pStyle w:val="TableText"/>
            </w:pPr>
            <w:r w:rsidRPr="00C64A9A">
              <w:t>Moderate</w:t>
            </w:r>
          </w:p>
        </w:tc>
      </w:tr>
      <w:tr w:rsidR="00587E61" w:rsidRPr="007C67F1" w14:paraId="22B53420" w14:textId="77777777" w:rsidTr="00095B90">
        <w:tc>
          <w:tcPr>
            <w:tcW w:w="2657" w:type="pct"/>
            <w:vMerge/>
            <w:tcBorders>
              <w:bottom w:val="single" w:sz="4" w:space="0" w:color="auto"/>
            </w:tcBorders>
            <w:tcMar>
              <w:top w:w="0" w:type="dxa"/>
              <w:left w:w="108" w:type="dxa"/>
              <w:bottom w:w="0" w:type="dxa"/>
              <w:right w:w="108" w:type="dxa"/>
            </w:tcMar>
            <w:vAlign w:val="center"/>
          </w:tcPr>
          <w:p w14:paraId="6D05B588"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0F12175F" w14:textId="77777777" w:rsidR="00587E61" w:rsidRPr="00C64A9A" w:rsidRDefault="00587E61" w:rsidP="00095B90">
            <w:pPr>
              <w:pStyle w:val="TableText"/>
            </w:pPr>
            <w:r>
              <w:t>6</w:t>
            </w:r>
            <w:r>
              <w:rPr>
                <w:rFonts w:cs="Arial"/>
              </w:rPr>
              <w:t>–</w:t>
            </w:r>
            <w:r w:rsidRPr="00C64A9A">
              <w:t xml:space="preserve">7 </w:t>
            </w:r>
            <w:r>
              <w:t>(a</w:t>
            </w:r>
            <w:r w:rsidRPr="00C64A9A">
              <w:t>dequate</w:t>
            </w:r>
            <w:r>
              <w:t>)</w:t>
            </w:r>
          </w:p>
        </w:tc>
        <w:tc>
          <w:tcPr>
            <w:tcW w:w="938" w:type="pct"/>
            <w:tcBorders>
              <w:top w:val="single" w:sz="4" w:space="0" w:color="auto"/>
              <w:bottom w:val="single" w:sz="4" w:space="0" w:color="auto"/>
            </w:tcBorders>
            <w:vAlign w:val="center"/>
          </w:tcPr>
          <w:p w14:paraId="44175FD1" w14:textId="77777777" w:rsidR="00587E61" w:rsidRPr="00C64A9A" w:rsidRDefault="00587E61" w:rsidP="00095B90">
            <w:pPr>
              <w:pStyle w:val="TableText"/>
            </w:pPr>
            <w:r w:rsidRPr="00C64A9A">
              <w:t>Poor</w:t>
            </w:r>
          </w:p>
        </w:tc>
        <w:tc>
          <w:tcPr>
            <w:tcW w:w="624" w:type="pct"/>
            <w:tcBorders>
              <w:top w:val="single" w:sz="4" w:space="0" w:color="auto"/>
              <w:bottom w:val="single" w:sz="4" w:space="0" w:color="auto"/>
            </w:tcBorders>
            <w:vAlign w:val="center"/>
          </w:tcPr>
          <w:p w14:paraId="4FC3B9A1" w14:textId="77777777" w:rsidR="00587E61" w:rsidRPr="00C64A9A" w:rsidRDefault="00587E61" w:rsidP="00095B90">
            <w:pPr>
              <w:pStyle w:val="TableText"/>
            </w:pPr>
            <w:r w:rsidRPr="00C64A9A">
              <w:t>Low</w:t>
            </w:r>
          </w:p>
        </w:tc>
      </w:tr>
      <w:tr w:rsidR="00587E61" w:rsidRPr="007C67F1" w14:paraId="26832FC9" w14:textId="77777777" w:rsidTr="00095B90">
        <w:tc>
          <w:tcPr>
            <w:tcW w:w="2657" w:type="pct"/>
            <w:vMerge w:val="restart"/>
            <w:tcBorders>
              <w:top w:val="single" w:sz="4" w:space="0" w:color="auto"/>
            </w:tcBorders>
            <w:tcMar>
              <w:top w:w="0" w:type="dxa"/>
              <w:left w:w="108" w:type="dxa"/>
              <w:bottom w:w="0" w:type="dxa"/>
              <w:right w:w="108" w:type="dxa"/>
            </w:tcMar>
            <w:vAlign w:val="center"/>
          </w:tcPr>
          <w:p w14:paraId="1C9D72EA" w14:textId="77777777" w:rsidR="00587E61" w:rsidRPr="00C64A9A" w:rsidRDefault="00587E61" w:rsidP="00095B90">
            <w:pPr>
              <w:pStyle w:val="TableText"/>
            </w:pPr>
            <w:r>
              <w:t>Converted acute</w:t>
            </w:r>
          </w:p>
        </w:tc>
        <w:tc>
          <w:tcPr>
            <w:tcW w:w="781" w:type="pct"/>
            <w:tcBorders>
              <w:top w:val="single" w:sz="4" w:space="0" w:color="auto"/>
              <w:bottom w:val="single" w:sz="4" w:space="0" w:color="auto"/>
            </w:tcBorders>
            <w:vAlign w:val="center"/>
          </w:tcPr>
          <w:p w14:paraId="5F4E32D4" w14:textId="77777777" w:rsidR="00587E61" w:rsidRPr="00C64A9A" w:rsidRDefault="00587E61" w:rsidP="00095B90">
            <w:pPr>
              <w:pStyle w:val="TableText"/>
              <w:rPr>
                <w:highlight w:val="yellow"/>
              </w:rPr>
            </w:pPr>
            <w:r w:rsidRPr="00C64A9A">
              <w:rPr>
                <w:rFonts w:cs="Calibri"/>
              </w:rPr>
              <w:t>≥</w:t>
            </w:r>
            <w:r>
              <w:rPr>
                <w:rFonts w:cs="Calibri"/>
              </w:rPr>
              <w:t> </w:t>
            </w:r>
            <w:r w:rsidRPr="00C64A9A">
              <w:t xml:space="preserve">15 </w:t>
            </w:r>
            <w:r>
              <w:t>(p</w:t>
            </w:r>
            <w:r w:rsidRPr="00C64A9A">
              <w:t>referred</w:t>
            </w:r>
            <w:r>
              <w:t>)</w:t>
            </w:r>
          </w:p>
        </w:tc>
        <w:tc>
          <w:tcPr>
            <w:tcW w:w="938" w:type="pct"/>
            <w:tcBorders>
              <w:top w:val="single" w:sz="4" w:space="0" w:color="auto"/>
              <w:bottom w:val="single" w:sz="4" w:space="0" w:color="auto"/>
            </w:tcBorders>
            <w:vAlign w:val="center"/>
          </w:tcPr>
          <w:p w14:paraId="5600D537" w14:textId="77777777" w:rsidR="00587E61" w:rsidRPr="00C64A9A" w:rsidRDefault="00587E61" w:rsidP="00095B90">
            <w:pPr>
              <w:pStyle w:val="TableText"/>
            </w:pPr>
            <w:r w:rsidRPr="00C64A9A">
              <w:t>Good</w:t>
            </w:r>
          </w:p>
        </w:tc>
        <w:tc>
          <w:tcPr>
            <w:tcW w:w="624" w:type="pct"/>
            <w:tcBorders>
              <w:top w:val="single" w:sz="4" w:space="0" w:color="auto"/>
              <w:bottom w:val="single" w:sz="4" w:space="0" w:color="auto"/>
            </w:tcBorders>
            <w:vAlign w:val="center"/>
          </w:tcPr>
          <w:p w14:paraId="790095E3" w14:textId="77777777" w:rsidR="00587E61" w:rsidRPr="00C64A9A" w:rsidRDefault="00587E61" w:rsidP="00095B90">
            <w:pPr>
              <w:pStyle w:val="TableText"/>
            </w:pPr>
            <w:r w:rsidRPr="00C64A9A">
              <w:t>Moderate</w:t>
            </w:r>
          </w:p>
        </w:tc>
      </w:tr>
      <w:tr w:rsidR="00587E61" w:rsidRPr="007C67F1" w14:paraId="0799908F" w14:textId="77777777" w:rsidTr="00095B90">
        <w:tc>
          <w:tcPr>
            <w:tcW w:w="2657" w:type="pct"/>
            <w:vMerge/>
            <w:tcMar>
              <w:top w:w="0" w:type="dxa"/>
              <w:left w:w="108" w:type="dxa"/>
              <w:bottom w:w="0" w:type="dxa"/>
              <w:right w:w="108" w:type="dxa"/>
            </w:tcMar>
            <w:vAlign w:val="center"/>
          </w:tcPr>
          <w:p w14:paraId="11CCF156"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7E53365F" w14:textId="77777777" w:rsidR="00587E61" w:rsidRPr="00C64A9A" w:rsidRDefault="00587E61" w:rsidP="00095B90">
            <w:pPr>
              <w:pStyle w:val="TableText"/>
              <w:rPr>
                <w:highlight w:val="yellow"/>
              </w:rPr>
            </w:pPr>
            <w:r w:rsidRPr="00C64A9A">
              <w:rPr>
                <w:rFonts w:cs="Calibri"/>
              </w:rPr>
              <w:t>≥</w:t>
            </w:r>
            <w:r>
              <w:rPr>
                <w:rFonts w:cs="Calibri"/>
              </w:rPr>
              <w:t> </w:t>
            </w:r>
            <w:r w:rsidRPr="00C64A9A">
              <w:t xml:space="preserve">15 </w:t>
            </w:r>
            <w:r>
              <w:t>(p</w:t>
            </w:r>
            <w:r w:rsidRPr="00C64A9A">
              <w:t>referred</w:t>
            </w:r>
            <w:r>
              <w:t>)</w:t>
            </w:r>
          </w:p>
        </w:tc>
        <w:tc>
          <w:tcPr>
            <w:tcW w:w="938" w:type="pct"/>
            <w:tcBorders>
              <w:top w:val="single" w:sz="4" w:space="0" w:color="auto"/>
              <w:bottom w:val="single" w:sz="4" w:space="0" w:color="auto"/>
            </w:tcBorders>
            <w:vAlign w:val="center"/>
          </w:tcPr>
          <w:p w14:paraId="5959DB50" w14:textId="77777777" w:rsidR="00587E61" w:rsidRPr="00C64A9A" w:rsidRDefault="00587E61" w:rsidP="00095B90">
            <w:pPr>
              <w:pStyle w:val="TableText"/>
            </w:pPr>
            <w:r w:rsidRPr="00C64A9A">
              <w:t>Poor</w:t>
            </w:r>
          </w:p>
        </w:tc>
        <w:tc>
          <w:tcPr>
            <w:tcW w:w="624" w:type="pct"/>
            <w:tcBorders>
              <w:top w:val="single" w:sz="4" w:space="0" w:color="auto"/>
              <w:bottom w:val="single" w:sz="4" w:space="0" w:color="auto"/>
            </w:tcBorders>
            <w:vAlign w:val="center"/>
          </w:tcPr>
          <w:p w14:paraId="673F6F31" w14:textId="77777777" w:rsidR="00587E61" w:rsidRPr="00C64A9A" w:rsidRDefault="00587E61" w:rsidP="00095B90">
            <w:pPr>
              <w:pStyle w:val="TableText"/>
            </w:pPr>
            <w:r w:rsidRPr="00C64A9A">
              <w:t>Low</w:t>
            </w:r>
          </w:p>
        </w:tc>
      </w:tr>
      <w:tr w:rsidR="00587E61" w:rsidRPr="007C67F1" w14:paraId="66DFBEF4" w14:textId="77777777" w:rsidTr="00095B90">
        <w:tc>
          <w:tcPr>
            <w:tcW w:w="2657" w:type="pct"/>
            <w:vMerge/>
            <w:tcMar>
              <w:top w:w="0" w:type="dxa"/>
              <w:left w:w="108" w:type="dxa"/>
              <w:bottom w:w="0" w:type="dxa"/>
              <w:right w:w="108" w:type="dxa"/>
            </w:tcMar>
            <w:vAlign w:val="center"/>
          </w:tcPr>
          <w:p w14:paraId="294B64B0"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4C628A41" w14:textId="77777777" w:rsidR="00587E61" w:rsidRPr="00C64A9A" w:rsidRDefault="00587E61" w:rsidP="00095B90">
            <w:pPr>
              <w:pStyle w:val="TableText"/>
            </w:pPr>
            <w:r>
              <w:t>8–14 (g</w:t>
            </w:r>
            <w:r w:rsidRPr="00C64A9A">
              <w:t>ood</w:t>
            </w:r>
            <w:r>
              <w:t>)</w:t>
            </w:r>
          </w:p>
        </w:tc>
        <w:tc>
          <w:tcPr>
            <w:tcW w:w="938" w:type="pct"/>
            <w:tcBorders>
              <w:top w:val="single" w:sz="4" w:space="0" w:color="auto"/>
              <w:bottom w:val="single" w:sz="4" w:space="0" w:color="auto"/>
            </w:tcBorders>
            <w:vAlign w:val="center"/>
          </w:tcPr>
          <w:p w14:paraId="7B5EC30A" w14:textId="77777777" w:rsidR="00587E61" w:rsidRPr="00C64A9A" w:rsidRDefault="00587E61" w:rsidP="00095B90">
            <w:pPr>
              <w:pStyle w:val="TableText"/>
            </w:pPr>
            <w:r w:rsidRPr="00C64A9A">
              <w:t>Good</w:t>
            </w:r>
          </w:p>
        </w:tc>
        <w:tc>
          <w:tcPr>
            <w:tcW w:w="624" w:type="pct"/>
            <w:tcBorders>
              <w:top w:val="single" w:sz="4" w:space="0" w:color="auto"/>
              <w:bottom w:val="single" w:sz="4" w:space="0" w:color="auto"/>
            </w:tcBorders>
            <w:vAlign w:val="center"/>
          </w:tcPr>
          <w:p w14:paraId="7D6D5841" w14:textId="77777777" w:rsidR="00587E61" w:rsidRPr="00C64A9A" w:rsidRDefault="00587E61" w:rsidP="00095B90">
            <w:pPr>
              <w:pStyle w:val="TableText"/>
            </w:pPr>
            <w:r w:rsidRPr="00C64A9A">
              <w:t>Moderate</w:t>
            </w:r>
          </w:p>
        </w:tc>
      </w:tr>
      <w:tr w:rsidR="00587E61" w:rsidRPr="007C67F1" w14:paraId="10677D73" w14:textId="77777777" w:rsidTr="00095B90">
        <w:tc>
          <w:tcPr>
            <w:tcW w:w="2657" w:type="pct"/>
            <w:vMerge/>
            <w:tcMar>
              <w:top w:w="0" w:type="dxa"/>
              <w:left w:w="108" w:type="dxa"/>
              <w:bottom w:w="0" w:type="dxa"/>
              <w:right w:w="108" w:type="dxa"/>
            </w:tcMar>
            <w:vAlign w:val="center"/>
          </w:tcPr>
          <w:p w14:paraId="30AD94E5"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0E35F182" w14:textId="77777777" w:rsidR="00587E61" w:rsidRPr="00C64A9A" w:rsidRDefault="00587E61" w:rsidP="00095B90">
            <w:pPr>
              <w:pStyle w:val="TableText"/>
            </w:pPr>
            <w:r>
              <w:t>8–14 (g</w:t>
            </w:r>
            <w:r w:rsidRPr="00C64A9A">
              <w:t>ood</w:t>
            </w:r>
            <w:r>
              <w:t>)</w:t>
            </w:r>
          </w:p>
        </w:tc>
        <w:tc>
          <w:tcPr>
            <w:tcW w:w="938" w:type="pct"/>
            <w:tcBorders>
              <w:top w:val="single" w:sz="4" w:space="0" w:color="auto"/>
              <w:bottom w:val="single" w:sz="4" w:space="0" w:color="auto"/>
            </w:tcBorders>
            <w:vAlign w:val="center"/>
          </w:tcPr>
          <w:p w14:paraId="467EB34F" w14:textId="77777777" w:rsidR="00587E61" w:rsidRPr="00C64A9A" w:rsidRDefault="00587E61" w:rsidP="00095B90">
            <w:pPr>
              <w:pStyle w:val="TableText"/>
            </w:pPr>
            <w:r w:rsidRPr="00C64A9A">
              <w:t>Poor</w:t>
            </w:r>
          </w:p>
        </w:tc>
        <w:tc>
          <w:tcPr>
            <w:tcW w:w="624" w:type="pct"/>
            <w:tcBorders>
              <w:top w:val="single" w:sz="4" w:space="0" w:color="auto"/>
              <w:bottom w:val="single" w:sz="4" w:space="0" w:color="auto"/>
            </w:tcBorders>
            <w:vAlign w:val="center"/>
          </w:tcPr>
          <w:p w14:paraId="05B1C88D" w14:textId="77777777" w:rsidR="00587E61" w:rsidRPr="00C64A9A" w:rsidRDefault="00587E61" w:rsidP="00095B90">
            <w:pPr>
              <w:pStyle w:val="TableText"/>
            </w:pPr>
            <w:r w:rsidRPr="00C64A9A">
              <w:t>Low</w:t>
            </w:r>
          </w:p>
        </w:tc>
      </w:tr>
      <w:tr w:rsidR="00587E61" w:rsidRPr="007C67F1" w14:paraId="03AFC18D" w14:textId="77777777" w:rsidTr="00095B90">
        <w:tc>
          <w:tcPr>
            <w:tcW w:w="2657" w:type="pct"/>
            <w:vMerge/>
            <w:tcMar>
              <w:top w:w="0" w:type="dxa"/>
              <w:left w:w="108" w:type="dxa"/>
              <w:bottom w:w="0" w:type="dxa"/>
              <w:right w:w="108" w:type="dxa"/>
            </w:tcMar>
            <w:vAlign w:val="center"/>
          </w:tcPr>
          <w:p w14:paraId="6D446F67" w14:textId="77777777" w:rsidR="00587E61" w:rsidRPr="00C64A9A" w:rsidRDefault="00587E61" w:rsidP="00095B90">
            <w:pPr>
              <w:pStyle w:val="TableText"/>
            </w:pPr>
          </w:p>
        </w:tc>
        <w:tc>
          <w:tcPr>
            <w:tcW w:w="781" w:type="pct"/>
            <w:tcBorders>
              <w:top w:val="single" w:sz="4" w:space="0" w:color="auto"/>
              <w:bottom w:val="single" w:sz="4" w:space="0" w:color="auto"/>
            </w:tcBorders>
            <w:vAlign w:val="center"/>
          </w:tcPr>
          <w:p w14:paraId="7572BF52" w14:textId="77777777" w:rsidR="00587E61" w:rsidRPr="00C64A9A" w:rsidRDefault="00587E61" w:rsidP="00095B90">
            <w:pPr>
              <w:pStyle w:val="TableText"/>
            </w:pPr>
            <w:r>
              <w:t>6</w:t>
            </w:r>
            <w:r>
              <w:rPr>
                <w:rFonts w:cs="Arial"/>
              </w:rPr>
              <w:t>–</w:t>
            </w:r>
            <w:r w:rsidRPr="00C64A9A">
              <w:t xml:space="preserve">7 </w:t>
            </w:r>
            <w:r>
              <w:t>(a</w:t>
            </w:r>
            <w:r w:rsidRPr="00C64A9A">
              <w:t>dequate</w:t>
            </w:r>
            <w:r>
              <w:t>)</w:t>
            </w:r>
          </w:p>
        </w:tc>
        <w:tc>
          <w:tcPr>
            <w:tcW w:w="938" w:type="pct"/>
            <w:tcBorders>
              <w:top w:val="single" w:sz="4" w:space="0" w:color="auto"/>
              <w:bottom w:val="single" w:sz="4" w:space="0" w:color="auto"/>
            </w:tcBorders>
            <w:vAlign w:val="center"/>
          </w:tcPr>
          <w:p w14:paraId="4E22A533" w14:textId="77777777" w:rsidR="00587E61" w:rsidRPr="00C64A9A" w:rsidRDefault="00587E61" w:rsidP="00095B90">
            <w:pPr>
              <w:pStyle w:val="TableText"/>
            </w:pPr>
            <w:r w:rsidRPr="00C64A9A">
              <w:t>Good</w:t>
            </w:r>
          </w:p>
        </w:tc>
        <w:tc>
          <w:tcPr>
            <w:tcW w:w="624" w:type="pct"/>
            <w:tcBorders>
              <w:top w:val="single" w:sz="4" w:space="0" w:color="auto"/>
              <w:bottom w:val="single" w:sz="4" w:space="0" w:color="auto"/>
            </w:tcBorders>
            <w:vAlign w:val="center"/>
          </w:tcPr>
          <w:p w14:paraId="22286B79" w14:textId="77777777" w:rsidR="00587E61" w:rsidRPr="00C64A9A" w:rsidRDefault="00587E61" w:rsidP="00095B90">
            <w:pPr>
              <w:pStyle w:val="TableText"/>
            </w:pPr>
            <w:r w:rsidRPr="00C64A9A">
              <w:t>Low</w:t>
            </w:r>
          </w:p>
        </w:tc>
      </w:tr>
      <w:tr w:rsidR="00587E61" w:rsidRPr="007C67F1" w14:paraId="1FE14065" w14:textId="77777777" w:rsidTr="00095B90">
        <w:tc>
          <w:tcPr>
            <w:tcW w:w="2657" w:type="pct"/>
            <w:vMerge/>
            <w:tcBorders>
              <w:bottom w:val="single" w:sz="12" w:space="0" w:color="auto"/>
            </w:tcBorders>
            <w:tcMar>
              <w:top w:w="0" w:type="dxa"/>
              <w:left w:w="108" w:type="dxa"/>
              <w:bottom w:w="0" w:type="dxa"/>
              <w:right w:w="108" w:type="dxa"/>
            </w:tcMar>
            <w:vAlign w:val="center"/>
          </w:tcPr>
          <w:p w14:paraId="08A0E15E" w14:textId="77777777" w:rsidR="00587E61" w:rsidRPr="00C64A9A" w:rsidRDefault="00587E61" w:rsidP="00095B90">
            <w:pPr>
              <w:pStyle w:val="TableText"/>
            </w:pPr>
          </w:p>
        </w:tc>
        <w:tc>
          <w:tcPr>
            <w:tcW w:w="781" w:type="pct"/>
            <w:tcBorders>
              <w:top w:val="single" w:sz="4" w:space="0" w:color="auto"/>
              <w:bottom w:val="single" w:sz="12" w:space="0" w:color="auto"/>
            </w:tcBorders>
            <w:vAlign w:val="center"/>
          </w:tcPr>
          <w:p w14:paraId="1EF28DE5" w14:textId="77777777" w:rsidR="00587E61" w:rsidRPr="00C64A9A" w:rsidRDefault="00587E61" w:rsidP="00095B90">
            <w:pPr>
              <w:pStyle w:val="TableText"/>
            </w:pPr>
            <w:r>
              <w:t>6</w:t>
            </w:r>
            <w:r>
              <w:rPr>
                <w:rFonts w:cs="Arial"/>
              </w:rPr>
              <w:t>–</w:t>
            </w:r>
            <w:r w:rsidRPr="00C64A9A">
              <w:t xml:space="preserve">7 </w:t>
            </w:r>
            <w:r>
              <w:t>(a</w:t>
            </w:r>
            <w:r w:rsidRPr="00C64A9A">
              <w:t>dequate</w:t>
            </w:r>
            <w:r>
              <w:t>)</w:t>
            </w:r>
          </w:p>
        </w:tc>
        <w:tc>
          <w:tcPr>
            <w:tcW w:w="938" w:type="pct"/>
            <w:tcBorders>
              <w:top w:val="single" w:sz="4" w:space="0" w:color="auto"/>
              <w:bottom w:val="single" w:sz="12" w:space="0" w:color="auto"/>
            </w:tcBorders>
            <w:vAlign w:val="center"/>
          </w:tcPr>
          <w:p w14:paraId="5A3A4D40" w14:textId="77777777" w:rsidR="00587E61" w:rsidRPr="00C64A9A" w:rsidRDefault="00587E61" w:rsidP="00095B90">
            <w:pPr>
              <w:pStyle w:val="TableText"/>
            </w:pPr>
            <w:r w:rsidRPr="00C64A9A">
              <w:t>Poor</w:t>
            </w:r>
          </w:p>
        </w:tc>
        <w:tc>
          <w:tcPr>
            <w:tcW w:w="624" w:type="pct"/>
            <w:tcBorders>
              <w:top w:val="single" w:sz="4" w:space="0" w:color="auto"/>
              <w:bottom w:val="single" w:sz="12" w:space="0" w:color="auto"/>
            </w:tcBorders>
            <w:vAlign w:val="center"/>
          </w:tcPr>
          <w:p w14:paraId="09B27FE6" w14:textId="77777777" w:rsidR="00587E61" w:rsidRPr="00C64A9A" w:rsidRDefault="00587E61" w:rsidP="00095B90">
            <w:pPr>
              <w:pStyle w:val="TableText"/>
            </w:pPr>
            <w:r w:rsidRPr="57352DF8">
              <w:t>Very low</w:t>
            </w:r>
          </w:p>
        </w:tc>
      </w:tr>
    </w:tbl>
    <w:p w14:paraId="1F70321E" w14:textId="77777777" w:rsidR="00587E61" w:rsidRDefault="00587E61" w:rsidP="00587E61">
      <w:pPr>
        <w:pStyle w:val="FigureTableNoteSource"/>
      </w:pPr>
      <w:r w:rsidRPr="00D52442">
        <w:rPr>
          <w:vertAlign w:val="superscript"/>
        </w:rPr>
        <w:t>a</w:t>
      </w:r>
      <w:r w:rsidRPr="57352DF8">
        <w:t xml:space="preserve"> The sample size is assumed to comprise data from </w:t>
      </w:r>
      <w:r w:rsidRPr="00A43A52">
        <w:t>≥</w:t>
      </w:r>
      <w:r>
        <w:t xml:space="preserve"> 4</w:t>
      </w:r>
      <w:r w:rsidRPr="57352DF8">
        <w:t xml:space="preserve"> taxonomic groups.</w:t>
      </w:r>
    </w:p>
    <w:p w14:paraId="2E3F710E" w14:textId="53CE959C" w:rsidR="00587E61" w:rsidRDefault="00587E61" w:rsidP="00587E61">
      <w:pPr>
        <w:pStyle w:val="FigureTableNoteSource"/>
      </w:pPr>
      <w:r w:rsidRPr="00D52442">
        <w:rPr>
          <w:vertAlign w:val="superscript"/>
        </w:rPr>
        <w:t>b</w:t>
      </w:r>
      <w:r w:rsidRPr="57352DF8">
        <w:t xml:space="preserve"> This includes all types of chronic data</w:t>
      </w:r>
      <w:r>
        <w:t>,</w:t>
      </w:r>
      <w:r w:rsidRPr="57352DF8">
        <w:t xml:space="preserve"> irrespective of whether they are chronic NEC, BEC10, EC10 and NOEC values or estimates of chronic EC10 and NOEC values that were converted from chronic LOEC, MATC or EC50 data. This also includes combined freshwater and marine data where either of the</w:t>
      </w:r>
      <w:r>
        <w:t xml:space="preserve"> 2</w:t>
      </w:r>
      <w:r w:rsidRPr="57352DF8">
        <w:t xml:space="preserve"> criteria specified in Section </w:t>
      </w:r>
      <w:r>
        <w:fldChar w:fldCharType="begin"/>
      </w:r>
      <w:r>
        <w:instrText xml:space="preserve"> REF _Ref202089190 \r \h </w:instrText>
      </w:r>
      <w:r>
        <w:fldChar w:fldCharType="separate"/>
      </w:r>
      <w:r w:rsidR="006C5761">
        <w:t>3.2.5</w:t>
      </w:r>
      <w:r>
        <w:fldChar w:fldCharType="end"/>
      </w:r>
      <w:r w:rsidRPr="57352DF8">
        <w:t xml:space="preserve"> (i.</w:t>
      </w:r>
      <w:r>
        <w:t>e.</w:t>
      </w:r>
      <w:r w:rsidRPr="57352DF8">
        <w:t xml:space="preserve"> </w:t>
      </w:r>
      <w:r>
        <w:t xml:space="preserve">[i] </w:t>
      </w:r>
      <w:r w:rsidRPr="57352DF8">
        <w:t xml:space="preserve">no statistically significant difference between the freshwater and marine toxicity datasets and </w:t>
      </w:r>
      <w:r>
        <w:t xml:space="preserve">[ii] </w:t>
      </w:r>
      <w:r w:rsidRPr="57352DF8">
        <w:t>based on chemistry and mode of action, no reason to expect differences in toxicity between freshwater and marine water) have been met.</w:t>
      </w:r>
    </w:p>
    <w:p w14:paraId="52E0FCDA" w14:textId="77777777" w:rsidR="00587E61" w:rsidRDefault="00587E61" w:rsidP="00587E61">
      <w:pPr>
        <w:pStyle w:val="FigureTableNoteSource"/>
      </w:pPr>
      <w:r w:rsidRPr="00D52442">
        <w:rPr>
          <w:vertAlign w:val="superscript"/>
        </w:rPr>
        <w:t>c</w:t>
      </w:r>
      <w:r w:rsidRPr="57352DF8">
        <w:t xml:space="preserve"> The sample size is assumed to comprise data from </w:t>
      </w:r>
      <w:r w:rsidRPr="00A43A52">
        <w:t>≥</w:t>
      </w:r>
      <w:r>
        <w:t xml:space="preserve"> 4</w:t>
      </w:r>
      <w:r w:rsidRPr="57352DF8">
        <w:t xml:space="preserve"> taxonomic groups.</w:t>
      </w:r>
    </w:p>
    <w:p w14:paraId="1C511E13" w14:textId="77777777" w:rsidR="00587E61" w:rsidRDefault="00587E61" w:rsidP="00587E61"/>
    <w:p w14:paraId="1A462A71" w14:textId="77777777" w:rsidR="00825015" w:rsidRDefault="00825015" w:rsidP="00825015">
      <w:pPr>
        <w:rPr>
          <w:rFonts w:ascii="Calibri" w:hAnsi="Calibri"/>
          <w:sz w:val="24"/>
          <w:szCs w:val="24"/>
        </w:rPr>
      </w:pPr>
      <w:r w:rsidRPr="57352DF8">
        <w:t xml:space="preserve">Given the level of subjectivity in determining the functional form and fit of the SSD model, it is recommended that a panel of </w:t>
      </w:r>
      <w:r w:rsidRPr="00A43A52">
        <w:t>≥</w:t>
      </w:r>
      <w:r>
        <w:t xml:space="preserve"> 3</w:t>
      </w:r>
      <w:r w:rsidRPr="57352DF8">
        <w:t xml:space="preserve"> relevant experts agree on the fit, especially where the decision is unclear. Irrespective of how the goodness of fit is decided,</w:t>
      </w:r>
      <w:r>
        <w:t xml:space="preserve"> </w:t>
      </w:r>
      <w:r w:rsidRPr="57352DF8">
        <w:t>a statement explaining the selected category</w:t>
      </w:r>
      <w:r>
        <w:t xml:space="preserve"> should be provided</w:t>
      </w:r>
      <w:r w:rsidRPr="57352DF8">
        <w:t>. Moreover, for DGVs, the independent review process will provide a further assessment of the decision on the model fit. Ideally, site-specific GVs should also be independently reviewed, while further review would also be made by the relevant regulatory body in the event that such GVs are submitted as part of an environmentally regulated activity (e.g. environmental</w:t>
      </w:r>
      <w:r>
        <w:t>-</w:t>
      </w:r>
      <w:r w:rsidRPr="57352DF8">
        <w:t>discharge licence application). These review processes should ensure that the final decision on SSD model fit is appropriate and defensible.</w:t>
      </w:r>
    </w:p>
    <w:p w14:paraId="5B017F56" w14:textId="637EE121" w:rsidR="00640BC1" w:rsidRDefault="00640BC1" w:rsidP="004D7186">
      <w:r>
        <w:br w:type="page"/>
      </w:r>
    </w:p>
    <w:p w14:paraId="5CF6D21B" w14:textId="04016E39" w:rsidR="00A91AA3" w:rsidRDefault="005E26A2" w:rsidP="00A91AA3">
      <w:pPr>
        <w:pStyle w:val="Caption"/>
        <w:rPr>
          <w:lang w:val="en-GB"/>
        </w:rPr>
      </w:pPr>
      <w:bookmarkStart w:id="137" w:name="_Ref520277003"/>
      <w:bookmarkStart w:id="138" w:name="_Toc206085213"/>
      <w:r w:rsidRPr="6A1ABA81">
        <w:rPr>
          <w:lang w:val="en-GB"/>
        </w:rPr>
        <w:lastRenderedPageBreak/>
        <w:t>Figure</w:t>
      </w:r>
      <w:r w:rsidR="00F10C22">
        <w:rPr>
          <w:lang w:val="en-GB"/>
        </w:rPr>
        <w:t> </w:t>
      </w:r>
      <w:r w:rsidRPr="3608960F">
        <w:rPr>
          <w:noProof/>
        </w:rPr>
        <w:fldChar w:fldCharType="begin"/>
      </w:r>
      <w:r w:rsidRPr="3608960F">
        <w:rPr>
          <w:noProof/>
        </w:rPr>
        <w:instrText xml:space="preserve"> SEQ Figure \* ARABIC </w:instrText>
      </w:r>
      <w:r w:rsidRPr="3608960F">
        <w:rPr>
          <w:noProof/>
        </w:rPr>
        <w:fldChar w:fldCharType="separate"/>
      </w:r>
      <w:r w:rsidR="006C5761">
        <w:rPr>
          <w:noProof/>
        </w:rPr>
        <w:t>2</w:t>
      </w:r>
      <w:r w:rsidRPr="3608960F">
        <w:rPr>
          <w:noProof/>
        </w:rPr>
        <w:fldChar w:fldCharType="end"/>
      </w:r>
      <w:bookmarkEnd w:id="137"/>
      <w:r w:rsidRPr="6A1ABA81">
        <w:rPr>
          <w:lang w:val="en-GB"/>
        </w:rPr>
        <w:t xml:space="preserve"> </w:t>
      </w:r>
      <w:r w:rsidR="00D875E4" w:rsidRPr="6A1ABA81">
        <w:rPr>
          <w:lang w:val="en-GB"/>
        </w:rPr>
        <w:t xml:space="preserve">Examples of poor (a, b, c) and good (d, e, f) fits to datasets obtained, using </w:t>
      </w:r>
      <w:r w:rsidR="1A2CB07F" w:rsidRPr="6A1ABA81">
        <w:rPr>
          <w:lang w:val="en-GB"/>
        </w:rPr>
        <w:t>(</w:t>
      </w:r>
      <w:r w:rsidR="00D875E4" w:rsidRPr="6A1ABA81">
        <w:rPr>
          <w:lang w:val="en-GB"/>
        </w:rPr>
        <w:t>shiny</w:t>
      </w:r>
      <w:r w:rsidR="2323F553" w:rsidRPr="6A1ABA81">
        <w:rPr>
          <w:lang w:val="en-GB"/>
        </w:rPr>
        <w:t>)</w:t>
      </w:r>
      <w:r w:rsidR="00D875E4" w:rsidRPr="6A1ABA81">
        <w:rPr>
          <w:lang w:val="en-GB"/>
        </w:rPr>
        <w:t>ssdtools v2.0 software</w:t>
      </w:r>
      <w:bookmarkEnd w:id="138"/>
    </w:p>
    <w:p w14:paraId="709D1F13" w14:textId="3E8C4DC8" w:rsidR="00D875E4" w:rsidRPr="007656F3" w:rsidRDefault="002F1A82" w:rsidP="007656F3">
      <w:r w:rsidRPr="002F1A82">
        <w:rPr>
          <w:noProof/>
        </w:rPr>
        <w:drawing>
          <wp:inline distT="0" distB="0" distL="0" distR="0" wp14:anchorId="54AF8CF4" wp14:editId="3BBAB746">
            <wp:extent cx="5759450" cy="6603365"/>
            <wp:effectExtent l="0" t="0" r="6350" b="635"/>
            <wp:docPr id="18397415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41559" name="Pictur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5759450" cy="6603365"/>
                    </a:xfrm>
                    <a:prstGeom prst="rect">
                      <a:avLst/>
                    </a:prstGeom>
                  </pic:spPr>
                </pic:pic>
              </a:graphicData>
            </a:graphic>
          </wp:inline>
        </w:drawing>
      </w:r>
    </w:p>
    <w:p w14:paraId="7E2C6941" w14:textId="77777777" w:rsidR="00640BC1" w:rsidRDefault="00640BC1" w:rsidP="004D7186">
      <w:r>
        <w:br w:type="page"/>
      </w:r>
    </w:p>
    <w:p w14:paraId="064220C8" w14:textId="77777777" w:rsidR="00C60048" w:rsidRDefault="00C60048" w:rsidP="00C60048">
      <w:r w:rsidRPr="57352DF8">
        <w:lastRenderedPageBreak/>
        <w:t>The reliability</w:t>
      </w:r>
      <w:r>
        <w:t>-</w:t>
      </w:r>
      <w:r w:rsidRPr="57352DF8">
        <w:t>classification scheme provides a quick and transparent means of indicating the general level of confidence in a GV. It also provides an indication of GVs that would benefit from the addition of more toxicity data. The reliability of DGVs can be improved by third parties, by obtaining new ecotoxicity data (from more recent literature, recent water</w:t>
      </w:r>
      <w:r>
        <w:t>-</w:t>
      </w:r>
      <w:r w:rsidRPr="57352DF8">
        <w:t>quality GV documents or their equivalent from other jurisdictions, or by generating new data), combining them with the existing data</w:t>
      </w:r>
      <w:r>
        <w:t>,</w:t>
      </w:r>
      <w:r w:rsidRPr="57352DF8">
        <w:t xml:space="preserve"> and using the method described in the current report to derive a new GV. Improved GVs can be submitted, via the third-party GV</w:t>
      </w:r>
      <w:r>
        <w:t>-</w:t>
      </w:r>
      <w:r w:rsidRPr="57352DF8">
        <w:t xml:space="preserve">derivation process, for national consideration and endorsement as DGVs (ANZG 2018; see </w:t>
      </w:r>
      <w:hyperlink r:id="rId37">
        <w:r w:rsidRPr="00476AE8">
          <w:rPr>
            <w:rStyle w:val="Hyperlink"/>
            <w:i/>
            <w:iCs/>
          </w:rPr>
          <w:t>Pathway for toxicant default guideline value publication</w:t>
        </w:r>
      </w:hyperlink>
      <w:r w:rsidRPr="57352DF8">
        <w:t xml:space="preserve">). Information on the recommended ways that DGVs should be applied is provided in ANZG (2018; see </w:t>
      </w:r>
      <w:hyperlink r:id="rId38">
        <w:r w:rsidRPr="00476AE8">
          <w:rPr>
            <w:rStyle w:val="Hyperlink"/>
            <w:i/>
            <w:iCs/>
          </w:rPr>
          <w:t>Toxicant default guideline values for water quality in aquatic ecosystems</w:t>
        </w:r>
      </w:hyperlink>
      <w:r w:rsidRPr="57352DF8">
        <w:t>).</w:t>
      </w:r>
    </w:p>
    <w:p w14:paraId="1F2A9427" w14:textId="394B7B07" w:rsidR="0093788C" w:rsidRPr="00724BD8" w:rsidRDefault="0093788C" w:rsidP="001E2458">
      <w:pPr>
        <w:pStyle w:val="Heading3"/>
      </w:pPr>
      <w:bookmarkStart w:id="139" w:name="_Ref522007919"/>
      <w:bookmarkStart w:id="140" w:name="_Toc202084776"/>
      <w:bookmarkStart w:id="141" w:name="_Toc206143336"/>
      <w:r w:rsidRPr="00724BD8">
        <w:t>Accounting for the potential for chemicals to bioaccumulate</w:t>
      </w:r>
      <w:bookmarkEnd w:id="139"/>
      <w:bookmarkEnd w:id="140"/>
      <w:bookmarkEnd w:id="141"/>
    </w:p>
    <w:p w14:paraId="7E9D4215" w14:textId="093C15F0" w:rsidR="00AE40FA" w:rsidRDefault="00AE40FA" w:rsidP="004D7186">
      <w:r w:rsidRPr="57352DF8">
        <w:t xml:space="preserve">Some chemicals are known to bioaccumulate in aquatic organisms via water or dietary exposure. Long-term bioaccumulation of a chemical can lead to toxicity to these organisms that </w:t>
      </w:r>
      <w:r w:rsidR="00773D0C" w:rsidRPr="57352DF8">
        <w:t>toxicity tests based on</w:t>
      </w:r>
      <w:r w:rsidRPr="57352DF8">
        <w:t xml:space="preserve"> </w:t>
      </w:r>
      <w:r w:rsidR="009F3FB7" w:rsidRPr="57352DF8">
        <w:t>relatively short-term or single</w:t>
      </w:r>
      <w:r w:rsidR="00B30C6F">
        <w:t>-</w:t>
      </w:r>
      <w:r w:rsidR="009F3FB7" w:rsidRPr="57352DF8">
        <w:t xml:space="preserve">generation </w:t>
      </w:r>
      <w:r w:rsidRPr="57352DF8">
        <w:t>water-only exposures will not fully account for, and can also result in toxicity (</w:t>
      </w:r>
      <w:r w:rsidR="00773D0C" w:rsidRPr="57352DF8">
        <w:t xml:space="preserve">via </w:t>
      </w:r>
      <w:r w:rsidRPr="57352DF8">
        <w:t>secondary poisoning) to their predators. Thus, water</w:t>
      </w:r>
      <w:r w:rsidR="00B30C6F">
        <w:t>-</w:t>
      </w:r>
      <w:r w:rsidRPr="57352DF8">
        <w:t xml:space="preserve">quality GVs may not appropriately protect aquatic organisms from the effects of bioaccumulative chemicals, and there is a need to account for this when deriving and applying GVs. This section </w:t>
      </w:r>
      <w:r w:rsidR="006F5B3A" w:rsidRPr="57352DF8">
        <w:t xml:space="preserve">mostly </w:t>
      </w:r>
      <w:r w:rsidRPr="57352DF8">
        <w:t xml:space="preserve">deals with </w:t>
      </w:r>
      <w:r w:rsidR="00773D0C" w:rsidRPr="57352DF8">
        <w:t>the consideration of</w:t>
      </w:r>
      <w:r w:rsidRPr="57352DF8">
        <w:t xml:space="preserve"> bioaccumulation when deriving GVs, while ANZG (2018; see </w:t>
      </w:r>
      <w:hyperlink r:id="rId39" w:anchor="bioaccumulation">
        <w:r w:rsidRPr="00E34E32">
          <w:rPr>
            <w:rStyle w:val="Hyperlink"/>
            <w:i/>
            <w:iCs/>
          </w:rPr>
          <w:t xml:space="preserve">Accounting for local conditions </w:t>
        </w:r>
        <w:r w:rsidR="00D75FE1">
          <w:rPr>
            <w:rStyle w:val="Hyperlink"/>
            <w:i/>
            <w:iCs/>
          </w:rPr>
          <w:t>–</w:t>
        </w:r>
        <w:r w:rsidRPr="00E34E32">
          <w:rPr>
            <w:rStyle w:val="Hyperlink"/>
            <w:i/>
            <w:iCs/>
          </w:rPr>
          <w:t xml:space="preserve"> bioaccumulation</w:t>
        </w:r>
      </w:hyperlink>
      <w:r w:rsidRPr="57352DF8">
        <w:t xml:space="preserve">) provides background information on bioaccumulation and </w:t>
      </w:r>
      <w:r w:rsidR="00335C04" w:rsidRPr="57352DF8">
        <w:t xml:space="preserve">additional </w:t>
      </w:r>
      <w:r w:rsidRPr="57352DF8">
        <w:t>guidance on how to deal with bioaccumulation when applying GVs.</w:t>
      </w:r>
    </w:p>
    <w:p w14:paraId="4BA69EF7" w14:textId="45D15C57" w:rsidR="00B679A4" w:rsidRDefault="00AE40FA" w:rsidP="004D7186">
      <w:r w:rsidRPr="57352DF8">
        <w:t xml:space="preserve">Typically, chemicals </w:t>
      </w:r>
      <w:r w:rsidR="0093788C" w:rsidRPr="57352DF8">
        <w:t>with log</w:t>
      </w:r>
      <w:r w:rsidR="0093788C" w:rsidRPr="57352DF8">
        <w:rPr>
          <w:vertAlign w:val="subscript"/>
        </w:rPr>
        <w:t>10</w:t>
      </w:r>
      <w:r w:rsidR="0093788C" w:rsidRPr="57352DF8">
        <w:t xml:space="preserve"> values for octanol</w:t>
      </w:r>
      <w:r w:rsidR="004345E8">
        <w:t>–</w:t>
      </w:r>
      <w:r w:rsidR="0093788C" w:rsidRPr="57352DF8">
        <w:t>water partition coefficient (log</w:t>
      </w:r>
      <w:r w:rsidR="009C7FB1">
        <w:t>-</w:t>
      </w:r>
      <w:r w:rsidR="00E925CE" w:rsidRPr="57352DF8">
        <w:t>K</w:t>
      </w:r>
      <w:r w:rsidR="00E925CE" w:rsidRPr="00E925CE">
        <w:rPr>
          <w:vertAlign w:val="subscript"/>
        </w:rPr>
        <w:t>OW</w:t>
      </w:r>
      <w:r w:rsidR="0093788C" w:rsidRPr="57352DF8">
        <w:t>),</w:t>
      </w:r>
      <w:r w:rsidR="100DD208" w:rsidRPr="57352DF8">
        <w:t xml:space="preserve"> </w:t>
      </w:r>
      <w:r w:rsidR="0093788C" w:rsidRPr="57352DF8">
        <w:t>bioconcentration</w:t>
      </w:r>
      <w:r w:rsidR="009C7FB1">
        <w:t xml:space="preserve"> factor</w:t>
      </w:r>
      <w:r w:rsidR="0093788C" w:rsidRPr="57352DF8">
        <w:t xml:space="preserve"> (log</w:t>
      </w:r>
      <w:r w:rsidR="009C7FB1">
        <w:t>-</w:t>
      </w:r>
      <w:r w:rsidR="0093788C" w:rsidRPr="57352DF8">
        <w:t>BCF) or bioaccumulation</w:t>
      </w:r>
      <w:r w:rsidR="009C7FB1">
        <w:t xml:space="preserve"> factor</w:t>
      </w:r>
      <w:r w:rsidR="0093788C" w:rsidRPr="57352DF8">
        <w:t xml:space="preserve"> (log</w:t>
      </w:r>
      <w:r w:rsidR="009C7FB1">
        <w:t>-</w:t>
      </w:r>
      <w:r w:rsidR="0093788C" w:rsidRPr="57352DF8">
        <w:t xml:space="preserve">BAF) </w:t>
      </w:r>
      <w:r w:rsidR="00DB3222">
        <w:t>≥ </w:t>
      </w:r>
      <w:r w:rsidR="00C64837">
        <w:t>4</w:t>
      </w:r>
      <w:r w:rsidR="0093788C" w:rsidRPr="57352DF8">
        <w:t xml:space="preserve"> </w:t>
      </w:r>
      <w:r w:rsidRPr="57352DF8">
        <w:t xml:space="preserve">are considered to </w:t>
      </w:r>
      <w:r w:rsidR="0093788C" w:rsidRPr="57352DF8">
        <w:t xml:space="preserve">have the potential to </w:t>
      </w:r>
      <w:r w:rsidRPr="57352DF8">
        <w:t>bioaccumulate</w:t>
      </w:r>
      <w:r w:rsidR="0093788C" w:rsidRPr="57352DF8">
        <w:t xml:space="preserve">. </w:t>
      </w:r>
      <w:r w:rsidR="00FB0934" w:rsidRPr="57352DF8">
        <w:t>However, t</w:t>
      </w:r>
      <w:r w:rsidR="00773D0C" w:rsidRPr="57352DF8">
        <w:t xml:space="preserve">hese measures are not </w:t>
      </w:r>
      <w:r w:rsidR="00FB0934" w:rsidRPr="57352DF8">
        <w:t xml:space="preserve">always </w:t>
      </w:r>
      <w:r w:rsidR="00773D0C" w:rsidRPr="57352DF8">
        <w:t xml:space="preserve">reliable indicators of bioaccumulative potential </w:t>
      </w:r>
      <w:r w:rsidR="000B22D8" w:rsidRPr="57352DF8">
        <w:t xml:space="preserve">(e.g. </w:t>
      </w:r>
      <w:r w:rsidR="00FB0934" w:rsidRPr="57352DF8">
        <w:t xml:space="preserve">for </w:t>
      </w:r>
      <w:r w:rsidR="000B22D8" w:rsidRPr="57352DF8">
        <w:t>chemicals that preferentially accumulate in tissues other than lipid</w:t>
      </w:r>
      <w:r w:rsidR="006D6FAB" w:rsidRPr="57352DF8">
        <w:t xml:space="preserve">, such as poly-fluoroalkyl substances </w:t>
      </w:r>
      <w:r w:rsidR="000E6EC8">
        <w:t>[</w:t>
      </w:r>
      <w:r w:rsidR="006D6FAB" w:rsidRPr="57352DF8">
        <w:t>PFAS</w:t>
      </w:r>
      <w:r w:rsidR="000E6EC8">
        <w:t>]</w:t>
      </w:r>
      <w:r w:rsidR="000B22D8" w:rsidRPr="57352DF8">
        <w:t>)</w:t>
      </w:r>
      <w:r w:rsidR="00773D0C" w:rsidRPr="57352DF8">
        <w:t xml:space="preserve"> and, thus, field-based measurements of actual bioaccumulation are always preferable.</w:t>
      </w:r>
    </w:p>
    <w:p w14:paraId="522D56AD" w14:textId="16E632BE" w:rsidR="00B679A4" w:rsidRDefault="00893D4D" w:rsidP="004D7186">
      <w:r w:rsidRPr="57352DF8">
        <w:t>F</w:t>
      </w:r>
      <w:r w:rsidR="002607FA" w:rsidRPr="57352DF8">
        <w:t>or potentially bioaccumulative</w:t>
      </w:r>
      <w:r w:rsidR="0093788C" w:rsidRPr="57352DF8">
        <w:t xml:space="preserve"> chemicals </w:t>
      </w:r>
      <w:r w:rsidR="0093788C" w:rsidRPr="57352DF8">
        <w:rPr>
          <w:rFonts w:cs="Arial"/>
        </w:rPr>
        <w:t>(</w:t>
      </w:r>
      <w:r w:rsidR="000552CF" w:rsidRPr="57352DF8">
        <w:rPr>
          <w:rFonts w:cs="Arial"/>
        </w:rPr>
        <w:t>e.g.</w:t>
      </w:r>
      <w:r w:rsidR="0093788C" w:rsidRPr="57352DF8">
        <w:rPr>
          <w:rFonts w:cs="Arial"/>
        </w:rPr>
        <w:t xml:space="preserve"> </w:t>
      </w:r>
      <w:r w:rsidR="002F0202" w:rsidRPr="57352DF8">
        <w:rPr>
          <w:rFonts w:cs="Arial"/>
        </w:rPr>
        <w:t>PFAS</w:t>
      </w:r>
      <w:r w:rsidR="000E6EC8">
        <w:rPr>
          <w:rFonts w:cs="Arial"/>
        </w:rPr>
        <w:t>,</w:t>
      </w:r>
      <w:r w:rsidR="0093788C" w:rsidRPr="57352DF8">
        <w:rPr>
          <w:rFonts w:cs="Arial"/>
        </w:rPr>
        <w:t xml:space="preserve"> dioxins), i</w:t>
      </w:r>
      <w:r w:rsidR="0093788C" w:rsidRPr="57352DF8">
        <w:t>t is particularly important that</w:t>
      </w:r>
      <w:r w:rsidR="002607FA" w:rsidRPr="57352DF8">
        <w:t xml:space="preserve"> </w:t>
      </w:r>
      <w:r w:rsidR="00014B0F" w:rsidRPr="57352DF8">
        <w:t xml:space="preserve">data from </w:t>
      </w:r>
      <w:r w:rsidR="002607FA" w:rsidRPr="57352DF8">
        <w:t>long-term mesocosm</w:t>
      </w:r>
      <w:r w:rsidR="000552CF" w:rsidRPr="57352DF8">
        <w:t xml:space="preserve"> or </w:t>
      </w:r>
      <w:r w:rsidR="002607FA" w:rsidRPr="57352DF8">
        <w:t>field</w:t>
      </w:r>
      <w:r w:rsidR="000E6EC8">
        <w:t>-</w:t>
      </w:r>
      <w:r w:rsidR="002607FA" w:rsidRPr="57352DF8">
        <w:t>effects data or multi</w:t>
      </w:r>
      <w:r w:rsidR="000E6EC8">
        <w:t>-</w:t>
      </w:r>
      <w:r w:rsidR="002607FA" w:rsidRPr="57352DF8">
        <w:t xml:space="preserve">generational tests where both bioaccumulation and ecologically relevant </w:t>
      </w:r>
      <w:r w:rsidR="00014B0F" w:rsidRPr="57352DF8">
        <w:t>endpoints were</w:t>
      </w:r>
      <w:r w:rsidR="002607FA" w:rsidRPr="57352DF8">
        <w:t xml:space="preserve"> assessed </w:t>
      </w:r>
      <w:r w:rsidR="0093788C" w:rsidRPr="57352DF8">
        <w:t xml:space="preserve">are used to derive the GVs. </w:t>
      </w:r>
      <w:r w:rsidR="00014B0F" w:rsidRPr="57352DF8">
        <w:t>ANZG (2018) suggests</w:t>
      </w:r>
      <w:r w:rsidR="004A5F18" w:rsidRPr="57352DF8">
        <w:t>, as an indication,</w:t>
      </w:r>
      <w:r w:rsidR="00014B0F" w:rsidRPr="57352DF8">
        <w:t xml:space="preserve"> that where </w:t>
      </w:r>
      <w:r w:rsidR="004A5F18" w:rsidRPr="57352DF8">
        <w:t xml:space="preserve">(i) </w:t>
      </w:r>
      <w:r w:rsidR="00694B12" w:rsidRPr="00A43A52">
        <w:t>≥</w:t>
      </w:r>
      <w:r w:rsidR="00EF68CC">
        <w:t> </w:t>
      </w:r>
      <w:r w:rsidR="00014B0F" w:rsidRPr="57352DF8">
        <w:t>30% of the dataset for a potentially bioaccumulative chemical is represented by such data</w:t>
      </w:r>
      <w:r w:rsidR="004A5F18" w:rsidRPr="57352DF8">
        <w:t xml:space="preserve"> </w:t>
      </w:r>
      <w:r w:rsidR="00014B0F" w:rsidRPr="57352DF8">
        <w:t xml:space="preserve">and </w:t>
      </w:r>
      <w:r w:rsidR="004A5F18" w:rsidRPr="57352DF8">
        <w:t xml:space="preserve">(ii) </w:t>
      </w:r>
      <w:r w:rsidR="00014B0F" w:rsidRPr="57352DF8">
        <w:t xml:space="preserve">these data represent </w:t>
      </w:r>
      <w:r w:rsidR="00694B12" w:rsidRPr="00A43A52">
        <w:t>≥</w:t>
      </w:r>
      <w:r w:rsidR="00EF68CC">
        <w:t> </w:t>
      </w:r>
      <w:r w:rsidR="00C64837">
        <w:t>3</w:t>
      </w:r>
      <w:r w:rsidR="00014B0F" w:rsidRPr="57352DF8">
        <w:t xml:space="preserve"> taxonomic groups, the GVs could be considered to sufficiently account for the potential effects of bioaccumulation.</w:t>
      </w:r>
    </w:p>
    <w:p w14:paraId="7089E80A" w14:textId="398B843E" w:rsidR="00893D4D" w:rsidRDefault="00014B0F" w:rsidP="004D7186">
      <w:r w:rsidRPr="57352DF8">
        <w:t>In contrast, a dataset comprising only s</w:t>
      </w:r>
      <w:r w:rsidR="00893D4D" w:rsidRPr="57352DF8">
        <w:t>hort-term chronic,</w:t>
      </w:r>
      <w:r w:rsidR="0093788C" w:rsidRPr="57352DF8">
        <w:t xml:space="preserve"> single-generation </w:t>
      </w:r>
      <w:r w:rsidR="00893D4D" w:rsidRPr="57352DF8">
        <w:t xml:space="preserve">toxicity tests </w:t>
      </w:r>
      <w:r w:rsidR="0093788C" w:rsidRPr="57352DF8">
        <w:t xml:space="preserve">and any form of acute toxicity test are unlikely to fully characterise the long-term toxic effects of such substances in aquatic systems. </w:t>
      </w:r>
      <w:r w:rsidRPr="57352DF8">
        <w:t>For such GVs,</w:t>
      </w:r>
      <w:r w:rsidR="0093788C" w:rsidRPr="57352DF8">
        <w:t xml:space="preserve"> it should be clearly stated </w:t>
      </w:r>
      <w:r w:rsidRPr="57352DF8">
        <w:t xml:space="preserve">in the GV documentation </w:t>
      </w:r>
      <w:r w:rsidR="0093788C" w:rsidRPr="57352DF8">
        <w:t>that the GV only considers relatively short-term effects and may not provide adequate protection</w:t>
      </w:r>
      <w:r w:rsidR="00893D4D" w:rsidRPr="57352DF8">
        <w:t xml:space="preserve"> from the potential effects of bioaccumulation</w:t>
      </w:r>
      <w:r w:rsidR="0093788C" w:rsidRPr="57352DF8">
        <w:t xml:space="preserve">. </w:t>
      </w:r>
      <w:r w:rsidR="00893D4D" w:rsidRPr="57352DF8">
        <w:t>Additionally, the GV documentation should recommend a more conservative GV</w:t>
      </w:r>
      <w:r w:rsidR="00AA7AF7" w:rsidRPr="57352DF8">
        <w:t xml:space="preserve"> to account for the potential inadequate protection</w:t>
      </w:r>
      <w:r w:rsidR="00893D4D" w:rsidRPr="57352DF8">
        <w:t xml:space="preserve">. For example, this </w:t>
      </w:r>
      <w:r w:rsidR="006F2B04" w:rsidRPr="57352DF8">
        <w:t>c</w:t>
      </w:r>
      <w:r w:rsidR="00893D4D" w:rsidRPr="57352DF8">
        <w:t>ould involve recommending the 99% species</w:t>
      </w:r>
      <w:r w:rsidR="00C202E1">
        <w:t>-</w:t>
      </w:r>
      <w:r w:rsidR="00893D4D" w:rsidRPr="57352DF8">
        <w:t xml:space="preserve">protection GV for </w:t>
      </w:r>
      <w:r w:rsidR="008F59E1" w:rsidRPr="57352DF8">
        <w:t>a</w:t>
      </w:r>
      <w:r w:rsidR="0031733D">
        <w:t>n ecosystem that is</w:t>
      </w:r>
      <w:r w:rsidR="008F59E1" w:rsidRPr="57352DF8">
        <w:t xml:space="preserve"> slightly to moderately disturbed</w:t>
      </w:r>
      <w:r w:rsidR="0031733D">
        <w:t>,</w:t>
      </w:r>
      <w:r w:rsidR="008F59E1" w:rsidRPr="57352DF8">
        <w:t xml:space="preserve"> </w:t>
      </w:r>
      <w:r w:rsidR="00893D4D" w:rsidRPr="57352DF8">
        <w:t>where the 95% species</w:t>
      </w:r>
      <w:r w:rsidR="00C202E1">
        <w:t>-</w:t>
      </w:r>
      <w:r w:rsidR="00893D4D" w:rsidRPr="57352DF8">
        <w:t xml:space="preserve">protection GV would normally apply. </w:t>
      </w:r>
      <w:r w:rsidR="004D66F5" w:rsidRPr="57352DF8">
        <w:t xml:space="preserve">It is acknowledged that this is an arbitrary approach, and </w:t>
      </w:r>
      <w:r w:rsidR="00893D4D" w:rsidRPr="57352DF8">
        <w:t>ANZG (2018</w:t>
      </w:r>
      <w:r w:rsidR="00AA7AF7" w:rsidRPr="57352DF8">
        <w:t xml:space="preserve">; </w:t>
      </w:r>
      <w:r w:rsidR="004A5F18" w:rsidRPr="57352DF8">
        <w:t xml:space="preserve">see </w:t>
      </w:r>
      <w:hyperlink r:id="rId40" w:anchor="bioaccumulation">
        <w:r w:rsidR="004A5F18" w:rsidRPr="0031733D">
          <w:rPr>
            <w:rStyle w:val="Hyperlink"/>
            <w:i/>
            <w:iCs/>
          </w:rPr>
          <w:t xml:space="preserve">Accounting for local conditions </w:t>
        </w:r>
        <w:r w:rsidR="0031733D">
          <w:rPr>
            <w:rStyle w:val="Hyperlink"/>
            <w:i/>
            <w:iCs/>
          </w:rPr>
          <w:t>–</w:t>
        </w:r>
        <w:r w:rsidR="004A5F18" w:rsidRPr="0031733D">
          <w:rPr>
            <w:rStyle w:val="Hyperlink"/>
            <w:i/>
            <w:iCs/>
          </w:rPr>
          <w:t xml:space="preserve"> bioaccumulation</w:t>
        </w:r>
      </w:hyperlink>
      <w:r w:rsidR="00893D4D" w:rsidRPr="57352DF8">
        <w:t xml:space="preserve">) </w:t>
      </w:r>
      <w:r w:rsidR="00893D4D" w:rsidRPr="57352DF8">
        <w:lastRenderedPageBreak/>
        <w:t>provides more detailed guidance on how to apply an appropriate GV for potentially bioaccumulative chemicals.</w:t>
      </w:r>
    </w:p>
    <w:p w14:paraId="4B2153D7" w14:textId="59065EC7" w:rsidR="000919D5" w:rsidRPr="000919D5" w:rsidRDefault="00983418" w:rsidP="004D7186">
      <w:r>
        <w:t>I</w:t>
      </w:r>
      <w:r w:rsidRPr="00983418">
        <w:t xml:space="preserve">t is important to note that toxicant DGVs </w:t>
      </w:r>
      <w:r>
        <w:t xml:space="preserve">derived using the current method </w:t>
      </w:r>
      <w:r w:rsidRPr="00983418">
        <w:t>are not intended to specify species</w:t>
      </w:r>
      <w:r w:rsidR="00C202E1">
        <w:t>-</w:t>
      </w:r>
      <w:r w:rsidRPr="00983418">
        <w:t xml:space="preserve">protection concentrations for air-breathing animals </w:t>
      </w:r>
      <w:r>
        <w:t>that</w:t>
      </w:r>
      <w:r w:rsidRPr="00983418">
        <w:t xml:space="preserve"> </w:t>
      </w:r>
      <w:r>
        <w:t>inhabit</w:t>
      </w:r>
      <w:r w:rsidRPr="00983418">
        <w:t xml:space="preserve"> aquatic ecosystems </w:t>
      </w:r>
      <w:r>
        <w:t>and</w:t>
      </w:r>
      <w:r w:rsidRPr="00983418">
        <w:t xml:space="preserve"> prey on aquatic organisms. Consequently, the DGVs may not account for effects </w:t>
      </w:r>
      <w:r>
        <w:t>that</w:t>
      </w:r>
      <w:r w:rsidRPr="00983418">
        <w:t xml:space="preserve"> result from the biomagnification of toxicants such as PF</w:t>
      </w:r>
      <w:r w:rsidR="00676543">
        <w:t>A</w:t>
      </w:r>
      <w:r w:rsidRPr="00983418">
        <w:t>S in air</w:t>
      </w:r>
      <w:r>
        <w:t>-</w:t>
      </w:r>
      <w:r w:rsidRPr="00983418">
        <w:t xml:space="preserve">breathing animals. For addressing this, alternate approaches are necessary. HEPA </w:t>
      </w:r>
      <w:r>
        <w:t>(</w:t>
      </w:r>
      <w:r w:rsidRPr="00983418">
        <w:t xml:space="preserve">2025) provides a </w:t>
      </w:r>
      <w:r>
        <w:t>n</w:t>
      </w:r>
      <w:r w:rsidRPr="00983418">
        <w:t>ationally accepted example of developing guidance based on acceptable wildlife</w:t>
      </w:r>
      <w:r w:rsidR="00C546BA">
        <w:t>-</w:t>
      </w:r>
      <w:r w:rsidRPr="00983418">
        <w:t>diet concentrations for toxicants when the risk for air-breathing animals cannot reliably be determined from a water or sediment concentration.</w:t>
      </w:r>
      <w:r>
        <w:t xml:space="preserve"> U</w:t>
      </w:r>
      <w:r w:rsidR="0093788C" w:rsidRPr="57352DF8">
        <w:t xml:space="preserve">sers of the guidelines are encouraged to develop site-specific GVs for </w:t>
      </w:r>
      <w:r w:rsidR="006D7073" w:rsidRPr="57352DF8">
        <w:t xml:space="preserve">potentially bioaccumulative </w:t>
      </w:r>
      <w:r w:rsidR="0093788C" w:rsidRPr="57352DF8">
        <w:t xml:space="preserve">chemicals using other methods that can be scientifically justified. </w:t>
      </w:r>
      <w:r w:rsidR="000919D5" w:rsidRPr="57352DF8">
        <w:t xml:space="preserve">As noted in ANZG (2018), more comprehensive guidance on </w:t>
      </w:r>
      <w:r w:rsidR="0038291A">
        <w:t xml:space="preserve">methods for deriving </w:t>
      </w:r>
      <w:r w:rsidR="00507D1F">
        <w:t>GVs</w:t>
      </w:r>
      <w:r w:rsidR="000919D5" w:rsidRPr="57352DF8">
        <w:t xml:space="preserve"> that incorporate the impacts of bioaccumulative chemicals may need to be developed in the future.</w:t>
      </w:r>
    </w:p>
    <w:p w14:paraId="2D36B865" w14:textId="50D6C81C" w:rsidR="0093788C" w:rsidRPr="00A21CD3" w:rsidRDefault="0093788C" w:rsidP="0007628E">
      <w:pPr>
        <w:pStyle w:val="Heading3"/>
        <w:spacing w:before="180" w:after="180"/>
      </w:pPr>
      <w:bookmarkStart w:id="142" w:name="_Toc501260523"/>
      <w:bookmarkStart w:id="143" w:name="_Ref522007950"/>
      <w:bookmarkStart w:id="144" w:name="_Ref522007957"/>
      <w:bookmarkStart w:id="145" w:name="_Ref522008044"/>
      <w:bookmarkStart w:id="146" w:name="_Toc202084777"/>
      <w:bookmarkStart w:id="147" w:name="_Ref202088805"/>
      <w:bookmarkStart w:id="148" w:name="_Ref202090492"/>
      <w:bookmarkStart w:id="149" w:name="_Toc206143337"/>
      <w:bookmarkStart w:id="150" w:name="_Toc391449376"/>
      <w:bookmarkStart w:id="151" w:name="_Toc391569055"/>
      <w:r>
        <w:t>Accounting for formulations</w:t>
      </w:r>
      <w:bookmarkEnd w:id="142"/>
      <w:bookmarkEnd w:id="143"/>
      <w:bookmarkEnd w:id="144"/>
      <w:bookmarkEnd w:id="145"/>
      <w:bookmarkEnd w:id="146"/>
      <w:bookmarkEnd w:id="147"/>
      <w:bookmarkEnd w:id="148"/>
      <w:bookmarkEnd w:id="149"/>
    </w:p>
    <w:p w14:paraId="7F6AEE06" w14:textId="46A58B06" w:rsidR="00B262E9" w:rsidRDefault="00B262E9" w:rsidP="004D7186">
      <w:r w:rsidRPr="57352DF8">
        <w:t xml:space="preserve">Many chemicals, in particular pesticides, are released into the environment as </w:t>
      </w:r>
      <w:r w:rsidR="5B7DA469" w:rsidRPr="57352DF8">
        <w:t xml:space="preserve">a </w:t>
      </w:r>
      <w:r w:rsidRPr="57352DF8">
        <w:t>constituent of a commercial formulation. These formulations contain an active ingredient (AI) as well as various additives such as emulsifiers, wetting agents and adjuvants to improve the performance of the AI. The toxicity of a formulation may be different to that of the AI due to the additives contributing to</w:t>
      </w:r>
      <w:r w:rsidR="00604A62">
        <w:t>,</w:t>
      </w:r>
      <w:r w:rsidRPr="57352DF8">
        <w:t xml:space="preserve"> or modifying the toxicity of</w:t>
      </w:r>
      <w:r w:rsidR="00604A62">
        <w:t>,</w:t>
      </w:r>
      <w:r w:rsidRPr="57352DF8">
        <w:t xml:space="preserve"> the AI. </w:t>
      </w:r>
      <w:r w:rsidRPr="57352DF8">
        <w:rPr>
          <w:rFonts w:eastAsia="Times New Roman"/>
          <w:color w:val="000000" w:themeColor="text1"/>
          <w:lang w:eastAsia="en-GB"/>
        </w:rPr>
        <w:t xml:space="preserve">The mobility and decomposition rates of the various additives can differ, such that an environmental water sample </w:t>
      </w:r>
      <w:r w:rsidRPr="57352DF8">
        <w:t xml:space="preserve">may have a different composition to </w:t>
      </w:r>
      <w:r w:rsidRPr="57352DF8">
        <w:rPr>
          <w:rFonts w:eastAsia="Times New Roman"/>
          <w:color w:val="000000" w:themeColor="text1"/>
          <w:lang w:eastAsia="en-GB"/>
        </w:rPr>
        <w:t>the composition of the original formulation</w:t>
      </w:r>
      <w:r w:rsidR="00604A62">
        <w:rPr>
          <w:rFonts w:eastAsia="Times New Roman"/>
          <w:color w:val="000000" w:themeColor="text1"/>
          <w:lang w:eastAsia="en-GB"/>
        </w:rPr>
        <w:t>,</w:t>
      </w:r>
      <w:r w:rsidRPr="57352DF8">
        <w:rPr>
          <w:rFonts w:eastAsia="Times New Roman"/>
          <w:color w:val="000000" w:themeColor="text1"/>
          <w:lang w:eastAsia="en-GB"/>
        </w:rPr>
        <w:t xml:space="preserve"> unless the formulation was applied directly to the water (e.g. direct</w:t>
      </w:r>
      <w:r w:rsidR="00AE559A">
        <w:rPr>
          <w:rFonts w:eastAsia="Times New Roman"/>
          <w:color w:val="000000" w:themeColor="text1"/>
          <w:lang w:eastAsia="en-GB"/>
        </w:rPr>
        <w:t>-</w:t>
      </w:r>
      <w:r w:rsidRPr="57352DF8">
        <w:rPr>
          <w:rFonts w:eastAsia="Times New Roman"/>
          <w:color w:val="000000" w:themeColor="text1"/>
          <w:lang w:eastAsia="en-GB"/>
        </w:rPr>
        <w:t xml:space="preserve">spray drift, accidental spill) and a water sample was taken within a relatively short timeframe. Moreover, multiple formulations </w:t>
      </w:r>
      <w:r w:rsidR="00145845">
        <w:rPr>
          <w:rFonts w:eastAsia="Times New Roman"/>
          <w:color w:val="000000" w:themeColor="text1"/>
          <w:lang w:eastAsia="en-GB"/>
        </w:rPr>
        <w:t xml:space="preserve">often </w:t>
      </w:r>
      <w:r w:rsidRPr="57352DF8">
        <w:rPr>
          <w:rFonts w:eastAsia="Times New Roman"/>
          <w:color w:val="000000" w:themeColor="text1"/>
          <w:lang w:eastAsia="en-GB"/>
        </w:rPr>
        <w:t>exist for toxicant</w:t>
      </w:r>
      <w:r w:rsidR="00145845">
        <w:rPr>
          <w:rFonts w:eastAsia="Times New Roman"/>
          <w:color w:val="000000" w:themeColor="text1"/>
          <w:lang w:eastAsia="en-GB"/>
        </w:rPr>
        <w:t>s</w:t>
      </w:r>
      <w:r w:rsidRPr="57352DF8">
        <w:rPr>
          <w:rFonts w:eastAsia="Times New Roman"/>
          <w:color w:val="000000" w:themeColor="text1"/>
          <w:lang w:eastAsia="en-GB"/>
        </w:rPr>
        <w:t xml:space="preserve"> such as pesticide</w:t>
      </w:r>
      <w:r w:rsidR="00145845">
        <w:rPr>
          <w:rFonts w:eastAsia="Times New Roman"/>
          <w:color w:val="000000" w:themeColor="text1"/>
          <w:lang w:eastAsia="en-GB"/>
        </w:rPr>
        <w:t>s</w:t>
      </w:r>
      <w:r w:rsidRPr="57352DF8">
        <w:rPr>
          <w:rFonts w:eastAsia="Times New Roman"/>
          <w:color w:val="000000" w:themeColor="text1"/>
          <w:lang w:eastAsia="en-GB"/>
        </w:rPr>
        <w:t xml:space="preserve">, and it would be very difficult to know with confidence which formulations were being used within a catchment and in what proportions. For these reasons, DGVs are derived based on the active ingredient only and, as such, </w:t>
      </w:r>
      <w:r w:rsidRPr="57352DF8">
        <w:t>DGVs for such chemicals should be based on toxicity tests where the test organism is exposed to a reasonably pure form of the active ingredient (≥</w:t>
      </w:r>
      <w:r w:rsidR="000E16BE">
        <w:t> </w:t>
      </w:r>
      <w:r w:rsidRPr="57352DF8">
        <w:t>80% AI). Consequently, ecotoxicity data for toxicants that are used as formulations (e.g. pesticides) can be used to derive DGVs</w:t>
      </w:r>
      <w:r w:rsidR="000E16BE">
        <w:t>,</w:t>
      </w:r>
      <w:r w:rsidRPr="57352DF8">
        <w:t xml:space="preserve"> provided that it is clear from the derivation that the test substance (i) was the AI and was not a formulation (e.g. that it was a technical material, technical grade, technical reagent, analytical grade or analytical reagent) and (ii) had a purity of </w:t>
      </w:r>
      <w:r w:rsidR="00694B12" w:rsidRPr="00A43A52">
        <w:t>≥</w:t>
      </w:r>
      <w:r w:rsidR="00EE6353">
        <w:t> </w:t>
      </w:r>
      <w:r w:rsidRPr="57352DF8">
        <w:t>80%.</w:t>
      </w:r>
    </w:p>
    <w:p w14:paraId="443A495A" w14:textId="10C76C63" w:rsidR="00B262E9" w:rsidRDefault="00B262E9" w:rsidP="004D7186">
      <w:r w:rsidRPr="57352DF8">
        <w:t xml:space="preserve">If the type of formulation of a toxicant being used at a site or in a catchment is known, it may be possible to correct the DGV based on the difference between the toxicity of the AI and that of the formulation, or to derive a formulation-specific GV if the formulation is known to modify the toxicity of the AI. However, for the reasons described in the previous paragraph, the situations where this will be a meaningful exercise are likely to be uncommon. To derive a ‘formulation-corrected’ GV, the toxicity of the commercial formulation and the </w:t>
      </w:r>
      <w:r w:rsidRPr="57352DF8">
        <w:rPr>
          <w:rFonts w:cs="Arial"/>
        </w:rPr>
        <w:t>AI</w:t>
      </w:r>
      <w:r w:rsidRPr="57352DF8">
        <w:rPr>
          <w:rFonts w:ascii="Times New Roman" w:hAnsi="Times New Roman"/>
          <w:sz w:val="24"/>
          <w:szCs w:val="24"/>
        </w:rPr>
        <w:t xml:space="preserve"> </w:t>
      </w:r>
      <w:r w:rsidRPr="57352DF8">
        <w:t>should be compared. All toxicity data used in such a comparison must pass the screening and quality</w:t>
      </w:r>
      <w:r w:rsidR="00E50C1D">
        <w:t>-</w:t>
      </w:r>
      <w:r w:rsidRPr="57352DF8">
        <w:t xml:space="preserve">assurance process and be based on the same species under the same test conditions </w:t>
      </w:r>
      <w:r w:rsidR="008832C1" w:rsidRPr="57352DF8">
        <w:t>(</w:t>
      </w:r>
      <w:r w:rsidRPr="57352DF8">
        <w:t>i.e. paired data). The ratio of formulation toxicity to AI toxicity should be determined for each paired set of data and then the geometric mean of these differences determined. If the geometric mean of the ratio is ≥</w:t>
      </w:r>
      <w:r w:rsidR="001E1389">
        <w:t> </w:t>
      </w:r>
      <w:r w:rsidRPr="57352DF8">
        <w:t>3 or ≤</w:t>
      </w:r>
      <w:r w:rsidR="001E1389">
        <w:t> </w:t>
      </w:r>
      <w:r w:rsidRPr="57352DF8">
        <w:t>0.33</w:t>
      </w:r>
      <w:r w:rsidR="001E1389">
        <w:t>,</w:t>
      </w:r>
      <w:r w:rsidRPr="57352DF8">
        <w:t xml:space="preserve"> it would be appropriate to correct the DGV by the difference – thus</w:t>
      </w:r>
      <w:r w:rsidR="001E1389">
        <w:t>,</w:t>
      </w:r>
      <w:r w:rsidRPr="57352DF8">
        <w:t xml:space="preserve"> the resulting formulation-specific GV might be larger or smaller than the DGV based on the </w:t>
      </w:r>
      <w:r w:rsidRPr="57352DF8">
        <w:rPr>
          <w:rFonts w:cs="Arial"/>
        </w:rPr>
        <w:t>AI</w:t>
      </w:r>
      <w:r w:rsidRPr="57352DF8">
        <w:rPr>
          <w:rFonts w:ascii="Times New Roman" w:hAnsi="Times New Roman"/>
          <w:sz w:val="24"/>
          <w:szCs w:val="24"/>
        </w:rPr>
        <w:t>.</w:t>
      </w:r>
      <w:r w:rsidRPr="57352DF8">
        <w:t xml:space="preserve"> </w:t>
      </w:r>
      <w:r w:rsidR="000B56C6" w:rsidRPr="57352DF8">
        <w:t>Note that the</w:t>
      </w:r>
      <w:r w:rsidR="00C64837">
        <w:t xml:space="preserve"> 2</w:t>
      </w:r>
      <w:r w:rsidR="000B56C6" w:rsidRPr="57352DF8">
        <w:t xml:space="preserve"> ratio criteria </w:t>
      </w:r>
      <w:r w:rsidR="00B7033F" w:rsidRPr="57352DF8">
        <w:t xml:space="preserve">are somewhat arbitrary and were </w:t>
      </w:r>
      <w:r w:rsidR="00B7033F" w:rsidRPr="57352DF8">
        <w:lastRenderedPageBreak/>
        <w:t xml:space="preserve">defined by expert judgement. </w:t>
      </w:r>
      <w:r w:rsidRPr="57352DF8">
        <w:t>Alternatively, it may be possible to derive a formulation-specific GV if sufficient toxicity data for the relevant formulation are available or generated. However, as with formulation-corrected GVs, the situations where the derivation of formulation-specific GVs will be a meaningful exercise are likely to be uncommon.</w:t>
      </w:r>
    </w:p>
    <w:p w14:paraId="0B1CCE33" w14:textId="4518AD30" w:rsidR="00B262E9" w:rsidRDefault="00B262E9" w:rsidP="004D7186">
      <w:r>
        <w:t xml:space="preserve">To the extent that the data allow, publication of DGVs for toxicants that are used as formulations should be accompanied by a summary of the toxicity of the formulations and if or how this differs from the toxicity of the AI. </w:t>
      </w:r>
      <w:r w:rsidRPr="00A21CD3">
        <w:t xml:space="preserve">The </w:t>
      </w:r>
      <w:r>
        <w:t>D</w:t>
      </w:r>
      <w:r w:rsidRPr="00A21CD3">
        <w:t xml:space="preserve">GVs for </w:t>
      </w:r>
      <w:r>
        <w:rPr>
          <w:rFonts w:cs="Arial"/>
        </w:rPr>
        <w:t>pesticides or other chemicals that are used as formulations</w:t>
      </w:r>
      <w:r w:rsidRPr="00A21CD3">
        <w:t xml:space="preserve"> should be expressed as a concentration of the </w:t>
      </w:r>
      <w:r w:rsidRPr="00BC4AD6">
        <w:rPr>
          <w:rFonts w:cs="Arial"/>
        </w:rPr>
        <w:t>AI</w:t>
      </w:r>
      <w:r>
        <w:rPr>
          <w:rFonts w:ascii="Times New Roman" w:hAnsi="Times New Roman"/>
          <w:sz w:val="24"/>
        </w:rPr>
        <w:t>,</w:t>
      </w:r>
      <w:r w:rsidRPr="005044FA">
        <w:rPr>
          <w:sz w:val="24"/>
        </w:rPr>
        <w:t xml:space="preserve"> </w:t>
      </w:r>
      <w:r>
        <w:t>for example,</w:t>
      </w:r>
      <w:r w:rsidRPr="00A21CD3">
        <w:t xml:space="preserve"> ‘x’ </w:t>
      </w:r>
      <w:r w:rsidRPr="00A21CD3">
        <w:rPr>
          <w:rFonts w:cs="Arial"/>
        </w:rPr>
        <w:t>µ</w:t>
      </w:r>
      <w:r w:rsidRPr="00A21CD3">
        <w:t>g</w:t>
      </w:r>
      <w:r w:rsidR="00AC2506">
        <w:t>/L</w:t>
      </w:r>
      <w:r w:rsidRPr="00A21CD3">
        <w:t xml:space="preserve"> </w:t>
      </w:r>
      <w:r w:rsidRPr="00BC4AD6">
        <w:rPr>
          <w:rFonts w:cs="Arial"/>
        </w:rPr>
        <w:t>AI</w:t>
      </w:r>
      <w:r w:rsidRPr="00A21CD3">
        <w:t>.</w:t>
      </w:r>
    </w:p>
    <w:p w14:paraId="747C6B60" w14:textId="50ADAA7D" w:rsidR="0093788C" w:rsidRPr="00A50285" w:rsidRDefault="0093788C" w:rsidP="0007628E">
      <w:pPr>
        <w:pStyle w:val="Heading3"/>
        <w:spacing w:before="180" w:after="180"/>
      </w:pPr>
      <w:bookmarkStart w:id="152" w:name="_Toc391449377"/>
      <w:bookmarkStart w:id="153" w:name="_Toc391569056"/>
      <w:bookmarkStart w:id="154" w:name="_Toc501260525"/>
      <w:bookmarkStart w:id="155" w:name="_Ref157593218"/>
      <w:bookmarkStart w:id="156" w:name="_Toc202084778"/>
      <w:bookmarkStart w:id="157" w:name="_Ref202090482"/>
      <w:bookmarkStart w:id="158" w:name="_Toc206143338"/>
      <w:bookmarkEnd w:id="150"/>
      <w:bookmarkEnd w:id="151"/>
      <w:r>
        <w:t>Reality</w:t>
      </w:r>
      <w:r w:rsidR="006A0D8E">
        <w:t>-</w:t>
      </w:r>
      <w:r>
        <w:t>checking the guideline values</w:t>
      </w:r>
      <w:bookmarkEnd w:id="152"/>
      <w:bookmarkEnd w:id="153"/>
      <w:bookmarkEnd w:id="154"/>
      <w:bookmarkEnd w:id="155"/>
      <w:bookmarkEnd w:id="156"/>
      <w:bookmarkEnd w:id="157"/>
      <w:bookmarkEnd w:id="158"/>
    </w:p>
    <w:p w14:paraId="64303D81" w14:textId="74CE841E" w:rsidR="0093788C" w:rsidRPr="0043350F" w:rsidRDefault="0093788C" w:rsidP="004D7186">
      <w:r w:rsidRPr="57352DF8">
        <w:t xml:space="preserve">Once the GVs have been derived, their suitability should be evaluated by comparing them to the </w:t>
      </w:r>
      <w:r w:rsidR="003C2E68" w:rsidRPr="57352DF8">
        <w:t>available chronic or converted</w:t>
      </w:r>
      <w:r w:rsidR="00FE5E3B">
        <w:t>-</w:t>
      </w:r>
      <w:r w:rsidR="003C2E68" w:rsidRPr="57352DF8">
        <w:t xml:space="preserve">acute </w:t>
      </w:r>
      <w:r w:rsidRPr="57352DF8">
        <w:t xml:space="preserve">toxicity data used to derive them or to </w:t>
      </w:r>
      <w:r w:rsidR="008F7AF4" w:rsidRPr="57352DF8">
        <w:t xml:space="preserve">data from </w:t>
      </w:r>
      <w:r w:rsidRPr="57352DF8">
        <w:t>field</w:t>
      </w:r>
      <w:r w:rsidR="008F7AF4" w:rsidRPr="57352DF8">
        <w:t xml:space="preserve"> surveys/monitoring or field-</w:t>
      </w:r>
      <w:r w:rsidR="00FE5E3B">
        <w:t>based</w:t>
      </w:r>
      <w:r w:rsidR="008F7AF4" w:rsidRPr="57352DF8">
        <w:t xml:space="preserve"> or laboratory</w:t>
      </w:r>
      <w:r w:rsidRPr="57352DF8">
        <w:t xml:space="preserve">-based, microcosm or mesocosm toxicity </w:t>
      </w:r>
      <w:r w:rsidR="008F7AF4" w:rsidRPr="57352DF8">
        <w:t>experiments</w:t>
      </w:r>
      <w:r w:rsidRPr="57352DF8">
        <w:t xml:space="preserve">. The aim of this is to determine whether any species, for which toxicity data </w:t>
      </w:r>
      <w:r w:rsidR="007E6937" w:rsidRPr="57352DF8">
        <w:t xml:space="preserve">are </w:t>
      </w:r>
      <w:r w:rsidRPr="57352DF8">
        <w:t xml:space="preserve">available, might be affected if exposed at the GV concentration. If </w:t>
      </w:r>
      <w:r w:rsidR="008574CA">
        <w:t>either</w:t>
      </w:r>
      <w:r w:rsidR="008574CA" w:rsidRPr="57352DF8">
        <w:t xml:space="preserve"> </w:t>
      </w:r>
      <w:r w:rsidRPr="57352DF8">
        <w:t>of the following conditions are met, the GV should be considered to provide inadequate protection:</w:t>
      </w:r>
    </w:p>
    <w:p w14:paraId="29B472FA" w14:textId="59D4C211" w:rsidR="0093788C" w:rsidRPr="003A4707" w:rsidRDefault="008574CA" w:rsidP="003A4707">
      <w:pPr>
        <w:pStyle w:val="ListBullet"/>
      </w:pPr>
      <w:r>
        <w:t>i</w:t>
      </w:r>
      <w:r w:rsidR="0093788C" w:rsidRPr="57352DF8">
        <w:t>f a GV is greater than the geometric mean of experimental chronic</w:t>
      </w:r>
      <w:r w:rsidR="008F5F21">
        <w:t>-</w:t>
      </w:r>
      <w:r w:rsidR="00D90205">
        <w:t>negligible</w:t>
      </w:r>
      <w:r w:rsidR="008F5F21">
        <w:t>-</w:t>
      </w:r>
      <w:r w:rsidR="00D90205">
        <w:t>effect</w:t>
      </w:r>
      <w:r w:rsidR="0093788C" w:rsidRPr="57352DF8">
        <w:t xml:space="preserve"> data for any</w:t>
      </w:r>
      <w:r w:rsidR="0093788C" w:rsidRPr="003A4707">
        <w:t xml:space="preserve"> </w:t>
      </w:r>
      <w:r w:rsidR="004B1642" w:rsidRPr="003A4707">
        <w:t xml:space="preserve">key </w:t>
      </w:r>
      <w:r w:rsidR="0093788C" w:rsidRPr="003A4707">
        <w:t>species (</w:t>
      </w:r>
      <w:r w:rsidR="004B1642" w:rsidRPr="003A4707">
        <w:t>e.g. economically</w:t>
      </w:r>
      <w:r w:rsidR="000F0FE4" w:rsidRPr="003A4707">
        <w:t>, culturally</w:t>
      </w:r>
      <w:r w:rsidR="004B1642" w:rsidRPr="003A4707">
        <w:t xml:space="preserve"> or ecologically important)</w:t>
      </w:r>
    </w:p>
    <w:p w14:paraId="0AABB6FE" w14:textId="2EEB096E" w:rsidR="0093788C" w:rsidRPr="00C21712" w:rsidRDefault="008574CA" w:rsidP="003A4707">
      <w:pPr>
        <w:pStyle w:val="ListBullet"/>
      </w:pPr>
      <w:r>
        <w:t>i</w:t>
      </w:r>
      <w:r w:rsidR="0093788C" w:rsidRPr="003A4707">
        <w:t>f there is a discrepancy</w:t>
      </w:r>
      <w:r w:rsidR="0093788C" w:rsidRPr="57352DF8">
        <w:t xml:space="preserve"> between the theoretical level of protection that should be provided and that indicated as being offered, based on </w:t>
      </w:r>
      <w:r w:rsidR="00095598" w:rsidRPr="57352DF8">
        <w:t xml:space="preserve">the available </w:t>
      </w:r>
      <w:r w:rsidR="0093788C" w:rsidRPr="57352DF8">
        <w:t xml:space="preserve">experimental </w:t>
      </w:r>
      <w:r w:rsidR="00095598" w:rsidRPr="57352DF8">
        <w:t>chronic (or converted</w:t>
      </w:r>
      <w:r w:rsidR="000A6520">
        <w:t>-</w:t>
      </w:r>
      <w:r w:rsidR="00095598" w:rsidRPr="57352DF8">
        <w:t xml:space="preserve">acute) </w:t>
      </w:r>
      <w:r w:rsidR="0093788C" w:rsidRPr="57352DF8">
        <w:t>toxicity data</w:t>
      </w:r>
      <w:r w:rsidR="00462639">
        <w:t xml:space="preserve"> (e.g</w:t>
      </w:r>
      <w:r w:rsidR="0093788C" w:rsidRPr="57352DF8">
        <w:t>. if more than 5% of the experimental data are below the PC95 value</w:t>
      </w:r>
      <w:r w:rsidR="00462639">
        <w:t>)</w:t>
      </w:r>
      <w:r w:rsidR="0093788C" w:rsidRPr="57352DF8">
        <w:t xml:space="preserve">. </w:t>
      </w:r>
      <w:r w:rsidR="003C2E68" w:rsidRPr="57352DF8">
        <w:t>This will be difficult to assess for small datasets.</w:t>
      </w:r>
    </w:p>
    <w:p w14:paraId="306308BC" w14:textId="576AEE7F" w:rsidR="00B679A4" w:rsidRDefault="00603043" w:rsidP="004D7186">
      <w:r>
        <w:t xml:space="preserve">Determining whether a species </w:t>
      </w:r>
      <w:r w:rsidR="00DB15C8">
        <w:t>is of</w:t>
      </w:r>
      <w:r>
        <w:t xml:space="preserve"> particular ecological, economic or cultural importance may require consultation with relevant stakeholders, such as academia, government agencies, the aquaculture industry </w:t>
      </w:r>
      <w:r w:rsidR="00D80C29">
        <w:t>and</w:t>
      </w:r>
      <w:r>
        <w:t xml:space="preserve"> local </w:t>
      </w:r>
      <w:r w:rsidR="00D80C29">
        <w:t>I</w:t>
      </w:r>
      <w:r>
        <w:t>ndigenous communities.</w:t>
      </w:r>
    </w:p>
    <w:p w14:paraId="6BED49EC" w14:textId="77777777" w:rsidR="00165B54" w:rsidRDefault="0093788C" w:rsidP="004D7186">
      <w:r w:rsidRPr="57352DF8">
        <w:t xml:space="preserve">In cases where the protection provided by </w:t>
      </w:r>
      <w:r w:rsidR="003C2E68" w:rsidRPr="57352DF8">
        <w:t xml:space="preserve">an </w:t>
      </w:r>
      <w:r w:rsidRPr="57352DF8">
        <w:t xml:space="preserve">SSD-derived GV is deemed inadequate, </w:t>
      </w:r>
      <w:r w:rsidR="003C2E68" w:rsidRPr="57352DF8">
        <w:t xml:space="preserve">a </w:t>
      </w:r>
      <w:r w:rsidRPr="57352DF8">
        <w:t xml:space="preserve">GV </w:t>
      </w:r>
      <w:r w:rsidR="003C2E68" w:rsidRPr="57352DF8">
        <w:t xml:space="preserve">with a higher level of species protection </w:t>
      </w:r>
      <w:r w:rsidR="00E7327F" w:rsidRPr="57352DF8">
        <w:t xml:space="preserve">could </w:t>
      </w:r>
      <w:r w:rsidR="003C2E68" w:rsidRPr="57352DF8">
        <w:t>be recommended</w:t>
      </w:r>
      <w:r w:rsidR="00C47E48">
        <w:t xml:space="preserve"> –</w:t>
      </w:r>
      <w:r w:rsidRPr="57352DF8">
        <w:t xml:space="preserve"> </w:t>
      </w:r>
      <w:r w:rsidR="00B01A58" w:rsidRPr="57352DF8">
        <w:t>for example</w:t>
      </w:r>
      <w:r w:rsidR="007E6937" w:rsidRPr="57352DF8">
        <w:t>,</w:t>
      </w:r>
      <w:r w:rsidRPr="57352DF8">
        <w:t xml:space="preserve"> </w:t>
      </w:r>
      <w:r w:rsidR="00095598" w:rsidRPr="57352DF8">
        <w:t xml:space="preserve">the PC99 recommended to be used for </w:t>
      </w:r>
      <w:r w:rsidR="00C47E48">
        <w:t xml:space="preserve">ecosystems that are </w:t>
      </w:r>
      <w:r w:rsidR="00095598" w:rsidRPr="57352DF8">
        <w:t xml:space="preserve">slightly to moderately disturbed and the PC95 used for </w:t>
      </w:r>
      <w:r w:rsidR="00C47E48">
        <w:t xml:space="preserve">ecosystems that are </w:t>
      </w:r>
      <w:r w:rsidR="00095598" w:rsidRPr="57352DF8">
        <w:t>highly disturbed</w:t>
      </w:r>
      <w:r w:rsidRPr="57352DF8">
        <w:t>. If this does not provide sufficient protection, additional toxicity data are required.</w:t>
      </w:r>
    </w:p>
    <w:p w14:paraId="20338129" w14:textId="080C0CF2" w:rsidR="00B679A4" w:rsidRDefault="0093788C" w:rsidP="004D7186">
      <w:pPr>
        <w:rPr>
          <w:lang w:eastAsia="en-AU"/>
        </w:rPr>
      </w:pPr>
      <w:r w:rsidRPr="2F2010B8">
        <w:rPr>
          <w:lang w:eastAsia="en-AU"/>
        </w:rPr>
        <w:t xml:space="preserve">The GVs for naturally occurring elements </w:t>
      </w:r>
      <w:r w:rsidR="00C74687">
        <w:rPr>
          <w:lang w:eastAsia="en-AU"/>
        </w:rPr>
        <w:t>(e.g.</w:t>
      </w:r>
      <w:r w:rsidR="00794EAB" w:rsidRPr="2F2010B8">
        <w:rPr>
          <w:lang w:eastAsia="en-AU"/>
        </w:rPr>
        <w:t xml:space="preserve"> </w:t>
      </w:r>
      <w:r w:rsidRPr="2F2010B8">
        <w:rPr>
          <w:lang w:eastAsia="en-AU"/>
        </w:rPr>
        <w:t>metals) and compounds</w:t>
      </w:r>
      <w:r w:rsidR="0003728A" w:rsidRPr="2F2010B8">
        <w:rPr>
          <w:lang w:eastAsia="en-AU"/>
        </w:rPr>
        <w:t xml:space="preserve"> </w:t>
      </w:r>
      <w:r w:rsidRPr="2F2010B8">
        <w:rPr>
          <w:lang w:eastAsia="en-AU"/>
        </w:rPr>
        <w:t>(</w:t>
      </w:r>
      <w:r w:rsidR="468DFB0F" w:rsidRPr="2F2010B8">
        <w:rPr>
          <w:lang w:eastAsia="en-AU"/>
        </w:rPr>
        <w:t>e.g.</w:t>
      </w:r>
      <w:r w:rsidR="00572C23" w:rsidRPr="2F2010B8">
        <w:rPr>
          <w:lang w:eastAsia="en-AU"/>
        </w:rPr>
        <w:t xml:space="preserve"> </w:t>
      </w:r>
      <w:r w:rsidRPr="2F2010B8">
        <w:rPr>
          <w:lang w:eastAsia="en-AU"/>
        </w:rPr>
        <w:t>some hydrocarbons</w:t>
      </w:r>
      <w:r w:rsidR="7C76743C" w:rsidRPr="2F2010B8">
        <w:rPr>
          <w:lang w:eastAsia="en-AU"/>
        </w:rPr>
        <w:t>)</w:t>
      </w:r>
      <w:r w:rsidR="00A74A17" w:rsidRPr="2F2010B8">
        <w:rPr>
          <w:lang w:eastAsia="en-AU"/>
        </w:rPr>
        <w:t xml:space="preserve"> </w:t>
      </w:r>
      <w:r w:rsidRPr="2F2010B8">
        <w:rPr>
          <w:lang w:eastAsia="en-AU"/>
        </w:rPr>
        <w:t xml:space="preserve">should be checked against background concentrations to ensure that unrealistically low GVs (lower than </w:t>
      </w:r>
      <w:r w:rsidR="00A91A65" w:rsidRPr="2F2010B8">
        <w:rPr>
          <w:lang w:eastAsia="en-AU"/>
        </w:rPr>
        <w:t xml:space="preserve">typical </w:t>
      </w:r>
      <w:r w:rsidRPr="2F2010B8">
        <w:rPr>
          <w:lang w:eastAsia="en-AU"/>
        </w:rPr>
        <w:t>background</w:t>
      </w:r>
      <w:r w:rsidR="007E6937" w:rsidRPr="2F2010B8">
        <w:rPr>
          <w:lang w:eastAsia="en-AU"/>
        </w:rPr>
        <w:t xml:space="preserve"> concentration</w:t>
      </w:r>
      <w:r w:rsidR="00A91A65" w:rsidRPr="2F2010B8">
        <w:rPr>
          <w:lang w:eastAsia="en-AU"/>
        </w:rPr>
        <w:t>s</w:t>
      </w:r>
      <w:r w:rsidRPr="2F2010B8">
        <w:rPr>
          <w:lang w:eastAsia="en-AU"/>
        </w:rPr>
        <w:t>) are not derived. A default set of background data</w:t>
      </w:r>
      <w:r w:rsidR="00A74A17" w:rsidRPr="2F2010B8">
        <w:rPr>
          <w:lang w:eastAsia="en-AU"/>
        </w:rPr>
        <w:t xml:space="preserve"> </w:t>
      </w:r>
      <w:r w:rsidRPr="2F2010B8">
        <w:rPr>
          <w:lang w:eastAsia="en-AU"/>
        </w:rPr>
        <w:t>for metals and metalloids</w:t>
      </w:r>
      <w:r w:rsidR="00A74A17" w:rsidRPr="2F2010B8">
        <w:rPr>
          <w:lang w:eastAsia="en-AU"/>
        </w:rPr>
        <w:t xml:space="preserve"> </w:t>
      </w:r>
      <w:r w:rsidRPr="2F2010B8">
        <w:rPr>
          <w:lang w:eastAsia="en-AU"/>
        </w:rPr>
        <w:t xml:space="preserve">is presented in the 2000 Guidelines (Table 8.3.2, </w:t>
      </w:r>
      <w:r w:rsidR="001465BE">
        <w:rPr>
          <w:lang w:eastAsia="en-AU"/>
        </w:rPr>
        <w:t>ANZECC and ARMCANZ</w:t>
      </w:r>
      <w:r w:rsidRPr="2F2010B8">
        <w:rPr>
          <w:lang w:eastAsia="en-AU"/>
        </w:rPr>
        <w:t xml:space="preserve"> 2000b). Alternatively, site-specific or regional GVs based on background concentrations could be derived</w:t>
      </w:r>
      <w:r w:rsidR="00222E44" w:rsidRPr="2F2010B8">
        <w:rPr>
          <w:lang w:eastAsia="en-AU"/>
        </w:rPr>
        <w:t xml:space="preserve"> (see</w:t>
      </w:r>
      <w:r w:rsidR="00513D84">
        <w:rPr>
          <w:lang w:eastAsia="en-AU"/>
        </w:rPr>
        <w:t xml:space="preserve"> ANZG 2018: </w:t>
      </w:r>
      <w:hyperlink r:id="rId41">
        <w:r w:rsidR="00513D84" w:rsidRPr="00513D84">
          <w:rPr>
            <w:rStyle w:val="Hyperlink"/>
            <w:i/>
            <w:iCs/>
            <w:lang w:eastAsia="en-AU"/>
          </w:rPr>
          <w:t>Deriving guideline values using reference-site data</w:t>
        </w:r>
      </w:hyperlink>
      <w:r w:rsidR="00222E44" w:rsidRPr="2F2010B8">
        <w:rPr>
          <w:lang w:eastAsia="en-AU"/>
        </w:rPr>
        <w:t>)</w:t>
      </w:r>
      <w:r w:rsidRPr="2F2010B8">
        <w:rPr>
          <w:lang w:eastAsia="en-AU"/>
        </w:rPr>
        <w:t>.</w:t>
      </w:r>
    </w:p>
    <w:p w14:paraId="3F3E7D23" w14:textId="24224043" w:rsidR="00640BC1" w:rsidRDefault="0093788C" w:rsidP="004D7186">
      <w:r w:rsidRPr="57352DF8">
        <w:t xml:space="preserve">Finally, it is important to note that the method for deriving toxicant GVs is part of the current </w:t>
      </w:r>
      <w:r w:rsidR="00513D84" w:rsidRPr="00513D84">
        <w:rPr>
          <w:i/>
          <w:iCs/>
        </w:rPr>
        <w:t>Australian and New Zealand Guidelines for Fresh and Marine Water Quality</w:t>
      </w:r>
      <w:r w:rsidR="00823FD6" w:rsidRPr="57352DF8">
        <w:rPr>
          <w:i/>
          <w:iCs/>
        </w:rPr>
        <w:t xml:space="preserve"> </w:t>
      </w:r>
      <w:r w:rsidR="004B6144" w:rsidRPr="57352DF8">
        <w:t>(ANZG 2018)</w:t>
      </w:r>
      <w:r w:rsidRPr="57352DF8">
        <w:t xml:space="preserve"> that</w:t>
      </w:r>
      <w:r w:rsidR="00974293">
        <w:t>,</w:t>
      </w:r>
      <w:r w:rsidRPr="57352DF8">
        <w:t xml:space="preserve"> in turn</w:t>
      </w:r>
      <w:r w:rsidR="00974293">
        <w:t>,</w:t>
      </w:r>
      <w:r w:rsidRPr="57352DF8">
        <w:t xml:space="preserve"> is part of a much broader framework for managing and assessing water</w:t>
      </w:r>
      <w:r w:rsidR="007E6937" w:rsidRPr="57352DF8">
        <w:t xml:space="preserve"> and </w:t>
      </w:r>
      <w:r w:rsidRPr="57352DF8">
        <w:t>sediment quality (</w:t>
      </w:r>
      <w:r w:rsidR="00406737" w:rsidRPr="57352DF8">
        <w:t xml:space="preserve">Australian Government </w:t>
      </w:r>
      <w:r w:rsidR="004B6144" w:rsidRPr="57352DF8">
        <w:t>2018</w:t>
      </w:r>
      <w:r w:rsidRPr="57352DF8">
        <w:t>). As such, the method should be used in conjunction and accordance with the guiding principles and overall guidance provided in these guidelines.</w:t>
      </w:r>
    </w:p>
    <w:p w14:paraId="69A90202" w14:textId="1F4FB540" w:rsidR="005C6105" w:rsidRPr="00D77535" w:rsidRDefault="005C6105" w:rsidP="004D7186">
      <w:pPr>
        <w:pStyle w:val="Heading2"/>
      </w:pPr>
      <w:bookmarkStart w:id="159" w:name="_Toc202084779"/>
      <w:bookmarkStart w:id="160" w:name="_Ref202089081"/>
      <w:bookmarkStart w:id="161" w:name="_Toc206143339"/>
      <w:r>
        <w:lastRenderedPageBreak/>
        <w:t>Assessment</w:t>
      </w:r>
      <w:r w:rsidR="00974293">
        <w:t>-</w:t>
      </w:r>
      <w:r>
        <w:t>factor method</w:t>
      </w:r>
      <w:bookmarkEnd w:id="159"/>
      <w:bookmarkEnd w:id="160"/>
      <w:bookmarkEnd w:id="161"/>
    </w:p>
    <w:p w14:paraId="13BF04D5" w14:textId="11A43484" w:rsidR="005C6105" w:rsidRDefault="005C6105" w:rsidP="004D7186">
      <w:r w:rsidRPr="57352DF8">
        <w:t xml:space="preserve">This method should only be used </w:t>
      </w:r>
      <w:r w:rsidR="007D769C" w:rsidRPr="57352DF8">
        <w:t xml:space="preserve">for deriving GVs </w:t>
      </w:r>
      <w:r w:rsidRPr="57352DF8">
        <w:t>when there are insufficient data to meet the minimum data requirements of the SSD method. The guidance provided in Warne (1998, 2001) should be used to calculate GVs by this method. The method has little scientific rigour</w:t>
      </w:r>
      <w:r w:rsidR="00974293">
        <w:t>,</w:t>
      </w:r>
      <w:r w:rsidRPr="57352DF8">
        <w:t xml:space="preserve"> and the resulting values are generally, but not necessarily, conservative (</w:t>
      </w:r>
      <w:r w:rsidR="007D769C" w:rsidRPr="57352DF8">
        <w:t xml:space="preserve">i.e. </w:t>
      </w:r>
      <w:r w:rsidRPr="57352DF8">
        <w:t xml:space="preserve">low concentrations and hence very protective of ecosystems) due to the magnitude of the AFs used. All GVs derived using the AF method are classed as having ‘unknown reliability’. The 2000 Guidelines contained GVs with a variety of different terms </w:t>
      </w:r>
      <w:r w:rsidR="00C74687">
        <w:t>(e.g.</w:t>
      </w:r>
      <w:r w:rsidRPr="57352DF8">
        <w:t xml:space="preserve"> low</w:t>
      </w:r>
      <w:r w:rsidR="003649E2">
        <w:t>-</w:t>
      </w:r>
      <w:r w:rsidRPr="57352DF8">
        <w:t>reliability environmental</w:t>
      </w:r>
      <w:r w:rsidR="003649E2">
        <w:t>-</w:t>
      </w:r>
      <w:r w:rsidRPr="57352DF8">
        <w:t xml:space="preserve">concern levels), which created confusion among users. Thus, GVs, default or site-specific, are to be referred to only by their reliability category </w:t>
      </w:r>
      <w:r w:rsidR="000D2BB9">
        <w:t>(i.e.</w:t>
      </w:r>
      <w:r w:rsidRPr="57352DF8">
        <w:t xml:space="preserve"> very high, high, moderate, low, very low and unknown</w:t>
      </w:r>
      <w:r w:rsidR="00833318">
        <w:t xml:space="preserve"> </w:t>
      </w:r>
      <w:r w:rsidRPr="57352DF8">
        <w:t>reliability).</w:t>
      </w:r>
    </w:p>
    <w:p w14:paraId="22292DC2" w14:textId="575DFCA0" w:rsidR="005C6105" w:rsidRDefault="005C6105" w:rsidP="004D7186">
      <w:r w:rsidRPr="57352DF8">
        <w:t xml:space="preserve">Unknown reliability GVs derived using the AF method should not be used as DGVs. </w:t>
      </w:r>
      <w:r w:rsidR="00484170" w:rsidRPr="57352DF8">
        <w:t>Where</w:t>
      </w:r>
      <w:r w:rsidRPr="57352DF8">
        <w:t xml:space="preserve"> possible, more toxicity data should be acquired (from the literature or generated) to enable these GVs to be updated and, consequently, their reliability improved. New GVs, generated because of the existence of</w:t>
      </w:r>
      <w:r w:rsidR="00833318">
        <w:t xml:space="preserve"> GVs of</w:t>
      </w:r>
      <w:r w:rsidRPr="57352DF8">
        <w:t xml:space="preserve"> unknown reliability, could be submitted via the third-party GV derivation process,</w:t>
      </w:r>
      <w:r w:rsidR="000154D3">
        <w:t xml:space="preserve"> </w:t>
      </w:r>
      <w:hyperlink r:id="rId42">
        <w:r w:rsidRPr="57352DF8">
          <w:rPr>
            <w:rStyle w:val="Hyperlink"/>
          </w:rPr>
          <w:t>for national consideration and endorsement as DGVs</w:t>
        </w:r>
      </w:hyperlink>
      <w:r w:rsidRPr="57352DF8">
        <w:t xml:space="preserve"> (see Section </w:t>
      </w:r>
      <w:r>
        <w:fldChar w:fldCharType="begin"/>
      </w:r>
      <w:r>
        <w:instrText xml:space="preserve"> REF _Ref522008179 \n \h </w:instrText>
      </w:r>
      <w:r>
        <w:fldChar w:fldCharType="separate"/>
      </w:r>
      <w:r w:rsidR="006C5761">
        <w:t>3.1</w:t>
      </w:r>
      <w:r>
        <w:fldChar w:fldCharType="end"/>
      </w:r>
      <w:r w:rsidRPr="57352DF8">
        <w:t>).</w:t>
      </w:r>
    </w:p>
    <w:p w14:paraId="20CD1ECE" w14:textId="56FDB80C" w:rsidR="005C6105" w:rsidRPr="008A449E" w:rsidRDefault="005C6105" w:rsidP="004D7186">
      <w:pPr>
        <w:rPr>
          <w:rFonts w:ascii="Calibri" w:hAnsi="Calibri"/>
          <w:sz w:val="24"/>
        </w:rPr>
      </w:pPr>
      <w:r>
        <w:t>Guideline values derived using the AF method do not need to undergo the reality</w:t>
      </w:r>
      <w:r w:rsidR="000154D3">
        <w:t>-</w:t>
      </w:r>
      <w:r>
        <w:t>check procedure</w:t>
      </w:r>
      <w:r w:rsidR="00A4697D">
        <w:t xml:space="preserve"> except </w:t>
      </w:r>
      <w:r w:rsidR="000154D3">
        <w:t>when</w:t>
      </w:r>
      <w:r w:rsidR="00A4697D">
        <w:t xml:space="preserve"> checking them against natural background concentrations</w:t>
      </w:r>
      <w:r>
        <w:t>. This is because the GV is the most sensitive toxicity value divided by an assessment factor and, therefore, the GV provides protection to all species for which there is toxicity data.</w:t>
      </w:r>
    </w:p>
    <w:p w14:paraId="397B290A" w14:textId="31E400CC" w:rsidR="005C6105" w:rsidRPr="0043350F" w:rsidRDefault="005C6105" w:rsidP="004D7186">
      <w:pPr>
        <w:pStyle w:val="Heading2"/>
      </w:pPr>
      <w:bookmarkStart w:id="162" w:name="_Toc202084780"/>
      <w:bookmarkStart w:id="163" w:name="_Ref206080488"/>
      <w:bookmarkStart w:id="164" w:name="_Toc206143340"/>
      <w:r w:rsidRPr="001E4452">
        <w:lastRenderedPageBreak/>
        <w:t xml:space="preserve">Ensuring transparency in the derivation of </w:t>
      </w:r>
      <w:r>
        <w:t>guideline</w:t>
      </w:r>
      <w:r w:rsidRPr="001E4452">
        <w:t xml:space="preserve"> values</w:t>
      </w:r>
      <w:bookmarkEnd w:id="162"/>
      <w:bookmarkEnd w:id="163"/>
      <w:bookmarkEnd w:id="164"/>
    </w:p>
    <w:p w14:paraId="47B9F0EB" w14:textId="315E949C" w:rsidR="00D636A6" w:rsidRPr="0043350F" w:rsidRDefault="00D636A6" w:rsidP="004D7186">
      <w:pPr>
        <w:rPr>
          <w:caps/>
        </w:rPr>
      </w:pPr>
      <w:r w:rsidRPr="57352DF8">
        <w:t>The electronic toxicity data</w:t>
      </w:r>
      <w:r w:rsidR="00543941">
        <w:t>-</w:t>
      </w:r>
      <w:r w:rsidRPr="57352DF8">
        <w:t>quality assessment sheets that are generated as part of deriving GVs should be supplied along with other documents when the proposed GV is submitted for consideration and approval.</w:t>
      </w:r>
    </w:p>
    <w:p w14:paraId="436CDB3D" w14:textId="2094C2A8" w:rsidR="00D636A6" w:rsidRDefault="00D636A6" w:rsidP="004D7186">
      <w:r w:rsidRPr="0043350F">
        <w:t>All the data used to derive GVs (</w:t>
      </w:r>
      <w:r w:rsidR="00FD3E60">
        <w:t>e.g.</w:t>
      </w:r>
      <w:r w:rsidR="00506746">
        <w:t xml:space="preserve"> </w:t>
      </w:r>
      <w:r w:rsidRPr="0043350F">
        <w:t xml:space="preserve">toxicity data, </w:t>
      </w:r>
      <w:r w:rsidR="00FD3E60">
        <w:t>ACRs</w:t>
      </w:r>
      <w:r w:rsidRPr="0043350F">
        <w:t>) and the corresponding physicochemical data must be included as part of the documentation for proposed GVs.</w:t>
      </w:r>
      <w:r w:rsidR="00CA57EE">
        <w:t xml:space="preserve"> </w:t>
      </w:r>
      <w:r>
        <w:t>All decisions based on professional judgement must be fully explained and justified</w:t>
      </w:r>
      <w:r w:rsidR="00A375CA">
        <w:t>,</w:t>
      </w:r>
      <w:r>
        <w:t xml:space="preserve"> including the presentation of data that support the decision.</w:t>
      </w:r>
      <w:r w:rsidR="00860194">
        <w:t xml:space="preserve"> This entails the</w:t>
      </w:r>
      <w:r w:rsidR="00860194" w:rsidRPr="00860194">
        <w:t xml:space="preserve"> </w:t>
      </w:r>
      <w:r w:rsidR="00860194">
        <w:t>documentation</w:t>
      </w:r>
      <w:r w:rsidR="00860194" w:rsidRPr="00860194">
        <w:t xml:space="preserve"> of a defensible scientific case as to why a particular action is recommended</w:t>
      </w:r>
      <w:r w:rsidR="00860194">
        <w:t xml:space="preserve">. Some examples of the documentation of decisions based on professional </w:t>
      </w:r>
      <w:r w:rsidR="00542D1C">
        <w:t>judgement</w:t>
      </w:r>
      <w:r w:rsidR="00860194">
        <w:t xml:space="preserve"> for DGVs are provided below:</w:t>
      </w:r>
    </w:p>
    <w:p w14:paraId="70A1CBDC" w14:textId="77777777" w:rsidR="009A665D" w:rsidRDefault="009A665D" w:rsidP="005B051B">
      <w:pPr>
        <w:pStyle w:val="ListParagraph"/>
        <w:numPr>
          <w:ilvl w:val="0"/>
          <w:numId w:val="25"/>
        </w:numPr>
      </w:pPr>
      <w:r>
        <w:t>Rationale for selecting the final dataset for deriving the DGVs for metolachlor in freshwater – ANZG (2020)</w:t>
      </w:r>
    </w:p>
    <w:p w14:paraId="39A86782" w14:textId="0ACA6748" w:rsidR="009A665D" w:rsidRDefault="009A665D" w:rsidP="005B051B">
      <w:pPr>
        <w:pStyle w:val="ListParagraph"/>
        <w:numPr>
          <w:ilvl w:val="0"/>
          <w:numId w:val="25"/>
        </w:numPr>
      </w:pPr>
      <w:r>
        <w:t>Rationale for selecting the final dataset for deriving the DGVs for zinc in marine water – ANZG (2021)</w:t>
      </w:r>
    </w:p>
    <w:p w14:paraId="43914601" w14:textId="258EC12A" w:rsidR="00860194" w:rsidRDefault="00860194" w:rsidP="005B051B">
      <w:pPr>
        <w:pStyle w:val="ListParagraph"/>
        <w:numPr>
          <w:ilvl w:val="0"/>
          <w:numId w:val="25"/>
        </w:numPr>
      </w:pPr>
      <w:r>
        <w:t>Decision to base the dioxins in freshwater DGVs on fish data only – ANZG (2023)</w:t>
      </w:r>
    </w:p>
    <w:p w14:paraId="0ED63A2E" w14:textId="2D03AAE7" w:rsidR="007A4C31" w:rsidRDefault="006C3AB8" w:rsidP="005B051B">
      <w:pPr>
        <w:pStyle w:val="ListParagraph"/>
        <w:numPr>
          <w:ilvl w:val="0"/>
          <w:numId w:val="25"/>
        </w:numPr>
      </w:pPr>
      <w:r>
        <w:t>Rationale for selecting the final dataset for deriving the DGVs for simazine in marine water – ANZG (</w:t>
      </w:r>
      <w:r w:rsidR="007A69DE">
        <w:t>2025d</w:t>
      </w:r>
      <w:r>
        <w:t>)</w:t>
      </w:r>
    </w:p>
    <w:p w14:paraId="71AEB405" w14:textId="00C02CE0" w:rsidR="006C3AB8" w:rsidRDefault="006C3AB8" w:rsidP="005B051B">
      <w:pPr>
        <w:pStyle w:val="ListParagraph"/>
        <w:numPr>
          <w:ilvl w:val="0"/>
          <w:numId w:val="25"/>
        </w:numPr>
      </w:pPr>
      <w:r>
        <w:t>Re-analysis of data for an echinoderm species and exclusion of data for 10 bivalves for the DGVs for aluminium in marine water – ANZG (</w:t>
      </w:r>
      <w:r w:rsidR="007A69DE">
        <w:t>2025e</w:t>
      </w:r>
      <w:r>
        <w:t>)</w:t>
      </w:r>
    </w:p>
    <w:p w14:paraId="4BFB6050" w14:textId="026D6BCF" w:rsidR="00B679A4" w:rsidRDefault="00FA1E1C" w:rsidP="004D7186">
      <w:r>
        <w:t xml:space="preserve">Moreover, most of the DGVs published since 2020 </w:t>
      </w:r>
      <w:r w:rsidR="005F3E3B">
        <w:t xml:space="preserve">on the </w:t>
      </w:r>
      <w:hyperlink r:id="rId43" w:history="1">
        <w:r w:rsidR="005F3E3B" w:rsidRPr="005F3E3B">
          <w:rPr>
            <w:rStyle w:val="Hyperlink"/>
          </w:rPr>
          <w:t>ANZG (2018) website</w:t>
        </w:r>
      </w:hyperlink>
      <w:r w:rsidR="005F3E3B">
        <w:t xml:space="preserve"> </w:t>
      </w:r>
      <w:r>
        <w:t xml:space="preserve">include numerous professional </w:t>
      </w:r>
      <w:r w:rsidR="00542D1C">
        <w:t>judgement</w:t>
      </w:r>
      <w:r w:rsidR="00A948D5">
        <w:t xml:space="preserve"> decisions on individual data selections, which can be </w:t>
      </w:r>
      <w:r w:rsidR="00E432C7">
        <w:t xml:space="preserve">also </w:t>
      </w:r>
      <w:r w:rsidR="00A948D5">
        <w:t>used as a guide for the degree of documentation that is required.</w:t>
      </w:r>
      <w:bookmarkStart w:id="165" w:name="_Toc202084781"/>
      <w:bookmarkStart w:id="166" w:name="_Ref522008259"/>
      <w:bookmarkStart w:id="167" w:name="_Ref522008270"/>
      <w:bookmarkStart w:id="168" w:name="_Ref522008277"/>
      <w:bookmarkStart w:id="169" w:name="_Ref522008292"/>
    </w:p>
    <w:p w14:paraId="75EF64C7" w14:textId="6006DD7E" w:rsidR="00C90858" w:rsidRPr="004D3DDB" w:rsidRDefault="00C90858" w:rsidP="004C272A">
      <w:pPr>
        <w:pStyle w:val="Heading7"/>
      </w:pPr>
      <w:bookmarkStart w:id="170" w:name="_Ref202085395"/>
      <w:bookmarkStart w:id="171" w:name="_Toc206143341"/>
      <w:r w:rsidRPr="004D3DDB">
        <w:lastRenderedPageBreak/>
        <w:t xml:space="preserve">Details of updates to the derivation method from 2015 to 2018 and </w:t>
      </w:r>
      <w:r w:rsidR="005569CA">
        <w:t xml:space="preserve">from </w:t>
      </w:r>
      <w:r w:rsidRPr="004D3DDB">
        <w:t xml:space="preserve">2018 to </w:t>
      </w:r>
      <w:r w:rsidR="00694D7B" w:rsidRPr="004D3DDB">
        <w:t>2025</w:t>
      </w:r>
      <w:bookmarkEnd w:id="165"/>
      <w:bookmarkEnd w:id="170"/>
      <w:bookmarkEnd w:id="171"/>
    </w:p>
    <w:p w14:paraId="1057EBCB" w14:textId="7D79808E" w:rsidR="00C90858" w:rsidRPr="00D636A6" w:rsidRDefault="00C562C3" w:rsidP="00C562C3">
      <w:pPr>
        <w:pStyle w:val="Caption"/>
      </w:pPr>
      <w:bookmarkStart w:id="172" w:name="_Toc206085225"/>
      <w:r>
        <w:t>Table</w:t>
      </w:r>
      <w:r w:rsidR="000B093C">
        <w:t> </w:t>
      </w:r>
      <w:r>
        <w:fldChar w:fldCharType="begin"/>
      </w:r>
      <w:r>
        <w:instrText xml:space="preserve"> STYLEREF 7 \s </w:instrText>
      </w:r>
      <w:r>
        <w:fldChar w:fldCharType="separate"/>
      </w:r>
      <w:r w:rsidR="006C5761">
        <w:rPr>
          <w:noProof/>
        </w:rPr>
        <w:t>A</w:t>
      </w:r>
      <w:r>
        <w:rPr>
          <w:noProof/>
        </w:rPr>
        <w:fldChar w:fldCharType="end"/>
      </w:r>
      <w:r>
        <w:t>.</w:t>
      </w:r>
      <w:r>
        <w:fldChar w:fldCharType="begin"/>
      </w:r>
      <w:r>
        <w:instrText xml:space="preserve"> SEQ ApxTable \* ARABIC \s 7 </w:instrText>
      </w:r>
      <w:r>
        <w:fldChar w:fldCharType="separate"/>
      </w:r>
      <w:r w:rsidR="006C5761">
        <w:rPr>
          <w:noProof/>
        </w:rPr>
        <w:t>1</w:t>
      </w:r>
      <w:r>
        <w:rPr>
          <w:noProof/>
        </w:rPr>
        <w:fldChar w:fldCharType="end"/>
      </w:r>
      <w:r w:rsidR="00C90858" w:rsidRPr="00D636A6">
        <w:t xml:space="preserve"> </w:t>
      </w:r>
      <w:r w:rsidR="00C90858" w:rsidRPr="00C90858">
        <w:t xml:space="preserve">Details of updates between </w:t>
      </w:r>
      <w:r>
        <w:t xml:space="preserve">the </w:t>
      </w:r>
      <w:r w:rsidR="00C90858" w:rsidRPr="00C90858">
        <w:t>2015 and 2018 versions of the method</w:t>
      </w:r>
      <w:r w:rsidR="00C90858" w:rsidRPr="00C90858">
        <w:rPr>
          <w:rFonts w:eastAsiaTheme="minorHAnsi" w:cstheme="minorBidi"/>
          <w:b w:val="0"/>
          <w:bCs w:val="0"/>
          <w:color w:val="auto"/>
          <w:szCs w:val="22"/>
        </w:rPr>
        <w:t xml:space="preserve"> </w:t>
      </w:r>
      <w:r w:rsidR="00C90858" w:rsidRPr="00C90858">
        <w:t>for deriving Australian and New Zealand water quality guideline values for toxicants</w:t>
      </w:r>
      <w:bookmarkEnd w:id="17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Caption w:val="Modifications made since August 2015"/>
        <w:tblDescription w:val="Table shows the modifications made to the report since August 2015. Only those modifications to the method are described in this table, minor edits are not included."/>
      </w:tblPr>
      <w:tblGrid>
        <w:gridCol w:w="9070"/>
      </w:tblGrid>
      <w:tr w:rsidR="00C90858" w:rsidRPr="00C90858" w14:paraId="50913F7C" w14:textId="77777777" w:rsidTr="57352DF8">
        <w:trPr>
          <w:tblHeader/>
        </w:trPr>
        <w:tc>
          <w:tcPr>
            <w:tcW w:w="5000" w:type="pct"/>
            <w:vAlign w:val="center"/>
          </w:tcPr>
          <w:p w14:paraId="6BD11EA3" w14:textId="2B293414" w:rsidR="00C90858" w:rsidRPr="00C90858" w:rsidRDefault="00C90858">
            <w:pPr>
              <w:pStyle w:val="TableText"/>
              <w:rPr>
                <w:b/>
                <w:bCs/>
              </w:rPr>
            </w:pPr>
            <w:r w:rsidRPr="00C90858">
              <w:rPr>
                <w:b/>
                <w:bCs/>
              </w:rPr>
              <w:t>Details of updates</w:t>
            </w:r>
            <w:r>
              <w:rPr>
                <w:b/>
                <w:bCs/>
              </w:rPr>
              <w:t xml:space="preserve"> between 2015 and 2018</w:t>
            </w:r>
          </w:p>
        </w:tc>
      </w:tr>
      <w:tr w:rsidR="00C90858" w14:paraId="1FF6A1A9" w14:textId="77777777" w:rsidTr="57352DF8">
        <w:trPr>
          <w:cantSplit/>
        </w:trPr>
        <w:tc>
          <w:tcPr>
            <w:tcW w:w="5000" w:type="pct"/>
            <w:vAlign w:val="center"/>
          </w:tcPr>
          <w:p w14:paraId="40C6A6B7" w14:textId="2336BFC9" w:rsidR="00C90858" w:rsidRDefault="00C90858">
            <w:pPr>
              <w:pStyle w:val="TableText"/>
              <w:rPr>
                <w:highlight w:val="yellow"/>
                <w:lang w:eastAsia="en-AU"/>
              </w:rPr>
            </w:pPr>
            <w:r w:rsidRPr="00A83BFF">
              <w:t xml:space="preserve">The citation of the report </w:t>
            </w:r>
            <w:r w:rsidR="00AB3BBE">
              <w:t>was</w:t>
            </w:r>
            <w:r w:rsidRPr="00A83BFF">
              <w:t xml:space="preserve"> changed</w:t>
            </w:r>
          </w:p>
        </w:tc>
      </w:tr>
      <w:tr w:rsidR="00C90858" w14:paraId="6A132BCB" w14:textId="77777777" w:rsidTr="57352DF8">
        <w:trPr>
          <w:cantSplit/>
        </w:trPr>
        <w:tc>
          <w:tcPr>
            <w:tcW w:w="5000" w:type="pct"/>
            <w:vAlign w:val="center"/>
          </w:tcPr>
          <w:p w14:paraId="53A48871" w14:textId="66F019C6" w:rsidR="00C90858" w:rsidRPr="00A83BFF" w:rsidRDefault="00C90858">
            <w:pPr>
              <w:pStyle w:val="TableText"/>
            </w:pPr>
            <w:r w:rsidRPr="57352DF8">
              <w:t>Section 1.1:</w:t>
            </w:r>
            <w:r w:rsidRPr="57352DF8">
              <w:rPr>
                <w:lang w:eastAsia="en-AU"/>
              </w:rPr>
              <w:t xml:space="preserve"> the final sentence </w:t>
            </w:r>
            <w:r w:rsidR="00AB3BBE">
              <w:rPr>
                <w:lang w:eastAsia="en-AU"/>
              </w:rPr>
              <w:t>was</w:t>
            </w:r>
            <w:r w:rsidRPr="57352DF8">
              <w:rPr>
                <w:lang w:eastAsia="en-AU"/>
              </w:rPr>
              <w:t xml:space="preserve"> modified</w:t>
            </w:r>
          </w:p>
        </w:tc>
      </w:tr>
      <w:tr w:rsidR="00C90858" w14:paraId="6D662352" w14:textId="77777777" w:rsidTr="57352DF8">
        <w:trPr>
          <w:cantSplit/>
        </w:trPr>
        <w:tc>
          <w:tcPr>
            <w:tcW w:w="5000" w:type="pct"/>
            <w:vAlign w:val="center"/>
          </w:tcPr>
          <w:p w14:paraId="7C83F54A" w14:textId="2E2E70D9" w:rsidR="00C90858" w:rsidRDefault="00C90858">
            <w:pPr>
              <w:pStyle w:val="TableText"/>
            </w:pPr>
            <w:r>
              <w:t>Section 1.2:</w:t>
            </w:r>
            <w:r>
              <w:rPr>
                <w:lang w:eastAsia="en-AU"/>
              </w:rPr>
              <w:t xml:space="preserve"> a sentence </w:t>
            </w:r>
            <w:r w:rsidR="00AB3BBE">
              <w:rPr>
                <w:lang w:eastAsia="en-AU"/>
              </w:rPr>
              <w:t>was</w:t>
            </w:r>
            <w:r>
              <w:rPr>
                <w:lang w:eastAsia="en-AU"/>
              </w:rPr>
              <w:t xml:space="preserve"> added to clarify the difference between </w:t>
            </w:r>
            <w:r w:rsidR="00912D80">
              <w:rPr>
                <w:lang w:eastAsia="en-AU"/>
              </w:rPr>
              <w:t>g</w:t>
            </w:r>
            <w:r>
              <w:rPr>
                <w:lang w:eastAsia="en-AU"/>
              </w:rPr>
              <w:t xml:space="preserve">uideline </w:t>
            </w:r>
            <w:r w:rsidR="00912D80">
              <w:rPr>
                <w:lang w:eastAsia="en-AU"/>
              </w:rPr>
              <w:t>v</w:t>
            </w:r>
            <w:r>
              <w:rPr>
                <w:lang w:eastAsia="en-AU"/>
              </w:rPr>
              <w:t xml:space="preserve">alues and </w:t>
            </w:r>
            <w:r w:rsidR="00912D80">
              <w:rPr>
                <w:lang w:eastAsia="en-AU"/>
              </w:rPr>
              <w:t>d</w:t>
            </w:r>
            <w:r>
              <w:rPr>
                <w:lang w:eastAsia="en-AU"/>
              </w:rPr>
              <w:t xml:space="preserve">efault </w:t>
            </w:r>
            <w:r w:rsidR="00912D80">
              <w:rPr>
                <w:lang w:eastAsia="en-AU"/>
              </w:rPr>
              <w:t>g</w:t>
            </w:r>
            <w:r>
              <w:rPr>
                <w:lang w:eastAsia="en-AU"/>
              </w:rPr>
              <w:t xml:space="preserve">uideline </w:t>
            </w:r>
            <w:r w:rsidR="00912D80">
              <w:rPr>
                <w:lang w:eastAsia="en-AU"/>
              </w:rPr>
              <w:t>v</w:t>
            </w:r>
            <w:r>
              <w:rPr>
                <w:lang w:eastAsia="en-AU"/>
              </w:rPr>
              <w:t>alues</w:t>
            </w:r>
          </w:p>
        </w:tc>
      </w:tr>
      <w:tr w:rsidR="00C90858" w14:paraId="1E749FB2" w14:textId="77777777" w:rsidTr="57352DF8">
        <w:trPr>
          <w:cantSplit/>
        </w:trPr>
        <w:tc>
          <w:tcPr>
            <w:tcW w:w="5000" w:type="pct"/>
            <w:vAlign w:val="center"/>
          </w:tcPr>
          <w:p w14:paraId="02660258" w14:textId="4F8E15A2" w:rsidR="00C90858" w:rsidRDefault="00C90858">
            <w:pPr>
              <w:pStyle w:val="TableText"/>
            </w:pPr>
            <w:r>
              <w:t>Section 2:</w:t>
            </w:r>
            <w:r>
              <w:rPr>
                <w:lang w:eastAsia="en-AU"/>
              </w:rPr>
              <w:t xml:space="preserve"> a new final paragraph </w:t>
            </w:r>
            <w:r w:rsidR="00AB3BBE">
              <w:rPr>
                <w:lang w:eastAsia="en-AU"/>
              </w:rPr>
              <w:t>was</w:t>
            </w:r>
            <w:r>
              <w:rPr>
                <w:lang w:eastAsia="en-AU"/>
              </w:rPr>
              <w:t xml:space="preserve"> inserted</w:t>
            </w:r>
          </w:p>
        </w:tc>
      </w:tr>
      <w:tr w:rsidR="00C90858" w14:paraId="56F43D2F" w14:textId="77777777" w:rsidTr="57352DF8">
        <w:trPr>
          <w:cantSplit/>
        </w:trPr>
        <w:tc>
          <w:tcPr>
            <w:tcW w:w="5000" w:type="pct"/>
            <w:vAlign w:val="center"/>
          </w:tcPr>
          <w:p w14:paraId="05AAA8F8" w14:textId="14621837" w:rsidR="00B679A4" w:rsidRDefault="00C90858">
            <w:pPr>
              <w:pStyle w:val="TableText"/>
              <w:rPr>
                <w:lang w:eastAsia="en-AU"/>
              </w:rPr>
            </w:pPr>
            <w:r w:rsidRPr="007B0E4A">
              <w:rPr>
                <w:lang w:eastAsia="en-AU"/>
              </w:rPr>
              <w:t xml:space="preserve">Section 3.1, </w:t>
            </w:r>
            <w:r w:rsidRPr="000709C8">
              <w:rPr>
                <w:lang w:eastAsia="en-AU"/>
              </w:rPr>
              <w:t>first</w:t>
            </w:r>
            <w:r w:rsidRPr="007B0E4A">
              <w:rPr>
                <w:lang w:eastAsia="en-AU"/>
              </w:rPr>
              <w:t xml:space="preserve"> paragraph</w:t>
            </w:r>
            <w:r>
              <w:rPr>
                <w:lang w:eastAsia="en-AU"/>
              </w:rPr>
              <w:t>:</w:t>
            </w:r>
          </w:p>
          <w:p w14:paraId="7F20E5A4" w14:textId="7FBE88A0" w:rsidR="00B679A4" w:rsidRDefault="00C90858" w:rsidP="00540B0A">
            <w:pPr>
              <w:pStyle w:val="TableBullet"/>
            </w:pPr>
            <w:r>
              <w:t>T</w:t>
            </w:r>
            <w:r w:rsidRPr="007B0E4A">
              <w:t xml:space="preserve">ext </w:t>
            </w:r>
            <w:r w:rsidR="00AB3BBE">
              <w:t>was</w:t>
            </w:r>
            <w:r w:rsidRPr="007B0E4A">
              <w:t xml:space="preserve"> added to clarify that chronic toxicity data includes data generated </w:t>
            </w:r>
            <w:r w:rsidRPr="006C743A">
              <w:t>from both single-</w:t>
            </w:r>
            <w:r w:rsidR="00CB627A">
              <w:t>generation</w:t>
            </w:r>
            <w:r w:rsidRPr="006C743A">
              <w:t xml:space="preserve"> and </w:t>
            </w:r>
            <w:r w:rsidRPr="00566E86">
              <w:t>multi</w:t>
            </w:r>
            <w:r w:rsidRPr="006C743A">
              <w:t>-generation toxicity tests</w:t>
            </w:r>
          </w:p>
          <w:p w14:paraId="0CCF3D36" w14:textId="6576AD4F" w:rsidR="00C90858" w:rsidRDefault="00C90858" w:rsidP="00540B0A">
            <w:pPr>
              <w:pStyle w:val="TableBullet"/>
            </w:pPr>
            <w:r w:rsidRPr="57352DF8">
              <w:t xml:space="preserve">A sentence </w:t>
            </w:r>
            <w:r w:rsidR="00AB3BBE">
              <w:t>was</w:t>
            </w:r>
            <w:r w:rsidRPr="57352DF8">
              <w:t xml:space="preserve"> added to clarify when toxicity data related to uptake from water and from food are appropriate to use</w:t>
            </w:r>
          </w:p>
          <w:p w14:paraId="056BF05A" w14:textId="5314FB41" w:rsidR="00C90858" w:rsidRDefault="00C90858" w:rsidP="00540B0A">
            <w:pPr>
              <w:pStyle w:val="TableBullet"/>
            </w:pPr>
            <w:r>
              <w:t xml:space="preserve">Text </w:t>
            </w:r>
            <w:r w:rsidR="00AB3BBE">
              <w:t>was</w:t>
            </w:r>
            <w:r>
              <w:t xml:space="preserve"> added to clarify what type of toxicity data can be used to derive </w:t>
            </w:r>
            <w:r w:rsidR="0028762D">
              <w:t>guideline value</w:t>
            </w:r>
            <w:r>
              <w:t>s for chemicals that are normally released in mixtures, such as pesticides</w:t>
            </w:r>
          </w:p>
          <w:p w14:paraId="18F054DC" w14:textId="4D98BE60" w:rsidR="00C90858" w:rsidRPr="007B0E4A" w:rsidRDefault="00C90858" w:rsidP="00540B0A">
            <w:pPr>
              <w:pStyle w:val="TableBullet"/>
            </w:pPr>
            <w:r w:rsidRPr="57352DF8">
              <w:t xml:space="preserve">Text </w:t>
            </w:r>
            <w:r w:rsidR="00AB3BBE">
              <w:t>was</w:t>
            </w:r>
            <w:r w:rsidRPr="57352DF8">
              <w:t xml:space="preserve"> added to clarify the types of exposure routes that are appropriate for bioaccumulating and non-bioaccumulating chemicals</w:t>
            </w:r>
          </w:p>
        </w:tc>
      </w:tr>
      <w:tr w:rsidR="00C90858" w14:paraId="501EB6BD" w14:textId="77777777" w:rsidTr="57352DF8">
        <w:trPr>
          <w:cantSplit/>
        </w:trPr>
        <w:tc>
          <w:tcPr>
            <w:tcW w:w="5000" w:type="pct"/>
            <w:vAlign w:val="center"/>
          </w:tcPr>
          <w:p w14:paraId="72DC15EE" w14:textId="77777777" w:rsidR="00C90858" w:rsidRDefault="00C90858">
            <w:pPr>
              <w:pStyle w:val="TableText"/>
              <w:rPr>
                <w:rFonts w:cs="Arial"/>
              </w:rPr>
            </w:pPr>
            <w:r w:rsidRPr="007B0E4A">
              <w:rPr>
                <w:rFonts w:cs="Arial"/>
              </w:rPr>
              <w:t>Section 3.1</w:t>
            </w:r>
            <w:r>
              <w:rPr>
                <w:rFonts w:cs="Arial"/>
              </w:rPr>
              <w:t>:</w:t>
            </w:r>
          </w:p>
          <w:p w14:paraId="00422DD9" w14:textId="77CC57FE" w:rsidR="00C90858" w:rsidRDefault="00C90858" w:rsidP="00540B0A">
            <w:pPr>
              <w:pStyle w:val="TableBullet"/>
            </w:pPr>
            <w:r>
              <w:t>Text on t</w:t>
            </w:r>
            <w:r w:rsidRPr="007B0E4A">
              <w:t>he mode or mechanism of action of the test chemical was added to the information to be collated</w:t>
            </w:r>
          </w:p>
          <w:p w14:paraId="05E57DFB" w14:textId="7AC77AD5" w:rsidR="00C90858" w:rsidRPr="007B0E4A" w:rsidRDefault="00C90858" w:rsidP="00540B0A">
            <w:pPr>
              <w:pStyle w:val="TableBullet"/>
            </w:pPr>
            <w:r w:rsidRPr="57352DF8">
              <w:t xml:space="preserve">Text on deriving </w:t>
            </w:r>
            <w:r w:rsidR="001C52D3">
              <w:t>guideline value</w:t>
            </w:r>
            <w:r w:rsidRPr="57352DF8">
              <w:t xml:space="preserve">s for estuarine, freshwater and marine waters </w:t>
            </w:r>
            <w:r w:rsidR="00B60F68">
              <w:t>was</w:t>
            </w:r>
            <w:r w:rsidRPr="57352DF8">
              <w:t xml:space="preserve"> added</w:t>
            </w:r>
          </w:p>
        </w:tc>
      </w:tr>
      <w:tr w:rsidR="00C90858" w14:paraId="7858734F" w14:textId="77777777" w:rsidTr="57352DF8">
        <w:trPr>
          <w:cantSplit/>
        </w:trPr>
        <w:tc>
          <w:tcPr>
            <w:tcW w:w="5000" w:type="pct"/>
            <w:vAlign w:val="center"/>
          </w:tcPr>
          <w:p w14:paraId="45554D7B" w14:textId="77777777" w:rsidR="00C90858" w:rsidRDefault="00C90858">
            <w:pPr>
              <w:pStyle w:val="TableText"/>
              <w:rPr>
                <w:lang w:eastAsia="en-AU"/>
              </w:rPr>
            </w:pPr>
            <w:r>
              <w:rPr>
                <w:lang w:eastAsia="en-AU"/>
              </w:rPr>
              <w:t>Table 1:</w:t>
            </w:r>
          </w:p>
          <w:p w14:paraId="748A530E" w14:textId="51C033C4" w:rsidR="00C90858" w:rsidRDefault="00C90858" w:rsidP="00540B0A">
            <w:pPr>
              <w:pStyle w:val="TableBullet"/>
            </w:pPr>
            <w:r w:rsidRPr="57352DF8">
              <w:t>The content of the rows for acute microinvertebrates, chronic macroinvertebrates and chronic microinvertebrates were changed</w:t>
            </w:r>
          </w:p>
          <w:p w14:paraId="79A12516" w14:textId="558EBFBE" w:rsidR="00C90858" w:rsidRDefault="00C90858" w:rsidP="00540B0A">
            <w:pPr>
              <w:pStyle w:val="TableBullet"/>
            </w:pPr>
            <w:r w:rsidRPr="57352DF8">
              <w:t>Changes were made to the footnotes, particularly the definitions of macroinvertebrates and microinvertebrates</w:t>
            </w:r>
          </w:p>
          <w:p w14:paraId="3618B780" w14:textId="47DF5301" w:rsidR="00C90858" w:rsidRDefault="00C90858" w:rsidP="00540B0A">
            <w:pPr>
              <w:pStyle w:val="TableBullet"/>
            </w:pPr>
            <w:r w:rsidRPr="57352DF8">
              <w:t>There are now rows for</w:t>
            </w:r>
            <w:r w:rsidR="00C64837">
              <w:t xml:space="preserve"> 3</w:t>
            </w:r>
            <w:r w:rsidRPr="57352DF8">
              <w:t xml:space="preserve"> early life</w:t>
            </w:r>
            <w:r w:rsidR="001C52D3">
              <w:t>-</w:t>
            </w:r>
            <w:r w:rsidRPr="57352DF8">
              <w:t>stage endpoints (lethality, development and fertilisation)</w:t>
            </w:r>
            <w:r w:rsidR="001C52D3">
              <w:t>,</w:t>
            </w:r>
            <w:r w:rsidRPr="57352DF8">
              <w:t xml:space="preserve"> each with their own definition of the minimum exposure duration to be considered chronic</w:t>
            </w:r>
          </w:p>
          <w:p w14:paraId="6D4482BD" w14:textId="2030B8B4" w:rsidR="00C90858" w:rsidRPr="007B0E4A" w:rsidRDefault="00C90858" w:rsidP="00540B0A">
            <w:pPr>
              <w:pStyle w:val="TableBullet"/>
            </w:pPr>
            <w:r w:rsidRPr="57352DF8">
              <w:t xml:space="preserve">The chronic section </w:t>
            </w:r>
            <w:r w:rsidR="00B60F68">
              <w:t>was</w:t>
            </w:r>
            <w:r w:rsidRPr="57352DF8">
              <w:t xml:space="preserve"> modified to accommodate both single-</w:t>
            </w:r>
            <w:r w:rsidR="001C52D3">
              <w:t>generation</w:t>
            </w:r>
            <w:r w:rsidRPr="57352DF8">
              <w:t xml:space="preserve"> and multi-generation toxicity data</w:t>
            </w:r>
            <w:r w:rsidR="00940509">
              <w:t>,</w:t>
            </w:r>
            <w:r w:rsidRPr="57352DF8">
              <w:t xml:space="preserve"> and definitions of these terms </w:t>
            </w:r>
            <w:r w:rsidR="00940509">
              <w:t>we</w:t>
            </w:r>
            <w:r w:rsidRPr="57352DF8">
              <w:t>re provided in the Glossary</w:t>
            </w:r>
          </w:p>
        </w:tc>
      </w:tr>
      <w:tr w:rsidR="00C90858" w14:paraId="5D76A30E" w14:textId="77777777" w:rsidTr="57352DF8">
        <w:trPr>
          <w:cantSplit/>
        </w:trPr>
        <w:tc>
          <w:tcPr>
            <w:tcW w:w="5000" w:type="pct"/>
            <w:vAlign w:val="center"/>
          </w:tcPr>
          <w:p w14:paraId="744C980E" w14:textId="77777777" w:rsidR="00C90858" w:rsidRDefault="00C90858">
            <w:pPr>
              <w:pStyle w:val="TableText"/>
              <w:rPr>
                <w:lang w:eastAsia="en-AU"/>
              </w:rPr>
            </w:pPr>
            <w:r>
              <w:rPr>
                <w:lang w:eastAsia="en-AU"/>
              </w:rPr>
              <w:t>Section 3.2:</w:t>
            </w:r>
          </w:p>
          <w:p w14:paraId="397242C1" w14:textId="663A3C26" w:rsidR="00C90858" w:rsidRDefault="00C90858" w:rsidP="00540B0A">
            <w:pPr>
              <w:pStyle w:val="TableBullet"/>
            </w:pPr>
            <w:r w:rsidRPr="57352DF8">
              <w:t xml:space="preserve">First paragraph: text </w:t>
            </w:r>
            <w:r w:rsidR="00B60F68">
              <w:t>was</w:t>
            </w:r>
            <w:r w:rsidRPr="57352DF8">
              <w:t xml:space="preserve"> added to indicate that data with characteristics presented in Table 2 can be used if a strong justification is provided</w:t>
            </w:r>
          </w:p>
          <w:p w14:paraId="6F77AEB7" w14:textId="3B351C53" w:rsidR="00C90858" w:rsidRDefault="00C90858" w:rsidP="00540B0A">
            <w:pPr>
              <w:pStyle w:val="TableBullet"/>
            </w:pPr>
            <w:r>
              <w:t>Last paragraph: this paragraph was added to explain how ecotoxicity data for chemicals that occur in formulation should be screened</w:t>
            </w:r>
          </w:p>
        </w:tc>
      </w:tr>
      <w:tr w:rsidR="00C90858" w14:paraId="6F9A638C" w14:textId="77777777" w:rsidTr="57352DF8">
        <w:trPr>
          <w:cantSplit/>
        </w:trPr>
        <w:tc>
          <w:tcPr>
            <w:tcW w:w="5000" w:type="pct"/>
            <w:vAlign w:val="center"/>
          </w:tcPr>
          <w:p w14:paraId="2B5A449A" w14:textId="77777777" w:rsidR="00C90858" w:rsidRDefault="00C90858">
            <w:pPr>
              <w:pStyle w:val="TableText"/>
              <w:rPr>
                <w:lang w:eastAsia="en-AU"/>
              </w:rPr>
            </w:pPr>
            <w:r>
              <w:rPr>
                <w:lang w:eastAsia="en-AU"/>
              </w:rPr>
              <w:t>Table 2:</w:t>
            </w:r>
          </w:p>
          <w:p w14:paraId="41068CBB" w14:textId="49CB4C21" w:rsidR="00C90858" w:rsidRDefault="00C90858" w:rsidP="00540B0A">
            <w:pPr>
              <w:pStyle w:val="TableBullet"/>
            </w:pPr>
            <w:r>
              <w:t xml:space="preserve">The caption to the table </w:t>
            </w:r>
            <w:r w:rsidR="00B60F68">
              <w:t>was</w:t>
            </w:r>
            <w:r>
              <w:t xml:space="preserve"> changed and a</w:t>
            </w:r>
            <w:r w:rsidRPr="008470AE">
              <w:t xml:space="preserve"> footnote </w:t>
            </w:r>
            <w:r>
              <w:t xml:space="preserve">added </w:t>
            </w:r>
            <w:r w:rsidRPr="008470AE">
              <w:t>to the caption of the table</w:t>
            </w:r>
          </w:p>
          <w:p w14:paraId="3351B208" w14:textId="6BE483C1" w:rsidR="00C90858" w:rsidRDefault="00C90858" w:rsidP="00540B0A">
            <w:pPr>
              <w:pStyle w:val="TableBullet"/>
            </w:pPr>
            <w:r>
              <w:t>A</w:t>
            </w:r>
            <w:r w:rsidRPr="008470AE">
              <w:t>n</w:t>
            </w:r>
            <w:r>
              <w:t xml:space="preserve"> example </w:t>
            </w:r>
            <w:r w:rsidR="00B60F68">
              <w:t>was</w:t>
            </w:r>
            <w:r>
              <w:t xml:space="preserve"> provided in row</w:t>
            </w:r>
            <w:r w:rsidR="00C64837">
              <w:t xml:space="preserve"> 2</w:t>
            </w:r>
          </w:p>
          <w:p w14:paraId="6027BD6A" w14:textId="4CEC8A9B" w:rsidR="00C90858" w:rsidRDefault="00C90858" w:rsidP="00540B0A">
            <w:pPr>
              <w:pStyle w:val="TableBullet"/>
            </w:pPr>
            <w:r>
              <w:t>The definition in row</w:t>
            </w:r>
            <w:r w:rsidR="00C64837">
              <w:t xml:space="preserve"> 3</w:t>
            </w:r>
            <w:r>
              <w:t xml:space="preserve"> </w:t>
            </w:r>
            <w:r w:rsidR="00B60F68">
              <w:t>was</w:t>
            </w:r>
            <w:r>
              <w:t xml:space="preserve"> expanded</w:t>
            </w:r>
          </w:p>
        </w:tc>
      </w:tr>
      <w:tr w:rsidR="00C90858" w14:paraId="76ADE760" w14:textId="77777777" w:rsidTr="57352DF8">
        <w:trPr>
          <w:cantSplit/>
        </w:trPr>
        <w:tc>
          <w:tcPr>
            <w:tcW w:w="5000" w:type="pct"/>
            <w:vAlign w:val="center"/>
          </w:tcPr>
          <w:p w14:paraId="10E9DC1C" w14:textId="5346B8DE" w:rsidR="00C90858" w:rsidRDefault="00C90858" w:rsidP="57352DF8">
            <w:pPr>
              <w:pStyle w:val="TableText"/>
              <w:rPr>
                <w:lang w:eastAsia="en-AU"/>
              </w:rPr>
            </w:pPr>
            <w:r w:rsidRPr="57352DF8">
              <w:rPr>
                <w:lang w:eastAsia="en-AU"/>
              </w:rPr>
              <w:t xml:space="preserve">Section 3.3.2: the text for the second dot point on the degree of replication required </w:t>
            </w:r>
            <w:r w:rsidR="00B60F68">
              <w:rPr>
                <w:lang w:eastAsia="en-AU"/>
              </w:rPr>
              <w:t>was</w:t>
            </w:r>
            <w:r w:rsidRPr="57352DF8">
              <w:rPr>
                <w:lang w:eastAsia="en-AU"/>
              </w:rPr>
              <w:t xml:space="preserve"> modified</w:t>
            </w:r>
          </w:p>
        </w:tc>
      </w:tr>
      <w:tr w:rsidR="00C90858" w14:paraId="6CB3AA80" w14:textId="77777777" w:rsidTr="57352DF8">
        <w:trPr>
          <w:cantSplit/>
        </w:trPr>
        <w:tc>
          <w:tcPr>
            <w:tcW w:w="5000" w:type="pct"/>
            <w:vAlign w:val="center"/>
          </w:tcPr>
          <w:p w14:paraId="0892397A" w14:textId="5D52BED7" w:rsidR="00C90858" w:rsidRDefault="00C90858" w:rsidP="57352DF8">
            <w:pPr>
              <w:pStyle w:val="TableText"/>
              <w:rPr>
                <w:lang w:eastAsia="en-AU"/>
              </w:rPr>
            </w:pPr>
            <w:r w:rsidRPr="57352DF8">
              <w:rPr>
                <w:lang w:eastAsia="en-AU"/>
              </w:rPr>
              <w:t>Section 3.4:</w:t>
            </w:r>
            <w:r w:rsidR="00C64837">
              <w:rPr>
                <w:lang w:eastAsia="en-AU"/>
              </w:rPr>
              <w:t xml:space="preserve"> 2</w:t>
            </w:r>
            <w:r w:rsidRPr="57352DF8">
              <w:rPr>
                <w:lang w:eastAsia="en-AU"/>
              </w:rPr>
              <w:t xml:space="preserve"> new paragraphs </w:t>
            </w:r>
            <w:r w:rsidR="00940509">
              <w:rPr>
                <w:lang w:eastAsia="en-AU"/>
              </w:rPr>
              <w:t>were</w:t>
            </w:r>
            <w:r w:rsidRPr="57352DF8">
              <w:rPr>
                <w:lang w:eastAsia="en-AU"/>
              </w:rPr>
              <w:t xml:space="preserve"> added (the last</w:t>
            </w:r>
            <w:r w:rsidR="00C64837">
              <w:rPr>
                <w:lang w:eastAsia="en-AU"/>
              </w:rPr>
              <w:t xml:space="preserve"> 2</w:t>
            </w:r>
            <w:r w:rsidRPr="57352DF8">
              <w:rPr>
                <w:lang w:eastAsia="en-AU"/>
              </w:rPr>
              <w:t xml:space="preserve"> in this section). These provide guidance on the use of field, mesocosm and microcosm data, how much replication is required, appropriate experimental design</w:t>
            </w:r>
            <w:r w:rsidR="002F47A1">
              <w:rPr>
                <w:lang w:eastAsia="en-AU"/>
              </w:rPr>
              <w:t>,</w:t>
            </w:r>
            <w:r w:rsidRPr="57352DF8">
              <w:rPr>
                <w:lang w:eastAsia="en-AU"/>
              </w:rPr>
              <w:t xml:space="preserve"> and </w:t>
            </w:r>
            <w:r w:rsidR="002F47A1">
              <w:rPr>
                <w:lang w:eastAsia="en-AU"/>
              </w:rPr>
              <w:t xml:space="preserve">they </w:t>
            </w:r>
            <w:r w:rsidRPr="57352DF8">
              <w:rPr>
                <w:lang w:eastAsia="en-AU"/>
              </w:rPr>
              <w:t>introduce the concept of using a weight</w:t>
            </w:r>
            <w:r w:rsidR="002F47A1">
              <w:rPr>
                <w:lang w:eastAsia="en-AU"/>
              </w:rPr>
              <w:t>-</w:t>
            </w:r>
            <w:r w:rsidRPr="57352DF8">
              <w:rPr>
                <w:lang w:eastAsia="en-AU"/>
              </w:rPr>
              <w:t>of</w:t>
            </w:r>
            <w:r w:rsidR="002F47A1">
              <w:rPr>
                <w:lang w:eastAsia="en-AU"/>
              </w:rPr>
              <w:t>-</w:t>
            </w:r>
            <w:r w:rsidRPr="57352DF8">
              <w:rPr>
                <w:lang w:eastAsia="en-AU"/>
              </w:rPr>
              <w:t xml:space="preserve">evidence approach to derive site-specific </w:t>
            </w:r>
            <w:r w:rsidR="002F47A1">
              <w:rPr>
                <w:lang w:eastAsia="en-AU"/>
              </w:rPr>
              <w:t>guideline value</w:t>
            </w:r>
            <w:r w:rsidRPr="57352DF8">
              <w:rPr>
                <w:lang w:eastAsia="en-AU"/>
              </w:rPr>
              <w:t>s</w:t>
            </w:r>
          </w:p>
        </w:tc>
      </w:tr>
      <w:tr w:rsidR="00C90858" w14:paraId="0D8A3A3C" w14:textId="77777777" w:rsidTr="57352DF8">
        <w:trPr>
          <w:cantSplit/>
        </w:trPr>
        <w:tc>
          <w:tcPr>
            <w:tcW w:w="5000" w:type="pct"/>
            <w:vAlign w:val="center"/>
          </w:tcPr>
          <w:p w14:paraId="43A0DEA5" w14:textId="1F28106B" w:rsidR="00C90858" w:rsidRDefault="00C90858" w:rsidP="57352DF8">
            <w:pPr>
              <w:pStyle w:val="TableText"/>
              <w:rPr>
                <w:lang w:eastAsia="en-AU"/>
              </w:rPr>
            </w:pPr>
            <w:r w:rsidRPr="57352DF8">
              <w:rPr>
                <w:lang w:eastAsia="en-AU"/>
              </w:rPr>
              <w:t xml:space="preserve">Section 3.4.2: text </w:t>
            </w:r>
            <w:r w:rsidR="00CA0CD8">
              <w:rPr>
                <w:lang w:eastAsia="en-AU"/>
              </w:rPr>
              <w:t xml:space="preserve">was added that </w:t>
            </w:r>
            <w:r w:rsidRPr="57352DF8">
              <w:rPr>
                <w:lang w:eastAsia="en-AU"/>
              </w:rPr>
              <w:t>relat</w:t>
            </w:r>
            <w:r w:rsidR="00CA0CD8">
              <w:rPr>
                <w:lang w:eastAsia="en-AU"/>
              </w:rPr>
              <w:t>es</w:t>
            </w:r>
            <w:r w:rsidRPr="57352DF8">
              <w:rPr>
                <w:lang w:eastAsia="en-AU"/>
              </w:rPr>
              <w:t xml:space="preserve"> to the use of acute</w:t>
            </w:r>
            <w:r w:rsidR="002F47A1">
              <w:rPr>
                <w:lang w:eastAsia="en-AU"/>
              </w:rPr>
              <w:t>-</w:t>
            </w:r>
            <w:r w:rsidRPr="57352DF8">
              <w:rPr>
                <w:lang w:eastAsia="en-AU"/>
              </w:rPr>
              <w:t>to</w:t>
            </w:r>
            <w:r w:rsidR="002F47A1">
              <w:rPr>
                <w:lang w:eastAsia="en-AU"/>
              </w:rPr>
              <w:t>-</w:t>
            </w:r>
            <w:r w:rsidRPr="57352DF8">
              <w:rPr>
                <w:lang w:eastAsia="en-AU"/>
              </w:rPr>
              <w:t xml:space="preserve">chronic ratios (ACRs) to convert acute NOEC, LOEC and MATC values to chronic NOEC/EC10 values. The ACR for essential elements </w:t>
            </w:r>
            <w:r w:rsidR="00B60F68">
              <w:rPr>
                <w:lang w:eastAsia="en-AU"/>
              </w:rPr>
              <w:t>was</w:t>
            </w:r>
            <w:r w:rsidRPr="57352DF8">
              <w:rPr>
                <w:lang w:eastAsia="en-AU"/>
              </w:rPr>
              <w:t xml:space="preserve"> deleted</w:t>
            </w:r>
          </w:p>
        </w:tc>
      </w:tr>
      <w:tr w:rsidR="00C90858" w14:paraId="1DE30E40" w14:textId="77777777" w:rsidTr="57352DF8">
        <w:trPr>
          <w:cantSplit/>
        </w:trPr>
        <w:tc>
          <w:tcPr>
            <w:tcW w:w="5000" w:type="pct"/>
            <w:vAlign w:val="center"/>
          </w:tcPr>
          <w:p w14:paraId="0AE8BE8E" w14:textId="22C72FB6" w:rsidR="00C90858" w:rsidRDefault="00C90858">
            <w:pPr>
              <w:pStyle w:val="TableText"/>
              <w:rPr>
                <w:lang w:eastAsia="en-AU"/>
              </w:rPr>
            </w:pPr>
            <w:r>
              <w:rPr>
                <w:lang w:eastAsia="en-AU"/>
              </w:rPr>
              <w:lastRenderedPageBreak/>
              <w:t xml:space="preserve">Section 3.4.3: the title of this section </w:t>
            </w:r>
            <w:r w:rsidR="00B60F68">
              <w:rPr>
                <w:lang w:eastAsia="en-AU"/>
              </w:rPr>
              <w:t>was</w:t>
            </w:r>
            <w:r>
              <w:rPr>
                <w:lang w:eastAsia="en-AU"/>
              </w:rPr>
              <w:t xml:space="preserve"> changed and the text extensively rewritten to highlight the limitations of the available methods that attempt to account for modifying factors of metal toxicity – the hardness-modified method, multiple linear regressions and </w:t>
            </w:r>
            <w:r w:rsidR="007E6B51">
              <w:rPr>
                <w:lang w:eastAsia="en-AU"/>
              </w:rPr>
              <w:t>b</w:t>
            </w:r>
            <w:r>
              <w:rPr>
                <w:lang w:eastAsia="en-AU"/>
              </w:rPr>
              <w:t xml:space="preserve">iotic </w:t>
            </w:r>
            <w:r w:rsidR="007E6B51">
              <w:rPr>
                <w:lang w:eastAsia="en-AU"/>
              </w:rPr>
              <w:t>l</w:t>
            </w:r>
            <w:r>
              <w:rPr>
                <w:lang w:eastAsia="en-AU"/>
              </w:rPr>
              <w:t xml:space="preserve">igand </w:t>
            </w:r>
            <w:r w:rsidR="007E6B51">
              <w:rPr>
                <w:lang w:eastAsia="en-AU"/>
              </w:rPr>
              <w:t>m</w:t>
            </w:r>
            <w:r>
              <w:rPr>
                <w:lang w:eastAsia="en-AU"/>
              </w:rPr>
              <w:t xml:space="preserve">odels </w:t>
            </w:r>
            <w:r w:rsidR="00B45E2C">
              <w:rPr>
                <w:lang w:eastAsia="en-AU"/>
              </w:rPr>
              <w:t xml:space="preserve">– </w:t>
            </w:r>
            <w:r>
              <w:rPr>
                <w:lang w:eastAsia="en-AU"/>
              </w:rPr>
              <w:t xml:space="preserve">and to permit the use of all methods to derive or modify </w:t>
            </w:r>
            <w:r w:rsidR="00B45E2C">
              <w:rPr>
                <w:lang w:eastAsia="en-AU"/>
              </w:rPr>
              <w:t>guideline value</w:t>
            </w:r>
            <w:r>
              <w:rPr>
                <w:lang w:eastAsia="en-AU"/>
              </w:rPr>
              <w:t>s</w:t>
            </w:r>
          </w:p>
        </w:tc>
      </w:tr>
      <w:tr w:rsidR="00C90858" w14:paraId="14A9ADB5" w14:textId="77777777" w:rsidTr="57352DF8">
        <w:trPr>
          <w:cantSplit/>
        </w:trPr>
        <w:tc>
          <w:tcPr>
            <w:tcW w:w="5000" w:type="pct"/>
            <w:vAlign w:val="center"/>
          </w:tcPr>
          <w:p w14:paraId="2AA67DBA" w14:textId="77777777" w:rsidR="00C90858" w:rsidRDefault="00C90858">
            <w:pPr>
              <w:pStyle w:val="TableText"/>
              <w:rPr>
                <w:lang w:eastAsia="en-AU"/>
              </w:rPr>
            </w:pPr>
            <w:r>
              <w:rPr>
                <w:lang w:eastAsia="en-AU"/>
              </w:rPr>
              <w:t>Section 3.4.5:</w:t>
            </w:r>
          </w:p>
          <w:p w14:paraId="5031FF31" w14:textId="4E7E26BE" w:rsidR="00C90858" w:rsidRDefault="00C90858" w:rsidP="00540B0A">
            <w:pPr>
              <w:pStyle w:val="TableBullet"/>
            </w:pPr>
            <w:r>
              <w:t>The number of parameters in log-logistic and Burr type III distributions (2 and 3, respectively) was added and a reference to Batley et al. (2018) was added</w:t>
            </w:r>
          </w:p>
          <w:p w14:paraId="2917E49A" w14:textId="58CB9155" w:rsidR="00C90858" w:rsidRDefault="00C90858" w:rsidP="00540B0A">
            <w:pPr>
              <w:pStyle w:val="TableBullet"/>
            </w:pPr>
            <w:r w:rsidRPr="00714764">
              <w:t>The third</w:t>
            </w:r>
            <w:r>
              <w:t xml:space="preserve">, fourth and fifth </w:t>
            </w:r>
            <w:r w:rsidRPr="00714764">
              <w:t>paragraph</w:t>
            </w:r>
            <w:r>
              <w:t>s</w:t>
            </w:r>
            <w:r w:rsidRPr="00714764">
              <w:t xml:space="preserve"> (in the August 2015 version) </w:t>
            </w:r>
            <w:r>
              <w:t>have</w:t>
            </w:r>
            <w:r w:rsidRPr="00714764">
              <w:t xml:space="preserve"> been replaced by</w:t>
            </w:r>
            <w:r w:rsidR="00C64837">
              <w:t xml:space="preserve"> 4</w:t>
            </w:r>
            <w:r w:rsidRPr="00714764">
              <w:t xml:space="preserve"> paragraphs. These paragraphs explain the </w:t>
            </w:r>
            <w:r w:rsidRPr="006C743A">
              <w:t xml:space="preserve">ability to </w:t>
            </w:r>
            <w:r>
              <w:t xml:space="preserve">combine </w:t>
            </w:r>
            <w:r w:rsidRPr="006C743A">
              <w:t>chronic and converted chronic data</w:t>
            </w:r>
            <w:r w:rsidRPr="00714764">
              <w:t xml:space="preserve"> and to combine fresh and marine chronic ecotoxicity data in cases where there are insufficient chronic ecotoxicity data</w:t>
            </w:r>
          </w:p>
        </w:tc>
      </w:tr>
      <w:tr w:rsidR="00C90858" w14:paraId="736F3DFD" w14:textId="77777777" w:rsidTr="57352DF8">
        <w:trPr>
          <w:cantSplit/>
        </w:trPr>
        <w:tc>
          <w:tcPr>
            <w:tcW w:w="5000" w:type="pct"/>
            <w:vAlign w:val="center"/>
          </w:tcPr>
          <w:p w14:paraId="4C79B05A" w14:textId="2888DC0A" w:rsidR="00C90858" w:rsidRDefault="00C90858" w:rsidP="57352DF8">
            <w:pPr>
              <w:pStyle w:val="TableText"/>
              <w:rPr>
                <w:lang w:eastAsia="en-AU"/>
              </w:rPr>
            </w:pPr>
            <w:r w:rsidRPr="57352DF8">
              <w:rPr>
                <w:lang w:eastAsia="en-AU"/>
              </w:rPr>
              <w:t xml:space="preserve">Section 3.5: this section </w:t>
            </w:r>
            <w:r w:rsidR="00B60F68">
              <w:rPr>
                <w:lang w:eastAsia="en-AU"/>
              </w:rPr>
              <w:t>was</w:t>
            </w:r>
            <w:r w:rsidRPr="57352DF8">
              <w:rPr>
                <w:lang w:eastAsia="en-AU"/>
              </w:rPr>
              <w:t xml:space="preserve"> replaced. The new section contains a weight</w:t>
            </w:r>
            <w:r w:rsidR="000B65F5">
              <w:rPr>
                <w:lang w:eastAsia="en-AU"/>
              </w:rPr>
              <w:t>-</w:t>
            </w:r>
            <w:r w:rsidRPr="57352DF8">
              <w:rPr>
                <w:lang w:eastAsia="en-AU"/>
              </w:rPr>
              <w:t>of</w:t>
            </w:r>
            <w:r w:rsidR="000B65F5">
              <w:rPr>
                <w:lang w:eastAsia="en-AU"/>
              </w:rPr>
              <w:t>-</w:t>
            </w:r>
            <w:r w:rsidRPr="57352DF8">
              <w:rPr>
                <w:lang w:eastAsia="en-AU"/>
              </w:rPr>
              <w:t>evidence approach for assessing if data are unimodal or multimodal</w:t>
            </w:r>
          </w:p>
        </w:tc>
      </w:tr>
      <w:tr w:rsidR="00C90858" w14:paraId="5121EBE7" w14:textId="77777777" w:rsidTr="57352DF8">
        <w:trPr>
          <w:cantSplit/>
        </w:trPr>
        <w:tc>
          <w:tcPr>
            <w:tcW w:w="5000" w:type="pct"/>
            <w:vAlign w:val="center"/>
          </w:tcPr>
          <w:p w14:paraId="0DAA1630" w14:textId="0E024286" w:rsidR="00C90858" w:rsidRDefault="00C90858" w:rsidP="57352DF8">
            <w:pPr>
              <w:pStyle w:val="TableText"/>
              <w:rPr>
                <w:lang w:eastAsia="en-AU"/>
              </w:rPr>
            </w:pPr>
            <w:r w:rsidRPr="57352DF8">
              <w:rPr>
                <w:lang w:eastAsia="en-AU"/>
              </w:rPr>
              <w:t xml:space="preserve">Section 3.7: this section </w:t>
            </w:r>
            <w:r w:rsidR="00B60F68">
              <w:rPr>
                <w:lang w:eastAsia="en-AU"/>
              </w:rPr>
              <w:t>was</w:t>
            </w:r>
            <w:r w:rsidRPr="57352DF8">
              <w:rPr>
                <w:lang w:eastAsia="en-AU"/>
              </w:rPr>
              <w:t xml:space="preserve"> modified to explain the links between grades of ecosystem protection and the levels of protection provided by </w:t>
            </w:r>
            <w:r w:rsidR="000B65F5">
              <w:rPr>
                <w:lang w:eastAsia="en-AU"/>
              </w:rPr>
              <w:t>guideline value</w:t>
            </w:r>
            <w:r w:rsidRPr="57352DF8">
              <w:rPr>
                <w:lang w:eastAsia="en-AU"/>
              </w:rPr>
              <w:t>s. Text about rounding</w:t>
            </w:r>
            <w:r w:rsidR="000B65F5">
              <w:rPr>
                <w:lang w:eastAsia="en-AU"/>
              </w:rPr>
              <w:t xml:space="preserve"> </w:t>
            </w:r>
            <w:r w:rsidRPr="57352DF8">
              <w:rPr>
                <w:lang w:eastAsia="en-AU"/>
              </w:rPr>
              <w:t xml:space="preserve">off </w:t>
            </w:r>
            <w:r w:rsidR="000B65F5">
              <w:rPr>
                <w:lang w:eastAsia="en-AU"/>
              </w:rPr>
              <w:t>guideline value</w:t>
            </w:r>
            <w:r w:rsidRPr="57352DF8">
              <w:rPr>
                <w:lang w:eastAsia="en-AU"/>
              </w:rPr>
              <w:t xml:space="preserve">s </w:t>
            </w:r>
            <w:r w:rsidR="00B60F68">
              <w:rPr>
                <w:lang w:eastAsia="en-AU"/>
              </w:rPr>
              <w:t>was</w:t>
            </w:r>
            <w:r w:rsidRPr="57352DF8">
              <w:rPr>
                <w:lang w:eastAsia="en-AU"/>
              </w:rPr>
              <w:t xml:space="preserve"> added</w:t>
            </w:r>
          </w:p>
        </w:tc>
      </w:tr>
      <w:tr w:rsidR="00C90858" w14:paraId="035D7945" w14:textId="77777777" w:rsidTr="57352DF8">
        <w:trPr>
          <w:cantSplit/>
        </w:trPr>
        <w:tc>
          <w:tcPr>
            <w:tcW w:w="5000" w:type="pct"/>
            <w:vAlign w:val="center"/>
          </w:tcPr>
          <w:p w14:paraId="1D63ED2A" w14:textId="77777777" w:rsidR="00C90858" w:rsidRDefault="00C90858">
            <w:pPr>
              <w:pStyle w:val="TableText"/>
              <w:rPr>
                <w:lang w:eastAsia="en-AU"/>
              </w:rPr>
            </w:pPr>
            <w:r>
              <w:rPr>
                <w:lang w:eastAsia="en-AU"/>
              </w:rPr>
              <w:t>Section 3.8:</w:t>
            </w:r>
          </w:p>
          <w:p w14:paraId="1D8E1B7B" w14:textId="47E70C0F" w:rsidR="00C90858" w:rsidRPr="00606EE7" w:rsidRDefault="00C90858" w:rsidP="00540B0A">
            <w:pPr>
              <w:pStyle w:val="TableBullet"/>
            </w:pPr>
            <w:r w:rsidRPr="57352DF8">
              <w:t xml:space="preserve">The first sentence </w:t>
            </w:r>
            <w:r w:rsidR="00B60F68">
              <w:t>was</w:t>
            </w:r>
            <w:r w:rsidRPr="00606EE7">
              <w:t xml:space="preserve"> modified to clarify that it refers to </w:t>
            </w:r>
            <w:r w:rsidR="0045423A">
              <w:t>guideline value</w:t>
            </w:r>
            <w:r w:rsidRPr="00606EE7">
              <w:t>s derived using a species sensitivity distribution method</w:t>
            </w:r>
          </w:p>
          <w:p w14:paraId="6FC11280" w14:textId="0C375C8A" w:rsidR="00C90858" w:rsidRPr="00606EE7" w:rsidRDefault="00C90858" w:rsidP="00540B0A">
            <w:pPr>
              <w:pStyle w:val="TableBullet"/>
            </w:pPr>
            <w:r w:rsidRPr="00606EE7">
              <w:t xml:space="preserve">The first sentence of the second paragraph (after the dot points) </w:t>
            </w:r>
            <w:r w:rsidR="00B60F68">
              <w:t>was</w:t>
            </w:r>
            <w:r w:rsidRPr="00606EE7">
              <w:t xml:space="preserve"> modified to include the reliability allocated to </w:t>
            </w:r>
            <w:r w:rsidR="0045423A">
              <w:t>guideline value</w:t>
            </w:r>
            <w:r w:rsidRPr="00606EE7">
              <w:t>s derived using the assessment</w:t>
            </w:r>
            <w:r w:rsidR="009B6AAB">
              <w:t>-</w:t>
            </w:r>
            <w:r w:rsidRPr="00606EE7">
              <w:t>factor method</w:t>
            </w:r>
          </w:p>
          <w:p w14:paraId="5CEFAA04" w14:textId="4B27C87F" w:rsidR="00C90858" w:rsidRPr="00606EE7" w:rsidRDefault="00C90858" w:rsidP="00540B0A">
            <w:pPr>
              <w:pStyle w:val="TableBullet"/>
            </w:pPr>
            <w:r w:rsidRPr="00606EE7">
              <w:t xml:space="preserve">After the text describing how the reliability of </w:t>
            </w:r>
            <w:r w:rsidR="0045423A">
              <w:t>guideline value</w:t>
            </w:r>
            <w:r w:rsidRPr="00606EE7">
              <w:t xml:space="preserve">s is determined, new material was added on how other factors can affect the accuracy of </w:t>
            </w:r>
            <w:r w:rsidR="0045423A">
              <w:t>guideline value</w:t>
            </w:r>
            <w:r w:rsidRPr="00606EE7">
              <w:t xml:space="preserve">s and how </w:t>
            </w:r>
            <w:r w:rsidR="00543941">
              <w:t>to</w:t>
            </w:r>
            <w:r w:rsidRPr="00606EE7">
              <w:t xml:space="preserve"> address</w:t>
            </w:r>
            <w:r w:rsidR="00543941">
              <w:t xml:space="preserve"> this</w:t>
            </w:r>
          </w:p>
          <w:p w14:paraId="715A3C7C" w14:textId="4B2AC0D1" w:rsidR="00C90858" w:rsidRPr="00606EE7" w:rsidRDefault="00C90858" w:rsidP="00540B0A">
            <w:pPr>
              <w:pStyle w:val="TableBullet"/>
            </w:pPr>
            <w:r w:rsidRPr="00606EE7">
              <w:t xml:space="preserve">The paragraph following Table 7 </w:t>
            </w:r>
            <w:r w:rsidR="00B60F68">
              <w:t>was</w:t>
            </w:r>
            <w:r w:rsidRPr="00606EE7">
              <w:t xml:space="preserve"> expanded considerably to provide additional context regarding the visual assessment of how well the distribution fits the toxicity data</w:t>
            </w:r>
          </w:p>
          <w:p w14:paraId="2DCF4381" w14:textId="0A0ED762" w:rsidR="00C90858" w:rsidRDefault="00C90858" w:rsidP="00540B0A">
            <w:pPr>
              <w:pStyle w:val="TableBullet"/>
            </w:pPr>
            <w:r w:rsidRPr="00606EE7">
              <w:t xml:space="preserve">New text </w:t>
            </w:r>
            <w:r w:rsidR="00B60F68">
              <w:t>was</w:t>
            </w:r>
            <w:r w:rsidRPr="00606EE7">
              <w:t xml:space="preserve"> added after Figure 2. This explains how the reliability classification of </w:t>
            </w:r>
            <w:r w:rsidR="0045423A">
              <w:t>default guideline value</w:t>
            </w:r>
            <w:r w:rsidRPr="00606EE7">
              <w:t>s can be improved and provides a link to a site</w:t>
            </w:r>
            <w:r w:rsidRPr="57352DF8">
              <w:t xml:space="preserve"> that states how </w:t>
            </w:r>
            <w:r w:rsidR="00CB1344">
              <w:t xml:space="preserve">to use </w:t>
            </w:r>
            <w:r w:rsidR="0045423A">
              <w:t>default guideline value</w:t>
            </w:r>
            <w:r w:rsidRPr="57352DF8">
              <w:t>s</w:t>
            </w:r>
          </w:p>
        </w:tc>
      </w:tr>
      <w:tr w:rsidR="00C90858" w14:paraId="499BC15A" w14:textId="77777777" w:rsidTr="57352DF8">
        <w:trPr>
          <w:cantSplit/>
        </w:trPr>
        <w:tc>
          <w:tcPr>
            <w:tcW w:w="5000" w:type="pct"/>
            <w:vAlign w:val="center"/>
          </w:tcPr>
          <w:p w14:paraId="3401F188" w14:textId="46676A56" w:rsidR="00C90858" w:rsidRDefault="00C90858" w:rsidP="57352DF8">
            <w:pPr>
              <w:pStyle w:val="TableText"/>
              <w:rPr>
                <w:lang w:eastAsia="en-AU"/>
              </w:rPr>
            </w:pPr>
            <w:r w:rsidRPr="57352DF8">
              <w:rPr>
                <w:lang w:eastAsia="en-AU"/>
              </w:rPr>
              <w:t>Section 3.9: a paragraph was added on the appropriateness of single-</w:t>
            </w:r>
            <w:r w:rsidR="009B6AAB">
              <w:rPr>
                <w:lang w:eastAsia="en-AU"/>
              </w:rPr>
              <w:t>generation</w:t>
            </w:r>
            <w:r w:rsidRPr="57352DF8">
              <w:rPr>
                <w:lang w:eastAsia="en-AU"/>
              </w:rPr>
              <w:t xml:space="preserve"> and multi-generation toxicity data for bioaccumulating and ‘persistent, bioaccumulative and toxic’ substances. Additional text was added to indicate when toxicity data based on food-exposure might be appropriate</w:t>
            </w:r>
          </w:p>
        </w:tc>
      </w:tr>
      <w:tr w:rsidR="00C90858" w14:paraId="24AE3B66" w14:textId="77777777" w:rsidTr="57352DF8">
        <w:trPr>
          <w:cantSplit/>
        </w:trPr>
        <w:tc>
          <w:tcPr>
            <w:tcW w:w="5000" w:type="pct"/>
            <w:vAlign w:val="center"/>
          </w:tcPr>
          <w:p w14:paraId="77557674" w14:textId="4F4929A1" w:rsidR="00C90858" w:rsidRPr="008C66BB" w:rsidRDefault="00C90858">
            <w:pPr>
              <w:pStyle w:val="TableText"/>
              <w:rPr>
                <w:lang w:eastAsia="en-AU"/>
              </w:rPr>
            </w:pPr>
            <w:r w:rsidRPr="008C66BB">
              <w:rPr>
                <w:lang w:eastAsia="en-AU"/>
              </w:rPr>
              <w:t xml:space="preserve">Section 3.10: this section was moved to Section 3.11 and a new </w:t>
            </w:r>
            <w:r w:rsidR="00AC2B1F">
              <w:rPr>
                <w:lang w:eastAsia="en-AU"/>
              </w:rPr>
              <w:t>S</w:t>
            </w:r>
            <w:r w:rsidRPr="008C66BB">
              <w:rPr>
                <w:lang w:eastAsia="en-AU"/>
              </w:rPr>
              <w:t xml:space="preserve">ection 3.10 </w:t>
            </w:r>
            <w:r w:rsidR="00AC2B1F">
              <w:rPr>
                <w:lang w:eastAsia="en-AU"/>
              </w:rPr>
              <w:t>‘</w:t>
            </w:r>
            <w:r w:rsidRPr="008C66BB">
              <w:rPr>
                <w:lang w:eastAsia="en-AU"/>
              </w:rPr>
              <w:t>Accounting for formulations’ was added. Th</w:t>
            </w:r>
            <w:r>
              <w:rPr>
                <w:lang w:eastAsia="en-AU"/>
              </w:rPr>
              <w:t>e current S</w:t>
            </w:r>
            <w:r w:rsidRPr="008C66BB">
              <w:rPr>
                <w:lang w:eastAsia="en-AU"/>
              </w:rPr>
              <w:t xml:space="preserve">ection </w:t>
            </w:r>
            <w:r>
              <w:rPr>
                <w:lang w:eastAsia="en-AU"/>
              </w:rPr>
              <w:t xml:space="preserve">3.10 </w:t>
            </w:r>
            <w:r w:rsidRPr="008C66BB">
              <w:rPr>
                <w:lang w:eastAsia="en-AU"/>
              </w:rPr>
              <w:t>explains how to deal with chemicals that occur in commercial formulations</w:t>
            </w:r>
            <w:r w:rsidR="00AC2B1F">
              <w:rPr>
                <w:lang w:eastAsia="en-AU"/>
              </w:rPr>
              <w:t>;</w:t>
            </w:r>
            <w:r w:rsidRPr="008C66BB">
              <w:rPr>
                <w:lang w:eastAsia="en-AU"/>
              </w:rPr>
              <w:t xml:space="preserve"> for example</w:t>
            </w:r>
            <w:r w:rsidR="00AC2B1F">
              <w:rPr>
                <w:lang w:eastAsia="en-AU"/>
              </w:rPr>
              <w:t>,</w:t>
            </w:r>
            <w:r w:rsidRPr="008C66BB">
              <w:rPr>
                <w:lang w:eastAsia="en-AU"/>
              </w:rPr>
              <w:t xml:space="preserve"> pesticides</w:t>
            </w:r>
          </w:p>
        </w:tc>
      </w:tr>
      <w:tr w:rsidR="00C90858" w14:paraId="13A99D0F" w14:textId="77777777" w:rsidTr="57352DF8">
        <w:trPr>
          <w:cantSplit/>
        </w:trPr>
        <w:tc>
          <w:tcPr>
            <w:tcW w:w="5000" w:type="pct"/>
            <w:vAlign w:val="center"/>
          </w:tcPr>
          <w:p w14:paraId="4B298A40" w14:textId="142FCC80" w:rsidR="00C90858" w:rsidRDefault="00C90858">
            <w:pPr>
              <w:pStyle w:val="TableText"/>
              <w:rPr>
                <w:lang w:eastAsia="en-AU"/>
              </w:rPr>
            </w:pPr>
            <w:r>
              <w:rPr>
                <w:lang w:eastAsia="en-AU"/>
              </w:rPr>
              <w:t xml:space="preserve">Section 3.11: a second paragraph was added to clarify how </w:t>
            </w:r>
            <w:r w:rsidR="00CB1344">
              <w:rPr>
                <w:lang w:eastAsia="en-AU"/>
              </w:rPr>
              <w:t xml:space="preserve">to use </w:t>
            </w:r>
            <w:r w:rsidR="00AC2B1F">
              <w:rPr>
                <w:lang w:eastAsia="en-AU"/>
              </w:rPr>
              <w:t>guideline value</w:t>
            </w:r>
            <w:r>
              <w:rPr>
                <w:lang w:eastAsia="en-AU"/>
              </w:rPr>
              <w:t>s derived using the assessment</w:t>
            </w:r>
            <w:r w:rsidR="00AC2B1F">
              <w:rPr>
                <w:lang w:eastAsia="en-AU"/>
              </w:rPr>
              <w:t>-</w:t>
            </w:r>
            <w:r>
              <w:rPr>
                <w:lang w:eastAsia="en-AU"/>
              </w:rPr>
              <w:t>factor method</w:t>
            </w:r>
          </w:p>
        </w:tc>
      </w:tr>
      <w:tr w:rsidR="00C90858" w14:paraId="6FE389A0" w14:textId="77777777" w:rsidTr="57352DF8">
        <w:trPr>
          <w:cantSplit/>
        </w:trPr>
        <w:tc>
          <w:tcPr>
            <w:tcW w:w="5000" w:type="pct"/>
            <w:vAlign w:val="center"/>
          </w:tcPr>
          <w:p w14:paraId="2C16C395" w14:textId="0C35FF0E" w:rsidR="00B679A4" w:rsidRDefault="00C90858">
            <w:pPr>
              <w:pStyle w:val="TableText"/>
              <w:rPr>
                <w:lang w:eastAsia="en-AU"/>
              </w:rPr>
            </w:pPr>
            <w:r>
              <w:rPr>
                <w:lang w:eastAsia="en-AU"/>
              </w:rPr>
              <w:t>Section 3.12:</w:t>
            </w:r>
          </w:p>
          <w:p w14:paraId="734F0863" w14:textId="08C51907" w:rsidR="00C90858" w:rsidRDefault="00C90858" w:rsidP="00540B0A">
            <w:pPr>
              <w:pStyle w:val="TableBullet"/>
            </w:pPr>
            <w:r>
              <w:t xml:space="preserve">The </w:t>
            </w:r>
            <w:r w:rsidRPr="006C743A">
              <w:t>second-last</w:t>
            </w:r>
            <w:r>
              <w:t xml:space="preserve"> paragraph has had some clarifying text added</w:t>
            </w:r>
          </w:p>
          <w:p w14:paraId="3A01BE05" w14:textId="1C1C9AAF" w:rsidR="00C90858" w:rsidRDefault="00C90858" w:rsidP="00540B0A">
            <w:pPr>
              <w:pStyle w:val="TableBullet"/>
            </w:pPr>
            <w:r w:rsidRPr="57352DF8">
              <w:t xml:space="preserve">A new final paragraph </w:t>
            </w:r>
            <w:r w:rsidR="00B60F68">
              <w:t>was</w:t>
            </w:r>
            <w:r w:rsidRPr="57352DF8">
              <w:t xml:space="preserve"> added to explain the links between this document and the Australian and New Zealand Guidelines for Fresh and Marine Water Quality and the Australian National Water Quality Management Strategy</w:t>
            </w:r>
          </w:p>
        </w:tc>
      </w:tr>
    </w:tbl>
    <w:p w14:paraId="5D6D3B6A" w14:textId="77777777" w:rsidR="00C90858" w:rsidRDefault="00C90858" w:rsidP="004D7186">
      <w:pPr>
        <w:rPr>
          <w:lang w:eastAsia="ja-JP"/>
        </w:rPr>
      </w:pPr>
    </w:p>
    <w:p w14:paraId="70C945C2" w14:textId="77777777" w:rsidR="00FA53F7" w:rsidRDefault="00FA53F7" w:rsidP="004D7186">
      <w:pPr>
        <w:rPr>
          <w:lang w:eastAsia="ja-JP"/>
        </w:rPr>
        <w:sectPr w:rsidR="00FA53F7" w:rsidSect="006C1481">
          <w:headerReference w:type="even" r:id="rId44"/>
          <w:headerReference w:type="default" r:id="rId45"/>
          <w:headerReference w:type="first" r:id="rId46"/>
          <w:footerReference w:type="first" r:id="rId47"/>
          <w:pgSz w:w="11906" w:h="16838"/>
          <w:pgMar w:top="1418" w:right="1418" w:bottom="1418" w:left="1418" w:header="567" w:footer="283" w:gutter="0"/>
          <w:pgNumType w:start="1"/>
          <w:cols w:space="708"/>
          <w:docGrid w:linePitch="360"/>
        </w:sectPr>
      </w:pPr>
    </w:p>
    <w:p w14:paraId="67F970EC" w14:textId="4C270FED" w:rsidR="00C90858" w:rsidRPr="00D636A6" w:rsidRDefault="00C562C3" w:rsidP="00C90858">
      <w:pPr>
        <w:pStyle w:val="Caption"/>
      </w:pPr>
      <w:bookmarkStart w:id="173" w:name="_Ref202091506"/>
      <w:bookmarkStart w:id="174" w:name="_Toc206085226"/>
      <w:r>
        <w:lastRenderedPageBreak/>
        <w:t>Table</w:t>
      </w:r>
      <w:r w:rsidR="000B093C">
        <w:t> </w:t>
      </w:r>
      <w:r>
        <w:fldChar w:fldCharType="begin"/>
      </w:r>
      <w:r>
        <w:instrText xml:space="preserve"> STYLEREF 7 \s </w:instrText>
      </w:r>
      <w:r>
        <w:fldChar w:fldCharType="separate"/>
      </w:r>
      <w:r w:rsidR="006C5761">
        <w:rPr>
          <w:noProof/>
        </w:rPr>
        <w:t>A</w:t>
      </w:r>
      <w:r>
        <w:rPr>
          <w:noProof/>
        </w:rPr>
        <w:fldChar w:fldCharType="end"/>
      </w:r>
      <w:r>
        <w:t>.</w:t>
      </w:r>
      <w:r>
        <w:fldChar w:fldCharType="begin"/>
      </w:r>
      <w:r>
        <w:instrText xml:space="preserve"> SEQ ApxTable \* ARABIC \s 7 </w:instrText>
      </w:r>
      <w:r>
        <w:fldChar w:fldCharType="separate"/>
      </w:r>
      <w:r w:rsidR="006C5761">
        <w:rPr>
          <w:noProof/>
        </w:rPr>
        <w:t>2</w:t>
      </w:r>
      <w:r>
        <w:rPr>
          <w:noProof/>
        </w:rPr>
        <w:fldChar w:fldCharType="end"/>
      </w:r>
      <w:bookmarkEnd w:id="173"/>
      <w:r w:rsidR="00C90858">
        <w:t xml:space="preserve"> Details of updates between </w:t>
      </w:r>
      <w:r>
        <w:t xml:space="preserve">the </w:t>
      </w:r>
      <w:r w:rsidR="00C90858">
        <w:t>2018 and current (</w:t>
      </w:r>
      <w:r w:rsidR="00694D7B">
        <w:t>2025</w:t>
      </w:r>
      <w:r w:rsidR="00C90858">
        <w:t>) versions of the method</w:t>
      </w:r>
      <w:r w:rsidR="00C90858" w:rsidRPr="25D8F5DB">
        <w:rPr>
          <w:rFonts w:eastAsiaTheme="minorEastAsia" w:cstheme="minorBidi"/>
          <w:b w:val="0"/>
          <w:bCs w:val="0"/>
          <w:color w:val="auto"/>
        </w:rPr>
        <w:t xml:space="preserve"> </w:t>
      </w:r>
      <w:r w:rsidR="00C90858">
        <w:t>for deriving Australian and New Zealand water quality guideline values for toxicants</w:t>
      </w:r>
      <w:bookmarkEnd w:id="174"/>
    </w:p>
    <w:tbl>
      <w:tblPr>
        <w:tblStyle w:val="TableGrid10"/>
        <w:tblW w:w="1388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4531"/>
        <w:gridCol w:w="7796"/>
      </w:tblGrid>
      <w:tr w:rsidR="00C409DB" w:rsidRPr="00FA309D" w14:paraId="5FB51739" w14:textId="77777777" w:rsidTr="00AE4AC5">
        <w:trPr>
          <w:trHeight w:val="20"/>
          <w:tblHeader/>
        </w:trPr>
        <w:tc>
          <w:tcPr>
            <w:tcW w:w="1560" w:type="dxa"/>
            <w:tcBorders>
              <w:top w:val="single" w:sz="12" w:space="0" w:color="auto"/>
              <w:bottom w:val="single" w:sz="12" w:space="0" w:color="auto"/>
            </w:tcBorders>
          </w:tcPr>
          <w:p w14:paraId="73290042" w14:textId="77777777" w:rsidR="00C409DB" w:rsidRPr="00FA309D" w:rsidRDefault="00C409DB" w:rsidP="00DB49B7">
            <w:pPr>
              <w:pStyle w:val="TableHeading"/>
              <w:rPr>
                <w:szCs w:val="18"/>
              </w:rPr>
            </w:pPr>
            <w:r w:rsidRPr="00FA309D">
              <w:rPr>
                <w:szCs w:val="18"/>
              </w:rPr>
              <w:t>Section</w:t>
            </w:r>
          </w:p>
        </w:tc>
        <w:tc>
          <w:tcPr>
            <w:tcW w:w="4531" w:type="dxa"/>
            <w:tcBorders>
              <w:top w:val="single" w:sz="12" w:space="0" w:color="auto"/>
              <w:bottom w:val="single" w:sz="12" w:space="0" w:color="auto"/>
            </w:tcBorders>
          </w:tcPr>
          <w:p w14:paraId="06FBDFE9" w14:textId="00D4EBBE" w:rsidR="00C409DB" w:rsidRPr="00FA309D" w:rsidRDefault="00C409DB" w:rsidP="00DB49B7">
            <w:pPr>
              <w:pStyle w:val="TableHeading"/>
              <w:rPr>
                <w:szCs w:val="18"/>
              </w:rPr>
            </w:pPr>
            <w:r w:rsidRPr="00FA309D">
              <w:rPr>
                <w:szCs w:val="18"/>
              </w:rPr>
              <w:t>Details of update</w:t>
            </w:r>
            <w:r w:rsidR="00824B49" w:rsidRPr="00FA309D">
              <w:rPr>
                <w:szCs w:val="18"/>
              </w:rPr>
              <w:t xml:space="preserve"> in </w:t>
            </w:r>
            <w:r w:rsidR="00694D7B" w:rsidRPr="00FA309D">
              <w:rPr>
                <w:szCs w:val="18"/>
              </w:rPr>
              <w:t xml:space="preserve">2025 </w:t>
            </w:r>
            <w:r w:rsidR="00824B49" w:rsidRPr="00FA309D">
              <w:rPr>
                <w:szCs w:val="18"/>
              </w:rPr>
              <w:t>version</w:t>
            </w:r>
          </w:p>
        </w:tc>
        <w:tc>
          <w:tcPr>
            <w:tcW w:w="7796" w:type="dxa"/>
            <w:tcBorders>
              <w:top w:val="single" w:sz="12" w:space="0" w:color="auto"/>
              <w:bottom w:val="single" w:sz="12" w:space="0" w:color="auto"/>
            </w:tcBorders>
          </w:tcPr>
          <w:p w14:paraId="07C9B1C2" w14:textId="77777777" w:rsidR="00C409DB" w:rsidRPr="00FA309D" w:rsidRDefault="00C409DB" w:rsidP="00DB49B7">
            <w:pPr>
              <w:pStyle w:val="TableHeading"/>
              <w:rPr>
                <w:szCs w:val="18"/>
              </w:rPr>
            </w:pPr>
            <w:r w:rsidRPr="00FA309D">
              <w:rPr>
                <w:szCs w:val="18"/>
              </w:rPr>
              <w:t>Rationale for update</w:t>
            </w:r>
          </w:p>
        </w:tc>
      </w:tr>
      <w:tr w:rsidR="00C409DB" w:rsidRPr="00FA309D" w14:paraId="6686968F" w14:textId="77777777" w:rsidTr="00AE4AC5">
        <w:trPr>
          <w:trHeight w:val="20"/>
        </w:trPr>
        <w:tc>
          <w:tcPr>
            <w:tcW w:w="1560" w:type="dxa"/>
            <w:tcBorders>
              <w:top w:val="single" w:sz="12" w:space="0" w:color="auto"/>
              <w:bottom w:val="single" w:sz="4" w:space="0" w:color="auto"/>
            </w:tcBorders>
          </w:tcPr>
          <w:p w14:paraId="4148C4F1" w14:textId="77777777" w:rsidR="00C409DB" w:rsidRPr="00CC0FF3" w:rsidRDefault="00C409DB" w:rsidP="00DB49B7">
            <w:pPr>
              <w:pStyle w:val="TableText"/>
            </w:pPr>
            <w:r w:rsidRPr="00CC0FF3">
              <w:t>Throughout</w:t>
            </w:r>
          </w:p>
        </w:tc>
        <w:tc>
          <w:tcPr>
            <w:tcW w:w="4531" w:type="dxa"/>
            <w:tcBorders>
              <w:top w:val="single" w:sz="12" w:space="0" w:color="auto"/>
              <w:bottom w:val="single" w:sz="4" w:space="0" w:color="auto"/>
            </w:tcBorders>
          </w:tcPr>
          <w:p w14:paraId="1FB82639" w14:textId="35401C49" w:rsidR="00C409DB" w:rsidRPr="00CC0FF3" w:rsidRDefault="00C409DB" w:rsidP="00DB49B7">
            <w:pPr>
              <w:pStyle w:val="TableText"/>
            </w:pPr>
            <w:r w:rsidRPr="00CC0FF3">
              <w:t>Numerous minor editorial updates</w:t>
            </w:r>
          </w:p>
        </w:tc>
        <w:tc>
          <w:tcPr>
            <w:tcW w:w="7796" w:type="dxa"/>
            <w:tcBorders>
              <w:top w:val="single" w:sz="12" w:space="0" w:color="auto"/>
              <w:bottom w:val="single" w:sz="4" w:space="0" w:color="auto"/>
            </w:tcBorders>
          </w:tcPr>
          <w:p w14:paraId="769F15EC" w14:textId="69EA5E0B" w:rsidR="00C409DB" w:rsidRPr="00E11328" w:rsidRDefault="00C409DB" w:rsidP="00DB49B7">
            <w:pPr>
              <w:pStyle w:val="TableText"/>
              <w:rPr>
                <w:i/>
                <w:iCs/>
              </w:rPr>
            </w:pPr>
            <w:r w:rsidRPr="00E11328">
              <w:rPr>
                <w:i/>
                <w:iCs/>
              </w:rPr>
              <w:t xml:space="preserve">To </w:t>
            </w:r>
            <w:r w:rsidR="003A3590">
              <w:rPr>
                <w:i/>
                <w:iCs/>
              </w:rPr>
              <w:t>clarify and improve</w:t>
            </w:r>
            <w:r w:rsidRPr="00E11328">
              <w:rPr>
                <w:i/>
                <w:iCs/>
              </w:rPr>
              <w:t xml:space="preserve"> specific aspects of the derivation method</w:t>
            </w:r>
          </w:p>
          <w:p w14:paraId="5018E7EF" w14:textId="0280895F" w:rsidR="00C409DB" w:rsidRPr="00CC0FF3" w:rsidRDefault="00C409DB" w:rsidP="00DB49B7">
            <w:pPr>
              <w:pStyle w:val="TableText"/>
            </w:pPr>
            <w:r w:rsidRPr="00CC0FF3">
              <w:t>Numerous minor editorial updates are proposed throughout th</w:t>
            </w:r>
            <w:r w:rsidR="00F050A0">
              <w:t>is</w:t>
            </w:r>
            <w:r w:rsidRPr="00CC0FF3">
              <w:t xml:space="preserve"> report to improve clarity and consistency</w:t>
            </w:r>
          </w:p>
        </w:tc>
      </w:tr>
      <w:tr w:rsidR="00C409DB" w:rsidRPr="00FA309D" w14:paraId="4435FCEA" w14:textId="77777777" w:rsidTr="00AE4AC5">
        <w:trPr>
          <w:trHeight w:val="20"/>
        </w:trPr>
        <w:tc>
          <w:tcPr>
            <w:tcW w:w="1560" w:type="dxa"/>
            <w:tcBorders>
              <w:top w:val="single" w:sz="4" w:space="0" w:color="auto"/>
              <w:bottom w:val="single" w:sz="4" w:space="0" w:color="auto"/>
            </w:tcBorders>
          </w:tcPr>
          <w:p w14:paraId="544AEAE0" w14:textId="77777777" w:rsidR="00C409DB" w:rsidRPr="00CC0FF3" w:rsidRDefault="00C409DB" w:rsidP="00DB49B7">
            <w:pPr>
              <w:pStyle w:val="TableText"/>
            </w:pPr>
            <w:r w:rsidRPr="00CC0FF3">
              <w:t>Title</w:t>
            </w:r>
          </w:p>
        </w:tc>
        <w:tc>
          <w:tcPr>
            <w:tcW w:w="4531" w:type="dxa"/>
            <w:tcBorders>
              <w:top w:val="single" w:sz="4" w:space="0" w:color="auto"/>
              <w:bottom w:val="single" w:sz="4" w:space="0" w:color="auto"/>
            </w:tcBorders>
          </w:tcPr>
          <w:p w14:paraId="5921880A" w14:textId="6E3FC148" w:rsidR="00C409DB" w:rsidRPr="00CC0FF3" w:rsidRDefault="00C409DB" w:rsidP="00DB49B7">
            <w:pPr>
              <w:pStyle w:val="TableText"/>
            </w:pPr>
            <w:r w:rsidRPr="00CC0FF3">
              <w:t>Minor revisions to the title</w:t>
            </w:r>
          </w:p>
        </w:tc>
        <w:tc>
          <w:tcPr>
            <w:tcW w:w="7796" w:type="dxa"/>
            <w:tcBorders>
              <w:top w:val="single" w:sz="4" w:space="0" w:color="auto"/>
              <w:bottom w:val="single" w:sz="4" w:space="0" w:color="auto"/>
            </w:tcBorders>
          </w:tcPr>
          <w:p w14:paraId="766CBA5A" w14:textId="77777777" w:rsidR="00C409DB" w:rsidRPr="00E11328" w:rsidRDefault="00C409DB" w:rsidP="00DB49B7">
            <w:pPr>
              <w:pStyle w:val="TableText"/>
              <w:rPr>
                <w:i/>
                <w:iCs/>
              </w:rPr>
            </w:pPr>
            <w:r w:rsidRPr="00E11328">
              <w:rPr>
                <w:i/>
                <w:iCs/>
              </w:rPr>
              <w:t>For improved clarity</w:t>
            </w:r>
          </w:p>
        </w:tc>
      </w:tr>
      <w:tr w:rsidR="00C409DB" w:rsidRPr="00FA309D" w14:paraId="636EC5C1" w14:textId="77777777" w:rsidTr="00AE4AC5">
        <w:trPr>
          <w:trHeight w:val="20"/>
        </w:trPr>
        <w:tc>
          <w:tcPr>
            <w:tcW w:w="1560" w:type="dxa"/>
            <w:tcBorders>
              <w:top w:val="single" w:sz="4" w:space="0" w:color="auto"/>
              <w:bottom w:val="single" w:sz="4" w:space="0" w:color="auto"/>
            </w:tcBorders>
          </w:tcPr>
          <w:p w14:paraId="66347E56" w14:textId="77777777" w:rsidR="00C409DB" w:rsidRPr="00CC0FF3" w:rsidRDefault="00C409DB" w:rsidP="00DB49B7">
            <w:pPr>
              <w:pStyle w:val="TableText"/>
            </w:pPr>
            <w:r w:rsidRPr="00CC0FF3">
              <w:t>Preface</w:t>
            </w:r>
          </w:p>
        </w:tc>
        <w:tc>
          <w:tcPr>
            <w:tcW w:w="4531" w:type="dxa"/>
            <w:tcBorders>
              <w:top w:val="single" w:sz="4" w:space="0" w:color="auto"/>
              <w:bottom w:val="single" w:sz="4" w:space="0" w:color="auto"/>
            </w:tcBorders>
          </w:tcPr>
          <w:p w14:paraId="06DFA793" w14:textId="1EE6E770" w:rsidR="00C409DB" w:rsidRPr="00CC0FF3" w:rsidRDefault="00C409DB" w:rsidP="00DB49B7">
            <w:pPr>
              <w:pStyle w:val="TableText"/>
            </w:pPr>
            <w:r w:rsidRPr="00CC0FF3">
              <w:t>Addition of a Preface that details the history of the derivation method</w:t>
            </w:r>
          </w:p>
        </w:tc>
        <w:tc>
          <w:tcPr>
            <w:tcW w:w="7796" w:type="dxa"/>
            <w:tcBorders>
              <w:top w:val="single" w:sz="4" w:space="0" w:color="auto"/>
              <w:bottom w:val="single" w:sz="4" w:space="0" w:color="auto"/>
            </w:tcBorders>
          </w:tcPr>
          <w:p w14:paraId="4D2C6F52" w14:textId="1B4965F8" w:rsidR="00C409DB" w:rsidRPr="00E11328" w:rsidRDefault="00C409DB" w:rsidP="00DB49B7">
            <w:pPr>
              <w:pStyle w:val="TableText"/>
              <w:rPr>
                <w:i/>
                <w:iCs/>
              </w:rPr>
            </w:pPr>
            <w:r w:rsidRPr="00E11328">
              <w:rPr>
                <w:i/>
                <w:iCs/>
              </w:rPr>
              <w:t xml:space="preserve">For improved </w:t>
            </w:r>
            <w:r w:rsidR="003A3590">
              <w:rPr>
                <w:i/>
                <w:iCs/>
              </w:rPr>
              <w:t>clarity and layout</w:t>
            </w:r>
          </w:p>
          <w:p w14:paraId="3CB76A1E" w14:textId="6FF5F815" w:rsidR="00C409DB" w:rsidRPr="00CC0FF3" w:rsidRDefault="00C409DB" w:rsidP="00DB49B7">
            <w:pPr>
              <w:pStyle w:val="TableText"/>
            </w:pPr>
            <w:r w:rsidRPr="00CC0FF3">
              <w:t xml:space="preserve">The historical context was previously included in the Summary; however, this was not the appropriate location so it </w:t>
            </w:r>
            <w:r w:rsidR="004A038D">
              <w:t>was</w:t>
            </w:r>
            <w:r w:rsidRPr="00CC0FF3">
              <w:t xml:space="preserve"> moved to a new Preface section and updated to reflect the new update</w:t>
            </w:r>
            <w:r w:rsidR="00AB30E3">
              <w:t xml:space="preserve"> to the method</w:t>
            </w:r>
          </w:p>
        </w:tc>
      </w:tr>
      <w:tr w:rsidR="00C409DB" w:rsidRPr="00FA309D" w14:paraId="160B5EAF" w14:textId="77777777" w:rsidTr="00AE4AC5">
        <w:trPr>
          <w:trHeight w:val="20"/>
        </w:trPr>
        <w:tc>
          <w:tcPr>
            <w:tcW w:w="1560" w:type="dxa"/>
            <w:tcBorders>
              <w:top w:val="single" w:sz="4" w:space="0" w:color="auto"/>
              <w:bottom w:val="single" w:sz="4" w:space="0" w:color="auto"/>
            </w:tcBorders>
          </w:tcPr>
          <w:p w14:paraId="2BA57A8B" w14:textId="77777777" w:rsidR="00C409DB" w:rsidRPr="00CC0FF3" w:rsidRDefault="00C409DB" w:rsidP="00DB49B7">
            <w:pPr>
              <w:pStyle w:val="TableText"/>
            </w:pPr>
            <w:r w:rsidRPr="00CC0FF3">
              <w:t>Summary</w:t>
            </w:r>
          </w:p>
        </w:tc>
        <w:tc>
          <w:tcPr>
            <w:tcW w:w="4531" w:type="dxa"/>
            <w:tcBorders>
              <w:top w:val="single" w:sz="4" w:space="0" w:color="auto"/>
              <w:bottom w:val="single" w:sz="4" w:space="0" w:color="auto"/>
            </w:tcBorders>
          </w:tcPr>
          <w:p w14:paraId="065B02E3" w14:textId="4A3B2063" w:rsidR="00C409DB" w:rsidRPr="00CC0FF3" w:rsidRDefault="00C409DB" w:rsidP="00DB49B7">
            <w:pPr>
              <w:pStyle w:val="TableText"/>
            </w:pPr>
            <w:r w:rsidRPr="00CC0FF3">
              <w:t>Updated to reflect the latest update to the method</w:t>
            </w:r>
          </w:p>
        </w:tc>
        <w:tc>
          <w:tcPr>
            <w:tcW w:w="7796" w:type="dxa"/>
            <w:tcBorders>
              <w:top w:val="single" w:sz="4" w:space="0" w:color="auto"/>
              <w:bottom w:val="single" w:sz="4" w:space="0" w:color="auto"/>
            </w:tcBorders>
          </w:tcPr>
          <w:p w14:paraId="6C8A7084" w14:textId="59564FCD" w:rsidR="00C409DB" w:rsidRPr="00E11328" w:rsidRDefault="00C409DB" w:rsidP="00DB49B7">
            <w:pPr>
              <w:pStyle w:val="TableText"/>
              <w:rPr>
                <w:i/>
                <w:iCs/>
              </w:rPr>
            </w:pPr>
            <w:r w:rsidRPr="00E11328">
              <w:rPr>
                <w:i/>
                <w:iCs/>
              </w:rPr>
              <w:t xml:space="preserve">For improved </w:t>
            </w:r>
            <w:r w:rsidR="003A3590">
              <w:rPr>
                <w:i/>
                <w:iCs/>
              </w:rPr>
              <w:t>clarity and layout</w:t>
            </w:r>
          </w:p>
        </w:tc>
      </w:tr>
      <w:tr w:rsidR="00C409DB" w:rsidRPr="00FA309D" w14:paraId="4BB7C619" w14:textId="77777777" w:rsidTr="00AE4AC5">
        <w:trPr>
          <w:trHeight w:val="20"/>
        </w:trPr>
        <w:tc>
          <w:tcPr>
            <w:tcW w:w="1560" w:type="dxa"/>
            <w:tcBorders>
              <w:top w:val="single" w:sz="4" w:space="0" w:color="auto"/>
              <w:bottom w:val="single" w:sz="4" w:space="0" w:color="auto"/>
            </w:tcBorders>
          </w:tcPr>
          <w:p w14:paraId="4D3C1440" w14:textId="5F406382" w:rsidR="00C409DB" w:rsidRPr="00CC0FF3" w:rsidRDefault="00C409DB" w:rsidP="00DB49B7">
            <w:pPr>
              <w:pStyle w:val="TableText"/>
            </w:pPr>
            <w:r w:rsidRPr="00CC0FF3">
              <w:t xml:space="preserve">Section on </w:t>
            </w:r>
            <w:r w:rsidRPr="00E11328">
              <w:rPr>
                <w:i/>
                <w:iCs/>
              </w:rPr>
              <w:t>Modifications made since 2015</w:t>
            </w:r>
          </w:p>
        </w:tc>
        <w:tc>
          <w:tcPr>
            <w:tcW w:w="4531" w:type="dxa"/>
            <w:tcBorders>
              <w:top w:val="single" w:sz="4" w:space="0" w:color="auto"/>
              <w:bottom w:val="single" w:sz="4" w:space="0" w:color="auto"/>
            </w:tcBorders>
          </w:tcPr>
          <w:p w14:paraId="14E1A954" w14:textId="41B2E8B9" w:rsidR="00C409DB" w:rsidRPr="00CC0FF3" w:rsidRDefault="00C409DB" w:rsidP="00DB49B7">
            <w:pPr>
              <w:pStyle w:val="TableText"/>
            </w:pPr>
            <w:r w:rsidRPr="00CC0FF3">
              <w:t xml:space="preserve">Moved this section to a new </w:t>
            </w:r>
            <w:r w:rsidR="004F6C8E" w:rsidRPr="00CC0FF3">
              <w:t>a</w:t>
            </w:r>
            <w:r w:rsidRPr="00CC0FF3">
              <w:t>ppendix (</w:t>
            </w:r>
            <w:r w:rsidR="004F6C8E" w:rsidRPr="00CC0FF3">
              <w:fldChar w:fldCharType="begin"/>
            </w:r>
            <w:r w:rsidR="004F6C8E" w:rsidRPr="00CC0FF3">
              <w:instrText xml:space="preserve"> REF _Ref202085395 \n \h </w:instrText>
            </w:r>
            <w:r w:rsidR="00CC0FF3">
              <w:instrText xml:space="preserve"> \* MERGEFORMAT </w:instrText>
            </w:r>
            <w:r w:rsidR="004F6C8E" w:rsidRPr="00CC0FF3">
              <w:fldChar w:fldCharType="separate"/>
            </w:r>
            <w:r w:rsidR="006C5761">
              <w:t>Appendix A</w:t>
            </w:r>
            <w:r w:rsidR="004F6C8E" w:rsidRPr="00CC0FF3">
              <w:fldChar w:fldCharType="end"/>
            </w:r>
            <w:r w:rsidRPr="00CC0FF3">
              <w:t>) and added another table that lists the key changes between the 2018 and 2024 versions</w:t>
            </w:r>
          </w:p>
        </w:tc>
        <w:tc>
          <w:tcPr>
            <w:tcW w:w="7796" w:type="dxa"/>
            <w:tcBorders>
              <w:top w:val="single" w:sz="4" w:space="0" w:color="auto"/>
              <w:bottom w:val="single" w:sz="4" w:space="0" w:color="auto"/>
            </w:tcBorders>
          </w:tcPr>
          <w:p w14:paraId="005A007A" w14:textId="00E31ECB" w:rsidR="00B679A4" w:rsidRPr="00E11328" w:rsidRDefault="00363E4B" w:rsidP="00DB49B7">
            <w:pPr>
              <w:pStyle w:val="TableText"/>
              <w:rPr>
                <w:i/>
                <w:iCs/>
              </w:rPr>
            </w:pPr>
            <w:r w:rsidRPr="00E11328">
              <w:rPr>
                <w:i/>
                <w:iCs/>
              </w:rPr>
              <w:t xml:space="preserve">For improved </w:t>
            </w:r>
            <w:r w:rsidR="003A3590">
              <w:rPr>
                <w:i/>
                <w:iCs/>
              </w:rPr>
              <w:t>clarity and layout</w:t>
            </w:r>
          </w:p>
          <w:p w14:paraId="3029B955" w14:textId="23EE9512" w:rsidR="00C409DB" w:rsidRPr="00CC0FF3" w:rsidRDefault="00C409DB" w:rsidP="00DB49B7">
            <w:pPr>
              <w:pStyle w:val="TableText"/>
            </w:pPr>
            <w:r w:rsidRPr="00CC0FF3">
              <w:t xml:space="preserve">Considered more appropriate to move the information on updates to an appendix, which is then referred to early in the document (i.e. in the Introduction). Readers can </w:t>
            </w:r>
            <w:r w:rsidR="00F81A81">
              <w:t>now</w:t>
            </w:r>
            <w:r w:rsidR="00F81A81" w:rsidRPr="00CC0FF3">
              <w:t xml:space="preserve"> </w:t>
            </w:r>
            <w:r w:rsidRPr="00CC0FF3">
              <w:t>go to the appendix if they are interested, without the details cluttering the front end of the document</w:t>
            </w:r>
          </w:p>
        </w:tc>
      </w:tr>
      <w:tr w:rsidR="00FE0570" w:rsidRPr="00FA309D" w14:paraId="4885C98B" w14:textId="77777777" w:rsidTr="00AE4AC5">
        <w:trPr>
          <w:trHeight w:val="20"/>
        </w:trPr>
        <w:tc>
          <w:tcPr>
            <w:tcW w:w="1560" w:type="dxa"/>
            <w:tcBorders>
              <w:top w:val="single" w:sz="4" w:space="0" w:color="auto"/>
              <w:bottom w:val="single" w:sz="4" w:space="0" w:color="auto"/>
            </w:tcBorders>
          </w:tcPr>
          <w:p w14:paraId="56ABB2B7" w14:textId="1D0A929B" w:rsidR="00FE0570" w:rsidRPr="00CC0FF3" w:rsidRDefault="00FE0570" w:rsidP="00DB49B7">
            <w:pPr>
              <w:pStyle w:val="TableText"/>
            </w:pPr>
            <w:r>
              <w:t xml:space="preserve">Section 1.2 </w:t>
            </w:r>
            <w:r w:rsidRPr="00FE0570">
              <w:rPr>
                <w:i/>
                <w:iCs/>
              </w:rPr>
              <w:t>‘Purpose of this report’</w:t>
            </w:r>
          </w:p>
        </w:tc>
        <w:tc>
          <w:tcPr>
            <w:tcW w:w="4531" w:type="dxa"/>
            <w:tcBorders>
              <w:top w:val="single" w:sz="4" w:space="0" w:color="auto"/>
              <w:bottom w:val="single" w:sz="4" w:space="0" w:color="auto"/>
            </w:tcBorders>
          </w:tcPr>
          <w:p w14:paraId="13F3FC76" w14:textId="3EAB2187" w:rsidR="00FE0570" w:rsidRPr="00CC0FF3" w:rsidRDefault="00FE0570" w:rsidP="00DB49B7">
            <w:pPr>
              <w:pStyle w:val="TableText"/>
            </w:pPr>
            <w:r>
              <w:t xml:space="preserve">Added text to recognise that the method could be used as a starting point for deriving sediment or groundwater quality </w:t>
            </w:r>
            <w:r w:rsidR="00477BB2">
              <w:t>guideline value</w:t>
            </w:r>
            <w:r>
              <w:t>s, and that modifications to the method may be needed to account for unusual characteristics of a toxicant</w:t>
            </w:r>
          </w:p>
        </w:tc>
        <w:tc>
          <w:tcPr>
            <w:tcW w:w="7796" w:type="dxa"/>
            <w:tcBorders>
              <w:top w:val="single" w:sz="4" w:space="0" w:color="auto"/>
              <w:bottom w:val="single" w:sz="4" w:space="0" w:color="auto"/>
            </w:tcBorders>
          </w:tcPr>
          <w:p w14:paraId="6BCD8455" w14:textId="77777777" w:rsidR="00FE0570" w:rsidRDefault="00FE0570" w:rsidP="00DB49B7">
            <w:pPr>
              <w:pStyle w:val="TableText"/>
              <w:rPr>
                <w:i/>
                <w:iCs/>
              </w:rPr>
            </w:pPr>
            <w:r>
              <w:rPr>
                <w:i/>
                <w:iCs/>
              </w:rPr>
              <w:t xml:space="preserve">To provide some flexibility for the method to be applied for different purposes </w:t>
            </w:r>
          </w:p>
          <w:p w14:paraId="1228F683" w14:textId="46320D89" w:rsidR="00FE0570" w:rsidRPr="00FE0570" w:rsidRDefault="00FE0570" w:rsidP="00DB49B7">
            <w:pPr>
              <w:pStyle w:val="TableText"/>
            </w:pPr>
            <w:r>
              <w:t xml:space="preserve">It is acknowledged that the method may not be fit for purpose and may </w:t>
            </w:r>
            <w:r w:rsidR="00E36E1E">
              <w:t xml:space="preserve">therefore </w:t>
            </w:r>
            <w:r>
              <w:t>require modification for different types of media and for certain types of toxicants. The added text provides this flexibility but clearly states that full technical justification for any modifications must be documented</w:t>
            </w:r>
          </w:p>
        </w:tc>
      </w:tr>
      <w:tr w:rsidR="00C409DB" w:rsidRPr="00FA309D" w14:paraId="4DCF21A1" w14:textId="77777777" w:rsidTr="00AE4AC5">
        <w:trPr>
          <w:trHeight w:val="20"/>
        </w:trPr>
        <w:tc>
          <w:tcPr>
            <w:tcW w:w="1560" w:type="dxa"/>
            <w:tcBorders>
              <w:top w:val="single" w:sz="4" w:space="0" w:color="auto"/>
              <w:bottom w:val="single" w:sz="4" w:space="0" w:color="auto"/>
            </w:tcBorders>
          </w:tcPr>
          <w:p w14:paraId="64378D37" w14:textId="41FC45EB" w:rsidR="00C409DB" w:rsidRPr="00CC0FF3" w:rsidRDefault="00C409DB" w:rsidP="00DB49B7">
            <w:pPr>
              <w:pStyle w:val="TableText"/>
            </w:pPr>
            <w:r w:rsidRPr="00CC0FF3">
              <w:t xml:space="preserve">Section </w:t>
            </w:r>
            <w:r w:rsidR="00A24C7B" w:rsidRPr="00CC0FF3">
              <w:fldChar w:fldCharType="begin"/>
            </w:r>
            <w:r w:rsidR="00A24C7B" w:rsidRPr="00CC0FF3">
              <w:instrText xml:space="preserve"> REF _Ref202089238 \r \h </w:instrText>
            </w:r>
            <w:r w:rsidR="00CC0FF3">
              <w:instrText xml:space="preserve"> \* MERGEFORMAT </w:instrText>
            </w:r>
            <w:r w:rsidR="00A24C7B" w:rsidRPr="00CC0FF3">
              <w:fldChar w:fldCharType="separate"/>
            </w:r>
            <w:r w:rsidR="006C5761">
              <w:t>2</w:t>
            </w:r>
            <w:r w:rsidR="00A24C7B" w:rsidRPr="00CC0FF3">
              <w:fldChar w:fldCharType="end"/>
            </w:r>
            <w:r w:rsidRPr="00CC0FF3">
              <w:t xml:space="preserve"> </w:t>
            </w:r>
            <w:r w:rsidR="007C5050">
              <w:t>‘</w:t>
            </w:r>
            <w:r w:rsidRPr="00CC0FF3">
              <w:t>Overview of the revised method</w:t>
            </w:r>
            <w:r w:rsidR="007C5050">
              <w:t>’</w:t>
            </w:r>
          </w:p>
        </w:tc>
        <w:tc>
          <w:tcPr>
            <w:tcW w:w="4531" w:type="dxa"/>
            <w:tcBorders>
              <w:top w:val="single" w:sz="4" w:space="0" w:color="auto"/>
              <w:bottom w:val="single" w:sz="4" w:space="0" w:color="auto"/>
            </w:tcBorders>
          </w:tcPr>
          <w:p w14:paraId="4231528B" w14:textId="3EA5FFFB" w:rsidR="00C409DB" w:rsidRPr="00CC0FF3" w:rsidRDefault="00C409DB" w:rsidP="00DB49B7">
            <w:pPr>
              <w:pStyle w:val="TableText"/>
            </w:pPr>
            <w:r w:rsidRPr="00CC0FF3">
              <w:t xml:space="preserve">Minor changes </w:t>
            </w:r>
            <w:r w:rsidR="00725DEB" w:rsidRPr="00CC0FF3">
              <w:t xml:space="preserve">made </w:t>
            </w:r>
            <w:r w:rsidRPr="00CC0FF3">
              <w:t>to reflect updates to the rest of the method</w:t>
            </w:r>
          </w:p>
        </w:tc>
        <w:tc>
          <w:tcPr>
            <w:tcW w:w="7796" w:type="dxa"/>
            <w:tcBorders>
              <w:top w:val="single" w:sz="4" w:space="0" w:color="auto"/>
              <w:bottom w:val="single" w:sz="4" w:space="0" w:color="auto"/>
            </w:tcBorders>
          </w:tcPr>
          <w:p w14:paraId="341D1CA1" w14:textId="015A28D3" w:rsidR="00363E4B" w:rsidRPr="00E11328" w:rsidRDefault="00363E4B" w:rsidP="00DB49B7">
            <w:pPr>
              <w:pStyle w:val="TableText"/>
              <w:rPr>
                <w:i/>
                <w:iCs/>
              </w:rPr>
            </w:pPr>
            <w:r w:rsidRPr="00E11328">
              <w:rPr>
                <w:i/>
                <w:iCs/>
              </w:rPr>
              <w:t xml:space="preserve">For improved </w:t>
            </w:r>
            <w:r w:rsidR="003A3590">
              <w:rPr>
                <w:i/>
                <w:iCs/>
              </w:rPr>
              <w:t>clarity and layout</w:t>
            </w:r>
          </w:p>
          <w:p w14:paraId="17D0F787" w14:textId="06978AEE" w:rsidR="00B679A4" w:rsidRPr="00CC0FF3" w:rsidRDefault="00C409DB" w:rsidP="00DB49B7">
            <w:pPr>
              <w:pStyle w:val="TableText"/>
            </w:pPr>
            <w:r w:rsidRPr="00CC0FF3">
              <w:t>Added</w:t>
            </w:r>
            <w:r w:rsidR="00C64837" w:rsidRPr="00CC0FF3">
              <w:t xml:space="preserve"> 3</w:t>
            </w:r>
            <w:r w:rsidRPr="00CC0FF3">
              <w:t xml:space="preserve"> sub-section headings to better separate the text</w:t>
            </w:r>
          </w:p>
          <w:p w14:paraId="6939145D" w14:textId="2F90134A" w:rsidR="00C409DB" w:rsidRPr="00CC0FF3" w:rsidRDefault="00C409DB" w:rsidP="00DB49B7">
            <w:pPr>
              <w:pStyle w:val="TableText"/>
            </w:pPr>
            <w:r w:rsidRPr="00CC0FF3">
              <w:t>Most of the edits in this section reflect the recent changes made to the method</w:t>
            </w:r>
          </w:p>
        </w:tc>
      </w:tr>
      <w:tr w:rsidR="00C409DB" w:rsidRPr="00FA309D" w14:paraId="7DA324E8" w14:textId="77777777" w:rsidTr="00AE4AC5">
        <w:trPr>
          <w:trHeight w:val="20"/>
        </w:trPr>
        <w:tc>
          <w:tcPr>
            <w:tcW w:w="1560" w:type="dxa"/>
            <w:tcBorders>
              <w:top w:val="single" w:sz="4" w:space="0" w:color="auto"/>
              <w:bottom w:val="single" w:sz="4" w:space="0" w:color="auto"/>
            </w:tcBorders>
          </w:tcPr>
          <w:p w14:paraId="2B7A260E" w14:textId="278A1DFD" w:rsidR="00C409DB" w:rsidRPr="00CC0FF3" w:rsidRDefault="008F238C" w:rsidP="00DB49B7">
            <w:pPr>
              <w:pStyle w:val="TableText"/>
            </w:pPr>
            <w:r w:rsidRPr="00CC0FF3">
              <w:t xml:space="preserve">Section </w:t>
            </w:r>
            <w:r w:rsidR="00A24C7B" w:rsidRPr="00CC0FF3">
              <w:fldChar w:fldCharType="begin"/>
            </w:r>
            <w:r w:rsidR="00A24C7B" w:rsidRPr="00CC0FF3">
              <w:instrText xml:space="preserve"> REF _Ref202089242 \r \h </w:instrText>
            </w:r>
            <w:r w:rsidR="00CC0FF3">
              <w:instrText xml:space="preserve"> \* MERGEFORMAT </w:instrText>
            </w:r>
            <w:r w:rsidR="00A24C7B" w:rsidRPr="00CC0FF3">
              <w:fldChar w:fldCharType="separate"/>
            </w:r>
            <w:r w:rsidR="006C5761">
              <w:t>2</w:t>
            </w:r>
            <w:r w:rsidR="00A24C7B" w:rsidRPr="00CC0FF3">
              <w:fldChar w:fldCharType="end"/>
            </w:r>
            <w:r w:rsidR="00C409DB" w:rsidRPr="00CC0FF3">
              <w:t xml:space="preserve"> </w:t>
            </w:r>
            <w:r w:rsidR="007C5050">
              <w:t>‘</w:t>
            </w:r>
            <w:r w:rsidR="00C409DB" w:rsidRPr="00CC0FF3">
              <w:t>Overview of the revised method</w:t>
            </w:r>
            <w:r w:rsidR="007C5050">
              <w:t>’</w:t>
            </w:r>
          </w:p>
        </w:tc>
        <w:tc>
          <w:tcPr>
            <w:tcW w:w="4531" w:type="dxa"/>
            <w:tcBorders>
              <w:top w:val="single" w:sz="4" w:space="0" w:color="auto"/>
              <w:bottom w:val="single" w:sz="4" w:space="0" w:color="auto"/>
            </w:tcBorders>
          </w:tcPr>
          <w:p w14:paraId="0812A80D" w14:textId="2901EEF8" w:rsidR="00C409DB" w:rsidRPr="00CC0FF3" w:rsidRDefault="00C409DB" w:rsidP="00DB49B7">
            <w:pPr>
              <w:pStyle w:val="TableText"/>
            </w:pPr>
            <w:r w:rsidRPr="00CC0FF3">
              <w:t xml:space="preserve">Inclusion of text (new Section </w:t>
            </w:r>
            <w:r w:rsidR="00A24C7B" w:rsidRPr="00CC0FF3">
              <w:fldChar w:fldCharType="begin"/>
            </w:r>
            <w:r w:rsidR="00A24C7B" w:rsidRPr="00CC0FF3">
              <w:instrText xml:space="preserve"> REF _Ref202089251 \r \h </w:instrText>
            </w:r>
            <w:r w:rsidR="00CC0FF3">
              <w:instrText xml:space="preserve"> \* MERGEFORMAT </w:instrText>
            </w:r>
            <w:r w:rsidR="00A24C7B" w:rsidRPr="00CC0FF3">
              <w:fldChar w:fldCharType="separate"/>
            </w:r>
            <w:r w:rsidR="006C5761">
              <w:t>2.2</w:t>
            </w:r>
            <w:r w:rsidR="00A24C7B" w:rsidRPr="00CC0FF3">
              <w:fldChar w:fldCharType="end"/>
            </w:r>
            <w:r w:rsidRPr="00CC0FF3">
              <w:t xml:space="preserve">) that emphasises the need to check that an appropriate analytical method is available for a toxicant before embarking on a </w:t>
            </w:r>
            <w:r w:rsidR="00F81A81">
              <w:t>guideline value</w:t>
            </w:r>
            <w:r w:rsidRPr="00CC0FF3">
              <w:t xml:space="preserve"> derivation</w:t>
            </w:r>
          </w:p>
        </w:tc>
        <w:tc>
          <w:tcPr>
            <w:tcW w:w="7796" w:type="dxa"/>
            <w:tcBorders>
              <w:top w:val="single" w:sz="4" w:space="0" w:color="auto"/>
              <w:bottom w:val="single" w:sz="4" w:space="0" w:color="auto"/>
            </w:tcBorders>
          </w:tcPr>
          <w:p w14:paraId="4EC5C0B5" w14:textId="2821647C" w:rsidR="00C409DB" w:rsidRPr="00E11328" w:rsidRDefault="00C409DB" w:rsidP="00DB49B7">
            <w:pPr>
              <w:pStyle w:val="TableText"/>
              <w:rPr>
                <w:i/>
                <w:iCs/>
              </w:rPr>
            </w:pPr>
            <w:r w:rsidRPr="00E11328">
              <w:rPr>
                <w:i/>
                <w:iCs/>
              </w:rPr>
              <w:t xml:space="preserve">To </w:t>
            </w:r>
            <w:r w:rsidR="003A3590">
              <w:rPr>
                <w:i/>
                <w:iCs/>
              </w:rPr>
              <w:t>clarify and improve</w:t>
            </w:r>
            <w:r w:rsidRPr="00E11328">
              <w:rPr>
                <w:i/>
                <w:iCs/>
              </w:rPr>
              <w:t xml:space="preserve"> specific aspects of the derivation method</w:t>
            </w:r>
          </w:p>
          <w:p w14:paraId="137EAC42" w14:textId="2F6675D9" w:rsidR="00C409DB" w:rsidRPr="00CC0FF3" w:rsidRDefault="00C409DB" w:rsidP="00DB49B7">
            <w:pPr>
              <w:pStyle w:val="TableText"/>
            </w:pPr>
            <w:r w:rsidRPr="00CC0FF3">
              <w:t xml:space="preserve">As a result of committee review of the mancozeb and alpha-cypermethrin </w:t>
            </w:r>
            <w:r w:rsidR="003C1189">
              <w:t>default guideline value</w:t>
            </w:r>
            <w:r w:rsidRPr="00CC0FF3">
              <w:t>s, it was recommended that formal processes be put in place to ensure that</w:t>
            </w:r>
            <w:r w:rsidR="003C1189">
              <w:t xml:space="preserve"> default guideline value</w:t>
            </w:r>
            <w:r w:rsidRPr="00CC0FF3">
              <w:t xml:space="preserve">s cannot be derived for toxicants for which there is no appropriate analytical method available. Such guidance </w:t>
            </w:r>
            <w:r w:rsidR="00507203">
              <w:t>was</w:t>
            </w:r>
            <w:r w:rsidRPr="00CC0FF3">
              <w:t xml:space="preserve"> added to the website (</w:t>
            </w:r>
            <w:hyperlink r:id="rId48" w:anchor="third-party-process-for-proposing-default-guideline-values">
              <w:r w:rsidR="00684EA4" w:rsidRPr="006C7C16">
                <w:rPr>
                  <w:rStyle w:val="Hyperlink"/>
                  <w:i/>
                  <w:iCs/>
                </w:rPr>
                <w:t>Third party process for proposing default guideline values</w:t>
              </w:r>
            </w:hyperlink>
            <w:r w:rsidR="00D54CC3" w:rsidRPr="00CC0FF3">
              <w:t>)</w:t>
            </w:r>
            <w:r w:rsidR="001C3C22">
              <w:t>,</w:t>
            </w:r>
            <w:r w:rsidR="00D54CC3" w:rsidRPr="00CC0FF3">
              <w:t xml:space="preserve"> </w:t>
            </w:r>
            <w:r w:rsidRPr="00CC0FF3">
              <w:t>and it was necessary that a note to this effect also be added to Warne et al. (2018), early in the document</w:t>
            </w:r>
          </w:p>
        </w:tc>
      </w:tr>
      <w:tr w:rsidR="001967E2" w:rsidRPr="00FA309D" w14:paraId="362A175C" w14:textId="77777777" w:rsidTr="00AE4AC5">
        <w:trPr>
          <w:trHeight w:val="20"/>
        </w:trPr>
        <w:tc>
          <w:tcPr>
            <w:tcW w:w="1560" w:type="dxa"/>
            <w:tcBorders>
              <w:top w:val="single" w:sz="4" w:space="0" w:color="auto"/>
              <w:bottom w:val="single" w:sz="4" w:space="0" w:color="auto"/>
            </w:tcBorders>
          </w:tcPr>
          <w:p w14:paraId="607FFAA0" w14:textId="1949E009" w:rsidR="001967E2" w:rsidRPr="00CC0FF3" w:rsidRDefault="00A24C7B" w:rsidP="00DB49B7">
            <w:pPr>
              <w:pStyle w:val="TableText"/>
            </w:pPr>
            <w:r w:rsidRPr="00CC0FF3">
              <w:lastRenderedPageBreak/>
              <w:t xml:space="preserve">Section </w:t>
            </w:r>
            <w:r w:rsidRPr="00CC0FF3">
              <w:fldChar w:fldCharType="begin"/>
            </w:r>
            <w:r w:rsidRPr="00CC0FF3">
              <w:instrText xml:space="preserve"> REF _Ref202089272 \r \h </w:instrText>
            </w:r>
            <w:r w:rsidR="00CC0FF3">
              <w:instrText xml:space="preserve"> \* MERGEFORMAT </w:instrText>
            </w:r>
            <w:r w:rsidRPr="00CC0FF3">
              <w:fldChar w:fldCharType="separate"/>
            </w:r>
            <w:r w:rsidR="006C5761">
              <w:t>0</w:t>
            </w:r>
            <w:r w:rsidRPr="00CC0FF3">
              <w:fldChar w:fldCharType="end"/>
            </w:r>
            <w:r w:rsidR="001967E2" w:rsidRPr="00CC0FF3">
              <w:t xml:space="preserve"> </w:t>
            </w:r>
            <w:r w:rsidR="007C5050">
              <w:t>‘</w:t>
            </w:r>
            <w:r w:rsidR="001967E2" w:rsidRPr="00CC0FF3">
              <w:t xml:space="preserve">Preferred </w:t>
            </w:r>
            <w:r w:rsidR="007C5050">
              <w:t>guideline value</w:t>
            </w:r>
            <w:r w:rsidR="001967E2" w:rsidRPr="00CC0FF3">
              <w:t xml:space="preserve"> derivation method</w:t>
            </w:r>
            <w:r w:rsidR="007C5050">
              <w:t>’</w:t>
            </w:r>
          </w:p>
        </w:tc>
        <w:tc>
          <w:tcPr>
            <w:tcW w:w="4531" w:type="dxa"/>
            <w:tcBorders>
              <w:top w:val="single" w:sz="4" w:space="0" w:color="auto"/>
              <w:bottom w:val="single" w:sz="4" w:space="0" w:color="auto"/>
            </w:tcBorders>
          </w:tcPr>
          <w:p w14:paraId="28BEAF2F" w14:textId="28FFDDA7" w:rsidR="001967E2" w:rsidRPr="00CC0FF3" w:rsidRDefault="000D04CB" w:rsidP="00DB49B7">
            <w:pPr>
              <w:pStyle w:val="TableText"/>
            </w:pPr>
            <w:r w:rsidRPr="00CC0FF3">
              <w:t>Added text regarding replacement of Burrlioz 2.0 by (shiny)ssdtools</w:t>
            </w:r>
          </w:p>
        </w:tc>
        <w:tc>
          <w:tcPr>
            <w:tcW w:w="7796" w:type="dxa"/>
            <w:tcBorders>
              <w:top w:val="single" w:sz="4" w:space="0" w:color="auto"/>
              <w:bottom w:val="single" w:sz="4" w:space="0" w:color="auto"/>
            </w:tcBorders>
          </w:tcPr>
          <w:p w14:paraId="4DE471E1" w14:textId="61A4C869" w:rsidR="001967E2" w:rsidRPr="000E30F4" w:rsidRDefault="004A2378" w:rsidP="00DB49B7">
            <w:pPr>
              <w:pStyle w:val="TableText"/>
              <w:rPr>
                <w:i/>
                <w:iCs/>
              </w:rPr>
            </w:pPr>
            <w:r w:rsidRPr="000E30F4">
              <w:rPr>
                <w:i/>
                <w:iCs/>
              </w:rPr>
              <w:t xml:space="preserve">To </w:t>
            </w:r>
            <w:r w:rsidR="003A3590">
              <w:rPr>
                <w:i/>
                <w:iCs/>
              </w:rPr>
              <w:t>clarify and improve</w:t>
            </w:r>
            <w:r w:rsidRPr="000E30F4">
              <w:rPr>
                <w:i/>
                <w:iCs/>
              </w:rPr>
              <w:t xml:space="preserve"> specific aspects of the derivation method;</w:t>
            </w:r>
            <w:r w:rsidR="00B679A4" w:rsidRPr="000E30F4">
              <w:rPr>
                <w:i/>
                <w:iCs/>
              </w:rPr>
              <w:t xml:space="preserve"> </w:t>
            </w:r>
            <w:r w:rsidR="00E2725F">
              <w:rPr>
                <w:i/>
                <w:iCs/>
              </w:rPr>
              <w:t>t</w:t>
            </w:r>
            <w:r w:rsidR="00F15990" w:rsidRPr="000E30F4">
              <w:rPr>
                <w:i/>
                <w:iCs/>
              </w:rPr>
              <w:t>o reflect current state of the science</w:t>
            </w:r>
          </w:p>
          <w:p w14:paraId="3653567F" w14:textId="09A94149" w:rsidR="00F15990" w:rsidRPr="00CC0FF3" w:rsidRDefault="00176C0F" w:rsidP="00DB49B7">
            <w:pPr>
              <w:pStyle w:val="TableText"/>
            </w:pPr>
            <w:r w:rsidRPr="00CC0FF3">
              <w:t>Need</w:t>
            </w:r>
            <w:r w:rsidR="00684EA4">
              <w:t>ed</w:t>
            </w:r>
            <w:r w:rsidRPr="00CC0FF3">
              <w:t xml:space="preserve"> to alert users that Burrlioz 2.0 has been replaced by (shiny)ssdtools</w:t>
            </w:r>
          </w:p>
        </w:tc>
      </w:tr>
      <w:tr w:rsidR="008F238C" w:rsidRPr="00FA309D" w14:paraId="53505464" w14:textId="77777777" w:rsidTr="00AE4AC5">
        <w:trPr>
          <w:trHeight w:val="20"/>
        </w:trPr>
        <w:tc>
          <w:tcPr>
            <w:tcW w:w="1560" w:type="dxa"/>
            <w:tcBorders>
              <w:top w:val="single" w:sz="4" w:space="0" w:color="auto"/>
              <w:bottom w:val="single" w:sz="4" w:space="0" w:color="auto"/>
            </w:tcBorders>
          </w:tcPr>
          <w:p w14:paraId="71F3E592" w14:textId="11BD5A17" w:rsidR="008F238C" w:rsidRPr="00CC0FF3" w:rsidRDefault="008F238C" w:rsidP="00DB49B7">
            <w:pPr>
              <w:pStyle w:val="TableText"/>
            </w:pPr>
            <w:r w:rsidRPr="00CC0FF3">
              <w:t xml:space="preserve">Section </w:t>
            </w:r>
            <w:r w:rsidR="00A24C7B" w:rsidRPr="00CC0FF3">
              <w:fldChar w:fldCharType="begin"/>
            </w:r>
            <w:r w:rsidR="00A24C7B" w:rsidRPr="00CC0FF3">
              <w:instrText xml:space="preserve"> REF _Ref202089277 \r \h </w:instrText>
            </w:r>
            <w:r w:rsidR="00CC0FF3">
              <w:instrText xml:space="preserve"> \* MERGEFORMAT </w:instrText>
            </w:r>
            <w:r w:rsidR="00A24C7B" w:rsidRPr="00CC0FF3">
              <w:fldChar w:fldCharType="separate"/>
            </w:r>
            <w:r w:rsidR="006C5761">
              <w:t>2</w:t>
            </w:r>
            <w:r w:rsidR="00A24C7B" w:rsidRPr="00CC0FF3">
              <w:fldChar w:fldCharType="end"/>
            </w:r>
            <w:r w:rsidRPr="00CC0FF3">
              <w:t>,</w:t>
            </w:r>
            <w:r w:rsidR="008F6313" w:rsidRPr="00CC0FF3">
              <w:t xml:space="preserve"> </w:t>
            </w:r>
            <w:r w:rsidRPr="00CC0FF3">
              <w:t xml:space="preserve">Section </w:t>
            </w:r>
            <w:r w:rsidR="00A24C7B" w:rsidRPr="00CC0FF3">
              <w:fldChar w:fldCharType="begin"/>
            </w:r>
            <w:r w:rsidR="00A24C7B" w:rsidRPr="00CC0FF3">
              <w:instrText xml:space="preserve"> REF _Ref522008082 \r \h </w:instrText>
            </w:r>
            <w:r w:rsidR="00CC0FF3">
              <w:instrText xml:space="preserve"> \* MERGEFORMAT </w:instrText>
            </w:r>
            <w:r w:rsidR="00A24C7B" w:rsidRPr="00CC0FF3">
              <w:fldChar w:fldCharType="separate"/>
            </w:r>
            <w:r w:rsidR="006C5761">
              <w:t>3.3.2</w:t>
            </w:r>
            <w:r w:rsidR="00A24C7B" w:rsidRPr="00CC0FF3">
              <w:fldChar w:fldCharType="end"/>
            </w:r>
            <w:r w:rsidRPr="00CC0FF3">
              <w:t>,</w:t>
            </w:r>
            <w:r w:rsidR="008F6313" w:rsidRPr="00CC0FF3">
              <w:t xml:space="preserve"> </w:t>
            </w:r>
            <w:r w:rsidRPr="00CC0FF3">
              <w:t xml:space="preserve">Section </w:t>
            </w:r>
            <w:r w:rsidR="00D63FE4">
              <w:fldChar w:fldCharType="begin"/>
            </w:r>
            <w:r w:rsidR="00D63FE4">
              <w:instrText xml:space="preserve"> REF _Ref202089773 \r \h </w:instrText>
            </w:r>
            <w:r w:rsidR="00D63FE4">
              <w:fldChar w:fldCharType="separate"/>
            </w:r>
            <w:r w:rsidR="006C5761">
              <w:t>3.4.1</w:t>
            </w:r>
            <w:r w:rsidR="00D63FE4">
              <w:fldChar w:fldCharType="end"/>
            </w:r>
          </w:p>
        </w:tc>
        <w:tc>
          <w:tcPr>
            <w:tcW w:w="4531" w:type="dxa"/>
            <w:tcBorders>
              <w:top w:val="single" w:sz="4" w:space="0" w:color="auto"/>
              <w:bottom w:val="single" w:sz="4" w:space="0" w:color="auto"/>
            </w:tcBorders>
          </w:tcPr>
          <w:p w14:paraId="0578C024" w14:textId="654B2D86" w:rsidR="008F238C" w:rsidRPr="00CC0FF3" w:rsidRDefault="008F238C" w:rsidP="00DB49B7">
            <w:pPr>
              <w:pStyle w:val="TableText"/>
            </w:pPr>
            <w:r w:rsidRPr="00CC0FF3">
              <w:t xml:space="preserve">Referred to more recent and more detailed sources of guidance on deriving site-specific </w:t>
            </w:r>
            <w:r w:rsidR="001C3C22">
              <w:t>guideline value</w:t>
            </w:r>
            <w:r w:rsidRPr="00CC0FF3">
              <w:t>s</w:t>
            </w:r>
          </w:p>
        </w:tc>
        <w:tc>
          <w:tcPr>
            <w:tcW w:w="7796" w:type="dxa"/>
            <w:tcBorders>
              <w:top w:val="single" w:sz="4" w:space="0" w:color="auto"/>
              <w:bottom w:val="single" w:sz="4" w:space="0" w:color="auto"/>
            </w:tcBorders>
          </w:tcPr>
          <w:p w14:paraId="046FCB4C" w14:textId="70D4F35A" w:rsidR="008F238C" w:rsidRPr="000E30F4" w:rsidRDefault="008F238C" w:rsidP="00DB49B7">
            <w:pPr>
              <w:pStyle w:val="TableText"/>
              <w:rPr>
                <w:i/>
                <w:iCs/>
              </w:rPr>
            </w:pPr>
            <w:r w:rsidRPr="000E30F4">
              <w:rPr>
                <w:i/>
                <w:iCs/>
              </w:rPr>
              <w:t>To reflect updated guidance on</w:t>
            </w:r>
            <w:r w:rsidR="00D35EF2">
              <w:rPr>
                <w:i/>
                <w:iCs/>
              </w:rPr>
              <w:t xml:space="preserve"> the</w:t>
            </w:r>
            <w:r w:rsidRPr="000E30F4">
              <w:rPr>
                <w:i/>
                <w:iCs/>
              </w:rPr>
              <w:t xml:space="preserve"> </w:t>
            </w:r>
            <w:hyperlink r:id="rId49" w:history="1">
              <w:r w:rsidR="00D35EF2">
                <w:rPr>
                  <w:rStyle w:val="Hyperlink"/>
                  <w:i/>
                  <w:iCs/>
                </w:rPr>
                <w:t>ANZG (2018)</w:t>
              </w:r>
            </w:hyperlink>
            <w:r w:rsidRPr="000E30F4">
              <w:rPr>
                <w:i/>
                <w:iCs/>
              </w:rPr>
              <w:t xml:space="preserve"> website and associated content (e.g. technical briefs)</w:t>
            </w:r>
          </w:p>
          <w:p w14:paraId="2AD1F27C" w14:textId="01D96E8C" w:rsidR="008F238C" w:rsidRPr="00CC0FF3" w:rsidRDefault="008F238C" w:rsidP="00DB49B7">
            <w:pPr>
              <w:pStyle w:val="TableText"/>
            </w:pPr>
            <w:r w:rsidRPr="00CC0FF3">
              <w:t xml:space="preserve">In late 2019, the </w:t>
            </w:r>
            <w:r w:rsidRPr="00D35EF2">
              <w:rPr>
                <w:i/>
                <w:iCs/>
              </w:rPr>
              <w:t>A</w:t>
            </w:r>
            <w:r w:rsidR="00D35EF2" w:rsidRPr="00D35EF2">
              <w:rPr>
                <w:i/>
                <w:iCs/>
              </w:rPr>
              <w:t xml:space="preserve">ustralian and </w:t>
            </w:r>
            <w:r w:rsidRPr="00D35EF2">
              <w:rPr>
                <w:i/>
                <w:iCs/>
              </w:rPr>
              <w:t>N</w:t>
            </w:r>
            <w:r w:rsidR="00D35EF2" w:rsidRPr="00D35EF2">
              <w:rPr>
                <w:i/>
                <w:iCs/>
              </w:rPr>
              <w:t xml:space="preserve">ew </w:t>
            </w:r>
            <w:r w:rsidRPr="00D35EF2">
              <w:rPr>
                <w:i/>
                <w:iCs/>
              </w:rPr>
              <w:t>Z</w:t>
            </w:r>
            <w:r w:rsidR="00D35EF2" w:rsidRPr="00D35EF2">
              <w:rPr>
                <w:i/>
                <w:iCs/>
              </w:rPr>
              <w:t xml:space="preserve">ealand </w:t>
            </w:r>
            <w:r w:rsidRPr="00D35EF2">
              <w:rPr>
                <w:i/>
                <w:iCs/>
              </w:rPr>
              <w:t>G</w:t>
            </w:r>
            <w:r w:rsidR="00D35EF2" w:rsidRPr="00D35EF2">
              <w:rPr>
                <w:i/>
                <w:iCs/>
              </w:rPr>
              <w:t>uidelines</w:t>
            </w:r>
            <w:r w:rsidR="00D35EF2">
              <w:t xml:space="preserve"> </w:t>
            </w:r>
            <w:r w:rsidRPr="00CC0FF3">
              <w:t>website was updated to include reference to</w:t>
            </w:r>
            <w:r w:rsidR="00C64837" w:rsidRPr="00CC0FF3">
              <w:t xml:space="preserve"> 2</w:t>
            </w:r>
            <w:r w:rsidRPr="00CC0FF3">
              <w:t xml:space="preserve"> recently</w:t>
            </w:r>
            <w:r w:rsidR="001C3C22">
              <w:t xml:space="preserve"> </w:t>
            </w:r>
            <w:r w:rsidRPr="00CC0FF3">
              <w:t xml:space="preserve">published sources of guidance on deriving site-specific </w:t>
            </w:r>
            <w:r w:rsidR="001C3C22">
              <w:t>guideline value</w:t>
            </w:r>
            <w:r w:rsidRPr="00CC0FF3">
              <w:t xml:space="preserve">s (Huynh and Hobbs 2019 and van Dam et al. 2019). Although Warne et al. (2018) provided some information on deriving site-specific </w:t>
            </w:r>
            <w:r w:rsidR="001C3C22">
              <w:t>guideline value</w:t>
            </w:r>
            <w:r w:rsidRPr="00CC0FF3">
              <w:t>s, it did not go into much detail and, as such, now benefits from referring readers to other sources of recent and more detailed guidance on this, including the ANZG (2018) website</w:t>
            </w:r>
          </w:p>
        </w:tc>
      </w:tr>
      <w:tr w:rsidR="00C409DB" w:rsidRPr="00FA309D" w14:paraId="4E782B23" w14:textId="77777777" w:rsidTr="00AE4AC5">
        <w:trPr>
          <w:trHeight w:val="20"/>
        </w:trPr>
        <w:tc>
          <w:tcPr>
            <w:tcW w:w="1560" w:type="dxa"/>
            <w:tcBorders>
              <w:top w:val="single" w:sz="4" w:space="0" w:color="auto"/>
              <w:bottom w:val="single" w:sz="4" w:space="0" w:color="auto"/>
            </w:tcBorders>
          </w:tcPr>
          <w:p w14:paraId="76CBDCAD" w14:textId="356F0F00" w:rsidR="00C409DB" w:rsidRPr="00CC0FF3" w:rsidRDefault="00A24C7B" w:rsidP="00DB49B7">
            <w:pPr>
              <w:pStyle w:val="TableText"/>
            </w:pPr>
            <w:r w:rsidRPr="00CC0FF3">
              <w:t xml:space="preserve">Section </w:t>
            </w:r>
            <w:r w:rsidRPr="00CC0FF3">
              <w:fldChar w:fldCharType="begin"/>
            </w:r>
            <w:r w:rsidRPr="00CC0FF3">
              <w:instrText xml:space="preserve"> REF _Ref522008179 \r \h </w:instrText>
            </w:r>
            <w:r w:rsidR="00CC0FF3">
              <w:instrText xml:space="preserve"> \* MERGEFORMAT </w:instrText>
            </w:r>
            <w:r w:rsidRPr="00CC0FF3">
              <w:fldChar w:fldCharType="separate"/>
            </w:r>
            <w:r w:rsidR="006C5761">
              <w:t>3.1</w:t>
            </w:r>
            <w:r w:rsidRPr="00CC0FF3">
              <w:fldChar w:fldCharType="end"/>
            </w:r>
            <w:r w:rsidR="00C409DB" w:rsidRPr="00CC0FF3">
              <w:t xml:space="preserve"> </w:t>
            </w:r>
            <w:r w:rsidR="003C74B8">
              <w:t>‘</w:t>
            </w:r>
            <w:r w:rsidR="00C409DB" w:rsidRPr="00CC0FF3">
              <w:t>Collating toxicity and physicochemical data</w:t>
            </w:r>
            <w:r w:rsidR="003C74B8">
              <w:t>’</w:t>
            </w:r>
          </w:p>
        </w:tc>
        <w:tc>
          <w:tcPr>
            <w:tcW w:w="4531" w:type="dxa"/>
            <w:tcBorders>
              <w:top w:val="single" w:sz="4" w:space="0" w:color="auto"/>
              <w:bottom w:val="single" w:sz="4" w:space="0" w:color="auto"/>
            </w:tcBorders>
          </w:tcPr>
          <w:p w14:paraId="05DDD78E" w14:textId="20D71218" w:rsidR="00C409DB" w:rsidRPr="00CC0FF3" w:rsidRDefault="00C409DB" w:rsidP="00DB49B7">
            <w:pPr>
              <w:pStyle w:val="TableText"/>
            </w:pPr>
            <w:r w:rsidRPr="00CC0FF3">
              <w:t>Added sub-headings to improve readability</w:t>
            </w:r>
          </w:p>
        </w:tc>
        <w:tc>
          <w:tcPr>
            <w:tcW w:w="7796" w:type="dxa"/>
            <w:tcBorders>
              <w:top w:val="single" w:sz="4" w:space="0" w:color="auto"/>
              <w:bottom w:val="single" w:sz="4" w:space="0" w:color="auto"/>
            </w:tcBorders>
          </w:tcPr>
          <w:p w14:paraId="2AA31C0F" w14:textId="75DDF5F6" w:rsidR="00C409DB" w:rsidRPr="000E30F4" w:rsidRDefault="00C409DB" w:rsidP="00DB49B7">
            <w:pPr>
              <w:pStyle w:val="TableText"/>
              <w:rPr>
                <w:i/>
                <w:iCs/>
              </w:rPr>
            </w:pPr>
            <w:r w:rsidRPr="000E30F4">
              <w:rPr>
                <w:i/>
                <w:iCs/>
              </w:rPr>
              <w:t xml:space="preserve">For improved </w:t>
            </w:r>
            <w:r w:rsidR="003A3590">
              <w:rPr>
                <w:i/>
                <w:iCs/>
              </w:rPr>
              <w:t>clarity and layout</w:t>
            </w:r>
          </w:p>
        </w:tc>
      </w:tr>
      <w:tr w:rsidR="00C409DB" w:rsidRPr="00FA309D" w14:paraId="04793C2B" w14:textId="77777777" w:rsidTr="00AE4AC5">
        <w:trPr>
          <w:trHeight w:val="20"/>
        </w:trPr>
        <w:tc>
          <w:tcPr>
            <w:tcW w:w="1560" w:type="dxa"/>
            <w:tcBorders>
              <w:top w:val="single" w:sz="4" w:space="0" w:color="auto"/>
              <w:bottom w:val="single" w:sz="4" w:space="0" w:color="auto"/>
            </w:tcBorders>
          </w:tcPr>
          <w:p w14:paraId="731BC6B0" w14:textId="7745C8F3" w:rsidR="00C409DB" w:rsidRPr="00CC0FF3" w:rsidRDefault="00A24C7B" w:rsidP="00DB49B7">
            <w:pPr>
              <w:pStyle w:val="TableText"/>
            </w:pPr>
            <w:r w:rsidRPr="00CC0FF3">
              <w:t xml:space="preserve">Section </w:t>
            </w:r>
            <w:r w:rsidRPr="00CC0FF3">
              <w:fldChar w:fldCharType="begin"/>
            </w:r>
            <w:r w:rsidRPr="00CC0FF3">
              <w:instrText xml:space="preserve"> REF _Ref522008179 \r \h </w:instrText>
            </w:r>
            <w:r w:rsidR="00CC0FF3">
              <w:instrText xml:space="preserve"> \* MERGEFORMAT </w:instrText>
            </w:r>
            <w:r w:rsidRPr="00CC0FF3">
              <w:fldChar w:fldCharType="separate"/>
            </w:r>
            <w:r w:rsidR="006C5761">
              <w:t>3.1</w:t>
            </w:r>
            <w:r w:rsidRPr="00CC0FF3">
              <w:fldChar w:fldCharType="end"/>
            </w:r>
            <w:r w:rsidR="00C409DB" w:rsidRPr="00CC0FF3">
              <w:t xml:space="preserve"> </w:t>
            </w:r>
            <w:r w:rsidR="003C74B8">
              <w:t>‘</w:t>
            </w:r>
            <w:r w:rsidR="00C409DB" w:rsidRPr="00CC0FF3">
              <w:t>Collating toxicity and physicochemical data</w:t>
            </w:r>
            <w:r w:rsidR="003C74B8">
              <w:t>’</w:t>
            </w:r>
          </w:p>
        </w:tc>
        <w:tc>
          <w:tcPr>
            <w:tcW w:w="4531" w:type="dxa"/>
            <w:tcBorders>
              <w:top w:val="single" w:sz="4" w:space="0" w:color="auto"/>
              <w:bottom w:val="single" w:sz="4" w:space="0" w:color="auto"/>
            </w:tcBorders>
          </w:tcPr>
          <w:p w14:paraId="0BA23A23" w14:textId="2542FFF9" w:rsidR="00C409DB" w:rsidRPr="00CC0FF3" w:rsidRDefault="00C409DB" w:rsidP="00DB49B7">
            <w:pPr>
              <w:pStyle w:val="TableText"/>
            </w:pPr>
            <w:r w:rsidRPr="00CC0FF3">
              <w:t xml:space="preserve">Added a sentence to highlight that, for </w:t>
            </w:r>
            <w:r w:rsidR="00E84493">
              <w:t>default guideline value</w:t>
            </w:r>
            <w:r w:rsidRPr="00CC0FF3">
              <w:t>s, toxicity data for both Australasian and overseas species should be collated</w:t>
            </w:r>
          </w:p>
        </w:tc>
        <w:tc>
          <w:tcPr>
            <w:tcW w:w="7796" w:type="dxa"/>
            <w:tcBorders>
              <w:top w:val="single" w:sz="4" w:space="0" w:color="auto"/>
              <w:bottom w:val="single" w:sz="4" w:space="0" w:color="auto"/>
            </w:tcBorders>
          </w:tcPr>
          <w:p w14:paraId="699D0F47" w14:textId="517CD362" w:rsidR="00C409DB" w:rsidRPr="000E30F4" w:rsidRDefault="00C409DB" w:rsidP="00DB49B7">
            <w:pPr>
              <w:pStyle w:val="TableText"/>
              <w:rPr>
                <w:i/>
                <w:iCs/>
              </w:rPr>
            </w:pPr>
            <w:r w:rsidRPr="000E30F4">
              <w:rPr>
                <w:i/>
                <w:iCs/>
              </w:rPr>
              <w:t xml:space="preserve">To </w:t>
            </w:r>
            <w:r w:rsidR="003A3590">
              <w:rPr>
                <w:i/>
                <w:iCs/>
              </w:rPr>
              <w:t>clarify and improve</w:t>
            </w:r>
            <w:r w:rsidRPr="000E30F4">
              <w:rPr>
                <w:i/>
                <w:iCs/>
              </w:rPr>
              <w:t xml:space="preserve"> specific aspects of the derivation method</w:t>
            </w:r>
          </w:p>
          <w:p w14:paraId="49600A55" w14:textId="35718843" w:rsidR="00C409DB" w:rsidRPr="00CC0FF3" w:rsidRDefault="00C409DB" w:rsidP="00DB49B7">
            <w:pPr>
              <w:pStyle w:val="TableText"/>
            </w:pPr>
            <w:r w:rsidRPr="00CC0FF3">
              <w:t>It was brought to attention that Warne et al. (2018) does not explicitly state that data from both Aust</w:t>
            </w:r>
            <w:r w:rsidR="00E84493">
              <w:t xml:space="preserve">ralian and </w:t>
            </w:r>
            <w:r w:rsidRPr="00CC0FF3">
              <w:t>N</w:t>
            </w:r>
            <w:r w:rsidR="00E84493">
              <w:t xml:space="preserve">ew </w:t>
            </w:r>
            <w:r w:rsidRPr="00CC0FF3">
              <w:t>Z</w:t>
            </w:r>
            <w:r w:rsidR="00E84493">
              <w:t>ealand</w:t>
            </w:r>
            <w:r w:rsidRPr="00CC0FF3">
              <w:t xml:space="preserve"> species and overseas species can be used (although it is implied in the first paragraph). The added sentence ma</w:t>
            </w:r>
            <w:r w:rsidR="00803E79">
              <w:t>de</w:t>
            </w:r>
            <w:r w:rsidRPr="00CC0FF3">
              <w:t xml:space="preserve"> it explicit. Also, additional text on this issue </w:t>
            </w:r>
            <w:r w:rsidR="00803E79">
              <w:t>was</w:t>
            </w:r>
            <w:r w:rsidRPr="00CC0FF3">
              <w:t xml:space="preserve"> added in Section </w:t>
            </w:r>
            <w:r w:rsidR="00A049BE" w:rsidRPr="00CC0FF3">
              <w:fldChar w:fldCharType="begin"/>
            </w:r>
            <w:r w:rsidR="00A049BE" w:rsidRPr="00CC0FF3">
              <w:instrText xml:space="preserve"> REF _Ref522008190 \r \h </w:instrText>
            </w:r>
            <w:r w:rsidR="00CC0FF3">
              <w:instrText xml:space="preserve"> \* MERGEFORMAT </w:instrText>
            </w:r>
            <w:r w:rsidR="00A049BE" w:rsidRPr="00CC0FF3">
              <w:fldChar w:fldCharType="separate"/>
            </w:r>
            <w:r w:rsidR="006C5761">
              <w:t>3.2</w:t>
            </w:r>
            <w:r w:rsidR="00A049BE" w:rsidRPr="00CC0FF3">
              <w:fldChar w:fldCharType="end"/>
            </w:r>
            <w:r w:rsidRPr="00CC0FF3">
              <w:t xml:space="preserve"> (see further below)</w:t>
            </w:r>
          </w:p>
        </w:tc>
      </w:tr>
      <w:tr w:rsidR="00C409DB" w:rsidRPr="00FA309D" w14:paraId="7133AEF6" w14:textId="77777777" w:rsidTr="00AE4AC5">
        <w:trPr>
          <w:trHeight w:val="20"/>
        </w:trPr>
        <w:tc>
          <w:tcPr>
            <w:tcW w:w="1560" w:type="dxa"/>
            <w:tcBorders>
              <w:top w:val="single" w:sz="4" w:space="0" w:color="auto"/>
              <w:bottom w:val="single" w:sz="4" w:space="0" w:color="auto"/>
            </w:tcBorders>
          </w:tcPr>
          <w:p w14:paraId="3A05F691" w14:textId="1661028D" w:rsidR="00C409DB" w:rsidRPr="00CC0FF3" w:rsidRDefault="00E445B3" w:rsidP="00DB49B7">
            <w:pPr>
              <w:pStyle w:val="TableText"/>
            </w:pPr>
            <w:r w:rsidRPr="00CC0FF3">
              <w:t xml:space="preserve">Section </w:t>
            </w:r>
            <w:r w:rsidRPr="00CC0FF3">
              <w:fldChar w:fldCharType="begin"/>
            </w:r>
            <w:r w:rsidRPr="00CC0FF3">
              <w:instrText xml:space="preserve"> REF _Ref522008179 \r \h </w:instrText>
            </w:r>
            <w:r w:rsidR="00CC0FF3">
              <w:instrText xml:space="preserve"> \* MERGEFORMAT </w:instrText>
            </w:r>
            <w:r w:rsidRPr="00CC0FF3">
              <w:fldChar w:fldCharType="separate"/>
            </w:r>
            <w:r w:rsidR="006C5761">
              <w:t>3.1</w:t>
            </w:r>
            <w:r w:rsidRPr="00CC0FF3">
              <w:fldChar w:fldCharType="end"/>
            </w:r>
            <w:r w:rsidR="00C409DB" w:rsidRPr="00CC0FF3">
              <w:t xml:space="preserve"> </w:t>
            </w:r>
            <w:r w:rsidR="003C74B8">
              <w:t>‘</w:t>
            </w:r>
            <w:r w:rsidR="00C409DB" w:rsidRPr="00CC0FF3">
              <w:t>Collating toxicity and physicochemical data</w:t>
            </w:r>
            <w:r w:rsidR="003C74B8">
              <w:t>’</w:t>
            </w:r>
          </w:p>
        </w:tc>
        <w:tc>
          <w:tcPr>
            <w:tcW w:w="4531" w:type="dxa"/>
            <w:tcBorders>
              <w:top w:val="single" w:sz="4" w:space="0" w:color="auto"/>
              <w:bottom w:val="single" w:sz="4" w:space="0" w:color="auto"/>
            </w:tcBorders>
          </w:tcPr>
          <w:p w14:paraId="11D0F451" w14:textId="2CF27F27" w:rsidR="00C409DB" w:rsidRPr="00CC0FF3" w:rsidRDefault="00C409DB" w:rsidP="00DB49B7">
            <w:pPr>
              <w:pStyle w:val="TableText"/>
            </w:pPr>
            <w:r w:rsidRPr="00CC0FF3">
              <w:t xml:space="preserve">Updated guidance </w:t>
            </w:r>
            <w:r w:rsidR="00AD2AEF" w:rsidRPr="00CC0FF3">
              <w:t xml:space="preserve">now in Section </w:t>
            </w:r>
            <w:r w:rsidR="00A049BE" w:rsidRPr="00CC0FF3">
              <w:fldChar w:fldCharType="begin"/>
            </w:r>
            <w:r w:rsidR="00A049BE" w:rsidRPr="00CC0FF3">
              <w:instrText xml:space="preserve"> REF _Ref202088703 \r \h </w:instrText>
            </w:r>
            <w:r w:rsidR="00CC0FF3">
              <w:instrText xml:space="preserve"> \* MERGEFORMAT </w:instrText>
            </w:r>
            <w:r w:rsidR="00A049BE" w:rsidRPr="00CC0FF3">
              <w:fldChar w:fldCharType="separate"/>
            </w:r>
            <w:r w:rsidR="006C5761">
              <w:t>0</w:t>
            </w:r>
            <w:r w:rsidR="00A049BE" w:rsidRPr="00CC0FF3">
              <w:fldChar w:fldCharType="end"/>
            </w:r>
            <w:r w:rsidR="00AD2AEF" w:rsidRPr="00CC0FF3">
              <w:t xml:space="preserve"> </w:t>
            </w:r>
            <w:r w:rsidRPr="00CC0FF3">
              <w:t>relating to what to do for estuarine/brackish waters to reflect updated guidance on the ANZG (2018) website:</w:t>
            </w:r>
          </w:p>
          <w:p w14:paraId="18398086" w14:textId="0C5499B6" w:rsidR="00C409DB" w:rsidRPr="00540B0A" w:rsidRDefault="006C7C16" w:rsidP="00540B0A">
            <w:pPr>
              <w:pStyle w:val="TableBullet"/>
            </w:pPr>
            <w:hyperlink r:id="rId50" w:history="1">
              <w:r w:rsidRPr="006C7C16">
                <w:rPr>
                  <w:rStyle w:val="Hyperlink"/>
                  <w:i/>
                  <w:iCs/>
                </w:rPr>
                <w:t>Toxicant default guideline values for water quality in aquatic ecosystems</w:t>
              </w:r>
            </w:hyperlink>
          </w:p>
          <w:p w14:paraId="710457E3" w14:textId="6B7AE418" w:rsidR="00C409DB" w:rsidRPr="006C7C16" w:rsidRDefault="006C7C16" w:rsidP="005B051B">
            <w:pPr>
              <w:pStyle w:val="TableBullet"/>
              <w:numPr>
                <w:ilvl w:val="0"/>
                <w:numId w:val="40"/>
              </w:numPr>
              <w:ind w:left="170" w:hanging="170"/>
              <w:rPr>
                <w:rStyle w:val="Hyperlink"/>
              </w:rPr>
            </w:pPr>
            <w:hyperlink r:id="rId51" w:anchor="salinity-effects" w:history="1">
              <w:r w:rsidRPr="00540B0A">
                <w:rPr>
                  <w:rStyle w:val="Hyperlink"/>
                  <w:i/>
                  <w:iCs/>
                </w:rPr>
                <w:t>Salinity effects</w:t>
              </w:r>
            </w:hyperlink>
          </w:p>
        </w:tc>
        <w:tc>
          <w:tcPr>
            <w:tcW w:w="7796" w:type="dxa"/>
            <w:tcBorders>
              <w:top w:val="single" w:sz="4" w:space="0" w:color="auto"/>
              <w:bottom w:val="single" w:sz="4" w:space="0" w:color="auto"/>
            </w:tcBorders>
          </w:tcPr>
          <w:p w14:paraId="4EAC9D0B" w14:textId="77777777" w:rsidR="00C409DB" w:rsidRPr="000E30F4" w:rsidRDefault="00C409DB" w:rsidP="00DB49B7">
            <w:pPr>
              <w:pStyle w:val="TableText"/>
              <w:rPr>
                <w:i/>
                <w:iCs/>
              </w:rPr>
            </w:pPr>
            <w:r w:rsidRPr="000E30F4">
              <w:rPr>
                <w:i/>
                <w:iCs/>
              </w:rPr>
              <w:t>To reflect updated guidance on ANZG (2018) website and associated content (e.g. technical briefs)</w:t>
            </w:r>
          </w:p>
          <w:p w14:paraId="4F119952" w14:textId="18F6192E" w:rsidR="00C409DB" w:rsidRPr="00CC0FF3" w:rsidRDefault="00C409DB" w:rsidP="00DB49B7">
            <w:pPr>
              <w:pStyle w:val="TableText"/>
            </w:pPr>
            <w:r w:rsidRPr="00CC0FF3">
              <w:t xml:space="preserve">Website guidance on what to do for toxicant </w:t>
            </w:r>
            <w:r w:rsidR="00540B0A">
              <w:t>guideline value</w:t>
            </w:r>
            <w:r w:rsidRPr="00CC0FF3">
              <w:t>s for estuarine/brackish waters was updated following a committee request (from Q</w:t>
            </w:r>
            <w:r w:rsidR="00540B0A">
              <w:t>ueens</w:t>
            </w:r>
            <w:r w:rsidRPr="00CC0FF3">
              <w:t>l</w:t>
            </w:r>
            <w:r w:rsidR="00540B0A">
              <w:t>an</w:t>
            </w:r>
            <w:r w:rsidRPr="00CC0FF3">
              <w:t xml:space="preserve">d). The updated guidance is more detailed and appropriate than the original limited guidance in Warne et al. (2018), which simply stated that </w:t>
            </w:r>
            <w:r w:rsidR="00DC69AA">
              <w:t>‘</w:t>
            </w:r>
            <w:r w:rsidRPr="00CC0FF3">
              <w:t xml:space="preserve">Marine </w:t>
            </w:r>
            <w:r w:rsidR="00540B0A">
              <w:t>guideline value</w:t>
            </w:r>
            <w:r w:rsidRPr="00CC0FF3">
              <w:t>s should be used for estuarine ecosystems (≥</w:t>
            </w:r>
            <w:r w:rsidR="00540B0A">
              <w:t> </w:t>
            </w:r>
            <w:r w:rsidRPr="00CC0FF3">
              <w:t>0.5</w:t>
            </w:r>
            <w:r w:rsidR="00540B0A" w:rsidRPr="00CC0FF3">
              <w:t>‰</w:t>
            </w:r>
            <w:r w:rsidRPr="00CC0FF3">
              <w:t xml:space="preserve"> to &lt;</w:t>
            </w:r>
            <w:r w:rsidR="00540B0A">
              <w:t> </w:t>
            </w:r>
            <w:r w:rsidRPr="00CC0FF3">
              <w:t xml:space="preserve">25‰); however, if there are sufficient ecotoxicity data tested under estuarine conditions then estuarine </w:t>
            </w:r>
            <w:r w:rsidR="00861999">
              <w:t>guideline value</w:t>
            </w:r>
            <w:r w:rsidRPr="00CC0FF3">
              <w:t>s should be derived using the methods set out in this report</w:t>
            </w:r>
            <w:r w:rsidR="00DC69AA">
              <w:t>’</w:t>
            </w:r>
            <w:r w:rsidRPr="00CC0FF3">
              <w:t xml:space="preserve">. Therefore, the guidance on this issue in Warne et al. (2018) </w:t>
            </w:r>
            <w:r w:rsidR="00861999">
              <w:t>was</w:t>
            </w:r>
            <w:r w:rsidRPr="00CC0FF3">
              <w:t xml:space="preserve"> updated</w:t>
            </w:r>
          </w:p>
        </w:tc>
      </w:tr>
      <w:tr w:rsidR="00C409DB" w:rsidRPr="00FA309D" w14:paraId="28282171" w14:textId="77777777" w:rsidTr="00AE4AC5">
        <w:trPr>
          <w:trHeight w:val="20"/>
        </w:trPr>
        <w:tc>
          <w:tcPr>
            <w:tcW w:w="1560" w:type="dxa"/>
            <w:tcBorders>
              <w:top w:val="single" w:sz="4" w:space="0" w:color="auto"/>
              <w:bottom w:val="single" w:sz="4" w:space="0" w:color="auto"/>
            </w:tcBorders>
          </w:tcPr>
          <w:p w14:paraId="66CBFAD7" w14:textId="4B0A9849" w:rsidR="00C409DB" w:rsidRPr="00FA309D" w:rsidRDefault="00E445B3" w:rsidP="00DB49B7">
            <w:pPr>
              <w:pStyle w:val="TableText"/>
            </w:pPr>
            <w:r w:rsidRPr="00FA309D">
              <w:t xml:space="preserve">Section </w:t>
            </w:r>
            <w:r w:rsidRPr="00FA309D">
              <w:fldChar w:fldCharType="begin"/>
            </w:r>
            <w:r w:rsidRPr="00FA309D">
              <w:instrText xml:space="preserve"> REF _Ref522008179 \r \h </w:instrText>
            </w:r>
            <w:r w:rsidR="00CC0FF3">
              <w:instrText xml:space="preserve"> \* MERGEFORMAT </w:instrText>
            </w:r>
            <w:r w:rsidRPr="00FA309D">
              <w:fldChar w:fldCharType="separate"/>
            </w:r>
            <w:r w:rsidR="006C5761">
              <w:t>3.1</w:t>
            </w:r>
            <w:r w:rsidRPr="00FA309D">
              <w:fldChar w:fldCharType="end"/>
            </w:r>
            <w:r w:rsidR="00C409DB" w:rsidRPr="00FA309D">
              <w:t xml:space="preserve"> </w:t>
            </w:r>
            <w:r w:rsidR="003C74B8">
              <w:t>‘</w:t>
            </w:r>
            <w:r w:rsidR="00C409DB" w:rsidRPr="00FA309D">
              <w:t>Collating toxicity and physicochemical data</w:t>
            </w:r>
            <w:r w:rsidR="003C74B8">
              <w:t>’</w:t>
            </w:r>
          </w:p>
        </w:tc>
        <w:tc>
          <w:tcPr>
            <w:tcW w:w="4531" w:type="dxa"/>
            <w:tcBorders>
              <w:top w:val="single" w:sz="4" w:space="0" w:color="auto"/>
              <w:bottom w:val="single" w:sz="4" w:space="0" w:color="auto"/>
            </w:tcBorders>
          </w:tcPr>
          <w:p w14:paraId="03AF1476" w14:textId="64CFD825" w:rsidR="00C409DB" w:rsidRPr="00FA309D" w:rsidRDefault="00C409DB" w:rsidP="00DB49B7">
            <w:pPr>
              <w:pStyle w:val="TableText"/>
            </w:pPr>
            <w:r w:rsidRPr="00FA309D">
              <w:t>Removed sentence stating the preference to use ecotoxicity data published in peer-reviewed papers</w:t>
            </w:r>
          </w:p>
        </w:tc>
        <w:tc>
          <w:tcPr>
            <w:tcW w:w="7796" w:type="dxa"/>
            <w:tcBorders>
              <w:top w:val="single" w:sz="4" w:space="0" w:color="auto"/>
              <w:bottom w:val="single" w:sz="4" w:space="0" w:color="auto"/>
            </w:tcBorders>
          </w:tcPr>
          <w:p w14:paraId="6EB0B46D" w14:textId="14A3F7F5" w:rsidR="00C409DB" w:rsidRPr="000E30F4" w:rsidRDefault="00C409DB" w:rsidP="00DB49B7">
            <w:pPr>
              <w:pStyle w:val="TableText"/>
              <w:rPr>
                <w:i/>
                <w:iCs/>
              </w:rPr>
            </w:pPr>
            <w:r w:rsidRPr="000E30F4">
              <w:rPr>
                <w:i/>
                <w:iCs/>
              </w:rPr>
              <w:t xml:space="preserve">To </w:t>
            </w:r>
            <w:r w:rsidR="003A3590">
              <w:rPr>
                <w:i/>
                <w:iCs/>
              </w:rPr>
              <w:t>clarify and improve</w:t>
            </w:r>
            <w:r w:rsidRPr="000E30F4">
              <w:rPr>
                <w:i/>
                <w:iCs/>
              </w:rPr>
              <w:t xml:space="preserve"> specific aspects of the derivation method</w:t>
            </w:r>
          </w:p>
          <w:p w14:paraId="78B3E369" w14:textId="5F7EB37B" w:rsidR="00C409DB" w:rsidRPr="00FA309D" w:rsidRDefault="00C409DB" w:rsidP="00DB49B7">
            <w:pPr>
              <w:pStyle w:val="TableText"/>
              <w:rPr>
                <w:i/>
                <w:iCs/>
              </w:rPr>
            </w:pPr>
            <w:r w:rsidRPr="00FA309D">
              <w:t xml:space="preserve">The sentence partially contradicted earlier criteria </w:t>
            </w:r>
            <w:r w:rsidRPr="00FA309D">
              <w:rPr>
                <w:lang w:val="en-GB"/>
              </w:rPr>
              <w:t>for acceptability of publication types. If data are assessed to be reliable</w:t>
            </w:r>
            <w:r w:rsidR="00861999">
              <w:rPr>
                <w:lang w:val="en-GB"/>
              </w:rPr>
              <w:t>,</w:t>
            </w:r>
            <w:r w:rsidRPr="00FA309D">
              <w:rPr>
                <w:lang w:val="en-GB"/>
              </w:rPr>
              <w:t xml:space="preserve"> they should be treated equally</w:t>
            </w:r>
            <w:r w:rsidR="00861999">
              <w:rPr>
                <w:lang w:val="en-GB"/>
              </w:rPr>
              <w:t>,</w:t>
            </w:r>
            <w:r w:rsidRPr="00FA309D">
              <w:rPr>
                <w:lang w:val="en-GB"/>
              </w:rPr>
              <w:t xml:space="preserve"> regardless of where they were reported</w:t>
            </w:r>
          </w:p>
        </w:tc>
      </w:tr>
      <w:tr w:rsidR="008F238C" w:rsidRPr="00FA309D" w14:paraId="510DAB57" w14:textId="77777777" w:rsidTr="00AE4AC5">
        <w:trPr>
          <w:trHeight w:val="20"/>
        </w:trPr>
        <w:tc>
          <w:tcPr>
            <w:tcW w:w="1560" w:type="dxa"/>
            <w:tcBorders>
              <w:top w:val="single" w:sz="4" w:space="0" w:color="auto"/>
              <w:bottom w:val="single" w:sz="4" w:space="0" w:color="auto"/>
            </w:tcBorders>
          </w:tcPr>
          <w:p w14:paraId="3D6AD4A9" w14:textId="20BD0FAA" w:rsidR="008F238C" w:rsidRPr="00FA309D" w:rsidRDefault="00E445B3" w:rsidP="00DB49B7">
            <w:pPr>
              <w:pStyle w:val="TableText"/>
            </w:pPr>
            <w:r w:rsidRPr="00FA309D">
              <w:lastRenderedPageBreak/>
              <w:t xml:space="preserve">Section </w:t>
            </w:r>
            <w:r w:rsidRPr="00FA309D">
              <w:fldChar w:fldCharType="begin"/>
            </w:r>
            <w:r w:rsidRPr="00FA309D">
              <w:instrText xml:space="preserve"> REF _Ref522008179 \r \h </w:instrText>
            </w:r>
            <w:r w:rsidR="00CC0FF3">
              <w:instrText xml:space="preserve"> \* MERGEFORMAT </w:instrText>
            </w:r>
            <w:r w:rsidRPr="00FA309D">
              <w:fldChar w:fldCharType="separate"/>
            </w:r>
            <w:r w:rsidR="006C5761">
              <w:t>3.1</w:t>
            </w:r>
            <w:r w:rsidRPr="00FA309D">
              <w:fldChar w:fldCharType="end"/>
            </w:r>
            <w:r w:rsidR="008F238C" w:rsidRPr="00FA309D">
              <w:t xml:space="preserve"> </w:t>
            </w:r>
            <w:r w:rsidR="003C74B8">
              <w:t>‘</w:t>
            </w:r>
            <w:r w:rsidR="008F238C" w:rsidRPr="00FA309D">
              <w:t>Collating toxicity and physicochemical data</w:t>
            </w:r>
            <w:r w:rsidR="003C74B8">
              <w:t>’</w:t>
            </w:r>
          </w:p>
        </w:tc>
        <w:tc>
          <w:tcPr>
            <w:tcW w:w="4531" w:type="dxa"/>
            <w:tcBorders>
              <w:top w:val="single" w:sz="4" w:space="0" w:color="auto"/>
              <w:bottom w:val="single" w:sz="4" w:space="0" w:color="auto"/>
            </w:tcBorders>
          </w:tcPr>
          <w:p w14:paraId="649C6CC3" w14:textId="2DCB04AB" w:rsidR="008F238C" w:rsidRPr="00FA309D" w:rsidRDefault="008F238C" w:rsidP="00DB49B7">
            <w:pPr>
              <w:pStyle w:val="TableText"/>
            </w:pPr>
            <w:r w:rsidRPr="00FA309D">
              <w:t xml:space="preserve">Added sentence stating that evidence of any independent assessment of unpublished data needs to be provided with the final </w:t>
            </w:r>
            <w:r w:rsidR="005149CF">
              <w:t>guideline value</w:t>
            </w:r>
            <w:r w:rsidRPr="00FA309D">
              <w:t>s</w:t>
            </w:r>
          </w:p>
        </w:tc>
        <w:tc>
          <w:tcPr>
            <w:tcW w:w="7796" w:type="dxa"/>
            <w:tcBorders>
              <w:top w:val="single" w:sz="4" w:space="0" w:color="auto"/>
              <w:bottom w:val="single" w:sz="4" w:space="0" w:color="auto"/>
            </w:tcBorders>
          </w:tcPr>
          <w:p w14:paraId="600562C2" w14:textId="607EEB90" w:rsidR="008F238C" w:rsidRPr="002E7971" w:rsidRDefault="008F238C" w:rsidP="00DB49B7">
            <w:pPr>
              <w:pStyle w:val="TableText"/>
              <w:rPr>
                <w:i/>
                <w:iCs/>
              </w:rPr>
            </w:pPr>
            <w:r w:rsidRPr="002E7971">
              <w:rPr>
                <w:i/>
                <w:iCs/>
              </w:rPr>
              <w:t xml:space="preserve">To </w:t>
            </w:r>
            <w:r w:rsidR="003A3590">
              <w:rPr>
                <w:i/>
                <w:iCs/>
              </w:rPr>
              <w:t>clarify and improve</w:t>
            </w:r>
            <w:r w:rsidRPr="002E7971">
              <w:rPr>
                <w:i/>
                <w:iCs/>
              </w:rPr>
              <w:t xml:space="preserve"> specific aspects of the derivation method</w:t>
            </w:r>
          </w:p>
          <w:p w14:paraId="309EA431" w14:textId="5EE8C485" w:rsidR="008F238C" w:rsidRPr="00FA309D" w:rsidRDefault="008F238C" w:rsidP="00DB49B7">
            <w:pPr>
              <w:pStyle w:val="TableText"/>
              <w:rPr>
                <w:i/>
                <w:iCs/>
              </w:rPr>
            </w:pPr>
            <w:r w:rsidRPr="00FA309D">
              <w:t xml:space="preserve">To ensure sufficient supporting evidence is provided with </w:t>
            </w:r>
            <w:r w:rsidR="00861999">
              <w:t>guideline value</w:t>
            </w:r>
            <w:r w:rsidRPr="00FA309D">
              <w:t xml:space="preserve"> documentation</w:t>
            </w:r>
          </w:p>
        </w:tc>
      </w:tr>
      <w:tr w:rsidR="00694D7B" w:rsidRPr="00FA309D" w14:paraId="251D9158" w14:textId="77777777" w:rsidTr="00AE4AC5">
        <w:trPr>
          <w:trHeight w:val="20"/>
        </w:trPr>
        <w:tc>
          <w:tcPr>
            <w:tcW w:w="1560" w:type="dxa"/>
            <w:tcBorders>
              <w:top w:val="single" w:sz="4" w:space="0" w:color="auto"/>
              <w:bottom w:val="single" w:sz="4" w:space="0" w:color="auto"/>
            </w:tcBorders>
          </w:tcPr>
          <w:p w14:paraId="1102FBA9" w14:textId="1EE34FEA" w:rsidR="00694D7B" w:rsidRPr="00FA309D" w:rsidRDefault="00E445B3" w:rsidP="00DB49B7">
            <w:pPr>
              <w:pStyle w:val="TableText"/>
            </w:pPr>
            <w:r w:rsidRPr="00FA309D">
              <w:t xml:space="preserve">Section </w:t>
            </w:r>
            <w:r w:rsidRPr="00FA309D">
              <w:fldChar w:fldCharType="begin"/>
            </w:r>
            <w:r w:rsidRPr="00FA309D">
              <w:instrText xml:space="preserve"> REF _Ref202089384 \r \h </w:instrText>
            </w:r>
            <w:r w:rsidR="00CC0FF3">
              <w:instrText xml:space="preserve"> \* MERGEFORMAT </w:instrText>
            </w:r>
            <w:r w:rsidRPr="00FA309D">
              <w:fldChar w:fldCharType="separate"/>
            </w:r>
            <w:r w:rsidR="006C5761">
              <w:t>0</w:t>
            </w:r>
            <w:r w:rsidRPr="00FA309D">
              <w:fldChar w:fldCharType="end"/>
            </w:r>
            <w:r w:rsidR="00694D7B" w:rsidRPr="00FA309D">
              <w:t xml:space="preserve"> </w:t>
            </w:r>
            <w:r w:rsidR="003C74B8">
              <w:t>‘</w:t>
            </w:r>
            <w:r w:rsidR="00694D7B" w:rsidRPr="00FA309D">
              <w:t>Acute and chronic toxicity</w:t>
            </w:r>
            <w:r w:rsidR="003C74B8">
              <w:t>’</w:t>
            </w:r>
          </w:p>
        </w:tc>
        <w:tc>
          <w:tcPr>
            <w:tcW w:w="4531" w:type="dxa"/>
            <w:tcBorders>
              <w:top w:val="single" w:sz="4" w:space="0" w:color="auto"/>
              <w:bottom w:val="single" w:sz="4" w:space="0" w:color="auto"/>
            </w:tcBorders>
          </w:tcPr>
          <w:p w14:paraId="3A7D393F" w14:textId="7381C6DA" w:rsidR="00694D7B" w:rsidRPr="00FA309D" w:rsidRDefault="00BD1D7B" w:rsidP="00DB49B7">
            <w:pPr>
              <w:pStyle w:val="TableText"/>
            </w:pPr>
            <w:r w:rsidRPr="00FA309D">
              <w:t>Example test durations for tropical and polar species added</w:t>
            </w:r>
          </w:p>
        </w:tc>
        <w:tc>
          <w:tcPr>
            <w:tcW w:w="7796" w:type="dxa"/>
            <w:tcBorders>
              <w:top w:val="single" w:sz="4" w:space="0" w:color="auto"/>
              <w:bottom w:val="single" w:sz="4" w:space="0" w:color="auto"/>
            </w:tcBorders>
          </w:tcPr>
          <w:p w14:paraId="1E92B805" w14:textId="54B68FA8" w:rsidR="00BD1D7B" w:rsidRPr="002E7971" w:rsidRDefault="00BD1D7B" w:rsidP="00DB49B7">
            <w:pPr>
              <w:pStyle w:val="TableText"/>
              <w:rPr>
                <w:i/>
                <w:iCs/>
              </w:rPr>
            </w:pPr>
            <w:r w:rsidRPr="002E7971">
              <w:rPr>
                <w:i/>
                <w:iCs/>
              </w:rPr>
              <w:t xml:space="preserve">To </w:t>
            </w:r>
            <w:r w:rsidR="003A3590">
              <w:rPr>
                <w:i/>
                <w:iCs/>
              </w:rPr>
              <w:t>clarify and improve</w:t>
            </w:r>
            <w:r w:rsidRPr="002E7971">
              <w:rPr>
                <w:i/>
                <w:iCs/>
              </w:rPr>
              <w:t xml:space="preserve"> specific aspects of the derivation method</w:t>
            </w:r>
          </w:p>
          <w:p w14:paraId="7109EEDD" w14:textId="19CE660C" w:rsidR="00694D7B" w:rsidRPr="00FA309D" w:rsidRDefault="00BD1D7B" w:rsidP="00DB49B7">
            <w:pPr>
              <w:pStyle w:val="TableText"/>
              <w:rPr>
                <w:i/>
                <w:iCs/>
              </w:rPr>
            </w:pPr>
            <w:r w:rsidRPr="00FA309D">
              <w:t>To provide more information</w:t>
            </w:r>
            <w:r w:rsidR="005149CF">
              <w:t xml:space="preserve"> and </w:t>
            </w:r>
            <w:r w:rsidRPr="00FA309D">
              <w:t>guidance for users</w:t>
            </w:r>
          </w:p>
        </w:tc>
      </w:tr>
      <w:tr w:rsidR="00823955" w:rsidRPr="00FA309D" w14:paraId="3EAC3714" w14:textId="77777777" w:rsidTr="00AE4AC5">
        <w:trPr>
          <w:trHeight w:val="20"/>
        </w:trPr>
        <w:tc>
          <w:tcPr>
            <w:tcW w:w="1560" w:type="dxa"/>
            <w:tcBorders>
              <w:top w:val="single" w:sz="4" w:space="0" w:color="auto"/>
              <w:bottom w:val="single" w:sz="4" w:space="0" w:color="auto"/>
            </w:tcBorders>
          </w:tcPr>
          <w:p w14:paraId="46D1B8D9" w14:textId="4D79160C" w:rsidR="00823955" w:rsidRPr="00FA309D" w:rsidRDefault="00E445B3" w:rsidP="00DB49B7">
            <w:pPr>
              <w:pStyle w:val="TableText"/>
            </w:pPr>
            <w:r w:rsidRPr="00FA309D">
              <w:t xml:space="preserve">Section </w:t>
            </w:r>
            <w:r w:rsidRPr="00FA309D">
              <w:fldChar w:fldCharType="begin"/>
            </w:r>
            <w:r w:rsidRPr="00FA309D">
              <w:instrText xml:space="preserve"> REF _Ref202089384 \r \h  \* MERGEFORMAT </w:instrText>
            </w:r>
            <w:r w:rsidRPr="00FA309D">
              <w:fldChar w:fldCharType="separate"/>
            </w:r>
            <w:r w:rsidR="006C5761">
              <w:t>0</w:t>
            </w:r>
            <w:r w:rsidRPr="00FA309D">
              <w:fldChar w:fldCharType="end"/>
            </w:r>
            <w:r w:rsidR="00823955" w:rsidRPr="00FA309D">
              <w:t xml:space="preserve"> </w:t>
            </w:r>
            <w:r w:rsidR="003C74B8">
              <w:t>‘</w:t>
            </w:r>
            <w:r w:rsidR="00823955" w:rsidRPr="00FA309D">
              <w:t>Acute and chronic toxicity</w:t>
            </w:r>
            <w:r w:rsidR="003C74B8">
              <w:t>’</w:t>
            </w:r>
            <w:r w:rsidR="00823955" w:rsidRPr="00FA309D">
              <w:t xml:space="preserve">, </w:t>
            </w:r>
            <w:r w:rsidRPr="00FA309D">
              <w:fldChar w:fldCharType="begin"/>
            </w:r>
            <w:r w:rsidRPr="00FA309D">
              <w:instrText xml:space="preserve"> REF _Ref520276069 \h  \* MERGEFORMAT </w:instrText>
            </w:r>
            <w:r w:rsidRPr="00FA309D">
              <w:fldChar w:fldCharType="separate"/>
            </w:r>
            <w:r w:rsidR="006C5761">
              <w:t>Table 1</w:t>
            </w:r>
            <w:r w:rsidRPr="00FA309D">
              <w:fldChar w:fldCharType="end"/>
            </w:r>
          </w:p>
        </w:tc>
        <w:tc>
          <w:tcPr>
            <w:tcW w:w="4531" w:type="dxa"/>
            <w:tcBorders>
              <w:top w:val="single" w:sz="4" w:space="0" w:color="auto"/>
              <w:bottom w:val="single" w:sz="4" w:space="0" w:color="auto"/>
            </w:tcBorders>
          </w:tcPr>
          <w:p w14:paraId="76AD389E" w14:textId="4F15BDF7" w:rsidR="00823955" w:rsidRPr="00FA309D" w:rsidRDefault="00823955" w:rsidP="00DB49B7">
            <w:pPr>
              <w:pStyle w:val="TableText"/>
            </w:pPr>
            <w:r w:rsidRPr="00FA309D">
              <w:t>Minor revision to chronic test durations for specific embryo/larval macroinvertebrate endpoints, from ≥</w:t>
            </w:r>
            <w:r w:rsidR="005149CF">
              <w:t> </w:t>
            </w:r>
            <w:r w:rsidRPr="00FA309D">
              <w:t>14 d to ≥</w:t>
            </w:r>
            <w:r w:rsidR="005149CF">
              <w:t> </w:t>
            </w:r>
            <w:r w:rsidRPr="00FA309D">
              <w:t>7 d</w:t>
            </w:r>
          </w:p>
        </w:tc>
        <w:tc>
          <w:tcPr>
            <w:tcW w:w="7796" w:type="dxa"/>
            <w:tcBorders>
              <w:top w:val="single" w:sz="4" w:space="0" w:color="auto"/>
              <w:bottom w:val="single" w:sz="4" w:space="0" w:color="auto"/>
            </w:tcBorders>
          </w:tcPr>
          <w:p w14:paraId="6E61F2CB" w14:textId="10259209" w:rsidR="00823955" w:rsidRPr="002E7971" w:rsidRDefault="00823955" w:rsidP="00DB49B7">
            <w:pPr>
              <w:pStyle w:val="TableText"/>
              <w:rPr>
                <w:i/>
                <w:iCs/>
              </w:rPr>
            </w:pPr>
            <w:r w:rsidRPr="002E7971">
              <w:rPr>
                <w:i/>
                <w:iCs/>
              </w:rPr>
              <w:t xml:space="preserve">To </w:t>
            </w:r>
            <w:r w:rsidR="003A3590">
              <w:rPr>
                <w:i/>
                <w:iCs/>
              </w:rPr>
              <w:t>clarify and improve</w:t>
            </w:r>
            <w:r w:rsidRPr="002E7971">
              <w:rPr>
                <w:i/>
                <w:iCs/>
              </w:rPr>
              <w:t xml:space="preserve"> specific aspects of the derivation method</w:t>
            </w:r>
          </w:p>
        </w:tc>
      </w:tr>
      <w:tr w:rsidR="00823955" w:rsidRPr="00FA309D" w14:paraId="503BF85D" w14:textId="77777777" w:rsidTr="00AE4AC5">
        <w:trPr>
          <w:trHeight w:val="20"/>
        </w:trPr>
        <w:tc>
          <w:tcPr>
            <w:tcW w:w="1560" w:type="dxa"/>
            <w:tcBorders>
              <w:top w:val="single" w:sz="4" w:space="0" w:color="auto"/>
              <w:bottom w:val="single" w:sz="4" w:space="0" w:color="auto"/>
            </w:tcBorders>
          </w:tcPr>
          <w:p w14:paraId="7CD9E644" w14:textId="40A59B54" w:rsidR="00823955" w:rsidRPr="00FA309D" w:rsidRDefault="00E445B3" w:rsidP="00DB49B7">
            <w:pPr>
              <w:pStyle w:val="TableText"/>
            </w:pPr>
            <w:r w:rsidRPr="00FA309D">
              <w:t xml:space="preserve">Section </w:t>
            </w:r>
            <w:r w:rsidRPr="00FA309D">
              <w:fldChar w:fldCharType="begin"/>
            </w:r>
            <w:r w:rsidRPr="00FA309D">
              <w:instrText xml:space="preserve"> REF _Ref202089431 \r \h </w:instrText>
            </w:r>
            <w:r w:rsidR="00CC0FF3">
              <w:instrText xml:space="preserve"> \* MERGEFORMAT </w:instrText>
            </w:r>
            <w:r w:rsidRPr="00FA309D">
              <w:fldChar w:fldCharType="separate"/>
            </w:r>
            <w:r w:rsidR="006C5761">
              <w:t>3.1.3</w:t>
            </w:r>
            <w:r w:rsidRPr="00FA309D">
              <w:fldChar w:fldCharType="end"/>
            </w:r>
            <w:r w:rsidR="00823955" w:rsidRPr="00FA309D">
              <w:t xml:space="preserve"> </w:t>
            </w:r>
            <w:r w:rsidR="003C74B8">
              <w:t>‘</w:t>
            </w:r>
            <w:r w:rsidR="00823955" w:rsidRPr="00FA309D">
              <w:t>Supporting information</w:t>
            </w:r>
            <w:r w:rsidR="003C74B8">
              <w:t>’</w:t>
            </w:r>
          </w:p>
        </w:tc>
        <w:tc>
          <w:tcPr>
            <w:tcW w:w="4531" w:type="dxa"/>
            <w:tcBorders>
              <w:top w:val="single" w:sz="4" w:space="0" w:color="auto"/>
              <w:bottom w:val="single" w:sz="4" w:space="0" w:color="auto"/>
            </w:tcBorders>
          </w:tcPr>
          <w:p w14:paraId="4E63B191" w14:textId="60A848C7" w:rsidR="00823955" w:rsidRPr="00FA309D" w:rsidRDefault="00823955" w:rsidP="00DB49B7">
            <w:pPr>
              <w:pStyle w:val="TableText"/>
            </w:pPr>
            <w:r w:rsidRPr="00FA309D">
              <w:t>Details added on the various roles that supporting information plays</w:t>
            </w:r>
          </w:p>
        </w:tc>
        <w:tc>
          <w:tcPr>
            <w:tcW w:w="7796" w:type="dxa"/>
            <w:tcBorders>
              <w:top w:val="single" w:sz="4" w:space="0" w:color="auto"/>
              <w:bottom w:val="single" w:sz="4" w:space="0" w:color="auto"/>
            </w:tcBorders>
          </w:tcPr>
          <w:p w14:paraId="3D49D746" w14:textId="32FCDB7A" w:rsidR="00823955" w:rsidRPr="002E7971" w:rsidRDefault="00823955" w:rsidP="00DB49B7">
            <w:pPr>
              <w:pStyle w:val="TableText"/>
              <w:rPr>
                <w:i/>
                <w:iCs/>
              </w:rPr>
            </w:pPr>
            <w:r w:rsidRPr="002E7971">
              <w:rPr>
                <w:i/>
                <w:iCs/>
              </w:rPr>
              <w:t xml:space="preserve">To </w:t>
            </w:r>
            <w:r w:rsidR="003A3590">
              <w:rPr>
                <w:i/>
                <w:iCs/>
              </w:rPr>
              <w:t>clarify and improve</w:t>
            </w:r>
            <w:r w:rsidRPr="002E7971">
              <w:rPr>
                <w:i/>
                <w:iCs/>
              </w:rPr>
              <w:t xml:space="preserve"> specific aspects of the derivation method</w:t>
            </w:r>
          </w:p>
          <w:p w14:paraId="619FF30C" w14:textId="2D46BEDB" w:rsidR="00823955" w:rsidRPr="00FA309D" w:rsidRDefault="00823955" w:rsidP="00DB49B7">
            <w:pPr>
              <w:pStyle w:val="TableText"/>
              <w:rPr>
                <w:i/>
                <w:iCs/>
              </w:rPr>
            </w:pPr>
            <w:r w:rsidRPr="00FA309D">
              <w:t>To provide more information</w:t>
            </w:r>
            <w:r w:rsidR="005149CF">
              <w:t xml:space="preserve"> and </w:t>
            </w:r>
            <w:r w:rsidRPr="00FA309D">
              <w:t>guidance for users</w:t>
            </w:r>
          </w:p>
        </w:tc>
      </w:tr>
      <w:tr w:rsidR="00823955" w:rsidRPr="00FA309D" w14:paraId="5545F82B" w14:textId="77777777" w:rsidTr="00AE4AC5">
        <w:trPr>
          <w:trHeight w:val="20"/>
        </w:trPr>
        <w:tc>
          <w:tcPr>
            <w:tcW w:w="1560" w:type="dxa"/>
            <w:tcBorders>
              <w:top w:val="single" w:sz="4" w:space="0" w:color="auto"/>
              <w:bottom w:val="single" w:sz="4" w:space="0" w:color="auto"/>
            </w:tcBorders>
          </w:tcPr>
          <w:p w14:paraId="2697ADEA" w14:textId="62544FEA" w:rsidR="00823955" w:rsidRPr="00FA309D" w:rsidRDefault="00E445B3" w:rsidP="00DB49B7">
            <w:pPr>
              <w:pStyle w:val="TableText"/>
            </w:pPr>
            <w:r w:rsidRPr="00FA309D">
              <w:t xml:space="preserve">Section </w:t>
            </w:r>
            <w:r w:rsidRPr="00FA309D">
              <w:fldChar w:fldCharType="begin"/>
            </w:r>
            <w:r w:rsidRPr="00FA309D">
              <w:instrText xml:space="preserve"> REF _Ref522008190 \r \h </w:instrText>
            </w:r>
            <w:r w:rsidR="00CC0FF3">
              <w:instrText xml:space="preserve"> \* MERGEFORMAT </w:instrText>
            </w:r>
            <w:r w:rsidRPr="00FA309D">
              <w:fldChar w:fldCharType="separate"/>
            </w:r>
            <w:r w:rsidR="006C5761">
              <w:t>3.2</w:t>
            </w:r>
            <w:r w:rsidRPr="00FA309D">
              <w:fldChar w:fldCharType="end"/>
            </w:r>
            <w:r w:rsidR="00823955" w:rsidRPr="00FA309D">
              <w:t xml:space="preserve"> </w:t>
            </w:r>
            <w:r w:rsidR="003C74B8">
              <w:t>‘</w:t>
            </w:r>
            <w:r w:rsidR="00823955" w:rsidRPr="00FA309D">
              <w:t>Screening toxicity data</w:t>
            </w:r>
            <w:r w:rsidR="003C74B8">
              <w:t>’</w:t>
            </w:r>
          </w:p>
        </w:tc>
        <w:tc>
          <w:tcPr>
            <w:tcW w:w="4531" w:type="dxa"/>
            <w:tcBorders>
              <w:top w:val="single" w:sz="4" w:space="0" w:color="auto"/>
              <w:bottom w:val="single" w:sz="4" w:space="0" w:color="auto"/>
            </w:tcBorders>
          </w:tcPr>
          <w:p w14:paraId="23F7B6E3" w14:textId="48E99E9E" w:rsidR="00823955" w:rsidRPr="00FA309D" w:rsidRDefault="00823955" w:rsidP="00DB49B7">
            <w:pPr>
              <w:pStyle w:val="TableText"/>
            </w:pPr>
            <w:r w:rsidRPr="00FA309D">
              <w:t xml:space="preserve">Added sub-headings </w:t>
            </w:r>
            <w:r w:rsidR="00C42007" w:rsidRPr="00FA309D">
              <w:t xml:space="preserve">and re-arranged the sections </w:t>
            </w:r>
            <w:r w:rsidRPr="00FA309D">
              <w:t>to improve readability</w:t>
            </w:r>
          </w:p>
        </w:tc>
        <w:tc>
          <w:tcPr>
            <w:tcW w:w="7796" w:type="dxa"/>
            <w:tcBorders>
              <w:top w:val="single" w:sz="4" w:space="0" w:color="auto"/>
              <w:bottom w:val="single" w:sz="4" w:space="0" w:color="auto"/>
            </w:tcBorders>
          </w:tcPr>
          <w:p w14:paraId="712FE3E0" w14:textId="4576ED50" w:rsidR="00823955" w:rsidRPr="002E7971" w:rsidRDefault="00823955" w:rsidP="00DB49B7">
            <w:pPr>
              <w:pStyle w:val="TableText"/>
              <w:rPr>
                <w:i/>
                <w:iCs/>
              </w:rPr>
            </w:pPr>
            <w:r w:rsidRPr="002E7971">
              <w:rPr>
                <w:i/>
                <w:iCs/>
              </w:rPr>
              <w:t xml:space="preserve">For improved </w:t>
            </w:r>
            <w:r w:rsidR="003A3590">
              <w:rPr>
                <w:i/>
                <w:iCs/>
              </w:rPr>
              <w:t>clarity and layout</w:t>
            </w:r>
          </w:p>
        </w:tc>
      </w:tr>
      <w:tr w:rsidR="00823955" w:rsidRPr="00FA309D" w14:paraId="4322BBBC" w14:textId="77777777" w:rsidTr="00AE4AC5">
        <w:trPr>
          <w:trHeight w:val="20"/>
        </w:trPr>
        <w:tc>
          <w:tcPr>
            <w:tcW w:w="1560" w:type="dxa"/>
            <w:tcBorders>
              <w:top w:val="single" w:sz="4" w:space="0" w:color="auto"/>
              <w:bottom w:val="single" w:sz="4" w:space="0" w:color="auto"/>
            </w:tcBorders>
          </w:tcPr>
          <w:p w14:paraId="784E63C2" w14:textId="7C467A75" w:rsidR="00823955" w:rsidRPr="00FA309D" w:rsidRDefault="00E445B3" w:rsidP="00DB49B7">
            <w:pPr>
              <w:pStyle w:val="TableText"/>
            </w:pPr>
            <w:r w:rsidRPr="00FA309D">
              <w:t xml:space="preserve">Section </w:t>
            </w:r>
            <w:r w:rsidRPr="00FA309D">
              <w:fldChar w:fldCharType="begin"/>
            </w:r>
            <w:r w:rsidRPr="00FA309D">
              <w:instrText xml:space="preserve"> REF _Ref522008190 \r \h </w:instrText>
            </w:r>
            <w:r w:rsidR="00F55401" w:rsidRPr="00FA309D">
              <w:instrText xml:space="preserve"> \* MERGEFORMAT </w:instrText>
            </w:r>
            <w:r w:rsidRPr="00FA309D">
              <w:fldChar w:fldCharType="separate"/>
            </w:r>
            <w:r w:rsidR="006C5761">
              <w:t>3.2</w:t>
            </w:r>
            <w:r w:rsidRPr="00FA309D">
              <w:fldChar w:fldCharType="end"/>
            </w:r>
            <w:r w:rsidR="00823955" w:rsidRPr="00FA309D">
              <w:t xml:space="preserve"> </w:t>
            </w:r>
            <w:r w:rsidR="003C74B8">
              <w:t>‘</w:t>
            </w:r>
            <w:r w:rsidR="00823955" w:rsidRPr="00FA309D">
              <w:t>Screening toxicity data</w:t>
            </w:r>
            <w:r w:rsidR="003C74B8">
              <w:t>’</w:t>
            </w:r>
          </w:p>
        </w:tc>
        <w:tc>
          <w:tcPr>
            <w:tcW w:w="4531" w:type="dxa"/>
            <w:tcBorders>
              <w:top w:val="single" w:sz="4" w:space="0" w:color="auto"/>
              <w:bottom w:val="single" w:sz="4" w:space="0" w:color="auto"/>
            </w:tcBorders>
          </w:tcPr>
          <w:p w14:paraId="2D156653" w14:textId="77777777" w:rsidR="006C5761" w:rsidRDefault="00CF1A17" w:rsidP="006C5761">
            <w:pPr>
              <w:pStyle w:val="TableText"/>
            </w:pPr>
            <w:r w:rsidRPr="00FA309D">
              <w:t>Added a new section (</w:t>
            </w:r>
            <w:r w:rsidR="00A049BE" w:rsidRPr="00FA309D">
              <w:fldChar w:fldCharType="begin"/>
            </w:r>
            <w:r w:rsidR="00A049BE" w:rsidRPr="00FA309D">
              <w:instrText xml:space="preserve"> REF _Ref202090908 \r \h </w:instrText>
            </w:r>
            <w:r w:rsidR="00F55401" w:rsidRPr="00FA309D">
              <w:instrText xml:space="preserve"> \* MERGEFORMAT </w:instrText>
            </w:r>
            <w:r w:rsidR="00A049BE" w:rsidRPr="00FA309D">
              <w:fldChar w:fldCharType="separate"/>
            </w:r>
            <w:r w:rsidR="006C5761">
              <w:t>3.2.2</w:t>
            </w:r>
            <w:r w:rsidR="00A049BE" w:rsidRPr="00FA309D">
              <w:fldChar w:fldCharType="end"/>
            </w:r>
            <w:r w:rsidRPr="00FA309D">
              <w:t xml:space="preserve">) titled </w:t>
            </w:r>
            <w:r w:rsidR="00DC69AA">
              <w:t>‘</w:t>
            </w:r>
            <w:r w:rsidRPr="00FA309D">
              <w:t>Checking for significant limitations of toxicity data</w:t>
            </w:r>
            <w:r w:rsidR="00DC69AA">
              <w:t>’</w:t>
            </w:r>
            <w:r w:rsidRPr="00FA309D">
              <w:t xml:space="preserve">, which captures </w:t>
            </w:r>
            <w:r w:rsidR="00A049BE" w:rsidRPr="00FA309D">
              <w:fldChar w:fldCharType="begin"/>
            </w:r>
            <w:r w:rsidR="00A049BE" w:rsidRPr="00FA309D">
              <w:instrText xml:space="preserve"> REF _Ref520276250 \h  \* MERGEFORMAT </w:instrText>
            </w:r>
            <w:r w:rsidR="00A049BE" w:rsidRPr="00FA309D">
              <w:fldChar w:fldCharType="separate"/>
            </w:r>
          </w:p>
          <w:p w14:paraId="25B2CA35" w14:textId="7F8D25DD" w:rsidR="00CF1A17" w:rsidRPr="00FA309D" w:rsidRDefault="006C5761" w:rsidP="00DB49B7">
            <w:pPr>
              <w:pStyle w:val="TableText"/>
            </w:pPr>
            <w:r w:rsidRPr="57352DF8">
              <w:t>Table</w:t>
            </w:r>
            <w:r>
              <w:t> </w:t>
            </w:r>
            <w:r>
              <w:rPr>
                <w:noProof/>
              </w:rPr>
              <w:t>2</w:t>
            </w:r>
            <w:r w:rsidR="00A049BE" w:rsidRPr="00FA309D">
              <w:fldChar w:fldCharType="end"/>
            </w:r>
          </w:p>
          <w:p w14:paraId="31270B6B" w14:textId="77777777" w:rsidR="006C5761" w:rsidRDefault="00823955" w:rsidP="006C5761">
            <w:pPr>
              <w:pStyle w:val="TableText"/>
            </w:pPr>
            <w:r w:rsidRPr="00FA309D">
              <w:t xml:space="preserve">Added additional </w:t>
            </w:r>
            <w:r w:rsidR="000A6608" w:rsidRPr="00FA309D">
              <w:t xml:space="preserve">items </w:t>
            </w:r>
            <w:r w:rsidRPr="00FA309D">
              <w:t xml:space="preserve">to </w:t>
            </w:r>
            <w:r w:rsidR="00A049BE" w:rsidRPr="00FA309D">
              <w:fldChar w:fldCharType="begin"/>
            </w:r>
            <w:r w:rsidR="00A049BE" w:rsidRPr="00FA309D">
              <w:instrText xml:space="preserve"> REF _Ref520276250 \h  \* MERGEFORMAT </w:instrText>
            </w:r>
            <w:r w:rsidR="00A049BE" w:rsidRPr="00FA309D">
              <w:fldChar w:fldCharType="separate"/>
            </w:r>
          </w:p>
          <w:p w14:paraId="7CDC9DCA" w14:textId="5E774F19" w:rsidR="00823955" w:rsidRPr="00FA309D" w:rsidRDefault="006C5761" w:rsidP="00DB49B7">
            <w:pPr>
              <w:pStyle w:val="TableText"/>
            </w:pPr>
            <w:r w:rsidRPr="57352DF8">
              <w:t>Table</w:t>
            </w:r>
            <w:r>
              <w:t> </w:t>
            </w:r>
            <w:r>
              <w:rPr>
                <w:noProof/>
              </w:rPr>
              <w:t>2</w:t>
            </w:r>
            <w:r w:rsidR="00A049BE" w:rsidRPr="00FA309D">
              <w:fldChar w:fldCharType="end"/>
            </w:r>
            <w:r w:rsidR="00823955" w:rsidRPr="00FA309D">
              <w:t xml:space="preserve"> relating to</w:t>
            </w:r>
            <w:r w:rsidR="006B69CE">
              <w:t xml:space="preserve"> </w:t>
            </w:r>
            <w:r w:rsidR="008D3A79" w:rsidRPr="00FA309D">
              <w:t xml:space="preserve">characteristics that warrant the rejection of toxicity data, and added reference to the relevant sections of the method that relate to each issue. </w:t>
            </w:r>
            <w:r w:rsidR="000A6608" w:rsidRPr="00FA309D">
              <w:t>Also added</w:t>
            </w:r>
            <w:r w:rsidR="00C64837" w:rsidRPr="00FA309D">
              <w:t xml:space="preserve"> 2</w:t>
            </w:r>
            <w:r w:rsidR="008D3A79" w:rsidRPr="00FA309D">
              <w:t xml:space="preserve"> new </w:t>
            </w:r>
            <w:r w:rsidR="000A6608" w:rsidRPr="00FA309D">
              <w:t>characteristics (not previously in the method)</w:t>
            </w:r>
            <w:r w:rsidR="008D3A79" w:rsidRPr="00FA309D">
              <w:t>:</w:t>
            </w:r>
          </w:p>
          <w:p w14:paraId="3ABD3189" w14:textId="7F4FFF72" w:rsidR="008D3A79" w:rsidRPr="00FA309D" w:rsidRDefault="0099007E" w:rsidP="00540B0A">
            <w:pPr>
              <w:pStyle w:val="TableBullet"/>
            </w:pPr>
            <w:r>
              <w:t>A</w:t>
            </w:r>
            <w:r w:rsidR="008D3A79" w:rsidRPr="00FA309D">
              <w:t xml:space="preserve"> study tested only </w:t>
            </w:r>
            <w:r w:rsidR="00CF1A17" w:rsidRPr="00FA309D">
              <w:t>1</w:t>
            </w:r>
            <w:r>
              <w:t>–</w:t>
            </w:r>
            <w:r w:rsidR="00CF1A17" w:rsidRPr="00FA309D">
              <w:t>2</w:t>
            </w:r>
            <w:r w:rsidR="008D3A79" w:rsidRPr="00FA309D">
              <w:t xml:space="preserve"> concentration (plus a control) of a toxicant – with an accompanying table note describing the preferred number of test treatments</w:t>
            </w:r>
          </w:p>
          <w:p w14:paraId="066F012C" w14:textId="3122E414" w:rsidR="008D3A79" w:rsidRPr="00FA309D" w:rsidRDefault="0099007E" w:rsidP="00540B0A">
            <w:pPr>
              <w:pStyle w:val="TableBullet"/>
            </w:pPr>
            <w:r>
              <w:t>T</w:t>
            </w:r>
            <w:r w:rsidR="008D3A79" w:rsidRPr="00FA309D">
              <w:t>est concentrations were not measured</w:t>
            </w:r>
          </w:p>
          <w:p w14:paraId="12D253B2" w14:textId="77777777" w:rsidR="006C5761" w:rsidRDefault="00823955" w:rsidP="006C5761">
            <w:pPr>
              <w:pStyle w:val="TableText"/>
            </w:pPr>
            <w:r w:rsidRPr="00FA309D">
              <w:t xml:space="preserve">In the text, examples </w:t>
            </w:r>
            <w:r w:rsidR="000A6608" w:rsidRPr="00FA309D">
              <w:t xml:space="preserve">of </w:t>
            </w:r>
            <w:r w:rsidRPr="00FA309D">
              <w:t xml:space="preserve">where data with limitations listed in </w:t>
            </w:r>
            <w:r w:rsidR="00F55401" w:rsidRPr="00FA309D">
              <w:fldChar w:fldCharType="begin"/>
            </w:r>
            <w:r w:rsidR="00F55401" w:rsidRPr="00FA309D">
              <w:instrText xml:space="preserve"> REF _Ref520276250 \h  \* MERGEFORMAT </w:instrText>
            </w:r>
            <w:r w:rsidR="00F55401" w:rsidRPr="00FA309D">
              <w:fldChar w:fldCharType="separate"/>
            </w:r>
          </w:p>
          <w:p w14:paraId="369E3962" w14:textId="4EFB5FDE" w:rsidR="00823955" w:rsidRPr="00FA309D" w:rsidRDefault="006C5761" w:rsidP="00DB49B7">
            <w:pPr>
              <w:pStyle w:val="TableText"/>
            </w:pPr>
            <w:r w:rsidRPr="57352DF8">
              <w:t>Table</w:t>
            </w:r>
            <w:r>
              <w:t> </w:t>
            </w:r>
            <w:r>
              <w:rPr>
                <w:noProof/>
              </w:rPr>
              <w:t>2</w:t>
            </w:r>
            <w:r w:rsidR="00F55401" w:rsidRPr="00FA309D">
              <w:fldChar w:fldCharType="end"/>
            </w:r>
            <w:r w:rsidR="00823955" w:rsidRPr="00FA309D">
              <w:t xml:space="preserve"> might be included in </w:t>
            </w:r>
            <w:r w:rsidR="0099007E">
              <w:t>default guideline value</w:t>
            </w:r>
            <w:r w:rsidR="00823955" w:rsidRPr="00FA309D">
              <w:t xml:space="preserve"> derivations </w:t>
            </w:r>
            <w:r w:rsidR="0099007E">
              <w:t>was</w:t>
            </w:r>
            <w:r w:rsidR="00823955" w:rsidRPr="00FA309D">
              <w:t xml:space="preserve"> added</w:t>
            </w:r>
          </w:p>
        </w:tc>
        <w:tc>
          <w:tcPr>
            <w:tcW w:w="7796" w:type="dxa"/>
            <w:tcBorders>
              <w:top w:val="single" w:sz="4" w:space="0" w:color="auto"/>
              <w:bottom w:val="single" w:sz="4" w:space="0" w:color="auto"/>
            </w:tcBorders>
          </w:tcPr>
          <w:p w14:paraId="6F0C26C3" w14:textId="3BF5A323" w:rsidR="00823955" w:rsidRPr="002E7971" w:rsidRDefault="00823955" w:rsidP="00DB49B7">
            <w:pPr>
              <w:pStyle w:val="TableText"/>
              <w:rPr>
                <w:i/>
                <w:iCs/>
              </w:rPr>
            </w:pPr>
            <w:r w:rsidRPr="002E7971">
              <w:rPr>
                <w:i/>
                <w:iCs/>
              </w:rPr>
              <w:t xml:space="preserve">To </w:t>
            </w:r>
            <w:r w:rsidR="003A3590">
              <w:rPr>
                <w:i/>
                <w:iCs/>
              </w:rPr>
              <w:t>clarify and improve</w:t>
            </w:r>
            <w:r w:rsidRPr="002E7971">
              <w:rPr>
                <w:i/>
                <w:iCs/>
              </w:rPr>
              <w:t xml:space="preserve"> specific aspects of the derivation method</w:t>
            </w:r>
          </w:p>
          <w:p w14:paraId="1B3BA6C3" w14:textId="4BEF146D" w:rsidR="000A6608" w:rsidRPr="00FA309D" w:rsidRDefault="000A6608" w:rsidP="00DB49B7">
            <w:pPr>
              <w:pStyle w:val="TableText"/>
            </w:pPr>
            <w:r w:rsidRPr="00FA309D">
              <w:t xml:space="preserve">To make </w:t>
            </w:r>
            <w:r w:rsidR="00AE6F9D">
              <w:t xml:space="preserve">the </w:t>
            </w:r>
            <w:r w:rsidRPr="00FA309D">
              <w:t xml:space="preserve">table more comprehensive and to better link this section with Section </w:t>
            </w:r>
            <w:r w:rsidR="00A049BE" w:rsidRPr="00FA309D">
              <w:fldChar w:fldCharType="begin"/>
            </w:r>
            <w:r w:rsidR="00A049BE" w:rsidRPr="00FA309D">
              <w:instrText xml:space="preserve"> REF _Ref522007975 \r \h </w:instrText>
            </w:r>
            <w:r w:rsidR="00F55401" w:rsidRPr="00FA309D">
              <w:instrText xml:space="preserve"> \* MERGEFORMAT </w:instrText>
            </w:r>
            <w:r w:rsidR="00A049BE" w:rsidRPr="00FA309D">
              <w:fldChar w:fldCharType="separate"/>
            </w:r>
            <w:r w:rsidR="006C5761">
              <w:t>3.3.1</w:t>
            </w:r>
            <w:r w:rsidR="00A049BE" w:rsidRPr="00FA309D">
              <w:fldChar w:fldCharType="end"/>
            </w:r>
            <w:r w:rsidRPr="00FA309D">
              <w:t xml:space="preserve"> (assessing quality of laboratory toxicity data)</w:t>
            </w:r>
          </w:p>
          <w:p w14:paraId="40478593" w14:textId="404C5015" w:rsidR="000A6608" w:rsidRPr="00FA309D" w:rsidRDefault="000A6608" w:rsidP="00DB49B7">
            <w:pPr>
              <w:pStyle w:val="TableText"/>
            </w:pPr>
            <w:r w:rsidRPr="00FA309D">
              <w:t>For the</w:t>
            </w:r>
            <w:r w:rsidR="00C64837" w:rsidRPr="00FA309D">
              <w:t xml:space="preserve"> 2</w:t>
            </w:r>
            <w:r w:rsidRPr="00FA309D">
              <w:t xml:space="preserve"> new characteristics that were added:</w:t>
            </w:r>
          </w:p>
          <w:p w14:paraId="4037EF97" w14:textId="5CF046A2" w:rsidR="00823955" w:rsidRPr="006B69CE" w:rsidRDefault="00823955" w:rsidP="00540B0A">
            <w:pPr>
              <w:pStyle w:val="TableBullet"/>
            </w:pPr>
            <w:r w:rsidRPr="00FA309D">
              <w:t xml:space="preserve">A test </w:t>
            </w:r>
            <w:r w:rsidRPr="006B69CE">
              <w:t xml:space="preserve">based on </w:t>
            </w:r>
            <w:r w:rsidR="00CF1A17" w:rsidRPr="006B69CE">
              <w:t>1</w:t>
            </w:r>
            <w:r w:rsidR="00AE6F9D">
              <w:t>–</w:t>
            </w:r>
            <w:r w:rsidR="00CF1A17" w:rsidRPr="006B69CE">
              <w:t xml:space="preserve">2 </w:t>
            </w:r>
            <w:r w:rsidRPr="006B69CE">
              <w:t>concentration (plus a control) is effectively meaningless for estimating a negligible</w:t>
            </w:r>
            <w:r w:rsidR="00AE6F9D">
              <w:t>-</w:t>
            </w:r>
            <w:r w:rsidRPr="006B69CE">
              <w:t>effect estimate</w:t>
            </w:r>
          </w:p>
          <w:p w14:paraId="3CEF4B26" w14:textId="13035398" w:rsidR="00823955" w:rsidRPr="00FA309D" w:rsidRDefault="00823955" w:rsidP="00540B0A">
            <w:pPr>
              <w:pStyle w:val="TableBullet"/>
              <w:rPr>
                <w:i/>
                <w:iCs/>
              </w:rPr>
            </w:pPr>
            <w:r w:rsidRPr="006B69CE">
              <w:t>Studies without measured test concentrations are far less reliable. However, there may be instances in which such</w:t>
            </w:r>
            <w:r w:rsidRPr="00FA309D">
              <w:t xml:space="preserve"> data are acceptable</w:t>
            </w:r>
          </w:p>
        </w:tc>
      </w:tr>
      <w:tr w:rsidR="00823955" w:rsidRPr="00FA309D" w14:paraId="6B0D993F" w14:textId="77777777" w:rsidTr="00AE4AC5">
        <w:trPr>
          <w:trHeight w:val="20"/>
        </w:trPr>
        <w:tc>
          <w:tcPr>
            <w:tcW w:w="1560" w:type="dxa"/>
            <w:tcBorders>
              <w:top w:val="single" w:sz="4" w:space="0" w:color="auto"/>
              <w:bottom w:val="single" w:sz="4" w:space="0" w:color="auto"/>
            </w:tcBorders>
          </w:tcPr>
          <w:p w14:paraId="2688E75A" w14:textId="69F9F5CF" w:rsidR="00823955" w:rsidRPr="00FA309D" w:rsidRDefault="00E445B3" w:rsidP="00DB49B7">
            <w:pPr>
              <w:pStyle w:val="TableText"/>
            </w:pPr>
            <w:r w:rsidRPr="00FA309D">
              <w:lastRenderedPageBreak/>
              <w:t xml:space="preserve">Section </w:t>
            </w:r>
            <w:r w:rsidRPr="00FA309D">
              <w:fldChar w:fldCharType="begin"/>
            </w:r>
            <w:r w:rsidRPr="00FA309D">
              <w:instrText xml:space="preserve"> REF _Ref522008190 \r \h </w:instrText>
            </w:r>
            <w:r w:rsidR="00CC0FF3">
              <w:instrText xml:space="preserve"> \* MERGEFORMAT </w:instrText>
            </w:r>
            <w:r w:rsidRPr="00FA309D">
              <w:fldChar w:fldCharType="separate"/>
            </w:r>
            <w:r w:rsidR="006C5761">
              <w:t>3.2</w:t>
            </w:r>
            <w:r w:rsidRPr="00FA309D">
              <w:fldChar w:fldCharType="end"/>
            </w:r>
            <w:r w:rsidR="00823955" w:rsidRPr="00FA309D">
              <w:t xml:space="preserve"> </w:t>
            </w:r>
            <w:r w:rsidR="003A23BA">
              <w:t>‘</w:t>
            </w:r>
            <w:r w:rsidR="00823955" w:rsidRPr="00FA309D">
              <w:t>Screening toxicity data</w:t>
            </w:r>
            <w:r w:rsidR="003A23BA">
              <w:t>’</w:t>
            </w:r>
            <w:r w:rsidR="00823955" w:rsidRPr="00FA309D">
              <w:t xml:space="preserve"> (new Section </w:t>
            </w:r>
            <w:r w:rsidRPr="00FA309D">
              <w:fldChar w:fldCharType="begin"/>
            </w:r>
            <w:r w:rsidRPr="00FA309D">
              <w:instrText xml:space="preserve"> REF _Ref202089470 \r \h </w:instrText>
            </w:r>
            <w:r w:rsidR="00CC0FF3">
              <w:instrText xml:space="preserve"> \* MERGEFORMAT </w:instrText>
            </w:r>
            <w:r w:rsidRPr="00FA309D">
              <w:fldChar w:fldCharType="separate"/>
            </w:r>
            <w:r w:rsidR="006C5761">
              <w:rPr>
                <w:b/>
                <w:bCs/>
                <w:lang w:val="en-US"/>
              </w:rPr>
              <w:t>Error! Reference source not found.</w:t>
            </w:r>
            <w:r w:rsidRPr="00FA309D">
              <w:fldChar w:fldCharType="end"/>
            </w:r>
            <w:r w:rsidR="00823955" w:rsidRPr="00FA309D">
              <w:t>)</w:t>
            </w:r>
          </w:p>
        </w:tc>
        <w:tc>
          <w:tcPr>
            <w:tcW w:w="4531" w:type="dxa"/>
            <w:tcBorders>
              <w:top w:val="single" w:sz="4" w:space="0" w:color="auto"/>
              <w:bottom w:val="single" w:sz="4" w:space="0" w:color="auto"/>
            </w:tcBorders>
          </w:tcPr>
          <w:p w14:paraId="6D20292E" w14:textId="16F3FA91" w:rsidR="00823955" w:rsidRPr="00FA309D" w:rsidRDefault="00823955" w:rsidP="00DB49B7">
            <w:pPr>
              <w:pStyle w:val="TableText"/>
            </w:pPr>
            <w:r w:rsidRPr="00FA309D">
              <w:t xml:space="preserve">Updates to guidance on how to use censored data (i.e. </w:t>
            </w:r>
            <w:r w:rsidR="00AE6F9D">
              <w:t>‘</w:t>
            </w:r>
            <w:r w:rsidRPr="00FA309D">
              <w:t>&lt;</w:t>
            </w:r>
            <w:r w:rsidR="00AE6F9D">
              <w:t>’</w:t>
            </w:r>
            <w:r w:rsidRPr="00FA309D">
              <w:t xml:space="preserve"> and </w:t>
            </w:r>
            <w:r w:rsidR="00AE6F9D">
              <w:t>‘</w:t>
            </w:r>
            <w:r w:rsidRPr="00FA309D">
              <w:t>&gt;</w:t>
            </w:r>
            <w:r w:rsidR="00AE6F9D">
              <w:t>’</w:t>
            </w:r>
            <w:r w:rsidRPr="00FA309D">
              <w:t xml:space="preserve"> values)</w:t>
            </w:r>
          </w:p>
        </w:tc>
        <w:tc>
          <w:tcPr>
            <w:tcW w:w="7796" w:type="dxa"/>
            <w:tcBorders>
              <w:top w:val="single" w:sz="4" w:space="0" w:color="auto"/>
              <w:bottom w:val="single" w:sz="4" w:space="0" w:color="auto"/>
            </w:tcBorders>
          </w:tcPr>
          <w:p w14:paraId="05D8C07A" w14:textId="28E03CEE" w:rsidR="00823955" w:rsidRPr="002E7971" w:rsidRDefault="00823955" w:rsidP="00DB49B7">
            <w:pPr>
              <w:pStyle w:val="TableText"/>
              <w:rPr>
                <w:i/>
                <w:iCs/>
              </w:rPr>
            </w:pPr>
            <w:r w:rsidRPr="002E7971">
              <w:rPr>
                <w:i/>
                <w:iCs/>
              </w:rPr>
              <w:t xml:space="preserve">To </w:t>
            </w:r>
            <w:r w:rsidR="003A3590">
              <w:rPr>
                <w:i/>
                <w:iCs/>
              </w:rPr>
              <w:t>clarify and improve</w:t>
            </w:r>
            <w:r w:rsidRPr="002E7971">
              <w:rPr>
                <w:i/>
                <w:iCs/>
              </w:rPr>
              <w:t xml:space="preserve"> specific aspects of the derivation method</w:t>
            </w:r>
          </w:p>
          <w:p w14:paraId="00B21E2A" w14:textId="1EFF6DEA" w:rsidR="00823955" w:rsidRPr="00FA309D" w:rsidRDefault="00823955" w:rsidP="00DB49B7">
            <w:pPr>
              <w:pStyle w:val="TableText"/>
            </w:pPr>
            <w:r w:rsidRPr="00FA309D">
              <w:t xml:space="preserve">When using a </w:t>
            </w:r>
            <w:r w:rsidR="00DC69AA">
              <w:t>‘</w:t>
            </w:r>
            <w:r w:rsidRPr="00FA309D">
              <w:t>&lt;</w:t>
            </w:r>
            <w:r w:rsidR="00DC69AA">
              <w:t>‘</w:t>
            </w:r>
            <w:r w:rsidRPr="00FA309D">
              <w:t xml:space="preserve"> value (i.e. where a significant effect is still observed at the lowest concentration tested), a conversion factor of 2.5 (i.e. conversion from a LOEC to a NOEC) should be recommended but professional </w:t>
            </w:r>
            <w:r w:rsidR="00542D1C" w:rsidRPr="00FA309D">
              <w:t>judgement</w:t>
            </w:r>
            <w:r w:rsidRPr="00FA309D">
              <w:t xml:space="preserve"> as to whether or not a conversion factor is applied</w:t>
            </w:r>
            <w:r w:rsidR="00B679A4" w:rsidRPr="00FA309D">
              <w:t xml:space="preserve"> </w:t>
            </w:r>
            <w:r w:rsidRPr="00FA309D">
              <w:t>(e.g. where the effect at the lowest concentration is significant but &lt;</w:t>
            </w:r>
            <w:r w:rsidR="00A904D5">
              <w:t> </w:t>
            </w:r>
            <w:r w:rsidRPr="00FA309D">
              <w:t>10%)</w:t>
            </w:r>
            <w:r w:rsidR="00762A26">
              <w:t xml:space="preserve"> is allowed</w:t>
            </w:r>
          </w:p>
          <w:p w14:paraId="675CB80C" w14:textId="48286BA5" w:rsidR="00EA10DF" w:rsidRPr="00FA309D" w:rsidRDefault="00EA10DF" w:rsidP="00DB49B7">
            <w:pPr>
              <w:pStyle w:val="TableText"/>
            </w:pPr>
            <w:r w:rsidRPr="00FA309D">
              <w:t>Added information on capability of (shiny)ssdtools to accommodate censored data</w:t>
            </w:r>
          </w:p>
        </w:tc>
      </w:tr>
      <w:tr w:rsidR="00823955" w:rsidRPr="00FA309D" w14:paraId="6582B6A3" w14:textId="77777777" w:rsidTr="00AE4AC5">
        <w:trPr>
          <w:trHeight w:val="20"/>
        </w:trPr>
        <w:tc>
          <w:tcPr>
            <w:tcW w:w="1560" w:type="dxa"/>
            <w:tcBorders>
              <w:top w:val="single" w:sz="4" w:space="0" w:color="auto"/>
              <w:bottom w:val="single" w:sz="4" w:space="0" w:color="auto"/>
            </w:tcBorders>
          </w:tcPr>
          <w:p w14:paraId="01F09C86" w14:textId="0040380A" w:rsidR="00823955" w:rsidRPr="00CC0FF3" w:rsidRDefault="00E445B3" w:rsidP="00DB49B7">
            <w:pPr>
              <w:pStyle w:val="TableText"/>
            </w:pPr>
            <w:r w:rsidRPr="00CC0FF3">
              <w:t xml:space="preserve">Section </w:t>
            </w:r>
            <w:r w:rsidRPr="00CC0FF3">
              <w:fldChar w:fldCharType="begin"/>
            </w:r>
            <w:r w:rsidRPr="00CC0FF3">
              <w:instrText xml:space="preserve"> REF _Ref522008190 \r \h </w:instrText>
            </w:r>
            <w:r w:rsidR="00CC0FF3" w:rsidRPr="00CC0FF3">
              <w:instrText xml:space="preserve"> \* MERGEFORMAT </w:instrText>
            </w:r>
            <w:r w:rsidRPr="00CC0FF3">
              <w:fldChar w:fldCharType="separate"/>
            </w:r>
            <w:r w:rsidR="006C5761">
              <w:t>3.2</w:t>
            </w:r>
            <w:r w:rsidRPr="00CC0FF3">
              <w:fldChar w:fldCharType="end"/>
            </w:r>
            <w:r w:rsidR="00823955" w:rsidRPr="00CC0FF3">
              <w:t xml:space="preserve"> </w:t>
            </w:r>
            <w:r w:rsidR="003A23BA">
              <w:t>‘</w:t>
            </w:r>
            <w:r w:rsidR="00823955" w:rsidRPr="00CC0FF3">
              <w:t>Screening toxicity data</w:t>
            </w:r>
            <w:r w:rsidR="003A23BA">
              <w:t>’</w:t>
            </w:r>
            <w:r w:rsidR="00B679A4" w:rsidRPr="00CC0FF3">
              <w:t xml:space="preserve"> </w:t>
            </w:r>
            <w:r w:rsidR="00823955" w:rsidRPr="00CC0FF3">
              <w:t xml:space="preserve">(new Section </w:t>
            </w:r>
            <w:r w:rsidRPr="00CC0FF3">
              <w:fldChar w:fldCharType="begin"/>
            </w:r>
            <w:r w:rsidRPr="00CC0FF3">
              <w:instrText xml:space="preserve"> REF _Ref202088714 \r \h </w:instrText>
            </w:r>
            <w:r w:rsidR="00CC0FF3" w:rsidRPr="00CC0FF3">
              <w:instrText xml:space="preserve"> \* MERGEFORMAT </w:instrText>
            </w:r>
            <w:r w:rsidRPr="00CC0FF3">
              <w:fldChar w:fldCharType="separate"/>
            </w:r>
            <w:r w:rsidR="006C5761">
              <w:t>0</w:t>
            </w:r>
            <w:r w:rsidRPr="00CC0FF3">
              <w:fldChar w:fldCharType="end"/>
            </w:r>
            <w:r w:rsidR="00823955" w:rsidRPr="00CC0FF3">
              <w:t>)</w:t>
            </w:r>
          </w:p>
        </w:tc>
        <w:tc>
          <w:tcPr>
            <w:tcW w:w="4531" w:type="dxa"/>
            <w:tcBorders>
              <w:top w:val="single" w:sz="4" w:space="0" w:color="auto"/>
              <w:bottom w:val="single" w:sz="4" w:space="0" w:color="auto"/>
            </w:tcBorders>
          </w:tcPr>
          <w:p w14:paraId="65168084" w14:textId="6F3BFB15" w:rsidR="003A29CD" w:rsidRPr="00CC0FF3" w:rsidRDefault="003A29CD" w:rsidP="00DB49B7">
            <w:pPr>
              <w:pStyle w:val="TableText"/>
            </w:pPr>
            <w:r w:rsidRPr="00CC0FF3">
              <w:t xml:space="preserve">Created new </w:t>
            </w:r>
            <w:r w:rsidR="00777742" w:rsidRPr="00CC0FF3">
              <w:t xml:space="preserve">Section </w:t>
            </w:r>
            <w:r w:rsidR="00777742" w:rsidRPr="00CC0FF3">
              <w:fldChar w:fldCharType="begin"/>
            </w:r>
            <w:r w:rsidR="00777742" w:rsidRPr="00CC0FF3">
              <w:instrText xml:space="preserve"> REF _Ref202088714 \r \h  \* MERGEFORMAT </w:instrText>
            </w:r>
            <w:r w:rsidR="00777742" w:rsidRPr="00CC0FF3">
              <w:fldChar w:fldCharType="separate"/>
            </w:r>
            <w:r w:rsidR="006C5761">
              <w:t>0</w:t>
            </w:r>
            <w:r w:rsidR="00777742" w:rsidRPr="00CC0FF3">
              <w:fldChar w:fldCharType="end"/>
            </w:r>
            <w:r w:rsidR="00777742">
              <w:t xml:space="preserve"> </w:t>
            </w:r>
            <w:r w:rsidRPr="00CC0FF3">
              <w:t xml:space="preserve">titled </w:t>
            </w:r>
            <w:r w:rsidR="00DC69AA">
              <w:t>‘</w:t>
            </w:r>
            <w:r w:rsidRPr="00CC0FF3">
              <w:t>Ecological relevance</w:t>
            </w:r>
            <w:r w:rsidR="00DC69AA">
              <w:t>’</w:t>
            </w:r>
          </w:p>
          <w:p w14:paraId="06B183AB" w14:textId="7D1CEA56" w:rsidR="00823955" w:rsidRPr="00CC0FF3" w:rsidRDefault="00823955" w:rsidP="00DB49B7">
            <w:pPr>
              <w:pStyle w:val="TableText"/>
            </w:pPr>
            <w:r w:rsidRPr="00CC0FF3">
              <w:t>Added text to clarify how to treat data for potential nuisance species</w:t>
            </w:r>
          </w:p>
        </w:tc>
        <w:tc>
          <w:tcPr>
            <w:tcW w:w="7796" w:type="dxa"/>
            <w:tcBorders>
              <w:top w:val="single" w:sz="4" w:space="0" w:color="auto"/>
              <w:bottom w:val="single" w:sz="4" w:space="0" w:color="auto"/>
            </w:tcBorders>
          </w:tcPr>
          <w:p w14:paraId="36B1FEA4" w14:textId="0EDD596E" w:rsidR="00823955" w:rsidRPr="00CC0FF3" w:rsidRDefault="00823955" w:rsidP="00DB49B7">
            <w:pPr>
              <w:pStyle w:val="TableText"/>
            </w:pPr>
            <w:r w:rsidRPr="002E7971">
              <w:rPr>
                <w:i/>
                <w:iCs/>
              </w:rPr>
              <w:t xml:space="preserve">To </w:t>
            </w:r>
            <w:r w:rsidR="003A3590">
              <w:rPr>
                <w:i/>
                <w:iCs/>
              </w:rPr>
              <w:t>clarify and improve</w:t>
            </w:r>
            <w:r w:rsidRPr="002E7971">
              <w:rPr>
                <w:i/>
                <w:iCs/>
              </w:rPr>
              <w:t xml:space="preserve"> specific aspects of the derivation method</w:t>
            </w:r>
          </w:p>
        </w:tc>
      </w:tr>
      <w:tr w:rsidR="00823955" w:rsidRPr="00FA309D" w14:paraId="1A05EB82" w14:textId="77777777" w:rsidTr="00AE4AC5">
        <w:trPr>
          <w:trHeight w:val="20"/>
        </w:trPr>
        <w:tc>
          <w:tcPr>
            <w:tcW w:w="1560" w:type="dxa"/>
            <w:tcBorders>
              <w:top w:val="single" w:sz="4" w:space="0" w:color="auto"/>
              <w:bottom w:val="single" w:sz="4" w:space="0" w:color="auto"/>
            </w:tcBorders>
          </w:tcPr>
          <w:p w14:paraId="62A57BFB" w14:textId="5B546D01" w:rsidR="00823955" w:rsidRPr="00CC0FF3" w:rsidRDefault="00E445B3" w:rsidP="00DB49B7">
            <w:pPr>
              <w:pStyle w:val="TableText"/>
            </w:pPr>
            <w:r w:rsidRPr="00CC0FF3">
              <w:t xml:space="preserve">Section </w:t>
            </w:r>
            <w:r w:rsidRPr="00CC0FF3">
              <w:fldChar w:fldCharType="begin"/>
            </w:r>
            <w:r w:rsidRPr="00CC0FF3">
              <w:instrText xml:space="preserve"> REF _Ref522008190 \r \h </w:instrText>
            </w:r>
            <w:r w:rsidR="00CC0FF3">
              <w:instrText xml:space="preserve"> \* MERGEFORMAT </w:instrText>
            </w:r>
            <w:r w:rsidRPr="00CC0FF3">
              <w:fldChar w:fldCharType="separate"/>
            </w:r>
            <w:r w:rsidR="006C5761">
              <w:t>3.2</w:t>
            </w:r>
            <w:r w:rsidRPr="00CC0FF3">
              <w:fldChar w:fldCharType="end"/>
            </w:r>
            <w:r w:rsidR="00823955" w:rsidRPr="00CC0FF3">
              <w:t xml:space="preserve"> </w:t>
            </w:r>
            <w:r w:rsidR="003A23BA">
              <w:t>‘</w:t>
            </w:r>
            <w:r w:rsidR="00823955" w:rsidRPr="00CC0FF3">
              <w:t>Screening toxicity data</w:t>
            </w:r>
            <w:r w:rsidR="003A23BA">
              <w:t>’</w:t>
            </w:r>
            <w:r w:rsidR="00823955" w:rsidRPr="00CC0FF3">
              <w:t xml:space="preserve"> (new Section </w:t>
            </w:r>
            <w:r w:rsidRPr="00CC0FF3">
              <w:fldChar w:fldCharType="begin"/>
            </w:r>
            <w:r w:rsidRPr="00CC0FF3">
              <w:instrText xml:space="preserve"> REF _Ref202088714 \r \h </w:instrText>
            </w:r>
            <w:r w:rsidR="00CC0FF3">
              <w:instrText xml:space="preserve"> \* MERGEFORMAT </w:instrText>
            </w:r>
            <w:r w:rsidRPr="00CC0FF3">
              <w:fldChar w:fldCharType="separate"/>
            </w:r>
            <w:r w:rsidR="006C5761">
              <w:t>0</w:t>
            </w:r>
            <w:r w:rsidRPr="00CC0FF3">
              <w:fldChar w:fldCharType="end"/>
            </w:r>
            <w:r w:rsidR="00823955" w:rsidRPr="00CC0FF3">
              <w:t>)</w:t>
            </w:r>
          </w:p>
        </w:tc>
        <w:tc>
          <w:tcPr>
            <w:tcW w:w="4531" w:type="dxa"/>
            <w:tcBorders>
              <w:top w:val="single" w:sz="4" w:space="0" w:color="auto"/>
              <w:bottom w:val="single" w:sz="4" w:space="0" w:color="auto"/>
            </w:tcBorders>
          </w:tcPr>
          <w:p w14:paraId="01923430" w14:textId="354D186F" w:rsidR="00823955" w:rsidRPr="00CC0FF3" w:rsidRDefault="00823955" w:rsidP="00DB49B7">
            <w:pPr>
              <w:pStyle w:val="TableText"/>
            </w:pPr>
            <w:r w:rsidRPr="00CC0FF3">
              <w:t xml:space="preserve">Added paragraph to more clearly address geographical considerations for species selection for </w:t>
            </w:r>
            <w:r w:rsidR="00273B61">
              <w:t>default guideline value</w:t>
            </w:r>
            <w:r w:rsidRPr="00CC0FF3">
              <w:t>s</w:t>
            </w:r>
          </w:p>
        </w:tc>
        <w:tc>
          <w:tcPr>
            <w:tcW w:w="7796" w:type="dxa"/>
            <w:tcBorders>
              <w:top w:val="single" w:sz="4" w:space="0" w:color="auto"/>
              <w:bottom w:val="single" w:sz="4" w:space="0" w:color="auto"/>
            </w:tcBorders>
          </w:tcPr>
          <w:p w14:paraId="60E8CD68" w14:textId="69AF3C67" w:rsidR="00823955" w:rsidRPr="001D59C2" w:rsidRDefault="00823955" w:rsidP="00DB49B7">
            <w:pPr>
              <w:pStyle w:val="TableText"/>
              <w:rPr>
                <w:i/>
                <w:iCs/>
              </w:rPr>
            </w:pPr>
            <w:r w:rsidRPr="001D59C2">
              <w:rPr>
                <w:i/>
                <w:iCs/>
              </w:rPr>
              <w:t xml:space="preserve">To </w:t>
            </w:r>
            <w:r w:rsidR="003A3590">
              <w:rPr>
                <w:i/>
                <w:iCs/>
              </w:rPr>
              <w:t>clarify and improve</w:t>
            </w:r>
            <w:r w:rsidRPr="001D59C2">
              <w:rPr>
                <w:i/>
                <w:iCs/>
              </w:rPr>
              <w:t xml:space="preserve"> specific aspects of the derivation method</w:t>
            </w:r>
          </w:p>
          <w:p w14:paraId="5E1D02EB" w14:textId="1CCD4FE5" w:rsidR="00823955" w:rsidRPr="00CC0FF3" w:rsidRDefault="00823955" w:rsidP="00DB49B7">
            <w:pPr>
              <w:pStyle w:val="TableText"/>
            </w:pPr>
            <w:r w:rsidRPr="00CC0FF3">
              <w:t xml:space="preserve">Warne et al. (2018) provide little explicit guidance about species relevance and associated selection for </w:t>
            </w:r>
            <w:r w:rsidR="00273B61">
              <w:t>default guideline value</w:t>
            </w:r>
            <w:r w:rsidR="00273B61" w:rsidRPr="00CC0FF3">
              <w:t>s</w:t>
            </w:r>
            <w:r w:rsidRPr="00CC0FF3">
              <w:t xml:space="preserve">. This </w:t>
            </w:r>
            <w:r w:rsidR="005C09F0">
              <w:t>was</w:t>
            </w:r>
            <w:r w:rsidRPr="00CC0FF3">
              <w:t xml:space="preserve"> added. It includes mention of combining temperate and tropical, as well as not using polar species for non-polar </w:t>
            </w:r>
            <w:r w:rsidR="00273B61">
              <w:t>default guideline value</w:t>
            </w:r>
            <w:r w:rsidR="00273B61" w:rsidRPr="00CC0FF3">
              <w:t>s</w:t>
            </w:r>
          </w:p>
        </w:tc>
      </w:tr>
      <w:tr w:rsidR="00823955" w:rsidRPr="00FA309D" w14:paraId="6ED362AC" w14:textId="77777777" w:rsidTr="00AE4AC5">
        <w:trPr>
          <w:trHeight w:val="20"/>
        </w:trPr>
        <w:tc>
          <w:tcPr>
            <w:tcW w:w="1560" w:type="dxa"/>
            <w:tcBorders>
              <w:top w:val="single" w:sz="4" w:space="0" w:color="auto"/>
              <w:bottom w:val="single" w:sz="4" w:space="0" w:color="auto"/>
            </w:tcBorders>
          </w:tcPr>
          <w:p w14:paraId="7028908C" w14:textId="5BD9822B" w:rsidR="00823955" w:rsidRPr="00CC0FF3" w:rsidRDefault="00E445B3" w:rsidP="00DB49B7">
            <w:pPr>
              <w:pStyle w:val="TableText"/>
            </w:pPr>
            <w:r w:rsidRPr="00CC0FF3">
              <w:t xml:space="preserve">Section </w:t>
            </w:r>
            <w:r w:rsidRPr="00CC0FF3">
              <w:fldChar w:fldCharType="begin"/>
            </w:r>
            <w:r w:rsidRPr="00CC0FF3">
              <w:instrText xml:space="preserve"> REF _Ref522008190 \r \h </w:instrText>
            </w:r>
            <w:r w:rsidR="00CC0FF3">
              <w:instrText xml:space="preserve"> \* MERGEFORMAT </w:instrText>
            </w:r>
            <w:r w:rsidRPr="00CC0FF3">
              <w:fldChar w:fldCharType="separate"/>
            </w:r>
            <w:r w:rsidR="006C5761">
              <w:t>3.2</w:t>
            </w:r>
            <w:r w:rsidRPr="00CC0FF3">
              <w:fldChar w:fldCharType="end"/>
            </w:r>
            <w:r w:rsidR="00823955" w:rsidRPr="00CC0FF3">
              <w:t xml:space="preserve"> </w:t>
            </w:r>
            <w:r w:rsidR="00777742">
              <w:t>‘</w:t>
            </w:r>
            <w:r w:rsidR="00823955" w:rsidRPr="00CC0FF3">
              <w:t>Screening toxicity data</w:t>
            </w:r>
            <w:r w:rsidR="00777742">
              <w:t>’</w:t>
            </w:r>
            <w:r w:rsidR="00823955" w:rsidRPr="00CC0FF3">
              <w:t xml:space="preserve"> (new Section </w:t>
            </w:r>
            <w:r w:rsidRPr="00CC0FF3">
              <w:fldChar w:fldCharType="begin"/>
            </w:r>
            <w:r w:rsidRPr="00CC0FF3">
              <w:instrText xml:space="preserve"> REF _Ref202088703 \r \h </w:instrText>
            </w:r>
            <w:r w:rsidR="00CC0FF3">
              <w:instrText xml:space="preserve"> \* MERGEFORMAT </w:instrText>
            </w:r>
            <w:r w:rsidRPr="00CC0FF3">
              <w:fldChar w:fldCharType="separate"/>
            </w:r>
            <w:r w:rsidR="006C5761">
              <w:t>0</w:t>
            </w:r>
            <w:r w:rsidRPr="00CC0FF3">
              <w:fldChar w:fldCharType="end"/>
            </w:r>
            <w:r w:rsidR="00823955" w:rsidRPr="00CC0FF3">
              <w:t>)</w:t>
            </w:r>
          </w:p>
        </w:tc>
        <w:tc>
          <w:tcPr>
            <w:tcW w:w="4531" w:type="dxa"/>
            <w:tcBorders>
              <w:top w:val="single" w:sz="4" w:space="0" w:color="auto"/>
              <w:bottom w:val="single" w:sz="4" w:space="0" w:color="auto"/>
            </w:tcBorders>
          </w:tcPr>
          <w:p w14:paraId="5F3E3F26" w14:textId="74E63C27" w:rsidR="00823955" w:rsidRPr="00CC0FF3" w:rsidRDefault="00823955" w:rsidP="00DB49B7">
            <w:pPr>
              <w:pStyle w:val="TableText"/>
            </w:pPr>
            <w:r w:rsidRPr="00CC0FF3">
              <w:t>Updated guidance on the preferred hierarchy of statistical estimates of toxicity that includes a clearer hierarchy and more consideration on the use or otherwise of NOECs</w:t>
            </w:r>
          </w:p>
        </w:tc>
        <w:tc>
          <w:tcPr>
            <w:tcW w:w="7796" w:type="dxa"/>
            <w:tcBorders>
              <w:top w:val="single" w:sz="4" w:space="0" w:color="auto"/>
              <w:bottom w:val="single" w:sz="4" w:space="0" w:color="auto"/>
            </w:tcBorders>
          </w:tcPr>
          <w:p w14:paraId="72096B0B" w14:textId="3F9EABB7" w:rsidR="00823955" w:rsidRPr="001D59C2" w:rsidRDefault="00823955" w:rsidP="00DB49B7">
            <w:pPr>
              <w:pStyle w:val="TableText"/>
              <w:rPr>
                <w:i/>
                <w:iCs/>
              </w:rPr>
            </w:pPr>
            <w:r w:rsidRPr="001D59C2">
              <w:rPr>
                <w:i/>
                <w:iCs/>
              </w:rPr>
              <w:t xml:space="preserve">To </w:t>
            </w:r>
            <w:r w:rsidR="003A3590">
              <w:rPr>
                <w:i/>
                <w:iCs/>
              </w:rPr>
              <w:t>clarify and improve</w:t>
            </w:r>
            <w:r w:rsidRPr="001D59C2">
              <w:rPr>
                <w:i/>
                <w:iCs/>
              </w:rPr>
              <w:t xml:space="preserve"> specific aspects of the derivation method</w:t>
            </w:r>
          </w:p>
          <w:p w14:paraId="6E5C87D2" w14:textId="247AC738" w:rsidR="00823955" w:rsidRPr="00CC0FF3" w:rsidRDefault="00823955" w:rsidP="00DB49B7">
            <w:pPr>
              <w:pStyle w:val="TableText"/>
            </w:pPr>
            <w:r w:rsidRPr="00CC0FF3">
              <w:t xml:space="preserve">The hierarchy </w:t>
            </w:r>
            <w:r w:rsidR="00515175">
              <w:t>was</w:t>
            </w:r>
            <w:r w:rsidRPr="00CC0FF3">
              <w:t xml:space="preserve"> improved to reflect that fact that there is not necessarily a single preferred statistical estimate of toxicity but </w:t>
            </w:r>
            <w:r w:rsidR="00515175">
              <w:t xml:space="preserve">rather, there is </w:t>
            </w:r>
            <w:r w:rsidRPr="00CC0FF3">
              <w:t>a group of preferred ones, some appropriate ones and some less preferred ones. Also, the guidance now emphasises the need to assess the rigour and associated defensibility of each of the values in addition to whether the values are based on a preferred or less preferred estimate when making a decision about which value to use</w:t>
            </w:r>
          </w:p>
        </w:tc>
      </w:tr>
      <w:tr w:rsidR="00823955" w:rsidRPr="00FA309D" w14:paraId="2804084C" w14:textId="77777777" w:rsidTr="00AE4AC5">
        <w:trPr>
          <w:trHeight w:val="20"/>
        </w:trPr>
        <w:tc>
          <w:tcPr>
            <w:tcW w:w="1560" w:type="dxa"/>
            <w:tcBorders>
              <w:top w:val="single" w:sz="4" w:space="0" w:color="auto"/>
              <w:bottom w:val="single" w:sz="4" w:space="0" w:color="auto"/>
            </w:tcBorders>
          </w:tcPr>
          <w:p w14:paraId="519B4E03" w14:textId="3860E34B" w:rsidR="00823955" w:rsidRPr="00CC0FF3" w:rsidRDefault="00E445B3" w:rsidP="00DB49B7">
            <w:pPr>
              <w:pStyle w:val="TableText"/>
            </w:pPr>
            <w:r w:rsidRPr="00CC0FF3">
              <w:t xml:space="preserve">Section </w:t>
            </w:r>
            <w:r w:rsidRPr="00CC0FF3">
              <w:fldChar w:fldCharType="begin"/>
            </w:r>
            <w:r w:rsidRPr="00CC0FF3">
              <w:instrText xml:space="preserve"> REF _Ref522008190 \r \h </w:instrText>
            </w:r>
            <w:r w:rsidR="00CC0FF3">
              <w:instrText xml:space="preserve"> \* MERGEFORMAT </w:instrText>
            </w:r>
            <w:r w:rsidRPr="00CC0FF3">
              <w:fldChar w:fldCharType="separate"/>
            </w:r>
            <w:r w:rsidR="006C5761">
              <w:t>3.2</w:t>
            </w:r>
            <w:r w:rsidRPr="00CC0FF3">
              <w:fldChar w:fldCharType="end"/>
            </w:r>
            <w:r w:rsidR="00823955" w:rsidRPr="00CC0FF3">
              <w:t xml:space="preserve"> </w:t>
            </w:r>
            <w:r w:rsidR="00777742">
              <w:t>‘</w:t>
            </w:r>
            <w:r w:rsidR="00823955" w:rsidRPr="00CC0FF3">
              <w:t>Screening toxicity data</w:t>
            </w:r>
            <w:r w:rsidR="00777742">
              <w:t>’</w:t>
            </w:r>
            <w:r w:rsidR="00823955" w:rsidRPr="00CC0FF3">
              <w:t xml:space="preserve"> (new Section </w:t>
            </w:r>
            <w:r w:rsidRPr="00CC0FF3">
              <w:fldChar w:fldCharType="begin"/>
            </w:r>
            <w:r w:rsidRPr="00CC0FF3">
              <w:instrText xml:space="preserve"> REF _Ref202088703 \r \h </w:instrText>
            </w:r>
            <w:r w:rsidR="00CC0FF3">
              <w:instrText xml:space="preserve"> \* MERGEFORMAT </w:instrText>
            </w:r>
            <w:r w:rsidRPr="00CC0FF3">
              <w:fldChar w:fldCharType="separate"/>
            </w:r>
            <w:r w:rsidR="006C5761">
              <w:t>0</w:t>
            </w:r>
            <w:r w:rsidRPr="00CC0FF3">
              <w:fldChar w:fldCharType="end"/>
            </w:r>
            <w:r w:rsidR="00823955" w:rsidRPr="00CC0FF3">
              <w:t>)</w:t>
            </w:r>
          </w:p>
        </w:tc>
        <w:tc>
          <w:tcPr>
            <w:tcW w:w="4531" w:type="dxa"/>
            <w:tcBorders>
              <w:top w:val="single" w:sz="4" w:space="0" w:color="auto"/>
              <w:bottom w:val="single" w:sz="4" w:space="0" w:color="auto"/>
            </w:tcBorders>
          </w:tcPr>
          <w:p w14:paraId="4E0C990A" w14:textId="040E3E15" w:rsidR="00823955" w:rsidRPr="00CC0FF3" w:rsidRDefault="00823955" w:rsidP="00DB49B7">
            <w:pPr>
              <w:pStyle w:val="TableText"/>
            </w:pPr>
            <w:r w:rsidRPr="00CC0FF3">
              <w:t xml:space="preserve">The term </w:t>
            </w:r>
            <w:r w:rsidR="00DC69AA">
              <w:t>‘</w:t>
            </w:r>
            <w:r w:rsidRPr="00CC0FF3">
              <w:t>negligible</w:t>
            </w:r>
            <w:r w:rsidR="00A72106">
              <w:t>-</w:t>
            </w:r>
            <w:r w:rsidRPr="00CC0FF3">
              <w:t>effect</w:t>
            </w:r>
            <w:r w:rsidR="00DC69AA">
              <w:t>’</w:t>
            </w:r>
            <w:r w:rsidRPr="00CC0FF3">
              <w:t xml:space="preserve"> estimate or concentration has replaced </w:t>
            </w:r>
            <w:r w:rsidR="00DC69AA">
              <w:t>‘</w:t>
            </w:r>
            <w:r w:rsidRPr="00CC0FF3">
              <w:t>NOEC/EC10</w:t>
            </w:r>
            <w:r w:rsidR="00DC69AA">
              <w:t>’</w:t>
            </w:r>
            <w:r w:rsidRPr="00CC0FF3">
              <w:t xml:space="preserve">. This term is also now used in all </w:t>
            </w:r>
            <w:r w:rsidR="005C09F0">
              <w:t>default guideline value</w:t>
            </w:r>
            <w:r w:rsidRPr="00CC0FF3">
              <w:t xml:space="preserve"> technical briefs. It </w:t>
            </w:r>
            <w:r w:rsidR="00507203">
              <w:t>was</w:t>
            </w:r>
            <w:r w:rsidRPr="00CC0FF3">
              <w:t xml:space="preserve"> added to the Glossary, defined as follows:</w:t>
            </w:r>
          </w:p>
          <w:p w14:paraId="5457E734" w14:textId="2ACDEE45" w:rsidR="00823955" w:rsidRPr="00CC0FF3" w:rsidRDefault="006B69CE" w:rsidP="00DB49B7">
            <w:pPr>
              <w:pStyle w:val="TableText"/>
            </w:pPr>
            <w:r>
              <w:t>‘</w:t>
            </w:r>
            <w:r w:rsidR="00823955" w:rsidRPr="00CC0FF3">
              <w:t>Negligible effect:</w:t>
            </w:r>
            <w:r w:rsidR="00B679A4" w:rsidRPr="00CC0FF3">
              <w:t xml:space="preserve"> </w:t>
            </w:r>
            <w:r w:rsidR="00A72106">
              <w:t>c</w:t>
            </w:r>
            <w:r w:rsidR="00823955" w:rsidRPr="00CC0FF3">
              <w:t>orresponding to an estimated no</w:t>
            </w:r>
            <w:r w:rsidR="00A72106">
              <w:t>-</w:t>
            </w:r>
            <w:r w:rsidR="00823955" w:rsidRPr="00CC0FF3">
              <w:t>effect or acceptable</w:t>
            </w:r>
            <w:r w:rsidR="00A72106">
              <w:t>-</w:t>
            </w:r>
            <w:r w:rsidR="00823955" w:rsidRPr="00CC0FF3">
              <w:t>effect level; estimates of a negligible</w:t>
            </w:r>
            <w:r w:rsidR="00A72106">
              <w:t>-</w:t>
            </w:r>
            <w:r w:rsidR="00823955" w:rsidRPr="00CC0FF3">
              <w:t>effect are typically restricted to the NEC, BEC10, EC10, IC10 and NOEC</w:t>
            </w:r>
            <w:r>
              <w:t>’</w:t>
            </w:r>
          </w:p>
        </w:tc>
        <w:tc>
          <w:tcPr>
            <w:tcW w:w="7796" w:type="dxa"/>
            <w:tcBorders>
              <w:top w:val="single" w:sz="4" w:space="0" w:color="auto"/>
              <w:bottom w:val="single" w:sz="4" w:space="0" w:color="auto"/>
            </w:tcBorders>
          </w:tcPr>
          <w:p w14:paraId="4B4D962C" w14:textId="393A8663" w:rsidR="00823955" w:rsidRPr="001D59C2" w:rsidRDefault="00823955" w:rsidP="00DB49B7">
            <w:pPr>
              <w:pStyle w:val="TableText"/>
              <w:rPr>
                <w:i/>
                <w:iCs/>
              </w:rPr>
            </w:pPr>
            <w:r w:rsidRPr="001D59C2">
              <w:rPr>
                <w:i/>
                <w:iCs/>
              </w:rPr>
              <w:t xml:space="preserve">To </w:t>
            </w:r>
            <w:r w:rsidR="003A3590">
              <w:rPr>
                <w:i/>
                <w:iCs/>
              </w:rPr>
              <w:t>clarify and improve</w:t>
            </w:r>
            <w:r w:rsidRPr="001D59C2">
              <w:rPr>
                <w:i/>
                <w:iCs/>
              </w:rPr>
              <w:t xml:space="preserve"> specific aspects of the derivation method</w:t>
            </w:r>
          </w:p>
          <w:p w14:paraId="7A86FF7B" w14:textId="2A32EDA2" w:rsidR="00823955" w:rsidRPr="00CC0FF3" w:rsidRDefault="00823955" w:rsidP="00DB49B7">
            <w:pPr>
              <w:pStyle w:val="TableText"/>
            </w:pPr>
            <w:r w:rsidRPr="00CC0FF3">
              <w:t xml:space="preserve">Throughout Warne et al. (2018) and also in most draft </w:t>
            </w:r>
            <w:r w:rsidR="00ED1610">
              <w:t>default guideline value</w:t>
            </w:r>
            <w:r w:rsidRPr="00CC0FF3">
              <w:t xml:space="preserve"> technical briefs, the term </w:t>
            </w:r>
            <w:r w:rsidR="00DC69AA">
              <w:t>‘</w:t>
            </w:r>
            <w:r w:rsidRPr="00CC0FF3">
              <w:t>NOEC/EC10 equivalent</w:t>
            </w:r>
            <w:r w:rsidR="00DC69AA">
              <w:t>’</w:t>
            </w:r>
            <w:r w:rsidRPr="00CC0FF3">
              <w:t xml:space="preserve"> (or similar) was used to denote a value that has been converted from a chronic LOEC or EC50 or an acute EC/LC50. The term is not accurate, because in fact we accept both no</w:t>
            </w:r>
            <w:r w:rsidR="00ED1610">
              <w:t>-</w:t>
            </w:r>
            <w:r w:rsidRPr="00CC0FF3">
              <w:t xml:space="preserve">effect estimates (i.e. NEC, NOEC) and what one might term </w:t>
            </w:r>
            <w:r w:rsidR="00DC69AA">
              <w:t>‘</w:t>
            </w:r>
            <w:r w:rsidRPr="00CC0FF3">
              <w:t>acceptable</w:t>
            </w:r>
            <w:r w:rsidR="00ED1610">
              <w:t>-</w:t>
            </w:r>
            <w:r w:rsidRPr="00CC0FF3">
              <w:t>effect</w:t>
            </w:r>
            <w:r w:rsidR="00ED1610">
              <w:t>’</w:t>
            </w:r>
            <w:r w:rsidRPr="00CC0FF3">
              <w:t xml:space="preserve"> (e.g. EC10, EC20, BEC10) estimates. Thus, a new, more accurate term to encompass these types of estimates </w:t>
            </w:r>
            <w:r w:rsidR="00C81712">
              <w:t>was</w:t>
            </w:r>
            <w:r w:rsidRPr="00CC0FF3">
              <w:t xml:space="preserve"> </w:t>
            </w:r>
            <w:r w:rsidR="008321E6" w:rsidRPr="00CC0FF3">
              <w:t>adopted</w:t>
            </w:r>
          </w:p>
        </w:tc>
      </w:tr>
      <w:tr w:rsidR="00823955" w:rsidRPr="00FA309D" w14:paraId="2388FC07" w14:textId="77777777" w:rsidTr="00AE4AC5">
        <w:trPr>
          <w:trHeight w:val="20"/>
        </w:trPr>
        <w:tc>
          <w:tcPr>
            <w:tcW w:w="1560" w:type="dxa"/>
            <w:tcBorders>
              <w:top w:val="single" w:sz="4" w:space="0" w:color="auto"/>
              <w:bottom w:val="single" w:sz="4" w:space="0" w:color="auto"/>
            </w:tcBorders>
          </w:tcPr>
          <w:p w14:paraId="3DBF13C4" w14:textId="21472722" w:rsidR="00823955" w:rsidRPr="00FA309D" w:rsidRDefault="00E445B3" w:rsidP="00DB49B7">
            <w:pPr>
              <w:pStyle w:val="TableText"/>
            </w:pPr>
            <w:r w:rsidRPr="00FA309D">
              <w:lastRenderedPageBreak/>
              <w:t xml:space="preserve">Section </w:t>
            </w:r>
            <w:r w:rsidRPr="00FA309D">
              <w:fldChar w:fldCharType="begin"/>
            </w:r>
            <w:r w:rsidRPr="00FA309D">
              <w:instrText xml:space="preserve"> REF _Ref522008190 \r \h </w:instrText>
            </w:r>
            <w:r w:rsidRPr="00FA309D">
              <w:fldChar w:fldCharType="separate"/>
            </w:r>
            <w:r w:rsidR="006C5761">
              <w:t>3.2</w:t>
            </w:r>
            <w:r w:rsidRPr="00FA309D">
              <w:fldChar w:fldCharType="end"/>
            </w:r>
            <w:r w:rsidR="00823955" w:rsidRPr="00FA309D">
              <w:t xml:space="preserve"> </w:t>
            </w:r>
            <w:r w:rsidR="00777742">
              <w:t>‘</w:t>
            </w:r>
            <w:r w:rsidR="00823955" w:rsidRPr="00FA309D">
              <w:t>Screening toxicity data</w:t>
            </w:r>
            <w:r w:rsidR="00777742">
              <w:t>’</w:t>
            </w:r>
            <w:r w:rsidR="00823955" w:rsidRPr="00FA309D">
              <w:t xml:space="preserve"> (new Section </w:t>
            </w:r>
            <w:r w:rsidRPr="00FA309D">
              <w:fldChar w:fldCharType="begin"/>
            </w:r>
            <w:r w:rsidRPr="00FA309D">
              <w:instrText xml:space="preserve"> REF _Ref202088703 \r \h </w:instrText>
            </w:r>
            <w:r w:rsidRPr="00FA309D">
              <w:fldChar w:fldCharType="separate"/>
            </w:r>
            <w:r w:rsidR="006C5761">
              <w:t>0</w:t>
            </w:r>
            <w:r w:rsidRPr="00FA309D">
              <w:fldChar w:fldCharType="end"/>
            </w:r>
            <w:r w:rsidR="00823955" w:rsidRPr="00FA309D">
              <w:t>)</w:t>
            </w:r>
          </w:p>
          <w:p w14:paraId="66661CF8" w14:textId="7055039F" w:rsidR="00823955" w:rsidRPr="00FA309D" w:rsidRDefault="00777742" w:rsidP="00DB49B7">
            <w:pPr>
              <w:pStyle w:val="TableText"/>
            </w:pPr>
            <w:r>
              <w:t>and</w:t>
            </w:r>
          </w:p>
          <w:p w14:paraId="76723CF8" w14:textId="59F48C14" w:rsidR="00823955" w:rsidRPr="00FA309D" w:rsidRDefault="00FB718A" w:rsidP="00DB49B7">
            <w:pPr>
              <w:pStyle w:val="TableText"/>
            </w:pPr>
            <w:r w:rsidRPr="00FA309D">
              <w:t xml:space="preserve">Section </w:t>
            </w:r>
            <w:r w:rsidRPr="00FA309D">
              <w:fldChar w:fldCharType="begin"/>
            </w:r>
            <w:r w:rsidRPr="00FA309D">
              <w:instrText xml:space="preserve"> REF _Ref202087270 \r \h </w:instrText>
            </w:r>
            <w:r w:rsidRPr="00FA309D">
              <w:fldChar w:fldCharType="separate"/>
            </w:r>
            <w:r w:rsidR="006C5761">
              <w:t>3.4.2</w:t>
            </w:r>
            <w:r w:rsidRPr="00FA309D">
              <w:fldChar w:fldCharType="end"/>
            </w:r>
            <w:r w:rsidR="00823955" w:rsidRPr="00FA309D">
              <w:t xml:space="preserve"> </w:t>
            </w:r>
            <w:r w:rsidR="00777742">
              <w:t>‘</w:t>
            </w:r>
            <w:r w:rsidR="00823955" w:rsidRPr="00FA309D">
              <w:t>Conversion of toxicity</w:t>
            </w:r>
            <w:r w:rsidR="00925792">
              <w:t xml:space="preserve"> data</w:t>
            </w:r>
            <w:r w:rsidR="00777742">
              <w:t>’</w:t>
            </w:r>
          </w:p>
        </w:tc>
        <w:tc>
          <w:tcPr>
            <w:tcW w:w="4531" w:type="dxa"/>
            <w:tcBorders>
              <w:top w:val="single" w:sz="4" w:space="0" w:color="auto"/>
              <w:bottom w:val="single" w:sz="4" w:space="0" w:color="auto"/>
            </w:tcBorders>
          </w:tcPr>
          <w:p w14:paraId="1799DEFF" w14:textId="0E3B651C" w:rsidR="00823955" w:rsidRPr="00FA309D" w:rsidRDefault="00823955" w:rsidP="00DB49B7">
            <w:pPr>
              <w:pStyle w:val="TableText"/>
            </w:pPr>
            <w:r w:rsidRPr="00FA309D">
              <w:t>Added text to recommend that, where there is a NOEC and a more preferred estimate (e.g. NEC, EC10) available for a species, that a check of the defensibility of the values is undertaken before the NOEC is rejected</w:t>
            </w:r>
          </w:p>
        </w:tc>
        <w:tc>
          <w:tcPr>
            <w:tcW w:w="7796" w:type="dxa"/>
            <w:tcBorders>
              <w:top w:val="single" w:sz="4" w:space="0" w:color="auto"/>
              <w:bottom w:val="single" w:sz="4" w:space="0" w:color="auto"/>
            </w:tcBorders>
          </w:tcPr>
          <w:p w14:paraId="050C9B81" w14:textId="1461B5EA" w:rsidR="00823955" w:rsidRPr="001D59C2" w:rsidRDefault="00823955" w:rsidP="00DB49B7">
            <w:pPr>
              <w:pStyle w:val="TableText"/>
              <w:rPr>
                <w:i/>
                <w:iCs/>
              </w:rPr>
            </w:pPr>
            <w:r w:rsidRPr="001D59C2">
              <w:rPr>
                <w:i/>
                <w:iCs/>
              </w:rPr>
              <w:t xml:space="preserve">To </w:t>
            </w:r>
            <w:r w:rsidR="003A3590">
              <w:rPr>
                <w:i/>
                <w:iCs/>
              </w:rPr>
              <w:t>clarify and improve</w:t>
            </w:r>
            <w:r w:rsidRPr="001D59C2">
              <w:rPr>
                <w:i/>
                <w:iCs/>
              </w:rPr>
              <w:t xml:space="preserve"> specific aspects of the derivation method</w:t>
            </w:r>
          </w:p>
          <w:p w14:paraId="4FB6668D" w14:textId="6E1676F9" w:rsidR="00823955" w:rsidRPr="00FA309D" w:rsidRDefault="00823955" w:rsidP="00DB49B7">
            <w:pPr>
              <w:pStyle w:val="TableText"/>
            </w:pPr>
            <w:r w:rsidRPr="00FA309D">
              <w:t>NOECs are less favoured statistical estimates than NECs</w:t>
            </w:r>
            <w:r w:rsidR="00472B39">
              <w:t>, NSECs</w:t>
            </w:r>
            <w:r w:rsidRPr="00FA309D">
              <w:t xml:space="preserve"> and ECx where x &lt;</w:t>
            </w:r>
            <w:r w:rsidR="00BE3A46">
              <w:t> </w:t>
            </w:r>
            <w:r w:rsidRPr="00FA309D">
              <w:t>20%. However, depending on the nature of a dataset, the NOEC may</w:t>
            </w:r>
            <w:r w:rsidR="00BE3A46">
              <w:t>,</w:t>
            </w:r>
            <w:r w:rsidRPr="00FA309D">
              <w:t xml:space="preserve"> in some cases</w:t>
            </w:r>
            <w:r w:rsidR="00BE3A46">
              <w:t>,</w:t>
            </w:r>
            <w:r w:rsidRPr="00FA309D">
              <w:t xml:space="preserve"> still be a more defensible estimate than one of the more preferred estimates. Before rejecting a NOEC for a NEC</w:t>
            </w:r>
            <w:r w:rsidR="00472B39">
              <w:t>, NSEC</w:t>
            </w:r>
            <w:r w:rsidRPr="00FA309D">
              <w:t xml:space="preserve"> or ECx (where x</w:t>
            </w:r>
            <w:r w:rsidR="00BE3A46">
              <w:t> </w:t>
            </w:r>
            <w:r w:rsidRPr="00FA309D">
              <w:t>&lt;</w:t>
            </w:r>
            <w:r w:rsidR="00BE3A46">
              <w:t> </w:t>
            </w:r>
            <w:r w:rsidRPr="00FA309D">
              <w:t>20%), the rigour and associated defensibility of the values should be considered, and professional judgement applied accordingly</w:t>
            </w:r>
          </w:p>
        </w:tc>
      </w:tr>
      <w:tr w:rsidR="00823955" w:rsidRPr="00FA309D" w14:paraId="48C74FEF" w14:textId="77777777" w:rsidTr="00AE4AC5">
        <w:trPr>
          <w:trHeight w:val="20"/>
        </w:trPr>
        <w:tc>
          <w:tcPr>
            <w:tcW w:w="1560" w:type="dxa"/>
            <w:tcBorders>
              <w:top w:val="single" w:sz="4" w:space="0" w:color="auto"/>
              <w:bottom w:val="single" w:sz="4" w:space="0" w:color="auto"/>
            </w:tcBorders>
          </w:tcPr>
          <w:p w14:paraId="07318177" w14:textId="7CAE37F7" w:rsidR="00823955" w:rsidRPr="00FA309D" w:rsidRDefault="00E445B3" w:rsidP="00DB49B7">
            <w:pPr>
              <w:pStyle w:val="TableText"/>
            </w:pPr>
            <w:r w:rsidRPr="00FA309D">
              <w:t xml:space="preserve">Section </w:t>
            </w:r>
            <w:r w:rsidRPr="00FA309D">
              <w:fldChar w:fldCharType="begin"/>
            </w:r>
            <w:r w:rsidRPr="00FA309D">
              <w:instrText xml:space="preserve"> REF _Ref522008190 \r \h </w:instrText>
            </w:r>
            <w:r w:rsidR="00C347FE" w:rsidRPr="00FA309D">
              <w:instrText xml:space="preserve"> \* MERGEFORMAT </w:instrText>
            </w:r>
            <w:r w:rsidRPr="00FA309D">
              <w:fldChar w:fldCharType="separate"/>
            </w:r>
            <w:r w:rsidR="006C5761">
              <w:t>3.2</w:t>
            </w:r>
            <w:r w:rsidRPr="00FA309D">
              <w:fldChar w:fldCharType="end"/>
            </w:r>
            <w:r w:rsidR="00823955" w:rsidRPr="00FA309D">
              <w:t xml:space="preserve"> </w:t>
            </w:r>
            <w:r w:rsidR="00777742">
              <w:t>‘</w:t>
            </w:r>
            <w:r w:rsidR="00823955" w:rsidRPr="00FA309D">
              <w:t>Screening toxicity data</w:t>
            </w:r>
            <w:r w:rsidR="00777742">
              <w:t>’</w:t>
            </w:r>
            <w:r w:rsidR="00823955" w:rsidRPr="00FA309D">
              <w:t xml:space="preserve"> (new Section </w:t>
            </w:r>
            <w:r w:rsidR="00A05F12" w:rsidRPr="00FA309D">
              <w:fldChar w:fldCharType="begin"/>
            </w:r>
            <w:r w:rsidR="00A05F12" w:rsidRPr="00FA309D">
              <w:instrText xml:space="preserve"> REF _Ref202089190 \r \h </w:instrText>
            </w:r>
            <w:r w:rsidR="00A05F12" w:rsidRPr="00FA309D">
              <w:fldChar w:fldCharType="separate"/>
            </w:r>
            <w:r w:rsidR="006C5761">
              <w:t>3.2.5</w:t>
            </w:r>
            <w:r w:rsidR="00A05F12" w:rsidRPr="00FA309D">
              <w:fldChar w:fldCharType="end"/>
            </w:r>
            <w:r w:rsidR="00823955" w:rsidRPr="00FA309D">
              <w:t>)</w:t>
            </w:r>
          </w:p>
        </w:tc>
        <w:tc>
          <w:tcPr>
            <w:tcW w:w="4531" w:type="dxa"/>
            <w:tcBorders>
              <w:top w:val="single" w:sz="4" w:space="0" w:color="auto"/>
              <w:bottom w:val="single" w:sz="4" w:space="0" w:color="auto"/>
            </w:tcBorders>
          </w:tcPr>
          <w:p w14:paraId="181BC40E" w14:textId="5695F09C" w:rsidR="00802A4F" w:rsidRPr="00FA309D" w:rsidRDefault="00802A4F" w:rsidP="00DB49B7">
            <w:pPr>
              <w:pStyle w:val="TableText"/>
            </w:pPr>
            <w:r w:rsidRPr="00FA309D">
              <w:t xml:space="preserve">Created new section titled </w:t>
            </w:r>
            <w:r w:rsidR="00CA4325" w:rsidRPr="00FA309D">
              <w:t>‘</w:t>
            </w:r>
            <w:r w:rsidRPr="00FA309D">
              <w:t>Physicochemical water quality ranges</w:t>
            </w:r>
            <w:r w:rsidR="00186E81" w:rsidRPr="00FA309D">
              <w:t>’</w:t>
            </w:r>
          </w:p>
          <w:p w14:paraId="114065A2" w14:textId="14B541F0" w:rsidR="00823955" w:rsidRPr="00FA309D" w:rsidRDefault="00823955" w:rsidP="00DB49B7">
            <w:pPr>
              <w:pStyle w:val="TableText"/>
            </w:pPr>
            <w:r w:rsidRPr="00FA309D">
              <w:t xml:space="preserve">Added text from earlier in the document relating acceptable salinity ranges for freshwater and marine water </w:t>
            </w:r>
            <w:r w:rsidR="00BE3A46">
              <w:t>default guideline</w:t>
            </w:r>
            <w:r w:rsidRPr="00FA309D">
              <w:t xml:space="preserve"> derivations</w:t>
            </w:r>
          </w:p>
        </w:tc>
        <w:tc>
          <w:tcPr>
            <w:tcW w:w="7796" w:type="dxa"/>
            <w:tcBorders>
              <w:top w:val="single" w:sz="4" w:space="0" w:color="auto"/>
              <w:bottom w:val="single" w:sz="4" w:space="0" w:color="auto"/>
            </w:tcBorders>
          </w:tcPr>
          <w:p w14:paraId="6E87C28D" w14:textId="08AF5B73" w:rsidR="00823955" w:rsidRPr="001D59C2" w:rsidRDefault="00823955" w:rsidP="00DB49B7">
            <w:pPr>
              <w:pStyle w:val="TableText"/>
              <w:rPr>
                <w:i/>
                <w:iCs/>
              </w:rPr>
            </w:pPr>
            <w:r w:rsidRPr="001D59C2">
              <w:rPr>
                <w:i/>
                <w:iCs/>
              </w:rPr>
              <w:t xml:space="preserve">To </w:t>
            </w:r>
            <w:r w:rsidR="003A3590">
              <w:rPr>
                <w:i/>
                <w:iCs/>
              </w:rPr>
              <w:t>clarify and improve</w:t>
            </w:r>
            <w:r w:rsidRPr="001D59C2">
              <w:rPr>
                <w:i/>
                <w:iCs/>
              </w:rPr>
              <w:t xml:space="preserve"> specific aspects of the derivation method</w:t>
            </w:r>
          </w:p>
          <w:p w14:paraId="656E05F3" w14:textId="11CF867D" w:rsidR="00802A4F" w:rsidRPr="00FA309D" w:rsidRDefault="00802A4F" w:rsidP="00DB49B7">
            <w:pPr>
              <w:pStyle w:val="TableText"/>
            </w:pPr>
            <w:r w:rsidRPr="00FA309D">
              <w:t>New section captures existing and new information on acceptable ranges for key physicochemical variables in toxicity testing waters</w:t>
            </w:r>
          </w:p>
          <w:p w14:paraId="693F9F18" w14:textId="61672773" w:rsidR="00823955" w:rsidRPr="00FA309D" w:rsidRDefault="00823955" w:rsidP="00DB49B7">
            <w:pPr>
              <w:pStyle w:val="TableText"/>
              <w:rPr>
                <w:i/>
                <w:iCs/>
              </w:rPr>
            </w:pPr>
            <w:r w:rsidRPr="00FA309D">
              <w:t>Moved text from an earlier section to this section</w:t>
            </w:r>
            <w:r w:rsidR="0042527C">
              <w:t>,</w:t>
            </w:r>
            <w:r w:rsidRPr="00FA309D">
              <w:t xml:space="preserve"> where it is more relevant</w:t>
            </w:r>
          </w:p>
        </w:tc>
      </w:tr>
      <w:tr w:rsidR="002679CE" w:rsidRPr="00FA309D" w14:paraId="1DB7C029" w14:textId="77777777" w:rsidTr="00AE4AC5">
        <w:trPr>
          <w:trHeight w:val="20"/>
        </w:trPr>
        <w:tc>
          <w:tcPr>
            <w:tcW w:w="1560" w:type="dxa"/>
            <w:tcBorders>
              <w:top w:val="single" w:sz="4" w:space="0" w:color="auto"/>
              <w:bottom w:val="single" w:sz="4" w:space="0" w:color="auto"/>
            </w:tcBorders>
          </w:tcPr>
          <w:p w14:paraId="5795AFC8" w14:textId="265E5EFE" w:rsidR="002679CE" w:rsidRPr="00CC0FF3" w:rsidRDefault="00E445B3" w:rsidP="00DB49B7">
            <w:pPr>
              <w:pStyle w:val="TableText"/>
            </w:pPr>
            <w:r w:rsidRPr="00CC0FF3">
              <w:t xml:space="preserve">Section </w:t>
            </w:r>
            <w:r w:rsidRPr="00CC0FF3">
              <w:fldChar w:fldCharType="begin"/>
            </w:r>
            <w:r w:rsidRPr="00CC0FF3">
              <w:instrText xml:space="preserve"> REF _Ref522008190 \r \h </w:instrText>
            </w:r>
            <w:r w:rsidR="00CC0FF3">
              <w:instrText xml:space="preserve"> \* MERGEFORMAT </w:instrText>
            </w:r>
            <w:r w:rsidRPr="00CC0FF3">
              <w:fldChar w:fldCharType="separate"/>
            </w:r>
            <w:r w:rsidR="006C5761">
              <w:t>3.2</w:t>
            </w:r>
            <w:r w:rsidRPr="00CC0FF3">
              <w:fldChar w:fldCharType="end"/>
            </w:r>
            <w:r w:rsidR="002679CE" w:rsidRPr="00CC0FF3">
              <w:t xml:space="preserve"> </w:t>
            </w:r>
            <w:r w:rsidR="00777742">
              <w:t>‘</w:t>
            </w:r>
            <w:r w:rsidR="002679CE" w:rsidRPr="00CC0FF3">
              <w:t>Screening toxicity data</w:t>
            </w:r>
            <w:r w:rsidR="00777742">
              <w:t>’</w:t>
            </w:r>
            <w:r w:rsidR="002679CE" w:rsidRPr="00CC0FF3">
              <w:t xml:space="preserve"> (new Section </w:t>
            </w:r>
            <w:r w:rsidR="00A05F12" w:rsidRPr="00CC0FF3">
              <w:fldChar w:fldCharType="begin"/>
            </w:r>
            <w:r w:rsidR="00A05F12" w:rsidRPr="00CC0FF3">
              <w:instrText xml:space="preserve"> REF _Ref202089190 \r \h </w:instrText>
            </w:r>
            <w:r w:rsidR="00CC0FF3">
              <w:instrText xml:space="preserve"> \* MERGEFORMAT </w:instrText>
            </w:r>
            <w:r w:rsidR="00A05F12" w:rsidRPr="00CC0FF3">
              <w:fldChar w:fldCharType="separate"/>
            </w:r>
            <w:r w:rsidR="006C5761">
              <w:t>3.2.5</w:t>
            </w:r>
            <w:r w:rsidR="00A05F12" w:rsidRPr="00CC0FF3">
              <w:fldChar w:fldCharType="end"/>
            </w:r>
            <w:r w:rsidR="002679CE" w:rsidRPr="00CC0FF3">
              <w:t>)</w:t>
            </w:r>
          </w:p>
        </w:tc>
        <w:tc>
          <w:tcPr>
            <w:tcW w:w="4531" w:type="dxa"/>
            <w:tcBorders>
              <w:top w:val="single" w:sz="4" w:space="0" w:color="auto"/>
              <w:bottom w:val="single" w:sz="4" w:space="0" w:color="auto"/>
            </w:tcBorders>
          </w:tcPr>
          <w:p w14:paraId="30989C83" w14:textId="7454CD8C" w:rsidR="002679CE" w:rsidRPr="00CC0FF3" w:rsidRDefault="002679CE" w:rsidP="00DB49B7">
            <w:pPr>
              <w:pStyle w:val="TableText"/>
            </w:pPr>
            <w:r w:rsidRPr="00CC0FF3">
              <w:t xml:space="preserve">Added new guidance that, for some toxicants (where </w:t>
            </w:r>
            <w:r w:rsidR="00672AA0" w:rsidRPr="00CC0FF3">
              <w:t xml:space="preserve">the </w:t>
            </w:r>
            <w:r w:rsidRPr="00CC0FF3">
              <w:t xml:space="preserve">specific criteria are met) it might be preferable to derive a single combined freshwater/marine </w:t>
            </w:r>
            <w:r w:rsidR="0042527C">
              <w:t>species sensitivity distribution</w:t>
            </w:r>
            <w:r w:rsidRPr="00CC0FF3">
              <w:t xml:space="preserve"> and associated </w:t>
            </w:r>
            <w:r w:rsidR="0042527C">
              <w:t>guideline value</w:t>
            </w:r>
            <w:r w:rsidRPr="00CC0FF3">
              <w:t xml:space="preserve">s (with reference to more details in Section </w:t>
            </w:r>
            <w:r w:rsidR="004A3DCA" w:rsidRPr="00CC0FF3">
              <w:fldChar w:fldCharType="begin"/>
            </w:r>
            <w:r w:rsidR="004A3DCA" w:rsidRPr="00CC0FF3">
              <w:instrText xml:space="preserve"> REF _Ref202090972 \r \h </w:instrText>
            </w:r>
            <w:r w:rsidR="00CC0FF3">
              <w:instrText xml:space="preserve"> \* MERGEFORMAT </w:instrText>
            </w:r>
            <w:r w:rsidR="004A3DCA" w:rsidRPr="00CC0FF3">
              <w:fldChar w:fldCharType="separate"/>
            </w:r>
            <w:r w:rsidR="006C5761">
              <w:t>3.4.5</w:t>
            </w:r>
            <w:r w:rsidR="004A3DCA" w:rsidRPr="00CC0FF3">
              <w:fldChar w:fldCharType="end"/>
            </w:r>
            <w:r w:rsidRPr="00CC0FF3">
              <w:t>)</w:t>
            </w:r>
          </w:p>
        </w:tc>
        <w:tc>
          <w:tcPr>
            <w:tcW w:w="7796" w:type="dxa"/>
            <w:tcBorders>
              <w:top w:val="single" w:sz="4" w:space="0" w:color="auto"/>
              <w:bottom w:val="single" w:sz="4" w:space="0" w:color="auto"/>
            </w:tcBorders>
          </w:tcPr>
          <w:p w14:paraId="69B91572" w14:textId="34B6D0E9" w:rsidR="002679CE" w:rsidRPr="001D59C2" w:rsidRDefault="002679CE" w:rsidP="00DB49B7">
            <w:pPr>
              <w:pStyle w:val="TableText"/>
              <w:rPr>
                <w:i/>
                <w:iCs/>
              </w:rPr>
            </w:pPr>
            <w:r w:rsidRPr="001D59C2">
              <w:rPr>
                <w:i/>
                <w:iCs/>
              </w:rPr>
              <w:t xml:space="preserve">To </w:t>
            </w:r>
            <w:r w:rsidR="003A3590">
              <w:rPr>
                <w:i/>
                <w:iCs/>
              </w:rPr>
              <w:t>clarify and improve</w:t>
            </w:r>
            <w:r w:rsidRPr="001D59C2">
              <w:rPr>
                <w:i/>
                <w:iCs/>
              </w:rPr>
              <w:t xml:space="preserve"> specific aspects of the derivation method</w:t>
            </w:r>
          </w:p>
          <w:p w14:paraId="7C7897AB" w14:textId="1C7FF82C" w:rsidR="002679CE" w:rsidRPr="00CC0FF3" w:rsidRDefault="002679CE" w:rsidP="00DB49B7">
            <w:pPr>
              <w:pStyle w:val="TableText"/>
            </w:pPr>
            <w:r w:rsidRPr="00CC0FF3">
              <w:t>New section captures existing and new information on acceptable ranges for key physicochemical variables in toxicity testing waters</w:t>
            </w:r>
          </w:p>
          <w:p w14:paraId="395F727C" w14:textId="7460699A" w:rsidR="002679CE" w:rsidRPr="00CC0FF3" w:rsidRDefault="002679CE" w:rsidP="00DB49B7">
            <w:pPr>
              <w:pStyle w:val="TableText"/>
            </w:pPr>
            <w:r w:rsidRPr="00CC0FF3">
              <w:t>Moved text from an earlier section to this section</w:t>
            </w:r>
            <w:r w:rsidR="0042527C">
              <w:t>,</w:t>
            </w:r>
            <w:r w:rsidRPr="00CC0FF3">
              <w:t xml:space="preserve"> where it is more relevant</w:t>
            </w:r>
          </w:p>
        </w:tc>
      </w:tr>
      <w:tr w:rsidR="00823955" w:rsidRPr="00FA309D" w14:paraId="45D468D0" w14:textId="77777777" w:rsidTr="00AE4AC5">
        <w:trPr>
          <w:trHeight w:val="20"/>
        </w:trPr>
        <w:tc>
          <w:tcPr>
            <w:tcW w:w="1560" w:type="dxa"/>
            <w:tcBorders>
              <w:top w:val="single" w:sz="4" w:space="0" w:color="auto"/>
              <w:bottom w:val="single" w:sz="4" w:space="0" w:color="auto"/>
            </w:tcBorders>
          </w:tcPr>
          <w:p w14:paraId="17739502" w14:textId="77777777" w:rsidR="006C5761" w:rsidRDefault="00823955" w:rsidP="006C5761">
            <w:pPr>
              <w:pStyle w:val="TableText"/>
            </w:pPr>
            <w:r w:rsidRPr="00CC0FF3">
              <w:t xml:space="preserve">Section </w:t>
            </w:r>
            <w:r w:rsidR="00A05F12" w:rsidRPr="00CC0FF3">
              <w:fldChar w:fldCharType="begin"/>
            </w:r>
            <w:r w:rsidR="00A05F12" w:rsidRPr="00CC0FF3">
              <w:instrText xml:space="preserve"> REF _Ref522007975 \r \h  \* MERGEFORMAT </w:instrText>
            </w:r>
            <w:r w:rsidR="00A05F12" w:rsidRPr="00CC0FF3">
              <w:fldChar w:fldCharType="separate"/>
            </w:r>
            <w:r w:rsidR="006C5761">
              <w:t>3.3.1</w:t>
            </w:r>
            <w:r w:rsidR="00A05F12" w:rsidRPr="00CC0FF3">
              <w:fldChar w:fldCharType="end"/>
            </w:r>
            <w:r w:rsidRPr="00CC0FF3">
              <w:t xml:space="preserve"> </w:t>
            </w:r>
            <w:r w:rsidR="00CD76A7">
              <w:t xml:space="preserve">‘Laboratory-based toxicity data’ </w:t>
            </w:r>
            <w:r w:rsidRPr="00CC0FF3">
              <w:t>(</w:t>
            </w:r>
            <w:r w:rsidR="00A05F12" w:rsidRPr="00CC0FF3">
              <w:fldChar w:fldCharType="begin"/>
            </w:r>
            <w:r w:rsidR="00A05F12" w:rsidRPr="00CC0FF3">
              <w:instrText xml:space="preserve"> REF _Ref202087490 \h  \* MERGEFORMAT </w:instrText>
            </w:r>
            <w:r w:rsidR="00A05F12" w:rsidRPr="00CC0FF3">
              <w:fldChar w:fldCharType="separate"/>
            </w:r>
            <w:r w:rsidR="006C5761" w:rsidRPr="006C5761">
              <w:br w:type="page"/>
            </w:r>
          </w:p>
          <w:p w14:paraId="2D9BD12C" w14:textId="44FFB369" w:rsidR="00823955" w:rsidRPr="00CC0FF3" w:rsidRDefault="006C5761" w:rsidP="00DB49B7">
            <w:pPr>
              <w:pStyle w:val="TableText"/>
            </w:pPr>
            <w:r>
              <w:t>Table </w:t>
            </w:r>
            <w:r>
              <w:rPr>
                <w:noProof/>
              </w:rPr>
              <w:t>3</w:t>
            </w:r>
            <w:r w:rsidR="00A05F12" w:rsidRPr="00CC0FF3">
              <w:fldChar w:fldCharType="end"/>
            </w:r>
            <w:r w:rsidR="00823955" w:rsidRPr="00CC0FF3">
              <w:t xml:space="preserve"> and </w:t>
            </w:r>
            <w:r w:rsidR="00F14560" w:rsidRPr="00CC0FF3">
              <w:fldChar w:fldCharType="begin"/>
            </w:r>
            <w:r w:rsidR="00F14560" w:rsidRPr="00CC0FF3">
              <w:instrText xml:space="preserve"> REF AppendixB \h  \* MERGEFORMAT </w:instrText>
            </w:r>
            <w:r w:rsidR="00F14560" w:rsidRPr="00CC0FF3">
              <w:fldChar w:fldCharType="separate"/>
            </w:r>
            <w:r>
              <w:rPr>
                <w:b/>
                <w:bCs/>
                <w:lang w:val="en-US"/>
              </w:rPr>
              <w:t>Error! Reference source not found.</w:t>
            </w:r>
            <w:r w:rsidR="00F14560" w:rsidRPr="00CC0FF3">
              <w:fldChar w:fldCharType="end"/>
            </w:r>
            <w:r w:rsidR="00823955" w:rsidRPr="00CC0FF3">
              <w:t>)</w:t>
            </w:r>
          </w:p>
        </w:tc>
        <w:tc>
          <w:tcPr>
            <w:tcW w:w="4531" w:type="dxa"/>
            <w:tcBorders>
              <w:top w:val="single" w:sz="4" w:space="0" w:color="auto"/>
              <w:bottom w:val="single" w:sz="4" w:space="0" w:color="auto"/>
            </w:tcBorders>
          </w:tcPr>
          <w:p w14:paraId="4DB44A1B" w14:textId="3DDCED04" w:rsidR="00823955" w:rsidRPr="00CC0FF3" w:rsidRDefault="00823955" w:rsidP="00DB49B7">
            <w:pPr>
              <w:pStyle w:val="TableText"/>
            </w:pPr>
            <w:r w:rsidRPr="00CC0FF3">
              <w:t>Updated the data</w:t>
            </w:r>
            <w:r w:rsidR="0042527C">
              <w:t>-</w:t>
            </w:r>
            <w:r w:rsidRPr="00CC0FF3">
              <w:t>quality assessment to be more weighted towards test quality/performance and less weighted towards the provision of basic test information. Also slight revision to the</w:t>
            </w:r>
            <w:r w:rsidR="00C64837" w:rsidRPr="00CC0FF3">
              <w:t xml:space="preserve"> 2</w:t>
            </w:r>
            <w:r w:rsidRPr="00CC0FF3">
              <w:t xml:space="preserve"> toxicant types – from ‘metals’ and ‘non-metals’ in Warne et al. (2018) to ‘metals/non-metallic inorganics’ and ‘organics’</w:t>
            </w:r>
          </w:p>
        </w:tc>
        <w:tc>
          <w:tcPr>
            <w:tcW w:w="7796" w:type="dxa"/>
            <w:tcBorders>
              <w:top w:val="single" w:sz="4" w:space="0" w:color="auto"/>
              <w:bottom w:val="single" w:sz="4" w:space="0" w:color="auto"/>
            </w:tcBorders>
          </w:tcPr>
          <w:p w14:paraId="021B71FF" w14:textId="5F7D8CAA" w:rsidR="00823955" w:rsidRPr="001D59C2" w:rsidRDefault="00823955" w:rsidP="00DB49B7">
            <w:pPr>
              <w:pStyle w:val="TableText"/>
              <w:rPr>
                <w:i/>
                <w:iCs/>
              </w:rPr>
            </w:pPr>
            <w:r w:rsidRPr="001D59C2">
              <w:rPr>
                <w:i/>
                <w:iCs/>
              </w:rPr>
              <w:t xml:space="preserve">To </w:t>
            </w:r>
            <w:r w:rsidR="003A3590">
              <w:rPr>
                <w:i/>
                <w:iCs/>
              </w:rPr>
              <w:t>clarify and improve</w:t>
            </w:r>
            <w:r w:rsidRPr="001D59C2">
              <w:rPr>
                <w:i/>
                <w:iCs/>
              </w:rPr>
              <w:t xml:space="preserve"> specific aspects of the derivation method</w:t>
            </w:r>
          </w:p>
          <w:p w14:paraId="188BCA16" w14:textId="5E50A07F" w:rsidR="00823955" w:rsidRPr="00CC0FF3" w:rsidRDefault="00823955" w:rsidP="00DB49B7">
            <w:pPr>
              <w:pStyle w:val="TableText"/>
            </w:pPr>
            <w:r w:rsidRPr="00CC0FF3">
              <w:t>Limitations of the data</w:t>
            </w:r>
            <w:r w:rsidR="000A20E8">
              <w:t>-</w:t>
            </w:r>
            <w:r w:rsidRPr="00CC0FF3">
              <w:t xml:space="preserve">quality assessment process were highlighted in the public submissions for the draft </w:t>
            </w:r>
            <w:r w:rsidR="000A20E8">
              <w:t>perfluorooctane sulfonate</w:t>
            </w:r>
            <w:r w:rsidRPr="00CC0FF3">
              <w:t xml:space="preserve"> freshwater </w:t>
            </w:r>
            <w:r w:rsidR="000A20E8">
              <w:t>default guideline value</w:t>
            </w:r>
            <w:r w:rsidRPr="00CC0FF3">
              <w:t>s. Acceptable test quality (i.e. a score of 50%) could be achieved just through the provision of basic test information, before any aspects associated with test quality</w:t>
            </w:r>
            <w:r w:rsidR="003F542D">
              <w:t xml:space="preserve"> or </w:t>
            </w:r>
            <w:r w:rsidRPr="00CC0FF3">
              <w:t xml:space="preserve">performance were considered. This </w:t>
            </w:r>
            <w:r w:rsidR="003F542D">
              <w:t>was</w:t>
            </w:r>
            <w:r w:rsidRPr="00CC0FF3">
              <w:t xml:space="preserve"> addressed </w:t>
            </w:r>
            <w:r w:rsidR="00A524EB">
              <w:t>by giving</w:t>
            </w:r>
            <w:r w:rsidR="00A524EB" w:rsidRPr="00CC0FF3">
              <w:t xml:space="preserve"> </w:t>
            </w:r>
            <w:r w:rsidRPr="00CC0FF3">
              <w:t>less weighting to basic test information and more weighting to test performance. Additionally, some additional questions were added to better assess test performance. Revision to the toxicant types was to reflect the fact that a number of non-metallic inorganics can have similar toxicity modifying factors to metals (e.g. fluoride, boron, nitrate, ammonia)</w:t>
            </w:r>
          </w:p>
        </w:tc>
      </w:tr>
      <w:tr w:rsidR="00823955" w:rsidRPr="00FA309D" w14:paraId="300BB355" w14:textId="77777777" w:rsidTr="00AE4AC5">
        <w:trPr>
          <w:trHeight w:val="20"/>
        </w:trPr>
        <w:tc>
          <w:tcPr>
            <w:tcW w:w="1560" w:type="dxa"/>
            <w:tcBorders>
              <w:top w:val="single" w:sz="4" w:space="0" w:color="auto"/>
              <w:bottom w:val="single" w:sz="4" w:space="0" w:color="auto"/>
            </w:tcBorders>
          </w:tcPr>
          <w:p w14:paraId="2152531A" w14:textId="31E29523" w:rsidR="00823955" w:rsidRPr="00CC0FF3" w:rsidRDefault="00823955" w:rsidP="00DB49B7">
            <w:pPr>
              <w:pStyle w:val="TableText"/>
            </w:pPr>
            <w:r w:rsidRPr="00CC0FF3">
              <w:t xml:space="preserve">Section </w:t>
            </w:r>
            <w:r w:rsidR="00A54ECE" w:rsidRPr="00CC0FF3">
              <w:fldChar w:fldCharType="begin"/>
            </w:r>
            <w:r w:rsidR="00A54ECE" w:rsidRPr="00CC0FF3">
              <w:instrText xml:space="preserve"> REF _Ref522008082 \r \h </w:instrText>
            </w:r>
            <w:r w:rsidR="00CC0FF3">
              <w:instrText xml:space="preserve"> \* MERGEFORMAT </w:instrText>
            </w:r>
            <w:r w:rsidR="00A54ECE" w:rsidRPr="00CC0FF3">
              <w:fldChar w:fldCharType="separate"/>
            </w:r>
            <w:r w:rsidR="006C5761">
              <w:t>3.3.2</w:t>
            </w:r>
            <w:r w:rsidR="00A54ECE" w:rsidRPr="00CC0FF3">
              <w:fldChar w:fldCharType="end"/>
            </w:r>
            <w:r w:rsidRPr="00CC0FF3">
              <w:t xml:space="preserve"> </w:t>
            </w:r>
            <w:r w:rsidR="007A209F">
              <w:t>‘</w:t>
            </w:r>
            <w:r w:rsidRPr="00CC0FF3">
              <w:t>Field-based, microcosm and mesocosm data</w:t>
            </w:r>
            <w:r w:rsidR="007A209F">
              <w:t>’</w:t>
            </w:r>
          </w:p>
        </w:tc>
        <w:tc>
          <w:tcPr>
            <w:tcW w:w="4531" w:type="dxa"/>
            <w:tcBorders>
              <w:top w:val="single" w:sz="4" w:space="0" w:color="auto"/>
              <w:bottom w:val="single" w:sz="4" w:space="0" w:color="auto"/>
            </w:tcBorders>
          </w:tcPr>
          <w:p w14:paraId="6E4AC6A9" w14:textId="6CE66604" w:rsidR="00823955" w:rsidRPr="00CC0FF3" w:rsidRDefault="00823955" w:rsidP="00DB49B7">
            <w:pPr>
              <w:pStyle w:val="TableText"/>
            </w:pPr>
            <w:r w:rsidRPr="00CC0FF3">
              <w:t>Section updated to include more guidance for using microcosm or mesocosm data in conjunction with single</w:t>
            </w:r>
            <w:r w:rsidR="008146D7">
              <w:t>-</w:t>
            </w:r>
            <w:r w:rsidRPr="00CC0FF3">
              <w:t>species toxicity</w:t>
            </w:r>
            <w:r w:rsidR="008146D7">
              <w:t>-</w:t>
            </w:r>
            <w:r w:rsidRPr="00CC0FF3">
              <w:t xml:space="preserve">test data, in </w:t>
            </w:r>
            <w:r w:rsidR="008146D7">
              <w:t>species sensitivity distributions</w:t>
            </w:r>
          </w:p>
        </w:tc>
        <w:tc>
          <w:tcPr>
            <w:tcW w:w="7796" w:type="dxa"/>
            <w:tcBorders>
              <w:top w:val="single" w:sz="4" w:space="0" w:color="auto"/>
              <w:bottom w:val="single" w:sz="4" w:space="0" w:color="auto"/>
            </w:tcBorders>
          </w:tcPr>
          <w:p w14:paraId="36C7AC5C" w14:textId="5DE486D6" w:rsidR="00823955" w:rsidRPr="001D59C2" w:rsidRDefault="00823955" w:rsidP="00DB49B7">
            <w:pPr>
              <w:pStyle w:val="TableText"/>
              <w:rPr>
                <w:i/>
                <w:iCs/>
              </w:rPr>
            </w:pPr>
            <w:r w:rsidRPr="001D59C2">
              <w:rPr>
                <w:i/>
                <w:iCs/>
              </w:rPr>
              <w:t xml:space="preserve">To </w:t>
            </w:r>
            <w:r w:rsidR="003A3590">
              <w:rPr>
                <w:i/>
                <w:iCs/>
              </w:rPr>
              <w:t>clarify and improve</w:t>
            </w:r>
            <w:r w:rsidRPr="001D59C2">
              <w:rPr>
                <w:i/>
                <w:iCs/>
              </w:rPr>
              <w:t xml:space="preserve"> specific aspects of the derivation method</w:t>
            </w:r>
          </w:p>
          <w:p w14:paraId="45B446C4" w14:textId="6D6C9628" w:rsidR="00823955" w:rsidRPr="00CC0FF3" w:rsidRDefault="00823955" w:rsidP="00DB49B7">
            <w:pPr>
              <w:pStyle w:val="TableText"/>
            </w:pPr>
            <w:r w:rsidRPr="00CC0FF3">
              <w:t>The guidance in Warne et al. (2018) lacked detail regarding what type of microcosm and mesocosm data are suitable for combining in a</w:t>
            </w:r>
            <w:r w:rsidR="008146D7">
              <w:t xml:space="preserve"> species sensitivity distribution</w:t>
            </w:r>
            <w:r w:rsidRPr="00CC0FF3">
              <w:t xml:space="preserve"> with single</w:t>
            </w:r>
            <w:r w:rsidR="008146D7">
              <w:t>-</w:t>
            </w:r>
            <w:r w:rsidRPr="00CC0FF3">
              <w:t>species toxicity</w:t>
            </w:r>
            <w:r w:rsidR="008146D7">
              <w:t>-</w:t>
            </w:r>
            <w:r w:rsidRPr="00CC0FF3">
              <w:t>test data. This guidance has now been added.</w:t>
            </w:r>
            <w:r w:rsidR="0028419C" w:rsidRPr="00CC0FF3">
              <w:t xml:space="preserve"> Other minor improvements were also made to the guidance</w:t>
            </w:r>
          </w:p>
        </w:tc>
      </w:tr>
      <w:tr w:rsidR="00823955" w:rsidRPr="00FA309D" w14:paraId="37F71432" w14:textId="77777777" w:rsidTr="00AE4AC5">
        <w:trPr>
          <w:trHeight w:val="20"/>
        </w:trPr>
        <w:tc>
          <w:tcPr>
            <w:tcW w:w="1560" w:type="dxa"/>
            <w:tcBorders>
              <w:top w:val="single" w:sz="4" w:space="0" w:color="auto"/>
              <w:bottom w:val="single" w:sz="4" w:space="0" w:color="auto"/>
            </w:tcBorders>
          </w:tcPr>
          <w:p w14:paraId="4BEB8D75" w14:textId="3B7AED4C" w:rsidR="00823955" w:rsidRPr="00CC0FF3" w:rsidRDefault="00A54ECE" w:rsidP="00DB49B7">
            <w:pPr>
              <w:pStyle w:val="TableText"/>
            </w:pPr>
            <w:r w:rsidRPr="00CC0FF3">
              <w:lastRenderedPageBreak/>
              <w:t xml:space="preserve">Section </w:t>
            </w:r>
            <w:r w:rsidRPr="00CC0FF3">
              <w:fldChar w:fldCharType="begin"/>
            </w:r>
            <w:r w:rsidRPr="00CC0FF3">
              <w:instrText xml:space="preserve"> REF _Ref522007986 \r \h </w:instrText>
            </w:r>
            <w:r w:rsidR="00CC0FF3">
              <w:instrText xml:space="preserve"> \* MERGEFORMAT </w:instrText>
            </w:r>
            <w:r w:rsidRPr="00CC0FF3">
              <w:fldChar w:fldCharType="separate"/>
            </w:r>
            <w:r w:rsidR="006C5761">
              <w:t>3.4</w:t>
            </w:r>
            <w:r w:rsidRPr="00CC0FF3">
              <w:fldChar w:fldCharType="end"/>
            </w:r>
            <w:r w:rsidR="00823955" w:rsidRPr="00CC0FF3">
              <w:t xml:space="preserve"> </w:t>
            </w:r>
            <w:r w:rsidR="00095EBB">
              <w:t>‘</w:t>
            </w:r>
            <w:r w:rsidR="00823955" w:rsidRPr="00CC0FF3">
              <w:t>Selection of data to derive guideline values</w:t>
            </w:r>
            <w:r w:rsidR="00095EBB">
              <w:t>’</w:t>
            </w:r>
          </w:p>
        </w:tc>
        <w:tc>
          <w:tcPr>
            <w:tcW w:w="4531" w:type="dxa"/>
            <w:tcBorders>
              <w:top w:val="single" w:sz="4" w:space="0" w:color="auto"/>
              <w:bottom w:val="single" w:sz="4" w:space="0" w:color="auto"/>
            </w:tcBorders>
          </w:tcPr>
          <w:p w14:paraId="269EA995" w14:textId="596D5962" w:rsidR="00823955" w:rsidRPr="00CC0FF3" w:rsidRDefault="00823955" w:rsidP="00DB49B7">
            <w:pPr>
              <w:pStyle w:val="TableText"/>
            </w:pPr>
            <w:r w:rsidRPr="00CC0FF3">
              <w:t>Added</w:t>
            </w:r>
            <w:r w:rsidR="008146D7">
              <w:t xml:space="preserve"> and </w:t>
            </w:r>
            <w:r w:rsidRPr="00CC0FF3">
              <w:t>revised sub-section headings to improve readability</w:t>
            </w:r>
          </w:p>
        </w:tc>
        <w:tc>
          <w:tcPr>
            <w:tcW w:w="7796" w:type="dxa"/>
            <w:tcBorders>
              <w:top w:val="single" w:sz="4" w:space="0" w:color="auto"/>
              <w:bottom w:val="single" w:sz="4" w:space="0" w:color="auto"/>
            </w:tcBorders>
          </w:tcPr>
          <w:p w14:paraId="2FDC7812" w14:textId="530AF07F" w:rsidR="00823955" w:rsidRPr="001D59C2" w:rsidRDefault="00823955" w:rsidP="00DB49B7">
            <w:pPr>
              <w:pStyle w:val="TableText"/>
              <w:rPr>
                <w:i/>
                <w:iCs/>
              </w:rPr>
            </w:pPr>
            <w:r w:rsidRPr="001D59C2">
              <w:rPr>
                <w:i/>
                <w:iCs/>
              </w:rPr>
              <w:t xml:space="preserve">For improved </w:t>
            </w:r>
            <w:r w:rsidR="003A3590">
              <w:rPr>
                <w:i/>
                <w:iCs/>
              </w:rPr>
              <w:t>clarity and layout</w:t>
            </w:r>
          </w:p>
        </w:tc>
      </w:tr>
      <w:tr w:rsidR="00A51537" w:rsidRPr="00FA309D" w14:paraId="22725D71" w14:textId="77777777" w:rsidTr="00AE4AC5">
        <w:trPr>
          <w:trHeight w:val="20"/>
        </w:trPr>
        <w:tc>
          <w:tcPr>
            <w:tcW w:w="1560" w:type="dxa"/>
            <w:tcBorders>
              <w:top w:val="single" w:sz="4" w:space="0" w:color="auto"/>
              <w:bottom w:val="single" w:sz="4" w:space="0" w:color="auto"/>
            </w:tcBorders>
          </w:tcPr>
          <w:p w14:paraId="419F577F" w14:textId="76FACBEB" w:rsidR="00A51537" w:rsidRPr="00FA309D" w:rsidRDefault="00A54ECE" w:rsidP="00DB49B7">
            <w:pPr>
              <w:pStyle w:val="TableText"/>
            </w:pPr>
            <w:r w:rsidRPr="00FA309D">
              <w:t xml:space="preserve">Section </w:t>
            </w:r>
            <w:r w:rsidRPr="00FA309D">
              <w:fldChar w:fldCharType="begin"/>
            </w:r>
            <w:r w:rsidRPr="00FA309D">
              <w:instrText xml:space="preserve"> REF _Ref522007986 \r \h </w:instrText>
            </w:r>
            <w:r w:rsidR="00CC0FF3">
              <w:instrText xml:space="preserve"> \* MERGEFORMAT </w:instrText>
            </w:r>
            <w:r w:rsidRPr="00FA309D">
              <w:fldChar w:fldCharType="separate"/>
            </w:r>
            <w:r w:rsidR="006C5761">
              <w:t>3.4</w:t>
            </w:r>
            <w:r w:rsidRPr="00FA309D">
              <w:fldChar w:fldCharType="end"/>
            </w:r>
            <w:r w:rsidR="00A51537" w:rsidRPr="00FA309D">
              <w:t xml:space="preserve"> </w:t>
            </w:r>
            <w:r w:rsidR="00095EBB">
              <w:t>‘</w:t>
            </w:r>
            <w:r w:rsidR="00A51537" w:rsidRPr="00FA309D">
              <w:t>Selection of data to derive guideline values</w:t>
            </w:r>
            <w:r w:rsidR="00095EBB">
              <w:t>’</w:t>
            </w:r>
            <w:r w:rsidR="00A51537" w:rsidRPr="00FA309D">
              <w:t xml:space="preserve"> (</w:t>
            </w:r>
            <w:r w:rsidR="00D9715E" w:rsidRPr="00FA309D">
              <w:t>n</w:t>
            </w:r>
            <w:r w:rsidR="00A51537" w:rsidRPr="00FA309D">
              <w:t xml:space="preserve">ew </w:t>
            </w:r>
            <w:r w:rsidR="00326329" w:rsidRPr="00FA309D">
              <w:t>S</w:t>
            </w:r>
            <w:r w:rsidR="00A51537" w:rsidRPr="00FA309D">
              <w:t xml:space="preserve">ection </w:t>
            </w:r>
            <w:r w:rsidR="00D9715E" w:rsidRPr="00FA309D">
              <w:fldChar w:fldCharType="begin"/>
            </w:r>
            <w:r w:rsidR="00D9715E" w:rsidRPr="00FA309D">
              <w:instrText xml:space="preserve"> REF _Ref202089773 \r \h </w:instrText>
            </w:r>
            <w:r w:rsidR="00CC0FF3">
              <w:instrText xml:space="preserve"> \* MERGEFORMAT </w:instrText>
            </w:r>
            <w:r w:rsidR="00D9715E" w:rsidRPr="00FA309D">
              <w:fldChar w:fldCharType="separate"/>
            </w:r>
            <w:r w:rsidR="006C5761">
              <w:t>3.4.1</w:t>
            </w:r>
            <w:r w:rsidR="00D9715E" w:rsidRPr="00FA309D">
              <w:fldChar w:fldCharType="end"/>
            </w:r>
            <w:r w:rsidR="00A51537" w:rsidRPr="00FA309D">
              <w:t>)</w:t>
            </w:r>
          </w:p>
        </w:tc>
        <w:tc>
          <w:tcPr>
            <w:tcW w:w="4531" w:type="dxa"/>
            <w:tcBorders>
              <w:top w:val="single" w:sz="4" w:space="0" w:color="auto"/>
              <w:bottom w:val="single" w:sz="4" w:space="0" w:color="auto"/>
            </w:tcBorders>
          </w:tcPr>
          <w:p w14:paraId="67CA30E5" w14:textId="28859A96" w:rsidR="00A51537" w:rsidRPr="00FA309D" w:rsidRDefault="00A51537" w:rsidP="00DB49B7">
            <w:pPr>
              <w:pStyle w:val="TableText"/>
            </w:pPr>
            <w:r w:rsidRPr="00FA309D">
              <w:t xml:space="preserve">New </w:t>
            </w:r>
            <w:r w:rsidR="00095EBB" w:rsidRPr="00FA309D">
              <w:t xml:space="preserve">Section </w:t>
            </w:r>
            <w:r w:rsidR="00095EBB" w:rsidRPr="00FA309D">
              <w:fldChar w:fldCharType="begin"/>
            </w:r>
            <w:r w:rsidR="00095EBB" w:rsidRPr="00FA309D">
              <w:instrText xml:space="preserve"> REF _Ref202089773 \r \h </w:instrText>
            </w:r>
            <w:r w:rsidR="00095EBB">
              <w:instrText xml:space="preserve"> \* MERGEFORMAT </w:instrText>
            </w:r>
            <w:r w:rsidR="00095EBB" w:rsidRPr="00FA309D">
              <w:fldChar w:fldCharType="separate"/>
            </w:r>
            <w:r w:rsidR="006C5761">
              <w:t>3.4.1</w:t>
            </w:r>
            <w:r w:rsidR="00095EBB" w:rsidRPr="00FA309D">
              <w:fldChar w:fldCharType="end"/>
            </w:r>
            <w:r w:rsidR="00095EBB">
              <w:t xml:space="preserve"> </w:t>
            </w:r>
            <w:r w:rsidRPr="00FA309D">
              <w:t xml:space="preserve">titled </w:t>
            </w:r>
            <w:r w:rsidR="00DC69AA">
              <w:t>‘</w:t>
            </w:r>
            <w:r w:rsidRPr="00FA309D">
              <w:t>General</w:t>
            </w:r>
            <w:r w:rsidR="00DC69AA">
              <w:t>’</w:t>
            </w:r>
          </w:p>
          <w:p w14:paraId="18EC75EF" w14:textId="0CB776CF" w:rsidR="00A51537" w:rsidRPr="00FA309D" w:rsidRDefault="00A51537" w:rsidP="00DB49B7">
            <w:pPr>
              <w:pStyle w:val="TableText"/>
            </w:pPr>
            <w:r w:rsidRPr="00FA309D">
              <w:t xml:space="preserve">Text related to field and </w:t>
            </w:r>
            <w:r w:rsidR="00DC69AA">
              <w:t>‘</w:t>
            </w:r>
            <w:r w:rsidRPr="00FA309D">
              <w:t>cosm</w:t>
            </w:r>
            <w:r w:rsidR="00DC69AA">
              <w:t>’</w:t>
            </w:r>
            <w:r w:rsidRPr="00FA309D">
              <w:t xml:space="preserve"> studies was deleted because it duplicated text in Section </w:t>
            </w:r>
            <w:r w:rsidR="004A3DCA" w:rsidRPr="00FA309D">
              <w:fldChar w:fldCharType="begin"/>
            </w:r>
            <w:r w:rsidR="004A3DCA" w:rsidRPr="00FA309D">
              <w:instrText xml:space="preserve"> REF _Ref522008082 \r \h </w:instrText>
            </w:r>
            <w:r w:rsidR="00CC0FF3">
              <w:instrText xml:space="preserve"> \* MERGEFORMAT </w:instrText>
            </w:r>
            <w:r w:rsidR="004A3DCA" w:rsidRPr="00FA309D">
              <w:fldChar w:fldCharType="separate"/>
            </w:r>
            <w:r w:rsidR="006C5761">
              <w:t>3.3.2</w:t>
            </w:r>
            <w:r w:rsidR="004A3DCA" w:rsidRPr="00FA309D">
              <w:fldChar w:fldCharType="end"/>
            </w:r>
          </w:p>
        </w:tc>
        <w:tc>
          <w:tcPr>
            <w:tcW w:w="7796" w:type="dxa"/>
            <w:tcBorders>
              <w:top w:val="single" w:sz="4" w:space="0" w:color="auto"/>
              <w:bottom w:val="single" w:sz="4" w:space="0" w:color="auto"/>
            </w:tcBorders>
          </w:tcPr>
          <w:p w14:paraId="427520A6" w14:textId="4AA6A3FD" w:rsidR="00A51537" w:rsidRPr="00FA309D" w:rsidRDefault="00A51537" w:rsidP="00DB49B7">
            <w:pPr>
              <w:pStyle w:val="TableText"/>
            </w:pPr>
            <w:r w:rsidRPr="001D59C2">
              <w:rPr>
                <w:i/>
                <w:iCs/>
              </w:rPr>
              <w:t xml:space="preserve">To </w:t>
            </w:r>
            <w:r w:rsidR="003A3590">
              <w:rPr>
                <w:i/>
                <w:iCs/>
              </w:rPr>
              <w:t>clarify and improve</w:t>
            </w:r>
            <w:r w:rsidRPr="001D59C2">
              <w:rPr>
                <w:i/>
                <w:iCs/>
              </w:rPr>
              <w:t xml:space="preserve"> specific aspects of the derivation method</w:t>
            </w:r>
          </w:p>
        </w:tc>
      </w:tr>
      <w:tr w:rsidR="00823955" w:rsidRPr="00FA309D" w14:paraId="70856B03" w14:textId="77777777" w:rsidTr="00AE4AC5">
        <w:trPr>
          <w:trHeight w:val="20"/>
        </w:trPr>
        <w:tc>
          <w:tcPr>
            <w:tcW w:w="1560" w:type="dxa"/>
            <w:tcBorders>
              <w:top w:val="single" w:sz="4" w:space="0" w:color="auto"/>
              <w:bottom w:val="single" w:sz="4" w:space="0" w:color="auto"/>
            </w:tcBorders>
          </w:tcPr>
          <w:p w14:paraId="1CCE8AD9" w14:textId="70DD4FA2" w:rsidR="00823955" w:rsidRPr="00FA309D" w:rsidRDefault="00A54ECE" w:rsidP="00DB49B7">
            <w:pPr>
              <w:pStyle w:val="TableText"/>
            </w:pPr>
            <w:r w:rsidRPr="00FA309D">
              <w:t xml:space="preserve">Section </w:t>
            </w:r>
            <w:r w:rsidRPr="00FA309D">
              <w:fldChar w:fldCharType="begin"/>
            </w:r>
            <w:r w:rsidRPr="00FA309D">
              <w:instrText xml:space="preserve"> REF _Ref522007986 \r \h </w:instrText>
            </w:r>
            <w:r w:rsidR="00CC0FF3">
              <w:instrText xml:space="preserve"> \* MERGEFORMAT </w:instrText>
            </w:r>
            <w:r w:rsidRPr="00FA309D">
              <w:fldChar w:fldCharType="separate"/>
            </w:r>
            <w:r w:rsidR="006C5761">
              <w:t>3.4</w:t>
            </w:r>
            <w:r w:rsidRPr="00FA309D">
              <w:fldChar w:fldCharType="end"/>
            </w:r>
            <w:r w:rsidR="00823955" w:rsidRPr="00FA309D">
              <w:t xml:space="preserve"> </w:t>
            </w:r>
            <w:r w:rsidR="00095EBB">
              <w:t>‘</w:t>
            </w:r>
            <w:r w:rsidR="00823955" w:rsidRPr="00FA309D">
              <w:t>Selection of data to derive guideline values</w:t>
            </w:r>
            <w:r w:rsidR="00095EBB">
              <w:t>’</w:t>
            </w:r>
            <w:r w:rsidR="00823955" w:rsidRPr="00FA309D">
              <w:t xml:space="preserve"> (</w:t>
            </w:r>
            <w:r w:rsidR="00F54358" w:rsidRPr="00FA309D">
              <w:t>n</w:t>
            </w:r>
            <w:r w:rsidR="00823955" w:rsidRPr="00FA309D">
              <w:t xml:space="preserve">ew </w:t>
            </w:r>
            <w:r w:rsidR="00326329" w:rsidRPr="00FA309D">
              <w:t>S</w:t>
            </w:r>
            <w:r w:rsidR="00823955" w:rsidRPr="00FA309D">
              <w:t xml:space="preserve">ection </w:t>
            </w:r>
            <w:r w:rsidR="0049300C" w:rsidRPr="00FA309D">
              <w:fldChar w:fldCharType="begin"/>
            </w:r>
            <w:r w:rsidR="0049300C" w:rsidRPr="00FA309D">
              <w:instrText xml:space="preserve"> REF _Ref202090194 \r \h </w:instrText>
            </w:r>
            <w:r w:rsidR="00CC0FF3">
              <w:instrText xml:space="preserve"> \* MERGEFORMAT </w:instrText>
            </w:r>
            <w:r w:rsidR="0049300C" w:rsidRPr="00FA309D">
              <w:fldChar w:fldCharType="separate"/>
            </w:r>
            <w:r w:rsidR="006C5761">
              <w:t>3.4.2.3</w:t>
            </w:r>
            <w:r w:rsidR="0049300C" w:rsidRPr="00FA309D">
              <w:fldChar w:fldCharType="end"/>
            </w:r>
            <w:r w:rsidR="00823955" w:rsidRPr="00FA309D">
              <w:t>)</w:t>
            </w:r>
          </w:p>
        </w:tc>
        <w:tc>
          <w:tcPr>
            <w:tcW w:w="4531" w:type="dxa"/>
            <w:tcBorders>
              <w:top w:val="single" w:sz="4" w:space="0" w:color="auto"/>
              <w:bottom w:val="single" w:sz="4" w:space="0" w:color="auto"/>
            </w:tcBorders>
          </w:tcPr>
          <w:p w14:paraId="3AB161A7" w14:textId="582858D5" w:rsidR="00823955" w:rsidRPr="00FA309D" w:rsidRDefault="00823955" w:rsidP="00DB49B7">
            <w:pPr>
              <w:pStyle w:val="TableText"/>
            </w:pPr>
            <w:r w:rsidRPr="00FA309D">
              <w:t xml:space="preserve">Created new section for addressing how to convert toxicity data for the derivation of short-term </w:t>
            </w:r>
            <w:r w:rsidR="008146D7">
              <w:t>guideline values</w:t>
            </w:r>
          </w:p>
        </w:tc>
        <w:tc>
          <w:tcPr>
            <w:tcW w:w="7796" w:type="dxa"/>
            <w:tcBorders>
              <w:top w:val="single" w:sz="4" w:space="0" w:color="auto"/>
              <w:bottom w:val="single" w:sz="4" w:space="0" w:color="auto"/>
            </w:tcBorders>
          </w:tcPr>
          <w:p w14:paraId="41FC0DB3" w14:textId="1EE4C28A" w:rsidR="00823955" w:rsidRPr="001D59C2" w:rsidRDefault="00823955" w:rsidP="00DB49B7">
            <w:pPr>
              <w:pStyle w:val="TableText"/>
              <w:rPr>
                <w:i/>
                <w:iCs/>
              </w:rPr>
            </w:pPr>
            <w:r w:rsidRPr="001D59C2">
              <w:rPr>
                <w:i/>
                <w:iCs/>
              </w:rPr>
              <w:t xml:space="preserve">To </w:t>
            </w:r>
            <w:r w:rsidR="003A3590">
              <w:rPr>
                <w:i/>
                <w:iCs/>
              </w:rPr>
              <w:t>clarify and improve</w:t>
            </w:r>
            <w:r w:rsidRPr="001D59C2">
              <w:rPr>
                <w:i/>
                <w:iCs/>
              </w:rPr>
              <w:t xml:space="preserve"> specific aspects of the derivation method</w:t>
            </w:r>
          </w:p>
          <w:p w14:paraId="7DA6512F" w14:textId="4907F5D5" w:rsidR="00823955" w:rsidRPr="00FA309D" w:rsidRDefault="00823955" w:rsidP="00DB49B7">
            <w:pPr>
              <w:pStyle w:val="TableText"/>
              <w:rPr>
                <w:i/>
                <w:iCs/>
              </w:rPr>
            </w:pPr>
            <w:r w:rsidRPr="00FA309D">
              <w:t>The guidance in Warne et al. (2018) was ambiguous and needed more clarity. It also did not recognise some additional issues that may need to be considered, which have now been added</w:t>
            </w:r>
          </w:p>
        </w:tc>
      </w:tr>
      <w:tr w:rsidR="00823955" w:rsidRPr="00FA309D" w14:paraId="25F7A394" w14:textId="77777777" w:rsidTr="00AE4AC5">
        <w:trPr>
          <w:trHeight w:val="20"/>
        </w:trPr>
        <w:tc>
          <w:tcPr>
            <w:tcW w:w="1560" w:type="dxa"/>
            <w:tcBorders>
              <w:top w:val="single" w:sz="4" w:space="0" w:color="auto"/>
              <w:bottom w:val="single" w:sz="4" w:space="0" w:color="auto"/>
            </w:tcBorders>
          </w:tcPr>
          <w:p w14:paraId="4967445B" w14:textId="6E76C814" w:rsidR="00823955" w:rsidRPr="00FA309D" w:rsidRDefault="00D81399" w:rsidP="00DB49B7">
            <w:pPr>
              <w:pStyle w:val="TableText"/>
            </w:pPr>
            <w:r w:rsidRPr="00FA309D">
              <w:t xml:space="preserve">Section </w:t>
            </w:r>
            <w:r w:rsidR="00F201B9" w:rsidRPr="00FA309D">
              <w:fldChar w:fldCharType="begin"/>
            </w:r>
            <w:r w:rsidR="00F201B9" w:rsidRPr="00FA309D">
              <w:instrText xml:space="preserve"> REF _Ref166141028 \r \h </w:instrText>
            </w:r>
            <w:r w:rsidR="00CC0FF3">
              <w:instrText xml:space="preserve"> \* MERGEFORMAT </w:instrText>
            </w:r>
            <w:r w:rsidR="00F201B9" w:rsidRPr="00FA309D">
              <w:fldChar w:fldCharType="separate"/>
            </w:r>
            <w:r w:rsidR="006C5761">
              <w:t>0</w:t>
            </w:r>
            <w:r w:rsidR="00F201B9" w:rsidRPr="00FA309D">
              <w:fldChar w:fldCharType="end"/>
            </w:r>
            <w:r w:rsidR="00823955" w:rsidRPr="00FA309D">
              <w:t xml:space="preserve"> </w:t>
            </w:r>
            <w:r w:rsidR="00BB4FA4">
              <w:t>‘The use of bioavailability models for metal default guideline values’</w:t>
            </w:r>
          </w:p>
        </w:tc>
        <w:tc>
          <w:tcPr>
            <w:tcW w:w="4531" w:type="dxa"/>
            <w:tcBorders>
              <w:top w:val="single" w:sz="4" w:space="0" w:color="auto"/>
              <w:bottom w:val="single" w:sz="4" w:space="0" w:color="auto"/>
            </w:tcBorders>
          </w:tcPr>
          <w:p w14:paraId="145AE3CB" w14:textId="5A80D034" w:rsidR="00B679A4" w:rsidRPr="00FA309D" w:rsidRDefault="00823955" w:rsidP="00DB49B7">
            <w:pPr>
              <w:pStyle w:val="TableText"/>
            </w:pPr>
            <w:r w:rsidRPr="00FA309D">
              <w:t xml:space="preserve">Significant revisions to this section to better reflect current knowledge/practices and be more focused on guidance for deriving </w:t>
            </w:r>
            <w:r w:rsidR="001D0190">
              <w:t>guideline value</w:t>
            </w:r>
            <w:r w:rsidRPr="00FA309D">
              <w:t xml:space="preserve">s rather than guidance for applying bioavailability adjustments to existing </w:t>
            </w:r>
            <w:r w:rsidR="001D0190">
              <w:t>default guideline value</w:t>
            </w:r>
            <w:r w:rsidRPr="00FA309D">
              <w:t>s.</w:t>
            </w:r>
          </w:p>
          <w:p w14:paraId="7D8478F7" w14:textId="1AC04DAF" w:rsidR="00823955" w:rsidRPr="00FA309D" w:rsidRDefault="00823955" w:rsidP="00DB49B7">
            <w:pPr>
              <w:pStyle w:val="TableText"/>
            </w:pPr>
            <w:r w:rsidRPr="00FA309D">
              <w:t xml:space="preserve">Revisions </w:t>
            </w:r>
            <w:r w:rsidR="001D0190">
              <w:t xml:space="preserve">and </w:t>
            </w:r>
            <w:r w:rsidRPr="00FA309D">
              <w:t>additions include:</w:t>
            </w:r>
          </w:p>
          <w:p w14:paraId="5E21933D" w14:textId="2DC8C04A" w:rsidR="00823955" w:rsidRPr="00FA309D" w:rsidRDefault="001D0190" w:rsidP="00540B0A">
            <w:pPr>
              <w:pStyle w:val="TableBullet"/>
            </w:pPr>
            <w:r>
              <w:t>u</w:t>
            </w:r>
            <w:r w:rsidR="00823955" w:rsidRPr="00FA309D">
              <w:t>pdated text on multiple linear regression models to reflect current status</w:t>
            </w:r>
          </w:p>
          <w:p w14:paraId="491A8093" w14:textId="0985AEC7" w:rsidR="00823955" w:rsidRPr="00FA309D" w:rsidRDefault="001D0190" w:rsidP="00540B0A">
            <w:pPr>
              <w:pStyle w:val="TableBullet"/>
            </w:pPr>
            <w:r>
              <w:t>a</w:t>
            </w:r>
            <w:r w:rsidR="00823955" w:rsidRPr="00FA309D">
              <w:t>cknowledgement of non-linear approaches to modelling bioavailability</w:t>
            </w:r>
          </w:p>
          <w:p w14:paraId="18C35315" w14:textId="769511F0" w:rsidR="00823955" w:rsidRPr="00FA309D" w:rsidRDefault="001D0190" w:rsidP="00540B0A">
            <w:pPr>
              <w:pStyle w:val="TableBullet"/>
            </w:pPr>
            <w:r>
              <w:t>p</w:t>
            </w:r>
            <w:r w:rsidR="00823955" w:rsidRPr="00FA309D">
              <w:t>rocess for validating a bioavailability model for Australia</w:t>
            </w:r>
            <w:r>
              <w:t xml:space="preserve"> and </w:t>
            </w:r>
            <w:r w:rsidR="00823955" w:rsidRPr="00FA309D">
              <w:t>New Zealand</w:t>
            </w:r>
          </w:p>
          <w:p w14:paraId="185711A4" w14:textId="38761781" w:rsidR="00823955" w:rsidRPr="00FA309D" w:rsidRDefault="001D0190" w:rsidP="00540B0A">
            <w:pPr>
              <w:pStyle w:val="TableBullet"/>
            </w:pPr>
            <w:r>
              <w:t>t</w:t>
            </w:r>
            <w:r w:rsidR="00823955" w:rsidRPr="00FA309D">
              <w:t xml:space="preserve">ransfer of information and table </w:t>
            </w:r>
            <w:r w:rsidR="00152318">
              <w:t>from</w:t>
            </w:r>
            <w:r w:rsidR="00152318" w:rsidRPr="00FA309D">
              <w:t xml:space="preserve"> </w:t>
            </w:r>
            <w:r w:rsidR="00823955" w:rsidRPr="00FA309D">
              <w:t xml:space="preserve">the </w:t>
            </w:r>
            <w:r w:rsidR="00152318">
              <w:t>super</w:t>
            </w:r>
            <w:r w:rsidR="00925792">
              <w:t>s</w:t>
            </w:r>
            <w:r w:rsidR="009954E2">
              <w:t xml:space="preserve">eded </w:t>
            </w:r>
            <w:r w:rsidR="00823955" w:rsidRPr="00FA309D">
              <w:t>2000</w:t>
            </w:r>
            <w:r w:rsidR="00152318">
              <w:t xml:space="preserve"> Guidelines</w:t>
            </w:r>
            <w:r w:rsidR="00823955" w:rsidRPr="00FA309D">
              <w:t xml:space="preserve"> hardness corrections to the ANZG</w:t>
            </w:r>
            <w:r w:rsidR="003E18E6">
              <w:t xml:space="preserve"> (2018)</w:t>
            </w:r>
            <w:r w:rsidR="00823955" w:rsidRPr="00FA309D">
              <w:t xml:space="preserve"> website</w:t>
            </w:r>
          </w:p>
        </w:tc>
        <w:tc>
          <w:tcPr>
            <w:tcW w:w="7796" w:type="dxa"/>
            <w:tcBorders>
              <w:top w:val="single" w:sz="4" w:space="0" w:color="auto"/>
              <w:bottom w:val="single" w:sz="4" w:space="0" w:color="auto"/>
            </w:tcBorders>
          </w:tcPr>
          <w:p w14:paraId="5F4C7F37" w14:textId="6B5769E2" w:rsidR="00823955" w:rsidRPr="001D59C2" w:rsidRDefault="00823955" w:rsidP="00DB49B7">
            <w:pPr>
              <w:pStyle w:val="TableText"/>
              <w:rPr>
                <w:i/>
                <w:iCs/>
              </w:rPr>
            </w:pPr>
            <w:r w:rsidRPr="001D59C2">
              <w:rPr>
                <w:i/>
                <w:iCs/>
              </w:rPr>
              <w:t xml:space="preserve">To reflect updated guidance on ANZG (2018) website and associated content (e.g. technical briefs); </w:t>
            </w:r>
            <w:r w:rsidR="003E18E6">
              <w:rPr>
                <w:i/>
                <w:iCs/>
              </w:rPr>
              <w:t>t</w:t>
            </w:r>
            <w:r w:rsidRPr="001D59C2">
              <w:rPr>
                <w:i/>
                <w:iCs/>
              </w:rPr>
              <w:t xml:space="preserve">o reflect current state of the science; </w:t>
            </w:r>
            <w:r w:rsidR="003E18E6">
              <w:rPr>
                <w:i/>
                <w:iCs/>
              </w:rPr>
              <w:t>t</w:t>
            </w:r>
            <w:r w:rsidRPr="001D59C2">
              <w:rPr>
                <w:i/>
                <w:iCs/>
              </w:rPr>
              <w:t xml:space="preserve">o </w:t>
            </w:r>
            <w:r w:rsidR="003A3590">
              <w:rPr>
                <w:i/>
                <w:iCs/>
              </w:rPr>
              <w:t>clarify and improve</w:t>
            </w:r>
            <w:r w:rsidRPr="001D59C2">
              <w:rPr>
                <w:i/>
                <w:iCs/>
              </w:rPr>
              <w:t xml:space="preserve"> specific aspects of the derivation method</w:t>
            </w:r>
          </w:p>
          <w:p w14:paraId="14B95B7E" w14:textId="3AAC2037" w:rsidR="00823955" w:rsidRPr="00FA309D" w:rsidRDefault="00823955" w:rsidP="008F4F9D">
            <w:pPr>
              <w:pStyle w:val="TableText"/>
            </w:pPr>
            <w:r w:rsidRPr="00FA309D">
              <w:t xml:space="preserve">This section needed to address what is required if one wants to incorporate bioavailability into the derivation of a </w:t>
            </w:r>
            <w:r w:rsidR="003E18E6">
              <w:t>guideline value</w:t>
            </w:r>
            <w:r w:rsidRPr="00FA309D">
              <w:t xml:space="preserve">. Guidance on how to adjust existing </w:t>
            </w:r>
            <w:r w:rsidR="003E18E6">
              <w:t>default guideline value</w:t>
            </w:r>
            <w:r w:rsidRPr="00FA309D">
              <w:t xml:space="preserve">s for bioavailability </w:t>
            </w:r>
            <w:r w:rsidR="007C5050">
              <w:t>was</w:t>
            </w:r>
            <w:r w:rsidRPr="00FA309D">
              <w:t xml:space="preserve"> moved to the relevant location on the ANZG</w:t>
            </w:r>
            <w:r w:rsidR="003E18E6">
              <w:t xml:space="preserve"> (2018)</w:t>
            </w:r>
            <w:r w:rsidRPr="00FA309D">
              <w:t xml:space="preserve"> website, where such guidance is more relevant</w:t>
            </w:r>
            <w:r w:rsidR="008F4F9D">
              <w:t xml:space="preserve"> (i.e. Water hardness section in </w:t>
            </w:r>
            <w:hyperlink r:id="rId52" w:history="1">
              <w:r w:rsidR="008F4F9D" w:rsidRPr="008F4F9D">
                <w:rPr>
                  <w:rStyle w:val="Hyperlink"/>
                </w:rPr>
                <w:t>Accounting for local conditions</w:t>
              </w:r>
            </w:hyperlink>
            <w:r w:rsidR="008F4F9D">
              <w:t xml:space="preserve"> page)</w:t>
            </w:r>
            <w:r w:rsidR="003338F3">
              <w:t>:</w:t>
            </w:r>
          </w:p>
        </w:tc>
      </w:tr>
      <w:tr w:rsidR="00823955" w:rsidRPr="00FA309D" w14:paraId="3825AA19" w14:textId="77777777" w:rsidTr="00AE4AC5">
        <w:trPr>
          <w:trHeight w:val="20"/>
        </w:trPr>
        <w:tc>
          <w:tcPr>
            <w:tcW w:w="1560" w:type="dxa"/>
            <w:tcBorders>
              <w:top w:val="single" w:sz="4" w:space="0" w:color="auto"/>
              <w:bottom w:val="single" w:sz="4" w:space="0" w:color="auto"/>
            </w:tcBorders>
          </w:tcPr>
          <w:p w14:paraId="284B1E16" w14:textId="7490F9E4" w:rsidR="00823955" w:rsidRPr="00CC0FF3" w:rsidRDefault="00D65FB5" w:rsidP="00DB49B7">
            <w:pPr>
              <w:pStyle w:val="TableText"/>
            </w:pPr>
            <w:r w:rsidRPr="00CC0FF3">
              <w:lastRenderedPageBreak/>
              <w:t xml:space="preserve">Section </w:t>
            </w:r>
            <w:r w:rsidRPr="00CC0FF3">
              <w:fldChar w:fldCharType="begin"/>
            </w:r>
            <w:r w:rsidRPr="00CC0FF3">
              <w:instrText xml:space="preserve"> REF _Ref202088868 \r \h </w:instrText>
            </w:r>
            <w:r w:rsidR="008431C6" w:rsidRPr="00CC0FF3">
              <w:instrText xml:space="preserve"> \* MERGEFORMAT </w:instrText>
            </w:r>
            <w:r w:rsidRPr="00CC0FF3">
              <w:fldChar w:fldCharType="separate"/>
            </w:r>
            <w:r w:rsidR="006C5761">
              <w:t>0</w:t>
            </w:r>
            <w:r w:rsidRPr="00CC0FF3">
              <w:fldChar w:fldCharType="end"/>
            </w:r>
            <w:r w:rsidR="00823955" w:rsidRPr="00CC0FF3">
              <w:t xml:space="preserve"> </w:t>
            </w:r>
            <w:r w:rsidR="009233BD">
              <w:t>‘</w:t>
            </w:r>
            <w:r w:rsidR="00823955" w:rsidRPr="00CC0FF3">
              <w:t>Obtaining a single toxicity value for each species</w:t>
            </w:r>
            <w:r w:rsidR="009233BD">
              <w:t>’</w:t>
            </w:r>
          </w:p>
        </w:tc>
        <w:tc>
          <w:tcPr>
            <w:tcW w:w="4531" w:type="dxa"/>
            <w:tcBorders>
              <w:top w:val="single" w:sz="4" w:space="0" w:color="auto"/>
              <w:bottom w:val="single" w:sz="4" w:space="0" w:color="auto"/>
            </w:tcBorders>
          </w:tcPr>
          <w:p w14:paraId="64CE0A1B" w14:textId="07ADC2B6" w:rsidR="00823955" w:rsidRPr="00CC0FF3" w:rsidRDefault="00823955" w:rsidP="00DB49B7">
            <w:pPr>
              <w:pStyle w:val="TableText"/>
            </w:pPr>
            <w:r w:rsidRPr="00CC0FF3">
              <w:t>Updated guidance on data requirements for calculating a geometric mean</w:t>
            </w:r>
            <w:r w:rsidR="00B43906" w:rsidRPr="00CC0FF3">
              <w:t>, including the addition of life stage to this process</w:t>
            </w:r>
          </w:p>
        </w:tc>
        <w:tc>
          <w:tcPr>
            <w:tcW w:w="7796" w:type="dxa"/>
            <w:tcBorders>
              <w:top w:val="single" w:sz="4" w:space="0" w:color="auto"/>
              <w:bottom w:val="single" w:sz="4" w:space="0" w:color="auto"/>
            </w:tcBorders>
          </w:tcPr>
          <w:p w14:paraId="4F669F06" w14:textId="30136402" w:rsidR="00823955" w:rsidRPr="001D59C2" w:rsidRDefault="00823955" w:rsidP="00DB49B7">
            <w:pPr>
              <w:pStyle w:val="TableText"/>
              <w:rPr>
                <w:i/>
                <w:iCs/>
              </w:rPr>
            </w:pPr>
            <w:r w:rsidRPr="001D59C2">
              <w:rPr>
                <w:i/>
                <w:iCs/>
              </w:rPr>
              <w:t xml:space="preserve">To </w:t>
            </w:r>
            <w:r w:rsidR="003A3590">
              <w:rPr>
                <w:i/>
                <w:iCs/>
              </w:rPr>
              <w:t>clarify and improve</w:t>
            </w:r>
            <w:r w:rsidRPr="001D59C2">
              <w:rPr>
                <w:i/>
                <w:iCs/>
              </w:rPr>
              <w:t xml:space="preserve"> specific aspects of the derivation method</w:t>
            </w:r>
          </w:p>
          <w:p w14:paraId="2EEF94A1" w14:textId="36709658" w:rsidR="00823955" w:rsidRPr="00CC0FF3" w:rsidRDefault="00823955" w:rsidP="00DB49B7">
            <w:pPr>
              <w:pStyle w:val="TableText"/>
            </w:pPr>
            <w:r w:rsidRPr="00CC0FF3">
              <w:t>The guidance in Warne et al (2018) was too vague and led to at least</w:t>
            </w:r>
            <w:r w:rsidR="00C64837" w:rsidRPr="00CC0FF3">
              <w:t xml:space="preserve"> 2</w:t>
            </w:r>
            <w:r w:rsidRPr="00CC0FF3">
              <w:t xml:space="preserve"> different interpretations of data requirements for calculating a geometric mean. The guidance </w:t>
            </w:r>
            <w:r w:rsidR="007C5050">
              <w:t>was</w:t>
            </w:r>
            <w:r w:rsidRPr="00CC0FF3">
              <w:t xml:space="preserve"> clarified, including an updated </w:t>
            </w:r>
            <w:r w:rsidR="009954E2">
              <w:fldChar w:fldCharType="begin"/>
            </w:r>
            <w:r w:rsidR="009954E2">
              <w:instrText xml:space="preserve"> REF _Ref205558538 \h </w:instrText>
            </w:r>
            <w:r w:rsidR="009954E2">
              <w:fldChar w:fldCharType="separate"/>
            </w:r>
            <w:r w:rsidR="006C5761" w:rsidRPr="57352DF8">
              <w:t>Table</w:t>
            </w:r>
            <w:r w:rsidR="006C5761">
              <w:t> </w:t>
            </w:r>
            <w:r w:rsidR="006C5761">
              <w:rPr>
                <w:noProof/>
              </w:rPr>
              <w:t>4</w:t>
            </w:r>
            <w:r w:rsidR="009954E2">
              <w:fldChar w:fldCharType="end"/>
            </w:r>
            <w:r w:rsidRPr="00CC0FF3">
              <w:t xml:space="preserve">. Geometric means of data can only be calculated where the data are for the same species, </w:t>
            </w:r>
            <w:r w:rsidR="00A2525B" w:rsidRPr="00CC0FF3">
              <w:t xml:space="preserve">life stage, </w:t>
            </w:r>
            <w:r w:rsidRPr="00CC0FF3">
              <w:t>endpoint, statistical estimate of toxicity and duration. Guidance has also been added regarding the approach to take when</w:t>
            </w:r>
            <w:r w:rsidR="00C64837" w:rsidRPr="00CC0FF3">
              <w:t xml:space="preserve"> 2</w:t>
            </w:r>
            <w:r w:rsidRPr="00CC0FF3">
              <w:t xml:space="preserve"> values that otherwise meet the criteria for a geometric mean are very different (e.g. &gt;</w:t>
            </w:r>
            <w:r w:rsidR="00561B4B">
              <w:t> </w:t>
            </w:r>
            <w:r w:rsidRPr="00CC0FF3">
              <w:t>1 order of magnitude)</w:t>
            </w:r>
          </w:p>
        </w:tc>
      </w:tr>
      <w:tr w:rsidR="00823955" w:rsidRPr="00FA309D" w14:paraId="65504808" w14:textId="77777777" w:rsidTr="00AE4AC5">
        <w:trPr>
          <w:trHeight w:val="20"/>
        </w:trPr>
        <w:tc>
          <w:tcPr>
            <w:tcW w:w="1560" w:type="dxa"/>
            <w:tcBorders>
              <w:top w:val="single" w:sz="4" w:space="0" w:color="auto"/>
              <w:bottom w:val="single" w:sz="4" w:space="0" w:color="auto"/>
            </w:tcBorders>
          </w:tcPr>
          <w:p w14:paraId="17FB511C" w14:textId="163AD779" w:rsidR="00823955" w:rsidRPr="00CC0FF3" w:rsidRDefault="00344BD9" w:rsidP="00DB49B7">
            <w:pPr>
              <w:pStyle w:val="TableText"/>
              <w:rPr>
                <w:highlight w:val="yellow"/>
              </w:rPr>
            </w:pPr>
            <w:r w:rsidRPr="00CC0FF3">
              <w:t xml:space="preserve">Section </w:t>
            </w:r>
            <w:r w:rsidR="00D65FB5" w:rsidRPr="00CC0FF3">
              <w:fldChar w:fldCharType="begin"/>
            </w:r>
            <w:r w:rsidR="00D65FB5" w:rsidRPr="00CC0FF3">
              <w:instrText xml:space="preserve"> REF _Ref202088868 \r \h </w:instrText>
            </w:r>
            <w:r w:rsidR="00CC0FF3">
              <w:instrText xml:space="preserve"> \* MERGEFORMAT </w:instrText>
            </w:r>
            <w:r w:rsidR="00D65FB5" w:rsidRPr="00CC0FF3">
              <w:fldChar w:fldCharType="separate"/>
            </w:r>
            <w:r w:rsidR="006C5761">
              <w:t>0</w:t>
            </w:r>
            <w:r w:rsidR="00D65FB5" w:rsidRPr="00CC0FF3">
              <w:fldChar w:fldCharType="end"/>
            </w:r>
            <w:r w:rsidR="00823955" w:rsidRPr="00CC0FF3">
              <w:t xml:space="preserve"> </w:t>
            </w:r>
            <w:r w:rsidR="009233BD">
              <w:t>‘</w:t>
            </w:r>
            <w:r w:rsidR="00823955" w:rsidRPr="00CC0FF3">
              <w:t>Obtaining a single toxicity value for each species</w:t>
            </w:r>
            <w:r w:rsidR="009233BD">
              <w:t>’</w:t>
            </w:r>
          </w:p>
        </w:tc>
        <w:tc>
          <w:tcPr>
            <w:tcW w:w="4531" w:type="dxa"/>
            <w:tcBorders>
              <w:top w:val="single" w:sz="4" w:space="0" w:color="auto"/>
              <w:bottom w:val="single" w:sz="4" w:space="0" w:color="auto"/>
            </w:tcBorders>
          </w:tcPr>
          <w:p w14:paraId="1F63525A" w14:textId="3CDC6991" w:rsidR="00823955" w:rsidRPr="00CC0FF3" w:rsidRDefault="00823955" w:rsidP="00DB49B7">
            <w:pPr>
              <w:pStyle w:val="TableText"/>
            </w:pPr>
            <w:r w:rsidRPr="00CC0FF3">
              <w:t>Inserted paragraph regarding use of NOEC (and similar) data from data</w:t>
            </w:r>
            <w:r w:rsidR="000C6C66">
              <w:t>-</w:t>
            </w:r>
            <w:r w:rsidRPr="00CC0FF3">
              <w:t>conversion section into this section</w:t>
            </w:r>
          </w:p>
        </w:tc>
        <w:tc>
          <w:tcPr>
            <w:tcW w:w="7796" w:type="dxa"/>
            <w:tcBorders>
              <w:top w:val="single" w:sz="4" w:space="0" w:color="auto"/>
              <w:bottom w:val="single" w:sz="4" w:space="0" w:color="auto"/>
            </w:tcBorders>
          </w:tcPr>
          <w:p w14:paraId="405AFC7E" w14:textId="6ECAA80E" w:rsidR="00823955" w:rsidRPr="001D59C2" w:rsidRDefault="00823955" w:rsidP="00DB49B7">
            <w:pPr>
              <w:pStyle w:val="TableText"/>
              <w:rPr>
                <w:i/>
                <w:iCs/>
              </w:rPr>
            </w:pPr>
            <w:r w:rsidRPr="001D59C2">
              <w:rPr>
                <w:i/>
                <w:iCs/>
              </w:rPr>
              <w:t xml:space="preserve">For improved </w:t>
            </w:r>
            <w:r w:rsidR="003A3590">
              <w:rPr>
                <w:i/>
                <w:iCs/>
              </w:rPr>
              <w:t>clarity and layout</w:t>
            </w:r>
          </w:p>
          <w:p w14:paraId="7D9557A5" w14:textId="567248C8" w:rsidR="00823955" w:rsidRPr="00CC0FF3" w:rsidRDefault="00823955" w:rsidP="00DB49B7">
            <w:pPr>
              <w:pStyle w:val="TableText"/>
              <w:rPr>
                <w:highlight w:val="yellow"/>
              </w:rPr>
            </w:pPr>
            <w:r w:rsidRPr="00CC0FF3">
              <w:t xml:space="preserve">The paragraph was about the use of NOEC data rather than conversion of NOEC data and, thus, was more appropriately located in Section </w:t>
            </w:r>
            <w:r w:rsidR="004328DD" w:rsidRPr="00CC0FF3">
              <w:fldChar w:fldCharType="begin"/>
            </w:r>
            <w:r w:rsidR="004328DD" w:rsidRPr="00CC0FF3">
              <w:instrText xml:space="preserve"> REF _Ref202088868 \r \h </w:instrText>
            </w:r>
            <w:r w:rsidR="00CC0FF3">
              <w:instrText xml:space="preserve"> \* MERGEFORMAT </w:instrText>
            </w:r>
            <w:r w:rsidR="004328DD" w:rsidRPr="00CC0FF3">
              <w:fldChar w:fldCharType="separate"/>
            </w:r>
            <w:r w:rsidR="006C5761">
              <w:t>0</w:t>
            </w:r>
            <w:r w:rsidR="004328DD" w:rsidRPr="00CC0FF3">
              <w:fldChar w:fldCharType="end"/>
            </w:r>
          </w:p>
        </w:tc>
      </w:tr>
      <w:tr w:rsidR="00823955" w:rsidRPr="00FA309D" w14:paraId="7F7C3AFD" w14:textId="77777777" w:rsidTr="00AE4AC5">
        <w:trPr>
          <w:trHeight w:val="20"/>
        </w:trPr>
        <w:tc>
          <w:tcPr>
            <w:tcW w:w="1560" w:type="dxa"/>
            <w:tcBorders>
              <w:top w:val="single" w:sz="4" w:space="0" w:color="auto"/>
              <w:bottom w:val="single" w:sz="4" w:space="0" w:color="auto"/>
            </w:tcBorders>
          </w:tcPr>
          <w:p w14:paraId="22CC1B58" w14:textId="4B860E44" w:rsidR="00823955" w:rsidRPr="00CC0FF3" w:rsidRDefault="00365FE6" w:rsidP="00DB49B7">
            <w:pPr>
              <w:pStyle w:val="TableText"/>
            </w:pPr>
            <w:r w:rsidRPr="00CC0FF3">
              <w:t xml:space="preserve">Section </w:t>
            </w:r>
            <w:r w:rsidRPr="00CC0FF3">
              <w:fldChar w:fldCharType="begin"/>
            </w:r>
            <w:r w:rsidRPr="00CC0FF3">
              <w:instrText xml:space="preserve"> REF _Ref202090595 \r \h </w:instrText>
            </w:r>
            <w:r w:rsidR="00CC0FF3">
              <w:instrText xml:space="preserve"> \* MERGEFORMAT </w:instrText>
            </w:r>
            <w:r w:rsidRPr="00CC0FF3">
              <w:fldChar w:fldCharType="separate"/>
            </w:r>
            <w:r w:rsidR="006C5761">
              <w:t>3.4.5</w:t>
            </w:r>
            <w:r w:rsidRPr="00CC0FF3">
              <w:fldChar w:fldCharType="end"/>
            </w:r>
            <w:r w:rsidR="00823955" w:rsidRPr="00CC0FF3">
              <w:t xml:space="preserve"> </w:t>
            </w:r>
            <w:r w:rsidR="00415DEF">
              <w:t>‘</w:t>
            </w:r>
            <w:r w:rsidR="00823955" w:rsidRPr="00CC0FF3">
              <w:t xml:space="preserve">Do the data meet the minimum data requirements of the </w:t>
            </w:r>
            <w:r w:rsidR="00415DEF">
              <w:t>species sensitivity</w:t>
            </w:r>
            <w:r w:rsidR="00823955" w:rsidRPr="00CC0FF3">
              <w:t xml:space="preserve"> </w:t>
            </w:r>
            <w:r w:rsidR="00415DEF">
              <w:t xml:space="preserve">distribution </w:t>
            </w:r>
            <w:r w:rsidR="00823955" w:rsidRPr="00CC0FF3">
              <w:t>method?</w:t>
            </w:r>
            <w:r w:rsidR="00415DEF">
              <w:t>’</w:t>
            </w:r>
          </w:p>
        </w:tc>
        <w:tc>
          <w:tcPr>
            <w:tcW w:w="4531" w:type="dxa"/>
            <w:tcBorders>
              <w:top w:val="single" w:sz="4" w:space="0" w:color="auto"/>
              <w:bottom w:val="single" w:sz="4" w:space="0" w:color="auto"/>
            </w:tcBorders>
          </w:tcPr>
          <w:p w14:paraId="0B41D5AA" w14:textId="5911C342" w:rsidR="00823955" w:rsidRPr="00CC0FF3" w:rsidRDefault="00823955" w:rsidP="00DB49B7">
            <w:pPr>
              <w:pStyle w:val="TableText"/>
            </w:pPr>
            <w:r w:rsidRPr="00CC0FF3">
              <w:t>Added text to note that the minimum data requirements have been updated as a result of the transition to (shiny)ssdtools and replace</w:t>
            </w:r>
            <w:r w:rsidR="00926257">
              <w:t>d</w:t>
            </w:r>
            <w:r w:rsidRPr="00CC0FF3">
              <w:t xml:space="preserve"> references to Burrlioz with appropriate references to (shiny)ssdtools</w:t>
            </w:r>
          </w:p>
        </w:tc>
        <w:tc>
          <w:tcPr>
            <w:tcW w:w="7796" w:type="dxa"/>
            <w:tcBorders>
              <w:top w:val="single" w:sz="4" w:space="0" w:color="auto"/>
              <w:bottom w:val="single" w:sz="4" w:space="0" w:color="auto"/>
            </w:tcBorders>
          </w:tcPr>
          <w:p w14:paraId="0F0596FD" w14:textId="197C94BE" w:rsidR="00823955" w:rsidRPr="001D59C2" w:rsidRDefault="00823955" w:rsidP="00DB49B7">
            <w:pPr>
              <w:pStyle w:val="TableText"/>
              <w:rPr>
                <w:i/>
                <w:iCs/>
              </w:rPr>
            </w:pPr>
            <w:r w:rsidRPr="001D59C2">
              <w:rPr>
                <w:i/>
                <w:iCs/>
              </w:rPr>
              <w:t xml:space="preserve">To </w:t>
            </w:r>
            <w:r w:rsidR="003A3590">
              <w:rPr>
                <w:i/>
                <w:iCs/>
              </w:rPr>
              <w:t>clarify and improve</w:t>
            </w:r>
            <w:r w:rsidRPr="001D59C2">
              <w:rPr>
                <w:i/>
                <w:iCs/>
              </w:rPr>
              <w:t xml:space="preserve"> specific aspects of the derivation method</w:t>
            </w:r>
          </w:p>
          <w:p w14:paraId="77AE944D" w14:textId="5B6307BA" w:rsidR="00823955" w:rsidRPr="00CC0FF3" w:rsidRDefault="00823955" w:rsidP="00DB49B7">
            <w:pPr>
              <w:pStyle w:val="TableText"/>
            </w:pPr>
            <w:r w:rsidRPr="00CC0FF3">
              <w:t>Need to alert users to the fact that the minimum data requirements have increased</w:t>
            </w:r>
            <w:r w:rsidR="00327483">
              <w:t>,</w:t>
            </w:r>
            <w:r w:rsidRPr="00CC0FF3">
              <w:t xml:space="preserve"> and that (shiny)ssdtools should be used instead of Burrlioz 2.0</w:t>
            </w:r>
          </w:p>
        </w:tc>
      </w:tr>
      <w:tr w:rsidR="00823955" w:rsidRPr="00FA309D" w14:paraId="6D8037A1" w14:textId="77777777" w:rsidTr="00AE4AC5">
        <w:trPr>
          <w:trHeight w:val="20"/>
        </w:trPr>
        <w:tc>
          <w:tcPr>
            <w:tcW w:w="1560" w:type="dxa"/>
            <w:tcBorders>
              <w:top w:val="single" w:sz="4" w:space="0" w:color="auto"/>
              <w:bottom w:val="single" w:sz="4" w:space="0" w:color="auto"/>
            </w:tcBorders>
          </w:tcPr>
          <w:p w14:paraId="53E834BF" w14:textId="727B1276" w:rsidR="00823955" w:rsidRPr="00CC0FF3" w:rsidRDefault="00365FE6" w:rsidP="00DB49B7">
            <w:pPr>
              <w:pStyle w:val="TableText"/>
            </w:pPr>
            <w:r w:rsidRPr="00CC0FF3">
              <w:t xml:space="preserve">Section </w:t>
            </w:r>
            <w:r w:rsidRPr="00CC0FF3">
              <w:fldChar w:fldCharType="begin"/>
            </w:r>
            <w:r w:rsidRPr="00CC0FF3">
              <w:instrText xml:space="preserve"> REF _Ref202090595 \r \h  \* MERGEFORMAT </w:instrText>
            </w:r>
            <w:r w:rsidRPr="00CC0FF3">
              <w:fldChar w:fldCharType="separate"/>
            </w:r>
            <w:r w:rsidR="006C5761">
              <w:t>3.4.5</w:t>
            </w:r>
            <w:r w:rsidRPr="00CC0FF3">
              <w:fldChar w:fldCharType="end"/>
            </w:r>
            <w:r w:rsidR="00823955" w:rsidRPr="00CC0FF3">
              <w:t xml:space="preserve"> </w:t>
            </w:r>
            <w:r w:rsidR="00415DEF">
              <w:t>‘</w:t>
            </w:r>
            <w:r w:rsidR="00823955" w:rsidRPr="00CC0FF3">
              <w:t xml:space="preserve">Do the data meet the minimum data requirements of the </w:t>
            </w:r>
            <w:r w:rsidR="00415DEF">
              <w:t>species sensitivity distribution</w:t>
            </w:r>
            <w:r w:rsidR="00823955" w:rsidRPr="00CC0FF3">
              <w:t xml:space="preserve"> method?</w:t>
            </w:r>
            <w:r w:rsidR="00415DEF">
              <w:t>’</w:t>
            </w:r>
            <w:r w:rsidR="00823955" w:rsidRPr="00CC0FF3">
              <w:t xml:space="preserve"> (</w:t>
            </w:r>
            <w:r w:rsidR="00D957DF">
              <w:fldChar w:fldCharType="begin"/>
            </w:r>
            <w:r w:rsidR="00D957DF">
              <w:instrText xml:space="preserve"> REF _Ref205558623 \h </w:instrText>
            </w:r>
            <w:r w:rsidR="00D957DF">
              <w:fldChar w:fldCharType="separate"/>
            </w:r>
            <w:r w:rsidR="006C5761" w:rsidRPr="57352DF8">
              <w:t>Table</w:t>
            </w:r>
            <w:r w:rsidR="006C5761">
              <w:t> </w:t>
            </w:r>
            <w:r w:rsidR="006C5761">
              <w:rPr>
                <w:noProof/>
              </w:rPr>
              <w:t>5</w:t>
            </w:r>
            <w:r w:rsidR="00D957DF">
              <w:fldChar w:fldCharType="end"/>
            </w:r>
            <w:r w:rsidR="00823955" w:rsidRPr="00CC0FF3">
              <w:t>)</w:t>
            </w:r>
          </w:p>
        </w:tc>
        <w:tc>
          <w:tcPr>
            <w:tcW w:w="4531" w:type="dxa"/>
            <w:tcBorders>
              <w:top w:val="single" w:sz="4" w:space="0" w:color="auto"/>
              <w:bottom w:val="single" w:sz="4" w:space="0" w:color="auto"/>
            </w:tcBorders>
          </w:tcPr>
          <w:p w14:paraId="0E3C5510" w14:textId="49E8ECF9" w:rsidR="00823955" w:rsidRPr="00CC0FF3" w:rsidRDefault="00D957DF" w:rsidP="00DB49B7">
            <w:pPr>
              <w:pStyle w:val="TableText"/>
            </w:pPr>
            <w:r>
              <w:fldChar w:fldCharType="begin"/>
            </w:r>
            <w:r>
              <w:instrText xml:space="preserve"> REF _Ref205558623 \h </w:instrText>
            </w:r>
            <w:r>
              <w:fldChar w:fldCharType="separate"/>
            </w:r>
            <w:r w:rsidR="006C5761" w:rsidRPr="57352DF8">
              <w:t>Table</w:t>
            </w:r>
            <w:r w:rsidR="006C5761">
              <w:t> </w:t>
            </w:r>
            <w:r w:rsidR="006C5761">
              <w:rPr>
                <w:noProof/>
              </w:rPr>
              <w:t>5</w:t>
            </w:r>
            <w:r>
              <w:fldChar w:fldCharType="end"/>
            </w:r>
            <w:r>
              <w:t xml:space="preserve"> </w:t>
            </w:r>
            <w:r w:rsidR="00DC69AA">
              <w:t>‘</w:t>
            </w:r>
            <w:r w:rsidR="00823955" w:rsidRPr="00CC0FF3">
              <w:t xml:space="preserve">Examples of </w:t>
            </w:r>
            <w:r>
              <w:t>distinct taxonomic groups</w:t>
            </w:r>
            <w:r w:rsidR="00DC69AA">
              <w:t>’</w:t>
            </w:r>
            <w:r w:rsidR="00823955" w:rsidRPr="00CC0FF3">
              <w:t xml:space="preserve"> was updated</w:t>
            </w:r>
          </w:p>
        </w:tc>
        <w:tc>
          <w:tcPr>
            <w:tcW w:w="7796" w:type="dxa"/>
            <w:tcBorders>
              <w:top w:val="single" w:sz="4" w:space="0" w:color="auto"/>
              <w:bottom w:val="single" w:sz="4" w:space="0" w:color="auto"/>
            </w:tcBorders>
          </w:tcPr>
          <w:p w14:paraId="3B97F9D7" w14:textId="1D754085" w:rsidR="00823955" w:rsidRPr="001D59C2" w:rsidRDefault="00823955" w:rsidP="00DB49B7">
            <w:pPr>
              <w:pStyle w:val="TableText"/>
              <w:rPr>
                <w:i/>
                <w:iCs/>
              </w:rPr>
            </w:pPr>
            <w:r w:rsidRPr="001D59C2">
              <w:rPr>
                <w:i/>
                <w:iCs/>
              </w:rPr>
              <w:t xml:space="preserve">To </w:t>
            </w:r>
            <w:r w:rsidR="003A3590">
              <w:rPr>
                <w:i/>
                <w:iCs/>
              </w:rPr>
              <w:t>clarify and improve</w:t>
            </w:r>
            <w:r w:rsidRPr="001D59C2">
              <w:rPr>
                <w:i/>
                <w:iCs/>
              </w:rPr>
              <w:t xml:space="preserve"> specific aspects of the derivation method</w:t>
            </w:r>
          </w:p>
          <w:p w14:paraId="50587B54" w14:textId="34B6999D" w:rsidR="00823955" w:rsidRPr="00CC0FF3" w:rsidRDefault="00823955" w:rsidP="00DB49B7">
            <w:pPr>
              <w:pStyle w:val="TableText"/>
            </w:pPr>
            <w:r w:rsidRPr="00CC0FF3">
              <w:t>The corresponding table (</w:t>
            </w:r>
            <w:r w:rsidR="00D819CA" w:rsidRPr="00CC0FF3">
              <w:fldChar w:fldCharType="begin"/>
            </w:r>
            <w:r w:rsidR="00D819CA" w:rsidRPr="00CC0FF3">
              <w:instrText xml:space="preserve"> REF _Ref185402576 \h  \* MERGEFORMAT </w:instrText>
            </w:r>
            <w:r w:rsidR="00D819CA" w:rsidRPr="00CC0FF3">
              <w:fldChar w:fldCharType="separate"/>
            </w:r>
            <w:r w:rsidR="006C5761">
              <w:t>Table 6</w:t>
            </w:r>
            <w:r w:rsidR="00D819CA" w:rsidRPr="00CC0FF3">
              <w:fldChar w:fldCharType="end"/>
            </w:r>
            <w:r w:rsidRPr="00CC0FF3">
              <w:t xml:space="preserve">) in Warne et al. (2018) did not promote consistent assignment of taxonomic groups between </w:t>
            </w:r>
            <w:r w:rsidR="00121B6C">
              <w:t>default guideline value</w:t>
            </w:r>
            <w:r w:rsidRPr="00CC0FF3">
              <w:t xml:space="preserve"> derivations and was</w:t>
            </w:r>
            <w:r w:rsidR="00121B6C">
              <w:t xml:space="preserve"> also</w:t>
            </w:r>
            <w:r w:rsidRPr="00CC0FF3">
              <w:t xml:space="preserve"> inconsistent in the resolution at which it distinguished some taxonomic groupings. This resulted in inconsistency in how service providers assigned taxonomic groups to species for </w:t>
            </w:r>
            <w:r w:rsidR="00121B6C">
              <w:t>default guideline value</w:t>
            </w:r>
            <w:r w:rsidRPr="00CC0FF3">
              <w:t xml:space="preserve"> derivations. Ideally, assignment of taxonomic groups between </w:t>
            </w:r>
            <w:r w:rsidR="00121B6C">
              <w:t>default guideline value</w:t>
            </w:r>
            <w:r w:rsidRPr="00CC0FF3">
              <w:t xml:space="preserve">s should be as consistent as possible. Thus, </w:t>
            </w:r>
            <w:r w:rsidR="00D819CA" w:rsidRPr="00CC0FF3">
              <w:fldChar w:fldCharType="begin"/>
            </w:r>
            <w:r w:rsidR="00D819CA" w:rsidRPr="00CC0FF3">
              <w:instrText xml:space="preserve"> REF _Ref185402576 \h  \* MERGEFORMAT </w:instrText>
            </w:r>
            <w:r w:rsidR="00D819CA" w:rsidRPr="00CC0FF3">
              <w:fldChar w:fldCharType="separate"/>
            </w:r>
            <w:r w:rsidR="006C5761">
              <w:t>Table 6</w:t>
            </w:r>
            <w:r w:rsidR="00D819CA" w:rsidRPr="00CC0FF3">
              <w:fldChar w:fldCharType="end"/>
            </w:r>
            <w:r w:rsidRPr="00CC0FF3">
              <w:t xml:space="preserve"> </w:t>
            </w:r>
            <w:r w:rsidR="00121B6C">
              <w:t>was</w:t>
            </w:r>
            <w:r w:rsidRPr="00CC0FF3">
              <w:t xml:space="preserve"> updated</w:t>
            </w:r>
          </w:p>
        </w:tc>
      </w:tr>
      <w:tr w:rsidR="00823955" w:rsidRPr="00FA309D" w14:paraId="4E8CE7D4" w14:textId="77777777" w:rsidTr="00AE4AC5">
        <w:trPr>
          <w:trHeight w:val="20"/>
        </w:trPr>
        <w:tc>
          <w:tcPr>
            <w:tcW w:w="1560" w:type="dxa"/>
            <w:tcBorders>
              <w:top w:val="single" w:sz="4" w:space="0" w:color="auto"/>
              <w:bottom w:val="single" w:sz="4" w:space="0" w:color="auto"/>
            </w:tcBorders>
          </w:tcPr>
          <w:p w14:paraId="6AE30DD4" w14:textId="37A7BC29" w:rsidR="00823955" w:rsidRPr="00CC0FF3" w:rsidRDefault="00365FE6" w:rsidP="00DB49B7">
            <w:pPr>
              <w:pStyle w:val="TableText"/>
            </w:pPr>
            <w:r w:rsidRPr="00CC0FF3">
              <w:lastRenderedPageBreak/>
              <w:t xml:space="preserve">Section </w:t>
            </w:r>
            <w:r w:rsidRPr="00CC0FF3">
              <w:fldChar w:fldCharType="begin"/>
            </w:r>
            <w:r w:rsidRPr="00CC0FF3">
              <w:instrText xml:space="preserve"> REF _Ref202090595 \r \h </w:instrText>
            </w:r>
            <w:r w:rsidR="00CC0FF3">
              <w:instrText xml:space="preserve"> \* MERGEFORMAT </w:instrText>
            </w:r>
            <w:r w:rsidRPr="00CC0FF3">
              <w:fldChar w:fldCharType="separate"/>
            </w:r>
            <w:r w:rsidR="006C5761">
              <w:t>3.4.5</w:t>
            </w:r>
            <w:r w:rsidRPr="00CC0FF3">
              <w:fldChar w:fldCharType="end"/>
            </w:r>
            <w:r w:rsidR="00823955" w:rsidRPr="00CC0FF3">
              <w:t xml:space="preserve"> </w:t>
            </w:r>
            <w:r w:rsidR="00415DEF">
              <w:t>‘</w:t>
            </w:r>
            <w:r w:rsidR="00823955" w:rsidRPr="00CC0FF3">
              <w:t xml:space="preserve">Do the data meet the minimum data requirements of the </w:t>
            </w:r>
            <w:r w:rsidR="00415DEF">
              <w:t>species sensitivity distribution</w:t>
            </w:r>
            <w:r w:rsidR="00415DEF" w:rsidRPr="00CC0FF3">
              <w:t xml:space="preserve"> </w:t>
            </w:r>
            <w:r w:rsidR="00823955" w:rsidRPr="00CC0FF3">
              <w:t>method?</w:t>
            </w:r>
            <w:r w:rsidR="00415DEF">
              <w:t>’</w:t>
            </w:r>
          </w:p>
        </w:tc>
        <w:tc>
          <w:tcPr>
            <w:tcW w:w="4531" w:type="dxa"/>
            <w:tcBorders>
              <w:top w:val="single" w:sz="4" w:space="0" w:color="auto"/>
              <w:bottom w:val="single" w:sz="4" w:space="0" w:color="auto"/>
            </w:tcBorders>
          </w:tcPr>
          <w:p w14:paraId="23965EE6" w14:textId="48DDF7EE" w:rsidR="00823955" w:rsidRPr="00CC0FF3" w:rsidRDefault="00823955" w:rsidP="00DB49B7">
            <w:pPr>
              <w:pStyle w:val="TableText"/>
            </w:pPr>
            <w:r w:rsidRPr="00CC0FF3">
              <w:t>Guidance regarding when data from</w:t>
            </w:r>
            <w:r w:rsidR="00C64837" w:rsidRPr="00CC0FF3">
              <w:t xml:space="preserve"> 2</w:t>
            </w:r>
            <w:r w:rsidRPr="00CC0FF3">
              <w:t xml:space="preserve"> different media (i.e. freshwater and marine water) can be combined was expanded to explicitly allow the derivation of a single set of </w:t>
            </w:r>
            <w:r w:rsidR="00EE77B7">
              <w:t>default guideline value</w:t>
            </w:r>
            <w:r w:rsidRPr="00CC0FF3">
              <w:t>s for both media types, assuming the relevant criteria have been met</w:t>
            </w:r>
          </w:p>
        </w:tc>
        <w:tc>
          <w:tcPr>
            <w:tcW w:w="7796" w:type="dxa"/>
            <w:tcBorders>
              <w:top w:val="single" w:sz="4" w:space="0" w:color="auto"/>
              <w:bottom w:val="single" w:sz="4" w:space="0" w:color="auto"/>
            </w:tcBorders>
          </w:tcPr>
          <w:p w14:paraId="5AC37226" w14:textId="067D45BF" w:rsidR="00823955" w:rsidRPr="003A3590" w:rsidRDefault="00823955" w:rsidP="00DB49B7">
            <w:pPr>
              <w:pStyle w:val="TableText"/>
              <w:rPr>
                <w:i/>
                <w:iCs/>
              </w:rPr>
            </w:pPr>
            <w:r w:rsidRPr="003A3590">
              <w:rPr>
                <w:i/>
                <w:iCs/>
              </w:rPr>
              <w:t xml:space="preserve">To </w:t>
            </w:r>
            <w:r w:rsidR="003A3590">
              <w:rPr>
                <w:i/>
                <w:iCs/>
              </w:rPr>
              <w:t>clarify and improve</w:t>
            </w:r>
            <w:r w:rsidRPr="003A3590">
              <w:rPr>
                <w:i/>
                <w:iCs/>
              </w:rPr>
              <w:t xml:space="preserve"> specific aspects of the derivation method</w:t>
            </w:r>
          </w:p>
          <w:p w14:paraId="16FEF86B" w14:textId="3F7C953E" w:rsidR="00823955" w:rsidRPr="00CC0FF3" w:rsidRDefault="00823955" w:rsidP="00DB49B7">
            <w:pPr>
              <w:pStyle w:val="TableText"/>
            </w:pPr>
            <w:r w:rsidRPr="00CC0FF3">
              <w:t xml:space="preserve">Warne et al. (2018) made no mention of situations where it might be appropriate to derive a single set of </w:t>
            </w:r>
            <w:r w:rsidR="00EE77B7">
              <w:t>default guideline value</w:t>
            </w:r>
            <w:r w:rsidRPr="00CC0FF3">
              <w:t xml:space="preserve">s for both media types rather than different </w:t>
            </w:r>
            <w:r w:rsidR="00EE77B7">
              <w:t>default guideline value</w:t>
            </w:r>
            <w:r w:rsidR="00EE77B7" w:rsidRPr="00CC0FF3">
              <w:t>s</w:t>
            </w:r>
            <w:r w:rsidRPr="00CC0FF3">
              <w:t xml:space="preserve"> for each medium. Allowance for this approach </w:t>
            </w:r>
            <w:r w:rsidR="007C5050">
              <w:t>was</w:t>
            </w:r>
            <w:r w:rsidRPr="00CC0FF3">
              <w:t xml:space="preserve"> added to the revised method.</w:t>
            </w:r>
            <w:r w:rsidR="008A7530" w:rsidRPr="00CC0FF3">
              <w:t xml:space="preserve"> Notably, where the criteria </w:t>
            </w:r>
            <w:r w:rsidR="008E67B3" w:rsidRPr="00CC0FF3">
              <w:t>to combine fresh and marine data have been</w:t>
            </w:r>
            <w:r w:rsidR="008A7530" w:rsidRPr="00CC0FF3">
              <w:t xml:space="preserve"> met, the reliability of the </w:t>
            </w:r>
            <w:r w:rsidR="00EE77B7">
              <w:t>default guideline value</w:t>
            </w:r>
            <w:r w:rsidR="00EE77B7" w:rsidRPr="00CC0FF3">
              <w:t>s</w:t>
            </w:r>
            <w:r w:rsidR="008A7530" w:rsidRPr="00CC0FF3">
              <w:t xml:space="preserve"> will not be down-graded</w:t>
            </w:r>
          </w:p>
        </w:tc>
      </w:tr>
      <w:tr w:rsidR="00823955" w:rsidRPr="00FA309D" w14:paraId="76B6B014" w14:textId="77777777" w:rsidTr="00AE4AC5">
        <w:trPr>
          <w:trHeight w:val="20"/>
        </w:trPr>
        <w:tc>
          <w:tcPr>
            <w:tcW w:w="1560" w:type="dxa"/>
            <w:tcBorders>
              <w:top w:val="single" w:sz="4" w:space="0" w:color="auto"/>
              <w:bottom w:val="single" w:sz="4" w:space="0" w:color="auto"/>
            </w:tcBorders>
          </w:tcPr>
          <w:p w14:paraId="61904229" w14:textId="0C032559" w:rsidR="00823955" w:rsidRPr="00CC0FF3" w:rsidRDefault="00365FE6" w:rsidP="00DB49B7">
            <w:pPr>
              <w:pStyle w:val="TableText"/>
            </w:pPr>
            <w:r w:rsidRPr="00CC0FF3">
              <w:t xml:space="preserve">Section </w:t>
            </w:r>
            <w:r w:rsidRPr="00CC0FF3">
              <w:fldChar w:fldCharType="begin"/>
            </w:r>
            <w:r w:rsidRPr="00CC0FF3">
              <w:instrText xml:space="preserve"> REF _Ref522008201 \r \h </w:instrText>
            </w:r>
            <w:r w:rsidR="00CC0FF3">
              <w:instrText xml:space="preserve"> \* MERGEFORMAT </w:instrText>
            </w:r>
            <w:r w:rsidRPr="00CC0FF3">
              <w:fldChar w:fldCharType="separate"/>
            </w:r>
            <w:r w:rsidR="006C5761">
              <w:t>0</w:t>
            </w:r>
            <w:r w:rsidRPr="00CC0FF3">
              <w:fldChar w:fldCharType="end"/>
            </w:r>
            <w:r w:rsidR="00823955" w:rsidRPr="00CC0FF3">
              <w:t xml:space="preserve"> </w:t>
            </w:r>
            <w:r w:rsidR="00B15C80">
              <w:t>‘</w:t>
            </w:r>
            <w:r w:rsidR="00823955" w:rsidRPr="00CC0FF3">
              <w:t>Checking the toxicity data for multimodal distributions</w:t>
            </w:r>
            <w:r w:rsidR="00B15C80">
              <w:t>’</w:t>
            </w:r>
          </w:p>
        </w:tc>
        <w:tc>
          <w:tcPr>
            <w:tcW w:w="4531" w:type="dxa"/>
            <w:tcBorders>
              <w:top w:val="single" w:sz="4" w:space="0" w:color="auto"/>
              <w:bottom w:val="single" w:sz="4" w:space="0" w:color="auto"/>
            </w:tcBorders>
          </w:tcPr>
          <w:p w14:paraId="0A4E5EBA" w14:textId="3B83391C" w:rsidR="00823955" w:rsidRPr="00CC0FF3" w:rsidRDefault="00823955" w:rsidP="00DB49B7">
            <w:pPr>
              <w:pStyle w:val="TableText"/>
            </w:pPr>
            <w:r w:rsidRPr="00CC0FF3">
              <w:t>Updated process for assessing datasets for bimodality to accommodate adoption of bimodal distributions in (shiny)ssdtools</w:t>
            </w:r>
          </w:p>
          <w:p w14:paraId="764703F8" w14:textId="31EF7C9A" w:rsidR="008E67B3" w:rsidRPr="00CC0FF3" w:rsidRDefault="008E67B3" w:rsidP="00DB49B7">
            <w:pPr>
              <w:pStyle w:val="TableText"/>
            </w:pPr>
            <w:r w:rsidRPr="00CC0FF3">
              <w:t>Includes re-structuring of the section into</w:t>
            </w:r>
            <w:r w:rsidR="00C64837" w:rsidRPr="00CC0FF3">
              <w:t xml:space="preserve"> 2</w:t>
            </w:r>
            <w:r w:rsidRPr="00CC0FF3">
              <w:t xml:space="preserve"> sub-sections: (i) the weight</w:t>
            </w:r>
            <w:r w:rsidR="006648B4">
              <w:t>-</w:t>
            </w:r>
            <w:r w:rsidRPr="00CC0FF3">
              <w:t>of</w:t>
            </w:r>
            <w:r w:rsidR="006648B4">
              <w:t>-</w:t>
            </w:r>
            <w:r w:rsidRPr="00CC0FF3">
              <w:t>evidence approach and (ii) decision making</w:t>
            </w:r>
          </w:p>
        </w:tc>
        <w:tc>
          <w:tcPr>
            <w:tcW w:w="7796" w:type="dxa"/>
            <w:tcBorders>
              <w:top w:val="single" w:sz="4" w:space="0" w:color="auto"/>
              <w:bottom w:val="single" w:sz="4" w:space="0" w:color="auto"/>
            </w:tcBorders>
          </w:tcPr>
          <w:p w14:paraId="22020FF6" w14:textId="4B8BF5F6" w:rsidR="00823955" w:rsidRPr="003A3590" w:rsidRDefault="00823955" w:rsidP="00DB49B7">
            <w:pPr>
              <w:pStyle w:val="TableText"/>
              <w:rPr>
                <w:i/>
                <w:iCs/>
              </w:rPr>
            </w:pPr>
            <w:r w:rsidRPr="003A3590">
              <w:rPr>
                <w:i/>
                <w:iCs/>
              </w:rPr>
              <w:t xml:space="preserve">To </w:t>
            </w:r>
            <w:r w:rsidR="003A3590">
              <w:rPr>
                <w:i/>
                <w:iCs/>
              </w:rPr>
              <w:t>clarify and improve</w:t>
            </w:r>
            <w:r w:rsidRPr="003A3590">
              <w:rPr>
                <w:i/>
                <w:iCs/>
              </w:rPr>
              <w:t xml:space="preserve"> specific aspects of the derivation method; to reflect current state of the science.</w:t>
            </w:r>
          </w:p>
          <w:p w14:paraId="1D704293" w14:textId="2CF106AD" w:rsidR="00823955" w:rsidRPr="00CC0FF3" w:rsidRDefault="00823955" w:rsidP="00DB49B7">
            <w:pPr>
              <w:pStyle w:val="TableText"/>
            </w:pPr>
            <w:r w:rsidRPr="00CC0FF3">
              <w:t xml:space="preserve">Inclusion of the </w:t>
            </w:r>
            <w:r w:rsidR="00141BF7">
              <w:t>log-normal–log-normal</w:t>
            </w:r>
            <w:r w:rsidRPr="00CC0FF3">
              <w:t xml:space="preserve"> mixture distribution in the (shiny)ssdtools default model set required changes to be made to the bimodality</w:t>
            </w:r>
            <w:r w:rsidR="00EB3D25">
              <w:t>-</w:t>
            </w:r>
            <w:r w:rsidRPr="00CC0FF3">
              <w:t xml:space="preserve">assessment process to capture the use of this model and information on bimodality that it can provide. Assuming certain requirements are met, a bimodal dataset can now be modelled as the full dataset (i.e. not cut down to only the most sensitive taxonomic group) using the </w:t>
            </w:r>
            <w:r w:rsidR="00141BF7">
              <w:t>log-normal–log-normal</w:t>
            </w:r>
            <w:r w:rsidRPr="00CC0FF3">
              <w:t xml:space="preserve"> mixture distribution. Note: this distribution is very new to </w:t>
            </w:r>
            <w:r w:rsidR="006648B4">
              <w:t>species sensitivity distribution</w:t>
            </w:r>
            <w:r w:rsidRPr="00CC0FF3">
              <w:t xml:space="preserve"> modelling, and there remain some uncertainties over its performance and use for this purpose. To aid with the use of this distribution, a new appendix (</w:t>
            </w:r>
            <w:r w:rsidR="00CE18A1" w:rsidRPr="00CC0FF3">
              <w:fldChar w:fldCharType="begin"/>
            </w:r>
            <w:r w:rsidR="00CE18A1" w:rsidRPr="00CC0FF3">
              <w:instrText xml:space="preserve"> REF _Ref202085553 \n \h </w:instrText>
            </w:r>
            <w:r w:rsidR="00CC0FF3">
              <w:instrText xml:space="preserve"> \* MERGEFORMAT </w:instrText>
            </w:r>
            <w:r w:rsidR="00CE18A1" w:rsidRPr="00CC0FF3">
              <w:fldChar w:fldCharType="separate"/>
            </w:r>
            <w:r w:rsidR="006C5761">
              <w:t>Appendix C</w:t>
            </w:r>
            <w:r w:rsidR="00CE18A1" w:rsidRPr="00CC0FF3">
              <w:fldChar w:fldCharType="end"/>
            </w:r>
            <w:r w:rsidRPr="00CC0FF3">
              <w:t xml:space="preserve">) </w:t>
            </w:r>
            <w:r w:rsidR="007C5050">
              <w:t>was</w:t>
            </w:r>
            <w:r w:rsidRPr="00CC0FF3">
              <w:t xml:space="preserve"> added that provides several examples of where the </w:t>
            </w:r>
            <w:r w:rsidR="00141BF7">
              <w:t>log-normal–log-normal</w:t>
            </w:r>
            <w:r w:rsidRPr="00CC0FF3">
              <w:t xml:space="preserve"> distribution has an influence on the </w:t>
            </w:r>
            <w:r w:rsidR="005F5724">
              <w:t>species sensitivity distribution</w:t>
            </w:r>
            <w:r w:rsidRPr="00CC0FF3">
              <w:t xml:space="preserve"> and how this can be interpreted and dealt with. Note that there may be a need for further guidance to be developed in the future</w:t>
            </w:r>
          </w:p>
        </w:tc>
      </w:tr>
      <w:tr w:rsidR="00823955" w:rsidRPr="00FA309D" w14:paraId="7707DB25" w14:textId="77777777" w:rsidTr="00AE4AC5">
        <w:trPr>
          <w:trHeight w:val="20"/>
        </w:trPr>
        <w:tc>
          <w:tcPr>
            <w:tcW w:w="1560" w:type="dxa"/>
            <w:tcBorders>
              <w:top w:val="single" w:sz="4" w:space="0" w:color="auto"/>
              <w:bottom w:val="single" w:sz="4" w:space="0" w:color="auto"/>
            </w:tcBorders>
          </w:tcPr>
          <w:p w14:paraId="0EA68A62" w14:textId="697E8CF5" w:rsidR="00823955" w:rsidRPr="00CC0FF3" w:rsidRDefault="00326329" w:rsidP="00DB49B7">
            <w:pPr>
              <w:pStyle w:val="TableText"/>
            </w:pPr>
            <w:r w:rsidRPr="00CC0FF3">
              <w:t xml:space="preserve">Section </w:t>
            </w:r>
            <w:r w:rsidRPr="00CC0FF3">
              <w:fldChar w:fldCharType="begin"/>
            </w:r>
            <w:r w:rsidRPr="00CC0FF3">
              <w:instrText xml:space="preserve"> REF _Ref202090549 \r \h </w:instrText>
            </w:r>
            <w:r w:rsidR="00CC0FF3">
              <w:instrText xml:space="preserve"> \* MERGEFORMAT </w:instrText>
            </w:r>
            <w:r w:rsidRPr="00CC0FF3">
              <w:fldChar w:fldCharType="separate"/>
            </w:r>
            <w:r w:rsidR="006C5761">
              <w:t>0</w:t>
            </w:r>
            <w:r w:rsidRPr="00CC0FF3">
              <w:fldChar w:fldCharType="end"/>
            </w:r>
            <w:r w:rsidR="00823955" w:rsidRPr="00CC0FF3">
              <w:t xml:space="preserve"> </w:t>
            </w:r>
            <w:r w:rsidR="00B15C80">
              <w:t>‘</w:t>
            </w:r>
            <w:r w:rsidR="00823955" w:rsidRPr="00CC0FF3">
              <w:t>Enter toxicity data into Burrlioz</w:t>
            </w:r>
            <w:r w:rsidR="00B15C80">
              <w:t>’</w:t>
            </w:r>
          </w:p>
        </w:tc>
        <w:tc>
          <w:tcPr>
            <w:tcW w:w="4531" w:type="dxa"/>
            <w:tcBorders>
              <w:top w:val="single" w:sz="4" w:space="0" w:color="auto"/>
              <w:bottom w:val="single" w:sz="4" w:space="0" w:color="auto"/>
            </w:tcBorders>
          </w:tcPr>
          <w:p w14:paraId="26178754" w14:textId="0A93AE5F" w:rsidR="00823955" w:rsidRPr="00CC0FF3" w:rsidRDefault="00823955" w:rsidP="00DB49B7">
            <w:pPr>
              <w:pStyle w:val="TableText"/>
              <w:rPr>
                <w:highlight w:val="yellow"/>
              </w:rPr>
            </w:pPr>
            <w:r w:rsidRPr="00CC0FF3">
              <w:t>Whole section updated to reflect replacement of Burrlioz 2.0 by (shiny)ssdtools</w:t>
            </w:r>
            <w:r w:rsidR="0086334E" w:rsidRPr="00CC0FF3">
              <w:t xml:space="preserve"> (new title </w:t>
            </w:r>
            <w:r w:rsidR="00DC69AA">
              <w:t>‘</w:t>
            </w:r>
            <w:r w:rsidR="0086334E" w:rsidRPr="00CC0FF3">
              <w:t>Use of (shiny)ssdtools</w:t>
            </w:r>
            <w:r w:rsidR="00DC69AA">
              <w:t>’</w:t>
            </w:r>
            <w:r w:rsidR="0086334E" w:rsidRPr="00CC0FF3">
              <w:t>)</w:t>
            </w:r>
          </w:p>
        </w:tc>
        <w:tc>
          <w:tcPr>
            <w:tcW w:w="7796" w:type="dxa"/>
            <w:tcBorders>
              <w:top w:val="single" w:sz="4" w:space="0" w:color="auto"/>
              <w:bottom w:val="single" w:sz="4" w:space="0" w:color="auto"/>
            </w:tcBorders>
          </w:tcPr>
          <w:p w14:paraId="0087A55C" w14:textId="5E952FCD" w:rsidR="00823955" w:rsidRPr="003A3590" w:rsidRDefault="00823955" w:rsidP="00DB49B7">
            <w:pPr>
              <w:pStyle w:val="TableText"/>
              <w:rPr>
                <w:i/>
                <w:iCs/>
              </w:rPr>
            </w:pPr>
            <w:r w:rsidRPr="003A3590">
              <w:rPr>
                <w:i/>
                <w:iCs/>
              </w:rPr>
              <w:t xml:space="preserve">To </w:t>
            </w:r>
            <w:r w:rsidR="003A3590">
              <w:rPr>
                <w:i/>
                <w:iCs/>
              </w:rPr>
              <w:t>clarify and improve</w:t>
            </w:r>
            <w:r w:rsidRPr="003A3590">
              <w:rPr>
                <w:i/>
                <w:iCs/>
              </w:rPr>
              <w:t xml:space="preserve"> specific aspects of the derivation method; to reflect current state of the science</w:t>
            </w:r>
          </w:p>
          <w:p w14:paraId="35B8364C" w14:textId="2802FBC1" w:rsidR="00823955" w:rsidRPr="00CC0FF3" w:rsidRDefault="000A582D" w:rsidP="00DB49B7">
            <w:pPr>
              <w:pStyle w:val="TableText"/>
            </w:pPr>
            <w:r>
              <w:t>A</w:t>
            </w:r>
            <w:r w:rsidR="00823955" w:rsidRPr="00CC0FF3">
              <w:t xml:space="preserve">ppropriate new guidance on how to use (shiny)ssdtools for the derivation of </w:t>
            </w:r>
            <w:r w:rsidR="00242606">
              <w:t>guideline value</w:t>
            </w:r>
            <w:r w:rsidR="00823955" w:rsidRPr="00CC0FF3">
              <w:t>s</w:t>
            </w:r>
            <w:r w:rsidR="00242606">
              <w:t xml:space="preserve"> –</w:t>
            </w:r>
            <w:r w:rsidR="00823955" w:rsidRPr="00CC0FF3">
              <w:t xml:space="preserve"> in particular, </w:t>
            </w:r>
            <w:r w:rsidR="00242606">
              <w:t>default guideline value</w:t>
            </w:r>
            <w:r w:rsidR="00242606" w:rsidRPr="00CC0FF3">
              <w:t>s</w:t>
            </w:r>
            <w:r w:rsidR="00242606">
              <w:t xml:space="preserve"> –</w:t>
            </w:r>
            <w:r w:rsidR="00823955" w:rsidRPr="00CC0FF3">
              <w:t xml:space="preserve"> was required</w:t>
            </w:r>
          </w:p>
        </w:tc>
      </w:tr>
      <w:tr w:rsidR="00823955" w:rsidRPr="00FA309D" w14:paraId="4190E6B2" w14:textId="77777777" w:rsidTr="00AE4AC5">
        <w:trPr>
          <w:trHeight w:val="20"/>
        </w:trPr>
        <w:tc>
          <w:tcPr>
            <w:tcW w:w="1560" w:type="dxa"/>
            <w:tcBorders>
              <w:top w:val="single" w:sz="4" w:space="0" w:color="auto"/>
              <w:bottom w:val="single" w:sz="4" w:space="0" w:color="auto"/>
            </w:tcBorders>
          </w:tcPr>
          <w:p w14:paraId="51D31530" w14:textId="12D26C42" w:rsidR="00823955" w:rsidRPr="00CC0FF3" w:rsidRDefault="00326329" w:rsidP="00DB49B7">
            <w:pPr>
              <w:pStyle w:val="TableText"/>
            </w:pPr>
            <w:r w:rsidRPr="00CC0FF3">
              <w:t xml:space="preserve">Section </w:t>
            </w:r>
            <w:r w:rsidRPr="00CC0FF3">
              <w:fldChar w:fldCharType="begin"/>
            </w:r>
            <w:r w:rsidRPr="00CC0FF3">
              <w:instrText xml:space="preserve"> REF _Ref202090523 \r \h </w:instrText>
            </w:r>
            <w:r w:rsidR="00CC0FF3">
              <w:instrText xml:space="preserve"> \* MERGEFORMAT </w:instrText>
            </w:r>
            <w:r w:rsidRPr="00CC0FF3">
              <w:fldChar w:fldCharType="separate"/>
            </w:r>
            <w:r w:rsidR="006C5761">
              <w:t>3.7</w:t>
            </w:r>
            <w:r w:rsidRPr="00CC0FF3">
              <w:fldChar w:fldCharType="end"/>
            </w:r>
            <w:r w:rsidR="00823955" w:rsidRPr="00CC0FF3">
              <w:t xml:space="preserve"> </w:t>
            </w:r>
            <w:r w:rsidR="00B15C80">
              <w:t>‘</w:t>
            </w:r>
            <w:r w:rsidR="00823955" w:rsidRPr="00CC0FF3">
              <w:t>Calculate guideline values</w:t>
            </w:r>
            <w:r w:rsidR="00B15C80">
              <w:t>’</w:t>
            </w:r>
          </w:p>
        </w:tc>
        <w:tc>
          <w:tcPr>
            <w:tcW w:w="4531" w:type="dxa"/>
            <w:tcBorders>
              <w:top w:val="single" w:sz="4" w:space="0" w:color="auto"/>
              <w:bottom w:val="single" w:sz="4" w:space="0" w:color="auto"/>
            </w:tcBorders>
          </w:tcPr>
          <w:p w14:paraId="29E0A60F" w14:textId="4BDE74C2" w:rsidR="00823955" w:rsidRPr="00CC0FF3" w:rsidRDefault="00823955" w:rsidP="00DB49B7">
            <w:pPr>
              <w:pStyle w:val="TableText"/>
            </w:pPr>
            <w:r w:rsidRPr="00CC0FF3">
              <w:t>Restructured to create</w:t>
            </w:r>
            <w:r w:rsidR="00C64837" w:rsidRPr="00CC0FF3">
              <w:t xml:space="preserve"> 2</w:t>
            </w:r>
            <w:r w:rsidRPr="00CC0FF3">
              <w:t xml:space="preserve"> sub-sections – </w:t>
            </w:r>
            <w:r w:rsidR="00A34A78" w:rsidRPr="00CC0FF3">
              <w:fldChar w:fldCharType="begin"/>
            </w:r>
            <w:r w:rsidR="00A34A78" w:rsidRPr="00CC0FF3">
              <w:instrText xml:space="preserve"> REF _Ref202090531 \r \h </w:instrText>
            </w:r>
            <w:r w:rsidR="00FC6C11" w:rsidRPr="00CC0FF3">
              <w:instrText xml:space="preserve"> \* MERGEFORMAT </w:instrText>
            </w:r>
            <w:r w:rsidR="00A34A78" w:rsidRPr="00CC0FF3">
              <w:fldChar w:fldCharType="separate"/>
            </w:r>
            <w:r w:rsidR="006C5761">
              <w:t>3.7</w:t>
            </w:r>
            <w:r w:rsidR="00A34A78" w:rsidRPr="00CC0FF3">
              <w:fldChar w:fldCharType="end"/>
            </w:r>
            <w:r w:rsidRPr="00CC0FF3">
              <w:t xml:space="preserve"> </w:t>
            </w:r>
            <w:r w:rsidR="0035249E">
              <w:t>‘</w:t>
            </w:r>
            <w:r w:rsidRPr="00CC0FF3">
              <w:t>Levels of species protection</w:t>
            </w:r>
            <w:r w:rsidR="0035249E">
              <w:t>’</w:t>
            </w:r>
            <w:r w:rsidRPr="00CC0FF3">
              <w:t xml:space="preserve"> and </w:t>
            </w:r>
            <w:r w:rsidR="00A34A78" w:rsidRPr="00CC0FF3">
              <w:fldChar w:fldCharType="begin"/>
            </w:r>
            <w:r w:rsidR="00A34A78" w:rsidRPr="00CC0FF3">
              <w:instrText xml:space="preserve"> REF _Ref202090762 \r \h </w:instrText>
            </w:r>
            <w:r w:rsidR="00FC6C11" w:rsidRPr="00CC0FF3">
              <w:instrText xml:space="preserve"> \* MERGEFORMAT </w:instrText>
            </w:r>
            <w:r w:rsidR="00A34A78" w:rsidRPr="00CC0FF3">
              <w:fldChar w:fldCharType="separate"/>
            </w:r>
            <w:r w:rsidR="006C5761">
              <w:t>0</w:t>
            </w:r>
            <w:r w:rsidR="00A34A78" w:rsidRPr="00CC0FF3">
              <w:fldChar w:fldCharType="end"/>
            </w:r>
            <w:r w:rsidRPr="00CC0FF3">
              <w:t xml:space="preserve"> </w:t>
            </w:r>
            <w:r w:rsidR="0035249E">
              <w:t>‘</w:t>
            </w:r>
            <w:r w:rsidRPr="00CC0FF3">
              <w:t>Significant figures and rounding</w:t>
            </w:r>
            <w:r w:rsidR="0035249E">
              <w:t>’</w:t>
            </w:r>
          </w:p>
        </w:tc>
        <w:tc>
          <w:tcPr>
            <w:tcW w:w="7796" w:type="dxa"/>
            <w:tcBorders>
              <w:top w:val="single" w:sz="4" w:space="0" w:color="auto"/>
              <w:bottom w:val="single" w:sz="4" w:space="0" w:color="auto"/>
            </w:tcBorders>
          </w:tcPr>
          <w:p w14:paraId="0A4A9C04" w14:textId="7DB84BF1" w:rsidR="00823955" w:rsidRPr="003A3590" w:rsidRDefault="00823955" w:rsidP="00DB49B7">
            <w:pPr>
              <w:pStyle w:val="TableText"/>
              <w:rPr>
                <w:i/>
                <w:iCs/>
              </w:rPr>
            </w:pPr>
            <w:r w:rsidRPr="003A3590">
              <w:rPr>
                <w:i/>
                <w:iCs/>
              </w:rPr>
              <w:t xml:space="preserve">For improved </w:t>
            </w:r>
            <w:r w:rsidR="003A3590">
              <w:rPr>
                <w:i/>
                <w:iCs/>
              </w:rPr>
              <w:t>clarity and layout</w:t>
            </w:r>
            <w:r w:rsidRPr="003A3590">
              <w:rPr>
                <w:i/>
                <w:iCs/>
              </w:rPr>
              <w:t xml:space="preserve">; to </w:t>
            </w:r>
            <w:r w:rsidR="003A3590">
              <w:rPr>
                <w:i/>
                <w:iCs/>
              </w:rPr>
              <w:t>clarify and improve</w:t>
            </w:r>
            <w:r w:rsidRPr="003A3590">
              <w:rPr>
                <w:i/>
                <w:iCs/>
              </w:rPr>
              <w:t xml:space="preserve"> specific aspects of the derivation method; to reflect current state of the science.</w:t>
            </w:r>
          </w:p>
          <w:p w14:paraId="2A4F5C33" w14:textId="77777777" w:rsidR="00823955" w:rsidRPr="00CC0FF3" w:rsidRDefault="00823955" w:rsidP="00DB49B7">
            <w:pPr>
              <w:pStyle w:val="TableText"/>
            </w:pPr>
            <w:r w:rsidRPr="00CC0FF3">
              <w:t xml:space="preserve">Needed to add new sub-section that explained the new significant figures and rounding rules for </w:t>
            </w:r>
            <w:r w:rsidR="004E3129">
              <w:t>guideline values and default guideline values</w:t>
            </w:r>
            <w:r w:rsidRPr="00CC0FF3">
              <w:t>, as reviewed and approved by the A</w:t>
            </w:r>
            <w:r w:rsidR="004E3129">
              <w:t xml:space="preserve">ustralian and </w:t>
            </w:r>
            <w:r w:rsidRPr="00CC0FF3">
              <w:t>N</w:t>
            </w:r>
            <w:r w:rsidR="004E3129">
              <w:t xml:space="preserve">ew </w:t>
            </w:r>
            <w:r w:rsidRPr="00CC0FF3">
              <w:t>Z</w:t>
            </w:r>
            <w:r w:rsidR="004E3129">
              <w:t xml:space="preserve">ealand </w:t>
            </w:r>
            <w:r w:rsidRPr="00CC0FF3">
              <w:t>G</w:t>
            </w:r>
            <w:r w:rsidR="004E3129">
              <w:t>uidelines</w:t>
            </w:r>
            <w:r w:rsidRPr="00CC0FF3">
              <w:t xml:space="preserve"> jurisdictional committees. These rules reflect proper statistical practice and provide a defensible basis for determining the number of significant figures and associated rounding of </w:t>
            </w:r>
            <w:r w:rsidR="004E3129">
              <w:t>guideline values and default guideline values</w:t>
            </w:r>
          </w:p>
        </w:tc>
      </w:tr>
      <w:tr w:rsidR="00823955" w:rsidRPr="00FA309D" w14:paraId="0E5B86D9" w14:textId="77777777" w:rsidTr="00AE4AC5">
        <w:trPr>
          <w:trHeight w:val="20"/>
        </w:trPr>
        <w:tc>
          <w:tcPr>
            <w:tcW w:w="1560" w:type="dxa"/>
            <w:tcBorders>
              <w:top w:val="single" w:sz="4" w:space="0" w:color="auto"/>
              <w:bottom w:val="single" w:sz="4" w:space="0" w:color="auto"/>
            </w:tcBorders>
          </w:tcPr>
          <w:p w14:paraId="036F1CF8" w14:textId="7DEF9910" w:rsidR="00823955" w:rsidRPr="00CC0FF3" w:rsidRDefault="00326329" w:rsidP="00DB49B7">
            <w:pPr>
              <w:pStyle w:val="TableText"/>
            </w:pPr>
            <w:r w:rsidRPr="00CC0FF3">
              <w:lastRenderedPageBreak/>
              <w:t xml:space="preserve">Section </w:t>
            </w:r>
            <w:r w:rsidRPr="00CC0FF3">
              <w:fldChar w:fldCharType="begin"/>
            </w:r>
            <w:r w:rsidRPr="00CC0FF3">
              <w:instrText xml:space="preserve"> REF _Ref202090523 \r \h </w:instrText>
            </w:r>
            <w:r w:rsidR="00CC0FF3">
              <w:instrText xml:space="preserve"> \* MERGEFORMAT </w:instrText>
            </w:r>
            <w:r w:rsidRPr="00CC0FF3">
              <w:fldChar w:fldCharType="separate"/>
            </w:r>
            <w:r w:rsidR="006C5761">
              <w:t>3.7</w:t>
            </w:r>
            <w:r w:rsidRPr="00CC0FF3">
              <w:fldChar w:fldCharType="end"/>
            </w:r>
            <w:r w:rsidR="00823955" w:rsidRPr="00CC0FF3">
              <w:t xml:space="preserve"> </w:t>
            </w:r>
            <w:bookmarkStart w:id="175" w:name="_Toc524685614"/>
            <w:r w:rsidR="00E27E05">
              <w:t>‘</w:t>
            </w:r>
            <w:r w:rsidR="00823955" w:rsidRPr="00CC0FF3">
              <w:t>Calculate guideline values</w:t>
            </w:r>
            <w:r w:rsidR="00E27E05">
              <w:t>’</w:t>
            </w:r>
            <w:r w:rsidR="00823955" w:rsidRPr="00CC0FF3">
              <w:t xml:space="preserve"> </w:t>
            </w:r>
            <w:bookmarkEnd w:id="175"/>
            <w:r w:rsidR="00823955" w:rsidRPr="00CC0FF3">
              <w:t xml:space="preserve">(new Section </w:t>
            </w:r>
            <w:r w:rsidRPr="00CC0FF3">
              <w:fldChar w:fldCharType="begin"/>
            </w:r>
            <w:r w:rsidRPr="00CC0FF3">
              <w:instrText xml:space="preserve"> REF _Ref202090531 \r \h </w:instrText>
            </w:r>
            <w:r w:rsidR="00CC0FF3">
              <w:instrText xml:space="preserve"> \* MERGEFORMAT </w:instrText>
            </w:r>
            <w:r w:rsidRPr="00CC0FF3">
              <w:fldChar w:fldCharType="separate"/>
            </w:r>
            <w:r w:rsidR="006C5761">
              <w:t>3.7</w:t>
            </w:r>
            <w:r w:rsidRPr="00CC0FF3">
              <w:fldChar w:fldCharType="end"/>
            </w:r>
            <w:r w:rsidR="00823955" w:rsidRPr="00CC0FF3">
              <w:t>)</w:t>
            </w:r>
          </w:p>
        </w:tc>
        <w:tc>
          <w:tcPr>
            <w:tcW w:w="4531" w:type="dxa"/>
            <w:tcBorders>
              <w:top w:val="single" w:sz="4" w:space="0" w:color="auto"/>
              <w:bottom w:val="single" w:sz="4" w:space="0" w:color="auto"/>
            </w:tcBorders>
          </w:tcPr>
          <w:p w14:paraId="58B7199A" w14:textId="300031FA" w:rsidR="00823955" w:rsidRPr="00CC0FF3" w:rsidRDefault="00823955" w:rsidP="00DB49B7">
            <w:pPr>
              <w:pStyle w:val="TableText"/>
            </w:pPr>
            <w:r w:rsidRPr="00CC0FF3">
              <w:t xml:space="preserve">Corrected guidance around the application of </w:t>
            </w:r>
            <w:r w:rsidR="004E3129">
              <w:t>guideline value</w:t>
            </w:r>
            <w:r w:rsidR="004E3129" w:rsidRPr="00CC0FF3">
              <w:t xml:space="preserve">s </w:t>
            </w:r>
            <w:r w:rsidRPr="00CC0FF3">
              <w:t>to highly modified systems to reflect existing ANZG (2018) website guidance that the values for slightly to moderately disturbed systems are also generally recommended for highly disturbed systems, but that the 90</w:t>
            </w:r>
            <w:r w:rsidR="009B7DC0" w:rsidRPr="00CC0FF3">
              <w:t>%</w:t>
            </w:r>
            <w:r w:rsidRPr="00CC0FF3">
              <w:t xml:space="preserve"> or 80% </w:t>
            </w:r>
            <w:r w:rsidR="0086334E" w:rsidRPr="00CC0FF3">
              <w:t>species</w:t>
            </w:r>
            <w:r w:rsidR="0036478B">
              <w:t>-</w:t>
            </w:r>
            <w:r w:rsidRPr="00CC0FF3">
              <w:t xml:space="preserve">protection </w:t>
            </w:r>
            <w:r w:rsidR="0036478B">
              <w:t>guideline value</w:t>
            </w:r>
            <w:r w:rsidRPr="00CC0FF3">
              <w:t>s can be applied under certain circumstances</w:t>
            </w:r>
          </w:p>
        </w:tc>
        <w:tc>
          <w:tcPr>
            <w:tcW w:w="7796" w:type="dxa"/>
            <w:tcBorders>
              <w:top w:val="single" w:sz="4" w:space="0" w:color="auto"/>
              <w:bottom w:val="single" w:sz="4" w:space="0" w:color="auto"/>
            </w:tcBorders>
          </w:tcPr>
          <w:p w14:paraId="035E1C0A" w14:textId="128A1DAA" w:rsidR="00823955" w:rsidRPr="003A3590" w:rsidRDefault="00823955" w:rsidP="00DB49B7">
            <w:pPr>
              <w:pStyle w:val="TableText"/>
              <w:rPr>
                <w:i/>
                <w:iCs/>
              </w:rPr>
            </w:pPr>
            <w:r w:rsidRPr="003A3590">
              <w:rPr>
                <w:i/>
                <w:iCs/>
              </w:rPr>
              <w:t xml:space="preserve">To </w:t>
            </w:r>
            <w:r w:rsidR="003A3590">
              <w:rPr>
                <w:i/>
                <w:iCs/>
              </w:rPr>
              <w:t>clarify and improve</w:t>
            </w:r>
            <w:r w:rsidRPr="003A3590">
              <w:rPr>
                <w:i/>
                <w:iCs/>
              </w:rPr>
              <w:t xml:space="preserve"> specific aspects of the derivation method</w:t>
            </w:r>
          </w:p>
          <w:p w14:paraId="4C665F1C" w14:textId="4A26755B" w:rsidR="00823955" w:rsidRPr="00CC0FF3" w:rsidRDefault="00823955" w:rsidP="00DB49B7">
            <w:pPr>
              <w:pStyle w:val="TableText"/>
            </w:pPr>
            <w:r w:rsidRPr="00CC0FF3">
              <w:t>Warne et al. (2018) stated that the 90</w:t>
            </w:r>
            <w:r w:rsidR="00FC6C11" w:rsidRPr="00CC0FF3">
              <w:t>%</w:t>
            </w:r>
            <w:r w:rsidRPr="00CC0FF3">
              <w:t xml:space="preserve"> or 80% species</w:t>
            </w:r>
            <w:r w:rsidR="0004105B">
              <w:t>-</w:t>
            </w:r>
            <w:r w:rsidRPr="00CC0FF3">
              <w:t xml:space="preserve">protection </w:t>
            </w:r>
            <w:r w:rsidR="0036478B">
              <w:t>guideline value</w:t>
            </w:r>
            <w:r w:rsidRPr="00CC0FF3">
              <w:t xml:space="preserve">s are applied to highly disturbed systems. This is only partially correct. The </w:t>
            </w:r>
            <w:hyperlink r:id="rId53" w:anchor="highly-disturbed-systems">
              <w:r w:rsidRPr="00CC0FF3">
                <w:t>ANZG (2018) guidance</w:t>
              </w:r>
            </w:hyperlink>
            <w:r w:rsidRPr="00CC0FF3">
              <w:t xml:space="preserve"> (and original 2000 </w:t>
            </w:r>
            <w:r w:rsidR="007809FD">
              <w:t>G</w:t>
            </w:r>
            <w:r w:rsidRPr="00CC0FF3">
              <w:t>uid</w:t>
            </w:r>
            <w:r w:rsidR="007809FD">
              <w:t>elines</w:t>
            </w:r>
            <w:r w:rsidRPr="00CC0FF3">
              <w:t>) on this aspect specifies that the values for slightly to moderately disturbed systems are generally recommended for highly disturbed systems, but that the 90</w:t>
            </w:r>
            <w:r w:rsidR="0036478B">
              <w:t>%</w:t>
            </w:r>
            <w:r w:rsidRPr="00CC0FF3">
              <w:t xml:space="preserve"> or 80% species</w:t>
            </w:r>
            <w:r w:rsidR="0036478B">
              <w:t>-</w:t>
            </w:r>
            <w:r w:rsidRPr="00CC0FF3">
              <w:t xml:space="preserve">protection </w:t>
            </w:r>
            <w:r w:rsidR="0036478B">
              <w:t>guideline value</w:t>
            </w:r>
            <w:r w:rsidRPr="00CC0FF3">
              <w:t xml:space="preserve">s can be applied under certain circumstances. Text </w:t>
            </w:r>
            <w:r w:rsidR="0036478B">
              <w:t>was</w:t>
            </w:r>
            <w:r w:rsidRPr="00CC0FF3">
              <w:t xml:space="preserve"> updated to reflect this</w:t>
            </w:r>
          </w:p>
        </w:tc>
      </w:tr>
      <w:tr w:rsidR="00823955" w:rsidRPr="00FA309D" w14:paraId="43221700" w14:textId="77777777" w:rsidTr="00AE4AC5">
        <w:trPr>
          <w:trHeight w:val="20"/>
        </w:trPr>
        <w:tc>
          <w:tcPr>
            <w:tcW w:w="1560" w:type="dxa"/>
            <w:tcBorders>
              <w:top w:val="single" w:sz="4" w:space="0" w:color="auto"/>
              <w:bottom w:val="single" w:sz="4" w:space="0" w:color="auto"/>
            </w:tcBorders>
          </w:tcPr>
          <w:p w14:paraId="6850E5DB" w14:textId="262B0B33" w:rsidR="00823955" w:rsidRPr="00CC0FF3" w:rsidRDefault="00251876" w:rsidP="00DB49B7">
            <w:pPr>
              <w:pStyle w:val="TableText"/>
            </w:pPr>
            <w:r>
              <w:t xml:space="preserve">Added </w:t>
            </w:r>
            <w:r w:rsidR="00326329" w:rsidRPr="00CC0FF3">
              <w:t xml:space="preserve">Section </w:t>
            </w:r>
            <w:r w:rsidR="00326329" w:rsidRPr="00CC0FF3">
              <w:fldChar w:fldCharType="begin"/>
            </w:r>
            <w:r w:rsidR="00326329" w:rsidRPr="00CC0FF3">
              <w:instrText xml:space="preserve"> REF _Ref522008106 \r \h </w:instrText>
            </w:r>
            <w:r w:rsidR="00CC0FF3">
              <w:instrText xml:space="preserve"> \* MERGEFORMAT </w:instrText>
            </w:r>
            <w:r w:rsidR="00326329" w:rsidRPr="00CC0FF3">
              <w:fldChar w:fldCharType="separate"/>
            </w:r>
            <w:r w:rsidR="006C5761">
              <w:t>3.8</w:t>
            </w:r>
            <w:r w:rsidR="00326329" w:rsidRPr="00CC0FF3">
              <w:fldChar w:fldCharType="end"/>
            </w:r>
            <w:r w:rsidR="00823955" w:rsidRPr="00CC0FF3">
              <w:t xml:space="preserve"> </w:t>
            </w:r>
            <w:r w:rsidR="00E27E05">
              <w:t>‘</w:t>
            </w:r>
            <w:r w:rsidR="00823955" w:rsidRPr="00CC0FF3">
              <w:t>Determine the reliability of the guideline values</w:t>
            </w:r>
            <w:r w:rsidR="00E27E05">
              <w:t>’</w:t>
            </w:r>
          </w:p>
        </w:tc>
        <w:tc>
          <w:tcPr>
            <w:tcW w:w="4531" w:type="dxa"/>
            <w:tcBorders>
              <w:top w:val="single" w:sz="4" w:space="0" w:color="auto"/>
              <w:bottom w:val="single" w:sz="4" w:space="0" w:color="auto"/>
            </w:tcBorders>
          </w:tcPr>
          <w:p w14:paraId="028EF727" w14:textId="3B51C8C4" w:rsidR="00823955" w:rsidRPr="00CC0FF3" w:rsidRDefault="00823955" w:rsidP="00DB49B7">
            <w:pPr>
              <w:pStyle w:val="TableText"/>
            </w:pPr>
            <w:r w:rsidRPr="00CC0FF3">
              <w:t xml:space="preserve">Improved the clarity of </w:t>
            </w:r>
            <w:r w:rsidR="00AD63D3" w:rsidRPr="00CC0FF3">
              <w:fldChar w:fldCharType="begin"/>
            </w:r>
            <w:r w:rsidR="00AD63D3" w:rsidRPr="00CC0FF3">
              <w:instrText xml:space="preserve"> REF _Ref185402576 \h  \* MERGEFORMAT </w:instrText>
            </w:r>
            <w:r w:rsidR="00AD63D3" w:rsidRPr="00CC0FF3">
              <w:fldChar w:fldCharType="separate"/>
            </w:r>
            <w:r w:rsidR="006C5761">
              <w:t>Table 6</w:t>
            </w:r>
            <w:r w:rsidR="00AD63D3" w:rsidRPr="00CC0FF3">
              <w:fldChar w:fldCharType="end"/>
            </w:r>
            <w:r w:rsidRPr="00CC0FF3">
              <w:t xml:space="preserve"> and added a sentence at the end of the section to refer the reader to guidance on the ANZG</w:t>
            </w:r>
            <w:r w:rsidR="007A09E9">
              <w:t xml:space="preserve"> (2018)</w:t>
            </w:r>
            <w:r w:rsidRPr="00CC0FF3">
              <w:t xml:space="preserve"> website on how </w:t>
            </w:r>
            <w:r w:rsidR="0004105B">
              <w:t xml:space="preserve">to apply </w:t>
            </w:r>
            <w:r w:rsidR="007A09E9">
              <w:t>default guideline value</w:t>
            </w:r>
            <w:r w:rsidRPr="00CC0FF3">
              <w:t>s depending on their reliability rating.</w:t>
            </w:r>
          </w:p>
          <w:p w14:paraId="1E14F2EE" w14:textId="3B54447A" w:rsidR="00823955" w:rsidRPr="00CC0FF3" w:rsidRDefault="00823955" w:rsidP="00DB49B7">
            <w:pPr>
              <w:pStyle w:val="TableText"/>
            </w:pPr>
            <w:r w:rsidRPr="00CC0FF3">
              <w:t xml:space="preserve">Note: </w:t>
            </w:r>
            <w:r w:rsidR="007A09E9">
              <w:t>n</w:t>
            </w:r>
            <w:r w:rsidRPr="00CC0FF3">
              <w:t xml:space="preserve">o changes </w:t>
            </w:r>
            <w:r w:rsidR="007A09E9">
              <w:t>were</w:t>
            </w:r>
            <w:r w:rsidRPr="00CC0FF3">
              <w:t xml:space="preserve"> made to the reliability classification itself</w:t>
            </w:r>
            <w:r w:rsidR="004F3DAB" w:rsidRPr="00CC0FF3">
              <w:t xml:space="preserve"> (other than the case of </w:t>
            </w:r>
            <w:r w:rsidR="009568AB" w:rsidRPr="00CC0FF3">
              <w:t>combined</w:t>
            </w:r>
            <w:r w:rsidR="004F3DAB" w:rsidRPr="00CC0FF3">
              <w:t xml:space="preserve"> fresh and marine data – see </w:t>
            </w:r>
            <w:r w:rsidR="007A09E9">
              <w:t>r</w:t>
            </w:r>
            <w:r w:rsidR="004F3DAB" w:rsidRPr="00CC0FF3">
              <w:t>ationale for update)</w:t>
            </w:r>
          </w:p>
          <w:p w14:paraId="2675A092" w14:textId="64D87F5E" w:rsidR="00823955" w:rsidRPr="00CC0FF3" w:rsidRDefault="00823955" w:rsidP="00DB49B7">
            <w:pPr>
              <w:pStyle w:val="TableText"/>
            </w:pPr>
            <w:r w:rsidRPr="00CC0FF3">
              <w:t xml:space="preserve">Also updated the number of species for </w:t>
            </w:r>
            <w:r w:rsidR="00DC69AA">
              <w:t>‘</w:t>
            </w:r>
            <w:r w:rsidRPr="00CC0FF3">
              <w:t>adequate</w:t>
            </w:r>
            <w:r w:rsidR="00DC69AA">
              <w:t>’</w:t>
            </w:r>
            <w:r w:rsidRPr="00CC0FF3">
              <w:t xml:space="preserve"> datasets (from 5</w:t>
            </w:r>
            <w:r w:rsidR="007A09E9">
              <w:t>–</w:t>
            </w:r>
            <w:r w:rsidRPr="00CC0FF3">
              <w:t>7 to 6</w:t>
            </w:r>
            <w:r w:rsidR="007A09E9">
              <w:t>–</w:t>
            </w:r>
            <w:r w:rsidRPr="00CC0FF3">
              <w:t>7)</w:t>
            </w:r>
          </w:p>
          <w:p w14:paraId="41AC388F" w14:textId="6C82EEED" w:rsidR="00823955" w:rsidRPr="00CC0FF3" w:rsidRDefault="00823955" w:rsidP="00DB49B7">
            <w:pPr>
              <w:pStyle w:val="TableText"/>
            </w:pPr>
            <w:r w:rsidRPr="00CC0FF3">
              <w:t xml:space="preserve">Also updated </w:t>
            </w:r>
            <w:r w:rsidR="006C1481" w:rsidRPr="00CC0FF3">
              <w:fldChar w:fldCharType="begin"/>
            </w:r>
            <w:r w:rsidR="006C1481" w:rsidRPr="00CC0FF3">
              <w:instrText xml:space="preserve"> REF _Ref520277003 \h  \* MERGEFORMAT </w:instrText>
            </w:r>
            <w:r w:rsidR="006C1481" w:rsidRPr="00CC0FF3">
              <w:fldChar w:fldCharType="separate"/>
            </w:r>
            <w:r w:rsidR="006C5761" w:rsidRPr="006C5761">
              <w:t>Figure </w:t>
            </w:r>
            <w:r w:rsidR="006C5761">
              <w:t>2</w:t>
            </w:r>
            <w:r w:rsidR="006C1481" w:rsidRPr="00CC0FF3">
              <w:fldChar w:fldCharType="end"/>
            </w:r>
            <w:r w:rsidRPr="00CC0FF3">
              <w:t xml:space="preserve"> to reflect (shiny)ssdtools SSD outputs and to add another </w:t>
            </w:r>
            <w:r w:rsidR="007602BB">
              <w:t>species sensitivity distribution</w:t>
            </w:r>
            <w:r w:rsidRPr="00CC0FF3">
              <w:t xml:space="preserve"> depicting a ‘good’ fit</w:t>
            </w:r>
          </w:p>
        </w:tc>
        <w:tc>
          <w:tcPr>
            <w:tcW w:w="7796" w:type="dxa"/>
            <w:tcBorders>
              <w:top w:val="single" w:sz="4" w:space="0" w:color="auto"/>
              <w:bottom w:val="single" w:sz="4" w:space="0" w:color="auto"/>
            </w:tcBorders>
          </w:tcPr>
          <w:p w14:paraId="070291EF" w14:textId="5B01F8E6" w:rsidR="00823955" w:rsidRPr="003A3590" w:rsidRDefault="00823955" w:rsidP="00DB49B7">
            <w:pPr>
              <w:pStyle w:val="TableText"/>
              <w:rPr>
                <w:i/>
                <w:iCs/>
              </w:rPr>
            </w:pPr>
            <w:r w:rsidRPr="003A3590">
              <w:rPr>
                <w:i/>
                <w:iCs/>
              </w:rPr>
              <w:t xml:space="preserve">To </w:t>
            </w:r>
            <w:r w:rsidR="003A3590">
              <w:rPr>
                <w:i/>
                <w:iCs/>
              </w:rPr>
              <w:t>clarify and improve</w:t>
            </w:r>
            <w:r w:rsidRPr="003A3590">
              <w:rPr>
                <w:i/>
                <w:iCs/>
              </w:rPr>
              <w:t xml:space="preserve"> specific aspects of the derivation method</w:t>
            </w:r>
          </w:p>
          <w:p w14:paraId="56EE0AF7" w14:textId="1455BF56" w:rsidR="00823955" w:rsidRPr="00CC0FF3" w:rsidRDefault="00823955" w:rsidP="00DB49B7">
            <w:pPr>
              <w:pStyle w:val="TableText"/>
            </w:pPr>
            <w:r w:rsidRPr="00CC0FF3">
              <w:t xml:space="preserve">In </w:t>
            </w:r>
            <w:r w:rsidR="00AD63D3" w:rsidRPr="00CC0FF3">
              <w:fldChar w:fldCharType="begin"/>
            </w:r>
            <w:r w:rsidR="00AD63D3" w:rsidRPr="00CC0FF3">
              <w:instrText xml:space="preserve"> REF _Ref185402576 \h  \* MERGEFORMAT </w:instrText>
            </w:r>
            <w:r w:rsidR="00AD63D3" w:rsidRPr="00CC0FF3">
              <w:fldChar w:fldCharType="separate"/>
            </w:r>
            <w:r w:rsidR="006C5761">
              <w:t>Table 6</w:t>
            </w:r>
            <w:r w:rsidR="00AD63D3" w:rsidRPr="00CC0FF3">
              <w:fldChar w:fldCharType="end"/>
            </w:r>
            <w:r w:rsidRPr="00CC0FF3">
              <w:t>,</w:t>
            </w:r>
            <w:r w:rsidR="00C64837" w:rsidRPr="00CC0FF3">
              <w:t xml:space="preserve"> 2</w:t>
            </w:r>
            <w:r w:rsidRPr="00CC0FF3">
              <w:t xml:space="preserve"> columns</w:t>
            </w:r>
            <w:r w:rsidR="007602BB">
              <w:t xml:space="preserve"> –</w:t>
            </w:r>
            <w:r w:rsidRPr="00CC0FF3">
              <w:t xml:space="preserve"> column 1 (Sample size) and </w:t>
            </w:r>
            <w:r w:rsidR="007602BB">
              <w:t xml:space="preserve">column </w:t>
            </w:r>
            <w:r w:rsidRPr="00CC0FF3">
              <w:t>3 (Adequacy of sample size)</w:t>
            </w:r>
            <w:r w:rsidR="007602BB">
              <w:t xml:space="preserve"> – </w:t>
            </w:r>
            <w:r w:rsidRPr="00CC0FF3">
              <w:t>related to the sample size. The table benefited from bringing these</w:t>
            </w:r>
            <w:r w:rsidR="00C64837" w:rsidRPr="00CC0FF3">
              <w:t xml:space="preserve"> 2</w:t>
            </w:r>
            <w:r w:rsidRPr="00CC0FF3">
              <w:t xml:space="preserve"> columns together, and the table re-ordered from left to right based on (i) type of toxicity data, (ii) sample size and (iii) adequacy of </w:t>
            </w:r>
            <w:r w:rsidR="007602BB">
              <w:t>species sensitivity distribution</w:t>
            </w:r>
            <w:r w:rsidRPr="00CC0FF3">
              <w:t xml:space="preserve"> model fit</w:t>
            </w:r>
          </w:p>
          <w:p w14:paraId="6D72FCB4" w14:textId="091036DC" w:rsidR="0088460E" w:rsidRPr="00CC0FF3" w:rsidRDefault="0088460E" w:rsidP="00DB49B7">
            <w:pPr>
              <w:pStyle w:val="TableText"/>
            </w:pPr>
            <w:r w:rsidRPr="00CC0FF3">
              <w:t xml:space="preserve">Also added reference to the case where the reliability of </w:t>
            </w:r>
            <w:r w:rsidR="002F456A">
              <w:t>guideline value</w:t>
            </w:r>
            <w:r w:rsidRPr="00CC0FF3">
              <w:t>s based on combined freshwater and marine data are not down-graded if either of the</w:t>
            </w:r>
            <w:r w:rsidR="00C64837" w:rsidRPr="00CC0FF3">
              <w:t xml:space="preserve"> 2</w:t>
            </w:r>
            <w:r w:rsidRPr="00CC0FF3">
              <w:t xml:space="preserve"> criteria specified in Section </w:t>
            </w:r>
            <w:r w:rsidR="004328DD" w:rsidRPr="00CC0FF3">
              <w:fldChar w:fldCharType="begin"/>
            </w:r>
            <w:r w:rsidR="004328DD" w:rsidRPr="00CC0FF3">
              <w:instrText xml:space="preserve"> REF _Ref202088703 \r \h </w:instrText>
            </w:r>
            <w:r w:rsidR="00CC0FF3">
              <w:instrText xml:space="preserve"> \* MERGEFORMAT </w:instrText>
            </w:r>
            <w:r w:rsidR="004328DD" w:rsidRPr="00CC0FF3">
              <w:fldChar w:fldCharType="separate"/>
            </w:r>
            <w:r w:rsidR="006C5761">
              <w:t>0</w:t>
            </w:r>
            <w:r w:rsidR="004328DD" w:rsidRPr="00CC0FF3">
              <w:fldChar w:fldCharType="end"/>
            </w:r>
            <w:r w:rsidRPr="00CC0FF3">
              <w:t xml:space="preserve"> have been met</w:t>
            </w:r>
          </w:p>
          <w:p w14:paraId="08A528FD" w14:textId="72CC7D7B" w:rsidR="00823955" w:rsidRPr="00CC0FF3" w:rsidRDefault="002F456A" w:rsidP="00DB49B7">
            <w:pPr>
              <w:pStyle w:val="TableText"/>
            </w:pPr>
            <w:r>
              <w:t>T</w:t>
            </w:r>
            <w:r w:rsidR="00823955" w:rsidRPr="00CC0FF3">
              <w:t xml:space="preserve">he number of species for </w:t>
            </w:r>
            <w:r w:rsidR="00DC69AA">
              <w:t>‘</w:t>
            </w:r>
            <w:r w:rsidR="00823955" w:rsidRPr="00CC0FF3">
              <w:t>adequate</w:t>
            </w:r>
            <w:r w:rsidR="00DC69AA">
              <w:t>’</w:t>
            </w:r>
            <w:r w:rsidR="00823955" w:rsidRPr="00CC0FF3">
              <w:t xml:space="preserve"> datasets (from 5</w:t>
            </w:r>
            <w:r>
              <w:t>–</w:t>
            </w:r>
            <w:r w:rsidR="00823955" w:rsidRPr="00CC0FF3">
              <w:t>7 to 6</w:t>
            </w:r>
            <w:r>
              <w:t>–</w:t>
            </w:r>
            <w:r w:rsidR="00823955" w:rsidRPr="00CC0FF3">
              <w:t xml:space="preserve">7) </w:t>
            </w:r>
            <w:r>
              <w:t xml:space="preserve">also needed to be updated </w:t>
            </w:r>
            <w:r w:rsidR="00823955" w:rsidRPr="00CC0FF3">
              <w:t>to reflect the new minimum dataset size</w:t>
            </w:r>
          </w:p>
        </w:tc>
      </w:tr>
      <w:tr w:rsidR="00823955" w:rsidRPr="00FA309D" w14:paraId="79680141" w14:textId="77777777" w:rsidTr="00AE4AC5">
        <w:trPr>
          <w:trHeight w:val="20"/>
        </w:trPr>
        <w:tc>
          <w:tcPr>
            <w:tcW w:w="1560" w:type="dxa"/>
            <w:tcBorders>
              <w:top w:val="single" w:sz="4" w:space="0" w:color="auto"/>
              <w:bottom w:val="single" w:sz="4" w:space="0" w:color="auto"/>
            </w:tcBorders>
          </w:tcPr>
          <w:p w14:paraId="0DD93178" w14:textId="22D2D28A" w:rsidR="00823955" w:rsidRPr="00CC0FF3" w:rsidRDefault="00326329" w:rsidP="00DB49B7">
            <w:pPr>
              <w:pStyle w:val="TableText"/>
            </w:pPr>
            <w:r w:rsidRPr="00CC0FF3">
              <w:t xml:space="preserve">Section </w:t>
            </w:r>
            <w:r w:rsidRPr="00CC0FF3">
              <w:fldChar w:fldCharType="begin"/>
            </w:r>
            <w:r w:rsidRPr="00CC0FF3">
              <w:instrText xml:space="preserve"> REF _Ref522007919 \r \h </w:instrText>
            </w:r>
            <w:r w:rsidR="00CC0FF3">
              <w:instrText xml:space="preserve"> \* MERGEFORMAT </w:instrText>
            </w:r>
            <w:r w:rsidRPr="00CC0FF3">
              <w:fldChar w:fldCharType="separate"/>
            </w:r>
            <w:r w:rsidR="006C5761">
              <w:t>3.9</w:t>
            </w:r>
            <w:r w:rsidRPr="00CC0FF3">
              <w:fldChar w:fldCharType="end"/>
            </w:r>
            <w:r w:rsidR="00823955" w:rsidRPr="00CC0FF3">
              <w:t xml:space="preserve"> </w:t>
            </w:r>
            <w:r w:rsidR="00E27E05">
              <w:t>‘</w:t>
            </w:r>
            <w:r w:rsidR="00823955" w:rsidRPr="00CC0FF3">
              <w:t xml:space="preserve">Accounting for the potential </w:t>
            </w:r>
            <w:r w:rsidR="00E27E05">
              <w:t xml:space="preserve">for chemicals </w:t>
            </w:r>
            <w:r w:rsidR="00823955" w:rsidRPr="00CC0FF3">
              <w:t>to bioaccumulate</w:t>
            </w:r>
          </w:p>
        </w:tc>
        <w:tc>
          <w:tcPr>
            <w:tcW w:w="4531" w:type="dxa"/>
            <w:tcBorders>
              <w:top w:val="single" w:sz="4" w:space="0" w:color="auto"/>
              <w:bottom w:val="single" w:sz="4" w:space="0" w:color="auto"/>
            </w:tcBorders>
          </w:tcPr>
          <w:p w14:paraId="4E6A279A" w14:textId="041647E1" w:rsidR="00823955" w:rsidRPr="005038A4" w:rsidRDefault="00823955" w:rsidP="00DB49B7">
            <w:pPr>
              <w:pStyle w:val="TableText"/>
            </w:pPr>
            <w:r w:rsidRPr="00CC0FF3">
              <w:t xml:space="preserve">Updated this section to reflect updated guidance </w:t>
            </w:r>
            <w:r w:rsidR="005038A4">
              <w:t>on the</w:t>
            </w:r>
            <w:r w:rsidRPr="00CC0FF3">
              <w:t xml:space="preserve"> </w:t>
            </w:r>
            <w:hyperlink r:id="rId54" w:anchor="bioaccumulation" w:history="1">
              <w:r w:rsidR="005038A4" w:rsidRPr="005038A4">
                <w:rPr>
                  <w:rStyle w:val="Hyperlink"/>
                  <w:i/>
                  <w:iCs/>
                </w:rPr>
                <w:t>Bioaccumulation</w:t>
              </w:r>
            </w:hyperlink>
            <w:r w:rsidR="005038A4" w:rsidRPr="005038A4">
              <w:t xml:space="preserve"> webpage</w:t>
            </w:r>
          </w:p>
        </w:tc>
        <w:tc>
          <w:tcPr>
            <w:tcW w:w="7796" w:type="dxa"/>
            <w:tcBorders>
              <w:top w:val="single" w:sz="4" w:space="0" w:color="auto"/>
              <w:bottom w:val="single" w:sz="4" w:space="0" w:color="auto"/>
            </w:tcBorders>
          </w:tcPr>
          <w:p w14:paraId="597E22AC" w14:textId="77777777" w:rsidR="00823955" w:rsidRPr="003A3590" w:rsidRDefault="00823955" w:rsidP="00DB49B7">
            <w:pPr>
              <w:pStyle w:val="TableText"/>
              <w:rPr>
                <w:i/>
                <w:iCs/>
              </w:rPr>
            </w:pPr>
            <w:r w:rsidRPr="003A3590">
              <w:rPr>
                <w:i/>
                <w:iCs/>
              </w:rPr>
              <w:t>To reflect updated guidance on ANZG (2018) website and associated content (e.g. technical briefs)</w:t>
            </w:r>
          </w:p>
          <w:p w14:paraId="5705179F" w14:textId="3FB1086F" w:rsidR="00823955" w:rsidRPr="00CC0FF3" w:rsidRDefault="00823955" w:rsidP="00DB49B7">
            <w:pPr>
              <w:pStyle w:val="TableText"/>
            </w:pPr>
            <w:r w:rsidRPr="00CC0FF3">
              <w:t xml:space="preserve">The guidance on the ANZG </w:t>
            </w:r>
            <w:r w:rsidR="005038A4">
              <w:t xml:space="preserve">(2018) </w:t>
            </w:r>
            <w:r w:rsidRPr="00CC0FF3">
              <w:t>website for how to deal with bioaccumulation was significantly updated in mid/late 2019 following concerns of misapplication, particularly for</w:t>
            </w:r>
            <w:r w:rsidR="00B70B4F">
              <w:t xml:space="preserve"> assessments of</w:t>
            </w:r>
            <w:r w:rsidRPr="00CC0FF3">
              <w:t xml:space="preserve"> </w:t>
            </w:r>
            <w:r w:rsidR="00B70B4F">
              <w:t>perfluorooctane sulfonate</w:t>
            </w:r>
            <w:r w:rsidRPr="00CC0FF3">
              <w:t xml:space="preserve">. The updated guidance underwent a rigorous jurisdictional review process. The guidance in Warne et al. (2018) was relatively detailed and mostly consistent with the original website guidance and, thus, needed to be revised to align with the new website guidance. The updated guidance now focuses on how to deal with bioaccumulation when deriving </w:t>
            </w:r>
            <w:r w:rsidR="005057AF">
              <w:t>guideline value</w:t>
            </w:r>
            <w:r w:rsidRPr="00CC0FF3">
              <w:t xml:space="preserve">s rather than also when applying </w:t>
            </w:r>
            <w:r w:rsidR="005057AF">
              <w:t>guideline value</w:t>
            </w:r>
            <w:r w:rsidRPr="00CC0FF3">
              <w:t xml:space="preserve">s, </w:t>
            </w:r>
            <w:r w:rsidR="00251876">
              <w:t>the latter being</w:t>
            </w:r>
            <w:r w:rsidRPr="00CC0FF3">
              <w:t xml:space="preserve"> the role of the ANZG </w:t>
            </w:r>
            <w:r w:rsidR="005057AF">
              <w:t xml:space="preserve">(2018) </w:t>
            </w:r>
            <w:r w:rsidRPr="00CC0FF3">
              <w:t>website</w:t>
            </w:r>
            <w:r w:rsidR="00251876">
              <w:t xml:space="preserve"> rather than</w:t>
            </w:r>
            <w:r w:rsidRPr="00CC0FF3">
              <w:t xml:space="preserve"> the </w:t>
            </w:r>
            <w:r w:rsidR="005057AF">
              <w:t>guideline value</w:t>
            </w:r>
            <w:r w:rsidRPr="00CC0FF3">
              <w:t xml:space="preserve"> derivation method</w:t>
            </w:r>
          </w:p>
        </w:tc>
      </w:tr>
      <w:tr w:rsidR="00823955" w:rsidRPr="00FA309D" w14:paraId="648366BE" w14:textId="77777777" w:rsidTr="00AE4AC5">
        <w:trPr>
          <w:trHeight w:val="20"/>
        </w:trPr>
        <w:tc>
          <w:tcPr>
            <w:tcW w:w="1560" w:type="dxa"/>
            <w:tcBorders>
              <w:top w:val="single" w:sz="4" w:space="0" w:color="auto"/>
              <w:bottom w:val="single" w:sz="4" w:space="0" w:color="auto"/>
            </w:tcBorders>
          </w:tcPr>
          <w:p w14:paraId="26051A4B" w14:textId="15694F47" w:rsidR="00823955" w:rsidRPr="00FA309D" w:rsidRDefault="00326329" w:rsidP="00DB49B7">
            <w:pPr>
              <w:pStyle w:val="TableText"/>
            </w:pPr>
            <w:r w:rsidRPr="00FA309D">
              <w:t xml:space="preserve">Section </w:t>
            </w:r>
            <w:r w:rsidRPr="00FA309D">
              <w:fldChar w:fldCharType="begin"/>
            </w:r>
            <w:r w:rsidRPr="00FA309D">
              <w:instrText xml:space="preserve"> REF _Ref202090492 \r \h </w:instrText>
            </w:r>
            <w:r w:rsidR="00CC0FF3">
              <w:instrText xml:space="preserve"> \* MERGEFORMAT </w:instrText>
            </w:r>
            <w:r w:rsidRPr="00FA309D">
              <w:fldChar w:fldCharType="separate"/>
            </w:r>
            <w:r w:rsidR="006C5761">
              <w:t>3.10</w:t>
            </w:r>
            <w:r w:rsidRPr="00FA309D">
              <w:fldChar w:fldCharType="end"/>
            </w:r>
            <w:r w:rsidR="00823955" w:rsidRPr="00FA309D">
              <w:t xml:space="preserve"> </w:t>
            </w:r>
            <w:r w:rsidR="00E27E05">
              <w:t>‘</w:t>
            </w:r>
            <w:r w:rsidR="00823955" w:rsidRPr="00FA309D">
              <w:t>Accounting for formulations</w:t>
            </w:r>
            <w:r w:rsidR="00E27E05">
              <w:t>’</w:t>
            </w:r>
          </w:p>
        </w:tc>
        <w:tc>
          <w:tcPr>
            <w:tcW w:w="4531" w:type="dxa"/>
            <w:tcBorders>
              <w:top w:val="single" w:sz="4" w:space="0" w:color="auto"/>
              <w:bottom w:val="single" w:sz="4" w:space="0" w:color="auto"/>
            </w:tcBorders>
          </w:tcPr>
          <w:p w14:paraId="2CCE7681" w14:textId="7F2752CF" w:rsidR="00823955" w:rsidRPr="00FA309D" w:rsidRDefault="00823955" w:rsidP="00DB49B7">
            <w:pPr>
              <w:pStyle w:val="TableText"/>
            </w:pPr>
            <w:r w:rsidRPr="00FA309D">
              <w:t>Section completely updated</w:t>
            </w:r>
          </w:p>
        </w:tc>
        <w:tc>
          <w:tcPr>
            <w:tcW w:w="7796" w:type="dxa"/>
            <w:tcBorders>
              <w:top w:val="single" w:sz="4" w:space="0" w:color="auto"/>
              <w:bottom w:val="single" w:sz="4" w:space="0" w:color="auto"/>
            </w:tcBorders>
          </w:tcPr>
          <w:p w14:paraId="07A502BE" w14:textId="22A0D480" w:rsidR="00823955" w:rsidRPr="003A3590" w:rsidRDefault="00823955" w:rsidP="00DB49B7">
            <w:pPr>
              <w:pStyle w:val="TableText"/>
              <w:rPr>
                <w:i/>
                <w:iCs/>
              </w:rPr>
            </w:pPr>
            <w:r w:rsidRPr="003A3590">
              <w:rPr>
                <w:i/>
                <w:iCs/>
              </w:rPr>
              <w:t xml:space="preserve">To </w:t>
            </w:r>
            <w:r w:rsidR="003A3590">
              <w:rPr>
                <w:i/>
                <w:iCs/>
              </w:rPr>
              <w:t>clarify and improve</w:t>
            </w:r>
            <w:r w:rsidRPr="003A3590">
              <w:rPr>
                <w:i/>
                <w:iCs/>
              </w:rPr>
              <w:t xml:space="preserve"> specific aspects of the derivation method</w:t>
            </w:r>
          </w:p>
          <w:p w14:paraId="6066D843" w14:textId="39CA784B" w:rsidR="00823955" w:rsidRPr="00FA309D" w:rsidRDefault="00823955" w:rsidP="00DB49B7">
            <w:pPr>
              <w:pStyle w:val="TableText"/>
            </w:pPr>
            <w:r w:rsidRPr="00FA309D">
              <w:t xml:space="preserve">This section was completely revised following jurisdictional committee comments on a draft </w:t>
            </w:r>
            <w:r w:rsidR="006A0D8E">
              <w:t>default guideline value</w:t>
            </w:r>
            <w:r w:rsidRPr="00FA309D">
              <w:t>s technical brief, in relation to how formulation data were treated. The existing text was deemed to provide impractical or even non-implementable guidance. From an implementation</w:t>
            </w:r>
            <w:r w:rsidR="00507203">
              <w:t xml:space="preserve"> or </w:t>
            </w:r>
            <w:r w:rsidRPr="00FA309D">
              <w:t>practicality perspective, the revised text is considered to be fit for purpose</w:t>
            </w:r>
          </w:p>
        </w:tc>
      </w:tr>
      <w:tr w:rsidR="00823955" w:rsidRPr="00FA309D" w14:paraId="1840ED67" w14:textId="77777777" w:rsidTr="00AE4AC5">
        <w:trPr>
          <w:trHeight w:val="20"/>
        </w:trPr>
        <w:tc>
          <w:tcPr>
            <w:tcW w:w="1560" w:type="dxa"/>
            <w:tcBorders>
              <w:top w:val="single" w:sz="4" w:space="0" w:color="auto"/>
              <w:bottom w:val="single" w:sz="4" w:space="0" w:color="auto"/>
            </w:tcBorders>
          </w:tcPr>
          <w:p w14:paraId="20097026" w14:textId="6B0A78E4" w:rsidR="00823955" w:rsidRPr="00FA309D" w:rsidRDefault="00326329" w:rsidP="00DB49B7">
            <w:pPr>
              <w:pStyle w:val="TableText"/>
            </w:pPr>
            <w:r w:rsidRPr="00FA309D">
              <w:lastRenderedPageBreak/>
              <w:t xml:space="preserve">Section </w:t>
            </w:r>
            <w:r w:rsidRPr="00FA309D">
              <w:fldChar w:fldCharType="begin"/>
            </w:r>
            <w:r w:rsidRPr="00FA309D">
              <w:instrText xml:space="preserve"> REF _Ref202090482 \r \h </w:instrText>
            </w:r>
            <w:r w:rsidR="00CC0FF3">
              <w:instrText xml:space="preserve"> \* MERGEFORMAT </w:instrText>
            </w:r>
            <w:r w:rsidRPr="00FA309D">
              <w:fldChar w:fldCharType="separate"/>
            </w:r>
            <w:r w:rsidR="006C5761">
              <w:t>3.11</w:t>
            </w:r>
            <w:r w:rsidRPr="00FA309D">
              <w:fldChar w:fldCharType="end"/>
            </w:r>
            <w:r w:rsidR="00823955" w:rsidRPr="00FA309D">
              <w:t xml:space="preserve"> </w:t>
            </w:r>
            <w:r w:rsidR="00E27E05">
              <w:t>‘</w:t>
            </w:r>
            <w:r w:rsidR="00823955" w:rsidRPr="00FA309D">
              <w:t>Reality</w:t>
            </w:r>
            <w:r w:rsidR="006A0D8E">
              <w:t>-</w:t>
            </w:r>
            <w:r w:rsidR="00823955" w:rsidRPr="00FA309D">
              <w:t>checking the guideline values</w:t>
            </w:r>
            <w:r w:rsidR="00E27E05">
              <w:t>’</w:t>
            </w:r>
          </w:p>
        </w:tc>
        <w:tc>
          <w:tcPr>
            <w:tcW w:w="4531" w:type="dxa"/>
            <w:tcBorders>
              <w:top w:val="single" w:sz="4" w:space="0" w:color="auto"/>
              <w:bottom w:val="single" w:sz="4" w:space="0" w:color="auto"/>
            </w:tcBorders>
          </w:tcPr>
          <w:p w14:paraId="25203594" w14:textId="091E91FB" w:rsidR="00823955" w:rsidRPr="00FA309D" w:rsidRDefault="00823955" w:rsidP="00DB49B7">
            <w:pPr>
              <w:pStyle w:val="TableText"/>
            </w:pPr>
            <w:r w:rsidRPr="00FA309D">
              <w:t xml:space="preserve">Improved the clarity of the guidance on how to </w:t>
            </w:r>
            <w:r w:rsidR="00DC69AA">
              <w:t>‘</w:t>
            </w:r>
            <w:r w:rsidRPr="00FA309D">
              <w:t>reality</w:t>
            </w:r>
            <w:r w:rsidR="006A0D8E">
              <w:t>-</w:t>
            </w:r>
            <w:r w:rsidRPr="00FA309D">
              <w:t>check</w:t>
            </w:r>
            <w:r w:rsidR="00DC69AA">
              <w:t>’</w:t>
            </w:r>
            <w:r w:rsidRPr="00FA309D">
              <w:t xml:space="preserve"> the draft </w:t>
            </w:r>
            <w:r w:rsidR="006A0D8E">
              <w:t>default guideline value</w:t>
            </w:r>
            <w:r w:rsidRPr="00FA309D">
              <w:t>s</w:t>
            </w:r>
          </w:p>
        </w:tc>
        <w:tc>
          <w:tcPr>
            <w:tcW w:w="7796" w:type="dxa"/>
            <w:tcBorders>
              <w:top w:val="single" w:sz="4" w:space="0" w:color="auto"/>
              <w:bottom w:val="single" w:sz="4" w:space="0" w:color="auto"/>
            </w:tcBorders>
          </w:tcPr>
          <w:p w14:paraId="5FB42516" w14:textId="74D2F4D1" w:rsidR="00823955" w:rsidRPr="003A3590" w:rsidRDefault="00823955" w:rsidP="00DB49B7">
            <w:pPr>
              <w:pStyle w:val="TableText"/>
              <w:rPr>
                <w:i/>
                <w:iCs/>
              </w:rPr>
            </w:pPr>
            <w:r w:rsidRPr="003A3590">
              <w:rPr>
                <w:i/>
                <w:iCs/>
              </w:rPr>
              <w:t xml:space="preserve">To </w:t>
            </w:r>
            <w:r w:rsidR="003A3590">
              <w:rPr>
                <w:i/>
                <w:iCs/>
              </w:rPr>
              <w:t>clarify and improve</w:t>
            </w:r>
            <w:r w:rsidRPr="003A3590">
              <w:rPr>
                <w:i/>
                <w:iCs/>
              </w:rPr>
              <w:t xml:space="preserve"> specific aspects of the derivation method</w:t>
            </w:r>
          </w:p>
          <w:p w14:paraId="1CFFB149" w14:textId="223A4D5F" w:rsidR="00592E96" w:rsidRPr="00FA309D" w:rsidRDefault="00823955" w:rsidP="009414C1">
            <w:pPr>
              <w:pStyle w:val="TableText"/>
            </w:pPr>
            <w:r w:rsidRPr="00FA309D">
              <w:t xml:space="preserve">The text in Warne et al. (2018) was ambiguous in parts, and some users had expressed some confusion over the method to reality check the draft </w:t>
            </w:r>
            <w:r w:rsidR="00507203">
              <w:t>default guideline value</w:t>
            </w:r>
            <w:r w:rsidRPr="00FA309D">
              <w:t xml:space="preserve">s. The text </w:t>
            </w:r>
            <w:r w:rsidR="00507203">
              <w:t>was</w:t>
            </w:r>
            <w:r w:rsidRPr="00FA309D">
              <w:t xml:space="preserve"> updated</w:t>
            </w:r>
          </w:p>
        </w:tc>
      </w:tr>
      <w:tr w:rsidR="00FE33EF" w:rsidRPr="00FA309D" w14:paraId="78AE1639" w14:textId="77777777" w:rsidTr="00AE4AC5">
        <w:trPr>
          <w:trHeight w:val="20"/>
        </w:trPr>
        <w:tc>
          <w:tcPr>
            <w:tcW w:w="1560" w:type="dxa"/>
            <w:tcBorders>
              <w:top w:val="single" w:sz="4" w:space="0" w:color="auto"/>
              <w:bottom w:val="single" w:sz="4" w:space="0" w:color="auto"/>
            </w:tcBorders>
          </w:tcPr>
          <w:p w14:paraId="1CAC4A14" w14:textId="44949301" w:rsidR="00FE33EF" w:rsidRPr="00FA309D" w:rsidRDefault="00FE33EF" w:rsidP="00DB49B7">
            <w:pPr>
              <w:pStyle w:val="TableText"/>
            </w:pPr>
            <w:r>
              <w:t xml:space="preserve">Section </w:t>
            </w:r>
            <w:r w:rsidR="00577147">
              <w:fldChar w:fldCharType="begin"/>
            </w:r>
            <w:r w:rsidR="00577147">
              <w:instrText xml:space="preserve"> REF _Ref206080488 \r \h </w:instrText>
            </w:r>
            <w:r w:rsidR="00577147">
              <w:fldChar w:fldCharType="separate"/>
            </w:r>
            <w:r w:rsidR="006C5761">
              <w:t>5</w:t>
            </w:r>
            <w:r w:rsidR="00577147">
              <w:fldChar w:fldCharType="end"/>
            </w:r>
            <w:r>
              <w:t xml:space="preserve"> ‘</w:t>
            </w:r>
            <w:bookmarkStart w:id="176" w:name="_Toc202456263"/>
            <w:r w:rsidRPr="001E4452">
              <w:t xml:space="preserve">Ensuring transparency in the derivation of </w:t>
            </w:r>
            <w:r>
              <w:t>guideline</w:t>
            </w:r>
            <w:r w:rsidRPr="001E4452">
              <w:t xml:space="preserve"> values</w:t>
            </w:r>
            <w:bookmarkEnd w:id="176"/>
            <w:r>
              <w:t>’</w:t>
            </w:r>
          </w:p>
        </w:tc>
        <w:tc>
          <w:tcPr>
            <w:tcW w:w="4531" w:type="dxa"/>
            <w:tcBorders>
              <w:top w:val="single" w:sz="4" w:space="0" w:color="auto"/>
              <w:bottom w:val="single" w:sz="4" w:space="0" w:color="auto"/>
            </w:tcBorders>
          </w:tcPr>
          <w:p w14:paraId="18A2975E" w14:textId="0BE4F39C" w:rsidR="00FE33EF" w:rsidRPr="00FA309D" w:rsidRDefault="00FE33EF" w:rsidP="00DB49B7">
            <w:pPr>
              <w:pStyle w:val="TableText"/>
            </w:pPr>
            <w:r>
              <w:t>Added s</w:t>
            </w:r>
            <w:r w:rsidRPr="00FA309D">
              <w:t xml:space="preserve">everal examples of documentation of professional judgement decisions from recently published </w:t>
            </w:r>
            <w:r>
              <w:t>default guideline value</w:t>
            </w:r>
            <w:r w:rsidRPr="00FA309D">
              <w:t>s</w:t>
            </w:r>
          </w:p>
        </w:tc>
        <w:tc>
          <w:tcPr>
            <w:tcW w:w="7796" w:type="dxa"/>
            <w:tcBorders>
              <w:top w:val="single" w:sz="4" w:space="0" w:color="auto"/>
              <w:bottom w:val="single" w:sz="4" w:space="0" w:color="auto"/>
            </w:tcBorders>
          </w:tcPr>
          <w:p w14:paraId="2041F640" w14:textId="77777777" w:rsidR="00FE33EF" w:rsidRPr="001D59C2" w:rsidRDefault="00FE33EF" w:rsidP="00FE33EF">
            <w:pPr>
              <w:pStyle w:val="TableText"/>
              <w:rPr>
                <w:i/>
                <w:iCs/>
              </w:rPr>
            </w:pPr>
            <w:r w:rsidRPr="001D59C2">
              <w:rPr>
                <w:i/>
                <w:iCs/>
              </w:rPr>
              <w:t xml:space="preserve">To </w:t>
            </w:r>
            <w:r>
              <w:rPr>
                <w:i/>
                <w:iCs/>
              </w:rPr>
              <w:t>clarify and improve</w:t>
            </w:r>
            <w:r w:rsidRPr="001D59C2">
              <w:rPr>
                <w:i/>
                <w:iCs/>
              </w:rPr>
              <w:t xml:space="preserve"> specific aspects of the derivation method</w:t>
            </w:r>
          </w:p>
          <w:p w14:paraId="3095AA2C" w14:textId="37B01995" w:rsidR="00FE33EF" w:rsidRPr="003A3590" w:rsidRDefault="00FE33EF" w:rsidP="00DB49B7">
            <w:pPr>
              <w:pStyle w:val="TableText"/>
              <w:rPr>
                <w:i/>
                <w:iCs/>
              </w:rPr>
            </w:pPr>
            <w:r>
              <w:t xml:space="preserve">Examples of documented professional judgement processes from recent </w:t>
            </w:r>
            <w:r w:rsidR="00C80183">
              <w:t xml:space="preserve">default guideline value </w:t>
            </w:r>
            <w:r>
              <w:t>derivations were added to help users understand what level of documentation is required. This addition was in response to a peer</w:t>
            </w:r>
            <w:r w:rsidR="00C80183">
              <w:t>-</w:t>
            </w:r>
            <w:r>
              <w:t>review comment.</w:t>
            </w:r>
          </w:p>
        </w:tc>
      </w:tr>
      <w:tr w:rsidR="000223F8" w:rsidRPr="00FA309D" w14:paraId="08FA3B3E" w14:textId="77777777" w:rsidTr="00AE4AC5">
        <w:trPr>
          <w:trHeight w:val="20"/>
        </w:trPr>
        <w:tc>
          <w:tcPr>
            <w:tcW w:w="1560" w:type="dxa"/>
            <w:tcBorders>
              <w:top w:val="single" w:sz="4" w:space="0" w:color="auto"/>
              <w:bottom w:val="single" w:sz="12" w:space="0" w:color="auto"/>
            </w:tcBorders>
          </w:tcPr>
          <w:p w14:paraId="3576C912" w14:textId="2EC48508" w:rsidR="000223F8" w:rsidRPr="00FA309D" w:rsidRDefault="000223F8" w:rsidP="00DB49B7">
            <w:pPr>
              <w:pStyle w:val="TableText"/>
            </w:pPr>
            <w:r w:rsidRPr="00FA309D">
              <w:t>References</w:t>
            </w:r>
          </w:p>
        </w:tc>
        <w:tc>
          <w:tcPr>
            <w:tcW w:w="4531" w:type="dxa"/>
            <w:tcBorders>
              <w:top w:val="single" w:sz="4" w:space="0" w:color="auto"/>
              <w:bottom w:val="single" w:sz="12" w:space="0" w:color="auto"/>
            </w:tcBorders>
          </w:tcPr>
          <w:p w14:paraId="290C955A" w14:textId="3D683C7E" w:rsidR="000223F8" w:rsidRPr="00FA309D" w:rsidRDefault="000223F8" w:rsidP="00DB49B7">
            <w:pPr>
              <w:pStyle w:val="TableText"/>
            </w:pPr>
            <w:r w:rsidRPr="00FA309D">
              <w:t>Supporting references for revisions added</w:t>
            </w:r>
          </w:p>
        </w:tc>
        <w:tc>
          <w:tcPr>
            <w:tcW w:w="7796" w:type="dxa"/>
            <w:tcBorders>
              <w:top w:val="single" w:sz="4" w:space="0" w:color="auto"/>
              <w:bottom w:val="single" w:sz="12" w:space="0" w:color="auto"/>
            </w:tcBorders>
          </w:tcPr>
          <w:p w14:paraId="62CA610E" w14:textId="62E59207" w:rsidR="000223F8" w:rsidRPr="003A3590" w:rsidRDefault="000223F8" w:rsidP="00DB49B7">
            <w:pPr>
              <w:pStyle w:val="TableText"/>
              <w:rPr>
                <w:i/>
                <w:iCs/>
              </w:rPr>
            </w:pPr>
            <w:r w:rsidRPr="003A3590">
              <w:rPr>
                <w:i/>
                <w:iCs/>
              </w:rPr>
              <w:t>To provide sufficient supporting information</w:t>
            </w:r>
          </w:p>
        </w:tc>
      </w:tr>
    </w:tbl>
    <w:p w14:paraId="3109504D" w14:textId="77777777" w:rsidR="00FA53F7" w:rsidRDefault="00FA53F7" w:rsidP="004D7186">
      <w:pPr>
        <w:rPr>
          <w:lang w:eastAsia="ja-JP"/>
        </w:rPr>
      </w:pPr>
    </w:p>
    <w:p w14:paraId="7476EC73" w14:textId="77777777" w:rsidR="00FA53F7" w:rsidRDefault="00FA53F7" w:rsidP="004D7186">
      <w:pPr>
        <w:rPr>
          <w:lang w:eastAsia="ja-JP"/>
        </w:rPr>
        <w:sectPr w:rsidR="00FA53F7" w:rsidSect="00733937">
          <w:headerReference w:type="even" r:id="rId55"/>
          <w:headerReference w:type="default" r:id="rId56"/>
          <w:footerReference w:type="default" r:id="rId57"/>
          <w:headerReference w:type="first" r:id="rId58"/>
          <w:pgSz w:w="16838" w:h="11906" w:orient="landscape"/>
          <w:pgMar w:top="1418" w:right="1418" w:bottom="1418" w:left="1418" w:header="567" w:footer="283" w:gutter="0"/>
          <w:cols w:space="708"/>
          <w:docGrid w:linePitch="360"/>
        </w:sectPr>
      </w:pPr>
    </w:p>
    <w:p w14:paraId="42239BFC" w14:textId="08DEFAC8" w:rsidR="00D636A6" w:rsidRDefault="005138AB" w:rsidP="004C272A">
      <w:pPr>
        <w:pStyle w:val="Heading7"/>
      </w:pPr>
      <w:bookmarkStart w:id="177" w:name="_Toc202084782"/>
      <w:bookmarkStart w:id="178" w:name="_Ref202085516"/>
      <w:bookmarkStart w:id="179" w:name="_Toc206143342"/>
      <w:bookmarkEnd w:id="166"/>
      <w:bookmarkEnd w:id="167"/>
      <w:bookmarkEnd w:id="168"/>
      <w:bookmarkEnd w:id="169"/>
      <w:r>
        <w:lastRenderedPageBreak/>
        <w:t>Data</w:t>
      </w:r>
      <w:r w:rsidR="009B6EFE">
        <w:t>-</w:t>
      </w:r>
      <w:r>
        <w:t xml:space="preserve">quality scoring </w:t>
      </w:r>
      <w:r w:rsidR="00E80E8A">
        <w:t>system</w:t>
      </w:r>
      <w:bookmarkEnd w:id="177"/>
      <w:bookmarkEnd w:id="178"/>
      <w:bookmarkEnd w:id="179"/>
    </w:p>
    <w:p w14:paraId="392A8953" w14:textId="4ACB4A21" w:rsidR="005110DE" w:rsidRDefault="00C562C3" w:rsidP="005110DE">
      <w:pPr>
        <w:pStyle w:val="Caption"/>
      </w:pPr>
      <w:bookmarkStart w:id="180" w:name="_Toc206085227"/>
      <w:r>
        <w:t>Table</w:t>
      </w:r>
      <w:r w:rsidR="000B093C">
        <w:t> </w:t>
      </w:r>
      <w:r w:rsidR="00594F1C">
        <w:fldChar w:fldCharType="begin"/>
      </w:r>
      <w:r w:rsidR="00594F1C">
        <w:instrText xml:space="preserve"> STYLEREF 7 \s </w:instrText>
      </w:r>
      <w:r w:rsidR="00594F1C">
        <w:fldChar w:fldCharType="separate"/>
      </w:r>
      <w:r w:rsidR="006C5761">
        <w:rPr>
          <w:noProof/>
        </w:rPr>
        <w:t>B</w:t>
      </w:r>
      <w:r w:rsidR="00594F1C">
        <w:rPr>
          <w:noProof/>
        </w:rPr>
        <w:fldChar w:fldCharType="end"/>
      </w:r>
      <w:r>
        <w:t>.</w:t>
      </w:r>
      <w:r w:rsidR="00594F1C">
        <w:fldChar w:fldCharType="begin"/>
      </w:r>
      <w:r w:rsidR="00594F1C">
        <w:instrText xml:space="preserve"> SEQ ApxTable \* ARABIC \s 7 </w:instrText>
      </w:r>
      <w:r w:rsidR="00594F1C">
        <w:fldChar w:fldCharType="separate"/>
      </w:r>
      <w:r w:rsidR="006C5761">
        <w:rPr>
          <w:noProof/>
        </w:rPr>
        <w:t>1</w:t>
      </w:r>
      <w:r w:rsidR="00594F1C">
        <w:rPr>
          <w:noProof/>
        </w:rPr>
        <w:fldChar w:fldCharType="end"/>
      </w:r>
      <w:r>
        <w:t xml:space="preserve"> </w:t>
      </w:r>
      <w:r w:rsidR="005110DE" w:rsidRPr="00D636A6">
        <w:t xml:space="preserve">Scoring system for assessing the quality of toxicity data for </w:t>
      </w:r>
      <w:r w:rsidR="00381DBB">
        <w:t>organics</w:t>
      </w:r>
      <w:r w:rsidR="005110DE" w:rsidRPr="00D636A6">
        <w:t xml:space="preserve"> to freshwater non-plants</w:t>
      </w:r>
      <w:r w:rsidR="005110DE">
        <w:t>,</w:t>
      </w:r>
      <w:r w:rsidR="005110DE" w:rsidRPr="00D636A6">
        <w:t xml:space="preserve"> to be used in the derivation of guideline values for toxicants</w:t>
      </w:r>
      <w:bookmarkEnd w:id="180"/>
    </w:p>
    <w:tbl>
      <w:tblPr>
        <w:tblW w:w="0" w:type="auto"/>
        <w:tblLayout w:type="fixed"/>
        <w:tblLook w:val="04A0" w:firstRow="1" w:lastRow="0" w:firstColumn="1" w:lastColumn="0" w:noHBand="0" w:noVBand="1"/>
      </w:tblPr>
      <w:tblGrid>
        <w:gridCol w:w="709"/>
        <w:gridCol w:w="6521"/>
        <w:gridCol w:w="1790"/>
      </w:tblGrid>
      <w:tr w:rsidR="00C60281" w:rsidRPr="00B1499A" w14:paraId="093CC357" w14:textId="77777777" w:rsidTr="0069786C">
        <w:trPr>
          <w:cantSplit/>
          <w:trHeight w:val="320"/>
          <w:tblHeader/>
        </w:trPr>
        <w:tc>
          <w:tcPr>
            <w:tcW w:w="709" w:type="dxa"/>
            <w:tcBorders>
              <w:top w:val="single" w:sz="12" w:space="0" w:color="auto"/>
              <w:left w:val="nil"/>
              <w:bottom w:val="single" w:sz="12" w:space="0" w:color="auto"/>
              <w:right w:val="nil"/>
            </w:tcBorders>
            <w:noWrap/>
            <w:hideMark/>
          </w:tcPr>
          <w:p w14:paraId="7ECD4673" w14:textId="6F86147B" w:rsidR="00C60281" w:rsidRPr="00B1499A" w:rsidRDefault="00C60281" w:rsidP="002208E5">
            <w:pPr>
              <w:pStyle w:val="TableHeading"/>
            </w:pPr>
            <w:r>
              <w:t>No.</w:t>
            </w:r>
          </w:p>
        </w:tc>
        <w:tc>
          <w:tcPr>
            <w:tcW w:w="6521" w:type="dxa"/>
            <w:tcBorders>
              <w:top w:val="single" w:sz="12" w:space="0" w:color="auto"/>
              <w:left w:val="nil"/>
              <w:bottom w:val="single" w:sz="12" w:space="0" w:color="auto"/>
              <w:right w:val="nil"/>
            </w:tcBorders>
          </w:tcPr>
          <w:p w14:paraId="2FE31523" w14:textId="03A4DFC1" w:rsidR="00C60281" w:rsidRPr="00B1499A" w:rsidRDefault="00C60281" w:rsidP="002208E5">
            <w:pPr>
              <w:pStyle w:val="TableHeading"/>
            </w:pPr>
            <w:r>
              <w:t>Question</w:t>
            </w:r>
          </w:p>
        </w:tc>
        <w:tc>
          <w:tcPr>
            <w:tcW w:w="1790" w:type="dxa"/>
            <w:tcBorders>
              <w:top w:val="single" w:sz="12" w:space="0" w:color="auto"/>
              <w:left w:val="nil"/>
              <w:bottom w:val="single" w:sz="12" w:space="0" w:color="auto"/>
              <w:right w:val="nil"/>
            </w:tcBorders>
            <w:noWrap/>
            <w:hideMark/>
          </w:tcPr>
          <w:p w14:paraId="35AEAD57" w14:textId="24589D88" w:rsidR="00C60281" w:rsidRPr="00B1499A" w:rsidRDefault="00C60281" w:rsidP="002208E5">
            <w:pPr>
              <w:pStyle w:val="TableHeading"/>
            </w:pPr>
            <w:r>
              <w:t>Score</w:t>
            </w:r>
            <w:r w:rsidRPr="00F67D15">
              <w:rPr>
                <w:vertAlign w:val="superscript"/>
              </w:rPr>
              <w:t>a</w:t>
            </w:r>
          </w:p>
        </w:tc>
      </w:tr>
      <w:tr w:rsidR="005E2E82" w:rsidRPr="00903169" w14:paraId="50F8CC8E" w14:textId="77777777" w:rsidTr="00E118AF">
        <w:trPr>
          <w:cantSplit/>
          <w:trHeight w:val="320"/>
        </w:trPr>
        <w:tc>
          <w:tcPr>
            <w:tcW w:w="7230" w:type="dxa"/>
            <w:gridSpan w:val="2"/>
            <w:tcBorders>
              <w:top w:val="single" w:sz="12" w:space="0" w:color="auto"/>
              <w:left w:val="nil"/>
              <w:bottom w:val="single" w:sz="12" w:space="0" w:color="auto"/>
              <w:right w:val="nil"/>
            </w:tcBorders>
            <w:noWrap/>
            <w:hideMark/>
          </w:tcPr>
          <w:p w14:paraId="7B1EA72F" w14:textId="76A01EC7" w:rsidR="005E2E82" w:rsidRPr="005E2E82" w:rsidRDefault="005E2E82" w:rsidP="005E2E82">
            <w:pPr>
              <w:pStyle w:val="TableText"/>
              <w:rPr>
                <w:b/>
                <w:bCs/>
              </w:rPr>
            </w:pPr>
            <w:r w:rsidRPr="002171FA">
              <w:rPr>
                <w:b/>
                <w:bCs/>
              </w:rPr>
              <w:t>A. G</w:t>
            </w:r>
            <w:r>
              <w:rPr>
                <w:b/>
                <w:bCs/>
              </w:rPr>
              <w:t>eneral test design information</w:t>
            </w:r>
          </w:p>
        </w:tc>
        <w:tc>
          <w:tcPr>
            <w:tcW w:w="1790" w:type="dxa"/>
            <w:tcBorders>
              <w:top w:val="single" w:sz="12" w:space="0" w:color="auto"/>
              <w:left w:val="nil"/>
              <w:bottom w:val="single" w:sz="12" w:space="0" w:color="auto"/>
              <w:right w:val="nil"/>
            </w:tcBorders>
            <w:noWrap/>
            <w:hideMark/>
          </w:tcPr>
          <w:p w14:paraId="6200BA52" w14:textId="77C9B738" w:rsidR="005E2E82" w:rsidRPr="00B1499A" w:rsidRDefault="005E2E82" w:rsidP="005E2E82">
            <w:pPr>
              <w:pStyle w:val="TableText"/>
            </w:pPr>
          </w:p>
        </w:tc>
      </w:tr>
      <w:tr w:rsidR="00CB0F5B" w:rsidRPr="00B1499A" w14:paraId="5558ACFF" w14:textId="77777777" w:rsidTr="0069786C">
        <w:trPr>
          <w:cantSplit/>
          <w:trHeight w:val="320"/>
        </w:trPr>
        <w:tc>
          <w:tcPr>
            <w:tcW w:w="709" w:type="dxa"/>
            <w:tcBorders>
              <w:top w:val="single" w:sz="12" w:space="0" w:color="auto"/>
              <w:left w:val="nil"/>
              <w:bottom w:val="single" w:sz="4" w:space="0" w:color="auto"/>
              <w:right w:val="nil"/>
            </w:tcBorders>
            <w:hideMark/>
          </w:tcPr>
          <w:p w14:paraId="73CC4B95" w14:textId="1086D403" w:rsidR="00CB0F5B" w:rsidRPr="00B1499A" w:rsidRDefault="00CB0F5B" w:rsidP="00CB0F5B">
            <w:pPr>
              <w:pStyle w:val="TableText"/>
            </w:pPr>
            <w:r w:rsidRPr="00B1499A">
              <w:t>1</w:t>
            </w:r>
          </w:p>
        </w:tc>
        <w:tc>
          <w:tcPr>
            <w:tcW w:w="6521" w:type="dxa"/>
            <w:tcBorders>
              <w:top w:val="single" w:sz="12" w:space="0" w:color="auto"/>
              <w:left w:val="nil"/>
              <w:bottom w:val="single" w:sz="4" w:space="0" w:color="auto"/>
              <w:right w:val="nil"/>
            </w:tcBorders>
            <w:hideMark/>
          </w:tcPr>
          <w:p w14:paraId="7F7C97D3" w14:textId="2CA85165" w:rsidR="00CB0F5B" w:rsidRPr="00B1499A" w:rsidRDefault="00CB0F5B" w:rsidP="00CB0F5B">
            <w:pPr>
              <w:pStyle w:val="TableText"/>
              <w:rPr>
                <w:color w:val="000000"/>
              </w:rPr>
            </w:pPr>
            <w:r w:rsidRPr="57352DF8">
              <w:t>Was the duration of the exposure stated (</w:t>
            </w:r>
            <w:r>
              <w:t>e.g.</w:t>
            </w:r>
            <w:r w:rsidRPr="57352DF8">
              <w:t xml:space="preserve"> 48</w:t>
            </w:r>
            <w:r>
              <w:t xml:space="preserve"> h,</w:t>
            </w:r>
            <w:r w:rsidRPr="57352DF8">
              <w:t xml:space="preserve"> 96 h)?</w:t>
            </w:r>
          </w:p>
        </w:tc>
        <w:tc>
          <w:tcPr>
            <w:tcW w:w="1790" w:type="dxa"/>
            <w:tcBorders>
              <w:top w:val="single" w:sz="12" w:space="0" w:color="auto"/>
              <w:left w:val="nil"/>
              <w:bottom w:val="single" w:sz="4" w:space="0" w:color="auto"/>
              <w:right w:val="nil"/>
            </w:tcBorders>
            <w:hideMark/>
          </w:tcPr>
          <w:p w14:paraId="69D96DDD" w14:textId="50474809" w:rsidR="00CB0F5B" w:rsidRPr="00B1499A" w:rsidRDefault="00CB0F5B" w:rsidP="00CB0F5B">
            <w:pPr>
              <w:pStyle w:val="TableText"/>
            </w:pPr>
            <w:r w:rsidRPr="00B1499A">
              <w:t>Yes (3), No (0/FAIL)</w:t>
            </w:r>
          </w:p>
        </w:tc>
      </w:tr>
      <w:tr w:rsidR="00CB0F5B" w:rsidRPr="00B1499A" w14:paraId="45BF9F17" w14:textId="77777777" w:rsidTr="0069786C">
        <w:trPr>
          <w:cantSplit/>
          <w:trHeight w:val="1040"/>
        </w:trPr>
        <w:tc>
          <w:tcPr>
            <w:tcW w:w="709" w:type="dxa"/>
            <w:tcBorders>
              <w:top w:val="single" w:sz="4" w:space="0" w:color="auto"/>
              <w:left w:val="nil"/>
              <w:bottom w:val="single" w:sz="4" w:space="0" w:color="auto"/>
              <w:right w:val="nil"/>
            </w:tcBorders>
            <w:hideMark/>
          </w:tcPr>
          <w:p w14:paraId="45F19A30" w14:textId="59A371E3" w:rsidR="00CB0F5B" w:rsidRPr="00B1499A" w:rsidRDefault="00CB0F5B" w:rsidP="00CB0F5B">
            <w:pPr>
              <w:pStyle w:val="TableText"/>
            </w:pPr>
            <w:r w:rsidRPr="00B1499A">
              <w:t>2</w:t>
            </w:r>
          </w:p>
        </w:tc>
        <w:tc>
          <w:tcPr>
            <w:tcW w:w="6521" w:type="dxa"/>
            <w:tcBorders>
              <w:top w:val="single" w:sz="4" w:space="0" w:color="auto"/>
              <w:left w:val="nil"/>
              <w:bottom w:val="single" w:sz="4" w:space="0" w:color="auto"/>
              <w:right w:val="nil"/>
            </w:tcBorders>
            <w:hideMark/>
          </w:tcPr>
          <w:p w14:paraId="60B4FE53" w14:textId="50B55A91" w:rsidR="00CB0F5B" w:rsidRPr="00B1499A" w:rsidRDefault="00CB0F5B" w:rsidP="00CB0F5B">
            <w:pPr>
              <w:pStyle w:val="TableText"/>
              <w:rPr>
                <w:color w:val="000000"/>
              </w:rPr>
            </w:pPr>
            <w:r w:rsidRPr="57352DF8">
              <w:t>Was the biological endpoint (</w:t>
            </w:r>
            <w:r>
              <w:t>e.g.</w:t>
            </w:r>
            <w:r w:rsidRPr="57352DF8">
              <w:t xml:space="preserve"> immobilisation</w:t>
            </w:r>
            <w:r>
              <w:t>,</w:t>
            </w:r>
            <w:r w:rsidRPr="57352DF8">
              <w:t xml:space="preserve"> population growth) stated? Note: </w:t>
            </w:r>
            <w:r>
              <w:t>e</w:t>
            </w:r>
            <w:r w:rsidRPr="57352DF8">
              <w:t xml:space="preserve">nsure that the endpoint is considered to be ecologically relevant. </w:t>
            </w:r>
            <w:r w:rsidR="003E565F">
              <w:t>Do not use e</w:t>
            </w:r>
            <w:r w:rsidRPr="57352DF8">
              <w:t>ndpoints with no demonstrated ecological relevance to derive guideline values</w:t>
            </w:r>
            <w:r w:rsidR="00236FD0">
              <w:t>,</w:t>
            </w:r>
            <w:r w:rsidRPr="57352DF8">
              <w:t xml:space="preserve"> and </w:t>
            </w:r>
            <w:r w:rsidR="00EA1935">
              <w:t xml:space="preserve">they </w:t>
            </w:r>
            <w:r w:rsidRPr="57352DF8">
              <w:t xml:space="preserve">do not need </w:t>
            </w:r>
            <w:r w:rsidR="00EA1935">
              <w:t>their</w:t>
            </w:r>
            <w:r w:rsidRPr="57352DF8">
              <w:t xml:space="preserve"> quality assessed.</w:t>
            </w:r>
          </w:p>
        </w:tc>
        <w:tc>
          <w:tcPr>
            <w:tcW w:w="1790" w:type="dxa"/>
            <w:tcBorders>
              <w:top w:val="single" w:sz="4" w:space="0" w:color="auto"/>
              <w:left w:val="nil"/>
              <w:bottom w:val="single" w:sz="4" w:space="0" w:color="auto"/>
              <w:right w:val="nil"/>
            </w:tcBorders>
            <w:hideMark/>
          </w:tcPr>
          <w:p w14:paraId="1A8D9CA8" w14:textId="5860405F" w:rsidR="00CB0F5B" w:rsidRPr="00B1499A" w:rsidRDefault="00CB0F5B" w:rsidP="00CB0F5B">
            <w:pPr>
              <w:pStyle w:val="TableText"/>
            </w:pPr>
            <w:r w:rsidRPr="00B1499A">
              <w:t>Yes (3), No (0/FAIL)</w:t>
            </w:r>
          </w:p>
        </w:tc>
      </w:tr>
      <w:tr w:rsidR="00CB0F5B" w:rsidRPr="00B1499A" w14:paraId="104EF658" w14:textId="77777777" w:rsidTr="0069786C">
        <w:trPr>
          <w:cantSplit/>
          <w:trHeight w:val="780"/>
        </w:trPr>
        <w:tc>
          <w:tcPr>
            <w:tcW w:w="709" w:type="dxa"/>
            <w:tcBorders>
              <w:top w:val="single" w:sz="4" w:space="0" w:color="auto"/>
              <w:left w:val="nil"/>
              <w:bottom w:val="single" w:sz="4" w:space="0" w:color="auto"/>
              <w:right w:val="nil"/>
            </w:tcBorders>
            <w:hideMark/>
          </w:tcPr>
          <w:p w14:paraId="634708D3" w14:textId="7F92523A" w:rsidR="00CB0F5B" w:rsidRPr="00B1499A" w:rsidRDefault="00CB0F5B" w:rsidP="00CB0F5B">
            <w:pPr>
              <w:pStyle w:val="TableText"/>
            </w:pPr>
            <w:r w:rsidRPr="00B1499A">
              <w:t>3</w:t>
            </w:r>
          </w:p>
        </w:tc>
        <w:tc>
          <w:tcPr>
            <w:tcW w:w="6521" w:type="dxa"/>
            <w:tcBorders>
              <w:top w:val="single" w:sz="4" w:space="0" w:color="auto"/>
              <w:left w:val="nil"/>
              <w:bottom w:val="single" w:sz="4" w:space="0" w:color="auto"/>
              <w:right w:val="nil"/>
            </w:tcBorders>
            <w:hideMark/>
          </w:tcPr>
          <w:p w14:paraId="372A6DD4" w14:textId="6FBFEEAC" w:rsidR="00CB0F5B" w:rsidRPr="00B1499A" w:rsidRDefault="00CB0F5B" w:rsidP="00CB0F5B">
            <w:pPr>
              <w:pStyle w:val="TableText"/>
              <w:rPr>
                <w:color w:val="000000"/>
              </w:rPr>
            </w:pPr>
            <w:r w:rsidRPr="57352DF8">
              <w:t xml:space="preserve">Was the measure of toxicity reported (e.g. NEC, ECx, NOEC) </w:t>
            </w:r>
            <w:r w:rsidRPr="00CA02BC">
              <w:rPr>
                <w:b/>
                <w:bCs/>
              </w:rPr>
              <w:t>and</w:t>
            </w:r>
            <w:r w:rsidRPr="57352DF8">
              <w:t xml:space="preserve"> its associated biological</w:t>
            </w:r>
            <w:r w:rsidR="00371EB5">
              <w:t>-</w:t>
            </w:r>
            <w:r w:rsidRPr="57352DF8">
              <w:t>effect size reported or quantifiable from the data (e.g. EC10, LC50, 15% effect at NOEC)?</w:t>
            </w:r>
          </w:p>
        </w:tc>
        <w:tc>
          <w:tcPr>
            <w:tcW w:w="1790" w:type="dxa"/>
            <w:tcBorders>
              <w:top w:val="single" w:sz="4" w:space="0" w:color="auto"/>
              <w:left w:val="nil"/>
              <w:bottom w:val="single" w:sz="4" w:space="0" w:color="auto"/>
              <w:right w:val="nil"/>
            </w:tcBorders>
            <w:hideMark/>
          </w:tcPr>
          <w:p w14:paraId="71C43C6C" w14:textId="313425E9" w:rsidR="00CB0F5B" w:rsidRPr="00B1499A" w:rsidRDefault="00CB0F5B" w:rsidP="00CB0F5B">
            <w:pPr>
              <w:pStyle w:val="TableText"/>
            </w:pPr>
            <w:r w:rsidRPr="00B1499A">
              <w:t>Yes (3), No (0/FAIL)</w:t>
            </w:r>
          </w:p>
        </w:tc>
      </w:tr>
      <w:tr w:rsidR="00CB0F5B" w:rsidRPr="00B1499A" w14:paraId="1E8CC053" w14:textId="77777777" w:rsidTr="0069786C">
        <w:trPr>
          <w:cantSplit/>
          <w:trHeight w:val="320"/>
        </w:trPr>
        <w:tc>
          <w:tcPr>
            <w:tcW w:w="709" w:type="dxa"/>
            <w:tcBorders>
              <w:top w:val="single" w:sz="4" w:space="0" w:color="auto"/>
              <w:left w:val="nil"/>
              <w:bottom w:val="single" w:sz="4" w:space="0" w:color="auto"/>
              <w:right w:val="nil"/>
            </w:tcBorders>
            <w:hideMark/>
          </w:tcPr>
          <w:p w14:paraId="404D523B" w14:textId="389F2500" w:rsidR="00CB0F5B" w:rsidRPr="00B1499A" w:rsidRDefault="00CB0F5B" w:rsidP="00CB0F5B">
            <w:pPr>
              <w:pStyle w:val="TableText"/>
            </w:pPr>
            <w:r w:rsidRPr="00B1499A">
              <w:t>4</w:t>
            </w:r>
          </w:p>
        </w:tc>
        <w:tc>
          <w:tcPr>
            <w:tcW w:w="6521" w:type="dxa"/>
            <w:tcBorders>
              <w:top w:val="single" w:sz="4" w:space="0" w:color="auto"/>
              <w:left w:val="nil"/>
              <w:bottom w:val="single" w:sz="4" w:space="0" w:color="auto"/>
              <w:right w:val="nil"/>
            </w:tcBorders>
            <w:hideMark/>
          </w:tcPr>
          <w:p w14:paraId="7158671D" w14:textId="3908397F" w:rsidR="00CB0F5B" w:rsidRPr="00B1499A" w:rsidRDefault="00CB0F5B" w:rsidP="00CB0F5B">
            <w:pPr>
              <w:pStyle w:val="TableText"/>
              <w:rPr>
                <w:color w:val="000000"/>
              </w:rPr>
            </w:pPr>
            <w:r w:rsidRPr="57352DF8">
              <w:t>Were appropriate controls (</w:t>
            </w:r>
            <w:r>
              <w:t>e.g.</w:t>
            </w:r>
            <w:r w:rsidRPr="57352DF8">
              <w:t xml:space="preserve"> no-toxicant control</w:t>
            </w:r>
            <w:r>
              <w:t>,</w:t>
            </w:r>
            <w:r w:rsidRPr="57352DF8">
              <w:t xml:space="preserve"> solvent control) used?</w:t>
            </w:r>
          </w:p>
        </w:tc>
        <w:tc>
          <w:tcPr>
            <w:tcW w:w="1790" w:type="dxa"/>
            <w:tcBorders>
              <w:top w:val="single" w:sz="4" w:space="0" w:color="auto"/>
              <w:left w:val="nil"/>
              <w:bottom w:val="single" w:sz="4" w:space="0" w:color="auto"/>
              <w:right w:val="nil"/>
            </w:tcBorders>
            <w:hideMark/>
          </w:tcPr>
          <w:p w14:paraId="6778C0E3" w14:textId="6B347158" w:rsidR="00CB0F5B" w:rsidRPr="00B1499A" w:rsidRDefault="00CB0F5B" w:rsidP="00CB0F5B">
            <w:pPr>
              <w:pStyle w:val="TableText"/>
            </w:pPr>
            <w:r w:rsidRPr="00B1499A">
              <w:t>Yes (3), No (0/FAIL)</w:t>
            </w:r>
            <w:r w:rsidRPr="00F67D15">
              <w:rPr>
                <w:vertAlign w:val="superscript"/>
              </w:rPr>
              <w:t>b</w:t>
            </w:r>
          </w:p>
        </w:tc>
      </w:tr>
      <w:tr w:rsidR="00CB0F5B" w:rsidRPr="00A22B40" w14:paraId="26D0DFE7" w14:textId="77777777" w:rsidTr="0069786C">
        <w:trPr>
          <w:cantSplit/>
          <w:trHeight w:val="520"/>
        </w:trPr>
        <w:tc>
          <w:tcPr>
            <w:tcW w:w="709" w:type="dxa"/>
            <w:tcBorders>
              <w:top w:val="single" w:sz="4" w:space="0" w:color="auto"/>
              <w:left w:val="nil"/>
              <w:bottom w:val="single" w:sz="4" w:space="0" w:color="auto"/>
              <w:right w:val="nil"/>
            </w:tcBorders>
            <w:hideMark/>
          </w:tcPr>
          <w:p w14:paraId="18BAED4C" w14:textId="55ED2079" w:rsidR="00CB0F5B" w:rsidRPr="00B1499A" w:rsidRDefault="00CB0F5B" w:rsidP="00CB0F5B">
            <w:pPr>
              <w:pStyle w:val="TableText"/>
            </w:pPr>
            <w:r w:rsidRPr="00B1499A">
              <w:t>5</w:t>
            </w:r>
          </w:p>
        </w:tc>
        <w:tc>
          <w:tcPr>
            <w:tcW w:w="6521" w:type="dxa"/>
            <w:tcBorders>
              <w:top w:val="single" w:sz="4" w:space="0" w:color="auto"/>
              <w:left w:val="nil"/>
              <w:bottom w:val="single" w:sz="4" w:space="0" w:color="auto"/>
              <w:right w:val="nil"/>
            </w:tcBorders>
            <w:hideMark/>
          </w:tcPr>
          <w:p w14:paraId="562E387A" w14:textId="0503A431" w:rsidR="00CB0F5B" w:rsidRPr="00B1499A" w:rsidRDefault="00CB0F5B" w:rsidP="00CB0F5B">
            <w:pPr>
              <w:pStyle w:val="TableText"/>
            </w:pPr>
            <w:r w:rsidRPr="57352DF8">
              <w:t>How may treatment concentrations were used (in addition to the control)?</w:t>
            </w:r>
          </w:p>
        </w:tc>
        <w:tc>
          <w:tcPr>
            <w:tcW w:w="1790" w:type="dxa"/>
            <w:tcBorders>
              <w:top w:val="single" w:sz="4" w:space="0" w:color="auto"/>
              <w:left w:val="nil"/>
              <w:bottom w:val="single" w:sz="4" w:space="0" w:color="auto"/>
              <w:right w:val="nil"/>
            </w:tcBorders>
            <w:hideMark/>
          </w:tcPr>
          <w:p w14:paraId="46397F2E" w14:textId="4FCC67E5" w:rsidR="00CB0F5B" w:rsidRPr="00B1499A" w:rsidRDefault="00CB0F5B" w:rsidP="00CB0F5B">
            <w:pPr>
              <w:pStyle w:val="TableText"/>
            </w:pPr>
            <w:r w:rsidRPr="00B1499A">
              <w:t>≥</w:t>
            </w:r>
            <w:r>
              <w:t> </w:t>
            </w:r>
            <w:r w:rsidRPr="00B1499A">
              <w:t>9 (3), 6</w:t>
            </w:r>
            <w:r>
              <w:t>–</w:t>
            </w:r>
            <w:r w:rsidRPr="00B1499A">
              <w:t>8 (2), 3</w:t>
            </w:r>
            <w:r>
              <w:t>–</w:t>
            </w:r>
            <w:r w:rsidRPr="00B1499A">
              <w:t>5 (1), &lt;</w:t>
            </w:r>
            <w:r>
              <w:t> </w:t>
            </w:r>
            <w:r w:rsidRPr="00B1499A">
              <w:t>3 (0/FAIL)</w:t>
            </w:r>
            <w:r w:rsidRPr="00F67D15">
              <w:rPr>
                <w:color w:val="000000"/>
                <w:vertAlign w:val="superscript"/>
              </w:rPr>
              <w:t>b</w:t>
            </w:r>
          </w:p>
        </w:tc>
      </w:tr>
      <w:tr w:rsidR="00CB0F5B" w:rsidRPr="00A22B40" w14:paraId="79E9ABB1" w14:textId="77777777" w:rsidTr="0069786C">
        <w:trPr>
          <w:cantSplit/>
          <w:trHeight w:val="520"/>
        </w:trPr>
        <w:tc>
          <w:tcPr>
            <w:tcW w:w="709" w:type="dxa"/>
            <w:tcBorders>
              <w:top w:val="single" w:sz="4" w:space="0" w:color="auto"/>
              <w:left w:val="nil"/>
              <w:bottom w:val="single" w:sz="4" w:space="0" w:color="auto"/>
              <w:right w:val="nil"/>
            </w:tcBorders>
            <w:hideMark/>
          </w:tcPr>
          <w:p w14:paraId="362A72BE" w14:textId="6FBAAC0F" w:rsidR="00CB0F5B" w:rsidRPr="00B1499A" w:rsidRDefault="00CB0F5B" w:rsidP="00CB0F5B">
            <w:pPr>
              <w:pStyle w:val="TableText"/>
            </w:pPr>
            <w:r w:rsidRPr="00B1499A">
              <w:t>6</w:t>
            </w:r>
          </w:p>
        </w:tc>
        <w:tc>
          <w:tcPr>
            <w:tcW w:w="6521" w:type="dxa"/>
            <w:tcBorders>
              <w:top w:val="single" w:sz="4" w:space="0" w:color="auto"/>
              <w:left w:val="nil"/>
              <w:bottom w:val="single" w:sz="4" w:space="0" w:color="auto"/>
              <w:right w:val="nil"/>
            </w:tcBorders>
            <w:hideMark/>
          </w:tcPr>
          <w:p w14:paraId="1580A3FD" w14:textId="0BBD59B8" w:rsidR="00CB0F5B" w:rsidRPr="00B1499A" w:rsidRDefault="00CB0F5B" w:rsidP="00CB0F5B">
            <w:pPr>
              <w:pStyle w:val="TableText"/>
            </w:pPr>
            <w:r w:rsidRPr="00B1499A">
              <w:t xml:space="preserve">What was the test concentration spacing? Note: </w:t>
            </w:r>
            <w:r>
              <w:t>a</w:t>
            </w:r>
            <w:r w:rsidRPr="00B1499A">
              <w:t xml:space="preserve"> spacing of &lt;</w:t>
            </w:r>
            <w:r>
              <w:t> </w:t>
            </w:r>
            <w:r w:rsidRPr="00B1499A">
              <w:t>3.2 is highly preferred, while a spacing of ≥</w:t>
            </w:r>
            <w:r>
              <w:t> </w:t>
            </w:r>
            <w:r w:rsidRPr="00B1499A">
              <w:t>10 is too great</w:t>
            </w:r>
            <w:r>
              <w:t>.</w:t>
            </w:r>
          </w:p>
        </w:tc>
        <w:tc>
          <w:tcPr>
            <w:tcW w:w="1790" w:type="dxa"/>
            <w:tcBorders>
              <w:top w:val="single" w:sz="4" w:space="0" w:color="auto"/>
              <w:left w:val="nil"/>
              <w:bottom w:val="single" w:sz="4" w:space="0" w:color="auto"/>
              <w:right w:val="nil"/>
            </w:tcBorders>
            <w:hideMark/>
          </w:tcPr>
          <w:p w14:paraId="031FE6E6" w14:textId="03DA5528" w:rsidR="00CB0F5B" w:rsidRPr="00B1499A" w:rsidRDefault="00CB0F5B" w:rsidP="00CB0F5B">
            <w:pPr>
              <w:pStyle w:val="TableText"/>
            </w:pPr>
            <w:r w:rsidRPr="00B1499A">
              <w:t>≤</w:t>
            </w:r>
            <w:r>
              <w:t> </w:t>
            </w:r>
            <w:r w:rsidRPr="00B1499A">
              <w:t>3.2 (3), 3.3</w:t>
            </w:r>
            <w:r>
              <w:t>–</w:t>
            </w:r>
            <w:r w:rsidRPr="00B1499A">
              <w:t>9 (1), ≥</w:t>
            </w:r>
            <w:r>
              <w:t> </w:t>
            </w:r>
            <w:r w:rsidRPr="00B1499A">
              <w:t>10 (0/FAIL)</w:t>
            </w:r>
            <w:r w:rsidRPr="00F67D15">
              <w:rPr>
                <w:color w:val="000000"/>
                <w:vertAlign w:val="superscript"/>
              </w:rPr>
              <w:t>b</w:t>
            </w:r>
          </w:p>
        </w:tc>
      </w:tr>
      <w:tr w:rsidR="00CB0F5B" w:rsidRPr="00A22B40" w14:paraId="4AEB6917" w14:textId="77777777" w:rsidTr="0069786C">
        <w:trPr>
          <w:cantSplit/>
          <w:trHeight w:val="780"/>
        </w:trPr>
        <w:tc>
          <w:tcPr>
            <w:tcW w:w="709" w:type="dxa"/>
            <w:tcBorders>
              <w:top w:val="single" w:sz="4" w:space="0" w:color="auto"/>
              <w:left w:val="nil"/>
              <w:bottom w:val="single" w:sz="4" w:space="0" w:color="auto"/>
              <w:right w:val="nil"/>
            </w:tcBorders>
            <w:hideMark/>
          </w:tcPr>
          <w:p w14:paraId="146C909A" w14:textId="6A0197BA" w:rsidR="00CB0F5B" w:rsidRPr="00B1499A" w:rsidRDefault="00CB0F5B" w:rsidP="00CB0F5B">
            <w:pPr>
              <w:pStyle w:val="TableText"/>
            </w:pPr>
            <w:r w:rsidRPr="00B1499A">
              <w:t>7</w:t>
            </w:r>
          </w:p>
        </w:tc>
        <w:tc>
          <w:tcPr>
            <w:tcW w:w="6521" w:type="dxa"/>
            <w:tcBorders>
              <w:top w:val="single" w:sz="4" w:space="0" w:color="auto"/>
              <w:left w:val="nil"/>
              <w:bottom w:val="single" w:sz="4" w:space="0" w:color="auto"/>
              <w:right w:val="nil"/>
            </w:tcBorders>
            <w:hideMark/>
          </w:tcPr>
          <w:p w14:paraId="23F4328C" w14:textId="674CFCF6" w:rsidR="00CB0F5B" w:rsidRPr="00B1499A" w:rsidRDefault="00CB0F5B" w:rsidP="00CB0F5B">
            <w:pPr>
              <w:pStyle w:val="TableText"/>
            </w:pPr>
            <w:r w:rsidRPr="00B1499A">
              <w:t xml:space="preserve">Was each control and chemical concentration at least duplicated? Note: for concentration-response modelling, it is also </w:t>
            </w:r>
            <w:r w:rsidRPr="00A22B40">
              <w:t>acceptable</w:t>
            </w:r>
            <w:r w:rsidRPr="00B1499A">
              <w:t xml:space="preserve"> to have many concentrations (e.g</w:t>
            </w:r>
            <w:r>
              <w:t>.</w:t>
            </w:r>
            <w:r w:rsidRPr="00B1499A">
              <w:t xml:space="preserve"> &gt;</w:t>
            </w:r>
            <w:r>
              <w:t> </w:t>
            </w:r>
            <w:r w:rsidRPr="00B1499A">
              <w:t>15) without replication (assuming the controls are replicated).</w:t>
            </w:r>
          </w:p>
        </w:tc>
        <w:tc>
          <w:tcPr>
            <w:tcW w:w="1790" w:type="dxa"/>
            <w:tcBorders>
              <w:top w:val="single" w:sz="4" w:space="0" w:color="auto"/>
              <w:left w:val="nil"/>
              <w:bottom w:val="single" w:sz="4" w:space="0" w:color="auto"/>
              <w:right w:val="nil"/>
            </w:tcBorders>
            <w:hideMark/>
          </w:tcPr>
          <w:p w14:paraId="6A43ED17" w14:textId="0F914D2D" w:rsidR="00CB0F5B" w:rsidRPr="00B1499A" w:rsidRDefault="00CB0F5B" w:rsidP="00CB0F5B">
            <w:pPr>
              <w:pStyle w:val="TableText"/>
            </w:pPr>
            <w:r w:rsidRPr="00B1499A">
              <w:t>Yes (3), No (0/FAIL)</w:t>
            </w:r>
          </w:p>
        </w:tc>
      </w:tr>
      <w:tr w:rsidR="00CB0F5B" w:rsidRPr="00B1499A" w14:paraId="4824C9B5" w14:textId="77777777" w:rsidTr="0069786C">
        <w:trPr>
          <w:cantSplit/>
          <w:trHeight w:val="320"/>
        </w:trPr>
        <w:tc>
          <w:tcPr>
            <w:tcW w:w="709" w:type="dxa"/>
            <w:tcBorders>
              <w:top w:val="single" w:sz="4" w:space="0" w:color="auto"/>
              <w:left w:val="nil"/>
              <w:bottom w:val="single" w:sz="4" w:space="0" w:color="auto"/>
              <w:right w:val="nil"/>
            </w:tcBorders>
            <w:hideMark/>
          </w:tcPr>
          <w:p w14:paraId="442B7A1C" w14:textId="544A7430" w:rsidR="00CB0F5B" w:rsidRPr="00B1499A" w:rsidRDefault="00CB0F5B" w:rsidP="00CB0F5B">
            <w:pPr>
              <w:pStyle w:val="TableText"/>
            </w:pPr>
            <w:r w:rsidRPr="00B1499A">
              <w:t>8</w:t>
            </w:r>
          </w:p>
        </w:tc>
        <w:tc>
          <w:tcPr>
            <w:tcW w:w="6521" w:type="dxa"/>
            <w:tcBorders>
              <w:top w:val="single" w:sz="4" w:space="0" w:color="auto"/>
              <w:left w:val="nil"/>
              <w:bottom w:val="single" w:sz="4" w:space="0" w:color="auto"/>
              <w:right w:val="nil"/>
            </w:tcBorders>
            <w:hideMark/>
          </w:tcPr>
          <w:p w14:paraId="52F86D72" w14:textId="2B425312" w:rsidR="00CB0F5B" w:rsidRPr="00B1499A" w:rsidRDefault="00CB0F5B" w:rsidP="00CB0F5B">
            <w:pPr>
              <w:pStyle w:val="TableText"/>
              <w:rPr>
                <w:color w:val="000000"/>
              </w:rPr>
            </w:pPr>
            <w:r w:rsidRPr="57352DF8">
              <w:t>Were the characteristics of the test organism (</w:t>
            </w:r>
            <w:r>
              <w:t>e.g.</w:t>
            </w:r>
            <w:r w:rsidRPr="57352DF8">
              <w:t xml:space="preserve"> length, mass, age) stated?</w:t>
            </w:r>
          </w:p>
        </w:tc>
        <w:tc>
          <w:tcPr>
            <w:tcW w:w="1790" w:type="dxa"/>
            <w:tcBorders>
              <w:top w:val="single" w:sz="4" w:space="0" w:color="auto"/>
              <w:left w:val="nil"/>
              <w:bottom w:val="single" w:sz="4" w:space="0" w:color="auto"/>
              <w:right w:val="nil"/>
            </w:tcBorders>
            <w:hideMark/>
          </w:tcPr>
          <w:p w14:paraId="1F8B901F" w14:textId="2A799316" w:rsidR="00CB0F5B" w:rsidRPr="00B1499A" w:rsidRDefault="00CB0F5B" w:rsidP="00CB0F5B">
            <w:pPr>
              <w:pStyle w:val="TableText"/>
            </w:pPr>
            <w:r w:rsidRPr="00B1499A">
              <w:t>Yes (3), No (0)</w:t>
            </w:r>
          </w:p>
        </w:tc>
      </w:tr>
      <w:tr w:rsidR="00CB0F5B" w:rsidRPr="00A22B40" w14:paraId="58B8465B" w14:textId="77777777" w:rsidTr="0069786C">
        <w:trPr>
          <w:cantSplit/>
          <w:trHeight w:val="520"/>
        </w:trPr>
        <w:tc>
          <w:tcPr>
            <w:tcW w:w="709" w:type="dxa"/>
            <w:tcBorders>
              <w:top w:val="single" w:sz="4" w:space="0" w:color="auto"/>
              <w:left w:val="nil"/>
              <w:bottom w:val="single" w:sz="4" w:space="0" w:color="auto"/>
              <w:right w:val="nil"/>
            </w:tcBorders>
            <w:hideMark/>
          </w:tcPr>
          <w:p w14:paraId="465AF36E" w14:textId="150C79A7" w:rsidR="00CB0F5B" w:rsidRPr="00B1499A" w:rsidRDefault="00CB0F5B" w:rsidP="00CB0F5B">
            <w:pPr>
              <w:pStyle w:val="TableText"/>
            </w:pPr>
            <w:r w:rsidRPr="00B1499A">
              <w:t>9</w:t>
            </w:r>
          </w:p>
        </w:tc>
        <w:tc>
          <w:tcPr>
            <w:tcW w:w="6521" w:type="dxa"/>
            <w:tcBorders>
              <w:top w:val="single" w:sz="4" w:space="0" w:color="auto"/>
              <w:left w:val="nil"/>
              <w:bottom w:val="single" w:sz="4" w:space="0" w:color="auto"/>
              <w:right w:val="nil"/>
            </w:tcBorders>
            <w:hideMark/>
          </w:tcPr>
          <w:p w14:paraId="2A399229" w14:textId="1AA3BA29" w:rsidR="00CB0F5B" w:rsidRPr="00B1499A" w:rsidRDefault="00CB0F5B" w:rsidP="00CB0F5B">
            <w:pPr>
              <w:pStyle w:val="TableText"/>
            </w:pPr>
            <w:r w:rsidRPr="57352DF8">
              <w:t>Was the type of test medium used stated (e.g. synthetic or natural water? If synthetic, to what recipe? If natural, what source? Filtered or unfiltered?)</w:t>
            </w:r>
            <w:r>
              <w:t>?</w:t>
            </w:r>
          </w:p>
        </w:tc>
        <w:tc>
          <w:tcPr>
            <w:tcW w:w="1790" w:type="dxa"/>
            <w:tcBorders>
              <w:top w:val="single" w:sz="4" w:space="0" w:color="auto"/>
              <w:left w:val="nil"/>
              <w:bottom w:val="single" w:sz="4" w:space="0" w:color="auto"/>
              <w:right w:val="nil"/>
            </w:tcBorders>
            <w:hideMark/>
          </w:tcPr>
          <w:p w14:paraId="7DA90881" w14:textId="16297D1B" w:rsidR="00CB0F5B" w:rsidRPr="00B1499A" w:rsidRDefault="00CB0F5B" w:rsidP="00CB0F5B">
            <w:pPr>
              <w:pStyle w:val="TableText"/>
            </w:pPr>
            <w:r w:rsidRPr="00B1499A">
              <w:t>Yes (3), No (0)</w:t>
            </w:r>
          </w:p>
        </w:tc>
      </w:tr>
      <w:tr w:rsidR="00CB0F5B" w:rsidRPr="00B1499A" w14:paraId="2B24A289" w14:textId="77777777" w:rsidTr="0069786C">
        <w:trPr>
          <w:cantSplit/>
          <w:trHeight w:val="320"/>
        </w:trPr>
        <w:tc>
          <w:tcPr>
            <w:tcW w:w="709" w:type="dxa"/>
            <w:tcBorders>
              <w:top w:val="single" w:sz="4" w:space="0" w:color="auto"/>
              <w:left w:val="nil"/>
              <w:bottom w:val="single" w:sz="4" w:space="0" w:color="auto"/>
              <w:right w:val="nil"/>
            </w:tcBorders>
            <w:hideMark/>
          </w:tcPr>
          <w:p w14:paraId="306FF6E3" w14:textId="50B12FDA" w:rsidR="00CB0F5B" w:rsidRPr="00B1499A" w:rsidRDefault="00CB0F5B" w:rsidP="00CB0F5B">
            <w:pPr>
              <w:pStyle w:val="TableText"/>
            </w:pPr>
            <w:r w:rsidRPr="00B1499A">
              <w:t>10</w:t>
            </w:r>
          </w:p>
        </w:tc>
        <w:tc>
          <w:tcPr>
            <w:tcW w:w="6521" w:type="dxa"/>
            <w:tcBorders>
              <w:top w:val="single" w:sz="4" w:space="0" w:color="auto"/>
              <w:left w:val="nil"/>
              <w:bottom w:val="single" w:sz="4" w:space="0" w:color="auto"/>
              <w:right w:val="nil"/>
            </w:tcBorders>
            <w:hideMark/>
          </w:tcPr>
          <w:p w14:paraId="525F3689" w14:textId="6B4089A3" w:rsidR="00CB0F5B" w:rsidRPr="00B1499A" w:rsidRDefault="00CB0F5B" w:rsidP="00CB0F5B">
            <w:pPr>
              <w:pStyle w:val="TableText"/>
              <w:rPr>
                <w:color w:val="000000"/>
              </w:rPr>
            </w:pPr>
            <w:r w:rsidRPr="57352DF8">
              <w:t>Was the type of exposure (</w:t>
            </w:r>
            <w:r>
              <w:t>e.g.</w:t>
            </w:r>
            <w:r w:rsidRPr="57352DF8">
              <w:t xml:space="preserve"> static, flow-through) stated?</w:t>
            </w:r>
          </w:p>
        </w:tc>
        <w:tc>
          <w:tcPr>
            <w:tcW w:w="1790" w:type="dxa"/>
            <w:tcBorders>
              <w:top w:val="single" w:sz="4" w:space="0" w:color="auto"/>
              <w:left w:val="nil"/>
              <w:bottom w:val="single" w:sz="4" w:space="0" w:color="auto"/>
              <w:right w:val="nil"/>
            </w:tcBorders>
            <w:hideMark/>
          </w:tcPr>
          <w:p w14:paraId="29BBF7F8" w14:textId="25ED2203" w:rsidR="00CB0F5B" w:rsidRPr="00B1499A" w:rsidRDefault="00CB0F5B" w:rsidP="00CB0F5B">
            <w:pPr>
              <w:pStyle w:val="TableText"/>
            </w:pPr>
            <w:r w:rsidRPr="00B1499A">
              <w:t>Yes (3), No (0)</w:t>
            </w:r>
          </w:p>
        </w:tc>
      </w:tr>
      <w:tr w:rsidR="00CB0F5B" w:rsidRPr="00B1499A" w14:paraId="1411F16C" w14:textId="77777777" w:rsidTr="0069786C">
        <w:trPr>
          <w:cantSplit/>
          <w:trHeight w:val="320"/>
        </w:trPr>
        <w:tc>
          <w:tcPr>
            <w:tcW w:w="709" w:type="dxa"/>
            <w:tcBorders>
              <w:top w:val="single" w:sz="4" w:space="0" w:color="auto"/>
              <w:left w:val="nil"/>
              <w:bottom w:val="single" w:sz="12" w:space="0" w:color="auto"/>
              <w:right w:val="nil"/>
            </w:tcBorders>
            <w:hideMark/>
          </w:tcPr>
          <w:p w14:paraId="377C3983" w14:textId="77777777" w:rsidR="00CB0F5B" w:rsidRPr="00B1499A" w:rsidRDefault="00CB0F5B" w:rsidP="00CB0F5B">
            <w:pPr>
              <w:pStyle w:val="TableText"/>
            </w:pPr>
          </w:p>
        </w:tc>
        <w:tc>
          <w:tcPr>
            <w:tcW w:w="8311" w:type="dxa"/>
            <w:gridSpan w:val="2"/>
            <w:tcBorders>
              <w:top w:val="single" w:sz="4" w:space="0" w:color="auto"/>
              <w:left w:val="nil"/>
              <w:bottom w:val="single" w:sz="12" w:space="0" w:color="auto"/>
              <w:right w:val="nil"/>
            </w:tcBorders>
            <w:noWrap/>
            <w:hideMark/>
          </w:tcPr>
          <w:p w14:paraId="33B724F7" w14:textId="0F7C2BFF" w:rsidR="00CB0F5B" w:rsidRPr="00B1499A" w:rsidRDefault="00CB0F5B" w:rsidP="00CB0F5B">
            <w:pPr>
              <w:pStyle w:val="TableText"/>
              <w:rPr>
                <w:rFonts w:ascii="Aptos Narrow" w:hAnsi="Aptos Narrow" w:cs="Times New Roman"/>
                <w:color w:val="000000"/>
              </w:rPr>
            </w:pPr>
            <w:r w:rsidRPr="00DF2AF9">
              <w:t>M</w:t>
            </w:r>
            <w:r>
              <w:t>aximum sub-total for Part A = 30</w:t>
            </w:r>
          </w:p>
        </w:tc>
      </w:tr>
      <w:tr w:rsidR="005E2E82" w:rsidRPr="00997AE6" w14:paraId="2BFE630C" w14:textId="77777777" w:rsidTr="00E118AF">
        <w:trPr>
          <w:cantSplit/>
          <w:trHeight w:val="320"/>
        </w:trPr>
        <w:tc>
          <w:tcPr>
            <w:tcW w:w="7230" w:type="dxa"/>
            <w:gridSpan w:val="2"/>
            <w:tcBorders>
              <w:top w:val="single" w:sz="12" w:space="0" w:color="auto"/>
              <w:left w:val="nil"/>
              <w:bottom w:val="single" w:sz="12" w:space="0" w:color="auto"/>
              <w:right w:val="nil"/>
            </w:tcBorders>
            <w:noWrap/>
            <w:hideMark/>
          </w:tcPr>
          <w:p w14:paraId="0F677FF9" w14:textId="29B08ECF" w:rsidR="005E2E82" w:rsidRPr="00997AE6" w:rsidRDefault="005E2E82" w:rsidP="005E2E82">
            <w:pPr>
              <w:pStyle w:val="TableText"/>
            </w:pPr>
            <w:r w:rsidRPr="009D6B76">
              <w:rPr>
                <w:b/>
                <w:bCs/>
              </w:rPr>
              <w:t>B. Test performance/results</w:t>
            </w:r>
          </w:p>
        </w:tc>
        <w:tc>
          <w:tcPr>
            <w:tcW w:w="1790" w:type="dxa"/>
            <w:tcBorders>
              <w:top w:val="single" w:sz="12" w:space="0" w:color="auto"/>
              <w:left w:val="nil"/>
              <w:bottom w:val="single" w:sz="12" w:space="0" w:color="auto"/>
              <w:right w:val="nil"/>
            </w:tcBorders>
            <w:hideMark/>
          </w:tcPr>
          <w:p w14:paraId="10A52EBB" w14:textId="75636560" w:rsidR="005E2E82" w:rsidRPr="00997AE6" w:rsidRDefault="005E2E82" w:rsidP="005E2E82">
            <w:pPr>
              <w:pStyle w:val="TableText"/>
            </w:pPr>
          </w:p>
        </w:tc>
      </w:tr>
      <w:tr w:rsidR="00CB0F5B" w:rsidRPr="00997AE6" w14:paraId="1DD5B28A" w14:textId="77777777" w:rsidTr="0069786C">
        <w:trPr>
          <w:cantSplit/>
          <w:trHeight w:val="520"/>
        </w:trPr>
        <w:tc>
          <w:tcPr>
            <w:tcW w:w="709" w:type="dxa"/>
            <w:tcBorders>
              <w:top w:val="single" w:sz="12" w:space="0" w:color="auto"/>
              <w:left w:val="nil"/>
              <w:bottom w:val="single" w:sz="4" w:space="0" w:color="auto"/>
              <w:right w:val="nil"/>
            </w:tcBorders>
            <w:hideMark/>
          </w:tcPr>
          <w:p w14:paraId="592A9627" w14:textId="01350D57" w:rsidR="00CB0F5B" w:rsidRPr="00997AE6" w:rsidRDefault="00CB0F5B" w:rsidP="00CB0F5B">
            <w:pPr>
              <w:pStyle w:val="TableText"/>
            </w:pPr>
            <w:r w:rsidRPr="00997AE6">
              <w:t>11</w:t>
            </w:r>
          </w:p>
        </w:tc>
        <w:tc>
          <w:tcPr>
            <w:tcW w:w="6521" w:type="dxa"/>
            <w:tcBorders>
              <w:top w:val="single" w:sz="12" w:space="0" w:color="auto"/>
              <w:left w:val="nil"/>
              <w:bottom w:val="single" w:sz="4" w:space="0" w:color="auto"/>
              <w:right w:val="nil"/>
            </w:tcBorders>
            <w:hideMark/>
          </w:tcPr>
          <w:p w14:paraId="51CF4B5B" w14:textId="15D4832D" w:rsidR="00CB0F5B" w:rsidRPr="00997AE6" w:rsidRDefault="00CB0F5B" w:rsidP="00CB0F5B">
            <w:pPr>
              <w:pStyle w:val="TableText"/>
            </w:pPr>
            <w:r w:rsidRPr="57352DF8">
              <w:t>Were analytical reagent</w:t>
            </w:r>
            <w:r>
              <w:t>-</w:t>
            </w:r>
            <w:r w:rsidRPr="57352DF8">
              <w:t>grade chemicals or the highest possible purity chemicals used for the experiment?</w:t>
            </w:r>
          </w:p>
        </w:tc>
        <w:tc>
          <w:tcPr>
            <w:tcW w:w="1790" w:type="dxa"/>
            <w:tcBorders>
              <w:top w:val="single" w:sz="12" w:space="0" w:color="auto"/>
              <w:left w:val="nil"/>
              <w:bottom w:val="single" w:sz="4" w:space="0" w:color="auto"/>
              <w:right w:val="nil"/>
            </w:tcBorders>
            <w:hideMark/>
          </w:tcPr>
          <w:p w14:paraId="188ABF32" w14:textId="47B9326E" w:rsidR="00CB0F5B" w:rsidRPr="00997AE6" w:rsidRDefault="00CB0F5B" w:rsidP="00CB0F5B">
            <w:pPr>
              <w:pStyle w:val="TableText"/>
            </w:pPr>
            <w:r w:rsidRPr="57352DF8">
              <w:t>Yes (3), No/</w:t>
            </w:r>
            <w:r>
              <w:t>n</w:t>
            </w:r>
            <w:r w:rsidRPr="57352DF8">
              <w:t>ot stated (0)</w:t>
            </w:r>
          </w:p>
        </w:tc>
      </w:tr>
      <w:tr w:rsidR="00CB0F5B" w:rsidRPr="00997AE6" w14:paraId="05B050E6" w14:textId="77777777" w:rsidTr="0069786C">
        <w:trPr>
          <w:cantSplit/>
          <w:trHeight w:val="780"/>
        </w:trPr>
        <w:tc>
          <w:tcPr>
            <w:tcW w:w="709" w:type="dxa"/>
            <w:tcBorders>
              <w:top w:val="single" w:sz="4" w:space="0" w:color="auto"/>
              <w:left w:val="nil"/>
              <w:bottom w:val="single" w:sz="4" w:space="0" w:color="auto"/>
              <w:right w:val="nil"/>
            </w:tcBorders>
            <w:hideMark/>
          </w:tcPr>
          <w:p w14:paraId="2A2F15A7" w14:textId="26D082F3" w:rsidR="00CB0F5B" w:rsidRPr="00997AE6" w:rsidRDefault="00CB0F5B" w:rsidP="00CB0F5B">
            <w:pPr>
              <w:pStyle w:val="TableText"/>
            </w:pPr>
            <w:r w:rsidRPr="00997AE6">
              <w:t>12 (A)</w:t>
            </w:r>
          </w:p>
        </w:tc>
        <w:tc>
          <w:tcPr>
            <w:tcW w:w="6521" w:type="dxa"/>
            <w:tcBorders>
              <w:top w:val="single" w:sz="4" w:space="0" w:color="auto"/>
              <w:left w:val="nil"/>
              <w:bottom w:val="single" w:sz="4" w:space="0" w:color="auto"/>
              <w:right w:val="nil"/>
            </w:tcBorders>
            <w:hideMark/>
          </w:tcPr>
          <w:p w14:paraId="6B5E6003" w14:textId="627B758F" w:rsidR="00CB0F5B" w:rsidRPr="00997AE6" w:rsidRDefault="00CB0F5B" w:rsidP="00CB0F5B">
            <w:pPr>
              <w:pStyle w:val="TableText"/>
            </w:pPr>
            <w:r w:rsidRPr="57352DF8">
              <w:t>Were test solutions, blanks and/or controls tested for common contamination (e.g. elevated naturally</w:t>
            </w:r>
            <w:r>
              <w:t xml:space="preserve"> </w:t>
            </w:r>
            <w:r w:rsidRPr="57352DF8">
              <w:t>occurring substances</w:t>
            </w:r>
            <w:r>
              <w:t>,</w:t>
            </w:r>
            <w:r w:rsidRPr="57352DF8">
              <w:t xml:space="preserve"> such as nutrients, metals, metalloids) or other suspect contaminants?</w:t>
            </w:r>
          </w:p>
        </w:tc>
        <w:tc>
          <w:tcPr>
            <w:tcW w:w="1790" w:type="dxa"/>
            <w:tcBorders>
              <w:top w:val="single" w:sz="4" w:space="0" w:color="auto"/>
              <w:left w:val="nil"/>
              <w:bottom w:val="single" w:sz="4" w:space="0" w:color="auto"/>
              <w:right w:val="nil"/>
            </w:tcBorders>
            <w:hideMark/>
          </w:tcPr>
          <w:p w14:paraId="1E9643B6" w14:textId="5AD3B4E2" w:rsidR="00CB0F5B" w:rsidRPr="00997AE6" w:rsidRDefault="00CB0F5B" w:rsidP="00CB0F5B">
            <w:pPr>
              <w:pStyle w:val="TableText"/>
            </w:pPr>
            <w:r w:rsidRPr="57352DF8">
              <w:t>Yes (2), No/</w:t>
            </w:r>
            <w:r>
              <w:t>n</w:t>
            </w:r>
            <w:r w:rsidRPr="57352DF8">
              <w:t>ot stated (0)</w:t>
            </w:r>
          </w:p>
        </w:tc>
      </w:tr>
      <w:tr w:rsidR="00CB0F5B" w:rsidRPr="00997AE6" w14:paraId="6F36A044" w14:textId="77777777" w:rsidTr="0069786C">
        <w:trPr>
          <w:cantSplit/>
          <w:trHeight w:val="320"/>
        </w:trPr>
        <w:tc>
          <w:tcPr>
            <w:tcW w:w="709" w:type="dxa"/>
            <w:tcBorders>
              <w:top w:val="single" w:sz="4" w:space="0" w:color="auto"/>
              <w:left w:val="nil"/>
              <w:bottom w:val="single" w:sz="4" w:space="0" w:color="auto"/>
              <w:right w:val="nil"/>
            </w:tcBorders>
            <w:hideMark/>
          </w:tcPr>
          <w:p w14:paraId="581C285F" w14:textId="06CF2011" w:rsidR="00CB0F5B" w:rsidRPr="00997AE6" w:rsidRDefault="00CB0F5B" w:rsidP="00CB0F5B">
            <w:pPr>
              <w:pStyle w:val="TableText"/>
            </w:pPr>
            <w:r w:rsidRPr="00997AE6">
              <w:t>12 (B)</w:t>
            </w:r>
          </w:p>
        </w:tc>
        <w:tc>
          <w:tcPr>
            <w:tcW w:w="6521" w:type="dxa"/>
            <w:tcBorders>
              <w:top w:val="single" w:sz="4" w:space="0" w:color="auto"/>
              <w:left w:val="nil"/>
              <w:bottom w:val="single" w:sz="4" w:space="0" w:color="auto"/>
              <w:right w:val="nil"/>
            </w:tcBorders>
            <w:noWrap/>
            <w:hideMark/>
          </w:tcPr>
          <w:p w14:paraId="4B45B3C8" w14:textId="530DD71C" w:rsidR="00CB0F5B" w:rsidRPr="00997AE6" w:rsidRDefault="00CB0F5B" w:rsidP="00CB0F5B">
            <w:pPr>
              <w:pStyle w:val="TableText"/>
            </w:pPr>
            <w:r w:rsidRPr="57352DF8">
              <w:t>If so, were any significant contamination issues identified?</w:t>
            </w:r>
          </w:p>
        </w:tc>
        <w:tc>
          <w:tcPr>
            <w:tcW w:w="1790" w:type="dxa"/>
            <w:tcBorders>
              <w:top w:val="single" w:sz="4" w:space="0" w:color="auto"/>
              <w:left w:val="nil"/>
              <w:bottom w:val="single" w:sz="4" w:space="0" w:color="auto"/>
              <w:right w:val="nil"/>
            </w:tcBorders>
            <w:hideMark/>
          </w:tcPr>
          <w:p w14:paraId="4C0ECF61" w14:textId="55022A15" w:rsidR="00CB0F5B" w:rsidRPr="00997AE6" w:rsidRDefault="00CB0F5B" w:rsidP="00CB0F5B">
            <w:pPr>
              <w:pStyle w:val="TableText"/>
            </w:pPr>
            <w:r w:rsidRPr="00997AE6">
              <w:t>No (2), Yes (0/FAIL)</w:t>
            </w:r>
          </w:p>
        </w:tc>
      </w:tr>
      <w:tr w:rsidR="00CB0F5B" w:rsidRPr="00997AE6" w14:paraId="14394B36" w14:textId="77777777" w:rsidTr="0069786C">
        <w:trPr>
          <w:cantSplit/>
          <w:trHeight w:val="1040"/>
        </w:trPr>
        <w:tc>
          <w:tcPr>
            <w:tcW w:w="709" w:type="dxa"/>
            <w:tcBorders>
              <w:top w:val="single" w:sz="4" w:space="0" w:color="auto"/>
              <w:left w:val="nil"/>
              <w:bottom w:val="single" w:sz="4" w:space="0" w:color="auto"/>
              <w:right w:val="nil"/>
            </w:tcBorders>
            <w:hideMark/>
          </w:tcPr>
          <w:p w14:paraId="1DAF3D5A" w14:textId="4F154A75" w:rsidR="00CB0F5B" w:rsidRPr="00997AE6" w:rsidRDefault="00CB0F5B" w:rsidP="00CB0F5B">
            <w:pPr>
              <w:pStyle w:val="TableText"/>
            </w:pPr>
            <w:r w:rsidRPr="00997AE6">
              <w:t>13</w:t>
            </w:r>
          </w:p>
        </w:tc>
        <w:tc>
          <w:tcPr>
            <w:tcW w:w="6521" w:type="dxa"/>
            <w:tcBorders>
              <w:top w:val="single" w:sz="4" w:space="0" w:color="auto"/>
              <w:left w:val="nil"/>
              <w:bottom w:val="single" w:sz="4" w:space="0" w:color="auto"/>
              <w:right w:val="nil"/>
            </w:tcBorders>
            <w:hideMark/>
          </w:tcPr>
          <w:p w14:paraId="66D167B5" w14:textId="118C5279" w:rsidR="00CB0F5B" w:rsidRPr="00997AE6" w:rsidRDefault="00CB0F5B" w:rsidP="00CB0F5B">
            <w:pPr>
              <w:pStyle w:val="TableText"/>
            </w:pPr>
            <w:r w:rsidRPr="00997AE6">
              <w:t xml:space="preserve">Were the contaminant concentrations measured at the beginning and end of the exposure? Note: </w:t>
            </w:r>
            <w:r>
              <w:t>n</w:t>
            </w:r>
            <w:r w:rsidRPr="00997AE6">
              <w:t>ormally, toxicity data calculated using nominal</w:t>
            </w:r>
            <w:r>
              <w:t>-</w:t>
            </w:r>
            <w:r w:rsidRPr="00997AE6">
              <w:t xml:space="preserve">concentration data would not be used to derive </w:t>
            </w:r>
            <w:r>
              <w:t>guideline value</w:t>
            </w:r>
            <w:r w:rsidRPr="00997AE6">
              <w:t>s; however, professional judgement can be used to include such data</w:t>
            </w:r>
            <w:r>
              <w:t>,</w:t>
            </w:r>
            <w:r w:rsidRPr="00997AE6">
              <w:t xml:space="preserve"> provided a justification for their use is provided.</w:t>
            </w:r>
          </w:p>
        </w:tc>
        <w:tc>
          <w:tcPr>
            <w:tcW w:w="1790" w:type="dxa"/>
            <w:tcBorders>
              <w:top w:val="single" w:sz="4" w:space="0" w:color="auto"/>
              <w:left w:val="nil"/>
              <w:bottom w:val="single" w:sz="4" w:space="0" w:color="auto"/>
              <w:right w:val="nil"/>
            </w:tcBorders>
            <w:hideMark/>
          </w:tcPr>
          <w:p w14:paraId="0A846592" w14:textId="728AD338" w:rsidR="00CB0F5B" w:rsidRPr="00997AE6" w:rsidRDefault="00CB0F5B" w:rsidP="00CB0F5B">
            <w:pPr>
              <w:pStyle w:val="TableText"/>
            </w:pPr>
            <w:r w:rsidRPr="57352DF8">
              <w:t>Yes (8), Measured once (4), Not measured or stated (0/FAIL)</w:t>
            </w:r>
            <w:r w:rsidRPr="57352DF8">
              <w:rPr>
                <w:color w:val="000000" w:themeColor="text1"/>
                <w:vertAlign w:val="superscript"/>
              </w:rPr>
              <w:t>b</w:t>
            </w:r>
          </w:p>
        </w:tc>
      </w:tr>
      <w:tr w:rsidR="00CB0F5B" w:rsidRPr="00997AE6" w14:paraId="7850FB60" w14:textId="77777777" w:rsidTr="0069786C">
        <w:trPr>
          <w:cantSplit/>
          <w:trHeight w:val="780"/>
        </w:trPr>
        <w:tc>
          <w:tcPr>
            <w:tcW w:w="709" w:type="dxa"/>
            <w:tcBorders>
              <w:top w:val="single" w:sz="4" w:space="0" w:color="auto"/>
              <w:left w:val="nil"/>
              <w:bottom w:val="single" w:sz="4" w:space="0" w:color="auto"/>
              <w:right w:val="nil"/>
            </w:tcBorders>
            <w:hideMark/>
          </w:tcPr>
          <w:p w14:paraId="750720CB" w14:textId="52D5F3A5" w:rsidR="00CB0F5B" w:rsidRPr="00997AE6" w:rsidRDefault="00CB0F5B" w:rsidP="00CB0F5B">
            <w:pPr>
              <w:pStyle w:val="TableText"/>
            </w:pPr>
            <w:r w:rsidRPr="00997AE6">
              <w:t>14 (A)</w:t>
            </w:r>
          </w:p>
        </w:tc>
        <w:tc>
          <w:tcPr>
            <w:tcW w:w="6521" w:type="dxa"/>
            <w:tcBorders>
              <w:top w:val="single" w:sz="4" w:space="0" w:color="auto"/>
              <w:left w:val="nil"/>
              <w:bottom w:val="single" w:sz="4" w:space="0" w:color="auto"/>
              <w:right w:val="nil"/>
            </w:tcBorders>
            <w:hideMark/>
          </w:tcPr>
          <w:p w14:paraId="2D820535" w14:textId="60D428A6" w:rsidR="00CB0F5B" w:rsidRPr="00997AE6" w:rsidRDefault="00CB0F5B" w:rsidP="00CB0F5B">
            <w:pPr>
              <w:pStyle w:val="TableText"/>
            </w:pPr>
            <w:r w:rsidRPr="57352DF8">
              <w:t>Were test</w:t>
            </w:r>
            <w:r>
              <w:t>-</w:t>
            </w:r>
            <w:r w:rsidRPr="57352DF8">
              <w:t>acceptability criteria stated (</w:t>
            </w:r>
            <w:r>
              <w:t>e.g.</w:t>
            </w:r>
            <w:r w:rsidRPr="57352DF8">
              <w:t xml:space="preserve"> mortality in controls must not exceed a certain percentage) or inferred (</w:t>
            </w:r>
            <w:r>
              <w:t>e.g.</w:t>
            </w:r>
            <w:r w:rsidRPr="57352DF8">
              <w:t xml:space="preserve"> test methods used were </w:t>
            </w:r>
            <w:r w:rsidRPr="00A352C1">
              <w:t>U</w:t>
            </w:r>
            <w:r>
              <w:t>nited States Environmental Protection Agency</w:t>
            </w:r>
            <w:r w:rsidRPr="00A352C1">
              <w:t xml:space="preserve"> or </w:t>
            </w:r>
            <w:r w:rsidRPr="00702FF1">
              <w:t>Organisation for Economic Co-operation and Development</w:t>
            </w:r>
            <w:r w:rsidRPr="57352DF8">
              <w:t>)</w:t>
            </w:r>
            <w:r>
              <w:t>?</w:t>
            </w:r>
          </w:p>
        </w:tc>
        <w:tc>
          <w:tcPr>
            <w:tcW w:w="1790" w:type="dxa"/>
            <w:tcBorders>
              <w:top w:val="single" w:sz="4" w:space="0" w:color="auto"/>
              <w:left w:val="nil"/>
              <w:bottom w:val="single" w:sz="4" w:space="0" w:color="auto"/>
              <w:right w:val="nil"/>
            </w:tcBorders>
            <w:hideMark/>
          </w:tcPr>
          <w:p w14:paraId="700E86A9" w14:textId="462863F0" w:rsidR="00CB0F5B" w:rsidRPr="00997AE6" w:rsidRDefault="00CB0F5B" w:rsidP="00CB0F5B">
            <w:pPr>
              <w:pStyle w:val="TableText"/>
            </w:pPr>
            <w:r w:rsidRPr="00997AE6">
              <w:t>Stated (2), Inferred (1), Neither (0)</w:t>
            </w:r>
          </w:p>
        </w:tc>
      </w:tr>
      <w:tr w:rsidR="00CB0F5B" w:rsidRPr="00997AE6" w14:paraId="11DBC1E0" w14:textId="77777777" w:rsidTr="0069786C">
        <w:trPr>
          <w:cantSplit/>
          <w:trHeight w:val="520"/>
        </w:trPr>
        <w:tc>
          <w:tcPr>
            <w:tcW w:w="709" w:type="dxa"/>
            <w:tcBorders>
              <w:top w:val="single" w:sz="4" w:space="0" w:color="auto"/>
              <w:left w:val="nil"/>
              <w:bottom w:val="single" w:sz="4" w:space="0" w:color="auto"/>
              <w:right w:val="nil"/>
            </w:tcBorders>
            <w:hideMark/>
          </w:tcPr>
          <w:p w14:paraId="55C886FD" w14:textId="168EBCCA" w:rsidR="00CB0F5B" w:rsidRPr="00997AE6" w:rsidRDefault="00CB0F5B" w:rsidP="00CB0F5B">
            <w:pPr>
              <w:pStyle w:val="TableText"/>
            </w:pPr>
            <w:r w:rsidRPr="00997AE6">
              <w:t>14 (B)</w:t>
            </w:r>
          </w:p>
        </w:tc>
        <w:tc>
          <w:tcPr>
            <w:tcW w:w="6521" w:type="dxa"/>
            <w:tcBorders>
              <w:top w:val="single" w:sz="4" w:space="0" w:color="auto"/>
              <w:left w:val="nil"/>
              <w:bottom w:val="single" w:sz="4" w:space="0" w:color="auto"/>
              <w:right w:val="nil"/>
            </w:tcBorders>
            <w:hideMark/>
          </w:tcPr>
          <w:p w14:paraId="08EF6E28" w14:textId="4710F9F7" w:rsidR="00CB0F5B" w:rsidRPr="00997AE6" w:rsidRDefault="00CB0F5B" w:rsidP="00CB0F5B">
            <w:pPr>
              <w:pStyle w:val="TableText"/>
            </w:pPr>
            <w:r w:rsidRPr="57352DF8">
              <w:t>If so, were test</w:t>
            </w:r>
            <w:r>
              <w:t>-</w:t>
            </w:r>
            <w:r w:rsidRPr="57352DF8">
              <w:t xml:space="preserve">acceptability criteria met? Note: </w:t>
            </w:r>
            <w:r>
              <w:t>d</w:t>
            </w:r>
            <w:r w:rsidRPr="57352DF8">
              <w:t>ata that fail the acceptability criteria are automatically deemed to be of unacceptable quality and must not be used.</w:t>
            </w:r>
          </w:p>
        </w:tc>
        <w:tc>
          <w:tcPr>
            <w:tcW w:w="1790" w:type="dxa"/>
            <w:tcBorders>
              <w:top w:val="single" w:sz="4" w:space="0" w:color="auto"/>
              <w:left w:val="nil"/>
              <w:bottom w:val="single" w:sz="4" w:space="0" w:color="auto"/>
              <w:right w:val="nil"/>
            </w:tcBorders>
            <w:hideMark/>
          </w:tcPr>
          <w:p w14:paraId="6461AAA1" w14:textId="715243E2" w:rsidR="00CB0F5B" w:rsidRPr="00997AE6" w:rsidRDefault="00CB0F5B" w:rsidP="00CB0F5B">
            <w:pPr>
              <w:pStyle w:val="TableText"/>
            </w:pPr>
            <w:r w:rsidRPr="00997AE6">
              <w:t>Yes (6), Not reported (2), No (0/FAIL)</w:t>
            </w:r>
          </w:p>
        </w:tc>
      </w:tr>
      <w:tr w:rsidR="00CB0F5B" w:rsidRPr="00997AE6" w14:paraId="1C7D1C96" w14:textId="77777777" w:rsidTr="0069786C">
        <w:trPr>
          <w:cantSplit/>
          <w:trHeight w:val="320"/>
        </w:trPr>
        <w:tc>
          <w:tcPr>
            <w:tcW w:w="709" w:type="dxa"/>
            <w:tcBorders>
              <w:top w:val="single" w:sz="4" w:space="0" w:color="auto"/>
              <w:left w:val="nil"/>
              <w:bottom w:val="single" w:sz="4" w:space="0" w:color="auto"/>
              <w:right w:val="nil"/>
            </w:tcBorders>
            <w:hideMark/>
          </w:tcPr>
          <w:p w14:paraId="36A96A9E" w14:textId="7C03160E" w:rsidR="00CB0F5B" w:rsidRPr="00997AE6" w:rsidRDefault="00CB0F5B" w:rsidP="00CB0F5B">
            <w:pPr>
              <w:pStyle w:val="TableText"/>
            </w:pPr>
            <w:r w:rsidRPr="00997AE6">
              <w:lastRenderedPageBreak/>
              <w:t>15 (A)</w:t>
            </w:r>
          </w:p>
        </w:tc>
        <w:tc>
          <w:tcPr>
            <w:tcW w:w="6521" w:type="dxa"/>
            <w:tcBorders>
              <w:top w:val="single" w:sz="4" w:space="0" w:color="auto"/>
              <w:left w:val="nil"/>
              <w:bottom w:val="single" w:sz="4" w:space="0" w:color="auto"/>
              <w:right w:val="nil"/>
            </w:tcBorders>
            <w:hideMark/>
          </w:tcPr>
          <w:p w14:paraId="1C6C0ABD" w14:textId="7BE07170" w:rsidR="00CB0F5B" w:rsidRPr="00997AE6" w:rsidRDefault="00CB0F5B" w:rsidP="00CB0F5B">
            <w:pPr>
              <w:pStyle w:val="TableText"/>
            </w:pPr>
            <w:r w:rsidRPr="00997AE6">
              <w:t>Were parallel reference</w:t>
            </w:r>
            <w:r>
              <w:t>-</w:t>
            </w:r>
            <w:r w:rsidRPr="00997AE6">
              <w:t>toxicant toxicity tests conducted?</w:t>
            </w:r>
          </w:p>
        </w:tc>
        <w:tc>
          <w:tcPr>
            <w:tcW w:w="1790" w:type="dxa"/>
            <w:tcBorders>
              <w:top w:val="single" w:sz="4" w:space="0" w:color="auto"/>
              <w:left w:val="nil"/>
              <w:bottom w:val="single" w:sz="4" w:space="0" w:color="auto"/>
              <w:right w:val="nil"/>
            </w:tcBorders>
            <w:hideMark/>
          </w:tcPr>
          <w:p w14:paraId="77E4B83E" w14:textId="6C6CCE65" w:rsidR="00CB0F5B" w:rsidRPr="00997AE6" w:rsidRDefault="00CB0F5B" w:rsidP="00CB0F5B">
            <w:pPr>
              <w:pStyle w:val="TableText"/>
            </w:pPr>
            <w:r w:rsidRPr="00997AE6">
              <w:t>Yes (2), No (0)</w:t>
            </w:r>
          </w:p>
        </w:tc>
      </w:tr>
      <w:tr w:rsidR="00CB0F5B" w:rsidRPr="00997AE6" w14:paraId="437DD27F" w14:textId="77777777" w:rsidTr="0069786C">
        <w:trPr>
          <w:cantSplit/>
          <w:trHeight w:val="520"/>
        </w:trPr>
        <w:tc>
          <w:tcPr>
            <w:tcW w:w="709" w:type="dxa"/>
            <w:tcBorders>
              <w:top w:val="single" w:sz="4" w:space="0" w:color="auto"/>
              <w:left w:val="nil"/>
              <w:bottom w:val="single" w:sz="4" w:space="0" w:color="auto"/>
              <w:right w:val="nil"/>
            </w:tcBorders>
            <w:hideMark/>
          </w:tcPr>
          <w:p w14:paraId="06BE55ED" w14:textId="2536EA82" w:rsidR="00CB0F5B" w:rsidRPr="00997AE6" w:rsidRDefault="00CB0F5B" w:rsidP="00CB0F5B">
            <w:pPr>
              <w:pStyle w:val="TableText"/>
            </w:pPr>
            <w:r w:rsidRPr="00997AE6">
              <w:t>15 (B)</w:t>
            </w:r>
          </w:p>
        </w:tc>
        <w:tc>
          <w:tcPr>
            <w:tcW w:w="6521" w:type="dxa"/>
            <w:tcBorders>
              <w:top w:val="single" w:sz="4" w:space="0" w:color="auto"/>
              <w:left w:val="nil"/>
              <w:bottom w:val="single" w:sz="4" w:space="0" w:color="auto"/>
              <w:right w:val="nil"/>
            </w:tcBorders>
            <w:hideMark/>
          </w:tcPr>
          <w:p w14:paraId="4EF317C0" w14:textId="46CF53C5" w:rsidR="00CB0F5B" w:rsidRPr="00997AE6" w:rsidRDefault="00CB0F5B" w:rsidP="00CB0F5B">
            <w:pPr>
              <w:pStyle w:val="TableText"/>
            </w:pPr>
            <w:r w:rsidRPr="00997AE6">
              <w:t>If so, did the reference toxicity results fall within the acceptable limits?</w:t>
            </w:r>
          </w:p>
        </w:tc>
        <w:tc>
          <w:tcPr>
            <w:tcW w:w="1790" w:type="dxa"/>
            <w:tcBorders>
              <w:top w:val="single" w:sz="4" w:space="0" w:color="auto"/>
              <w:left w:val="nil"/>
              <w:bottom w:val="single" w:sz="4" w:space="0" w:color="auto"/>
              <w:right w:val="nil"/>
            </w:tcBorders>
            <w:hideMark/>
          </w:tcPr>
          <w:p w14:paraId="5EE2F27F" w14:textId="1ACD7E8A" w:rsidR="00CB0F5B" w:rsidRPr="00997AE6" w:rsidRDefault="00CB0F5B" w:rsidP="00CB0F5B">
            <w:pPr>
              <w:pStyle w:val="TableText"/>
            </w:pPr>
            <w:r w:rsidRPr="00997AE6">
              <w:t>Yes (6), Not reported (2), No (0/FAIL)</w:t>
            </w:r>
          </w:p>
        </w:tc>
      </w:tr>
      <w:tr w:rsidR="00CB0F5B" w:rsidRPr="00997AE6" w14:paraId="04029CE8" w14:textId="77777777" w:rsidTr="0069786C">
        <w:trPr>
          <w:cantSplit/>
          <w:trHeight w:val="60"/>
        </w:trPr>
        <w:tc>
          <w:tcPr>
            <w:tcW w:w="709" w:type="dxa"/>
            <w:tcBorders>
              <w:top w:val="single" w:sz="4" w:space="0" w:color="auto"/>
              <w:left w:val="nil"/>
              <w:bottom w:val="single" w:sz="4" w:space="0" w:color="auto"/>
              <w:right w:val="nil"/>
            </w:tcBorders>
            <w:hideMark/>
          </w:tcPr>
          <w:p w14:paraId="4D011C3E" w14:textId="587C4308" w:rsidR="00CB0F5B" w:rsidRPr="00997AE6" w:rsidRDefault="00CB0F5B" w:rsidP="00CB0F5B">
            <w:pPr>
              <w:pStyle w:val="TableText"/>
            </w:pPr>
            <w:r w:rsidRPr="00997AE6">
              <w:t>16</w:t>
            </w:r>
          </w:p>
        </w:tc>
        <w:tc>
          <w:tcPr>
            <w:tcW w:w="6521" w:type="dxa"/>
            <w:tcBorders>
              <w:top w:val="single" w:sz="4" w:space="0" w:color="auto"/>
              <w:left w:val="nil"/>
              <w:bottom w:val="single" w:sz="4" w:space="0" w:color="auto"/>
              <w:right w:val="nil"/>
            </w:tcBorders>
            <w:hideMark/>
          </w:tcPr>
          <w:p w14:paraId="3EA542A7" w14:textId="42D8ACAE" w:rsidR="00CB0F5B" w:rsidRPr="00997AE6" w:rsidRDefault="00CB0F5B" w:rsidP="00CB0F5B">
            <w:pPr>
              <w:pStyle w:val="TableText"/>
            </w:pPr>
            <w:r w:rsidRPr="57352DF8">
              <w:t>Was there a concentration-response (C-R) relationship</w:t>
            </w:r>
            <w:r>
              <w:t>,</w:t>
            </w:r>
            <w:r w:rsidRPr="57352DF8">
              <w:t xml:space="preserve"> either observable or stated (i.e. was there a larger response in the endpoint of interest at higher treatment concentrations than at lower treatment concentrations?)? </w:t>
            </w:r>
            <w:r w:rsidR="00410A92" w:rsidRPr="00A352C1">
              <w:t xml:space="preserve">Note: </w:t>
            </w:r>
            <w:r w:rsidR="00410A92">
              <w:t>a</w:t>
            </w:r>
            <w:r w:rsidR="00410A92" w:rsidRPr="00A352C1">
              <w:t xml:space="preserve"> full C-R relationship is one that includes zero, partial and full effects, while a partial C-R relationship is one that is missing either zero, partial or full effects. Professional judgement might be required to make decisions associated with C-R relationships that exhibit characteristics such as non-monotonicity and low</w:t>
            </w:r>
            <w:r w:rsidR="00410A92">
              <w:t>-</w:t>
            </w:r>
            <w:r w:rsidR="00410A92" w:rsidRPr="00A352C1">
              <w:t>dose effects.</w:t>
            </w:r>
          </w:p>
        </w:tc>
        <w:tc>
          <w:tcPr>
            <w:tcW w:w="1790" w:type="dxa"/>
            <w:tcBorders>
              <w:top w:val="single" w:sz="4" w:space="0" w:color="auto"/>
              <w:left w:val="nil"/>
              <w:bottom w:val="single" w:sz="4" w:space="0" w:color="auto"/>
              <w:right w:val="nil"/>
            </w:tcBorders>
            <w:hideMark/>
          </w:tcPr>
          <w:p w14:paraId="64FAC91F" w14:textId="1BAF8255" w:rsidR="00CB0F5B" w:rsidRPr="00997AE6" w:rsidRDefault="00CB0F5B" w:rsidP="00CB0F5B">
            <w:pPr>
              <w:pStyle w:val="TableText"/>
            </w:pPr>
            <w:r w:rsidRPr="00997AE6">
              <w:t xml:space="preserve">Yes </w:t>
            </w:r>
            <w:r>
              <w:t>–</w:t>
            </w:r>
            <w:r w:rsidRPr="00997AE6">
              <w:t xml:space="preserve"> full (8), Yes </w:t>
            </w:r>
            <w:r>
              <w:t>–</w:t>
            </w:r>
            <w:r w:rsidRPr="00997AE6">
              <w:t xml:space="preserve"> partial (4), No </w:t>
            </w:r>
            <w:r>
              <w:t>–</w:t>
            </w:r>
            <w:r w:rsidRPr="00997AE6">
              <w:t xml:space="preserve"> (0/FAIL)</w:t>
            </w:r>
          </w:p>
        </w:tc>
      </w:tr>
      <w:tr w:rsidR="00CB0F5B" w:rsidRPr="00997AE6" w14:paraId="7BBF1522" w14:textId="77777777" w:rsidTr="0069786C">
        <w:trPr>
          <w:cantSplit/>
          <w:trHeight w:val="338"/>
        </w:trPr>
        <w:tc>
          <w:tcPr>
            <w:tcW w:w="709" w:type="dxa"/>
            <w:tcBorders>
              <w:top w:val="single" w:sz="4" w:space="0" w:color="auto"/>
              <w:left w:val="nil"/>
              <w:bottom w:val="single" w:sz="4" w:space="0" w:color="auto"/>
              <w:right w:val="nil"/>
            </w:tcBorders>
            <w:hideMark/>
          </w:tcPr>
          <w:p w14:paraId="734A204F" w14:textId="3727AC9A" w:rsidR="00CB0F5B" w:rsidRPr="00997AE6" w:rsidRDefault="00CB0F5B" w:rsidP="00CB0F5B">
            <w:pPr>
              <w:pStyle w:val="TableText"/>
            </w:pPr>
            <w:r w:rsidRPr="00997AE6">
              <w:t>17 (A)</w:t>
            </w:r>
          </w:p>
        </w:tc>
        <w:tc>
          <w:tcPr>
            <w:tcW w:w="6521" w:type="dxa"/>
            <w:tcBorders>
              <w:top w:val="single" w:sz="4" w:space="0" w:color="auto"/>
              <w:left w:val="nil"/>
              <w:bottom w:val="single" w:sz="4" w:space="0" w:color="auto"/>
              <w:right w:val="nil"/>
            </w:tcBorders>
            <w:hideMark/>
          </w:tcPr>
          <w:p w14:paraId="7DC66118" w14:textId="707DDF87" w:rsidR="00CB0F5B" w:rsidRPr="00997AE6" w:rsidRDefault="00410A92" w:rsidP="00CB0F5B">
            <w:pPr>
              <w:pStyle w:val="TableText"/>
            </w:pPr>
            <w:r w:rsidRPr="57352DF8">
              <w:t xml:space="preserve">Was the statistical method or model used to determine the toxicity estimate </w:t>
            </w:r>
            <w:r w:rsidRPr="00B10196">
              <w:t>stated</w:t>
            </w:r>
            <w:r w:rsidRPr="57352DF8">
              <w:t xml:space="preserve"> </w:t>
            </w:r>
            <w:r>
              <w:rPr>
                <w:b/>
                <w:bCs/>
              </w:rPr>
              <w:t>and</w:t>
            </w:r>
            <w:r w:rsidRPr="57352DF8">
              <w:t xml:space="preserve"> appropriate (e.g. refer to Green et al. 2018, noting that new methods will/have emerged that may not be captured in past publications)?</w:t>
            </w:r>
          </w:p>
        </w:tc>
        <w:tc>
          <w:tcPr>
            <w:tcW w:w="1790" w:type="dxa"/>
            <w:tcBorders>
              <w:top w:val="single" w:sz="4" w:space="0" w:color="auto"/>
              <w:left w:val="nil"/>
              <w:bottom w:val="single" w:sz="4" w:space="0" w:color="auto"/>
              <w:right w:val="nil"/>
            </w:tcBorders>
            <w:hideMark/>
          </w:tcPr>
          <w:p w14:paraId="3E87D339" w14:textId="6F055684" w:rsidR="00CB0F5B" w:rsidRPr="00997AE6" w:rsidRDefault="00CB0F5B" w:rsidP="00CB0F5B">
            <w:pPr>
              <w:pStyle w:val="TableText"/>
            </w:pPr>
            <w:r w:rsidRPr="00997AE6">
              <w:t>Yes (6), No (0)</w:t>
            </w:r>
          </w:p>
        </w:tc>
      </w:tr>
      <w:tr w:rsidR="00CB0F5B" w:rsidRPr="00997AE6" w14:paraId="2CE09F19" w14:textId="77777777" w:rsidTr="0069786C">
        <w:trPr>
          <w:cantSplit/>
          <w:trHeight w:val="274"/>
        </w:trPr>
        <w:tc>
          <w:tcPr>
            <w:tcW w:w="709" w:type="dxa"/>
            <w:tcBorders>
              <w:top w:val="single" w:sz="4" w:space="0" w:color="auto"/>
              <w:left w:val="nil"/>
              <w:bottom w:val="single" w:sz="4" w:space="0" w:color="auto"/>
              <w:right w:val="nil"/>
            </w:tcBorders>
            <w:hideMark/>
          </w:tcPr>
          <w:p w14:paraId="6C9ABAFA" w14:textId="3AD4FFA3" w:rsidR="00CB0F5B" w:rsidRPr="00997AE6" w:rsidRDefault="00CB0F5B" w:rsidP="00CB0F5B">
            <w:pPr>
              <w:pStyle w:val="TableText"/>
            </w:pPr>
            <w:r w:rsidRPr="00997AE6">
              <w:t>17 (B)</w:t>
            </w:r>
          </w:p>
        </w:tc>
        <w:tc>
          <w:tcPr>
            <w:tcW w:w="6521" w:type="dxa"/>
            <w:tcBorders>
              <w:top w:val="single" w:sz="4" w:space="0" w:color="auto"/>
              <w:left w:val="nil"/>
              <w:bottom w:val="single" w:sz="4" w:space="0" w:color="auto"/>
              <w:right w:val="nil"/>
            </w:tcBorders>
            <w:hideMark/>
          </w:tcPr>
          <w:p w14:paraId="0703EBCE" w14:textId="2076BBA1" w:rsidR="00CB0F5B" w:rsidRPr="00997AE6" w:rsidRDefault="00CB0F5B" w:rsidP="00CB0F5B">
            <w:pPr>
              <w:pStyle w:val="TableText"/>
            </w:pPr>
            <w:r w:rsidRPr="00997AE6">
              <w:t xml:space="preserve">For </w:t>
            </w:r>
            <w:r>
              <w:t xml:space="preserve">point estimates from concentration-response modelling (e.g. </w:t>
            </w:r>
            <w:r w:rsidRPr="00997AE6">
              <w:t>LC/EC/NEC/BEC/NSEC</w:t>
            </w:r>
            <w:r>
              <w:t>)</w:t>
            </w:r>
            <w:r w:rsidRPr="00997AE6">
              <w:t>, was an estimate of variability provided? For</w:t>
            </w:r>
            <w:r>
              <w:t xml:space="preserve"> estimates based on hypothesis testing</w:t>
            </w:r>
            <w:r w:rsidRPr="00997AE6">
              <w:t xml:space="preserve"> </w:t>
            </w:r>
            <w:r>
              <w:t xml:space="preserve">(e.g. </w:t>
            </w:r>
            <w:r w:rsidRPr="00997AE6">
              <w:t>NOEC/LOEC/MATC</w:t>
            </w:r>
            <w:r>
              <w:t>)</w:t>
            </w:r>
            <w:r w:rsidRPr="00997AE6">
              <w:t>, was the significance level 0.05 or less?</w:t>
            </w:r>
          </w:p>
        </w:tc>
        <w:tc>
          <w:tcPr>
            <w:tcW w:w="1790" w:type="dxa"/>
            <w:tcBorders>
              <w:top w:val="single" w:sz="4" w:space="0" w:color="auto"/>
              <w:left w:val="nil"/>
              <w:bottom w:val="single" w:sz="4" w:space="0" w:color="auto"/>
              <w:right w:val="nil"/>
            </w:tcBorders>
            <w:hideMark/>
          </w:tcPr>
          <w:p w14:paraId="3C79EF5D" w14:textId="0608DE2B" w:rsidR="00CB0F5B" w:rsidRPr="00997AE6" w:rsidRDefault="00CB0F5B" w:rsidP="00CB0F5B">
            <w:pPr>
              <w:pStyle w:val="TableText"/>
            </w:pPr>
            <w:r w:rsidRPr="00997AE6">
              <w:t>Yes (2), No (0</w:t>
            </w:r>
            <w:r>
              <w:t>)</w:t>
            </w:r>
          </w:p>
        </w:tc>
      </w:tr>
      <w:tr w:rsidR="00CB0F5B" w:rsidRPr="00997AE6" w14:paraId="35A3A16B" w14:textId="77777777" w:rsidTr="0069786C">
        <w:trPr>
          <w:cantSplit/>
          <w:trHeight w:val="320"/>
        </w:trPr>
        <w:tc>
          <w:tcPr>
            <w:tcW w:w="709" w:type="dxa"/>
            <w:tcBorders>
              <w:top w:val="single" w:sz="4" w:space="0" w:color="auto"/>
              <w:left w:val="nil"/>
              <w:bottom w:val="single" w:sz="12" w:space="0" w:color="auto"/>
              <w:right w:val="nil"/>
            </w:tcBorders>
            <w:hideMark/>
          </w:tcPr>
          <w:p w14:paraId="40445388" w14:textId="77777777" w:rsidR="00CB0F5B" w:rsidRPr="00997AE6" w:rsidRDefault="00CB0F5B" w:rsidP="00CB0F5B">
            <w:pPr>
              <w:pStyle w:val="TableText"/>
            </w:pPr>
          </w:p>
        </w:tc>
        <w:tc>
          <w:tcPr>
            <w:tcW w:w="8311" w:type="dxa"/>
            <w:gridSpan w:val="2"/>
            <w:tcBorders>
              <w:top w:val="single" w:sz="4" w:space="0" w:color="auto"/>
              <w:left w:val="nil"/>
              <w:bottom w:val="single" w:sz="12" w:space="0" w:color="auto"/>
              <w:right w:val="nil"/>
            </w:tcBorders>
            <w:hideMark/>
          </w:tcPr>
          <w:p w14:paraId="18454CE5" w14:textId="3F74BC07" w:rsidR="00CB0F5B" w:rsidRPr="00997AE6" w:rsidRDefault="00CB0F5B" w:rsidP="00CB0F5B">
            <w:pPr>
              <w:pStyle w:val="TableText"/>
            </w:pPr>
            <w:r>
              <w:t>Maximum sub-total for Part B = 47</w:t>
            </w:r>
          </w:p>
        </w:tc>
      </w:tr>
      <w:tr w:rsidR="005E2E82" w:rsidRPr="00903169" w14:paraId="49D118F8" w14:textId="77777777" w:rsidTr="00E118AF">
        <w:trPr>
          <w:cantSplit/>
          <w:trHeight w:val="320"/>
        </w:trPr>
        <w:tc>
          <w:tcPr>
            <w:tcW w:w="7230" w:type="dxa"/>
            <w:gridSpan w:val="2"/>
            <w:tcBorders>
              <w:top w:val="single" w:sz="12" w:space="0" w:color="auto"/>
              <w:left w:val="nil"/>
              <w:bottom w:val="single" w:sz="12" w:space="0" w:color="auto"/>
              <w:right w:val="nil"/>
            </w:tcBorders>
            <w:noWrap/>
            <w:hideMark/>
          </w:tcPr>
          <w:p w14:paraId="6174507F" w14:textId="4688B6B6" w:rsidR="005E2E82" w:rsidRPr="00B1499A" w:rsidRDefault="005E2E82" w:rsidP="005E2E82">
            <w:pPr>
              <w:pStyle w:val="TableText"/>
            </w:pPr>
            <w:r w:rsidRPr="009D6B76">
              <w:rPr>
                <w:b/>
                <w:bCs/>
              </w:rPr>
              <w:t>C. T</w:t>
            </w:r>
            <w:r>
              <w:rPr>
                <w:b/>
                <w:bCs/>
              </w:rPr>
              <w:t>est water chemistry/test conditions</w:t>
            </w:r>
          </w:p>
        </w:tc>
        <w:tc>
          <w:tcPr>
            <w:tcW w:w="1790" w:type="dxa"/>
            <w:tcBorders>
              <w:top w:val="single" w:sz="12" w:space="0" w:color="auto"/>
              <w:left w:val="nil"/>
              <w:bottom w:val="single" w:sz="12" w:space="0" w:color="auto"/>
              <w:right w:val="nil"/>
            </w:tcBorders>
            <w:hideMark/>
          </w:tcPr>
          <w:p w14:paraId="4641150B" w14:textId="05D63A83" w:rsidR="005E2E82" w:rsidRPr="00B1499A" w:rsidRDefault="005E2E82" w:rsidP="005E2E82">
            <w:pPr>
              <w:pStyle w:val="TableText"/>
            </w:pPr>
          </w:p>
        </w:tc>
      </w:tr>
      <w:tr w:rsidR="005110DE" w:rsidRPr="00B1499A" w14:paraId="660DE1AA" w14:textId="77777777" w:rsidTr="0069786C">
        <w:trPr>
          <w:cantSplit/>
          <w:trHeight w:val="320"/>
        </w:trPr>
        <w:tc>
          <w:tcPr>
            <w:tcW w:w="709" w:type="dxa"/>
            <w:tcBorders>
              <w:top w:val="single" w:sz="12" w:space="0" w:color="auto"/>
              <w:left w:val="nil"/>
              <w:bottom w:val="single" w:sz="4" w:space="0" w:color="auto"/>
              <w:right w:val="nil"/>
            </w:tcBorders>
            <w:hideMark/>
          </w:tcPr>
          <w:p w14:paraId="75B7B0FE" w14:textId="77777777" w:rsidR="005110DE" w:rsidRPr="00B1499A" w:rsidRDefault="005110DE" w:rsidP="002208E5">
            <w:pPr>
              <w:pStyle w:val="TableText"/>
            </w:pPr>
            <w:r w:rsidRPr="00B1499A">
              <w:t>18</w:t>
            </w:r>
          </w:p>
        </w:tc>
        <w:tc>
          <w:tcPr>
            <w:tcW w:w="6521" w:type="dxa"/>
            <w:tcBorders>
              <w:top w:val="single" w:sz="12" w:space="0" w:color="auto"/>
              <w:left w:val="nil"/>
              <w:bottom w:val="single" w:sz="4" w:space="0" w:color="auto"/>
              <w:right w:val="nil"/>
            </w:tcBorders>
            <w:hideMark/>
          </w:tcPr>
          <w:p w14:paraId="230DE461" w14:textId="068F77A1" w:rsidR="005110DE" w:rsidRPr="00B1499A" w:rsidRDefault="005110DE" w:rsidP="002208E5">
            <w:pPr>
              <w:pStyle w:val="TableText"/>
            </w:pPr>
            <w:r w:rsidRPr="00B1499A">
              <w:t>Were the following parameters measured and reported?</w:t>
            </w:r>
          </w:p>
        </w:tc>
        <w:tc>
          <w:tcPr>
            <w:tcW w:w="1790" w:type="dxa"/>
            <w:tcBorders>
              <w:top w:val="single" w:sz="12" w:space="0" w:color="auto"/>
              <w:left w:val="nil"/>
              <w:bottom w:val="single" w:sz="4" w:space="0" w:color="auto"/>
              <w:right w:val="nil"/>
            </w:tcBorders>
            <w:hideMark/>
          </w:tcPr>
          <w:p w14:paraId="66FF2A7D" w14:textId="48ED0C44" w:rsidR="005110DE" w:rsidRPr="00B1499A" w:rsidRDefault="005110DE" w:rsidP="002208E5">
            <w:pPr>
              <w:pStyle w:val="TableText"/>
            </w:pPr>
          </w:p>
        </w:tc>
      </w:tr>
      <w:tr w:rsidR="005110DE" w:rsidRPr="00B1499A" w14:paraId="2490BA3D" w14:textId="77777777" w:rsidTr="0069786C">
        <w:trPr>
          <w:cantSplit/>
          <w:trHeight w:val="215"/>
        </w:trPr>
        <w:tc>
          <w:tcPr>
            <w:tcW w:w="709" w:type="dxa"/>
            <w:tcBorders>
              <w:top w:val="single" w:sz="4" w:space="0" w:color="auto"/>
              <w:left w:val="nil"/>
              <w:bottom w:val="single" w:sz="4" w:space="0" w:color="auto"/>
              <w:right w:val="nil"/>
            </w:tcBorders>
            <w:hideMark/>
          </w:tcPr>
          <w:p w14:paraId="3D9711F2" w14:textId="77777777" w:rsidR="005110DE" w:rsidRPr="00B1499A" w:rsidRDefault="005110DE" w:rsidP="002208E5">
            <w:pPr>
              <w:pStyle w:val="TableText"/>
            </w:pPr>
            <w:r w:rsidRPr="00B1499A">
              <w:t>18.1</w:t>
            </w:r>
          </w:p>
        </w:tc>
        <w:tc>
          <w:tcPr>
            <w:tcW w:w="6521" w:type="dxa"/>
            <w:tcBorders>
              <w:top w:val="single" w:sz="4" w:space="0" w:color="auto"/>
              <w:left w:val="nil"/>
              <w:bottom w:val="single" w:sz="4" w:space="0" w:color="auto"/>
              <w:right w:val="nil"/>
            </w:tcBorders>
            <w:hideMark/>
          </w:tcPr>
          <w:p w14:paraId="67984CED" w14:textId="1763C3BF" w:rsidR="005110DE" w:rsidRPr="00B1499A" w:rsidRDefault="005110DE" w:rsidP="002208E5">
            <w:pPr>
              <w:pStyle w:val="TableText"/>
            </w:pPr>
            <w:r w:rsidRPr="00B1499A">
              <w:t xml:space="preserve">pH </w:t>
            </w:r>
            <w:r w:rsidR="00791B38">
              <w:t>–</w:t>
            </w:r>
            <w:r w:rsidRPr="00B1499A">
              <w:t xml:space="preserve"> </w:t>
            </w:r>
            <w:r w:rsidR="00116066">
              <w:t>w</w:t>
            </w:r>
            <w:r w:rsidRPr="00B1499A">
              <w:t>as pH measured at least at the beginning and end of the toxicity test?</w:t>
            </w:r>
          </w:p>
        </w:tc>
        <w:tc>
          <w:tcPr>
            <w:tcW w:w="1790" w:type="dxa"/>
            <w:tcBorders>
              <w:top w:val="single" w:sz="4" w:space="0" w:color="auto"/>
              <w:left w:val="nil"/>
              <w:bottom w:val="single" w:sz="4" w:space="0" w:color="auto"/>
              <w:right w:val="nil"/>
            </w:tcBorders>
            <w:hideMark/>
          </w:tcPr>
          <w:p w14:paraId="58CBFC09" w14:textId="6959371F" w:rsidR="005110DE" w:rsidRPr="00B1499A" w:rsidRDefault="005110DE" w:rsidP="002208E5">
            <w:pPr>
              <w:pStyle w:val="TableText"/>
            </w:pPr>
            <w:r w:rsidRPr="00B1499A">
              <w:t>Yes (3), No (0/FAIL)</w:t>
            </w:r>
          </w:p>
        </w:tc>
      </w:tr>
      <w:tr w:rsidR="005110DE" w:rsidRPr="00B1499A" w14:paraId="1A0DE993" w14:textId="77777777" w:rsidTr="0069786C">
        <w:trPr>
          <w:cantSplit/>
          <w:trHeight w:val="108"/>
        </w:trPr>
        <w:tc>
          <w:tcPr>
            <w:tcW w:w="709" w:type="dxa"/>
            <w:tcBorders>
              <w:top w:val="single" w:sz="4" w:space="0" w:color="auto"/>
              <w:left w:val="nil"/>
              <w:bottom w:val="single" w:sz="4" w:space="0" w:color="auto"/>
              <w:right w:val="nil"/>
            </w:tcBorders>
            <w:hideMark/>
          </w:tcPr>
          <w:p w14:paraId="5F458F40" w14:textId="77777777" w:rsidR="005110DE" w:rsidRPr="00B1499A" w:rsidRDefault="005110DE" w:rsidP="002208E5">
            <w:pPr>
              <w:pStyle w:val="TableText"/>
            </w:pPr>
            <w:r w:rsidRPr="00B1499A">
              <w:t>18.</w:t>
            </w:r>
            <w:r>
              <w:t>2</w:t>
            </w:r>
          </w:p>
        </w:tc>
        <w:tc>
          <w:tcPr>
            <w:tcW w:w="6521" w:type="dxa"/>
            <w:tcBorders>
              <w:top w:val="single" w:sz="4" w:space="0" w:color="auto"/>
              <w:left w:val="nil"/>
              <w:bottom w:val="single" w:sz="4" w:space="0" w:color="auto"/>
              <w:right w:val="nil"/>
            </w:tcBorders>
            <w:hideMark/>
          </w:tcPr>
          <w:p w14:paraId="0A9562F8" w14:textId="605B583F" w:rsidR="005110DE" w:rsidRPr="00B1499A" w:rsidRDefault="002700C7" w:rsidP="002208E5">
            <w:pPr>
              <w:pStyle w:val="TableText"/>
            </w:pPr>
            <w:r w:rsidRPr="00B1499A">
              <w:t>Dissolved oxygen</w:t>
            </w:r>
            <w:r>
              <w:t xml:space="preserve"> (DO) – w</w:t>
            </w:r>
            <w:r w:rsidRPr="00B1499A">
              <w:t xml:space="preserve">as </w:t>
            </w:r>
            <w:r>
              <w:t>DO</w:t>
            </w:r>
            <w:r w:rsidRPr="00B1499A">
              <w:t xml:space="preserve"> measured at least at the beginning and end of the toxicity test?</w:t>
            </w:r>
          </w:p>
        </w:tc>
        <w:tc>
          <w:tcPr>
            <w:tcW w:w="1790" w:type="dxa"/>
            <w:tcBorders>
              <w:top w:val="single" w:sz="4" w:space="0" w:color="auto"/>
              <w:left w:val="nil"/>
              <w:bottom w:val="single" w:sz="4" w:space="0" w:color="auto"/>
              <w:right w:val="nil"/>
            </w:tcBorders>
            <w:hideMark/>
          </w:tcPr>
          <w:p w14:paraId="200279F8" w14:textId="1EA49E12" w:rsidR="005110DE" w:rsidRPr="00B1499A" w:rsidRDefault="005110DE" w:rsidP="002208E5">
            <w:pPr>
              <w:pStyle w:val="TableText"/>
            </w:pPr>
            <w:r w:rsidRPr="00B1499A">
              <w:t>Yes (2), No (0/FAIL)</w:t>
            </w:r>
          </w:p>
        </w:tc>
      </w:tr>
      <w:tr w:rsidR="005110DE" w:rsidRPr="00B1499A" w14:paraId="33783C2D" w14:textId="77777777" w:rsidTr="0069786C">
        <w:trPr>
          <w:cantSplit/>
          <w:trHeight w:val="183"/>
        </w:trPr>
        <w:tc>
          <w:tcPr>
            <w:tcW w:w="709" w:type="dxa"/>
            <w:tcBorders>
              <w:top w:val="single" w:sz="4" w:space="0" w:color="auto"/>
              <w:left w:val="nil"/>
              <w:bottom w:val="single" w:sz="4" w:space="0" w:color="auto"/>
              <w:right w:val="nil"/>
            </w:tcBorders>
            <w:hideMark/>
          </w:tcPr>
          <w:p w14:paraId="22C67503" w14:textId="77777777" w:rsidR="005110DE" w:rsidRPr="00B1499A" w:rsidRDefault="005110DE" w:rsidP="002208E5">
            <w:pPr>
              <w:pStyle w:val="TableText"/>
            </w:pPr>
            <w:r w:rsidRPr="00B1499A">
              <w:t>18.</w:t>
            </w:r>
            <w:r>
              <w:t>3</w:t>
            </w:r>
          </w:p>
        </w:tc>
        <w:tc>
          <w:tcPr>
            <w:tcW w:w="6521" w:type="dxa"/>
            <w:tcBorders>
              <w:top w:val="single" w:sz="4" w:space="0" w:color="auto"/>
              <w:left w:val="nil"/>
              <w:bottom w:val="single" w:sz="4" w:space="0" w:color="auto"/>
              <w:right w:val="nil"/>
            </w:tcBorders>
            <w:hideMark/>
          </w:tcPr>
          <w:p w14:paraId="3283A7F1" w14:textId="2C50CB0B" w:rsidR="005110DE" w:rsidRPr="00B1499A" w:rsidRDefault="005110DE" w:rsidP="002208E5">
            <w:pPr>
              <w:pStyle w:val="TableText"/>
            </w:pPr>
            <w:r w:rsidRPr="00B1499A">
              <w:t>Conductivity</w:t>
            </w:r>
          </w:p>
        </w:tc>
        <w:tc>
          <w:tcPr>
            <w:tcW w:w="1790" w:type="dxa"/>
            <w:tcBorders>
              <w:top w:val="single" w:sz="4" w:space="0" w:color="auto"/>
              <w:left w:val="nil"/>
              <w:bottom w:val="single" w:sz="4" w:space="0" w:color="auto"/>
              <w:right w:val="nil"/>
            </w:tcBorders>
            <w:hideMark/>
          </w:tcPr>
          <w:p w14:paraId="7FCE96B3" w14:textId="328A28CF" w:rsidR="005110DE" w:rsidRPr="00B1499A" w:rsidRDefault="005110DE" w:rsidP="002208E5">
            <w:pPr>
              <w:pStyle w:val="TableText"/>
            </w:pPr>
            <w:r w:rsidRPr="00B1499A">
              <w:t>Yes (2), No (0/FAIL)</w:t>
            </w:r>
          </w:p>
        </w:tc>
      </w:tr>
      <w:tr w:rsidR="005110DE" w:rsidRPr="00B1499A" w14:paraId="1490F62E" w14:textId="77777777" w:rsidTr="0069786C">
        <w:trPr>
          <w:cantSplit/>
          <w:trHeight w:val="529"/>
        </w:trPr>
        <w:tc>
          <w:tcPr>
            <w:tcW w:w="709" w:type="dxa"/>
            <w:tcBorders>
              <w:top w:val="single" w:sz="4" w:space="0" w:color="auto"/>
              <w:left w:val="nil"/>
              <w:bottom w:val="single" w:sz="4" w:space="0" w:color="auto"/>
              <w:right w:val="nil"/>
            </w:tcBorders>
            <w:hideMark/>
          </w:tcPr>
          <w:p w14:paraId="26A95A73" w14:textId="77777777" w:rsidR="005110DE" w:rsidRPr="00B1499A" w:rsidRDefault="005110DE" w:rsidP="002208E5">
            <w:pPr>
              <w:pStyle w:val="TableText"/>
            </w:pPr>
            <w:r w:rsidRPr="00B1499A">
              <w:t>18.</w:t>
            </w:r>
            <w:r>
              <w:t>4</w:t>
            </w:r>
          </w:p>
        </w:tc>
        <w:tc>
          <w:tcPr>
            <w:tcW w:w="6521" w:type="dxa"/>
            <w:tcBorders>
              <w:top w:val="single" w:sz="4" w:space="0" w:color="auto"/>
              <w:left w:val="nil"/>
              <w:bottom w:val="single" w:sz="4" w:space="0" w:color="auto"/>
              <w:right w:val="nil"/>
            </w:tcBorders>
            <w:hideMark/>
          </w:tcPr>
          <w:p w14:paraId="49FFA7EC" w14:textId="77777777" w:rsidR="005110DE" w:rsidRPr="00B1499A" w:rsidRDefault="005110DE" w:rsidP="002208E5">
            <w:pPr>
              <w:pStyle w:val="TableText"/>
            </w:pPr>
            <w:r w:rsidRPr="00B1499A">
              <w:t>Temperature</w:t>
            </w:r>
          </w:p>
        </w:tc>
        <w:tc>
          <w:tcPr>
            <w:tcW w:w="1790" w:type="dxa"/>
            <w:tcBorders>
              <w:top w:val="single" w:sz="4" w:space="0" w:color="auto"/>
              <w:left w:val="nil"/>
              <w:bottom w:val="single" w:sz="4" w:space="0" w:color="auto"/>
              <w:right w:val="nil"/>
            </w:tcBorders>
            <w:hideMark/>
          </w:tcPr>
          <w:p w14:paraId="6FD9E0C6" w14:textId="794C4F6F" w:rsidR="005110DE" w:rsidRPr="00B1499A" w:rsidRDefault="005110DE" w:rsidP="002208E5">
            <w:pPr>
              <w:pStyle w:val="TableText"/>
            </w:pPr>
            <w:r w:rsidRPr="00B1499A">
              <w:t>Yes (2), Temperature of room or chamber was reported (1), No (0/FAIL)</w:t>
            </w:r>
          </w:p>
        </w:tc>
      </w:tr>
      <w:tr w:rsidR="00C500CC" w:rsidRPr="00B1499A" w14:paraId="5CACFC72" w14:textId="77777777" w:rsidTr="00AC7916">
        <w:trPr>
          <w:cantSplit/>
          <w:trHeight w:val="283"/>
        </w:trPr>
        <w:tc>
          <w:tcPr>
            <w:tcW w:w="709" w:type="dxa"/>
            <w:tcBorders>
              <w:top w:val="single" w:sz="4" w:space="0" w:color="auto"/>
              <w:left w:val="nil"/>
              <w:bottom w:val="single" w:sz="4" w:space="0" w:color="auto"/>
              <w:right w:val="nil"/>
            </w:tcBorders>
          </w:tcPr>
          <w:p w14:paraId="3462FCCC" w14:textId="64D55834" w:rsidR="00C500CC" w:rsidRPr="00B1499A" w:rsidRDefault="00C500CC" w:rsidP="002208E5">
            <w:pPr>
              <w:pStyle w:val="TableText"/>
            </w:pPr>
            <w:r>
              <w:t>18.5</w:t>
            </w:r>
          </w:p>
        </w:tc>
        <w:tc>
          <w:tcPr>
            <w:tcW w:w="6521" w:type="dxa"/>
            <w:tcBorders>
              <w:top w:val="single" w:sz="4" w:space="0" w:color="auto"/>
              <w:left w:val="nil"/>
              <w:bottom w:val="single" w:sz="4" w:space="0" w:color="auto"/>
              <w:right w:val="nil"/>
            </w:tcBorders>
          </w:tcPr>
          <w:p w14:paraId="5488F34D" w14:textId="7F90450A" w:rsidR="00C500CC" w:rsidRPr="00B1499A" w:rsidRDefault="00C500CC" w:rsidP="002208E5">
            <w:pPr>
              <w:pStyle w:val="TableText"/>
              <w:rPr>
                <w:color w:val="000000"/>
              </w:rPr>
            </w:pPr>
            <w:r w:rsidRPr="57352DF8">
              <w:t>Any other parameters of relevance (e.g. other toxicity</w:t>
            </w:r>
            <w:r w:rsidR="00D62C7F">
              <w:t>-</w:t>
            </w:r>
            <w:r w:rsidRPr="57352DF8">
              <w:t>modifying factors)</w:t>
            </w:r>
            <w:r w:rsidR="00577198">
              <w:t>?</w:t>
            </w:r>
          </w:p>
        </w:tc>
        <w:tc>
          <w:tcPr>
            <w:tcW w:w="1790" w:type="dxa"/>
            <w:tcBorders>
              <w:top w:val="single" w:sz="4" w:space="0" w:color="auto"/>
              <w:left w:val="nil"/>
              <w:bottom w:val="single" w:sz="4" w:space="0" w:color="BFBFBF" w:themeColor="background1" w:themeShade="BF"/>
              <w:right w:val="nil"/>
            </w:tcBorders>
          </w:tcPr>
          <w:p w14:paraId="24EABEF8" w14:textId="5CB58A3D" w:rsidR="00C500CC" w:rsidRPr="00B1499A" w:rsidRDefault="00C500CC" w:rsidP="002208E5">
            <w:pPr>
              <w:pStyle w:val="TableText"/>
            </w:pPr>
            <w:r w:rsidRPr="00B1499A">
              <w:t>Yes (2), No (0/FAIL)</w:t>
            </w:r>
          </w:p>
        </w:tc>
      </w:tr>
      <w:tr w:rsidR="004A0DA1" w:rsidRPr="00B1499A" w14:paraId="602B3CDA" w14:textId="77777777" w:rsidTr="0069786C">
        <w:trPr>
          <w:cantSplit/>
          <w:trHeight w:val="70"/>
        </w:trPr>
        <w:tc>
          <w:tcPr>
            <w:tcW w:w="709" w:type="dxa"/>
            <w:tcBorders>
              <w:top w:val="single" w:sz="4" w:space="0" w:color="auto"/>
              <w:bottom w:val="single" w:sz="4" w:space="0" w:color="auto"/>
            </w:tcBorders>
            <w:hideMark/>
          </w:tcPr>
          <w:p w14:paraId="18410BEB" w14:textId="77777777" w:rsidR="004A0DA1" w:rsidRPr="00B1499A" w:rsidRDefault="004A0DA1" w:rsidP="004A0DA1">
            <w:pPr>
              <w:pStyle w:val="TableText"/>
            </w:pPr>
          </w:p>
        </w:tc>
        <w:tc>
          <w:tcPr>
            <w:tcW w:w="8311" w:type="dxa"/>
            <w:gridSpan w:val="2"/>
            <w:tcBorders>
              <w:top w:val="single" w:sz="4" w:space="0" w:color="auto"/>
              <w:bottom w:val="single" w:sz="4" w:space="0" w:color="auto"/>
            </w:tcBorders>
            <w:hideMark/>
          </w:tcPr>
          <w:p w14:paraId="1272FB9C" w14:textId="127D27DA" w:rsidR="004A0DA1" w:rsidRPr="00B1499A" w:rsidRDefault="004A0DA1" w:rsidP="004A0DA1">
            <w:pPr>
              <w:pStyle w:val="TableText"/>
              <w:rPr>
                <w:color w:val="000000"/>
              </w:rPr>
            </w:pPr>
            <w:r w:rsidRPr="009D7457">
              <w:rPr>
                <w:color w:val="000000"/>
              </w:rPr>
              <w:t>M</w:t>
            </w:r>
            <w:r>
              <w:rPr>
                <w:color w:val="000000"/>
              </w:rPr>
              <w:t>aximum sub-total for Part C = 11</w:t>
            </w:r>
          </w:p>
        </w:tc>
      </w:tr>
      <w:tr w:rsidR="004A0DA1" w:rsidRPr="00163D3D" w14:paraId="0EC2EA63" w14:textId="77777777" w:rsidTr="0069786C">
        <w:trPr>
          <w:cantSplit/>
          <w:trHeight w:val="70"/>
        </w:trPr>
        <w:tc>
          <w:tcPr>
            <w:tcW w:w="709" w:type="dxa"/>
            <w:tcBorders>
              <w:top w:val="single" w:sz="4" w:space="0" w:color="auto"/>
              <w:bottom w:val="single" w:sz="12" w:space="0" w:color="auto"/>
            </w:tcBorders>
          </w:tcPr>
          <w:p w14:paraId="75CA6556" w14:textId="77777777" w:rsidR="004A0DA1" w:rsidRPr="00163D3D" w:rsidRDefault="004A0DA1" w:rsidP="004A0DA1">
            <w:pPr>
              <w:pStyle w:val="TableText"/>
            </w:pPr>
          </w:p>
        </w:tc>
        <w:tc>
          <w:tcPr>
            <w:tcW w:w="8311" w:type="dxa"/>
            <w:gridSpan w:val="2"/>
            <w:tcBorders>
              <w:top w:val="single" w:sz="4" w:space="0" w:color="auto"/>
              <w:bottom w:val="single" w:sz="12" w:space="0" w:color="auto"/>
            </w:tcBorders>
          </w:tcPr>
          <w:p w14:paraId="709E94E4" w14:textId="18D61D21" w:rsidR="004A0DA1" w:rsidRPr="00163D3D" w:rsidRDefault="004A0DA1" w:rsidP="004A0DA1">
            <w:pPr>
              <w:pStyle w:val="TableText"/>
            </w:pPr>
            <w:r w:rsidRPr="00163D3D">
              <w:t>M</w:t>
            </w:r>
            <w:r>
              <w:t xml:space="preserve">aximum total for parts </w:t>
            </w:r>
            <w:r w:rsidRPr="00163D3D">
              <w:t>A</w:t>
            </w:r>
            <w:r>
              <w:t xml:space="preserve"> +</w:t>
            </w:r>
            <w:r w:rsidRPr="00163D3D">
              <w:t xml:space="preserve"> B </w:t>
            </w:r>
            <w:r>
              <w:t>+</w:t>
            </w:r>
            <w:r w:rsidRPr="00163D3D">
              <w:t xml:space="preserve"> C </w:t>
            </w:r>
            <w:r>
              <w:t>=</w:t>
            </w:r>
            <w:r w:rsidRPr="00163D3D">
              <w:t xml:space="preserve"> </w:t>
            </w:r>
            <w:r>
              <w:t>88</w:t>
            </w:r>
          </w:p>
        </w:tc>
      </w:tr>
    </w:tbl>
    <w:p w14:paraId="301458E5" w14:textId="77777777" w:rsidR="00246FF4" w:rsidRDefault="00246FF4" w:rsidP="004D7186">
      <w:pPr>
        <w:pStyle w:val="FigureTableNoteSource"/>
        <w:rPr>
          <w:lang w:eastAsia="ja-JP"/>
        </w:rPr>
      </w:pPr>
      <w:r w:rsidRPr="0026617C">
        <w:rPr>
          <w:lang w:eastAsia="ja-JP"/>
        </w:rPr>
        <w:t xml:space="preserve">Source: </w:t>
      </w:r>
      <w:r>
        <w:rPr>
          <w:lang w:eastAsia="ja-JP"/>
        </w:rPr>
        <w:t>Updated from Warne et al. (2018).</w:t>
      </w:r>
    </w:p>
    <w:p w14:paraId="66A69FAB" w14:textId="71402E82" w:rsidR="005110DE" w:rsidRDefault="005110DE" w:rsidP="002208E5">
      <w:pPr>
        <w:pStyle w:val="FigureTableNoteSource"/>
      </w:pPr>
      <w:r w:rsidRPr="57352DF8">
        <w:rPr>
          <w:vertAlign w:val="superscript"/>
        </w:rPr>
        <w:t>a</w:t>
      </w:r>
      <w:r w:rsidRPr="57352DF8">
        <w:t xml:space="preserve"> Where a question has a possible </w:t>
      </w:r>
      <w:r w:rsidR="00CF716C">
        <w:t>‘</w:t>
      </w:r>
      <w:r w:rsidRPr="57352DF8">
        <w:t>No (0/FAIL)</w:t>
      </w:r>
      <w:r w:rsidR="00CF716C">
        <w:t>’</w:t>
      </w:r>
      <w:r w:rsidRPr="57352DF8">
        <w:t xml:space="preserve"> outcome, professional </w:t>
      </w:r>
      <w:r w:rsidR="00542D1C">
        <w:t>judgement</w:t>
      </w:r>
      <w:r w:rsidRPr="57352DF8">
        <w:t xml:space="preserve"> may be required to determine if a 0 is assigned or if the test fails the quality</w:t>
      </w:r>
      <w:r w:rsidR="00CF716C">
        <w:t>-</w:t>
      </w:r>
      <w:r w:rsidRPr="57352DF8">
        <w:t>assessment process.</w:t>
      </w:r>
    </w:p>
    <w:p w14:paraId="74553CDD" w14:textId="77777777" w:rsidR="006C5761" w:rsidRDefault="005110DE" w:rsidP="006C5761">
      <w:pPr>
        <w:pStyle w:val="FigureTableNoteSource"/>
      </w:pPr>
      <w:r w:rsidRPr="00AD63D3">
        <w:rPr>
          <w:vertAlign w:val="superscript"/>
        </w:rPr>
        <w:t>b</w:t>
      </w:r>
      <w:r w:rsidRPr="00AD63D3">
        <w:t xml:space="preserve"> See </w:t>
      </w:r>
      <w:r w:rsidR="00AD63D3" w:rsidRPr="00AD63D3">
        <w:fldChar w:fldCharType="begin"/>
      </w:r>
      <w:r w:rsidR="00AD63D3" w:rsidRPr="00AD63D3">
        <w:instrText xml:space="preserve"> REF _Ref520276250 \h </w:instrText>
      </w:r>
      <w:r w:rsidR="00AD63D3">
        <w:instrText xml:space="preserve"> \* MERGEFORMAT </w:instrText>
      </w:r>
      <w:r w:rsidR="00AD63D3" w:rsidRPr="00AD63D3">
        <w:fldChar w:fldCharType="separate"/>
      </w:r>
    </w:p>
    <w:p w14:paraId="28FDD38E" w14:textId="5725C1DA" w:rsidR="005110DE" w:rsidRDefault="006C5761" w:rsidP="002208E5">
      <w:pPr>
        <w:pStyle w:val="FigureTableNoteSource"/>
      </w:pPr>
      <w:r w:rsidRPr="57352DF8">
        <w:t>Table</w:t>
      </w:r>
      <w:r>
        <w:t> </w:t>
      </w:r>
      <w:r>
        <w:rPr>
          <w:noProof/>
        </w:rPr>
        <w:t>2</w:t>
      </w:r>
      <w:r w:rsidR="00AD63D3" w:rsidRPr="00AD63D3">
        <w:fldChar w:fldCharType="end"/>
      </w:r>
      <w:r w:rsidR="005110DE" w:rsidRPr="00AD63D3">
        <w:t xml:space="preserve"> for </w:t>
      </w:r>
      <w:r w:rsidR="005110DE" w:rsidRPr="002208E5">
        <w:t>additional</w:t>
      </w:r>
      <w:r w:rsidR="005110DE" w:rsidRPr="00AD63D3">
        <w:t xml:space="preserve"> guidance.</w:t>
      </w:r>
    </w:p>
    <w:p w14:paraId="2CA9C295" w14:textId="77777777" w:rsidR="005110DE" w:rsidRDefault="005110DE" w:rsidP="004D7186">
      <w:r>
        <w:br w:type="page"/>
      </w:r>
    </w:p>
    <w:p w14:paraId="079A995C" w14:textId="0EEFF2F6" w:rsidR="005110DE" w:rsidRPr="00D636A6" w:rsidRDefault="00594F1C" w:rsidP="005110DE">
      <w:pPr>
        <w:pStyle w:val="Caption"/>
      </w:pPr>
      <w:bookmarkStart w:id="181" w:name="_Toc206085228"/>
      <w:r>
        <w:lastRenderedPageBreak/>
        <w:t>Table</w:t>
      </w:r>
      <w:r w:rsidR="000B093C">
        <w:t> </w:t>
      </w:r>
      <w:r>
        <w:fldChar w:fldCharType="begin"/>
      </w:r>
      <w:r>
        <w:instrText xml:space="preserve"> STYLEREF 7 \s </w:instrText>
      </w:r>
      <w:r>
        <w:fldChar w:fldCharType="separate"/>
      </w:r>
      <w:r w:rsidR="006C5761">
        <w:rPr>
          <w:noProof/>
        </w:rPr>
        <w:t>B</w:t>
      </w:r>
      <w:r>
        <w:rPr>
          <w:noProof/>
        </w:rPr>
        <w:fldChar w:fldCharType="end"/>
      </w:r>
      <w:r>
        <w:t>.</w:t>
      </w:r>
      <w:r>
        <w:fldChar w:fldCharType="begin"/>
      </w:r>
      <w:r>
        <w:instrText xml:space="preserve"> SEQ ApxTable \* ARABIC \s 7 </w:instrText>
      </w:r>
      <w:r>
        <w:fldChar w:fldCharType="separate"/>
      </w:r>
      <w:r w:rsidR="006C5761">
        <w:rPr>
          <w:noProof/>
        </w:rPr>
        <w:t>2</w:t>
      </w:r>
      <w:r>
        <w:rPr>
          <w:noProof/>
        </w:rPr>
        <w:fldChar w:fldCharType="end"/>
      </w:r>
      <w:r w:rsidR="005110DE" w:rsidRPr="00D636A6">
        <w:t xml:space="preserve"> Scoring system for assessing the quality of toxicity data for </w:t>
      </w:r>
      <w:r w:rsidR="00381DBB" w:rsidRPr="00541839">
        <w:t>metals</w:t>
      </w:r>
      <w:r w:rsidR="00381DBB">
        <w:t>/non-metallic inorganics</w:t>
      </w:r>
      <w:r w:rsidR="005110DE" w:rsidRPr="00D636A6">
        <w:t xml:space="preserve"> to freshwater plants</w:t>
      </w:r>
      <w:r w:rsidR="005110DE">
        <w:t>,</w:t>
      </w:r>
      <w:r w:rsidR="005110DE" w:rsidRPr="00D636A6">
        <w:t xml:space="preserve"> to be used in the derivation of guideline values for toxicants</w:t>
      </w:r>
      <w:bookmarkEnd w:id="181"/>
    </w:p>
    <w:tbl>
      <w:tblPr>
        <w:tblW w:w="0" w:type="auto"/>
        <w:tblLayout w:type="fixed"/>
        <w:tblLook w:val="04A0" w:firstRow="1" w:lastRow="0" w:firstColumn="1" w:lastColumn="0" w:noHBand="0" w:noVBand="1"/>
      </w:tblPr>
      <w:tblGrid>
        <w:gridCol w:w="709"/>
        <w:gridCol w:w="6521"/>
        <w:gridCol w:w="1790"/>
      </w:tblGrid>
      <w:tr w:rsidR="007374DE" w:rsidRPr="00B1499A" w14:paraId="5DB32BE7" w14:textId="77777777" w:rsidTr="0069786C">
        <w:trPr>
          <w:cantSplit/>
          <w:trHeight w:val="320"/>
          <w:tblHeader/>
        </w:trPr>
        <w:tc>
          <w:tcPr>
            <w:tcW w:w="709" w:type="dxa"/>
            <w:tcBorders>
              <w:top w:val="single" w:sz="12" w:space="0" w:color="auto"/>
              <w:left w:val="nil"/>
              <w:bottom w:val="single" w:sz="12" w:space="0" w:color="auto"/>
              <w:right w:val="nil"/>
            </w:tcBorders>
            <w:noWrap/>
            <w:hideMark/>
          </w:tcPr>
          <w:p w14:paraId="5A2F0021" w14:textId="1CE7D149" w:rsidR="007374DE" w:rsidRPr="00B1499A" w:rsidRDefault="007374DE" w:rsidP="00851228">
            <w:pPr>
              <w:pStyle w:val="TableHeading"/>
            </w:pPr>
            <w:r>
              <w:t>No.</w:t>
            </w:r>
          </w:p>
        </w:tc>
        <w:tc>
          <w:tcPr>
            <w:tcW w:w="6521" w:type="dxa"/>
            <w:tcBorders>
              <w:top w:val="single" w:sz="12" w:space="0" w:color="auto"/>
              <w:left w:val="nil"/>
              <w:bottom w:val="single" w:sz="12" w:space="0" w:color="auto"/>
              <w:right w:val="nil"/>
            </w:tcBorders>
          </w:tcPr>
          <w:p w14:paraId="50FA1FFC" w14:textId="1464D220" w:rsidR="007374DE" w:rsidRPr="00B1499A" w:rsidRDefault="007374DE" w:rsidP="00851228">
            <w:pPr>
              <w:pStyle w:val="TableHeading"/>
            </w:pPr>
            <w:r>
              <w:t>Question</w:t>
            </w:r>
          </w:p>
        </w:tc>
        <w:tc>
          <w:tcPr>
            <w:tcW w:w="1790" w:type="dxa"/>
            <w:tcBorders>
              <w:top w:val="single" w:sz="12" w:space="0" w:color="auto"/>
              <w:left w:val="nil"/>
              <w:bottom w:val="single" w:sz="12" w:space="0" w:color="auto"/>
              <w:right w:val="nil"/>
            </w:tcBorders>
            <w:noWrap/>
            <w:hideMark/>
          </w:tcPr>
          <w:p w14:paraId="26A9DDEA" w14:textId="0F0BBF4A" w:rsidR="007374DE" w:rsidRPr="00B1499A" w:rsidRDefault="007374DE" w:rsidP="00851228">
            <w:pPr>
              <w:pStyle w:val="TableHeading"/>
            </w:pPr>
            <w:r>
              <w:t>Score</w:t>
            </w:r>
            <w:r w:rsidRPr="00F67D15">
              <w:rPr>
                <w:vertAlign w:val="superscript"/>
              </w:rPr>
              <w:t>a</w:t>
            </w:r>
          </w:p>
        </w:tc>
      </w:tr>
      <w:tr w:rsidR="005E2E82" w:rsidRPr="00903169" w14:paraId="35709159" w14:textId="77777777" w:rsidTr="001220EF">
        <w:trPr>
          <w:cantSplit/>
          <w:trHeight w:val="320"/>
        </w:trPr>
        <w:tc>
          <w:tcPr>
            <w:tcW w:w="7230" w:type="dxa"/>
            <w:gridSpan w:val="2"/>
            <w:tcBorders>
              <w:top w:val="single" w:sz="12" w:space="0" w:color="auto"/>
              <w:left w:val="nil"/>
              <w:bottom w:val="single" w:sz="12" w:space="0" w:color="auto"/>
              <w:right w:val="nil"/>
            </w:tcBorders>
            <w:noWrap/>
            <w:hideMark/>
          </w:tcPr>
          <w:p w14:paraId="3DA82B36" w14:textId="50B64569" w:rsidR="005E2E82" w:rsidRPr="00B1499A" w:rsidRDefault="005E2E82" w:rsidP="005E2E82">
            <w:pPr>
              <w:pStyle w:val="TableText"/>
            </w:pPr>
            <w:r w:rsidRPr="002171FA">
              <w:rPr>
                <w:b/>
                <w:bCs/>
              </w:rPr>
              <w:t>A. G</w:t>
            </w:r>
            <w:r>
              <w:rPr>
                <w:b/>
                <w:bCs/>
              </w:rPr>
              <w:t>eneral test design information</w:t>
            </w:r>
          </w:p>
        </w:tc>
        <w:tc>
          <w:tcPr>
            <w:tcW w:w="1790" w:type="dxa"/>
            <w:tcBorders>
              <w:top w:val="single" w:sz="12" w:space="0" w:color="auto"/>
              <w:left w:val="nil"/>
              <w:bottom w:val="single" w:sz="12" w:space="0" w:color="auto"/>
              <w:right w:val="nil"/>
            </w:tcBorders>
            <w:noWrap/>
            <w:hideMark/>
          </w:tcPr>
          <w:p w14:paraId="778E9ED7" w14:textId="7B91AA94" w:rsidR="005E2E82" w:rsidRPr="00B1499A" w:rsidRDefault="005E2E82" w:rsidP="005E2E82">
            <w:pPr>
              <w:pStyle w:val="TableText"/>
            </w:pPr>
          </w:p>
        </w:tc>
      </w:tr>
      <w:tr w:rsidR="00AC7916" w:rsidRPr="00B1499A" w14:paraId="6FA5CB5B" w14:textId="77777777" w:rsidTr="0069786C">
        <w:trPr>
          <w:cantSplit/>
          <w:trHeight w:val="320"/>
        </w:trPr>
        <w:tc>
          <w:tcPr>
            <w:tcW w:w="709" w:type="dxa"/>
            <w:tcBorders>
              <w:top w:val="single" w:sz="12" w:space="0" w:color="auto"/>
              <w:left w:val="nil"/>
              <w:bottom w:val="single" w:sz="4" w:space="0" w:color="auto"/>
              <w:right w:val="nil"/>
            </w:tcBorders>
            <w:hideMark/>
          </w:tcPr>
          <w:p w14:paraId="3A84C4BF" w14:textId="1E49DD03" w:rsidR="00AC7916" w:rsidRPr="00B1499A" w:rsidRDefault="00AC7916" w:rsidP="00AC7916">
            <w:pPr>
              <w:pStyle w:val="TableText"/>
            </w:pPr>
            <w:r w:rsidRPr="00B1499A">
              <w:t>1</w:t>
            </w:r>
          </w:p>
        </w:tc>
        <w:tc>
          <w:tcPr>
            <w:tcW w:w="6521" w:type="dxa"/>
            <w:tcBorders>
              <w:top w:val="single" w:sz="12" w:space="0" w:color="auto"/>
              <w:left w:val="nil"/>
              <w:bottom w:val="single" w:sz="4" w:space="0" w:color="auto"/>
              <w:right w:val="nil"/>
            </w:tcBorders>
            <w:hideMark/>
          </w:tcPr>
          <w:p w14:paraId="127C9CD2" w14:textId="58156825" w:rsidR="00AC7916" w:rsidRPr="00B1499A" w:rsidRDefault="00AC7916" w:rsidP="00AC7916">
            <w:pPr>
              <w:pStyle w:val="TableText"/>
              <w:rPr>
                <w:color w:val="000000"/>
              </w:rPr>
            </w:pPr>
            <w:r w:rsidRPr="57352DF8">
              <w:t>Was the duration of the exposure stated (</w:t>
            </w:r>
            <w:r>
              <w:t>e.g.</w:t>
            </w:r>
            <w:r w:rsidRPr="57352DF8">
              <w:t xml:space="preserve"> 48</w:t>
            </w:r>
            <w:r>
              <w:t xml:space="preserve"> h,</w:t>
            </w:r>
            <w:r w:rsidRPr="57352DF8">
              <w:t xml:space="preserve"> 96 h)?</w:t>
            </w:r>
          </w:p>
        </w:tc>
        <w:tc>
          <w:tcPr>
            <w:tcW w:w="1790" w:type="dxa"/>
            <w:tcBorders>
              <w:top w:val="single" w:sz="12" w:space="0" w:color="auto"/>
              <w:left w:val="nil"/>
              <w:bottom w:val="single" w:sz="4" w:space="0" w:color="auto"/>
              <w:right w:val="nil"/>
            </w:tcBorders>
            <w:hideMark/>
          </w:tcPr>
          <w:p w14:paraId="5198D810" w14:textId="77777777" w:rsidR="00AC7916" w:rsidRPr="00B1499A" w:rsidRDefault="00AC7916" w:rsidP="00AC7916">
            <w:pPr>
              <w:pStyle w:val="TableText"/>
            </w:pPr>
            <w:r w:rsidRPr="00B1499A">
              <w:t>Yes (3), No (0/FAIL)</w:t>
            </w:r>
          </w:p>
        </w:tc>
      </w:tr>
      <w:tr w:rsidR="00AC7916" w:rsidRPr="00B1499A" w14:paraId="21671AFA" w14:textId="77777777" w:rsidTr="0069786C">
        <w:trPr>
          <w:cantSplit/>
          <w:trHeight w:val="1040"/>
        </w:trPr>
        <w:tc>
          <w:tcPr>
            <w:tcW w:w="709" w:type="dxa"/>
            <w:tcBorders>
              <w:top w:val="single" w:sz="4" w:space="0" w:color="auto"/>
              <w:left w:val="nil"/>
              <w:bottom w:val="single" w:sz="4" w:space="0" w:color="auto"/>
              <w:right w:val="nil"/>
            </w:tcBorders>
            <w:hideMark/>
          </w:tcPr>
          <w:p w14:paraId="46775154" w14:textId="484927CF" w:rsidR="00AC7916" w:rsidRPr="00B1499A" w:rsidRDefault="00AC7916" w:rsidP="00AC7916">
            <w:pPr>
              <w:pStyle w:val="TableText"/>
            </w:pPr>
            <w:r w:rsidRPr="00B1499A">
              <w:t>2</w:t>
            </w:r>
          </w:p>
        </w:tc>
        <w:tc>
          <w:tcPr>
            <w:tcW w:w="6521" w:type="dxa"/>
            <w:tcBorders>
              <w:top w:val="single" w:sz="4" w:space="0" w:color="auto"/>
              <w:left w:val="nil"/>
              <w:bottom w:val="single" w:sz="4" w:space="0" w:color="auto"/>
              <w:right w:val="nil"/>
            </w:tcBorders>
            <w:hideMark/>
          </w:tcPr>
          <w:p w14:paraId="6A77D350" w14:textId="2171CCEE" w:rsidR="00AC7916" w:rsidRPr="00B1499A" w:rsidRDefault="00AC7916" w:rsidP="00AC7916">
            <w:pPr>
              <w:pStyle w:val="TableText"/>
              <w:rPr>
                <w:color w:val="000000"/>
              </w:rPr>
            </w:pPr>
            <w:r w:rsidRPr="57352DF8">
              <w:t>Was the biological endpoint (</w:t>
            </w:r>
            <w:r>
              <w:t>e.g.</w:t>
            </w:r>
            <w:r w:rsidRPr="57352DF8">
              <w:t xml:space="preserve"> immobilisation</w:t>
            </w:r>
            <w:r>
              <w:t>,</w:t>
            </w:r>
            <w:r w:rsidRPr="57352DF8">
              <w:t xml:space="preserve"> population growth) stated? Note: </w:t>
            </w:r>
            <w:r>
              <w:t>e</w:t>
            </w:r>
            <w:r w:rsidRPr="57352DF8">
              <w:t xml:space="preserve">nsure that the endpoint is considered to be ecologically relevant. </w:t>
            </w:r>
            <w:r w:rsidR="003E565F">
              <w:t>Do not use e</w:t>
            </w:r>
            <w:r w:rsidRPr="57352DF8">
              <w:t>ndpoints with no demonstrated ecological relevance to derive guideline values</w:t>
            </w:r>
            <w:r w:rsidR="00236FD0">
              <w:t>,</w:t>
            </w:r>
            <w:r w:rsidRPr="57352DF8">
              <w:t xml:space="preserve"> and </w:t>
            </w:r>
            <w:r w:rsidR="00EA1935">
              <w:t xml:space="preserve">they </w:t>
            </w:r>
            <w:r w:rsidRPr="57352DF8">
              <w:t xml:space="preserve">do not need </w:t>
            </w:r>
            <w:r w:rsidR="00EA1935">
              <w:t>their</w:t>
            </w:r>
            <w:r w:rsidRPr="57352DF8">
              <w:t xml:space="preserve"> quality assessed.</w:t>
            </w:r>
          </w:p>
        </w:tc>
        <w:tc>
          <w:tcPr>
            <w:tcW w:w="1790" w:type="dxa"/>
            <w:tcBorders>
              <w:top w:val="single" w:sz="4" w:space="0" w:color="auto"/>
              <w:left w:val="nil"/>
              <w:bottom w:val="single" w:sz="4" w:space="0" w:color="auto"/>
              <w:right w:val="nil"/>
            </w:tcBorders>
            <w:hideMark/>
          </w:tcPr>
          <w:p w14:paraId="11F28F10" w14:textId="77777777" w:rsidR="00AC7916" w:rsidRPr="00B1499A" w:rsidRDefault="00AC7916" w:rsidP="00AC7916">
            <w:pPr>
              <w:pStyle w:val="TableText"/>
            </w:pPr>
            <w:r w:rsidRPr="00B1499A">
              <w:t>Yes (3), No (0/FAIL)</w:t>
            </w:r>
          </w:p>
        </w:tc>
      </w:tr>
      <w:tr w:rsidR="00AC7916" w:rsidRPr="00B1499A" w14:paraId="0CCC0170" w14:textId="77777777" w:rsidTr="0069786C">
        <w:trPr>
          <w:cantSplit/>
          <w:trHeight w:val="780"/>
        </w:trPr>
        <w:tc>
          <w:tcPr>
            <w:tcW w:w="709" w:type="dxa"/>
            <w:tcBorders>
              <w:top w:val="single" w:sz="4" w:space="0" w:color="auto"/>
              <w:left w:val="nil"/>
              <w:bottom w:val="single" w:sz="4" w:space="0" w:color="auto"/>
              <w:right w:val="nil"/>
            </w:tcBorders>
            <w:hideMark/>
          </w:tcPr>
          <w:p w14:paraId="0B82AB36" w14:textId="25CF778A" w:rsidR="00AC7916" w:rsidRPr="00B1499A" w:rsidRDefault="00AC7916" w:rsidP="00AC7916">
            <w:pPr>
              <w:pStyle w:val="TableText"/>
            </w:pPr>
            <w:r w:rsidRPr="00B1499A">
              <w:t>3</w:t>
            </w:r>
          </w:p>
        </w:tc>
        <w:tc>
          <w:tcPr>
            <w:tcW w:w="6521" w:type="dxa"/>
            <w:tcBorders>
              <w:top w:val="single" w:sz="4" w:space="0" w:color="auto"/>
              <w:left w:val="nil"/>
              <w:bottom w:val="single" w:sz="4" w:space="0" w:color="auto"/>
              <w:right w:val="nil"/>
            </w:tcBorders>
            <w:hideMark/>
          </w:tcPr>
          <w:p w14:paraId="2EEEE78C" w14:textId="274102BF" w:rsidR="00AC7916" w:rsidRPr="00B1499A" w:rsidRDefault="00AC7916" w:rsidP="00AC7916">
            <w:pPr>
              <w:pStyle w:val="TableText"/>
              <w:rPr>
                <w:color w:val="000000"/>
              </w:rPr>
            </w:pPr>
            <w:r w:rsidRPr="57352DF8">
              <w:t xml:space="preserve">Was the measure of toxicity reported (e.g. NEC, ECx, NOEC) </w:t>
            </w:r>
            <w:r w:rsidRPr="00CA02BC">
              <w:rPr>
                <w:b/>
                <w:bCs/>
              </w:rPr>
              <w:t>and</w:t>
            </w:r>
            <w:r w:rsidRPr="57352DF8">
              <w:t xml:space="preserve"> its associated biological</w:t>
            </w:r>
            <w:r w:rsidR="00371EB5">
              <w:t>-</w:t>
            </w:r>
            <w:r w:rsidRPr="57352DF8">
              <w:t>effect size reported or quantifiable from the data (e.g. EC10, LC50, 15% effect at NOEC)?</w:t>
            </w:r>
          </w:p>
        </w:tc>
        <w:tc>
          <w:tcPr>
            <w:tcW w:w="1790" w:type="dxa"/>
            <w:tcBorders>
              <w:top w:val="single" w:sz="4" w:space="0" w:color="auto"/>
              <w:left w:val="nil"/>
              <w:bottom w:val="single" w:sz="4" w:space="0" w:color="auto"/>
              <w:right w:val="nil"/>
            </w:tcBorders>
            <w:hideMark/>
          </w:tcPr>
          <w:p w14:paraId="1E35B0CA" w14:textId="77777777" w:rsidR="00AC7916" w:rsidRPr="00B1499A" w:rsidRDefault="00AC7916" w:rsidP="00AC7916">
            <w:pPr>
              <w:pStyle w:val="TableText"/>
            </w:pPr>
            <w:r w:rsidRPr="00B1499A">
              <w:t>Yes (3), No (0/FAIL)</w:t>
            </w:r>
          </w:p>
        </w:tc>
      </w:tr>
      <w:tr w:rsidR="00AC7916" w:rsidRPr="00B1499A" w14:paraId="4511DF56" w14:textId="77777777" w:rsidTr="0069786C">
        <w:trPr>
          <w:cantSplit/>
          <w:trHeight w:val="320"/>
        </w:trPr>
        <w:tc>
          <w:tcPr>
            <w:tcW w:w="709" w:type="dxa"/>
            <w:tcBorders>
              <w:top w:val="single" w:sz="4" w:space="0" w:color="auto"/>
              <w:left w:val="nil"/>
              <w:bottom w:val="single" w:sz="4" w:space="0" w:color="auto"/>
              <w:right w:val="nil"/>
            </w:tcBorders>
            <w:hideMark/>
          </w:tcPr>
          <w:p w14:paraId="095FE72E" w14:textId="041318DB" w:rsidR="00AC7916" w:rsidRPr="00B1499A" w:rsidRDefault="00AC7916" w:rsidP="00AC7916">
            <w:pPr>
              <w:pStyle w:val="TableText"/>
            </w:pPr>
            <w:r w:rsidRPr="00B1499A">
              <w:t>4</w:t>
            </w:r>
          </w:p>
        </w:tc>
        <w:tc>
          <w:tcPr>
            <w:tcW w:w="6521" w:type="dxa"/>
            <w:tcBorders>
              <w:top w:val="single" w:sz="4" w:space="0" w:color="auto"/>
              <w:left w:val="nil"/>
              <w:bottom w:val="single" w:sz="4" w:space="0" w:color="auto"/>
              <w:right w:val="nil"/>
            </w:tcBorders>
            <w:hideMark/>
          </w:tcPr>
          <w:p w14:paraId="3F3479BF" w14:textId="2741C776" w:rsidR="00AC7916" w:rsidRPr="00B1499A" w:rsidRDefault="00AC7916" w:rsidP="00AC7916">
            <w:pPr>
              <w:pStyle w:val="TableText"/>
              <w:rPr>
                <w:color w:val="000000"/>
              </w:rPr>
            </w:pPr>
            <w:r w:rsidRPr="57352DF8">
              <w:t>Were appropriate controls (</w:t>
            </w:r>
            <w:r>
              <w:t>e.g.</w:t>
            </w:r>
            <w:r w:rsidRPr="57352DF8">
              <w:t xml:space="preserve"> no-toxicant control</w:t>
            </w:r>
            <w:r>
              <w:t>,</w:t>
            </w:r>
            <w:r w:rsidRPr="57352DF8">
              <w:t xml:space="preserve"> solvent control) used?</w:t>
            </w:r>
          </w:p>
        </w:tc>
        <w:tc>
          <w:tcPr>
            <w:tcW w:w="1790" w:type="dxa"/>
            <w:tcBorders>
              <w:top w:val="single" w:sz="4" w:space="0" w:color="auto"/>
              <w:left w:val="nil"/>
              <w:bottom w:val="single" w:sz="4" w:space="0" w:color="auto"/>
              <w:right w:val="nil"/>
            </w:tcBorders>
            <w:hideMark/>
          </w:tcPr>
          <w:p w14:paraId="5B2F6A67" w14:textId="218DBE95" w:rsidR="00AC7916" w:rsidRPr="00B1499A" w:rsidRDefault="00AC7916" w:rsidP="00AC7916">
            <w:pPr>
              <w:pStyle w:val="TableText"/>
            </w:pPr>
            <w:r w:rsidRPr="00B1499A">
              <w:t>Yes (3), No (0/FAIL)</w:t>
            </w:r>
            <w:r w:rsidRPr="002F33FD">
              <w:rPr>
                <w:vertAlign w:val="superscript"/>
              </w:rPr>
              <w:t>b</w:t>
            </w:r>
          </w:p>
        </w:tc>
      </w:tr>
      <w:tr w:rsidR="00AC7916" w:rsidRPr="00A22B40" w14:paraId="56444478" w14:textId="77777777" w:rsidTr="0069786C">
        <w:trPr>
          <w:cantSplit/>
          <w:trHeight w:val="520"/>
        </w:trPr>
        <w:tc>
          <w:tcPr>
            <w:tcW w:w="709" w:type="dxa"/>
            <w:tcBorders>
              <w:top w:val="single" w:sz="4" w:space="0" w:color="auto"/>
              <w:left w:val="nil"/>
              <w:bottom w:val="single" w:sz="4" w:space="0" w:color="auto"/>
              <w:right w:val="nil"/>
            </w:tcBorders>
            <w:hideMark/>
          </w:tcPr>
          <w:p w14:paraId="59B1D1FD" w14:textId="55D513E6" w:rsidR="00AC7916" w:rsidRPr="00B1499A" w:rsidRDefault="00AC7916" w:rsidP="00AC7916">
            <w:pPr>
              <w:pStyle w:val="TableText"/>
            </w:pPr>
            <w:r w:rsidRPr="00B1499A">
              <w:t>5</w:t>
            </w:r>
          </w:p>
        </w:tc>
        <w:tc>
          <w:tcPr>
            <w:tcW w:w="6521" w:type="dxa"/>
            <w:tcBorders>
              <w:top w:val="single" w:sz="4" w:space="0" w:color="auto"/>
              <w:left w:val="nil"/>
              <w:bottom w:val="single" w:sz="4" w:space="0" w:color="auto"/>
              <w:right w:val="nil"/>
            </w:tcBorders>
            <w:hideMark/>
          </w:tcPr>
          <w:p w14:paraId="15D1B865" w14:textId="6A693A1D" w:rsidR="00AC7916" w:rsidRPr="00B1499A" w:rsidRDefault="00AC7916" w:rsidP="00AC7916">
            <w:pPr>
              <w:pStyle w:val="TableText"/>
            </w:pPr>
            <w:r w:rsidRPr="57352DF8">
              <w:t>How may treatment concentrations were used (in addition to the control)?</w:t>
            </w:r>
          </w:p>
        </w:tc>
        <w:tc>
          <w:tcPr>
            <w:tcW w:w="1790" w:type="dxa"/>
            <w:tcBorders>
              <w:top w:val="single" w:sz="4" w:space="0" w:color="auto"/>
              <w:left w:val="nil"/>
              <w:bottom w:val="single" w:sz="4" w:space="0" w:color="auto"/>
              <w:right w:val="nil"/>
            </w:tcBorders>
            <w:hideMark/>
          </w:tcPr>
          <w:p w14:paraId="299BBA3B" w14:textId="2164723D" w:rsidR="00AC7916" w:rsidRPr="00B1499A" w:rsidRDefault="00AC7916" w:rsidP="00AC7916">
            <w:pPr>
              <w:pStyle w:val="TableText"/>
            </w:pPr>
            <w:r w:rsidRPr="00B1499A">
              <w:t>≥</w:t>
            </w:r>
            <w:r>
              <w:t> </w:t>
            </w:r>
            <w:r w:rsidRPr="00B1499A">
              <w:t>9 (3), 6</w:t>
            </w:r>
            <w:r>
              <w:t>–</w:t>
            </w:r>
            <w:r w:rsidRPr="00B1499A">
              <w:t>8 (2), 3</w:t>
            </w:r>
            <w:r>
              <w:t>–</w:t>
            </w:r>
            <w:r w:rsidRPr="00B1499A">
              <w:t>5 (1), &lt;</w:t>
            </w:r>
            <w:r>
              <w:t> </w:t>
            </w:r>
            <w:r w:rsidRPr="00B1499A">
              <w:t>3 (0/FAIL)</w:t>
            </w:r>
            <w:r w:rsidRPr="002F33FD">
              <w:rPr>
                <w:color w:val="000000"/>
                <w:vertAlign w:val="superscript"/>
              </w:rPr>
              <w:t>b</w:t>
            </w:r>
          </w:p>
        </w:tc>
      </w:tr>
      <w:tr w:rsidR="00AC7916" w:rsidRPr="00A22B40" w14:paraId="0AEDDAC1" w14:textId="77777777" w:rsidTr="0069786C">
        <w:trPr>
          <w:cantSplit/>
          <w:trHeight w:val="520"/>
        </w:trPr>
        <w:tc>
          <w:tcPr>
            <w:tcW w:w="709" w:type="dxa"/>
            <w:tcBorders>
              <w:top w:val="single" w:sz="4" w:space="0" w:color="auto"/>
              <w:left w:val="nil"/>
              <w:bottom w:val="single" w:sz="4" w:space="0" w:color="auto"/>
              <w:right w:val="nil"/>
            </w:tcBorders>
            <w:hideMark/>
          </w:tcPr>
          <w:p w14:paraId="1403A409" w14:textId="257F55A5" w:rsidR="00AC7916" w:rsidRPr="00B1499A" w:rsidRDefault="00AC7916" w:rsidP="00AC7916">
            <w:pPr>
              <w:pStyle w:val="TableText"/>
            </w:pPr>
            <w:r w:rsidRPr="00B1499A">
              <w:t>6</w:t>
            </w:r>
          </w:p>
        </w:tc>
        <w:tc>
          <w:tcPr>
            <w:tcW w:w="6521" w:type="dxa"/>
            <w:tcBorders>
              <w:top w:val="single" w:sz="4" w:space="0" w:color="auto"/>
              <w:left w:val="nil"/>
              <w:bottom w:val="single" w:sz="4" w:space="0" w:color="auto"/>
              <w:right w:val="nil"/>
            </w:tcBorders>
            <w:hideMark/>
          </w:tcPr>
          <w:p w14:paraId="6AB8AB15" w14:textId="2842194C" w:rsidR="00AC7916" w:rsidRPr="00B1499A" w:rsidRDefault="00AC7916" w:rsidP="00AC7916">
            <w:pPr>
              <w:pStyle w:val="TableText"/>
            </w:pPr>
            <w:r w:rsidRPr="00B1499A">
              <w:t xml:space="preserve">What was the test concentration spacing? Note: </w:t>
            </w:r>
            <w:r>
              <w:t>a</w:t>
            </w:r>
            <w:r w:rsidRPr="00B1499A">
              <w:t xml:space="preserve"> spacing of &lt;</w:t>
            </w:r>
            <w:r>
              <w:t> </w:t>
            </w:r>
            <w:r w:rsidRPr="00B1499A">
              <w:t>3.2 is highly preferred, while a spacing of ≥</w:t>
            </w:r>
            <w:r>
              <w:t> </w:t>
            </w:r>
            <w:r w:rsidRPr="00B1499A">
              <w:t>10 is too great</w:t>
            </w:r>
            <w:r>
              <w:t>.</w:t>
            </w:r>
          </w:p>
        </w:tc>
        <w:tc>
          <w:tcPr>
            <w:tcW w:w="1790" w:type="dxa"/>
            <w:tcBorders>
              <w:top w:val="single" w:sz="4" w:space="0" w:color="auto"/>
              <w:left w:val="nil"/>
              <w:bottom w:val="single" w:sz="4" w:space="0" w:color="auto"/>
              <w:right w:val="nil"/>
            </w:tcBorders>
            <w:hideMark/>
          </w:tcPr>
          <w:p w14:paraId="49883F36" w14:textId="5A033FF4" w:rsidR="00AC7916" w:rsidRPr="00B1499A" w:rsidRDefault="00AC7916" w:rsidP="00AC7916">
            <w:pPr>
              <w:pStyle w:val="TableText"/>
            </w:pPr>
            <w:r w:rsidRPr="00B1499A">
              <w:t>≤</w:t>
            </w:r>
            <w:r>
              <w:t> </w:t>
            </w:r>
            <w:r w:rsidRPr="00B1499A">
              <w:t>3.2 (3), 3.3</w:t>
            </w:r>
            <w:r>
              <w:t>–</w:t>
            </w:r>
            <w:r w:rsidRPr="00B1499A">
              <w:t>9 (1), ≥</w:t>
            </w:r>
            <w:r>
              <w:t> </w:t>
            </w:r>
            <w:r w:rsidRPr="00B1499A">
              <w:t>10 (0/FAIL)</w:t>
            </w:r>
            <w:r w:rsidRPr="002F33FD">
              <w:rPr>
                <w:color w:val="000000"/>
                <w:vertAlign w:val="superscript"/>
              </w:rPr>
              <w:t>b</w:t>
            </w:r>
          </w:p>
        </w:tc>
      </w:tr>
      <w:tr w:rsidR="00AC7916" w:rsidRPr="00A22B40" w14:paraId="2AE08037" w14:textId="77777777" w:rsidTr="0069786C">
        <w:trPr>
          <w:cantSplit/>
          <w:trHeight w:val="780"/>
        </w:trPr>
        <w:tc>
          <w:tcPr>
            <w:tcW w:w="709" w:type="dxa"/>
            <w:tcBorders>
              <w:top w:val="single" w:sz="4" w:space="0" w:color="auto"/>
              <w:left w:val="nil"/>
              <w:bottom w:val="single" w:sz="4" w:space="0" w:color="auto"/>
              <w:right w:val="nil"/>
            </w:tcBorders>
            <w:hideMark/>
          </w:tcPr>
          <w:p w14:paraId="61EDD350" w14:textId="49B96C33" w:rsidR="00AC7916" w:rsidRPr="00B1499A" w:rsidRDefault="00AC7916" w:rsidP="00AC7916">
            <w:pPr>
              <w:pStyle w:val="TableText"/>
            </w:pPr>
            <w:r w:rsidRPr="00B1499A">
              <w:t>7</w:t>
            </w:r>
          </w:p>
        </w:tc>
        <w:tc>
          <w:tcPr>
            <w:tcW w:w="6521" w:type="dxa"/>
            <w:tcBorders>
              <w:top w:val="single" w:sz="4" w:space="0" w:color="auto"/>
              <w:left w:val="nil"/>
              <w:bottom w:val="single" w:sz="4" w:space="0" w:color="auto"/>
              <w:right w:val="nil"/>
            </w:tcBorders>
            <w:hideMark/>
          </w:tcPr>
          <w:p w14:paraId="7BD07C8D" w14:textId="0B302B98" w:rsidR="00AC7916" w:rsidRPr="00B1499A" w:rsidRDefault="00AC7916" w:rsidP="00AC7916">
            <w:pPr>
              <w:pStyle w:val="TableText"/>
            </w:pPr>
            <w:r w:rsidRPr="00B1499A">
              <w:t xml:space="preserve">Was each control and chemical concentration at least duplicated? Note: for concentration-response modelling, it is also </w:t>
            </w:r>
            <w:r w:rsidRPr="00A22B40">
              <w:t>acceptable</w:t>
            </w:r>
            <w:r w:rsidRPr="00B1499A">
              <w:t xml:space="preserve"> to have many concentrations (e.g</w:t>
            </w:r>
            <w:r>
              <w:t>.</w:t>
            </w:r>
            <w:r w:rsidRPr="00B1499A">
              <w:t xml:space="preserve"> &gt;</w:t>
            </w:r>
            <w:r>
              <w:t> </w:t>
            </w:r>
            <w:r w:rsidRPr="00B1499A">
              <w:t>15) without replication (assuming the controls are replicated).</w:t>
            </w:r>
          </w:p>
        </w:tc>
        <w:tc>
          <w:tcPr>
            <w:tcW w:w="1790" w:type="dxa"/>
            <w:tcBorders>
              <w:top w:val="single" w:sz="4" w:space="0" w:color="auto"/>
              <w:left w:val="nil"/>
              <w:bottom w:val="single" w:sz="4" w:space="0" w:color="auto"/>
              <w:right w:val="nil"/>
            </w:tcBorders>
            <w:hideMark/>
          </w:tcPr>
          <w:p w14:paraId="08471AEC" w14:textId="77777777" w:rsidR="00AC7916" w:rsidRPr="00B1499A" w:rsidRDefault="00AC7916" w:rsidP="00AC7916">
            <w:pPr>
              <w:pStyle w:val="TableText"/>
            </w:pPr>
            <w:r w:rsidRPr="00B1499A">
              <w:t>Yes (3), No (0/FAIL)</w:t>
            </w:r>
          </w:p>
        </w:tc>
      </w:tr>
      <w:tr w:rsidR="00AC7916" w:rsidRPr="00B1499A" w14:paraId="7F088C8F" w14:textId="77777777" w:rsidTr="0069786C">
        <w:trPr>
          <w:cantSplit/>
          <w:trHeight w:val="320"/>
        </w:trPr>
        <w:tc>
          <w:tcPr>
            <w:tcW w:w="709" w:type="dxa"/>
            <w:tcBorders>
              <w:top w:val="single" w:sz="4" w:space="0" w:color="auto"/>
              <w:left w:val="nil"/>
              <w:bottom w:val="single" w:sz="4" w:space="0" w:color="auto"/>
              <w:right w:val="nil"/>
            </w:tcBorders>
            <w:hideMark/>
          </w:tcPr>
          <w:p w14:paraId="01A38577" w14:textId="52052888" w:rsidR="00AC7916" w:rsidRPr="00B1499A" w:rsidRDefault="00AC7916" w:rsidP="00AC7916">
            <w:pPr>
              <w:pStyle w:val="TableText"/>
            </w:pPr>
            <w:r w:rsidRPr="00B1499A">
              <w:t>8</w:t>
            </w:r>
          </w:p>
        </w:tc>
        <w:tc>
          <w:tcPr>
            <w:tcW w:w="6521" w:type="dxa"/>
            <w:tcBorders>
              <w:top w:val="single" w:sz="4" w:space="0" w:color="auto"/>
              <w:left w:val="nil"/>
              <w:bottom w:val="single" w:sz="4" w:space="0" w:color="auto"/>
              <w:right w:val="nil"/>
            </w:tcBorders>
            <w:hideMark/>
          </w:tcPr>
          <w:p w14:paraId="7943E4A4" w14:textId="7F15D439" w:rsidR="00AC7916" w:rsidRPr="00B1499A" w:rsidRDefault="00AC7916" w:rsidP="00AC7916">
            <w:pPr>
              <w:pStyle w:val="TableText"/>
              <w:rPr>
                <w:color w:val="000000"/>
              </w:rPr>
            </w:pPr>
            <w:r w:rsidRPr="57352DF8">
              <w:t>Were the characteristics of the test organism (</w:t>
            </w:r>
            <w:r>
              <w:t>e.g.</w:t>
            </w:r>
            <w:r w:rsidRPr="57352DF8">
              <w:t xml:space="preserve"> length, mass, age) stated?</w:t>
            </w:r>
          </w:p>
        </w:tc>
        <w:tc>
          <w:tcPr>
            <w:tcW w:w="1790" w:type="dxa"/>
            <w:tcBorders>
              <w:top w:val="single" w:sz="4" w:space="0" w:color="auto"/>
              <w:left w:val="nil"/>
              <w:bottom w:val="single" w:sz="4" w:space="0" w:color="auto"/>
              <w:right w:val="nil"/>
            </w:tcBorders>
            <w:hideMark/>
          </w:tcPr>
          <w:p w14:paraId="3CA7738C" w14:textId="77777777" w:rsidR="00AC7916" w:rsidRPr="00B1499A" w:rsidRDefault="00AC7916" w:rsidP="00AC7916">
            <w:pPr>
              <w:pStyle w:val="TableText"/>
            </w:pPr>
            <w:r w:rsidRPr="00B1499A">
              <w:t>Yes (3), No (0)</w:t>
            </w:r>
          </w:p>
        </w:tc>
      </w:tr>
      <w:tr w:rsidR="00AC7916" w:rsidRPr="00A22B40" w14:paraId="29F6804D" w14:textId="77777777" w:rsidTr="0069786C">
        <w:trPr>
          <w:cantSplit/>
          <w:trHeight w:val="520"/>
        </w:trPr>
        <w:tc>
          <w:tcPr>
            <w:tcW w:w="709" w:type="dxa"/>
            <w:tcBorders>
              <w:top w:val="single" w:sz="4" w:space="0" w:color="auto"/>
              <w:left w:val="nil"/>
              <w:bottom w:val="single" w:sz="4" w:space="0" w:color="auto"/>
              <w:right w:val="nil"/>
            </w:tcBorders>
            <w:hideMark/>
          </w:tcPr>
          <w:p w14:paraId="06054DD4" w14:textId="037B7A15" w:rsidR="00AC7916" w:rsidRPr="00B1499A" w:rsidRDefault="00AC7916" w:rsidP="00AC7916">
            <w:pPr>
              <w:pStyle w:val="TableText"/>
            </w:pPr>
            <w:r w:rsidRPr="00B1499A">
              <w:t>9</w:t>
            </w:r>
          </w:p>
        </w:tc>
        <w:tc>
          <w:tcPr>
            <w:tcW w:w="6521" w:type="dxa"/>
            <w:tcBorders>
              <w:top w:val="single" w:sz="4" w:space="0" w:color="auto"/>
              <w:left w:val="nil"/>
              <w:bottom w:val="single" w:sz="4" w:space="0" w:color="auto"/>
              <w:right w:val="nil"/>
            </w:tcBorders>
            <w:hideMark/>
          </w:tcPr>
          <w:p w14:paraId="14876581" w14:textId="33073658" w:rsidR="00AC7916" w:rsidRPr="00B1499A" w:rsidRDefault="00AC7916" w:rsidP="00AC7916">
            <w:pPr>
              <w:pStyle w:val="TableText"/>
            </w:pPr>
            <w:r w:rsidRPr="57352DF8">
              <w:t>Was the type of test medium used stated (e.g. synthetic or natural water? If synthetic, to what recipe? If natural, what source? Filtered or unfiltered?)</w:t>
            </w:r>
            <w:r>
              <w:t>?</w:t>
            </w:r>
          </w:p>
        </w:tc>
        <w:tc>
          <w:tcPr>
            <w:tcW w:w="1790" w:type="dxa"/>
            <w:tcBorders>
              <w:top w:val="single" w:sz="4" w:space="0" w:color="auto"/>
              <w:left w:val="nil"/>
              <w:bottom w:val="single" w:sz="4" w:space="0" w:color="auto"/>
              <w:right w:val="nil"/>
            </w:tcBorders>
            <w:hideMark/>
          </w:tcPr>
          <w:p w14:paraId="294DD524" w14:textId="77777777" w:rsidR="00AC7916" w:rsidRPr="00B1499A" w:rsidRDefault="00AC7916" w:rsidP="00AC7916">
            <w:pPr>
              <w:pStyle w:val="TableText"/>
            </w:pPr>
            <w:r w:rsidRPr="00B1499A">
              <w:t>Yes (3), No (0)</w:t>
            </w:r>
          </w:p>
        </w:tc>
      </w:tr>
      <w:tr w:rsidR="00AC7916" w:rsidRPr="00B1499A" w14:paraId="2AC444C9" w14:textId="77777777" w:rsidTr="0069786C">
        <w:trPr>
          <w:cantSplit/>
          <w:trHeight w:val="320"/>
        </w:trPr>
        <w:tc>
          <w:tcPr>
            <w:tcW w:w="709" w:type="dxa"/>
            <w:tcBorders>
              <w:top w:val="single" w:sz="4" w:space="0" w:color="auto"/>
              <w:left w:val="nil"/>
              <w:bottom w:val="single" w:sz="4" w:space="0" w:color="auto"/>
              <w:right w:val="nil"/>
            </w:tcBorders>
            <w:hideMark/>
          </w:tcPr>
          <w:p w14:paraId="70A4C29E" w14:textId="36BCA915" w:rsidR="00AC7916" w:rsidRPr="00B1499A" w:rsidRDefault="00AC7916" w:rsidP="00AC7916">
            <w:pPr>
              <w:pStyle w:val="TableText"/>
            </w:pPr>
            <w:r w:rsidRPr="00B1499A">
              <w:t>10</w:t>
            </w:r>
          </w:p>
        </w:tc>
        <w:tc>
          <w:tcPr>
            <w:tcW w:w="6521" w:type="dxa"/>
            <w:tcBorders>
              <w:top w:val="single" w:sz="4" w:space="0" w:color="auto"/>
              <w:left w:val="nil"/>
              <w:bottom w:val="single" w:sz="4" w:space="0" w:color="auto"/>
              <w:right w:val="nil"/>
            </w:tcBorders>
            <w:hideMark/>
          </w:tcPr>
          <w:p w14:paraId="7BCB0D86" w14:textId="06A48E18" w:rsidR="00AC7916" w:rsidRPr="00B1499A" w:rsidRDefault="00AC7916" w:rsidP="00AC7916">
            <w:pPr>
              <w:pStyle w:val="TableText"/>
              <w:rPr>
                <w:color w:val="000000"/>
              </w:rPr>
            </w:pPr>
            <w:r w:rsidRPr="57352DF8">
              <w:t>Was the type of exposure (</w:t>
            </w:r>
            <w:r>
              <w:t>e.g.</w:t>
            </w:r>
            <w:r w:rsidRPr="57352DF8">
              <w:t xml:space="preserve"> static, flow-through) stated?</w:t>
            </w:r>
          </w:p>
        </w:tc>
        <w:tc>
          <w:tcPr>
            <w:tcW w:w="1790" w:type="dxa"/>
            <w:tcBorders>
              <w:top w:val="single" w:sz="4" w:space="0" w:color="auto"/>
              <w:left w:val="nil"/>
              <w:bottom w:val="single" w:sz="4" w:space="0" w:color="auto"/>
              <w:right w:val="nil"/>
            </w:tcBorders>
            <w:hideMark/>
          </w:tcPr>
          <w:p w14:paraId="37D2BDB3" w14:textId="77777777" w:rsidR="00AC7916" w:rsidRPr="00B1499A" w:rsidRDefault="00AC7916" w:rsidP="00AC7916">
            <w:pPr>
              <w:pStyle w:val="TableText"/>
            </w:pPr>
            <w:r w:rsidRPr="00B1499A">
              <w:t>Yes (3), No (0)</w:t>
            </w:r>
          </w:p>
        </w:tc>
      </w:tr>
      <w:tr w:rsidR="00AC7916" w:rsidRPr="00B1499A" w14:paraId="4D1AEAB4" w14:textId="77777777" w:rsidTr="0069786C">
        <w:trPr>
          <w:cantSplit/>
          <w:trHeight w:val="320"/>
        </w:trPr>
        <w:tc>
          <w:tcPr>
            <w:tcW w:w="709" w:type="dxa"/>
            <w:tcBorders>
              <w:top w:val="single" w:sz="4" w:space="0" w:color="auto"/>
              <w:left w:val="nil"/>
              <w:bottom w:val="single" w:sz="12" w:space="0" w:color="auto"/>
              <w:right w:val="nil"/>
            </w:tcBorders>
            <w:hideMark/>
          </w:tcPr>
          <w:p w14:paraId="468F94CE" w14:textId="77777777" w:rsidR="00AC7916" w:rsidRPr="00B1499A" w:rsidRDefault="00AC7916" w:rsidP="00AC7916">
            <w:pPr>
              <w:pStyle w:val="TableText"/>
            </w:pPr>
          </w:p>
        </w:tc>
        <w:tc>
          <w:tcPr>
            <w:tcW w:w="8311" w:type="dxa"/>
            <w:gridSpan w:val="2"/>
            <w:tcBorders>
              <w:top w:val="single" w:sz="4" w:space="0" w:color="auto"/>
              <w:left w:val="nil"/>
              <w:bottom w:val="single" w:sz="12" w:space="0" w:color="auto"/>
              <w:right w:val="nil"/>
            </w:tcBorders>
            <w:noWrap/>
            <w:hideMark/>
          </w:tcPr>
          <w:p w14:paraId="0D4C8F1C" w14:textId="2E4878C4" w:rsidR="00AC7916" w:rsidRPr="00B1499A" w:rsidRDefault="00AC7916" w:rsidP="00AC7916">
            <w:pPr>
              <w:pStyle w:val="TableText"/>
              <w:rPr>
                <w:rFonts w:ascii="Aptos Narrow" w:hAnsi="Aptos Narrow" w:cs="Times New Roman"/>
                <w:color w:val="000000"/>
              </w:rPr>
            </w:pPr>
            <w:r w:rsidRPr="00DF2AF9">
              <w:t>M</w:t>
            </w:r>
            <w:r>
              <w:t>aximum sub-total for Part A = 30</w:t>
            </w:r>
          </w:p>
        </w:tc>
      </w:tr>
      <w:tr w:rsidR="005E2E82" w:rsidRPr="00997AE6" w14:paraId="449EA7B6" w14:textId="77777777" w:rsidTr="001220EF">
        <w:trPr>
          <w:cantSplit/>
          <w:trHeight w:val="320"/>
        </w:trPr>
        <w:tc>
          <w:tcPr>
            <w:tcW w:w="7230" w:type="dxa"/>
            <w:gridSpan w:val="2"/>
            <w:tcBorders>
              <w:top w:val="single" w:sz="12" w:space="0" w:color="auto"/>
              <w:left w:val="nil"/>
              <w:bottom w:val="single" w:sz="12" w:space="0" w:color="auto"/>
              <w:right w:val="nil"/>
            </w:tcBorders>
            <w:noWrap/>
            <w:hideMark/>
          </w:tcPr>
          <w:p w14:paraId="1CAAEAD0" w14:textId="2D4DBC97" w:rsidR="005E2E82" w:rsidRPr="00997AE6" w:rsidRDefault="005E2E82" w:rsidP="005E2E82">
            <w:pPr>
              <w:pStyle w:val="TableText"/>
            </w:pPr>
            <w:r w:rsidRPr="009D6B76">
              <w:rPr>
                <w:b/>
                <w:bCs/>
              </w:rPr>
              <w:t>B. Test performance/results</w:t>
            </w:r>
          </w:p>
        </w:tc>
        <w:tc>
          <w:tcPr>
            <w:tcW w:w="1790" w:type="dxa"/>
            <w:tcBorders>
              <w:top w:val="single" w:sz="12" w:space="0" w:color="auto"/>
              <w:left w:val="nil"/>
              <w:bottom w:val="single" w:sz="12" w:space="0" w:color="auto"/>
              <w:right w:val="nil"/>
            </w:tcBorders>
            <w:hideMark/>
          </w:tcPr>
          <w:p w14:paraId="63FEE4DC" w14:textId="1A48A7FA" w:rsidR="005E2E82" w:rsidRPr="00997AE6" w:rsidRDefault="005E2E82" w:rsidP="005E2E82">
            <w:pPr>
              <w:pStyle w:val="TableText"/>
            </w:pPr>
          </w:p>
        </w:tc>
      </w:tr>
      <w:tr w:rsidR="00AC7916" w:rsidRPr="00997AE6" w14:paraId="08C0F77F" w14:textId="77777777" w:rsidTr="0069786C">
        <w:trPr>
          <w:cantSplit/>
          <w:trHeight w:val="520"/>
        </w:trPr>
        <w:tc>
          <w:tcPr>
            <w:tcW w:w="709" w:type="dxa"/>
            <w:tcBorders>
              <w:top w:val="single" w:sz="12" w:space="0" w:color="auto"/>
              <w:left w:val="nil"/>
              <w:bottom w:val="single" w:sz="4" w:space="0" w:color="auto"/>
              <w:right w:val="nil"/>
            </w:tcBorders>
            <w:hideMark/>
          </w:tcPr>
          <w:p w14:paraId="1594B827" w14:textId="7060E15B" w:rsidR="00AC7916" w:rsidRPr="00997AE6" w:rsidRDefault="00AC7916" w:rsidP="00AC7916">
            <w:pPr>
              <w:pStyle w:val="TableText"/>
            </w:pPr>
            <w:r w:rsidRPr="00997AE6">
              <w:t>11</w:t>
            </w:r>
          </w:p>
        </w:tc>
        <w:tc>
          <w:tcPr>
            <w:tcW w:w="6521" w:type="dxa"/>
            <w:tcBorders>
              <w:top w:val="single" w:sz="12" w:space="0" w:color="auto"/>
              <w:left w:val="nil"/>
              <w:bottom w:val="single" w:sz="4" w:space="0" w:color="auto"/>
              <w:right w:val="nil"/>
            </w:tcBorders>
            <w:hideMark/>
          </w:tcPr>
          <w:p w14:paraId="05696B24" w14:textId="1F5A169A" w:rsidR="00AC7916" w:rsidRPr="00997AE6" w:rsidRDefault="00AC7916" w:rsidP="00AC7916">
            <w:pPr>
              <w:pStyle w:val="TableText"/>
            </w:pPr>
            <w:r w:rsidRPr="57352DF8">
              <w:t>Were analytical reagent</w:t>
            </w:r>
            <w:r>
              <w:t>-</w:t>
            </w:r>
            <w:r w:rsidRPr="57352DF8">
              <w:t>grade chemicals or the highest possible purity chemicals used for the experiment?</w:t>
            </w:r>
          </w:p>
        </w:tc>
        <w:tc>
          <w:tcPr>
            <w:tcW w:w="1790" w:type="dxa"/>
            <w:tcBorders>
              <w:top w:val="single" w:sz="12" w:space="0" w:color="auto"/>
              <w:left w:val="nil"/>
              <w:bottom w:val="single" w:sz="4" w:space="0" w:color="auto"/>
              <w:right w:val="nil"/>
            </w:tcBorders>
            <w:hideMark/>
          </w:tcPr>
          <w:p w14:paraId="383FF5AE" w14:textId="5E21E20B" w:rsidR="00AC7916" w:rsidRPr="00997AE6" w:rsidRDefault="00AC7916" w:rsidP="00AC7916">
            <w:pPr>
              <w:pStyle w:val="TableText"/>
            </w:pPr>
            <w:r w:rsidRPr="57352DF8">
              <w:t>Yes (3), No/</w:t>
            </w:r>
            <w:r>
              <w:t>n</w:t>
            </w:r>
            <w:r w:rsidRPr="57352DF8">
              <w:t>ot stated (0)</w:t>
            </w:r>
          </w:p>
        </w:tc>
      </w:tr>
      <w:tr w:rsidR="00AC7916" w:rsidRPr="00997AE6" w14:paraId="28EAC2AD" w14:textId="77777777" w:rsidTr="0069786C">
        <w:trPr>
          <w:cantSplit/>
          <w:trHeight w:val="780"/>
        </w:trPr>
        <w:tc>
          <w:tcPr>
            <w:tcW w:w="709" w:type="dxa"/>
            <w:tcBorders>
              <w:top w:val="single" w:sz="4" w:space="0" w:color="auto"/>
              <w:left w:val="nil"/>
              <w:bottom w:val="single" w:sz="4" w:space="0" w:color="auto"/>
              <w:right w:val="nil"/>
            </w:tcBorders>
            <w:hideMark/>
          </w:tcPr>
          <w:p w14:paraId="6DE36A19" w14:textId="54E9A081" w:rsidR="00AC7916" w:rsidRPr="00997AE6" w:rsidRDefault="00AC7916" w:rsidP="00AC7916">
            <w:pPr>
              <w:pStyle w:val="TableText"/>
            </w:pPr>
            <w:r w:rsidRPr="00997AE6">
              <w:t>12 (A)</w:t>
            </w:r>
          </w:p>
        </w:tc>
        <w:tc>
          <w:tcPr>
            <w:tcW w:w="6521" w:type="dxa"/>
            <w:tcBorders>
              <w:top w:val="single" w:sz="4" w:space="0" w:color="auto"/>
              <w:left w:val="nil"/>
              <w:bottom w:val="single" w:sz="4" w:space="0" w:color="auto"/>
              <w:right w:val="nil"/>
            </w:tcBorders>
            <w:hideMark/>
          </w:tcPr>
          <w:p w14:paraId="486A2C4E" w14:textId="739AE03F" w:rsidR="00AC7916" w:rsidRPr="00997AE6" w:rsidRDefault="00AC7916" w:rsidP="00AC7916">
            <w:pPr>
              <w:pStyle w:val="TableText"/>
            </w:pPr>
            <w:r w:rsidRPr="57352DF8">
              <w:t>Were test solutions, blanks and/or controls tested for common contamination (e.g. elevated naturally</w:t>
            </w:r>
            <w:r>
              <w:t xml:space="preserve"> </w:t>
            </w:r>
            <w:r w:rsidRPr="57352DF8">
              <w:t>occurring substances</w:t>
            </w:r>
            <w:r>
              <w:t>,</w:t>
            </w:r>
            <w:r w:rsidRPr="57352DF8">
              <w:t xml:space="preserve"> such as nutrients, metals, metalloids) or other suspect contaminants?</w:t>
            </w:r>
          </w:p>
        </w:tc>
        <w:tc>
          <w:tcPr>
            <w:tcW w:w="1790" w:type="dxa"/>
            <w:tcBorders>
              <w:top w:val="single" w:sz="4" w:space="0" w:color="auto"/>
              <w:left w:val="nil"/>
              <w:bottom w:val="single" w:sz="4" w:space="0" w:color="auto"/>
              <w:right w:val="nil"/>
            </w:tcBorders>
            <w:hideMark/>
          </w:tcPr>
          <w:p w14:paraId="2C32837B" w14:textId="1799CACC" w:rsidR="00AC7916" w:rsidRPr="00997AE6" w:rsidRDefault="00AC7916" w:rsidP="00AC7916">
            <w:pPr>
              <w:pStyle w:val="TableText"/>
            </w:pPr>
            <w:r w:rsidRPr="57352DF8">
              <w:t>Yes (2), No/</w:t>
            </w:r>
            <w:r>
              <w:t>n</w:t>
            </w:r>
            <w:r w:rsidRPr="57352DF8">
              <w:t>ot stated (0)</w:t>
            </w:r>
          </w:p>
        </w:tc>
      </w:tr>
      <w:tr w:rsidR="00AC7916" w:rsidRPr="00997AE6" w14:paraId="53DFD008" w14:textId="77777777" w:rsidTr="0069786C">
        <w:trPr>
          <w:cantSplit/>
          <w:trHeight w:val="320"/>
        </w:trPr>
        <w:tc>
          <w:tcPr>
            <w:tcW w:w="709" w:type="dxa"/>
            <w:tcBorders>
              <w:top w:val="single" w:sz="4" w:space="0" w:color="auto"/>
              <w:left w:val="nil"/>
              <w:bottom w:val="single" w:sz="4" w:space="0" w:color="auto"/>
              <w:right w:val="nil"/>
            </w:tcBorders>
            <w:hideMark/>
          </w:tcPr>
          <w:p w14:paraId="513B3B24" w14:textId="0205BBF8" w:rsidR="00AC7916" w:rsidRPr="00997AE6" w:rsidRDefault="00AC7916" w:rsidP="00AC7916">
            <w:pPr>
              <w:pStyle w:val="TableText"/>
            </w:pPr>
            <w:r w:rsidRPr="00997AE6">
              <w:t>12 (B)</w:t>
            </w:r>
          </w:p>
        </w:tc>
        <w:tc>
          <w:tcPr>
            <w:tcW w:w="6521" w:type="dxa"/>
            <w:tcBorders>
              <w:top w:val="single" w:sz="4" w:space="0" w:color="auto"/>
              <w:left w:val="nil"/>
              <w:bottom w:val="single" w:sz="4" w:space="0" w:color="auto"/>
              <w:right w:val="nil"/>
            </w:tcBorders>
            <w:noWrap/>
            <w:hideMark/>
          </w:tcPr>
          <w:p w14:paraId="6858BB2D" w14:textId="3108D3FD" w:rsidR="00AC7916" w:rsidRPr="00997AE6" w:rsidRDefault="00AC7916" w:rsidP="00AC7916">
            <w:pPr>
              <w:pStyle w:val="TableText"/>
            </w:pPr>
            <w:r w:rsidRPr="57352DF8">
              <w:t>If so, were any significant contamination issues identified?</w:t>
            </w:r>
          </w:p>
        </w:tc>
        <w:tc>
          <w:tcPr>
            <w:tcW w:w="1790" w:type="dxa"/>
            <w:tcBorders>
              <w:top w:val="single" w:sz="4" w:space="0" w:color="auto"/>
              <w:left w:val="nil"/>
              <w:bottom w:val="single" w:sz="4" w:space="0" w:color="auto"/>
              <w:right w:val="nil"/>
            </w:tcBorders>
            <w:hideMark/>
          </w:tcPr>
          <w:p w14:paraId="2F11AB27" w14:textId="77777777" w:rsidR="00AC7916" w:rsidRPr="00997AE6" w:rsidRDefault="00AC7916" w:rsidP="00AC7916">
            <w:pPr>
              <w:pStyle w:val="TableText"/>
            </w:pPr>
            <w:r w:rsidRPr="00997AE6">
              <w:t>No (2), Yes (0/FAIL)</w:t>
            </w:r>
          </w:p>
        </w:tc>
      </w:tr>
      <w:tr w:rsidR="00AC7916" w:rsidRPr="00997AE6" w14:paraId="223ACF89" w14:textId="77777777" w:rsidTr="0069786C">
        <w:trPr>
          <w:cantSplit/>
          <w:trHeight w:val="1040"/>
        </w:trPr>
        <w:tc>
          <w:tcPr>
            <w:tcW w:w="709" w:type="dxa"/>
            <w:tcBorders>
              <w:top w:val="single" w:sz="4" w:space="0" w:color="auto"/>
              <w:left w:val="nil"/>
              <w:bottom w:val="single" w:sz="4" w:space="0" w:color="auto"/>
              <w:right w:val="nil"/>
            </w:tcBorders>
            <w:hideMark/>
          </w:tcPr>
          <w:p w14:paraId="4C3CAD14" w14:textId="3AB961E9" w:rsidR="00AC7916" w:rsidRPr="00997AE6" w:rsidRDefault="00AC7916" w:rsidP="00AC7916">
            <w:pPr>
              <w:pStyle w:val="TableText"/>
            </w:pPr>
            <w:r w:rsidRPr="00997AE6">
              <w:t>13</w:t>
            </w:r>
          </w:p>
        </w:tc>
        <w:tc>
          <w:tcPr>
            <w:tcW w:w="6521" w:type="dxa"/>
            <w:tcBorders>
              <w:top w:val="single" w:sz="4" w:space="0" w:color="auto"/>
              <w:left w:val="nil"/>
              <w:bottom w:val="single" w:sz="4" w:space="0" w:color="auto"/>
              <w:right w:val="nil"/>
            </w:tcBorders>
            <w:hideMark/>
          </w:tcPr>
          <w:p w14:paraId="4EC8C0DD" w14:textId="74735A6C" w:rsidR="00AC7916" w:rsidRPr="00997AE6" w:rsidRDefault="00AC7916" w:rsidP="00AC7916">
            <w:pPr>
              <w:pStyle w:val="TableText"/>
            </w:pPr>
            <w:r w:rsidRPr="00997AE6">
              <w:t xml:space="preserve">Were the contaminant concentrations measured at the beginning and end of the exposure? Note: </w:t>
            </w:r>
            <w:r>
              <w:t>n</w:t>
            </w:r>
            <w:r w:rsidRPr="00997AE6">
              <w:t>ormally, toxicity data calculated using nominal</w:t>
            </w:r>
            <w:r>
              <w:t>-</w:t>
            </w:r>
            <w:r w:rsidRPr="00997AE6">
              <w:t xml:space="preserve">concentration data would not be used to derive </w:t>
            </w:r>
            <w:r>
              <w:t>guideline value</w:t>
            </w:r>
            <w:r w:rsidRPr="00997AE6">
              <w:t>s; however, professional judgement can be used to include such data</w:t>
            </w:r>
            <w:r>
              <w:t>,</w:t>
            </w:r>
            <w:r w:rsidRPr="00997AE6">
              <w:t xml:space="preserve"> provided a justification for their use is provided.</w:t>
            </w:r>
          </w:p>
        </w:tc>
        <w:tc>
          <w:tcPr>
            <w:tcW w:w="1790" w:type="dxa"/>
            <w:tcBorders>
              <w:top w:val="single" w:sz="4" w:space="0" w:color="auto"/>
              <w:left w:val="nil"/>
              <w:bottom w:val="single" w:sz="4" w:space="0" w:color="auto"/>
              <w:right w:val="nil"/>
            </w:tcBorders>
            <w:hideMark/>
          </w:tcPr>
          <w:p w14:paraId="069BCE02" w14:textId="0860C844" w:rsidR="00AC7916" w:rsidRPr="00997AE6" w:rsidRDefault="00AC7916" w:rsidP="00AC7916">
            <w:pPr>
              <w:pStyle w:val="TableText"/>
            </w:pPr>
            <w:r w:rsidRPr="57352DF8">
              <w:t>Yes (8), Measured once (4), Not measured or stated (0/FAIL)</w:t>
            </w:r>
            <w:r w:rsidRPr="57352DF8">
              <w:rPr>
                <w:color w:val="000000" w:themeColor="text1"/>
                <w:vertAlign w:val="superscript"/>
              </w:rPr>
              <w:t>b</w:t>
            </w:r>
          </w:p>
        </w:tc>
      </w:tr>
      <w:tr w:rsidR="00AC7916" w:rsidRPr="00997AE6" w14:paraId="31213B50" w14:textId="77777777" w:rsidTr="0069786C">
        <w:trPr>
          <w:cantSplit/>
          <w:trHeight w:val="780"/>
        </w:trPr>
        <w:tc>
          <w:tcPr>
            <w:tcW w:w="709" w:type="dxa"/>
            <w:tcBorders>
              <w:top w:val="single" w:sz="4" w:space="0" w:color="auto"/>
              <w:left w:val="nil"/>
              <w:bottom w:val="single" w:sz="4" w:space="0" w:color="auto"/>
              <w:right w:val="nil"/>
            </w:tcBorders>
            <w:hideMark/>
          </w:tcPr>
          <w:p w14:paraId="45388613" w14:textId="03EF82E4" w:rsidR="00AC7916" w:rsidRPr="00997AE6" w:rsidRDefault="00AC7916" w:rsidP="00AC7916">
            <w:pPr>
              <w:pStyle w:val="TableText"/>
            </w:pPr>
            <w:r w:rsidRPr="00997AE6">
              <w:t>14 (A)</w:t>
            </w:r>
          </w:p>
        </w:tc>
        <w:tc>
          <w:tcPr>
            <w:tcW w:w="6521" w:type="dxa"/>
            <w:tcBorders>
              <w:top w:val="single" w:sz="4" w:space="0" w:color="auto"/>
              <w:left w:val="nil"/>
              <w:bottom w:val="single" w:sz="4" w:space="0" w:color="auto"/>
              <w:right w:val="nil"/>
            </w:tcBorders>
            <w:hideMark/>
          </w:tcPr>
          <w:p w14:paraId="247C4F6F" w14:textId="5D540C2F" w:rsidR="00AC7916" w:rsidRPr="00997AE6" w:rsidRDefault="00AC7916" w:rsidP="00AC7916">
            <w:pPr>
              <w:pStyle w:val="TableText"/>
            </w:pPr>
            <w:r w:rsidRPr="57352DF8">
              <w:t>Were test</w:t>
            </w:r>
            <w:r>
              <w:t>-</w:t>
            </w:r>
            <w:r w:rsidRPr="57352DF8">
              <w:t>acceptability criteria stated (</w:t>
            </w:r>
            <w:r>
              <w:t>e.g.</w:t>
            </w:r>
            <w:r w:rsidRPr="57352DF8">
              <w:t xml:space="preserve"> mortality in controls must not exceed a certain percentage) or inferred (</w:t>
            </w:r>
            <w:r>
              <w:t>e.g.</w:t>
            </w:r>
            <w:r w:rsidRPr="57352DF8">
              <w:t xml:space="preserve"> test methods used were </w:t>
            </w:r>
            <w:r w:rsidRPr="00A352C1">
              <w:t>U</w:t>
            </w:r>
            <w:r>
              <w:t>nited States Environmental Protection Agency</w:t>
            </w:r>
            <w:r w:rsidRPr="00A352C1">
              <w:t xml:space="preserve"> or </w:t>
            </w:r>
            <w:r w:rsidRPr="00702FF1">
              <w:t>Organisation for Economic Co-operation and Development</w:t>
            </w:r>
            <w:r w:rsidRPr="57352DF8">
              <w:t>)</w:t>
            </w:r>
            <w:r>
              <w:t>?</w:t>
            </w:r>
          </w:p>
        </w:tc>
        <w:tc>
          <w:tcPr>
            <w:tcW w:w="1790" w:type="dxa"/>
            <w:tcBorders>
              <w:top w:val="single" w:sz="4" w:space="0" w:color="auto"/>
              <w:left w:val="nil"/>
              <w:bottom w:val="single" w:sz="4" w:space="0" w:color="auto"/>
              <w:right w:val="nil"/>
            </w:tcBorders>
            <w:hideMark/>
          </w:tcPr>
          <w:p w14:paraId="50002892" w14:textId="77777777" w:rsidR="00AC7916" w:rsidRPr="00997AE6" w:rsidRDefault="00AC7916" w:rsidP="00AC7916">
            <w:pPr>
              <w:pStyle w:val="TableText"/>
            </w:pPr>
            <w:r w:rsidRPr="00997AE6">
              <w:t>Stated (2), Inferred (1), Neither (0)</w:t>
            </w:r>
          </w:p>
        </w:tc>
      </w:tr>
      <w:tr w:rsidR="00AC7916" w:rsidRPr="00997AE6" w14:paraId="658F771E" w14:textId="77777777" w:rsidTr="0069786C">
        <w:trPr>
          <w:cantSplit/>
          <w:trHeight w:val="520"/>
        </w:trPr>
        <w:tc>
          <w:tcPr>
            <w:tcW w:w="709" w:type="dxa"/>
            <w:tcBorders>
              <w:top w:val="single" w:sz="4" w:space="0" w:color="auto"/>
              <w:left w:val="nil"/>
              <w:bottom w:val="single" w:sz="4" w:space="0" w:color="auto"/>
              <w:right w:val="nil"/>
            </w:tcBorders>
            <w:hideMark/>
          </w:tcPr>
          <w:p w14:paraId="62ED3078" w14:textId="7C6456F0" w:rsidR="00AC7916" w:rsidRPr="00997AE6" w:rsidRDefault="00AC7916" w:rsidP="00AC7916">
            <w:pPr>
              <w:pStyle w:val="TableText"/>
            </w:pPr>
            <w:r w:rsidRPr="00997AE6">
              <w:t>14 (B)</w:t>
            </w:r>
          </w:p>
        </w:tc>
        <w:tc>
          <w:tcPr>
            <w:tcW w:w="6521" w:type="dxa"/>
            <w:tcBorders>
              <w:top w:val="single" w:sz="4" w:space="0" w:color="auto"/>
              <w:left w:val="nil"/>
              <w:bottom w:val="single" w:sz="4" w:space="0" w:color="auto"/>
              <w:right w:val="nil"/>
            </w:tcBorders>
            <w:hideMark/>
          </w:tcPr>
          <w:p w14:paraId="40696594" w14:textId="51C22C82" w:rsidR="00AC7916" w:rsidRPr="00997AE6" w:rsidRDefault="00AC7916" w:rsidP="00AC7916">
            <w:pPr>
              <w:pStyle w:val="TableText"/>
            </w:pPr>
            <w:r w:rsidRPr="57352DF8">
              <w:t>If so, were test</w:t>
            </w:r>
            <w:r>
              <w:t>-</w:t>
            </w:r>
            <w:r w:rsidRPr="57352DF8">
              <w:t xml:space="preserve">acceptability criteria met? Note: </w:t>
            </w:r>
            <w:r>
              <w:t>d</w:t>
            </w:r>
            <w:r w:rsidRPr="57352DF8">
              <w:t>ata that fail the acceptability criteria are automatically deemed to be of unacceptable quality and must not be used.</w:t>
            </w:r>
          </w:p>
        </w:tc>
        <w:tc>
          <w:tcPr>
            <w:tcW w:w="1790" w:type="dxa"/>
            <w:tcBorders>
              <w:top w:val="single" w:sz="4" w:space="0" w:color="auto"/>
              <w:left w:val="nil"/>
              <w:bottom w:val="single" w:sz="4" w:space="0" w:color="auto"/>
              <w:right w:val="nil"/>
            </w:tcBorders>
            <w:hideMark/>
          </w:tcPr>
          <w:p w14:paraId="266AAD84" w14:textId="77777777" w:rsidR="00AC7916" w:rsidRPr="00997AE6" w:rsidRDefault="00AC7916" w:rsidP="00AC7916">
            <w:pPr>
              <w:pStyle w:val="TableText"/>
            </w:pPr>
            <w:r w:rsidRPr="00997AE6">
              <w:t>Yes (6), Not reported (2), No (0/FAIL)</w:t>
            </w:r>
          </w:p>
        </w:tc>
      </w:tr>
      <w:tr w:rsidR="00AC7916" w:rsidRPr="00997AE6" w14:paraId="46F6026C" w14:textId="77777777" w:rsidTr="0069786C">
        <w:trPr>
          <w:cantSplit/>
          <w:trHeight w:val="320"/>
        </w:trPr>
        <w:tc>
          <w:tcPr>
            <w:tcW w:w="709" w:type="dxa"/>
            <w:tcBorders>
              <w:top w:val="single" w:sz="4" w:space="0" w:color="auto"/>
              <w:left w:val="nil"/>
              <w:bottom w:val="single" w:sz="4" w:space="0" w:color="auto"/>
              <w:right w:val="nil"/>
            </w:tcBorders>
            <w:hideMark/>
          </w:tcPr>
          <w:p w14:paraId="4BD9B5C1" w14:textId="21324DFF" w:rsidR="00AC7916" w:rsidRPr="00997AE6" w:rsidRDefault="00AC7916" w:rsidP="00AC7916">
            <w:pPr>
              <w:pStyle w:val="TableText"/>
            </w:pPr>
            <w:r w:rsidRPr="00997AE6">
              <w:t>15 (A)</w:t>
            </w:r>
          </w:p>
        </w:tc>
        <w:tc>
          <w:tcPr>
            <w:tcW w:w="6521" w:type="dxa"/>
            <w:tcBorders>
              <w:top w:val="single" w:sz="4" w:space="0" w:color="auto"/>
              <w:left w:val="nil"/>
              <w:bottom w:val="single" w:sz="4" w:space="0" w:color="auto"/>
              <w:right w:val="nil"/>
            </w:tcBorders>
            <w:hideMark/>
          </w:tcPr>
          <w:p w14:paraId="7A1E909D" w14:textId="6148409E" w:rsidR="00AC7916" w:rsidRPr="00997AE6" w:rsidRDefault="00AC7916" w:rsidP="00AC7916">
            <w:pPr>
              <w:pStyle w:val="TableText"/>
            </w:pPr>
            <w:r w:rsidRPr="00997AE6">
              <w:t>Were parallel reference</w:t>
            </w:r>
            <w:r>
              <w:t>-</w:t>
            </w:r>
            <w:r w:rsidRPr="00997AE6">
              <w:t>toxicant toxicity tests conducted?</w:t>
            </w:r>
          </w:p>
        </w:tc>
        <w:tc>
          <w:tcPr>
            <w:tcW w:w="1790" w:type="dxa"/>
            <w:tcBorders>
              <w:top w:val="single" w:sz="4" w:space="0" w:color="auto"/>
              <w:left w:val="nil"/>
              <w:bottom w:val="single" w:sz="4" w:space="0" w:color="auto"/>
              <w:right w:val="nil"/>
            </w:tcBorders>
            <w:hideMark/>
          </w:tcPr>
          <w:p w14:paraId="019EDFA2" w14:textId="77777777" w:rsidR="00AC7916" w:rsidRPr="00997AE6" w:rsidRDefault="00AC7916" w:rsidP="00AC7916">
            <w:pPr>
              <w:pStyle w:val="TableText"/>
            </w:pPr>
            <w:r w:rsidRPr="00997AE6">
              <w:t>Yes (2), No (0)</w:t>
            </w:r>
          </w:p>
        </w:tc>
      </w:tr>
      <w:tr w:rsidR="00AC7916" w:rsidRPr="00997AE6" w14:paraId="67636AA3" w14:textId="77777777" w:rsidTr="0069786C">
        <w:trPr>
          <w:cantSplit/>
          <w:trHeight w:val="520"/>
        </w:trPr>
        <w:tc>
          <w:tcPr>
            <w:tcW w:w="709" w:type="dxa"/>
            <w:tcBorders>
              <w:top w:val="single" w:sz="4" w:space="0" w:color="auto"/>
              <w:left w:val="nil"/>
              <w:bottom w:val="single" w:sz="4" w:space="0" w:color="auto"/>
              <w:right w:val="nil"/>
            </w:tcBorders>
            <w:hideMark/>
          </w:tcPr>
          <w:p w14:paraId="66C7C864" w14:textId="2BE3D673" w:rsidR="00AC7916" w:rsidRPr="00997AE6" w:rsidRDefault="00AC7916" w:rsidP="00AC7916">
            <w:pPr>
              <w:pStyle w:val="TableText"/>
            </w:pPr>
            <w:r w:rsidRPr="00997AE6">
              <w:t>15 (B)</w:t>
            </w:r>
          </w:p>
        </w:tc>
        <w:tc>
          <w:tcPr>
            <w:tcW w:w="6521" w:type="dxa"/>
            <w:tcBorders>
              <w:top w:val="single" w:sz="4" w:space="0" w:color="auto"/>
              <w:left w:val="nil"/>
              <w:bottom w:val="single" w:sz="4" w:space="0" w:color="auto"/>
              <w:right w:val="nil"/>
            </w:tcBorders>
            <w:hideMark/>
          </w:tcPr>
          <w:p w14:paraId="195FA3DC" w14:textId="5EA6C694" w:rsidR="00AC7916" w:rsidRPr="00997AE6" w:rsidRDefault="00AC7916" w:rsidP="00AC7916">
            <w:pPr>
              <w:pStyle w:val="TableText"/>
            </w:pPr>
            <w:r w:rsidRPr="00997AE6">
              <w:t>If so, did the reference toxicity results fall within the acceptable limits?</w:t>
            </w:r>
          </w:p>
        </w:tc>
        <w:tc>
          <w:tcPr>
            <w:tcW w:w="1790" w:type="dxa"/>
            <w:tcBorders>
              <w:top w:val="single" w:sz="4" w:space="0" w:color="auto"/>
              <w:left w:val="nil"/>
              <w:bottom w:val="single" w:sz="4" w:space="0" w:color="auto"/>
              <w:right w:val="nil"/>
            </w:tcBorders>
            <w:hideMark/>
          </w:tcPr>
          <w:p w14:paraId="051DE83F" w14:textId="77777777" w:rsidR="00AC7916" w:rsidRPr="00997AE6" w:rsidRDefault="00AC7916" w:rsidP="00AC7916">
            <w:pPr>
              <w:pStyle w:val="TableText"/>
            </w:pPr>
            <w:r w:rsidRPr="00997AE6">
              <w:t>Yes (6), Not reported (2), No (0/FAIL)</w:t>
            </w:r>
          </w:p>
        </w:tc>
      </w:tr>
      <w:tr w:rsidR="00AC7916" w:rsidRPr="00997AE6" w14:paraId="62C5D823" w14:textId="77777777" w:rsidTr="0069786C">
        <w:trPr>
          <w:cantSplit/>
          <w:trHeight w:val="60"/>
        </w:trPr>
        <w:tc>
          <w:tcPr>
            <w:tcW w:w="709" w:type="dxa"/>
            <w:tcBorders>
              <w:top w:val="single" w:sz="4" w:space="0" w:color="auto"/>
              <w:left w:val="nil"/>
              <w:bottom w:val="single" w:sz="4" w:space="0" w:color="auto"/>
              <w:right w:val="nil"/>
            </w:tcBorders>
            <w:hideMark/>
          </w:tcPr>
          <w:p w14:paraId="6BFEE06E" w14:textId="3F1CFC93" w:rsidR="00AC7916" w:rsidRPr="00997AE6" w:rsidRDefault="00AC7916" w:rsidP="00AC7916">
            <w:pPr>
              <w:pStyle w:val="TableText"/>
            </w:pPr>
            <w:r w:rsidRPr="00997AE6">
              <w:lastRenderedPageBreak/>
              <w:t>16</w:t>
            </w:r>
          </w:p>
        </w:tc>
        <w:tc>
          <w:tcPr>
            <w:tcW w:w="6521" w:type="dxa"/>
            <w:tcBorders>
              <w:top w:val="single" w:sz="4" w:space="0" w:color="auto"/>
              <w:left w:val="nil"/>
              <w:bottom w:val="single" w:sz="4" w:space="0" w:color="auto"/>
              <w:right w:val="nil"/>
            </w:tcBorders>
            <w:hideMark/>
          </w:tcPr>
          <w:p w14:paraId="2BF4C769" w14:textId="270977CD" w:rsidR="00AC7916" w:rsidRPr="00997AE6" w:rsidRDefault="00AC7916" w:rsidP="00AC7916">
            <w:pPr>
              <w:pStyle w:val="TableText"/>
            </w:pPr>
            <w:r w:rsidRPr="57352DF8">
              <w:t>Was there a concentration-response (C-R) relationship</w:t>
            </w:r>
            <w:r>
              <w:t>,</w:t>
            </w:r>
            <w:r w:rsidRPr="57352DF8">
              <w:t xml:space="preserve"> either observable or stated (i.e. was there a larger response in the endpoint of interest at higher treatment concentrations than at lower treatment concentrations?)? Note: </w:t>
            </w:r>
            <w:r>
              <w:t>a</w:t>
            </w:r>
            <w:r w:rsidRPr="57352DF8">
              <w:t xml:space="preserve"> full C-R relationship is one that includes zero, partial and full effects, while a partial C-R relationship is one that is missing either zero, partial or full effects.</w:t>
            </w:r>
            <w:r w:rsidR="00D05B2F" w:rsidRPr="00A352C1">
              <w:t xml:space="preserve"> Professional judgement might be required to make decisions associated with C-R relationships that exhibit characteristics such as non-monotonicity and low</w:t>
            </w:r>
            <w:r w:rsidR="00D05B2F">
              <w:t>-</w:t>
            </w:r>
            <w:r w:rsidR="00D05B2F" w:rsidRPr="00A352C1">
              <w:t>dose effects.</w:t>
            </w:r>
          </w:p>
        </w:tc>
        <w:tc>
          <w:tcPr>
            <w:tcW w:w="1790" w:type="dxa"/>
            <w:tcBorders>
              <w:top w:val="single" w:sz="4" w:space="0" w:color="auto"/>
              <w:left w:val="nil"/>
              <w:bottom w:val="single" w:sz="4" w:space="0" w:color="auto"/>
              <w:right w:val="nil"/>
            </w:tcBorders>
            <w:hideMark/>
          </w:tcPr>
          <w:p w14:paraId="6892CCC0" w14:textId="101E7E1B" w:rsidR="00AC7916" w:rsidRPr="00997AE6" w:rsidRDefault="00AC7916" w:rsidP="00AC7916">
            <w:pPr>
              <w:pStyle w:val="TableText"/>
            </w:pPr>
            <w:r w:rsidRPr="00997AE6">
              <w:t xml:space="preserve">Yes </w:t>
            </w:r>
            <w:r>
              <w:t>–</w:t>
            </w:r>
            <w:r w:rsidRPr="00997AE6">
              <w:t xml:space="preserve"> full (8), Yes </w:t>
            </w:r>
            <w:r>
              <w:t>–</w:t>
            </w:r>
            <w:r w:rsidRPr="00997AE6">
              <w:t xml:space="preserve"> partial (4), No </w:t>
            </w:r>
            <w:r>
              <w:t>–</w:t>
            </w:r>
            <w:r w:rsidRPr="00997AE6">
              <w:t xml:space="preserve"> (0/FAIL)</w:t>
            </w:r>
          </w:p>
        </w:tc>
      </w:tr>
      <w:tr w:rsidR="00AC7916" w:rsidRPr="00997AE6" w14:paraId="15FCBD91" w14:textId="77777777" w:rsidTr="0069786C">
        <w:trPr>
          <w:cantSplit/>
          <w:trHeight w:val="338"/>
        </w:trPr>
        <w:tc>
          <w:tcPr>
            <w:tcW w:w="709" w:type="dxa"/>
            <w:tcBorders>
              <w:top w:val="single" w:sz="4" w:space="0" w:color="auto"/>
              <w:left w:val="nil"/>
              <w:bottom w:val="single" w:sz="4" w:space="0" w:color="auto"/>
              <w:right w:val="nil"/>
            </w:tcBorders>
            <w:hideMark/>
          </w:tcPr>
          <w:p w14:paraId="5B019041" w14:textId="7CD89192" w:rsidR="00AC7916" w:rsidRPr="00997AE6" w:rsidRDefault="00AC7916" w:rsidP="00AC7916">
            <w:pPr>
              <w:pStyle w:val="TableText"/>
            </w:pPr>
            <w:r w:rsidRPr="00997AE6">
              <w:t>17 (A)</w:t>
            </w:r>
          </w:p>
        </w:tc>
        <w:tc>
          <w:tcPr>
            <w:tcW w:w="6521" w:type="dxa"/>
            <w:tcBorders>
              <w:top w:val="single" w:sz="4" w:space="0" w:color="auto"/>
              <w:left w:val="nil"/>
              <w:bottom w:val="single" w:sz="4" w:space="0" w:color="auto"/>
              <w:right w:val="nil"/>
            </w:tcBorders>
            <w:hideMark/>
          </w:tcPr>
          <w:p w14:paraId="6607E9C6" w14:textId="0F6376D0" w:rsidR="00AC7916" w:rsidRPr="00997AE6" w:rsidRDefault="00AC7916" w:rsidP="00AC7916">
            <w:pPr>
              <w:pStyle w:val="TableText"/>
            </w:pPr>
            <w:r w:rsidRPr="57352DF8">
              <w:t xml:space="preserve">Was the statistical method or model used to determine the toxicity estimate stated </w:t>
            </w:r>
            <w:r>
              <w:rPr>
                <w:b/>
                <w:bCs/>
              </w:rPr>
              <w:t>and</w:t>
            </w:r>
            <w:r w:rsidRPr="57352DF8">
              <w:t xml:space="preserve"> appropriate</w:t>
            </w:r>
            <w:r w:rsidR="00D05B2F">
              <w:t xml:space="preserve"> </w:t>
            </w:r>
            <w:r w:rsidR="00D05B2F" w:rsidRPr="57352DF8">
              <w:t>(e.g. refer to Green et al. 2018, noting that new methods will/have emerged that may not be captured in past publications)?</w:t>
            </w:r>
          </w:p>
        </w:tc>
        <w:tc>
          <w:tcPr>
            <w:tcW w:w="1790" w:type="dxa"/>
            <w:tcBorders>
              <w:top w:val="single" w:sz="4" w:space="0" w:color="auto"/>
              <w:left w:val="nil"/>
              <w:bottom w:val="single" w:sz="4" w:space="0" w:color="auto"/>
              <w:right w:val="nil"/>
            </w:tcBorders>
            <w:hideMark/>
          </w:tcPr>
          <w:p w14:paraId="58A03ACD" w14:textId="77777777" w:rsidR="00AC7916" w:rsidRPr="00997AE6" w:rsidRDefault="00AC7916" w:rsidP="00AC7916">
            <w:pPr>
              <w:pStyle w:val="TableText"/>
            </w:pPr>
            <w:r w:rsidRPr="00997AE6">
              <w:t>Yes (6), No (0)</w:t>
            </w:r>
          </w:p>
        </w:tc>
      </w:tr>
      <w:tr w:rsidR="00AC7916" w:rsidRPr="00997AE6" w14:paraId="256E2770" w14:textId="77777777" w:rsidTr="0069786C">
        <w:trPr>
          <w:cantSplit/>
          <w:trHeight w:val="274"/>
        </w:trPr>
        <w:tc>
          <w:tcPr>
            <w:tcW w:w="709" w:type="dxa"/>
            <w:tcBorders>
              <w:top w:val="single" w:sz="4" w:space="0" w:color="auto"/>
              <w:left w:val="nil"/>
              <w:bottom w:val="single" w:sz="4" w:space="0" w:color="auto"/>
              <w:right w:val="nil"/>
            </w:tcBorders>
            <w:hideMark/>
          </w:tcPr>
          <w:p w14:paraId="1C011727" w14:textId="75D1D23D" w:rsidR="00AC7916" w:rsidRPr="00997AE6" w:rsidRDefault="00AC7916" w:rsidP="00AC7916">
            <w:pPr>
              <w:pStyle w:val="TableText"/>
            </w:pPr>
            <w:r w:rsidRPr="00997AE6">
              <w:t>17 (B)</w:t>
            </w:r>
          </w:p>
        </w:tc>
        <w:tc>
          <w:tcPr>
            <w:tcW w:w="6521" w:type="dxa"/>
            <w:tcBorders>
              <w:top w:val="single" w:sz="4" w:space="0" w:color="auto"/>
              <w:left w:val="nil"/>
              <w:bottom w:val="single" w:sz="4" w:space="0" w:color="auto"/>
              <w:right w:val="nil"/>
            </w:tcBorders>
            <w:hideMark/>
          </w:tcPr>
          <w:p w14:paraId="70E204D6" w14:textId="30D67537" w:rsidR="00AC7916" w:rsidRPr="00997AE6" w:rsidRDefault="00AC7916" w:rsidP="00AC7916">
            <w:pPr>
              <w:pStyle w:val="TableText"/>
            </w:pPr>
            <w:r w:rsidRPr="00997AE6">
              <w:t xml:space="preserve">For </w:t>
            </w:r>
            <w:r>
              <w:t xml:space="preserve">point estimates from concentration-response modelling (e.g. </w:t>
            </w:r>
            <w:r w:rsidRPr="00997AE6">
              <w:t>LC/EC/NEC/BEC/NSEC</w:t>
            </w:r>
            <w:r>
              <w:t>)</w:t>
            </w:r>
            <w:r w:rsidRPr="00997AE6">
              <w:t>, was an estimate of variability provided? For</w:t>
            </w:r>
            <w:r>
              <w:t xml:space="preserve"> estimates based on hypothesis testing</w:t>
            </w:r>
            <w:r w:rsidRPr="00997AE6">
              <w:t xml:space="preserve"> </w:t>
            </w:r>
            <w:r>
              <w:t xml:space="preserve">(e.g. </w:t>
            </w:r>
            <w:r w:rsidRPr="00997AE6">
              <w:t>NOEC/LOEC/MATC</w:t>
            </w:r>
            <w:r>
              <w:t>)</w:t>
            </w:r>
            <w:r w:rsidRPr="00997AE6">
              <w:t>, was the significance level 0.05 or less?</w:t>
            </w:r>
          </w:p>
        </w:tc>
        <w:tc>
          <w:tcPr>
            <w:tcW w:w="1790" w:type="dxa"/>
            <w:tcBorders>
              <w:top w:val="single" w:sz="4" w:space="0" w:color="auto"/>
              <w:left w:val="nil"/>
              <w:bottom w:val="single" w:sz="4" w:space="0" w:color="auto"/>
              <w:right w:val="nil"/>
            </w:tcBorders>
            <w:hideMark/>
          </w:tcPr>
          <w:p w14:paraId="29E0857F" w14:textId="7A9BF43C" w:rsidR="00AC7916" w:rsidRPr="00997AE6" w:rsidRDefault="00AC7916" w:rsidP="00AC7916">
            <w:pPr>
              <w:pStyle w:val="TableText"/>
            </w:pPr>
            <w:r w:rsidRPr="00997AE6">
              <w:t>Yes (2), No (0</w:t>
            </w:r>
            <w:r>
              <w:t>)</w:t>
            </w:r>
          </w:p>
        </w:tc>
      </w:tr>
      <w:tr w:rsidR="00AC7916" w:rsidRPr="00997AE6" w14:paraId="694D4B41" w14:textId="77777777" w:rsidTr="0069786C">
        <w:trPr>
          <w:cantSplit/>
          <w:trHeight w:val="320"/>
        </w:trPr>
        <w:tc>
          <w:tcPr>
            <w:tcW w:w="709" w:type="dxa"/>
            <w:tcBorders>
              <w:top w:val="single" w:sz="4" w:space="0" w:color="auto"/>
              <w:left w:val="nil"/>
              <w:bottom w:val="single" w:sz="12" w:space="0" w:color="auto"/>
              <w:right w:val="nil"/>
            </w:tcBorders>
            <w:hideMark/>
          </w:tcPr>
          <w:p w14:paraId="0DEBC669" w14:textId="77777777" w:rsidR="00AC7916" w:rsidRPr="00997AE6" w:rsidRDefault="00AC7916" w:rsidP="00AC7916">
            <w:pPr>
              <w:pStyle w:val="TableText"/>
            </w:pPr>
          </w:p>
        </w:tc>
        <w:tc>
          <w:tcPr>
            <w:tcW w:w="8311" w:type="dxa"/>
            <w:gridSpan w:val="2"/>
            <w:tcBorders>
              <w:top w:val="single" w:sz="4" w:space="0" w:color="auto"/>
              <w:left w:val="nil"/>
              <w:bottom w:val="single" w:sz="12" w:space="0" w:color="auto"/>
              <w:right w:val="nil"/>
            </w:tcBorders>
            <w:hideMark/>
          </w:tcPr>
          <w:p w14:paraId="29277201" w14:textId="76D022F2" w:rsidR="00AC7916" w:rsidRPr="00997AE6" w:rsidRDefault="00AC7916" w:rsidP="00AC7916">
            <w:pPr>
              <w:pStyle w:val="TableText"/>
            </w:pPr>
            <w:r>
              <w:t>Maximum sub-total for Part B = 47</w:t>
            </w:r>
          </w:p>
        </w:tc>
      </w:tr>
      <w:tr w:rsidR="005E2E82" w:rsidRPr="00903169" w14:paraId="06678AE1" w14:textId="77777777" w:rsidTr="001220EF">
        <w:trPr>
          <w:cantSplit/>
          <w:trHeight w:val="320"/>
        </w:trPr>
        <w:tc>
          <w:tcPr>
            <w:tcW w:w="7230" w:type="dxa"/>
            <w:gridSpan w:val="2"/>
            <w:tcBorders>
              <w:top w:val="single" w:sz="12" w:space="0" w:color="auto"/>
              <w:left w:val="nil"/>
              <w:bottom w:val="single" w:sz="12" w:space="0" w:color="auto"/>
              <w:right w:val="nil"/>
            </w:tcBorders>
            <w:noWrap/>
            <w:hideMark/>
          </w:tcPr>
          <w:p w14:paraId="554CF3F9" w14:textId="1D17F0B3" w:rsidR="005E2E82" w:rsidRPr="00B1499A" w:rsidRDefault="005E2E82" w:rsidP="005E2E82">
            <w:pPr>
              <w:pStyle w:val="TableText"/>
            </w:pPr>
            <w:r w:rsidRPr="009D6B76">
              <w:rPr>
                <w:b/>
                <w:bCs/>
              </w:rPr>
              <w:t>C. T</w:t>
            </w:r>
            <w:r>
              <w:rPr>
                <w:b/>
                <w:bCs/>
              </w:rPr>
              <w:t>est water chemistry/test conditions</w:t>
            </w:r>
          </w:p>
        </w:tc>
        <w:tc>
          <w:tcPr>
            <w:tcW w:w="1790" w:type="dxa"/>
            <w:tcBorders>
              <w:top w:val="single" w:sz="12" w:space="0" w:color="auto"/>
              <w:left w:val="nil"/>
              <w:bottom w:val="single" w:sz="12" w:space="0" w:color="auto"/>
              <w:right w:val="nil"/>
            </w:tcBorders>
            <w:hideMark/>
          </w:tcPr>
          <w:p w14:paraId="04387EDD" w14:textId="3A79BF45" w:rsidR="005E2E82" w:rsidRPr="00B1499A" w:rsidRDefault="005E2E82" w:rsidP="005E2E82">
            <w:pPr>
              <w:pStyle w:val="TableText"/>
            </w:pPr>
          </w:p>
        </w:tc>
      </w:tr>
      <w:tr w:rsidR="005110DE" w:rsidRPr="00B1499A" w14:paraId="36C5F66E" w14:textId="77777777" w:rsidTr="0069786C">
        <w:trPr>
          <w:cantSplit/>
          <w:trHeight w:val="320"/>
        </w:trPr>
        <w:tc>
          <w:tcPr>
            <w:tcW w:w="709" w:type="dxa"/>
            <w:tcBorders>
              <w:top w:val="single" w:sz="12" w:space="0" w:color="auto"/>
              <w:left w:val="nil"/>
              <w:bottom w:val="single" w:sz="4" w:space="0" w:color="auto"/>
              <w:right w:val="nil"/>
            </w:tcBorders>
            <w:hideMark/>
          </w:tcPr>
          <w:p w14:paraId="4D477BC1" w14:textId="77777777" w:rsidR="005110DE" w:rsidRPr="00B1499A" w:rsidRDefault="005110DE" w:rsidP="00CF716C">
            <w:pPr>
              <w:pStyle w:val="TableText"/>
            </w:pPr>
            <w:r w:rsidRPr="00B1499A">
              <w:t>18</w:t>
            </w:r>
          </w:p>
        </w:tc>
        <w:tc>
          <w:tcPr>
            <w:tcW w:w="6521" w:type="dxa"/>
            <w:tcBorders>
              <w:top w:val="single" w:sz="12" w:space="0" w:color="auto"/>
              <w:left w:val="nil"/>
              <w:bottom w:val="single" w:sz="4" w:space="0" w:color="auto"/>
              <w:right w:val="nil"/>
            </w:tcBorders>
            <w:hideMark/>
          </w:tcPr>
          <w:p w14:paraId="4A6386C9" w14:textId="6BAB9567" w:rsidR="005110DE" w:rsidRPr="00B1499A" w:rsidRDefault="005110DE" w:rsidP="00CF716C">
            <w:pPr>
              <w:pStyle w:val="TableText"/>
            </w:pPr>
            <w:r w:rsidRPr="00B1499A">
              <w:t>Were the following parameters measured and reported?</w:t>
            </w:r>
          </w:p>
        </w:tc>
        <w:tc>
          <w:tcPr>
            <w:tcW w:w="1790" w:type="dxa"/>
            <w:tcBorders>
              <w:top w:val="single" w:sz="12" w:space="0" w:color="auto"/>
              <w:left w:val="nil"/>
              <w:bottom w:val="single" w:sz="4" w:space="0" w:color="auto"/>
              <w:right w:val="nil"/>
            </w:tcBorders>
            <w:hideMark/>
          </w:tcPr>
          <w:p w14:paraId="6736A788" w14:textId="308F7A5E" w:rsidR="005110DE" w:rsidRPr="00B1499A" w:rsidRDefault="005110DE" w:rsidP="00CF716C">
            <w:pPr>
              <w:pStyle w:val="TableText"/>
            </w:pPr>
          </w:p>
        </w:tc>
      </w:tr>
      <w:tr w:rsidR="005110DE" w:rsidRPr="00B1499A" w14:paraId="5E9E58D6" w14:textId="77777777" w:rsidTr="0069786C">
        <w:trPr>
          <w:cantSplit/>
          <w:trHeight w:val="215"/>
        </w:trPr>
        <w:tc>
          <w:tcPr>
            <w:tcW w:w="709" w:type="dxa"/>
            <w:tcBorders>
              <w:top w:val="single" w:sz="4" w:space="0" w:color="auto"/>
              <w:left w:val="nil"/>
              <w:bottom w:val="single" w:sz="4" w:space="0" w:color="auto"/>
              <w:right w:val="nil"/>
            </w:tcBorders>
            <w:hideMark/>
          </w:tcPr>
          <w:p w14:paraId="638BB49F" w14:textId="77777777" w:rsidR="005110DE" w:rsidRPr="00B1499A" w:rsidRDefault="005110DE" w:rsidP="00CF716C">
            <w:pPr>
              <w:pStyle w:val="TableText"/>
            </w:pPr>
            <w:r w:rsidRPr="00B1499A">
              <w:t>18.1</w:t>
            </w:r>
          </w:p>
        </w:tc>
        <w:tc>
          <w:tcPr>
            <w:tcW w:w="6521" w:type="dxa"/>
            <w:tcBorders>
              <w:top w:val="single" w:sz="4" w:space="0" w:color="auto"/>
              <w:left w:val="nil"/>
              <w:bottom w:val="single" w:sz="4" w:space="0" w:color="auto"/>
              <w:right w:val="nil"/>
            </w:tcBorders>
            <w:hideMark/>
          </w:tcPr>
          <w:p w14:paraId="019D2FBA" w14:textId="0642A331" w:rsidR="005110DE" w:rsidRPr="00B1499A" w:rsidRDefault="005110DE" w:rsidP="00CF716C">
            <w:pPr>
              <w:pStyle w:val="TableText"/>
            </w:pPr>
            <w:r w:rsidRPr="00B1499A">
              <w:t xml:space="preserve">pH </w:t>
            </w:r>
            <w:r w:rsidR="00791B38">
              <w:t>–</w:t>
            </w:r>
            <w:r w:rsidRPr="00B1499A">
              <w:t xml:space="preserve"> </w:t>
            </w:r>
            <w:r w:rsidR="00A75106">
              <w:t>w</w:t>
            </w:r>
            <w:r w:rsidRPr="00B1499A">
              <w:t>as pH measured at least at the beginning and end of the toxicity test?</w:t>
            </w:r>
          </w:p>
        </w:tc>
        <w:tc>
          <w:tcPr>
            <w:tcW w:w="1790" w:type="dxa"/>
            <w:tcBorders>
              <w:top w:val="single" w:sz="4" w:space="0" w:color="auto"/>
              <w:left w:val="nil"/>
              <w:bottom w:val="single" w:sz="4" w:space="0" w:color="auto"/>
              <w:right w:val="nil"/>
            </w:tcBorders>
            <w:hideMark/>
          </w:tcPr>
          <w:p w14:paraId="063C9EA2" w14:textId="457B3A7C" w:rsidR="005110DE" w:rsidRPr="00B1499A" w:rsidRDefault="005110DE" w:rsidP="00CF716C">
            <w:pPr>
              <w:pStyle w:val="TableText"/>
            </w:pPr>
            <w:r w:rsidRPr="00B1499A">
              <w:t>Yes (3), No (0/FAIL)</w:t>
            </w:r>
          </w:p>
        </w:tc>
      </w:tr>
      <w:tr w:rsidR="005110DE" w:rsidRPr="00B1499A" w14:paraId="0776CA65" w14:textId="77777777" w:rsidTr="0069786C">
        <w:trPr>
          <w:cantSplit/>
          <w:trHeight w:val="150"/>
        </w:trPr>
        <w:tc>
          <w:tcPr>
            <w:tcW w:w="709" w:type="dxa"/>
            <w:tcBorders>
              <w:top w:val="single" w:sz="4" w:space="0" w:color="auto"/>
              <w:left w:val="nil"/>
              <w:bottom w:val="single" w:sz="4" w:space="0" w:color="auto"/>
              <w:right w:val="nil"/>
            </w:tcBorders>
            <w:hideMark/>
          </w:tcPr>
          <w:p w14:paraId="7BC2E09E" w14:textId="77777777" w:rsidR="005110DE" w:rsidRPr="00B1499A" w:rsidRDefault="005110DE" w:rsidP="00CF716C">
            <w:pPr>
              <w:pStyle w:val="TableText"/>
            </w:pPr>
            <w:r w:rsidRPr="00B1499A">
              <w:t>18.2</w:t>
            </w:r>
          </w:p>
        </w:tc>
        <w:tc>
          <w:tcPr>
            <w:tcW w:w="6521" w:type="dxa"/>
            <w:tcBorders>
              <w:top w:val="single" w:sz="4" w:space="0" w:color="auto"/>
              <w:left w:val="nil"/>
              <w:bottom w:val="single" w:sz="4" w:space="0" w:color="auto"/>
              <w:right w:val="nil"/>
            </w:tcBorders>
            <w:hideMark/>
          </w:tcPr>
          <w:p w14:paraId="7E3011F1" w14:textId="77777777" w:rsidR="005110DE" w:rsidRPr="00B1499A" w:rsidRDefault="005110DE" w:rsidP="00CF716C">
            <w:pPr>
              <w:pStyle w:val="TableText"/>
            </w:pPr>
            <w:r w:rsidRPr="00B1499A">
              <w:t>Hardness</w:t>
            </w:r>
          </w:p>
        </w:tc>
        <w:tc>
          <w:tcPr>
            <w:tcW w:w="1790" w:type="dxa"/>
            <w:tcBorders>
              <w:top w:val="single" w:sz="4" w:space="0" w:color="auto"/>
              <w:left w:val="nil"/>
              <w:bottom w:val="single" w:sz="4" w:space="0" w:color="auto"/>
              <w:right w:val="nil"/>
            </w:tcBorders>
            <w:hideMark/>
          </w:tcPr>
          <w:p w14:paraId="152D5732" w14:textId="237F7CEB" w:rsidR="005110DE" w:rsidRPr="00B1499A" w:rsidRDefault="005110DE" w:rsidP="00CF716C">
            <w:pPr>
              <w:pStyle w:val="TableText"/>
            </w:pPr>
            <w:r w:rsidRPr="00B1499A">
              <w:t>Yes (3), No (0/FAIL)</w:t>
            </w:r>
          </w:p>
        </w:tc>
      </w:tr>
      <w:tr w:rsidR="005110DE" w:rsidRPr="00B1499A" w14:paraId="0450FF65" w14:textId="77777777" w:rsidTr="0069786C">
        <w:trPr>
          <w:cantSplit/>
          <w:trHeight w:val="83"/>
        </w:trPr>
        <w:tc>
          <w:tcPr>
            <w:tcW w:w="709" w:type="dxa"/>
            <w:tcBorders>
              <w:top w:val="single" w:sz="4" w:space="0" w:color="auto"/>
              <w:left w:val="nil"/>
              <w:bottom w:val="single" w:sz="4" w:space="0" w:color="auto"/>
              <w:right w:val="nil"/>
            </w:tcBorders>
            <w:hideMark/>
          </w:tcPr>
          <w:p w14:paraId="733F4520" w14:textId="77777777" w:rsidR="005110DE" w:rsidRPr="00B1499A" w:rsidRDefault="005110DE" w:rsidP="00CF716C">
            <w:pPr>
              <w:pStyle w:val="TableText"/>
            </w:pPr>
            <w:r w:rsidRPr="00B1499A">
              <w:t>18.3</w:t>
            </w:r>
          </w:p>
        </w:tc>
        <w:tc>
          <w:tcPr>
            <w:tcW w:w="6521" w:type="dxa"/>
            <w:tcBorders>
              <w:top w:val="single" w:sz="4" w:space="0" w:color="auto"/>
              <w:left w:val="nil"/>
              <w:bottom w:val="single" w:sz="4" w:space="0" w:color="auto"/>
              <w:right w:val="nil"/>
            </w:tcBorders>
            <w:hideMark/>
          </w:tcPr>
          <w:p w14:paraId="5D4BE4EB" w14:textId="77777777" w:rsidR="005110DE" w:rsidRPr="00B1499A" w:rsidRDefault="005110DE" w:rsidP="00CF716C">
            <w:pPr>
              <w:pStyle w:val="TableText"/>
            </w:pPr>
            <w:r w:rsidRPr="00B1499A">
              <w:t>Alkalinity</w:t>
            </w:r>
          </w:p>
        </w:tc>
        <w:tc>
          <w:tcPr>
            <w:tcW w:w="1790" w:type="dxa"/>
            <w:tcBorders>
              <w:top w:val="single" w:sz="4" w:space="0" w:color="auto"/>
              <w:left w:val="nil"/>
              <w:bottom w:val="single" w:sz="4" w:space="0" w:color="auto"/>
              <w:right w:val="nil"/>
            </w:tcBorders>
            <w:hideMark/>
          </w:tcPr>
          <w:p w14:paraId="4399F4CC" w14:textId="6CE7FCFD" w:rsidR="005110DE" w:rsidRPr="00B1499A" w:rsidRDefault="005110DE" w:rsidP="00CF716C">
            <w:pPr>
              <w:pStyle w:val="TableText"/>
            </w:pPr>
            <w:r w:rsidRPr="00B1499A">
              <w:t>Yes (3), No (0/FAIL)</w:t>
            </w:r>
          </w:p>
        </w:tc>
      </w:tr>
      <w:tr w:rsidR="005110DE" w:rsidRPr="00B1499A" w14:paraId="4AF32C89" w14:textId="77777777" w:rsidTr="0069786C">
        <w:trPr>
          <w:cantSplit/>
          <w:trHeight w:val="173"/>
        </w:trPr>
        <w:tc>
          <w:tcPr>
            <w:tcW w:w="709" w:type="dxa"/>
            <w:tcBorders>
              <w:top w:val="single" w:sz="4" w:space="0" w:color="auto"/>
              <w:left w:val="nil"/>
              <w:bottom w:val="single" w:sz="4" w:space="0" w:color="auto"/>
              <w:right w:val="nil"/>
            </w:tcBorders>
            <w:hideMark/>
          </w:tcPr>
          <w:p w14:paraId="32626B88" w14:textId="77777777" w:rsidR="005110DE" w:rsidRPr="00B1499A" w:rsidRDefault="005110DE" w:rsidP="00CF716C">
            <w:pPr>
              <w:pStyle w:val="TableText"/>
            </w:pPr>
            <w:r w:rsidRPr="00B1499A">
              <w:t>18.4</w:t>
            </w:r>
          </w:p>
        </w:tc>
        <w:tc>
          <w:tcPr>
            <w:tcW w:w="6521" w:type="dxa"/>
            <w:tcBorders>
              <w:top w:val="single" w:sz="4" w:space="0" w:color="auto"/>
              <w:left w:val="nil"/>
              <w:bottom w:val="single" w:sz="4" w:space="0" w:color="auto"/>
              <w:right w:val="nil"/>
            </w:tcBorders>
            <w:hideMark/>
          </w:tcPr>
          <w:p w14:paraId="04C40FD6" w14:textId="77777777" w:rsidR="005110DE" w:rsidRPr="00B1499A" w:rsidRDefault="005110DE" w:rsidP="00CF716C">
            <w:pPr>
              <w:pStyle w:val="TableText"/>
            </w:pPr>
            <w:r w:rsidRPr="00B1499A">
              <w:t>Dissolved organic carbon concentration</w:t>
            </w:r>
          </w:p>
        </w:tc>
        <w:tc>
          <w:tcPr>
            <w:tcW w:w="1790" w:type="dxa"/>
            <w:tcBorders>
              <w:top w:val="single" w:sz="4" w:space="0" w:color="auto"/>
              <w:left w:val="nil"/>
              <w:bottom w:val="single" w:sz="4" w:space="0" w:color="auto"/>
              <w:right w:val="nil"/>
            </w:tcBorders>
            <w:hideMark/>
          </w:tcPr>
          <w:p w14:paraId="70A02688" w14:textId="1AE169E7" w:rsidR="005110DE" w:rsidRPr="00B1499A" w:rsidRDefault="005110DE" w:rsidP="00CF716C">
            <w:pPr>
              <w:pStyle w:val="TableText"/>
            </w:pPr>
            <w:r w:rsidRPr="00B1499A">
              <w:t>Yes (3), No (0/FAIL)</w:t>
            </w:r>
          </w:p>
        </w:tc>
      </w:tr>
      <w:tr w:rsidR="005110DE" w:rsidRPr="00B1499A" w14:paraId="7AC372ED" w14:textId="77777777" w:rsidTr="0069786C">
        <w:trPr>
          <w:cantSplit/>
          <w:trHeight w:val="183"/>
        </w:trPr>
        <w:tc>
          <w:tcPr>
            <w:tcW w:w="709" w:type="dxa"/>
            <w:tcBorders>
              <w:top w:val="single" w:sz="4" w:space="0" w:color="auto"/>
              <w:left w:val="nil"/>
              <w:bottom w:val="single" w:sz="4" w:space="0" w:color="auto"/>
              <w:right w:val="nil"/>
            </w:tcBorders>
            <w:hideMark/>
          </w:tcPr>
          <w:p w14:paraId="6E006AA5" w14:textId="77777777" w:rsidR="005110DE" w:rsidRPr="00B1499A" w:rsidRDefault="005110DE" w:rsidP="00CF716C">
            <w:pPr>
              <w:pStyle w:val="TableText"/>
            </w:pPr>
            <w:r w:rsidRPr="00B1499A">
              <w:t>18.</w:t>
            </w:r>
            <w:r>
              <w:t>5</w:t>
            </w:r>
          </w:p>
        </w:tc>
        <w:tc>
          <w:tcPr>
            <w:tcW w:w="6521" w:type="dxa"/>
            <w:tcBorders>
              <w:top w:val="single" w:sz="4" w:space="0" w:color="auto"/>
              <w:left w:val="nil"/>
              <w:bottom w:val="single" w:sz="4" w:space="0" w:color="auto"/>
              <w:right w:val="nil"/>
            </w:tcBorders>
            <w:hideMark/>
          </w:tcPr>
          <w:p w14:paraId="210824D8" w14:textId="54A87D49" w:rsidR="005110DE" w:rsidRPr="00B1499A" w:rsidRDefault="005110DE" w:rsidP="00CF716C">
            <w:pPr>
              <w:pStyle w:val="TableText"/>
            </w:pPr>
            <w:r w:rsidRPr="00B1499A">
              <w:t>Conductivity</w:t>
            </w:r>
          </w:p>
        </w:tc>
        <w:tc>
          <w:tcPr>
            <w:tcW w:w="1790" w:type="dxa"/>
            <w:tcBorders>
              <w:top w:val="single" w:sz="4" w:space="0" w:color="auto"/>
              <w:left w:val="nil"/>
              <w:bottom w:val="single" w:sz="4" w:space="0" w:color="auto"/>
              <w:right w:val="nil"/>
            </w:tcBorders>
            <w:hideMark/>
          </w:tcPr>
          <w:p w14:paraId="507A3155" w14:textId="5EDB4677" w:rsidR="005110DE" w:rsidRPr="00B1499A" w:rsidRDefault="005110DE" w:rsidP="00CF716C">
            <w:pPr>
              <w:pStyle w:val="TableText"/>
            </w:pPr>
            <w:r w:rsidRPr="00B1499A">
              <w:t>Yes (2), No (0/FAIL)</w:t>
            </w:r>
          </w:p>
        </w:tc>
      </w:tr>
      <w:tr w:rsidR="005110DE" w:rsidRPr="00B1499A" w14:paraId="39C8F1B7" w14:textId="77777777" w:rsidTr="0069786C">
        <w:trPr>
          <w:cantSplit/>
          <w:trHeight w:val="529"/>
        </w:trPr>
        <w:tc>
          <w:tcPr>
            <w:tcW w:w="709" w:type="dxa"/>
            <w:tcBorders>
              <w:top w:val="single" w:sz="4" w:space="0" w:color="auto"/>
              <w:left w:val="nil"/>
              <w:bottom w:val="single" w:sz="4" w:space="0" w:color="auto"/>
              <w:right w:val="nil"/>
            </w:tcBorders>
            <w:hideMark/>
          </w:tcPr>
          <w:p w14:paraId="371CE143" w14:textId="77777777" w:rsidR="005110DE" w:rsidRPr="00B1499A" w:rsidRDefault="005110DE" w:rsidP="00CF716C">
            <w:pPr>
              <w:pStyle w:val="TableText"/>
            </w:pPr>
            <w:r w:rsidRPr="00B1499A">
              <w:t>18.</w:t>
            </w:r>
            <w:r>
              <w:t>6</w:t>
            </w:r>
          </w:p>
        </w:tc>
        <w:tc>
          <w:tcPr>
            <w:tcW w:w="6521" w:type="dxa"/>
            <w:tcBorders>
              <w:top w:val="single" w:sz="4" w:space="0" w:color="auto"/>
              <w:left w:val="nil"/>
              <w:bottom w:val="single" w:sz="4" w:space="0" w:color="auto"/>
              <w:right w:val="nil"/>
            </w:tcBorders>
            <w:hideMark/>
          </w:tcPr>
          <w:p w14:paraId="69FAA838" w14:textId="77777777" w:rsidR="005110DE" w:rsidRPr="00B1499A" w:rsidRDefault="005110DE" w:rsidP="00CF716C">
            <w:pPr>
              <w:pStyle w:val="TableText"/>
            </w:pPr>
            <w:r w:rsidRPr="00B1499A">
              <w:t>Temperature</w:t>
            </w:r>
          </w:p>
        </w:tc>
        <w:tc>
          <w:tcPr>
            <w:tcW w:w="1790" w:type="dxa"/>
            <w:tcBorders>
              <w:top w:val="single" w:sz="4" w:space="0" w:color="auto"/>
              <w:left w:val="nil"/>
              <w:bottom w:val="single" w:sz="4" w:space="0" w:color="auto"/>
              <w:right w:val="nil"/>
            </w:tcBorders>
            <w:hideMark/>
          </w:tcPr>
          <w:p w14:paraId="5014673A" w14:textId="1D2B211E" w:rsidR="005110DE" w:rsidRPr="00B1499A" w:rsidRDefault="005110DE" w:rsidP="00CF716C">
            <w:pPr>
              <w:pStyle w:val="TableText"/>
            </w:pPr>
            <w:r w:rsidRPr="00B1499A">
              <w:t>Yes (2), Temperature of room or chamber was reported (1), No (0/FAIL)</w:t>
            </w:r>
          </w:p>
        </w:tc>
      </w:tr>
      <w:tr w:rsidR="005110DE" w:rsidRPr="00B1499A" w14:paraId="3EC99434" w14:textId="77777777" w:rsidTr="0069786C">
        <w:trPr>
          <w:cantSplit/>
          <w:trHeight w:val="108"/>
        </w:trPr>
        <w:tc>
          <w:tcPr>
            <w:tcW w:w="709" w:type="dxa"/>
            <w:tcBorders>
              <w:top w:val="single" w:sz="4" w:space="0" w:color="auto"/>
              <w:left w:val="nil"/>
              <w:bottom w:val="single" w:sz="4" w:space="0" w:color="auto"/>
              <w:right w:val="nil"/>
            </w:tcBorders>
            <w:hideMark/>
          </w:tcPr>
          <w:p w14:paraId="6CEDC48E" w14:textId="77777777" w:rsidR="005110DE" w:rsidRPr="00B1499A" w:rsidRDefault="005110DE" w:rsidP="00CF716C">
            <w:pPr>
              <w:pStyle w:val="TableText"/>
            </w:pPr>
            <w:r w:rsidRPr="00B1499A">
              <w:t>18.</w:t>
            </w:r>
            <w:r>
              <w:t>7</w:t>
            </w:r>
          </w:p>
        </w:tc>
        <w:tc>
          <w:tcPr>
            <w:tcW w:w="6521" w:type="dxa"/>
            <w:tcBorders>
              <w:top w:val="single" w:sz="4" w:space="0" w:color="auto"/>
              <w:left w:val="nil"/>
              <w:bottom w:val="single" w:sz="4" w:space="0" w:color="auto"/>
              <w:right w:val="nil"/>
            </w:tcBorders>
            <w:hideMark/>
          </w:tcPr>
          <w:p w14:paraId="789A7BEF" w14:textId="5E6D001A" w:rsidR="005110DE" w:rsidRPr="00B1499A" w:rsidRDefault="005110DE" w:rsidP="00CF716C">
            <w:pPr>
              <w:pStyle w:val="TableText"/>
            </w:pPr>
            <w:r>
              <w:t>Light intensity/illuminance</w:t>
            </w:r>
          </w:p>
        </w:tc>
        <w:tc>
          <w:tcPr>
            <w:tcW w:w="1790" w:type="dxa"/>
            <w:tcBorders>
              <w:top w:val="single" w:sz="4" w:space="0" w:color="auto"/>
              <w:left w:val="nil"/>
              <w:bottom w:val="single" w:sz="4" w:space="0" w:color="auto"/>
              <w:right w:val="nil"/>
            </w:tcBorders>
            <w:hideMark/>
          </w:tcPr>
          <w:p w14:paraId="599185DF" w14:textId="16A9C7E7" w:rsidR="005110DE" w:rsidRPr="00B1499A" w:rsidRDefault="005110DE" w:rsidP="00CF716C">
            <w:pPr>
              <w:pStyle w:val="TableText"/>
            </w:pPr>
            <w:r w:rsidRPr="00B1499A">
              <w:t>Yes (2), No (0/FAIL)</w:t>
            </w:r>
          </w:p>
        </w:tc>
      </w:tr>
      <w:tr w:rsidR="00E71B3D" w:rsidRPr="00B1499A" w14:paraId="0A39DC4A" w14:textId="77777777" w:rsidTr="00AC7916">
        <w:trPr>
          <w:cantSplit/>
          <w:trHeight w:val="340"/>
        </w:trPr>
        <w:tc>
          <w:tcPr>
            <w:tcW w:w="709" w:type="dxa"/>
            <w:tcBorders>
              <w:top w:val="single" w:sz="4" w:space="0" w:color="auto"/>
              <w:left w:val="nil"/>
              <w:bottom w:val="single" w:sz="4" w:space="0" w:color="auto"/>
              <w:right w:val="nil"/>
            </w:tcBorders>
          </w:tcPr>
          <w:p w14:paraId="27186BC9" w14:textId="77777777" w:rsidR="00E71B3D" w:rsidRPr="00B1499A" w:rsidRDefault="00E71B3D" w:rsidP="00CF716C">
            <w:pPr>
              <w:pStyle w:val="TableText"/>
            </w:pPr>
            <w:r>
              <w:t>18.8</w:t>
            </w:r>
          </w:p>
        </w:tc>
        <w:tc>
          <w:tcPr>
            <w:tcW w:w="6521" w:type="dxa"/>
            <w:tcBorders>
              <w:top w:val="single" w:sz="4" w:space="0" w:color="auto"/>
              <w:left w:val="nil"/>
              <w:bottom w:val="single" w:sz="4" w:space="0" w:color="auto"/>
              <w:right w:val="nil"/>
            </w:tcBorders>
          </w:tcPr>
          <w:p w14:paraId="6EEBCBCB" w14:textId="0A66B653" w:rsidR="00E71B3D" w:rsidRPr="00B1499A" w:rsidRDefault="00E71B3D" w:rsidP="00CF716C">
            <w:pPr>
              <w:pStyle w:val="TableText"/>
              <w:rPr>
                <w:color w:val="000000"/>
              </w:rPr>
            </w:pPr>
            <w:r w:rsidRPr="57352DF8">
              <w:t>Any other parameters of relevance (e.g. other toxicity</w:t>
            </w:r>
            <w:r w:rsidR="00D62C7F">
              <w:t>-</w:t>
            </w:r>
            <w:r w:rsidRPr="57352DF8">
              <w:t>modifying factors)</w:t>
            </w:r>
            <w:r w:rsidR="00A75106">
              <w:t>?</w:t>
            </w:r>
          </w:p>
        </w:tc>
        <w:tc>
          <w:tcPr>
            <w:tcW w:w="1790" w:type="dxa"/>
            <w:tcBorders>
              <w:top w:val="single" w:sz="4" w:space="0" w:color="auto"/>
              <w:left w:val="nil"/>
              <w:bottom w:val="single" w:sz="4" w:space="0" w:color="auto"/>
              <w:right w:val="nil"/>
            </w:tcBorders>
          </w:tcPr>
          <w:p w14:paraId="66F6196A" w14:textId="216D339E" w:rsidR="00E71B3D" w:rsidRPr="00B1499A" w:rsidRDefault="00E71B3D" w:rsidP="00CF716C">
            <w:pPr>
              <w:pStyle w:val="TableText"/>
            </w:pPr>
            <w:r w:rsidRPr="00B1499A">
              <w:t>Yes (2), No (0/FAIL)</w:t>
            </w:r>
          </w:p>
        </w:tc>
      </w:tr>
      <w:tr w:rsidR="00E32DD0" w:rsidRPr="00B1499A" w14:paraId="7F4E9465" w14:textId="77777777" w:rsidTr="0069786C">
        <w:trPr>
          <w:cantSplit/>
          <w:trHeight w:val="70"/>
        </w:trPr>
        <w:tc>
          <w:tcPr>
            <w:tcW w:w="709" w:type="dxa"/>
            <w:tcBorders>
              <w:top w:val="single" w:sz="4" w:space="0" w:color="auto"/>
              <w:bottom w:val="single" w:sz="4" w:space="0" w:color="auto"/>
            </w:tcBorders>
            <w:hideMark/>
          </w:tcPr>
          <w:p w14:paraId="564760B6" w14:textId="77777777" w:rsidR="00E32DD0" w:rsidRPr="00B1499A" w:rsidRDefault="00E32DD0" w:rsidP="00E32DD0">
            <w:pPr>
              <w:pStyle w:val="TableText"/>
            </w:pPr>
          </w:p>
        </w:tc>
        <w:tc>
          <w:tcPr>
            <w:tcW w:w="8311" w:type="dxa"/>
            <w:gridSpan w:val="2"/>
            <w:tcBorders>
              <w:top w:val="single" w:sz="4" w:space="0" w:color="auto"/>
              <w:bottom w:val="single" w:sz="4" w:space="0" w:color="auto"/>
            </w:tcBorders>
            <w:hideMark/>
          </w:tcPr>
          <w:p w14:paraId="0B560D72" w14:textId="273E067C" w:rsidR="00E32DD0" w:rsidRPr="00B1499A" w:rsidRDefault="00E32DD0" w:rsidP="00E32DD0">
            <w:pPr>
              <w:pStyle w:val="TableText"/>
              <w:rPr>
                <w:color w:val="000000"/>
              </w:rPr>
            </w:pPr>
            <w:r w:rsidRPr="009D7457">
              <w:rPr>
                <w:color w:val="000000"/>
              </w:rPr>
              <w:t>M</w:t>
            </w:r>
            <w:r>
              <w:rPr>
                <w:color w:val="000000"/>
              </w:rPr>
              <w:t>aximum sub-total for Part C = 20</w:t>
            </w:r>
          </w:p>
        </w:tc>
      </w:tr>
      <w:tr w:rsidR="00E32DD0" w:rsidRPr="00163D3D" w14:paraId="15C02703" w14:textId="77777777" w:rsidTr="0069786C">
        <w:trPr>
          <w:cantSplit/>
          <w:trHeight w:val="70"/>
        </w:trPr>
        <w:tc>
          <w:tcPr>
            <w:tcW w:w="709" w:type="dxa"/>
            <w:tcBorders>
              <w:top w:val="single" w:sz="4" w:space="0" w:color="auto"/>
              <w:bottom w:val="single" w:sz="12" w:space="0" w:color="auto"/>
            </w:tcBorders>
          </w:tcPr>
          <w:p w14:paraId="049FD98F" w14:textId="77777777" w:rsidR="00E32DD0" w:rsidRPr="00163D3D" w:rsidRDefault="00E32DD0" w:rsidP="00E32DD0">
            <w:pPr>
              <w:pStyle w:val="TableText"/>
            </w:pPr>
          </w:p>
        </w:tc>
        <w:tc>
          <w:tcPr>
            <w:tcW w:w="8311" w:type="dxa"/>
            <w:gridSpan w:val="2"/>
            <w:tcBorders>
              <w:top w:val="single" w:sz="4" w:space="0" w:color="auto"/>
              <w:bottom w:val="single" w:sz="12" w:space="0" w:color="auto"/>
            </w:tcBorders>
          </w:tcPr>
          <w:p w14:paraId="036A07F6" w14:textId="3D5DE054" w:rsidR="00E32DD0" w:rsidRPr="00163D3D" w:rsidRDefault="00E32DD0" w:rsidP="00E32DD0">
            <w:pPr>
              <w:pStyle w:val="TableText"/>
            </w:pPr>
            <w:r w:rsidRPr="00163D3D">
              <w:t>M</w:t>
            </w:r>
            <w:r>
              <w:t xml:space="preserve">aximum total for parts </w:t>
            </w:r>
            <w:r w:rsidRPr="00163D3D">
              <w:t>A</w:t>
            </w:r>
            <w:r>
              <w:t xml:space="preserve"> +</w:t>
            </w:r>
            <w:r w:rsidRPr="00163D3D">
              <w:t xml:space="preserve"> B </w:t>
            </w:r>
            <w:r>
              <w:t>+</w:t>
            </w:r>
            <w:r w:rsidRPr="00163D3D">
              <w:t xml:space="preserve"> C </w:t>
            </w:r>
            <w:r>
              <w:t>=</w:t>
            </w:r>
            <w:r w:rsidRPr="00163D3D">
              <w:t xml:space="preserve"> 9</w:t>
            </w:r>
            <w:r>
              <w:t>7</w:t>
            </w:r>
          </w:p>
        </w:tc>
      </w:tr>
    </w:tbl>
    <w:p w14:paraId="67E5A2B0" w14:textId="77777777" w:rsidR="00246FF4" w:rsidRDefault="00246FF4" w:rsidP="004D7186">
      <w:pPr>
        <w:pStyle w:val="FigureTableNoteSource"/>
        <w:rPr>
          <w:lang w:eastAsia="ja-JP"/>
        </w:rPr>
      </w:pPr>
      <w:r w:rsidRPr="0026617C">
        <w:rPr>
          <w:lang w:eastAsia="ja-JP"/>
        </w:rPr>
        <w:t xml:space="preserve">Source: </w:t>
      </w:r>
      <w:r>
        <w:rPr>
          <w:lang w:eastAsia="ja-JP"/>
        </w:rPr>
        <w:t>Updated from Warne et al. (2018).</w:t>
      </w:r>
    </w:p>
    <w:p w14:paraId="07A54BE0" w14:textId="7DE1F0A8" w:rsidR="005110DE" w:rsidRDefault="005110DE" w:rsidP="00CF716C">
      <w:pPr>
        <w:pStyle w:val="FigureTableNoteSource"/>
      </w:pPr>
      <w:r w:rsidRPr="57352DF8">
        <w:rPr>
          <w:vertAlign w:val="superscript"/>
        </w:rPr>
        <w:t>a</w:t>
      </w:r>
      <w:r w:rsidRPr="57352DF8">
        <w:t xml:space="preserve"> Where a question has a possible </w:t>
      </w:r>
      <w:r w:rsidR="00CF716C">
        <w:t>‘</w:t>
      </w:r>
      <w:r w:rsidRPr="57352DF8">
        <w:t>No (0/FAIL)</w:t>
      </w:r>
      <w:r w:rsidR="00CF716C">
        <w:t>’</w:t>
      </w:r>
      <w:r w:rsidRPr="57352DF8">
        <w:t xml:space="preserve"> outcome, professional </w:t>
      </w:r>
      <w:r w:rsidR="00542D1C">
        <w:t>judgement</w:t>
      </w:r>
      <w:r w:rsidRPr="57352DF8">
        <w:t xml:space="preserve"> may be required to determine if a 0 is assigned or if the test fails the quality</w:t>
      </w:r>
      <w:r w:rsidR="00CF716C">
        <w:t>-</w:t>
      </w:r>
      <w:r w:rsidRPr="57352DF8">
        <w:t>assessment process.</w:t>
      </w:r>
    </w:p>
    <w:p w14:paraId="69708605" w14:textId="77777777" w:rsidR="006C5761" w:rsidRDefault="005110DE" w:rsidP="006C5761">
      <w:pPr>
        <w:pStyle w:val="FigureTableNoteSource"/>
      </w:pPr>
      <w:r w:rsidRPr="00AD63D3">
        <w:rPr>
          <w:vertAlign w:val="superscript"/>
        </w:rPr>
        <w:t>b</w:t>
      </w:r>
      <w:r w:rsidRPr="00AD63D3">
        <w:t xml:space="preserve"> See </w:t>
      </w:r>
      <w:r w:rsidR="00AD63D3" w:rsidRPr="00AD63D3">
        <w:fldChar w:fldCharType="begin"/>
      </w:r>
      <w:r w:rsidR="00AD63D3" w:rsidRPr="00AD63D3">
        <w:instrText xml:space="preserve"> REF _Ref520276250 \h </w:instrText>
      </w:r>
      <w:r w:rsidR="00AD63D3">
        <w:instrText xml:space="preserve"> \* MERGEFORMAT </w:instrText>
      </w:r>
      <w:r w:rsidR="00AD63D3" w:rsidRPr="00AD63D3">
        <w:fldChar w:fldCharType="separate"/>
      </w:r>
    </w:p>
    <w:p w14:paraId="57213508" w14:textId="4BFF5397" w:rsidR="005110DE" w:rsidRDefault="006C5761" w:rsidP="00CF716C">
      <w:pPr>
        <w:pStyle w:val="FigureTableNoteSource"/>
      </w:pPr>
      <w:r w:rsidRPr="57352DF8">
        <w:t>Table</w:t>
      </w:r>
      <w:r>
        <w:t> </w:t>
      </w:r>
      <w:r>
        <w:rPr>
          <w:noProof/>
        </w:rPr>
        <w:t>2</w:t>
      </w:r>
      <w:r w:rsidR="00AD63D3" w:rsidRPr="00AD63D3">
        <w:fldChar w:fldCharType="end"/>
      </w:r>
      <w:r w:rsidR="005110DE" w:rsidRPr="00AD63D3">
        <w:t xml:space="preserve"> for additional guidance.</w:t>
      </w:r>
    </w:p>
    <w:p w14:paraId="2FFC4C19" w14:textId="77777777" w:rsidR="005110DE" w:rsidRDefault="005110DE" w:rsidP="004D7186">
      <w:r>
        <w:br w:type="page"/>
      </w:r>
    </w:p>
    <w:p w14:paraId="7D002CE6" w14:textId="7AC56809" w:rsidR="005110DE" w:rsidRPr="00D636A6" w:rsidRDefault="00594F1C" w:rsidP="005110DE">
      <w:pPr>
        <w:pStyle w:val="Caption"/>
      </w:pPr>
      <w:bookmarkStart w:id="182" w:name="_Toc206085229"/>
      <w:r>
        <w:lastRenderedPageBreak/>
        <w:t>Table</w:t>
      </w:r>
      <w:r w:rsidR="000B093C">
        <w:t> </w:t>
      </w:r>
      <w:r>
        <w:fldChar w:fldCharType="begin"/>
      </w:r>
      <w:r>
        <w:instrText xml:space="preserve"> STYLEREF 7 \s </w:instrText>
      </w:r>
      <w:r>
        <w:fldChar w:fldCharType="separate"/>
      </w:r>
      <w:r w:rsidR="006C5761">
        <w:rPr>
          <w:noProof/>
        </w:rPr>
        <w:t>B</w:t>
      </w:r>
      <w:r>
        <w:rPr>
          <w:noProof/>
        </w:rPr>
        <w:fldChar w:fldCharType="end"/>
      </w:r>
      <w:r>
        <w:t>.</w:t>
      </w:r>
      <w:r>
        <w:fldChar w:fldCharType="begin"/>
      </w:r>
      <w:r>
        <w:instrText xml:space="preserve"> SEQ ApxTable \* ARABIC \s 7 </w:instrText>
      </w:r>
      <w:r>
        <w:fldChar w:fldCharType="separate"/>
      </w:r>
      <w:r w:rsidR="006C5761">
        <w:rPr>
          <w:noProof/>
        </w:rPr>
        <w:t>3</w:t>
      </w:r>
      <w:r>
        <w:rPr>
          <w:noProof/>
        </w:rPr>
        <w:fldChar w:fldCharType="end"/>
      </w:r>
      <w:r>
        <w:t xml:space="preserve"> </w:t>
      </w:r>
      <w:r w:rsidR="005110DE" w:rsidRPr="00D636A6">
        <w:t xml:space="preserve">Scoring system for assessing the quality of toxicity data for </w:t>
      </w:r>
      <w:r w:rsidR="00381DBB">
        <w:t>organics</w:t>
      </w:r>
      <w:r w:rsidR="005110DE" w:rsidRPr="00D636A6">
        <w:t xml:space="preserve"> to freshwater plants to be used in the derivation of guideline values for toxicants</w:t>
      </w:r>
      <w:bookmarkEnd w:id="182"/>
    </w:p>
    <w:tbl>
      <w:tblPr>
        <w:tblW w:w="0" w:type="auto"/>
        <w:tblLayout w:type="fixed"/>
        <w:tblLook w:val="04A0" w:firstRow="1" w:lastRow="0" w:firstColumn="1" w:lastColumn="0" w:noHBand="0" w:noVBand="1"/>
      </w:tblPr>
      <w:tblGrid>
        <w:gridCol w:w="709"/>
        <w:gridCol w:w="6521"/>
        <w:gridCol w:w="1790"/>
      </w:tblGrid>
      <w:tr w:rsidR="007374DE" w:rsidRPr="00B1499A" w14:paraId="3E27FE62" w14:textId="77777777" w:rsidTr="007E2341">
        <w:trPr>
          <w:cantSplit/>
          <w:trHeight w:val="320"/>
          <w:tblHeader/>
        </w:trPr>
        <w:tc>
          <w:tcPr>
            <w:tcW w:w="709" w:type="dxa"/>
            <w:tcBorders>
              <w:top w:val="single" w:sz="12" w:space="0" w:color="auto"/>
              <w:left w:val="nil"/>
              <w:bottom w:val="single" w:sz="12" w:space="0" w:color="auto"/>
              <w:right w:val="nil"/>
            </w:tcBorders>
            <w:noWrap/>
            <w:hideMark/>
          </w:tcPr>
          <w:p w14:paraId="1061EF7A" w14:textId="2F3984A8" w:rsidR="007374DE" w:rsidRPr="00CF716C" w:rsidRDefault="007374DE" w:rsidP="00851228">
            <w:pPr>
              <w:pStyle w:val="TableHeading"/>
            </w:pPr>
            <w:r>
              <w:t>No.</w:t>
            </w:r>
          </w:p>
        </w:tc>
        <w:tc>
          <w:tcPr>
            <w:tcW w:w="6521" w:type="dxa"/>
            <w:tcBorders>
              <w:top w:val="single" w:sz="12" w:space="0" w:color="auto"/>
              <w:left w:val="nil"/>
              <w:bottom w:val="single" w:sz="12" w:space="0" w:color="auto"/>
              <w:right w:val="nil"/>
            </w:tcBorders>
          </w:tcPr>
          <w:p w14:paraId="0AC7813F" w14:textId="17F59715" w:rsidR="007374DE" w:rsidRPr="00CF716C" w:rsidRDefault="007374DE" w:rsidP="00851228">
            <w:pPr>
              <w:pStyle w:val="TableHeading"/>
            </w:pPr>
            <w:r>
              <w:t>Question</w:t>
            </w:r>
          </w:p>
        </w:tc>
        <w:tc>
          <w:tcPr>
            <w:tcW w:w="1790" w:type="dxa"/>
            <w:tcBorders>
              <w:top w:val="single" w:sz="12" w:space="0" w:color="auto"/>
              <w:left w:val="nil"/>
              <w:bottom w:val="single" w:sz="12" w:space="0" w:color="auto"/>
              <w:right w:val="nil"/>
            </w:tcBorders>
            <w:noWrap/>
            <w:hideMark/>
          </w:tcPr>
          <w:p w14:paraId="22B613F2" w14:textId="42A22082" w:rsidR="007374DE" w:rsidRPr="00CF716C" w:rsidRDefault="007374DE" w:rsidP="00851228">
            <w:pPr>
              <w:pStyle w:val="TableHeading"/>
            </w:pPr>
            <w:r>
              <w:t>Score</w:t>
            </w:r>
            <w:r w:rsidRPr="00F67D15">
              <w:rPr>
                <w:vertAlign w:val="superscript"/>
              </w:rPr>
              <w:t>a</w:t>
            </w:r>
          </w:p>
        </w:tc>
      </w:tr>
      <w:tr w:rsidR="005E2E82" w:rsidRPr="00903169" w14:paraId="2F687A23" w14:textId="77777777" w:rsidTr="001220EF">
        <w:trPr>
          <w:cantSplit/>
          <w:trHeight w:val="320"/>
        </w:trPr>
        <w:tc>
          <w:tcPr>
            <w:tcW w:w="7230" w:type="dxa"/>
            <w:gridSpan w:val="2"/>
            <w:tcBorders>
              <w:top w:val="single" w:sz="12" w:space="0" w:color="auto"/>
              <w:left w:val="nil"/>
              <w:bottom w:val="single" w:sz="12" w:space="0" w:color="auto"/>
              <w:right w:val="nil"/>
            </w:tcBorders>
            <w:noWrap/>
            <w:hideMark/>
          </w:tcPr>
          <w:p w14:paraId="1F56DCC8" w14:textId="60C5EE2C" w:rsidR="005E2E82" w:rsidRPr="00B1499A" w:rsidRDefault="005E2E82" w:rsidP="005E2E82">
            <w:pPr>
              <w:pStyle w:val="TableText"/>
            </w:pPr>
            <w:r w:rsidRPr="002171FA">
              <w:rPr>
                <w:b/>
                <w:bCs/>
              </w:rPr>
              <w:t>A. G</w:t>
            </w:r>
            <w:r>
              <w:rPr>
                <w:b/>
                <w:bCs/>
              </w:rPr>
              <w:t>eneral test design information</w:t>
            </w:r>
          </w:p>
        </w:tc>
        <w:tc>
          <w:tcPr>
            <w:tcW w:w="1790" w:type="dxa"/>
            <w:tcBorders>
              <w:top w:val="single" w:sz="12" w:space="0" w:color="auto"/>
              <w:left w:val="nil"/>
              <w:bottom w:val="single" w:sz="12" w:space="0" w:color="auto"/>
              <w:right w:val="nil"/>
            </w:tcBorders>
            <w:noWrap/>
            <w:hideMark/>
          </w:tcPr>
          <w:p w14:paraId="62609CB3" w14:textId="244EEABF" w:rsidR="005E2E82" w:rsidRPr="00B1499A" w:rsidRDefault="005E2E82" w:rsidP="005E2E82">
            <w:pPr>
              <w:pStyle w:val="TableText"/>
            </w:pPr>
          </w:p>
        </w:tc>
      </w:tr>
      <w:tr w:rsidR="00142871" w:rsidRPr="00B1499A" w14:paraId="29FBB5C7" w14:textId="77777777" w:rsidTr="007E2341">
        <w:trPr>
          <w:cantSplit/>
          <w:trHeight w:val="320"/>
        </w:trPr>
        <w:tc>
          <w:tcPr>
            <w:tcW w:w="709" w:type="dxa"/>
            <w:tcBorders>
              <w:top w:val="single" w:sz="12" w:space="0" w:color="auto"/>
              <w:left w:val="nil"/>
              <w:bottom w:val="single" w:sz="4" w:space="0" w:color="auto"/>
              <w:right w:val="nil"/>
            </w:tcBorders>
            <w:hideMark/>
          </w:tcPr>
          <w:p w14:paraId="562254E6" w14:textId="02907649" w:rsidR="00142871" w:rsidRPr="00B1499A" w:rsidRDefault="00142871" w:rsidP="00142871">
            <w:pPr>
              <w:pStyle w:val="TableText"/>
            </w:pPr>
            <w:r w:rsidRPr="00B1499A">
              <w:t>1</w:t>
            </w:r>
          </w:p>
        </w:tc>
        <w:tc>
          <w:tcPr>
            <w:tcW w:w="6521" w:type="dxa"/>
            <w:tcBorders>
              <w:top w:val="single" w:sz="12" w:space="0" w:color="auto"/>
              <w:left w:val="nil"/>
              <w:bottom w:val="single" w:sz="4" w:space="0" w:color="auto"/>
              <w:right w:val="nil"/>
            </w:tcBorders>
            <w:hideMark/>
          </w:tcPr>
          <w:p w14:paraId="7E1FE0A1" w14:textId="671C5E4E" w:rsidR="00142871" w:rsidRPr="00B1499A" w:rsidRDefault="00142871" w:rsidP="00142871">
            <w:pPr>
              <w:pStyle w:val="TableText"/>
              <w:rPr>
                <w:color w:val="000000"/>
              </w:rPr>
            </w:pPr>
            <w:r w:rsidRPr="57352DF8">
              <w:t>Was the duration of the exposure stated (</w:t>
            </w:r>
            <w:r>
              <w:t>e.g.</w:t>
            </w:r>
            <w:r w:rsidRPr="57352DF8">
              <w:t xml:space="preserve"> 48</w:t>
            </w:r>
            <w:r>
              <w:t xml:space="preserve"> h,</w:t>
            </w:r>
            <w:r w:rsidRPr="57352DF8">
              <w:t xml:space="preserve"> 96 h)?</w:t>
            </w:r>
          </w:p>
        </w:tc>
        <w:tc>
          <w:tcPr>
            <w:tcW w:w="1790" w:type="dxa"/>
            <w:tcBorders>
              <w:top w:val="single" w:sz="12" w:space="0" w:color="auto"/>
              <w:left w:val="nil"/>
              <w:bottom w:val="single" w:sz="4" w:space="0" w:color="auto"/>
              <w:right w:val="nil"/>
            </w:tcBorders>
            <w:hideMark/>
          </w:tcPr>
          <w:p w14:paraId="27F981F7" w14:textId="465AD4F7" w:rsidR="00142871" w:rsidRPr="00B1499A" w:rsidRDefault="00142871" w:rsidP="00142871">
            <w:pPr>
              <w:pStyle w:val="TableText"/>
            </w:pPr>
            <w:r w:rsidRPr="00B1499A">
              <w:t>Yes (3), No (0/FAIL)</w:t>
            </w:r>
          </w:p>
        </w:tc>
      </w:tr>
      <w:tr w:rsidR="00142871" w:rsidRPr="00B1499A" w14:paraId="51F28647" w14:textId="77777777" w:rsidTr="007E2341">
        <w:trPr>
          <w:cantSplit/>
          <w:trHeight w:val="1040"/>
        </w:trPr>
        <w:tc>
          <w:tcPr>
            <w:tcW w:w="709" w:type="dxa"/>
            <w:tcBorders>
              <w:top w:val="single" w:sz="4" w:space="0" w:color="auto"/>
              <w:left w:val="nil"/>
              <w:bottom w:val="single" w:sz="4" w:space="0" w:color="auto"/>
              <w:right w:val="nil"/>
            </w:tcBorders>
            <w:hideMark/>
          </w:tcPr>
          <w:p w14:paraId="38794CFD" w14:textId="25A8E086" w:rsidR="00142871" w:rsidRPr="00B1499A" w:rsidRDefault="00142871" w:rsidP="00142871">
            <w:pPr>
              <w:pStyle w:val="TableText"/>
            </w:pPr>
            <w:r w:rsidRPr="00B1499A">
              <w:t>2</w:t>
            </w:r>
          </w:p>
        </w:tc>
        <w:tc>
          <w:tcPr>
            <w:tcW w:w="6521" w:type="dxa"/>
            <w:tcBorders>
              <w:top w:val="single" w:sz="4" w:space="0" w:color="auto"/>
              <w:left w:val="nil"/>
              <w:bottom w:val="single" w:sz="4" w:space="0" w:color="auto"/>
              <w:right w:val="nil"/>
            </w:tcBorders>
            <w:hideMark/>
          </w:tcPr>
          <w:p w14:paraId="208B5A82" w14:textId="1E8B4776" w:rsidR="00142871" w:rsidRPr="00B1499A" w:rsidRDefault="00142871" w:rsidP="00142871">
            <w:pPr>
              <w:pStyle w:val="TableText"/>
              <w:rPr>
                <w:color w:val="000000"/>
              </w:rPr>
            </w:pPr>
            <w:r w:rsidRPr="57352DF8">
              <w:t>Was the biological endpoint (</w:t>
            </w:r>
            <w:r>
              <w:t>e.g.</w:t>
            </w:r>
            <w:r w:rsidRPr="57352DF8">
              <w:t xml:space="preserve"> immobilisation</w:t>
            </w:r>
            <w:r>
              <w:t>,</w:t>
            </w:r>
            <w:r w:rsidRPr="57352DF8">
              <w:t xml:space="preserve"> population growth) stated? Note: </w:t>
            </w:r>
            <w:r>
              <w:t>e</w:t>
            </w:r>
            <w:r w:rsidRPr="57352DF8">
              <w:t xml:space="preserve">nsure that the endpoint is considered to be ecologically relevant. </w:t>
            </w:r>
            <w:r w:rsidR="003E565F">
              <w:t>Do not use e</w:t>
            </w:r>
            <w:r w:rsidRPr="57352DF8">
              <w:t>ndpoints with no demonstrated ecological relevance to derive guideline values</w:t>
            </w:r>
            <w:r w:rsidR="00236FD0">
              <w:t>,</w:t>
            </w:r>
            <w:r w:rsidRPr="57352DF8">
              <w:t xml:space="preserve"> and </w:t>
            </w:r>
            <w:r w:rsidR="00EA1935">
              <w:t xml:space="preserve">they </w:t>
            </w:r>
            <w:r w:rsidRPr="57352DF8">
              <w:t xml:space="preserve">do not need </w:t>
            </w:r>
            <w:r w:rsidR="00EA1935">
              <w:t>their</w:t>
            </w:r>
            <w:r w:rsidRPr="57352DF8">
              <w:t xml:space="preserve"> quality assessed.</w:t>
            </w:r>
          </w:p>
        </w:tc>
        <w:tc>
          <w:tcPr>
            <w:tcW w:w="1790" w:type="dxa"/>
            <w:tcBorders>
              <w:top w:val="single" w:sz="4" w:space="0" w:color="auto"/>
              <w:left w:val="nil"/>
              <w:bottom w:val="single" w:sz="4" w:space="0" w:color="auto"/>
              <w:right w:val="nil"/>
            </w:tcBorders>
            <w:hideMark/>
          </w:tcPr>
          <w:p w14:paraId="1D1BE37A" w14:textId="60414013" w:rsidR="00142871" w:rsidRPr="00B1499A" w:rsidRDefault="00142871" w:rsidP="00142871">
            <w:pPr>
              <w:pStyle w:val="TableText"/>
            </w:pPr>
            <w:r w:rsidRPr="00B1499A">
              <w:t>Yes (3), No (0/FAIL)</w:t>
            </w:r>
          </w:p>
        </w:tc>
      </w:tr>
      <w:tr w:rsidR="00142871" w:rsidRPr="00B1499A" w14:paraId="2E4ED72F" w14:textId="77777777" w:rsidTr="007E2341">
        <w:trPr>
          <w:cantSplit/>
          <w:trHeight w:val="780"/>
        </w:trPr>
        <w:tc>
          <w:tcPr>
            <w:tcW w:w="709" w:type="dxa"/>
            <w:tcBorders>
              <w:top w:val="single" w:sz="4" w:space="0" w:color="auto"/>
              <w:left w:val="nil"/>
              <w:bottom w:val="single" w:sz="4" w:space="0" w:color="auto"/>
              <w:right w:val="nil"/>
            </w:tcBorders>
            <w:hideMark/>
          </w:tcPr>
          <w:p w14:paraId="60162C28" w14:textId="4243FA4F" w:rsidR="00142871" w:rsidRPr="00B1499A" w:rsidRDefault="00142871" w:rsidP="00142871">
            <w:pPr>
              <w:pStyle w:val="TableText"/>
            </w:pPr>
            <w:r w:rsidRPr="00B1499A">
              <w:t>3</w:t>
            </w:r>
          </w:p>
        </w:tc>
        <w:tc>
          <w:tcPr>
            <w:tcW w:w="6521" w:type="dxa"/>
            <w:tcBorders>
              <w:top w:val="single" w:sz="4" w:space="0" w:color="auto"/>
              <w:left w:val="nil"/>
              <w:bottom w:val="single" w:sz="4" w:space="0" w:color="auto"/>
              <w:right w:val="nil"/>
            </w:tcBorders>
            <w:hideMark/>
          </w:tcPr>
          <w:p w14:paraId="4DA8D69E" w14:textId="6D95EC66" w:rsidR="00142871" w:rsidRPr="00B1499A" w:rsidRDefault="00142871" w:rsidP="00142871">
            <w:pPr>
              <w:pStyle w:val="TableText"/>
              <w:rPr>
                <w:color w:val="000000"/>
              </w:rPr>
            </w:pPr>
            <w:r w:rsidRPr="57352DF8">
              <w:t xml:space="preserve">Was the measure of toxicity reported (e.g. NEC, ECx, NOEC) </w:t>
            </w:r>
            <w:r w:rsidRPr="00CA02BC">
              <w:rPr>
                <w:b/>
                <w:bCs/>
              </w:rPr>
              <w:t>and</w:t>
            </w:r>
            <w:r w:rsidRPr="57352DF8">
              <w:t xml:space="preserve"> its associated biological</w:t>
            </w:r>
            <w:r w:rsidR="00371EB5">
              <w:t>-</w:t>
            </w:r>
            <w:r w:rsidRPr="57352DF8">
              <w:t>effect size reported or quantifiable from the data (e.g. EC10, LC50, 15% effect at NOEC)?</w:t>
            </w:r>
          </w:p>
        </w:tc>
        <w:tc>
          <w:tcPr>
            <w:tcW w:w="1790" w:type="dxa"/>
            <w:tcBorders>
              <w:top w:val="single" w:sz="4" w:space="0" w:color="auto"/>
              <w:left w:val="nil"/>
              <w:bottom w:val="single" w:sz="4" w:space="0" w:color="auto"/>
              <w:right w:val="nil"/>
            </w:tcBorders>
            <w:hideMark/>
          </w:tcPr>
          <w:p w14:paraId="613E4E4D" w14:textId="2B9AF23A" w:rsidR="00142871" w:rsidRPr="00B1499A" w:rsidRDefault="00142871" w:rsidP="00142871">
            <w:pPr>
              <w:pStyle w:val="TableText"/>
            </w:pPr>
            <w:r w:rsidRPr="00B1499A">
              <w:t>Yes (3), No (0/FAIL)</w:t>
            </w:r>
          </w:p>
        </w:tc>
      </w:tr>
      <w:tr w:rsidR="00142871" w:rsidRPr="00B1499A" w14:paraId="63A67A28" w14:textId="77777777" w:rsidTr="007E2341">
        <w:trPr>
          <w:cantSplit/>
          <w:trHeight w:val="320"/>
        </w:trPr>
        <w:tc>
          <w:tcPr>
            <w:tcW w:w="709" w:type="dxa"/>
            <w:tcBorders>
              <w:top w:val="single" w:sz="4" w:space="0" w:color="auto"/>
              <w:left w:val="nil"/>
              <w:bottom w:val="single" w:sz="4" w:space="0" w:color="auto"/>
              <w:right w:val="nil"/>
            </w:tcBorders>
            <w:hideMark/>
          </w:tcPr>
          <w:p w14:paraId="21A1FF8A" w14:textId="724B6792" w:rsidR="00142871" w:rsidRPr="00B1499A" w:rsidRDefault="00142871" w:rsidP="00142871">
            <w:pPr>
              <w:pStyle w:val="TableText"/>
            </w:pPr>
            <w:r w:rsidRPr="00B1499A">
              <w:t>4</w:t>
            </w:r>
          </w:p>
        </w:tc>
        <w:tc>
          <w:tcPr>
            <w:tcW w:w="6521" w:type="dxa"/>
            <w:tcBorders>
              <w:top w:val="single" w:sz="4" w:space="0" w:color="auto"/>
              <w:left w:val="nil"/>
              <w:bottom w:val="single" w:sz="4" w:space="0" w:color="auto"/>
              <w:right w:val="nil"/>
            </w:tcBorders>
            <w:hideMark/>
          </w:tcPr>
          <w:p w14:paraId="5ED52653" w14:textId="1B40E782" w:rsidR="00142871" w:rsidRPr="00B1499A" w:rsidRDefault="00142871" w:rsidP="00142871">
            <w:pPr>
              <w:pStyle w:val="TableText"/>
              <w:rPr>
                <w:color w:val="000000"/>
              </w:rPr>
            </w:pPr>
            <w:r w:rsidRPr="57352DF8">
              <w:t>Were appropriate controls (</w:t>
            </w:r>
            <w:r>
              <w:t>e.g.</w:t>
            </w:r>
            <w:r w:rsidRPr="57352DF8">
              <w:t xml:space="preserve"> no-toxicant control</w:t>
            </w:r>
            <w:r>
              <w:t>,</w:t>
            </w:r>
            <w:r w:rsidRPr="57352DF8">
              <w:t xml:space="preserve"> solvent control) used?</w:t>
            </w:r>
          </w:p>
        </w:tc>
        <w:tc>
          <w:tcPr>
            <w:tcW w:w="1790" w:type="dxa"/>
            <w:tcBorders>
              <w:top w:val="single" w:sz="4" w:space="0" w:color="auto"/>
              <w:left w:val="nil"/>
              <w:bottom w:val="single" w:sz="4" w:space="0" w:color="auto"/>
              <w:right w:val="nil"/>
            </w:tcBorders>
            <w:hideMark/>
          </w:tcPr>
          <w:p w14:paraId="322C2C26" w14:textId="765C367B" w:rsidR="00142871" w:rsidRPr="00B1499A" w:rsidRDefault="00142871" w:rsidP="00142871">
            <w:pPr>
              <w:pStyle w:val="TableText"/>
            </w:pPr>
            <w:r w:rsidRPr="00B1499A">
              <w:t>Yes (3), No (0/FAIL)</w:t>
            </w:r>
            <w:r w:rsidRPr="00F67D15">
              <w:rPr>
                <w:vertAlign w:val="superscript"/>
              </w:rPr>
              <w:t>b</w:t>
            </w:r>
          </w:p>
        </w:tc>
      </w:tr>
      <w:tr w:rsidR="00142871" w:rsidRPr="00A22B40" w14:paraId="11E500FD" w14:textId="77777777" w:rsidTr="007E2341">
        <w:trPr>
          <w:cantSplit/>
          <w:trHeight w:val="520"/>
        </w:trPr>
        <w:tc>
          <w:tcPr>
            <w:tcW w:w="709" w:type="dxa"/>
            <w:tcBorders>
              <w:top w:val="single" w:sz="4" w:space="0" w:color="auto"/>
              <w:left w:val="nil"/>
              <w:bottom w:val="single" w:sz="4" w:space="0" w:color="auto"/>
              <w:right w:val="nil"/>
            </w:tcBorders>
            <w:hideMark/>
          </w:tcPr>
          <w:p w14:paraId="04A92DE5" w14:textId="4AA2F608" w:rsidR="00142871" w:rsidRPr="00B1499A" w:rsidRDefault="00142871" w:rsidP="00142871">
            <w:pPr>
              <w:pStyle w:val="TableText"/>
            </w:pPr>
            <w:r w:rsidRPr="00B1499A">
              <w:t>5</w:t>
            </w:r>
          </w:p>
        </w:tc>
        <w:tc>
          <w:tcPr>
            <w:tcW w:w="6521" w:type="dxa"/>
            <w:tcBorders>
              <w:top w:val="single" w:sz="4" w:space="0" w:color="auto"/>
              <w:left w:val="nil"/>
              <w:bottom w:val="single" w:sz="4" w:space="0" w:color="auto"/>
              <w:right w:val="nil"/>
            </w:tcBorders>
            <w:hideMark/>
          </w:tcPr>
          <w:p w14:paraId="69526A1A" w14:textId="68C57994" w:rsidR="00142871" w:rsidRPr="00B1499A" w:rsidRDefault="00142871" w:rsidP="00142871">
            <w:pPr>
              <w:pStyle w:val="TableText"/>
            </w:pPr>
            <w:r w:rsidRPr="57352DF8">
              <w:t>How may treatment concentrations were used (in addition to the control)?</w:t>
            </w:r>
          </w:p>
        </w:tc>
        <w:tc>
          <w:tcPr>
            <w:tcW w:w="1790" w:type="dxa"/>
            <w:tcBorders>
              <w:top w:val="single" w:sz="4" w:space="0" w:color="auto"/>
              <w:left w:val="nil"/>
              <w:bottom w:val="single" w:sz="4" w:space="0" w:color="auto"/>
              <w:right w:val="nil"/>
            </w:tcBorders>
            <w:hideMark/>
          </w:tcPr>
          <w:p w14:paraId="19BD6554" w14:textId="27C472A7" w:rsidR="00142871" w:rsidRPr="00B1499A" w:rsidRDefault="00142871" w:rsidP="00142871">
            <w:pPr>
              <w:pStyle w:val="TableText"/>
            </w:pPr>
            <w:r w:rsidRPr="00B1499A">
              <w:t>≥</w:t>
            </w:r>
            <w:r>
              <w:t> </w:t>
            </w:r>
            <w:r w:rsidRPr="00B1499A">
              <w:t>9 (3), 6</w:t>
            </w:r>
            <w:r>
              <w:t>–</w:t>
            </w:r>
            <w:r w:rsidRPr="00B1499A">
              <w:t>8 (2), 3</w:t>
            </w:r>
            <w:r>
              <w:t>–</w:t>
            </w:r>
            <w:r w:rsidRPr="00B1499A">
              <w:t>5 (1), &lt;</w:t>
            </w:r>
            <w:r>
              <w:t> </w:t>
            </w:r>
            <w:r w:rsidRPr="00B1499A">
              <w:t>3 (0/FAIL)</w:t>
            </w:r>
            <w:r w:rsidRPr="00F67D15">
              <w:rPr>
                <w:color w:val="000000"/>
                <w:vertAlign w:val="superscript"/>
              </w:rPr>
              <w:t>b</w:t>
            </w:r>
          </w:p>
        </w:tc>
      </w:tr>
      <w:tr w:rsidR="00142871" w:rsidRPr="00A22B40" w14:paraId="1E44B796" w14:textId="77777777" w:rsidTr="007E2341">
        <w:trPr>
          <w:cantSplit/>
          <w:trHeight w:val="520"/>
        </w:trPr>
        <w:tc>
          <w:tcPr>
            <w:tcW w:w="709" w:type="dxa"/>
            <w:tcBorders>
              <w:top w:val="single" w:sz="4" w:space="0" w:color="auto"/>
              <w:left w:val="nil"/>
              <w:bottom w:val="single" w:sz="4" w:space="0" w:color="auto"/>
              <w:right w:val="nil"/>
            </w:tcBorders>
            <w:hideMark/>
          </w:tcPr>
          <w:p w14:paraId="1963A99A" w14:textId="366F3BAC" w:rsidR="00142871" w:rsidRPr="00B1499A" w:rsidRDefault="00142871" w:rsidP="00142871">
            <w:pPr>
              <w:pStyle w:val="TableText"/>
            </w:pPr>
            <w:r w:rsidRPr="00B1499A">
              <w:t>6</w:t>
            </w:r>
          </w:p>
        </w:tc>
        <w:tc>
          <w:tcPr>
            <w:tcW w:w="6521" w:type="dxa"/>
            <w:tcBorders>
              <w:top w:val="single" w:sz="4" w:space="0" w:color="auto"/>
              <w:left w:val="nil"/>
              <w:bottom w:val="single" w:sz="4" w:space="0" w:color="auto"/>
              <w:right w:val="nil"/>
            </w:tcBorders>
            <w:hideMark/>
          </w:tcPr>
          <w:p w14:paraId="1F6E3B8F" w14:textId="7903DDC4" w:rsidR="00142871" w:rsidRPr="00B1499A" w:rsidRDefault="00142871" w:rsidP="00142871">
            <w:pPr>
              <w:pStyle w:val="TableText"/>
            </w:pPr>
            <w:r w:rsidRPr="00B1499A">
              <w:t xml:space="preserve">What was the test concentration spacing? Note: </w:t>
            </w:r>
            <w:r>
              <w:t>a</w:t>
            </w:r>
            <w:r w:rsidRPr="00B1499A">
              <w:t xml:space="preserve"> spacing of &lt;</w:t>
            </w:r>
            <w:r>
              <w:t> </w:t>
            </w:r>
            <w:r w:rsidRPr="00B1499A">
              <w:t>3.2 is highly preferred, while a spacing of ≥</w:t>
            </w:r>
            <w:r>
              <w:t> </w:t>
            </w:r>
            <w:r w:rsidRPr="00B1499A">
              <w:t>10 is too great</w:t>
            </w:r>
            <w:r>
              <w:t>.</w:t>
            </w:r>
          </w:p>
        </w:tc>
        <w:tc>
          <w:tcPr>
            <w:tcW w:w="1790" w:type="dxa"/>
            <w:tcBorders>
              <w:top w:val="single" w:sz="4" w:space="0" w:color="auto"/>
              <w:left w:val="nil"/>
              <w:bottom w:val="single" w:sz="4" w:space="0" w:color="auto"/>
              <w:right w:val="nil"/>
            </w:tcBorders>
            <w:hideMark/>
          </w:tcPr>
          <w:p w14:paraId="62EFA2C8" w14:textId="7275B951" w:rsidR="00142871" w:rsidRPr="00B1499A" w:rsidRDefault="00142871" w:rsidP="00142871">
            <w:pPr>
              <w:pStyle w:val="TableText"/>
            </w:pPr>
            <w:r w:rsidRPr="00B1499A">
              <w:t>≤</w:t>
            </w:r>
            <w:r>
              <w:t> </w:t>
            </w:r>
            <w:r w:rsidRPr="00B1499A">
              <w:t>3.2 (3), 3.3</w:t>
            </w:r>
            <w:r>
              <w:t>–</w:t>
            </w:r>
            <w:r w:rsidRPr="00B1499A">
              <w:t>9 (1), ≥</w:t>
            </w:r>
            <w:r>
              <w:t> </w:t>
            </w:r>
            <w:r w:rsidRPr="00B1499A">
              <w:t>10 (0/FAIL)</w:t>
            </w:r>
            <w:r w:rsidRPr="00F67D15">
              <w:rPr>
                <w:color w:val="000000"/>
                <w:vertAlign w:val="superscript"/>
              </w:rPr>
              <w:t>b</w:t>
            </w:r>
          </w:p>
        </w:tc>
      </w:tr>
      <w:tr w:rsidR="00142871" w:rsidRPr="00A22B40" w14:paraId="0428BDFF" w14:textId="77777777" w:rsidTr="007E2341">
        <w:trPr>
          <w:cantSplit/>
          <w:trHeight w:val="780"/>
        </w:trPr>
        <w:tc>
          <w:tcPr>
            <w:tcW w:w="709" w:type="dxa"/>
            <w:tcBorders>
              <w:top w:val="single" w:sz="4" w:space="0" w:color="auto"/>
              <w:left w:val="nil"/>
              <w:bottom w:val="single" w:sz="4" w:space="0" w:color="auto"/>
              <w:right w:val="nil"/>
            </w:tcBorders>
            <w:hideMark/>
          </w:tcPr>
          <w:p w14:paraId="4D43C2AB" w14:textId="29535B7A" w:rsidR="00142871" w:rsidRPr="00B1499A" w:rsidRDefault="00142871" w:rsidP="00142871">
            <w:pPr>
              <w:pStyle w:val="TableText"/>
            </w:pPr>
            <w:r w:rsidRPr="00B1499A">
              <w:t>7</w:t>
            </w:r>
          </w:p>
        </w:tc>
        <w:tc>
          <w:tcPr>
            <w:tcW w:w="6521" w:type="dxa"/>
            <w:tcBorders>
              <w:top w:val="single" w:sz="4" w:space="0" w:color="auto"/>
              <w:left w:val="nil"/>
              <w:bottom w:val="single" w:sz="4" w:space="0" w:color="auto"/>
              <w:right w:val="nil"/>
            </w:tcBorders>
            <w:hideMark/>
          </w:tcPr>
          <w:p w14:paraId="3B8FF768" w14:textId="38DAE3BE" w:rsidR="00142871" w:rsidRPr="00B1499A" w:rsidRDefault="00142871" w:rsidP="00142871">
            <w:pPr>
              <w:pStyle w:val="TableText"/>
            </w:pPr>
            <w:r w:rsidRPr="00B1499A">
              <w:t xml:space="preserve">Was each control and chemical concentration at least duplicated? Note: for concentration-response modelling, it is also </w:t>
            </w:r>
            <w:r w:rsidRPr="00A22B40">
              <w:t>acceptable</w:t>
            </w:r>
            <w:r w:rsidRPr="00B1499A">
              <w:t xml:space="preserve"> to have many concentrations (e.g</w:t>
            </w:r>
            <w:r>
              <w:t>.</w:t>
            </w:r>
            <w:r w:rsidRPr="00B1499A">
              <w:t xml:space="preserve"> &gt;</w:t>
            </w:r>
            <w:r>
              <w:t> </w:t>
            </w:r>
            <w:r w:rsidRPr="00B1499A">
              <w:t>15) without replication (assuming the controls are replicated).</w:t>
            </w:r>
          </w:p>
        </w:tc>
        <w:tc>
          <w:tcPr>
            <w:tcW w:w="1790" w:type="dxa"/>
            <w:tcBorders>
              <w:top w:val="single" w:sz="4" w:space="0" w:color="auto"/>
              <w:left w:val="nil"/>
              <w:bottom w:val="single" w:sz="4" w:space="0" w:color="auto"/>
              <w:right w:val="nil"/>
            </w:tcBorders>
            <w:hideMark/>
          </w:tcPr>
          <w:p w14:paraId="1D133018" w14:textId="405FB2A3" w:rsidR="00142871" w:rsidRPr="00B1499A" w:rsidRDefault="00142871" w:rsidP="00142871">
            <w:pPr>
              <w:pStyle w:val="TableText"/>
            </w:pPr>
            <w:r w:rsidRPr="00B1499A">
              <w:t>Yes (3), No (0/FAIL)</w:t>
            </w:r>
          </w:p>
        </w:tc>
      </w:tr>
      <w:tr w:rsidR="00142871" w:rsidRPr="00B1499A" w14:paraId="57A2425F" w14:textId="77777777" w:rsidTr="007E2341">
        <w:trPr>
          <w:cantSplit/>
          <w:trHeight w:val="320"/>
        </w:trPr>
        <w:tc>
          <w:tcPr>
            <w:tcW w:w="709" w:type="dxa"/>
            <w:tcBorders>
              <w:top w:val="single" w:sz="4" w:space="0" w:color="auto"/>
              <w:left w:val="nil"/>
              <w:bottom w:val="single" w:sz="4" w:space="0" w:color="auto"/>
              <w:right w:val="nil"/>
            </w:tcBorders>
            <w:hideMark/>
          </w:tcPr>
          <w:p w14:paraId="2A0D98BC" w14:textId="3254DD0D" w:rsidR="00142871" w:rsidRPr="00B1499A" w:rsidRDefault="00142871" w:rsidP="00142871">
            <w:pPr>
              <w:pStyle w:val="TableText"/>
            </w:pPr>
            <w:r w:rsidRPr="00B1499A">
              <w:t>8</w:t>
            </w:r>
          </w:p>
        </w:tc>
        <w:tc>
          <w:tcPr>
            <w:tcW w:w="6521" w:type="dxa"/>
            <w:tcBorders>
              <w:top w:val="single" w:sz="4" w:space="0" w:color="auto"/>
              <w:left w:val="nil"/>
              <w:bottom w:val="single" w:sz="4" w:space="0" w:color="auto"/>
              <w:right w:val="nil"/>
            </w:tcBorders>
            <w:hideMark/>
          </w:tcPr>
          <w:p w14:paraId="66A92781" w14:textId="141B3ABD" w:rsidR="00142871" w:rsidRPr="00B1499A" w:rsidRDefault="00142871" w:rsidP="00142871">
            <w:pPr>
              <w:pStyle w:val="TableText"/>
              <w:rPr>
                <w:color w:val="000000"/>
              </w:rPr>
            </w:pPr>
            <w:r w:rsidRPr="57352DF8">
              <w:t>Were the characteristics of the test organism (</w:t>
            </w:r>
            <w:r>
              <w:t>e.g.</w:t>
            </w:r>
            <w:r w:rsidRPr="57352DF8">
              <w:t xml:space="preserve"> length, mass, age) stated?</w:t>
            </w:r>
          </w:p>
        </w:tc>
        <w:tc>
          <w:tcPr>
            <w:tcW w:w="1790" w:type="dxa"/>
            <w:tcBorders>
              <w:top w:val="single" w:sz="4" w:space="0" w:color="auto"/>
              <w:left w:val="nil"/>
              <w:bottom w:val="single" w:sz="4" w:space="0" w:color="auto"/>
              <w:right w:val="nil"/>
            </w:tcBorders>
            <w:hideMark/>
          </w:tcPr>
          <w:p w14:paraId="025D7D72" w14:textId="73A91D9A" w:rsidR="00142871" w:rsidRPr="00B1499A" w:rsidRDefault="00142871" w:rsidP="00142871">
            <w:pPr>
              <w:pStyle w:val="TableText"/>
            </w:pPr>
            <w:r w:rsidRPr="00B1499A">
              <w:t>Yes (3), No (0)</w:t>
            </w:r>
          </w:p>
        </w:tc>
      </w:tr>
      <w:tr w:rsidR="00142871" w:rsidRPr="00A22B40" w14:paraId="6CFBD773" w14:textId="77777777" w:rsidTr="007E2341">
        <w:trPr>
          <w:cantSplit/>
          <w:trHeight w:val="520"/>
        </w:trPr>
        <w:tc>
          <w:tcPr>
            <w:tcW w:w="709" w:type="dxa"/>
            <w:tcBorders>
              <w:top w:val="single" w:sz="4" w:space="0" w:color="auto"/>
              <w:left w:val="nil"/>
              <w:bottom w:val="single" w:sz="4" w:space="0" w:color="auto"/>
              <w:right w:val="nil"/>
            </w:tcBorders>
            <w:hideMark/>
          </w:tcPr>
          <w:p w14:paraId="06D92D0E" w14:textId="39E19EF2" w:rsidR="00142871" w:rsidRPr="00B1499A" w:rsidRDefault="00142871" w:rsidP="00142871">
            <w:pPr>
              <w:pStyle w:val="TableText"/>
            </w:pPr>
            <w:r w:rsidRPr="00B1499A">
              <w:t>9</w:t>
            </w:r>
          </w:p>
        </w:tc>
        <w:tc>
          <w:tcPr>
            <w:tcW w:w="6521" w:type="dxa"/>
            <w:tcBorders>
              <w:top w:val="single" w:sz="4" w:space="0" w:color="auto"/>
              <w:left w:val="nil"/>
              <w:bottom w:val="single" w:sz="4" w:space="0" w:color="auto"/>
              <w:right w:val="nil"/>
            </w:tcBorders>
            <w:hideMark/>
          </w:tcPr>
          <w:p w14:paraId="54A223D6" w14:textId="1F9B8973" w:rsidR="00142871" w:rsidRPr="00B1499A" w:rsidRDefault="00142871" w:rsidP="00142871">
            <w:pPr>
              <w:pStyle w:val="TableText"/>
            </w:pPr>
            <w:r w:rsidRPr="57352DF8">
              <w:t>Was the type of test medium used stated (e.g. synthetic or natural water? If synthetic, to what recipe? If natural, what source? Filtered or unfiltered?)</w:t>
            </w:r>
            <w:r>
              <w:t>?</w:t>
            </w:r>
          </w:p>
        </w:tc>
        <w:tc>
          <w:tcPr>
            <w:tcW w:w="1790" w:type="dxa"/>
            <w:tcBorders>
              <w:top w:val="single" w:sz="4" w:space="0" w:color="auto"/>
              <w:left w:val="nil"/>
              <w:bottom w:val="single" w:sz="4" w:space="0" w:color="auto"/>
              <w:right w:val="nil"/>
            </w:tcBorders>
            <w:hideMark/>
          </w:tcPr>
          <w:p w14:paraId="6B45B9F5" w14:textId="2CF4CAF5" w:rsidR="00142871" w:rsidRPr="00B1499A" w:rsidRDefault="00142871" w:rsidP="00142871">
            <w:pPr>
              <w:pStyle w:val="TableText"/>
            </w:pPr>
            <w:r w:rsidRPr="00B1499A">
              <w:t>Yes (3), No (0)</w:t>
            </w:r>
          </w:p>
        </w:tc>
      </w:tr>
      <w:tr w:rsidR="00142871" w:rsidRPr="00B1499A" w14:paraId="5166D9A5" w14:textId="77777777" w:rsidTr="007E2341">
        <w:trPr>
          <w:cantSplit/>
          <w:trHeight w:val="320"/>
        </w:trPr>
        <w:tc>
          <w:tcPr>
            <w:tcW w:w="709" w:type="dxa"/>
            <w:tcBorders>
              <w:top w:val="single" w:sz="4" w:space="0" w:color="auto"/>
              <w:left w:val="nil"/>
              <w:bottom w:val="single" w:sz="4" w:space="0" w:color="auto"/>
              <w:right w:val="nil"/>
            </w:tcBorders>
            <w:hideMark/>
          </w:tcPr>
          <w:p w14:paraId="148542C1" w14:textId="461AEC19" w:rsidR="00142871" w:rsidRPr="00B1499A" w:rsidRDefault="00142871" w:rsidP="00142871">
            <w:pPr>
              <w:pStyle w:val="TableText"/>
            </w:pPr>
            <w:r w:rsidRPr="00B1499A">
              <w:t>10</w:t>
            </w:r>
          </w:p>
        </w:tc>
        <w:tc>
          <w:tcPr>
            <w:tcW w:w="6521" w:type="dxa"/>
            <w:tcBorders>
              <w:top w:val="single" w:sz="4" w:space="0" w:color="auto"/>
              <w:left w:val="nil"/>
              <w:bottom w:val="single" w:sz="4" w:space="0" w:color="auto"/>
              <w:right w:val="nil"/>
            </w:tcBorders>
            <w:hideMark/>
          </w:tcPr>
          <w:p w14:paraId="575E8FD9" w14:textId="667DC1D4" w:rsidR="00142871" w:rsidRPr="00B1499A" w:rsidRDefault="00142871" w:rsidP="00142871">
            <w:pPr>
              <w:pStyle w:val="TableText"/>
              <w:rPr>
                <w:color w:val="000000"/>
              </w:rPr>
            </w:pPr>
            <w:r w:rsidRPr="57352DF8">
              <w:t>Was the type of exposure (</w:t>
            </w:r>
            <w:r>
              <w:t>e.g.</w:t>
            </w:r>
            <w:r w:rsidRPr="57352DF8">
              <w:t xml:space="preserve"> static, flow-through) stated?</w:t>
            </w:r>
          </w:p>
        </w:tc>
        <w:tc>
          <w:tcPr>
            <w:tcW w:w="1790" w:type="dxa"/>
            <w:tcBorders>
              <w:top w:val="single" w:sz="4" w:space="0" w:color="auto"/>
              <w:left w:val="nil"/>
              <w:bottom w:val="single" w:sz="4" w:space="0" w:color="auto"/>
              <w:right w:val="nil"/>
            </w:tcBorders>
            <w:hideMark/>
          </w:tcPr>
          <w:p w14:paraId="61C15857" w14:textId="0181E166" w:rsidR="00142871" w:rsidRPr="00B1499A" w:rsidRDefault="00142871" w:rsidP="00142871">
            <w:pPr>
              <w:pStyle w:val="TableText"/>
            </w:pPr>
            <w:r w:rsidRPr="00B1499A">
              <w:t>Yes (3), No (0)</w:t>
            </w:r>
          </w:p>
        </w:tc>
      </w:tr>
      <w:tr w:rsidR="00142871" w:rsidRPr="00B1499A" w14:paraId="306F1009" w14:textId="77777777" w:rsidTr="007E2341">
        <w:trPr>
          <w:cantSplit/>
          <w:trHeight w:val="320"/>
        </w:trPr>
        <w:tc>
          <w:tcPr>
            <w:tcW w:w="709" w:type="dxa"/>
            <w:tcBorders>
              <w:top w:val="single" w:sz="4" w:space="0" w:color="auto"/>
              <w:left w:val="nil"/>
              <w:bottom w:val="single" w:sz="12" w:space="0" w:color="auto"/>
              <w:right w:val="nil"/>
            </w:tcBorders>
            <w:hideMark/>
          </w:tcPr>
          <w:p w14:paraId="71B87930" w14:textId="77777777" w:rsidR="00142871" w:rsidRPr="00B1499A" w:rsidRDefault="00142871" w:rsidP="00142871">
            <w:pPr>
              <w:pStyle w:val="TableText"/>
            </w:pPr>
          </w:p>
        </w:tc>
        <w:tc>
          <w:tcPr>
            <w:tcW w:w="8311" w:type="dxa"/>
            <w:gridSpan w:val="2"/>
            <w:tcBorders>
              <w:top w:val="single" w:sz="4" w:space="0" w:color="auto"/>
              <w:left w:val="nil"/>
              <w:bottom w:val="single" w:sz="12" w:space="0" w:color="auto"/>
              <w:right w:val="nil"/>
            </w:tcBorders>
            <w:noWrap/>
            <w:hideMark/>
          </w:tcPr>
          <w:p w14:paraId="4D0E1601" w14:textId="54DE1359" w:rsidR="00142871" w:rsidRPr="00B1499A" w:rsidRDefault="00142871" w:rsidP="00142871">
            <w:pPr>
              <w:pStyle w:val="TableText"/>
              <w:rPr>
                <w:rFonts w:ascii="Aptos Narrow" w:hAnsi="Aptos Narrow" w:cs="Times New Roman"/>
                <w:color w:val="000000"/>
              </w:rPr>
            </w:pPr>
            <w:r w:rsidRPr="00DF2AF9">
              <w:t>M</w:t>
            </w:r>
            <w:r>
              <w:t>aximum sub-total for Part A = 30</w:t>
            </w:r>
          </w:p>
        </w:tc>
      </w:tr>
      <w:tr w:rsidR="005E2E82" w:rsidRPr="00997AE6" w14:paraId="04BF62E1" w14:textId="77777777" w:rsidTr="001220EF">
        <w:trPr>
          <w:cantSplit/>
          <w:trHeight w:val="320"/>
        </w:trPr>
        <w:tc>
          <w:tcPr>
            <w:tcW w:w="7230" w:type="dxa"/>
            <w:gridSpan w:val="2"/>
            <w:tcBorders>
              <w:top w:val="single" w:sz="12" w:space="0" w:color="auto"/>
              <w:left w:val="nil"/>
              <w:bottom w:val="single" w:sz="12" w:space="0" w:color="auto"/>
              <w:right w:val="nil"/>
            </w:tcBorders>
            <w:noWrap/>
            <w:hideMark/>
          </w:tcPr>
          <w:p w14:paraId="2FC703C9" w14:textId="669928C7" w:rsidR="005E2E82" w:rsidRPr="00997AE6" w:rsidRDefault="005E2E82" w:rsidP="005E2E82">
            <w:pPr>
              <w:pStyle w:val="TableText"/>
            </w:pPr>
            <w:r w:rsidRPr="009D6B76">
              <w:rPr>
                <w:b/>
                <w:bCs/>
              </w:rPr>
              <w:t>B. Test performance/results</w:t>
            </w:r>
          </w:p>
        </w:tc>
        <w:tc>
          <w:tcPr>
            <w:tcW w:w="1790" w:type="dxa"/>
            <w:tcBorders>
              <w:top w:val="single" w:sz="12" w:space="0" w:color="auto"/>
              <w:left w:val="nil"/>
              <w:bottom w:val="single" w:sz="12" w:space="0" w:color="auto"/>
              <w:right w:val="nil"/>
            </w:tcBorders>
            <w:hideMark/>
          </w:tcPr>
          <w:p w14:paraId="00E8F9AF" w14:textId="1CBE4644" w:rsidR="005E2E82" w:rsidRPr="00997AE6" w:rsidRDefault="005E2E82" w:rsidP="005E2E82">
            <w:pPr>
              <w:pStyle w:val="TableText"/>
            </w:pPr>
          </w:p>
        </w:tc>
      </w:tr>
      <w:tr w:rsidR="00142871" w:rsidRPr="00997AE6" w14:paraId="6949C585" w14:textId="77777777" w:rsidTr="007E2341">
        <w:trPr>
          <w:cantSplit/>
          <w:trHeight w:val="520"/>
        </w:trPr>
        <w:tc>
          <w:tcPr>
            <w:tcW w:w="709" w:type="dxa"/>
            <w:tcBorders>
              <w:top w:val="single" w:sz="12" w:space="0" w:color="auto"/>
              <w:left w:val="nil"/>
              <w:bottom w:val="single" w:sz="4" w:space="0" w:color="auto"/>
              <w:right w:val="nil"/>
            </w:tcBorders>
            <w:hideMark/>
          </w:tcPr>
          <w:p w14:paraId="3D40FCF9" w14:textId="4A9A6EBA" w:rsidR="00142871" w:rsidRPr="00997AE6" w:rsidRDefault="00142871" w:rsidP="00142871">
            <w:pPr>
              <w:pStyle w:val="TableText"/>
            </w:pPr>
            <w:r w:rsidRPr="00997AE6">
              <w:t>11</w:t>
            </w:r>
          </w:p>
        </w:tc>
        <w:tc>
          <w:tcPr>
            <w:tcW w:w="6521" w:type="dxa"/>
            <w:tcBorders>
              <w:top w:val="single" w:sz="12" w:space="0" w:color="auto"/>
              <w:left w:val="nil"/>
              <w:bottom w:val="single" w:sz="4" w:space="0" w:color="auto"/>
              <w:right w:val="nil"/>
            </w:tcBorders>
            <w:hideMark/>
          </w:tcPr>
          <w:p w14:paraId="0135BA62" w14:textId="27E223C1" w:rsidR="00142871" w:rsidRPr="00997AE6" w:rsidRDefault="00142871" w:rsidP="00142871">
            <w:pPr>
              <w:pStyle w:val="TableText"/>
            </w:pPr>
            <w:r w:rsidRPr="57352DF8">
              <w:t>Were analytical reagent</w:t>
            </w:r>
            <w:r>
              <w:t>-</w:t>
            </w:r>
            <w:r w:rsidRPr="57352DF8">
              <w:t>grade chemicals or the highest possible purity chemicals used for the experiment?</w:t>
            </w:r>
          </w:p>
        </w:tc>
        <w:tc>
          <w:tcPr>
            <w:tcW w:w="1790" w:type="dxa"/>
            <w:tcBorders>
              <w:top w:val="single" w:sz="12" w:space="0" w:color="auto"/>
              <w:left w:val="nil"/>
              <w:bottom w:val="single" w:sz="4" w:space="0" w:color="auto"/>
              <w:right w:val="nil"/>
            </w:tcBorders>
            <w:hideMark/>
          </w:tcPr>
          <w:p w14:paraId="053BFC46" w14:textId="5F726996" w:rsidR="00142871" w:rsidRPr="00997AE6" w:rsidRDefault="00142871" w:rsidP="00142871">
            <w:pPr>
              <w:pStyle w:val="TableText"/>
            </w:pPr>
            <w:r w:rsidRPr="57352DF8">
              <w:t>Yes (3), No/</w:t>
            </w:r>
            <w:r>
              <w:t>n</w:t>
            </w:r>
            <w:r w:rsidRPr="57352DF8">
              <w:t>ot stated (0)</w:t>
            </w:r>
          </w:p>
        </w:tc>
      </w:tr>
      <w:tr w:rsidR="00142871" w:rsidRPr="00997AE6" w14:paraId="7D2EEBAE" w14:textId="77777777" w:rsidTr="007E2341">
        <w:trPr>
          <w:cantSplit/>
          <w:trHeight w:val="780"/>
        </w:trPr>
        <w:tc>
          <w:tcPr>
            <w:tcW w:w="709" w:type="dxa"/>
            <w:tcBorders>
              <w:top w:val="single" w:sz="4" w:space="0" w:color="auto"/>
              <w:left w:val="nil"/>
              <w:bottom w:val="single" w:sz="4" w:space="0" w:color="auto"/>
              <w:right w:val="nil"/>
            </w:tcBorders>
            <w:hideMark/>
          </w:tcPr>
          <w:p w14:paraId="4E2B7E95" w14:textId="434978E2" w:rsidR="00142871" w:rsidRPr="00997AE6" w:rsidRDefault="00142871" w:rsidP="00142871">
            <w:pPr>
              <w:pStyle w:val="TableText"/>
            </w:pPr>
            <w:r w:rsidRPr="00997AE6">
              <w:t>12 (A)</w:t>
            </w:r>
          </w:p>
        </w:tc>
        <w:tc>
          <w:tcPr>
            <w:tcW w:w="6521" w:type="dxa"/>
            <w:tcBorders>
              <w:top w:val="single" w:sz="4" w:space="0" w:color="auto"/>
              <w:left w:val="nil"/>
              <w:bottom w:val="single" w:sz="4" w:space="0" w:color="auto"/>
              <w:right w:val="nil"/>
            </w:tcBorders>
            <w:hideMark/>
          </w:tcPr>
          <w:p w14:paraId="75A3F4A4" w14:textId="447F63C0" w:rsidR="00142871" w:rsidRPr="00997AE6" w:rsidRDefault="00142871" w:rsidP="00142871">
            <w:pPr>
              <w:pStyle w:val="TableText"/>
            </w:pPr>
            <w:r w:rsidRPr="57352DF8">
              <w:t>Were test solutions, blanks and/or controls tested for common contamination (e.g. elevated naturally</w:t>
            </w:r>
            <w:r>
              <w:t xml:space="preserve"> </w:t>
            </w:r>
            <w:r w:rsidRPr="57352DF8">
              <w:t>occurring substances</w:t>
            </w:r>
            <w:r>
              <w:t>,</w:t>
            </w:r>
            <w:r w:rsidRPr="57352DF8">
              <w:t xml:space="preserve"> such as nutrients, metals, metalloids) or other suspect contaminants?</w:t>
            </w:r>
          </w:p>
        </w:tc>
        <w:tc>
          <w:tcPr>
            <w:tcW w:w="1790" w:type="dxa"/>
            <w:tcBorders>
              <w:top w:val="single" w:sz="4" w:space="0" w:color="auto"/>
              <w:left w:val="nil"/>
              <w:bottom w:val="single" w:sz="4" w:space="0" w:color="auto"/>
              <w:right w:val="nil"/>
            </w:tcBorders>
            <w:hideMark/>
          </w:tcPr>
          <w:p w14:paraId="2DED219A" w14:textId="6755B8C0" w:rsidR="00142871" w:rsidRPr="00997AE6" w:rsidRDefault="00142871" w:rsidP="00142871">
            <w:pPr>
              <w:pStyle w:val="TableText"/>
            </w:pPr>
            <w:r w:rsidRPr="57352DF8">
              <w:t>Yes (2), No/</w:t>
            </w:r>
            <w:r>
              <w:t>n</w:t>
            </w:r>
            <w:r w:rsidRPr="57352DF8">
              <w:t>ot stated (0)</w:t>
            </w:r>
          </w:p>
        </w:tc>
      </w:tr>
      <w:tr w:rsidR="00142871" w:rsidRPr="00997AE6" w14:paraId="1942F43A" w14:textId="77777777" w:rsidTr="007E2341">
        <w:trPr>
          <w:cantSplit/>
          <w:trHeight w:val="320"/>
        </w:trPr>
        <w:tc>
          <w:tcPr>
            <w:tcW w:w="709" w:type="dxa"/>
            <w:tcBorders>
              <w:top w:val="single" w:sz="4" w:space="0" w:color="auto"/>
              <w:left w:val="nil"/>
              <w:bottom w:val="single" w:sz="4" w:space="0" w:color="auto"/>
              <w:right w:val="nil"/>
            </w:tcBorders>
            <w:hideMark/>
          </w:tcPr>
          <w:p w14:paraId="0C147125" w14:textId="5E9D890C" w:rsidR="00142871" w:rsidRPr="00997AE6" w:rsidRDefault="00142871" w:rsidP="00142871">
            <w:pPr>
              <w:pStyle w:val="TableText"/>
            </w:pPr>
            <w:r w:rsidRPr="00997AE6">
              <w:t>12 (B)</w:t>
            </w:r>
          </w:p>
        </w:tc>
        <w:tc>
          <w:tcPr>
            <w:tcW w:w="6521" w:type="dxa"/>
            <w:tcBorders>
              <w:top w:val="single" w:sz="4" w:space="0" w:color="auto"/>
              <w:left w:val="nil"/>
              <w:bottom w:val="single" w:sz="4" w:space="0" w:color="auto"/>
              <w:right w:val="nil"/>
            </w:tcBorders>
            <w:noWrap/>
            <w:hideMark/>
          </w:tcPr>
          <w:p w14:paraId="07454062" w14:textId="5C9F6F65" w:rsidR="00142871" w:rsidRPr="00997AE6" w:rsidRDefault="00142871" w:rsidP="00142871">
            <w:pPr>
              <w:pStyle w:val="TableText"/>
            </w:pPr>
            <w:r w:rsidRPr="57352DF8">
              <w:t>If so, were any significant contamination issues identified?</w:t>
            </w:r>
          </w:p>
        </w:tc>
        <w:tc>
          <w:tcPr>
            <w:tcW w:w="1790" w:type="dxa"/>
            <w:tcBorders>
              <w:top w:val="single" w:sz="4" w:space="0" w:color="auto"/>
              <w:left w:val="nil"/>
              <w:bottom w:val="single" w:sz="4" w:space="0" w:color="auto"/>
              <w:right w:val="nil"/>
            </w:tcBorders>
            <w:hideMark/>
          </w:tcPr>
          <w:p w14:paraId="06C39BF7" w14:textId="6B814DF4" w:rsidR="00142871" w:rsidRPr="00997AE6" w:rsidRDefault="00142871" w:rsidP="00142871">
            <w:pPr>
              <w:pStyle w:val="TableText"/>
            </w:pPr>
            <w:r w:rsidRPr="00997AE6">
              <w:t>No (2), Yes (0/FAIL)</w:t>
            </w:r>
          </w:p>
        </w:tc>
      </w:tr>
      <w:tr w:rsidR="00142871" w:rsidRPr="00997AE6" w14:paraId="59E1CA68" w14:textId="77777777" w:rsidTr="007E2341">
        <w:trPr>
          <w:cantSplit/>
          <w:trHeight w:val="1040"/>
        </w:trPr>
        <w:tc>
          <w:tcPr>
            <w:tcW w:w="709" w:type="dxa"/>
            <w:tcBorders>
              <w:top w:val="single" w:sz="4" w:space="0" w:color="auto"/>
              <w:left w:val="nil"/>
              <w:bottom w:val="single" w:sz="4" w:space="0" w:color="auto"/>
              <w:right w:val="nil"/>
            </w:tcBorders>
            <w:hideMark/>
          </w:tcPr>
          <w:p w14:paraId="38A00FF7" w14:textId="5A9888CB" w:rsidR="00142871" w:rsidRPr="00997AE6" w:rsidRDefault="00142871" w:rsidP="00142871">
            <w:pPr>
              <w:pStyle w:val="TableText"/>
            </w:pPr>
            <w:r w:rsidRPr="00997AE6">
              <w:t>13</w:t>
            </w:r>
          </w:p>
        </w:tc>
        <w:tc>
          <w:tcPr>
            <w:tcW w:w="6521" w:type="dxa"/>
            <w:tcBorders>
              <w:top w:val="single" w:sz="4" w:space="0" w:color="auto"/>
              <w:left w:val="nil"/>
              <w:bottom w:val="single" w:sz="4" w:space="0" w:color="auto"/>
              <w:right w:val="nil"/>
            </w:tcBorders>
            <w:hideMark/>
          </w:tcPr>
          <w:p w14:paraId="6F9147BA" w14:textId="265AD106" w:rsidR="00142871" w:rsidRPr="00997AE6" w:rsidRDefault="00142871" w:rsidP="00142871">
            <w:pPr>
              <w:pStyle w:val="TableText"/>
            </w:pPr>
            <w:r w:rsidRPr="00997AE6">
              <w:t xml:space="preserve">Were the contaminant concentrations measured at the beginning and end of the exposure? Note: </w:t>
            </w:r>
            <w:r>
              <w:t>n</w:t>
            </w:r>
            <w:r w:rsidRPr="00997AE6">
              <w:t>ormally, toxicity data calculated using nominal</w:t>
            </w:r>
            <w:r>
              <w:t>-</w:t>
            </w:r>
            <w:r w:rsidRPr="00997AE6">
              <w:t xml:space="preserve">concentration data would not be used to derive </w:t>
            </w:r>
            <w:r>
              <w:t>guideline value</w:t>
            </w:r>
            <w:r w:rsidRPr="00997AE6">
              <w:t>s; however, professional judgement can be used to include such data</w:t>
            </w:r>
            <w:r>
              <w:t>,</w:t>
            </w:r>
            <w:r w:rsidRPr="00997AE6">
              <w:t xml:space="preserve"> provided a justification for their use is provided.</w:t>
            </w:r>
          </w:p>
        </w:tc>
        <w:tc>
          <w:tcPr>
            <w:tcW w:w="1790" w:type="dxa"/>
            <w:tcBorders>
              <w:top w:val="single" w:sz="4" w:space="0" w:color="auto"/>
              <w:left w:val="nil"/>
              <w:bottom w:val="single" w:sz="4" w:space="0" w:color="auto"/>
              <w:right w:val="nil"/>
            </w:tcBorders>
            <w:hideMark/>
          </w:tcPr>
          <w:p w14:paraId="337991F9" w14:textId="5C69AE22" w:rsidR="00142871" w:rsidRPr="00997AE6" w:rsidRDefault="00142871" w:rsidP="00142871">
            <w:pPr>
              <w:pStyle w:val="TableText"/>
            </w:pPr>
            <w:r w:rsidRPr="57352DF8">
              <w:t>Yes (8), Measured once (4), Not measured or stated (0/FAIL)</w:t>
            </w:r>
            <w:r w:rsidRPr="57352DF8">
              <w:rPr>
                <w:color w:val="000000" w:themeColor="text1"/>
                <w:vertAlign w:val="superscript"/>
              </w:rPr>
              <w:t>b</w:t>
            </w:r>
          </w:p>
        </w:tc>
      </w:tr>
      <w:tr w:rsidR="00142871" w:rsidRPr="00997AE6" w14:paraId="1AC3F448" w14:textId="77777777" w:rsidTr="007E2341">
        <w:trPr>
          <w:cantSplit/>
          <w:trHeight w:val="780"/>
        </w:trPr>
        <w:tc>
          <w:tcPr>
            <w:tcW w:w="709" w:type="dxa"/>
            <w:tcBorders>
              <w:top w:val="single" w:sz="4" w:space="0" w:color="auto"/>
              <w:left w:val="nil"/>
              <w:bottom w:val="single" w:sz="4" w:space="0" w:color="auto"/>
              <w:right w:val="nil"/>
            </w:tcBorders>
            <w:hideMark/>
          </w:tcPr>
          <w:p w14:paraId="461EE686" w14:textId="5D4A3201" w:rsidR="00142871" w:rsidRPr="00997AE6" w:rsidRDefault="00142871" w:rsidP="00142871">
            <w:pPr>
              <w:pStyle w:val="TableText"/>
            </w:pPr>
            <w:r w:rsidRPr="00997AE6">
              <w:t>14 (A)</w:t>
            </w:r>
          </w:p>
        </w:tc>
        <w:tc>
          <w:tcPr>
            <w:tcW w:w="6521" w:type="dxa"/>
            <w:tcBorders>
              <w:top w:val="single" w:sz="4" w:space="0" w:color="auto"/>
              <w:left w:val="nil"/>
              <w:bottom w:val="single" w:sz="4" w:space="0" w:color="auto"/>
              <w:right w:val="nil"/>
            </w:tcBorders>
            <w:hideMark/>
          </w:tcPr>
          <w:p w14:paraId="2A7E8E5A" w14:textId="4F71FF82" w:rsidR="00142871" w:rsidRPr="00997AE6" w:rsidRDefault="00142871" w:rsidP="00142871">
            <w:pPr>
              <w:pStyle w:val="TableText"/>
            </w:pPr>
            <w:r w:rsidRPr="57352DF8">
              <w:t>Were test</w:t>
            </w:r>
            <w:r>
              <w:t>-</w:t>
            </w:r>
            <w:r w:rsidRPr="57352DF8">
              <w:t>acceptability criteria stated (</w:t>
            </w:r>
            <w:r>
              <w:t>e.g.</w:t>
            </w:r>
            <w:r w:rsidRPr="57352DF8">
              <w:t xml:space="preserve"> mortality in controls must not exceed a certain percentage) or inferred (</w:t>
            </w:r>
            <w:r>
              <w:t>e.g.</w:t>
            </w:r>
            <w:r w:rsidRPr="57352DF8">
              <w:t xml:space="preserve"> test methods used were </w:t>
            </w:r>
            <w:r w:rsidRPr="00A352C1">
              <w:t>U</w:t>
            </w:r>
            <w:r>
              <w:t>nited States Environmental Protection Agency</w:t>
            </w:r>
            <w:r w:rsidRPr="00A352C1">
              <w:t xml:space="preserve"> or </w:t>
            </w:r>
            <w:r w:rsidRPr="00702FF1">
              <w:t>Organisation for Economic Co-operation and Development</w:t>
            </w:r>
            <w:r w:rsidRPr="57352DF8">
              <w:t>)</w:t>
            </w:r>
            <w:r>
              <w:t>?</w:t>
            </w:r>
          </w:p>
        </w:tc>
        <w:tc>
          <w:tcPr>
            <w:tcW w:w="1790" w:type="dxa"/>
            <w:tcBorders>
              <w:top w:val="single" w:sz="4" w:space="0" w:color="auto"/>
              <w:left w:val="nil"/>
              <w:bottom w:val="single" w:sz="4" w:space="0" w:color="auto"/>
              <w:right w:val="nil"/>
            </w:tcBorders>
            <w:hideMark/>
          </w:tcPr>
          <w:p w14:paraId="5427ED35" w14:textId="6363F584" w:rsidR="00142871" w:rsidRPr="00997AE6" w:rsidRDefault="00142871" w:rsidP="00142871">
            <w:pPr>
              <w:pStyle w:val="TableText"/>
            </w:pPr>
            <w:r w:rsidRPr="00997AE6">
              <w:t>Stated (2), Inferred (1), Neither (0)</w:t>
            </w:r>
          </w:p>
        </w:tc>
      </w:tr>
      <w:tr w:rsidR="00142871" w:rsidRPr="00997AE6" w14:paraId="31BCE5FF" w14:textId="77777777" w:rsidTr="007E2341">
        <w:trPr>
          <w:cantSplit/>
          <w:trHeight w:val="520"/>
        </w:trPr>
        <w:tc>
          <w:tcPr>
            <w:tcW w:w="709" w:type="dxa"/>
            <w:tcBorders>
              <w:top w:val="single" w:sz="4" w:space="0" w:color="auto"/>
              <w:left w:val="nil"/>
              <w:bottom w:val="single" w:sz="4" w:space="0" w:color="auto"/>
              <w:right w:val="nil"/>
            </w:tcBorders>
            <w:hideMark/>
          </w:tcPr>
          <w:p w14:paraId="6A7F2274" w14:textId="0CCEBA40" w:rsidR="00142871" w:rsidRPr="00997AE6" w:rsidRDefault="00142871" w:rsidP="00142871">
            <w:pPr>
              <w:pStyle w:val="TableText"/>
            </w:pPr>
            <w:r w:rsidRPr="00997AE6">
              <w:t>14 (B)</w:t>
            </w:r>
          </w:p>
        </w:tc>
        <w:tc>
          <w:tcPr>
            <w:tcW w:w="6521" w:type="dxa"/>
            <w:tcBorders>
              <w:top w:val="single" w:sz="4" w:space="0" w:color="auto"/>
              <w:left w:val="nil"/>
              <w:bottom w:val="single" w:sz="4" w:space="0" w:color="auto"/>
              <w:right w:val="nil"/>
            </w:tcBorders>
            <w:hideMark/>
          </w:tcPr>
          <w:p w14:paraId="2A59B41A" w14:textId="241BCE6B" w:rsidR="00142871" w:rsidRPr="00997AE6" w:rsidRDefault="00142871" w:rsidP="00142871">
            <w:pPr>
              <w:pStyle w:val="TableText"/>
            </w:pPr>
            <w:r w:rsidRPr="57352DF8">
              <w:t>If so, were test</w:t>
            </w:r>
            <w:r>
              <w:t>-</w:t>
            </w:r>
            <w:r w:rsidRPr="57352DF8">
              <w:t xml:space="preserve">acceptability criteria met? Note: </w:t>
            </w:r>
            <w:r>
              <w:t>d</w:t>
            </w:r>
            <w:r w:rsidRPr="57352DF8">
              <w:t>ata that fail the acceptability criteria are automatically deemed to be of unacceptable quality and must not be used.</w:t>
            </w:r>
          </w:p>
        </w:tc>
        <w:tc>
          <w:tcPr>
            <w:tcW w:w="1790" w:type="dxa"/>
            <w:tcBorders>
              <w:top w:val="single" w:sz="4" w:space="0" w:color="auto"/>
              <w:left w:val="nil"/>
              <w:bottom w:val="single" w:sz="4" w:space="0" w:color="auto"/>
              <w:right w:val="nil"/>
            </w:tcBorders>
            <w:hideMark/>
          </w:tcPr>
          <w:p w14:paraId="4E5F1BDE" w14:textId="59CA99FD" w:rsidR="00142871" w:rsidRPr="00997AE6" w:rsidRDefault="00142871" w:rsidP="00142871">
            <w:pPr>
              <w:pStyle w:val="TableText"/>
            </w:pPr>
            <w:r w:rsidRPr="00997AE6">
              <w:t>Yes (6), Not reported (2), No (0/FAIL)</w:t>
            </w:r>
          </w:p>
        </w:tc>
      </w:tr>
      <w:tr w:rsidR="00142871" w:rsidRPr="00997AE6" w14:paraId="4E6B5BD9" w14:textId="77777777" w:rsidTr="007E2341">
        <w:trPr>
          <w:cantSplit/>
          <w:trHeight w:val="320"/>
        </w:trPr>
        <w:tc>
          <w:tcPr>
            <w:tcW w:w="709" w:type="dxa"/>
            <w:tcBorders>
              <w:top w:val="single" w:sz="4" w:space="0" w:color="auto"/>
              <w:left w:val="nil"/>
              <w:bottom w:val="single" w:sz="4" w:space="0" w:color="auto"/>
              <w:right w:val="nil"/>
            </w:tcBorders>
            <w:hideMark/>
          </w:tcPr>
          <w:p w14:paraId="36D03304" w14:textId="4C8264D0" w:rsidR="00142871" w:rsidRPr="00997AE6" w:rsidRDefault="00142871" w:rsidP="00142871">
            <w:pPr>
              <w:pStyle w:val="TableText"/>
            </w:pPr>
            <w:r w:rsidRPr="00997AE6">
              <w:t>15 (A)</w:t>
            </w:r>
          </w:p>
        </w:tc>
        <w:tc>
          <w:tcPr>
            <w:tcW w:w="6521" w:type="dxa"/>
            <w:tcBorders>
              <w:top w:val="single" w:sz="4" w:space="0" w:color="auto"/>
              <w:left w:val="nil"/>
              <w:bottom w:val="single" w:sz="4" w:space="0" w:color="auto"/>
              <w:right w:val="nil"/>
            </w:tcBorders>
            <w:hideMark/>
          </w:tcPr>
          <w:p w14:paraId="6C41EFF3" w14:textId="634D67FE" w:rsidR="00142871" w:rsidRPr="00997AE6" w:rsidRDefault="00142871" w:rsidP="00142871">
            <w:pPr>
              <w:pStyle w:val="TableText"/>
            </w:pPr>
            <w:r w:rsidRPr="00997AE6">
              <w:t>Were parallel reference</w:t>
            </w:r>
            <w:r>
              <w:t>-</w:t>
            </w:r>
            <w:r w:rsidRPr="00997AE6">
              <w:t>toxicant toxicity tests conducted?</w:t>
            </w:r>
          </w:p>
        </w:tc>
        <w:tc>
          <w:tcPr>
            <w:tcW w:w="1790" w:type="dxa"/>
            <w:tcBorders>
              <w:top w:val="single" w:sz="4" w:space="0" w:color="auto"/>
              <w:left w:val="nil"/>
              <w:bottom w:val="single" w:sz="4" w:space="0" w:color="auto"/>
              <w:right w:val="nil"/>
            </w:tcBorders>
            <w:hideMark/>
          </w:tcPr>
          <w:p w14:paraId="389F32C4" w14:textId="2B9B75EF" w:rsidR="00142871" w:rsidRPr="00997AE6" w:rsidRDefault="00142871" w:rsidP="00142871">
            <w:pPr>
              <w:pStyle w:val="TableText"/>
            </w:pPr>
            <w:r w:rsidRPr="00997AE6">
              <w:t>Yes (2), No (0)</w:t>
            </w:r>
          </w:p>
        </w:tc>
      </w:tr>
      <w:tr w:rsidR="00142871" w:rsidRPr="00997AE6" w14:paraId="4D68D441" w14:textId="77777777" w:rsidTr="007E2341">
        <w:trPr>
          <w:cantSplit/>
          <w:trHeight w:val="520"/>
        </w:trPr>
        <w:tc>
          <w:tcPr>
            <w:tcW w:w="709" w:type="dxa"/>
            <w:tcBorders>
              <w:top w:val="single" w:sz="4" w:space="0" w:color="auto"/>
              <w:left w:val="nil"/>
              <w:bottom w:val="single" w:sz="4" w:space="0" w:color="auto"/>
              <w:right w:val="nil"/>
            </w:tcBorders>
            <w:hideMark/>
          </w:tcPr>
          <w:p w14:paraId="07AF7B16" w14:textId="06081291" w:rsidR="00142871" w:rsidRPr="00997AE6" w:rsidRDefault="00142871" w:rsidP="00142871">
            <w:pPr>
              <w:pStyle w:val="TableText"/>
            </w:pPr>
            <w:r w:rsidRPr="00997AE6">
              <w:t>15 (B)</w:t>
            </w:r>
          </w:p>
        </w:tc>
        <w:tc>
          <w:tcPr>
            <w:tcW w:w="6521" w:type="dxa"/>
            <w:tcBorders>
              <w:top w:val="single" w:sz="4" w:space="0" w:color="auto"/>
              <w:left w:val="nil"/>
              <w:bottom w:val="single" w:sz="4" w:space="0" w:color="auto"/>
              <w:right w:val="nil"/>
            </w:tcBorders>
            <w:hideMark/>
          </w:tcPr>
          <w:p w14:paraId="7211BA01" w14:textId="7EBCF5C0" w:rsidR="00142871" w:rsidRPr="00997AE6" w:rsidRDefault="00142871" w:rsidP="00142871">
            <w:pPr>
              <w:pStyle w:val="TableText"/>
            </w:pPr>
            <w:r w:rsidRPr="00997AE6">
              <w:t>If so, did the reference toxicity results fall within the acceptable limits?</w:t>
            </w:r>
          </w:p>
        </w:tc>
        <w:tc>
          <w:tcPr>
            <w:tcW w:w="1790" w:type="dxa"/>
            <w:tcBorders>
              <w:top w:val="single" w:sz="4" w:space="0" w:color="auto"/>
              <w:left w:val="nil"/>
              <w:bottom w:val="single" w:sz="4" w:space="0" w:color="auto"/>
              <w:right w:val="nil"/>
            </w:tcBorders>
            <w:hideMark/>
          </w:tcPr>
          <w:p w14:paraId="2D19AF5A" w14:textId="322CC5FB" w:rsidR="00142871" w:rsidRPr="00997AE6" w:rsidRDefault="00142871" w:rsidP="00142871">
            <w:pPr>
              <w:pStyle w:val="TableText"/>
            </w:pPr>
            <w:r w:rsidRPr="00997AE6">
              <w:t>Yes (6), Not reported (2), No (0/FAIL)</w:t>
            </w:r>
          </w:p>
        </w:tc>
      </w:tr>
      <w:tr w:rsidR="00142871" w:rsidRPr="00997AE6" w14:paraId="7C2229BF" w14:textId="77777777" w:rsidTr="007E2341">
        <w:trPr>
          <w:cantSplit/>
          <w:trHeight w:val="60"/>
        </w:trPr>
        <w:tc>
          <w:tcPr>
            <w:tcW w:w="709" w:type="dxa"/>
            <w:tcBorders>
              <w:top w:val="single" w:sz="4" w:space="0" w:color="auto"/>
              <w:left w:val="nil"/>
              <w:bottom w:val="single" w:sz="4" w:space="0" w:color="auto"/>
              <w:right w:val="nil"/>
            </w:tcBorders>
            <w:hideMark/>
          </w:tcPr>
          <w:p w14:paraId="49A3A32B" w14:textId="7AB3F1FE" w:rsidR="00142871" w:rsidRPr="00997AE6" w:rsidRDefault="00142871" w:rsidP="00142871">
            <w:pPr>
              <w:pStyle w:val="TableText"/>
            </w:pPr>
            <w:r w:rsidRPr="00997AE6">
              <w:lastRenderedPageBreak/>
              <w:t>16</w:t>
            </w:r>
          </w:p>
        </w:tc>
        <w:tc>
          <w:tcPr>
            <w:tcW w:w="6521" w:type="dxa"/>
            <w:tcBorders>
              <w:top w:val="single" w:sz="4" w:space="0" w:color="auto"/>
              <w:left w:val="nil"/>
              <w:bottom w:val="single" w:sz="4" w:space="0" w:color="auto"/>
              <w:right w:val="nil"/>
            </w:tcBorders>
            <w:hideMark/>
          </w:tcPr>
          <w:p w14:paraId="25B7957E" w14:textId="008EF425" w:rsidR="00142871" w:rsidRPr="00997AE6" w:rsidRDefault="00142871" w:rsidP="00142871">
            <w:pPr>
              <w:pStyle w:val="TableText"/>
            </w:pPr>
            <w:r w:rsidRPr="57352DF8">
              <w:t>Was there a concentration-response (C-R) relationship</w:t>
            </w:r>
            <w:r>
              <w:t>,</w:t>
            </w:r>
            <w:r w:rsidRPr="57352DF8">
              <w:t xml:space="preserve"> either observable or stated (i.e. was there a larger response in the endpoint of interest at higher treatment concentrations than at lower treatment concentrations?)? Note: </w:t>
            </w:r>
            <w:r>
              <w:t>a</w:t>
            </w:r>
            <w:r w:rsidRPr="57352DF8">
              <w:t xml:space="preserve"> full C-R relationship is one that includes zero, partial and full effects, while a partial C-R relationship is one that is missing either zero, partial or full effects.</w:t>
            </w:r>
            <w:r w:rsidR="00D05B2F" w:rsidRPr="00A352C1">
              <w:t xml:space="preserve"> Professional judgement might be required to make decisions associated with C-R relationships that exhibit characteristics such as non-monotonicity and low</w:t>
            </w:r>
            <w:r w:rsidR="00D05B2F">
              <w:t>-</w:t>
            </w:r>
            <w:r w:rsidR="00D05B2F" w:rsidRPr="00A352C1">
              <w:t>dose effects.</w:t>
            </w:r>
          </w:p>
        </w:tc>
        <w:tc>
          <w:tcPr>
            <w:tcW w:w="1790" w:type="dxa"/>
            <w:tcBorders>
              <w:top w:val="single" w:sz="4" w:space="0" w:color="auto"/>
              <w:left w:val="nil"/>
              <w:bottom w:val="single" w:sz="4" w:space="0" w:color="auto"/>
              <w:right w:val="nil"/>
            </w:tcBorders>
            <w:hideMark/>
          </w:tcPr>
          <w:p w14:paraId="0EEED9B2" w14:textId="21B0051C" w:rsidR="00142871" w:rsidRPr="00997AE6" w:rsidRDefault="00142871" w:rsidP="00142871">
            <w:pPr>
              <w:pStyle w:val="TableText"/>
            </w:pPr>
            <w:r w:rsidRPr="00997AE6">
              <w:t xml:space="preserve">Yes </w:t>
            </w:r>
            <w:r>
              <w:t>–</w:t>
            </w:r>
            <w:r w:rsidRPr="00997AE6">
              <w:t xml:space="preserve"> full (8), Yes </w:t>
            </w:r>
            <w:r>
              <w:t>–</w:t>
            </w:r>
            <w:r w:rsidRPr="00997AE6">
              <w:t xml:space="preserve"> partial (4), No </w:t>
            </w:r>
            <w:r>
              <w:t>–</w:t>
            </w:r>
            <w:r w:rsidRPr="00997AE6">
              <w:t xml:space="preserve"> (0/FAIL)</w:t>
            </w:r>
          </w:p>
        </w:tc>
      </w:tr>
      <w:tr w:rsidR="00142871" w:rsidRPr="00997AE6" w14:paraId="62A34D00" w14:textId="77777777" w:rsidTr="007E2341">
        <w:trPr>
          <w:cantSplit/>
          <w:trHeight w:val="338"/>
        </w:trPr>
        <w:tc>
          <w:tcPr>
            <w:tcW w:w="709" w:type="dxa"/>
            <w:tcBorders>
              <w:top w:val="single" w:sz="4" w:space="0" w:color="auto"/>
              <w:left w:val="nil"/>
              <w:bottom w:val="single" w:sz="4" w:space="0" w:color="auto"/>
              <w:right w:val="nil"/>
            </w:tcBorders>
            <w:hideMark/>
          </w:tcPr>
          <w:p w14:paraId="45A88B68" w14:textId="78C0CE79" w:rsidR="00142871" w:rsidRPr="00997AE6" w:rsidRDefault="00142871" w:rsidP="00142871">
            <w:pPr>
              <w:pStyle w:val="TableText"/>
            </w:pPr>
            <w:r w:rsidRPr="00997AE6">
              <w:t>17 (A)</w:t>
            </w:r>
          </w:p>
        </w:tc>
        <w:tc>
          <w:tcPr>
            <w:tcW w:w="6521" w:type="dxa"/>
            <w:tcBorders>
              <w:top w:val="single" w:sz="4" w:space="0" w:color="auto"/>
              <w:left w:val="nil"/>
              <w:bottom w:val="single" w:sz="4" w:space="0" w:color="auto"/>
              <w:right w:val="nil"/>
            </w:tcBorders>
            <w:hideMark/>
          </w:tcPr>
          <w:p w14:paraId="6DF8FAC2" w14:textId="32B1BD90" w:rsidR="00142871" w:rsidRPr="00997AE6" w:rsidRDefault="00142871" w:rsidP="00142871">
            <w:pPr>
              <w:pStyle w:val="TableText"/>
            </w:pPr>
            <w:r w:rsidRPr="57352DF8">
              <w:t xml:space="preserve">Was the statistical method or model used to determine the toxicity estimate stated </w:t>
            </w:r>
            <w:r>
              <w:rPr>
                <w:b/>
                <w:bCs/>
              </w:rPr>
              <w:t>and</w:t>
            </w:r>
            <w:r w:rsidRPr="57352DF8">
              <w:t xml:space="preserve"> appropriate</w:t>
            </w:r>
            <w:r w:rsidR="00C718C5">
              <w:t xml:space="preserve"> </w:t>
            </w:r>
            <w:r w:rsidR="00C718C5" w:rsidRPr="57352DF8">
              <w:t>(e.g. refer to Green et al. 2018, noting that new methods will/have emerged that may not be captured in past publications)?</w:t>
            </w:r>
          </w:p>
        </w:tc>
        <w:tc>
          <w:tcPr>
            <w:tcW w:w="1790" w:type="dxa"/>
            <w:tcBorders>
              <w:top w:val="single" w:sz="4" w:space="0" w:color="auto"/>
              <w:left w:val="nil"/>
              <w:bottom w:val="single" w:sz="4" w:space="0" w:color="auto"/>
              <w:right w:val="nil"/>
            </w:tcBorders>
            <w:hideMark/>
          </w:tcPr>
          <w:p w14:paraId="03B8C67D" w14:textId="67C210EE" w:rsidR="00142871" w:rsidRPr="00997AE6" w:rsidRDefault="00142871" w:rsidP="00142871">
            <w:pPr>
              <w:pStyle w:val="TableText"/>
            </w:pPr>
            <w:r w:rsidRPr="00997AE6">
              <w:t>Yes (6), No (0)</w:t>
            </w:r>
          </w:p>
        </w:tc>
      </w:tr>
      <w:tr w:rsidR="00142871" w:rsidRPr="00997AE6" w14:paraId="3AC01ECC" w14:textId="77777777" w:rsidTr="007E2341">
        <w:trPr>
          <w:cantSplit/>
          <w:trHeight w:val="274"/>
        </w:trPr>
        <w:tc>
          <w:tcPr>
            <w:tcW w:w="709" w:type="dxa"/>
            <w:tcBorders>
              <w:top w:val="single" w:sz="4" w:space="0" w:color="auto"/>
              <w:left w:val="nil"/>
              <w:bottom w:val="single" w:sz="4" w:space="0" w:color="auto"/>
              <w:right w:val="nil"/>
            </w:tcBorders>
            <w:hideMark/>
          </w:tcPr>
          <w:p w14:paraId="2DCDDD8E" w14:textId="1B106F94" w:rsidR="00142871" w:rsidRPr="00997AE6" w:rsidRDefault="00142871" w:rsidP="00142871">
            <w:pPr>
              <w:pStyle w:val="TableText"/>
            </w:pPr>
            <w:r w:rsidRPr="00997AE6">
              <w:t>17 (B)</w:t>
            </w:r>
          </w:p>
        </w:tc>
        <w:tc>
          <w:tcPr>
            <w:tcW w:w="6521" w:type="dxa"/>
            <w:tcBorders>
              <w:top w:val="single" w:sz="4" w:space="0" w:color="auto"/>
              <w:left w:val="nil"/>
              <w:bottom w:val="single" w:sz="4" w:space="0" w:color="auto"/>
              <w:right w:val="nil"/>
            </w:tcBorders>
            <w:hideMark/>
          </w:tcPr>
          <w:p w14:paraId="4DB96148" w14:textId="70689755" w:rsidR="00142871" w:rsidRPr="00997AE6" w:rsidRDefault="00142871" w:rsidP="00142871">
            <w:pPr>
              <w:pStyle w:val="TableText"/>
            </w:pPr>
            <w:r w:rsidRPr="00997AE6">
              <w:t xml:space="preserve">For </w:t>
            </w:r>
            <w:r>
              <w:t xml:space="preserve">point estimates from concentration-response modelling (e.g. </w:t>
            </w:r>
            <w:r w:rsidRPr="00997AE6">
              <w:t>LC/EC/NEC/BEC/NSEC</w:t>
            </w:r>
            <w:r>
              <w:t>)</w:t>
            </w:r>
            <w:r w:rsidRPr="00997AE6">
              <w:t>, was an estimate of variability provided? For</w:t>
            </w:r>
            <w:r>
              <w:t xml:space="preserve"> estimates based on hypothesis testing</w:t>
            </w:r>
            <w:r w:rsidRPr="00997AE6">
              <w:t xml:space="preserve"> </w:t>
            </w:r>
            <w:r>
              <w:t xml:space="preserve">(e.g. </w:t>
            </w:r>
            <w:r w:rsidRPr="00997AE6">
              <w:t>NOEC/LOEC/MATC</w:t>
            </w:r>
            <w:r>
              <w:t>)</w:t>
            </w:r>
            <w:r w:rsidRPr="00997AE6">
              <w:t>, was the significance level 0.05 or less?</w:t>
            </w:r>
          </w:p>
        </w:tc>
        <w:tc>
          <w:tcPr>
            <w:tcW w:w="1790" w:type="dxa"/>
            <w:tcBorders>
              <w:top w:val="single" w:sz="4" w:space="0" w:color="auto"/>
              <w:left w:val="nil"/>
              <w:bottom w:val="single" w:sz="4" w:space="0" w:color="auto"/>
              <w:right w:val="nil"/>
            </w:tcBorders>
            <w:hideMark/>
          </w:tcPr>
          <w:p w14:paraId="5BD5F90C" w14:textId="778278FC" w:rsidR="00142871" w:rsidRPr="00997AE6" w:rsidRDefault="00142871" w:rsidP="00142871">
            <w:pPr>
              <w:pStyle w:val="TableText"/>
            </w:pPr>
            <w:r w:rsidRPr="00997AE6">
              <w:t>Yes (2), No (0</w:t>
            </w:r>
            <w:r>
              <w:t>)</w:t>
            </w:r>
          </w:p>
        </w:tc>
      </w:tr>
      <w:tr w:rsidR="00142871" w:rsidRPr="00997AE6" w14:paraId="7E85A567" w14:textId="77777777" w:rsidTr="007E2341">
        <w:trPr>
          <w:cantSplit/>
          <w:trHeight w:val="320"/>
        </w:trPr>
        <w:tc>
          <w:tcPr>
            <w:tcW w:w="709" w:type="dxa"/>
            <w:tcBorders>
              <w:top w:val="single" w:sz="4" w:space="0" w:color="auto"/>
              <w:left w:val="nil"/>
              <w:bottom w:val="single" w:sz="12" w:space="0" w:color="auto"/>
              <w:right w:val="nil"/>
            </w:tcBorders>
            <w:hideMark/>
          </w:tcPr>
          <w:p w14:paraId="776A3EFD" w14:textId="77777777" w:rsidR="00142871" w:rsidRPr="00997AE6" w:rsidRDefault="00142871" w:rsidP="00142871">
            <w:pPr>
              <w:pStyle w:val="TableText"/>
            </w:pPr>
          </w:p>
        </w:tc>
        <w:tc>
          <w:tcPr>
            <w:tcW w:w="8311" w:type="dxa"/>
            <w:gridSpan w:val="2"/>
            <w:tcBorders>
              <w:top w:val="single" w:sz="4" w:space="0" w:color="auto"/>
              <w:left w:val="nil"/>
              <w:bottom w:val="single" w:sz="12" w:space="0" w:color="auto"/>
              <w:right w:val="nil"/>
            </w:tcBorders>
            <w:hideMark/>
          </w:tcPr>
          <w:p w14:paraId="41FF69AB" w14:textId="2F2677BC" w:rsidR="00142871" w:rsidRPr="00997AE6" w:rsidRDefault="00142871" w:rsidP="00142871">
            <w:pPr>
              <w:pStyle w:val="TableText"/>
            </w:pPr>
            <w:r>
              <w:t>Maximum sub-total for Part B = 47</w:t>
            </w:r>
          </w:p>
        </w:tc>
      </w:tr>
      <w:tr w:rsidR="005E2E82" w:rsidRPr="00903169" w14:paraId="5B5E77D7" w14:textId="77777777" w:rsidTr="001220EF">
        <w:trPr>
          <w:cantSplit/>
          <w:trHeight w:val="320"/>
        </w:trPr>
        <w:tc>
          <w:tcPr>
            <w:tcW w:w="7230" w:type="dxa"/>
            <w:gridSpan w:val="2"/>
            <w:tcBorders>
              <w:top w:val="single" w:sz="12" w:space="0" w:color="auto"/>
              <w:left w:val="nil"/>
              <w:bottom w:val="single" w:sz="12" w:space="0" w:color="auto"/>
              <w:right w:val="nil"/>
            </w:tcBorders>
            <w:noWrap/>
            <w:hideMark/>
          </w:tcPr>
          <w:p w14:paraId="682749EA" w14:textId="41BE067A" w:rsidR="005E2E82" w:rsidRPr="00B1499A" w:rsidRDefault="005E2E82" w:rsidP="005E2E82">
            <w:pPr>
              <w:pStyle w:val="TableText"/>
            </w:pPr>
            <w:r w:rsidRPr="009D6B76">
              <w:rPr>
                <w:b/>
                <w:bCs/>
              </w:rPr>
              <w:t>C. T</w:t>
            </w:r>
            <w:r>
              <w:rPr>
                <w:b/>
                <w:bCs/>
              </w:rPr>
              <w:t>est water chemistry/test conditions</w:t>
            </w:r>
          </w:p>
        </w:tc>
        <w:tc>
          <w:tcPr>
            <w:tcW w:w="1790" w:type="dxa"/>
            <w:tcBorders>
              <w:top w:val="single" w:sz="12" w:space="0" w:color="auto"/>
              <w:left w:val="nil"/>
              <w:bottom w:val="single" w:sz="12" w:space="0" w:color="auto"/>
              <w:right w:val="nil"/>
            </w:tcBorders>
            <w:hideMark/>
          </w:tcPr>
          <w:p w14:paraId="464B8C9F" w14:textId="320B4991" w:rsidR="005E2E82" w:rsidRPr="00B1499A" w:rsidRDefault="005E2E82" w:rsidP="005E2E82">
            <w:pPr>
              <w:pStyle w:val="TableText"/>
            </w:pPr>
          </w:p>
        </w:tc>
      </w:tr>
      <w:tr w:rsidR="005110DE" w:rsidRPr="00B1499A" w14:paraId="0F38390D" w14:textId="77777777" w:rsidTr="007E2341">
        <w:trPr>
          <w:cantSplit/>
          <w:trHeight w:val="320"/>
        </w:trPr>
        <w:tc>
          <w:tcPr>
            <w:tcW w:w="709" w:type="dxa"/>
            <w:tcBorders>
              <w:top w:val="single" w:sz="12" w:space="0" w:color="auto"/>
              <w:left w:val="nil"/>
              <w:bottom w:val="single" w:sz="4" w:space="0" w:color="auto"/>
              <w:right w:val="nil"/>
            </w:tcBorders>
            <w:hideMark/>
          </w:tcPr>
          <w:p w14:paraId="52286944" w14:textId="77777777" w:rsidR="005110DE" w:rsidRPr="00B1499A" w:rsidRDefault="005110DE" w:rsidP="00CF716C">
            <w:pPr>
              <w:pStyle w:val="TableText"/>
            </w:pPr>
            <w:r w:rsidRPr="00B1499A">
              <w:t>18</w:t>
            </w:r>
          </w:p>
        </w:tc>
        <w:tc>
          <w:tcPr>
            <w:tcW w:w="6521" w:type="dxa"/>
            <w:tcBorders>
              <w:top w:val="single" w:sz="12" w:space="0" w:color="auto"/>
              <w:left w:val="nil"/>
              <w:bottom w:val="single" w:sz="4" w:space="0" w:color="auto"/>
              <w:right w:val="nil"/>
            </w:tcBorders>
            <w:hideMark/>
          </w:tcPr>
          <w:p w14:paraId="735B40B3" w14:textId="761211F2" w:rsidR="005110DE" w:rsidRPr="00B1499A" w:rsidRDefault="005110DE" w:rsidP="00CF716C">
            <w:pPr>
              <w:pStyle w:val="TableText"/>
            </w:pPr>
            <w:r w:rsidRPr="00B1499A">
              <w:t>Were the following parameters measured and reported?</w:t>
            </w:r>
          </w:p>
        </w:tc>
        <w:tc>
          <w:tcPr>
            <w:tcW w:w="1790" w:type="dxa"/>
            <w:tcBorders>
              <w:top w:val="single" w:sz="12" w:space="0" w:color="auto"/>
              <w:left w:val="nil"/>
              <w:bottom w:val="single" w:sz="4" w:space="0" w:color="auto"/>
              <w:right w:val="nil"/>
            </w:tcBorders>
            <w:hideMark/>
          </w:tcPr>
          <w:p w14:paraId="0ECDFB8E" w14:textId="2E475BB0" w:rsidR="005110DE" w:rsidRPr="00B1499A" w:rsidRDefault="005110DE" w:rsidP="00CF716C">
            <w:pPr>
              <w:pStyle w:val="TableText"/>
            </w:pPr>
          </w:p>
        </w:tc>
      </w:tr>
      <w:tr w:rsidR="005110DE" w:rsidRPr="00B1499A" w14:paraId="1DC6376F" w14:textId="77777777" w:rsidTr="007E2341">
        <w:trPr>
          <w:cantSplit/>
          <w:trHeight w:val="215"/>
        </w:trPr>
        <w:tc>
          <w:tcPr>
            <w:tcW w:w="709" w:type="dxa"/>
            <w:tcBorders>
              <w:top w:val="single" w:sz="4" w:space="0" w:color="auto"/>
              <w:left w:val="nil"/>
              <w:bottom w:val="single" w:sz="4" w:space="0" w:color="auto"/>
              <w:right w:val="nil"/>
            </w:tcBorders>
            <w:hideMark/>
          </w:tcPr>
          <w:p w14:paraId="7AF15F9E" w14:textId="77777777" w:rsidR="005110DE" w:rsidRPr="00B1499A" w:rsidRDefault="005110DE" w:rsidP="00CF716C">
            <w:pPr>
              <w:pStyle w:val="TableText"/>
            </w:pPr>
            <w:r w:rsidRPr="00B1499A">
              <w:t>18.1</w:t>
            </w:r>
          </w:p>
        </w:tc>
        <w:tc>
          <w:tcPr>
            <w:tcW w:w="6521" w:type="dxa"/>
            <w:tcBorders>
              <w:top w:val="single" w:sz="4" w:space="0" w:color="auto"/>
              <w:left w:val="nil"/>
              <w:bottom w:val="single" w:sz="4" w:space="0" w:color="auto"/>
              <w:right w:val="nil"/>
            </w:tcBorders>
            <w:hideMark/>
          </w:tcPr>
          <w:p w14:paraId="18EE1D92" w14:textId="332A1692" w:rsidR="005110DE" w:rsidRPr="00B1499A" w:rsidRDefault="005110DE" w:rsidP="00CF716C">
            <w:pPr>
              <w:pStyle w:val="TableText"/>
            </w:pPr>
            <w:r w:rsidRPr="00B1499A">
              <w:t xml:space="preserve">pH </w:t>
            </w:r>
            <w:r w:rsidR="00791B38">
              <w:t>–</w:t>
            </w:r>
            <w:r w:rsidRPr="00B1499A">
              <w:t xml:space="preserve"> </w:t>
            </w:r>
            <w:r w:rsidR="003F2FE0">
              <w:t>w</w:t>
            </w:r>
            <w:r w:rsidRPr="00B1499A">
              <w:t>as pH measured at least at the beginning and end of the toxicity test?</w:t>
            </w:r>
          </w:p>
        </w:tc>
        <w:tc>
          <w:tcPr>
            <w:tcW w:w="1790" w:type="dxa"/>
            <w:tcBorders>
              <w:top w:val="single" w:sz="4" w:space="0" w:color="auto"/>
              <w:left w:val="nil"/>
              <w:bottom w:val="single" w:sz="4" w:space="0" w:color="auto"/>
              <w:right w:val="nil"/>
            </w:tcBorders>
            <w:hideMark/>
          </w:tcPr>
          <w:p w14:paraId="01F1368C" w14:textId="70B0B116" w:rsidR="005110DE" w:rsidRPr="00B1499A" w:rsidRDefault="005110DE" w:rsidP="00CF716C">
            <w:pPr>
              <w:pStyle w:val="TableText"/>
            </w:pPr>
            <w:r w:rsidRPr="00B1499A">
              <w:t>Yes (3), No (0/FAIL)</w:t>
            </w:r>
          </w:p>
        </w:tc>
      </w:tr>
      <w:tr w:rsidR="005110DE" w:rsidRPr="00B1499A" w14:paraId="02D57F66" w14:textId="77777777" w:rsidTr="007E2341">
        <w:trPr>
          <w:cantSplit/>
          <w:trHeight w:val="183"/>
        </w:trPr>
        <w:tc>
          <w:tcPr>
            <w:tcW w:w="709" w:type="dxa"/>
            <w:tcBorders>
              <w:top w:val="single" w:sz="4" w:space="0" w:color="auto"/>
              <w:left w:val="nil"/>
              <w:bottom w:val="single" w:sz="4" w:space="0" w:color="auto"/>
              <w:right w:val="nil"/>
            </w:tcBorders>
            <w:hideMark/>
          </w:tcPr>
          <w:p w14:paraId="584954FF" w14:textId="17FC5576" w:rsidR="005110DE" w:rsidRPr="00B1499A" w:rsidRDefault="005110DE" w:rsidP="00CF716C">
            <w:pPr>
              <w:pStyle w:val="TableText"/>
            </w:pPr>
            <w:r w:rsidRPr="00B1499A">
              <w:t>18.</w:t>
            </w:r>
            <w:r w:rsidR="00EB1B10">
              <w:t>2</w:t>
            </w:r>
          </w:p>
        </w:tc>
        <w:tc>
          <w:tcPr>
            <w:tcW w:w="6521" w:type="dxa"/>
            <w:tcBorders>
              <w:top w:val="single" w:sz="4" w:space="0" w:color="auto"/>
              <w:left w:val="nil"/>
              <w:bottom w:val="single" w:sz="4" w:space="0" w:color="auto"/>
              <w:right w:val="nil"/>
            </w:tcBorders>
            <w:hideMark/>
          </w:tcPr>
          <w:p w14:paraId="104EA9E9" w14:textId="458685DD" w:rsidR="005110DE" w:rsidRPr="00B1499A" w:rsidRDefault="005110DE" w:rsidP="00CF716C">
            <w:pPr>
              <w:pStyle w:val="TableText"/>
            </w:pPr>
            <w:r w:rsidRPr="00B1499A">
              <w:t>Conductivity</w:t>
            </w:r>
          </w:p>
        </w:tc>
        <w:tc>
          <w:tcPr>
            <w:tcW w:w="1790" w:type="dxa"/>
            <w:tcBorders>
              <w:top w:val="single" w:sz="4" w:space="0" w:color="auto"/>
              <w:left w:val="nil"/>
              <w:bottom w:val="single" w:sz="4" w:space="0" w:color="auto"/>
              <w:right w:val="nil"/>
            </w:tcBorders>
            <w:hideMark/>
          </w:tcPr>
          <w:p w14:paraId="34D8F902" w14:textId="54CA4647" w:rsidR="005110DE" w:rsidRPr="00B1499A" w:rsidRDefault="005110DE" w:rsidP="00CF716C">
            <w:pPr>
              <w:pStyle w:val="TableText"/>
            </w:pPr>
            <w:r w:rsidRPr="00B1499A">
              <w:t>Yes (2), No (0/FAIL)</w:t>
            </w:r>
          </w:p>
        </w:tc>
      </w:tr>
      <w:tr w:rsidR="005110DE" w:rsidRPr="00B1499A" w14:paraId="7C25CCA1" w14:textId="77777777" w:rsidTr="007E2341">
        <w:trPr>
          <w:cantSplit/>
          <w:trHeight w:val="529"/>
        </w:trPr>
        <w:tc>
          <w:tcPr>
            <w:tcW w:w="709" w:type="dxa"/>
            <w:tcBorders>
              <w:top w:val="single" w:sz="4" w:space="0" w:color="auto"/>
              <w:left w:val="nil"/>
              <w:bottom w:val="single" w:sz="4" w:space="0" w:color="auto"/>
              <w:right w:val="nil"/>
            </w:tcBorders>
            <w:hideMark/>
          </w:tcPr>
          <w:p w14:paraId="53850BF9" w14:textId="05A8B4F3" w:rsidR="005110DE" w:rsidRPr="00B1499A" w:rsidRDefault="005110DE" w:rsidP="00CF716C">
            <w:pPr>
              <w:pStyle w:val="TableText"/>
            </w:pPr>
            <w:r w:rsidRPr="00B1499A">
              <w:t>18.</w:t>
            </w:r>
            <w:r w:rsidR="00EB1B10">
              <w:t>3</w:t>
            </w:r>
          </w:p>
        </w:tc>
        <w:tc>
          <w:tcPr>
            <w:tcW w:w="6521" w:type="dxa"/>
            <w:tcBorders>
              <w:top w:val="single" w:sz="4" w:space="0" w:color="auto"/>
              <w:left w:val="nil"/>
              <w:bottom w:val="single" w:sz="4" w:space="0" w:color="auto"/>
              <w:right w:val="nil"/>
            </w:tcBorders>
            <w:hideMark/>
          </w:tcPr>
          <w:p w14:paraId="322937D6" w14:textId="77777777" w:rsidR="005110DE" w:rsidRPr="00B1499A" w:rsidRDefault="005110DE" w:rsidP="00CF716C">
            <w:pPr>
              <w:pStyle w:val="TableText"/>
            </w:pPr>
            <w:r w:rsidRPr="00B1499A">
              <w:t>Temperature</w:t>
            </w:r>
          </w:p>
        </w:tc>
        <w:tc>
          <w:tcPr>
            <w:tcW w:w="1790" w:type="dxa"/>
            <w:tcBorders>
              <w:top w:val="single" w:sz="4" w:space="0" w:color="auto"/>
              <w:left w:val="nil"/>
              <w:bottom w:val="single" w:sz="4" w:space="0" w:color="auto"/>
              <w:right w:val="nil"/>
            </w:tcBorders>
            <w:hideMark/>
          </w:tcPr>
          <w:p w14:paraId="724FD831" w14:textId="6EF6E735" w:rsidR="005110DE" w:rsidRPr="00B1499A" w:rsidRDefault="005110DE" w:rsidP="00CF716C">
            <w:pPr>
              <w:pStyle w:val="TableText"/>
            </w:pPr>
            <w:r w:rsidRPr="00B1499A">
              <w:t>Yes (2), Temperature of room or chamber was reported (1), No (0/FAIL)</w:t>
            </w:r>
          </w:p>
        </w:tc>
      </w:tr>
      <w:tr w:rsidR="005110DE" w:rsidRPr="00B1499A" w14:paraId="0E8414CE" w14:textId="77777777" w:rsidTr="007E2341">
        <w:trPr>
          <w:cantSplit/>
          <w:trHeight w:val="108"/>
        </w:trPr>
        <w:tc>
          <w:tcPr>
            <w:tcW w:w="709" w:type="dxa"/>
            <w:tcBorders>
              <w:top w:val="single" w:sz="4" w:space="0" w:color="auto"/>
              <w:left w:val="nil"/>
              <w:bottom w:val="single" w:sz="4" w:space="0" w:color="auto"/>
              <w:right w:val="nil"/>
            </w:tcBorders>
            <w:hideMark/>
          </w:tcPr>
          <w:p w14:paraId="51282DDB" w14:textId="129CC449" w:rsidR="005110DE" w:rsidRPr="00B1499A" w:rsidRDefault="005110DE" w:rsidP="00CF716C">
            <w:pPr>
              <w:pStyle w:val="TableText"/>
            </w:pPr>
            <w:r w:rsidRPr="00B1499A">
              <w:t>18.</w:t>
            </w:r>
            <w:r w:rsidR="00EB1B10">
              <w:t>4</w:t>
            </w:r>
          </w:p>
        </w:tc>
        <w:tc>
          <w:tcPr>
            <w:tcW w:w="6521" w:type="dxa"/>
            <w:tcBorders>
              <w:top w:val="single" w:sz="4" w:space="0" w:color="auto"/>
              <w:left w:val="nil"/>
              <w:bottom w:val="single" w:sz="4" w:space="0" w:color="auto"/>
              <w:right w:val="nil"/>
            </w:tcBorders>
            <w:hideMark/>
          </w:tcPr>
          <w:p w14:paraId="0D73FDA8" w14:textId="4F4DC198" w:rsidR="005110DE" w:rsidRPr="00B1499A" w:rsidRDefault="005110DE" w:rsidP="00CF716C">
            <w:pPr>
              <w:pStyle w:val="TableText"/>
            </w:pPr>
            <w:r>
              <w:t>Light intensity/illuminance</w:t>
            </w:r>
          </w:p>
        </w:tc>
        <w:tc>
          <w:tcPr>
            <w:tcW w:w="1790" w:type="dxa"/>
            <w:tcBorders>
              <w:top w:val="single" w:sz="4" w:space="0" w:color="auto"/>
              <w:left w:val="nil"/>
              <w:bottom w:val="single" w:sz="4" w:space="0" w:color="auto"/>
              <w:right w:val="nil"/>
            </w:tcBorders>
            <w:hideMark/>
          </w:tcPr>
          <w:p w14:paraId="35D6DA5E" w14:textId="7508C9AB" w:rsidR="005110DE" w:rsidRPr="00B1499A" w:rsidRDefault="005110DE" w:rsidP="00CF716C">
            <w:pPr>
              <w:pStyle w:val="TableText"/>
            </w:pPr>
            <w:r w:rsidRPr="00B1499A">
              <w:t>Yes (2), No (0/FAIL)</w:t>
            </w:r>
          </w:p>
        </w:tc>
      </w:tr>
      <w:tr w:rsidR="004236A1" w:rsidRPr="00B1499A" w14:paraId="731A3953" w14:textId="77777777" w:rsidTr="00483EF5">
        <w:trPr>
          <w:cantSplit/>
          <w:trHeight w:val="227"/>
        </w:trPr>
        <w:tc>
          <w:tcPr>
            <w:tcW w:w="709" w:type="dxa"/>
            <w:tcBorders>
              <w:top w:val="single" w:sz="4" w:space="0" w:color="auto"/>
              <w:left w:val="nil"/>
              <w:bottom w:val="single" w:sz="4" w:space="0" w:color="auto"/>
              <w:right w:val="nil"/>
            </w:tcBorders>
          </w:tcPr>
          <w:p w14:paraId="0082D42D" w14:textId="0C7A0FA8" w:rsidR="004236A1" w:rsidRPr="00B1499A" w:rsidRDefault="004236A1" w:rsidP="00CF716C">
            <w:pPr>
              <w:pStyle w:val="TableText"/>
            </w:pPr>
            <w:r>
              <w:t>18.</w:t>
            </w:r>
            <w:r w:rsidR="00EB1B10">
              <w:t>5</w:t>
            </w:r>
          </w:p>
        </w:tc>
        <w:tc>
          <w:tcPr>
            <w:tcW w:w="6521" w:type="dxa"/>
            <w:tcBorders>
              <w:top w:val="single" w:sz="4" w:space="0" w:color="auto"/>
              <w:left w:val="nil"/>
              <w:bottom w:val="single" w:sz="4" w:space="0" w:color="auto"/>
              <w:right w:val="nil"/>
            </w:tcBorders>
          </w:tcPr>
          <w:p w14:paraId="36126737" w14:textId="6D2DA313" w:rsidR="004236A1" w:rsidRPr="00B1499A" w:rsidRDefault="004236A1" w:rsidP="00CF716C">
            <w:pPr>
              <w:pStyle w:val="TableText"/>
              <w:rPr>
                <w:color w:val="000000"/>
              </w:rPr>
            </w:pPr>
            <w:r w:rsidRPr="57352DF8">
              <w:t>Any other parameters of relevance (e.g. other toxicity</w:t>
            </w:r>
            <w:r w:rsidR="00D62C7F">
              <w:t>-</w:t>
            </w:r>
            <w:r w:rsidRPr="57352DF8">
              <w:t>modifying factors)</w:t>
            </w:r>
            <w:r w:rsidR="00A75106">
              <w:t>?</w:t>
            </w:r>
          </w:p>
        </w:tc>
        <w:tc>
          <w:tcPr>
            <w:tcW w:w="1790" w:type="dxa"/>
            <w:tcBorders>
              <w:top w:val="single" w:sz="4" w:space="0" w:color="auto"/>
              <w:left w:val="nil"/>
              <w:bottom w:val="single" w:sz="4" w:space="0" w:color="auto"/>
              <w:right w:val="nil"/>
            </w:tcBorders>
          </w:tcPr>
          <w:p w14:paraId="7B0E6A8A" w14:textId="0AD5F6C8" w:rsidR="004236A1" w:rsidRPr="00B1499A" w:rsidRDefault="004236A1" w:rsidP="00CF716C">
            <w:pPr>
              <w:pStyle w:val="TableText"/>
            </w:pPr>
            <w:r w:rsidRPr="00B1499A">
              <w:t>Yes (2), No (0/FAIL)</w:t>
            </w:r>
          </w:p>
        </w:tc>
      </w:tr>
      <w:tr w:rsidR="00601CED" w:rsidRPr="00B1499A" w14:paraId="745F69ED" w14:textId="77777777" w:rsidTr="007E2341">
        <w:trPr>
          <w:cantSplit/>
          <w:trHeight w:val="70"/>
        </w:trPr>
        <w:tc>
          <w:tcPr>
            <w:tcW w:w="709" w:type="dxa"/>
            <w:tcBorders>
              <w:top w:val="single" w:sz="4" w:space="0" w:color="auto"/>
              <w:bottom w:val="single" w:sz="4" w:space="0" w:color="auto"/>
            </w:tcBorders>
            <w:hideMark/>
          </w:tcPr>
          <w:p w14:paraId="7C1ECF57" w14:textId="77777777" w:rsidR="00601CED" w:rsidRPr="00B1499A" w:rsidRDefault="00601CED" w:rsidP="00601CED">
            <w:pPr>
              <w:pStyle w:val="TableText"/>
            </w:pPr>
          </w:p>
        </w:tc>
        <w:tc>
          <w:tcPr>
            <w:tcW w:w="8311" w:type="dxa"/>
            <w:gridSpan w:val="2"/>
            <w:tcBorders>
              <w:top w:val="single" w:sz="4" w:space="0" w:color="auto"/>
              <w:bottom w:val="single" w:sz="4" w:space="0" w:color="auto"/>
            </w:tcBorders>
            <w:hideMark/>
          </w:tcPr>
          <w:p w14:paraId="450538C3" w14:textId="49535C8D" w:rsidR="00601CED" w:rsidRPr="00B1499A" w:rsidRDefault="00601CED" w:rsidP="00601CED">
            <w:pPr>
              <w:pStyle w:val="TableText"/>
              <w:rPr>
                <w:color w:val="000000"/>
              </w:rPr>
            </w:pPr>
            <w:r w:rsidRPr="009D7457">
              <w:rPr>
                <w:color w:val="000000"/>
              </w:rPr>
              <w:t>M</w:t>
            </w:r>
            <w:r>
              <w:rPr>
                <w:color w:val="000000"/>
              </w:rPr>
              <w:t>aximum sub-total for Part C = 11</w:t>
            </w:r>
          </w:p>
        </w:tc>
      </w:tr>
      <w:tr w:rsidR="00601CED" w:rsidRPr="00163D3D" w14:paraId="1BD11EF9" w14:textId="77777777" w:rsidTr="007E2341">
        <w:trPr>
          <w:cantSplit/>
          <w:trHeight w:val="70"/>
        </w:trPr>
        <w:tc>
          <w:tcPr>
            <w:tcW w:w="709" w:type="dxa"/>
            <w:tcBorders>
              <w:top w:val="single" w:sz="4" w:space="0" w:color="auto"/>
              <w:bottom w:val="single" w:sz="12" w:space="0" w:color="auto"/>
            </w:tcBorders>
          </w:tcPr>
          <w:p w14:paraId="0B6FA82E" w14:textId="77777777" w:rsidR="00601CED" w:rsidRPr="00163D3D" w:rsidRDefault="00601CED" w:rsidP="00601CED">
            <w:pPr>
              <w:pStyle w:val="TableText"/>
            </w:pPr>
          </w:p>
        </w:tc>
        <w:tc>
          <w:tcPr>
            <w:tcW w:w="8311" w:type="dxa"/>
            <w:gridSpan w:val="2"/>
            <w:tcBorders>
              <w:top w:val="single" w:sz="4" w:space="0" w:color="auto"/>
              <w:bottom w:val="single" w:sz="12" w:space="0" w:color="auto"/>
            </w:tcBorders>
          </w:tcPr>
          <w:p w14:paraId="5593A295" w14:textId="216ACC30" w:rsidR="00601CED" w:rsidRPr="00163D3D" w:rsidRDefault="00601CED" w:rsidP="00601CED">
            <w:pPr>
              <w:pStyle w:val="TableText"/>
            </w:pPr>
            <w:r w:rsidRPr="00163D3D">
              <w:t>M</w:t>
            </w:r>
            <w:r>
              <w:t xml:space="preserve">aximum total for parts </w:t>
            </w:r>
            <w:r w:rsidRPr="00163D3D">
              <w:t>A</w:t>
            </w:r>
            <w:r>
              <w:t xml:space="preserve"> +</w:t>
            </w:r>
            <w:r w:rsidRPr="00163D3D">
              <w:t xml:space="preserve"> B </w:t>
            </w:r>
            <w:r>
              <w:t>+</w:t>
            </w:r>
            <w:r w:rsidRPr="00163D3D">
              <w:t xml:space="preserve"> C </w:t>
            </w:r>
            <w:r>
              <w:t>=</w:t>
            </w:r>
            <w:r w:rsidRPr="00163D3D">
              <w:t xml:space="preserve"> </w:t>
            </w:r>
            <w:r>
              <w:t>88</w:t>
            </w:r>
          </w:p>
        </w:tc>
      </w:tr>
    </w:tbl>
    <w:p w14:paraId="49EDEF9B" w14:textId="77777777" w:rsidR="00246FF4" w:rsidRDefault="00246FF4" w:rsidP="004D7186">
      <w:pPr>
        <w:pStyle w:val="FigureTableNoteSource"/>
        <w:rPr>
          <w:lang w:eastAsia="ja-JP"/>
        </w:rPr>
      </w:pPr>
      <w:r w:rsidRPr="0026617C">
        <w:rPr>
          <w:lang w:eastAsia="ja-JP"/>
        </w:rPr>
        <w:t xml:space="preserve">Source: </w:t>
      </w:r>
      <w:r>
        <w:rPr>
          <w:lang w:eastAsia="ja-JP"/>
        </w:rPr>
        <w:t>Updated from Warne et al. (2018).</w:t>
      </w:r>
    </w:p>
    <w:p w14:paraId="409DFF10" w14:textId="6B560E74" w:rsidR="005110DE" w:rsidRDefault="005110DE" w:rsidP="00CF716C">
      <w:pPr>
        <w:pStyle w:val="FigureTableNoteSource"/>
      </w:pPr>
      <w:r w:rsidRPr="57352DF8">
        <w:rPr>
          <w:vertAlign w:val="superscript"/>
        </w:rPr>
        <w:t>a</w:t>
      </w:r>
      <w:r w:rsidRPr="57352DF8">
        <w:t xml:space="preserve"> Where a question has a </w:t>
      </w:r>
      <w:r w:rsidRPr="00CF716C">
        <w:t>possible</w:t>
      </w:r>
      <w:r w:rsidRPr="57352DF8">
        <w:t xml:space="preserve"> </w:t>
      </w:r>
      <w:r w:rsidR="00CF716C">
        <w:t>‘</w:t>
      </w:r>
      <w:r w:rsidRPr="57352DF8">
        <w:t>No (0/FAIL)</w:t>
      </w:r>
      <w:r w:rsidR="00CF716C">
        <w:t>’</w:t>
      </w:r>
      <w:r w:rsidRPr="57352DF8">
        <w:t xml:space="preserve"> outcome, professional </w:t>
      </w:r>
      <w:r w:rsidR="00542D1C">
        <w:t>judgement</w:t>
      </w:r>
      <w:r w:rsidRPr="57352DF8">
        <w:t xml:space="preserve"> may be required to determine if a 0 is assigned or if the test fails the quality</w:t>
      </w:r>
      <w:r w:rsidR="00CF716C">
        <w:t>-</w:t>
      </w:r>
      <w:r w:rsidRPr="57352DF8">
        <w:t>assessment process.</w:t>
      </w:r>
    </w:p>
    <w:p w14:paraId="44F64262" w14:textId="77777777" w:rsidR="006C5761" w:rsidRDefault="005110DE" w:rsidP="006C5761">
      <w:pPr>
        <w:pStyle w:val="FigureTableNoteSource"/>
      </w:pPr>
      <w:r w:rsidRPr="57352DF8">
        <w:rPr>
          <w:vertAlign w:val="superscript"/>
        </w:rPr>
        <w:t>b</w:t>
      </w:r>
      <w:r w:rsidRPr="57352DF8">
        <w:t xml:space="preserve"> See </w:t>
      </w:r>
      <w:r w:rsidR="00AD63D3" w:rsidRPr="00AD63D3">
        <w:fldChar w:fldCharType="begin"/>
      </w:r>
      <w:r w:rsidR="00AD63D3" w:rsidRPr="00AD63D3">
        <w:instrText xml:space="preserve"> REF _Ref520276250 \h </w:instrText>
      </w:r>
      <w:r w:rsidR="00AD63D3">
        <w:instrText xml:space="preserve"> \* MERGEFORMAT </w:instrText>
      </w:r>
      <w:r w:rsidR="00AD63D3" w:rsidRPr="00AD63D3">
        <w:fldChar w:fldCharType="separate"/>
      </w:r>
    </w:p>
    <w:p w14:paraId="556851B1" w14:textId="3A942E3A" w:rsidR="005110DE" w:rsidRDefault="006C5761" w:rsidP="00CF716C">
      <w:pPr>
        <w:pStyle w:val="FigureTableNoteSource"/>
      </w:pPr>
      <w:r w:rsidRPr="57352DF8">
        <w:t>Table</w:t>
      </w:r>
      <w:r>
        <w:t> </w:t>
      </w:r>
      <w:r>
        <w:rPr>
          <w:noProof/>
        </w:rPr>
        <w:t>2</w:t>
      </w:r>
      <w:r w:rsidR="00AD63D3" w:rsidRPr="00AD63D3">
        <w:fldChar w:fldCharType="end"/>
      </w:r>
      <w:r w:rsidR="005110DE" w:rsidRPr="57352DF8">
        <w:t xml:space="preserve"> for additional guidance.</w:t>
      </w:r>
    </w:p>
    <w:p w14:paraId="1E12DE73" w14:textId="77777777" w:rsidR="005110DE" w:rsidRDefault="005110DE" w:rsidP="004D7186">
      <w:r>
        <w:br w:type="page"/>
      </w:r>
    </w:p>
    <w:p w14:paraId="54ECB1E0" w14:textId="78044C0D" w:rsidR="005110DE" w:rsidRPr="00D636A6" w:rsidRDefault="00594F1C" w:rsidP="57352DF8">
      <w:pPr>
        <w:pStyle w:val="Caption"/>
      </w:pPr>
      <w:bookmarkStart w:id="183" w:name="_Toc206085230"/>
      <w:r>
        <w:lastRenderedPageBreak/>
        <w:t>Table</w:t>
      </w:r>
      <w:r w:rsidR="000B093C">
        <w:t> </w:t>
      </w:r>
      <w:r>
        <w:fldChar w:fldCharType="begin"/>
      </w:r>
      <w:r>
        <w:instrText xml:space="preserve"> STYLEREF 7 \s </w:instrText>
      </w:r>
      <w:r>
        <w:fldChar w:fldCharType="separate"/>
      </w:r>
      <w:r w:rsidR="006C5761">
        <w:rPr>
          <w:noProof/>
        </w:rPr>
        <w:t>B</w:t>
      </w:r>
      <w:r>
        <w:rPr>
          <w:noProof/>
        </w:rPr>
        <w:fldChar w:fldCharType="end"/>
      </w:r>
      <w:r>
        <w:t>.</w:t>
      </w:r>
      <w:r>
        <w:fldChar w:fldCharType="begin"/>
      </w:r>
      <w:r>
        <w:instrText xml:space="preserve"> SEQ ApxTable \* ARABIC \s 7 </w:instrText>
      </w:r>
      <w:r>
        <w:fldChar w:fldCharType="separate"/>
      </w:r>
      <w:r w:rsidR="006C5761">
        <w:rPr>
          <w:noProof/>
        </w:rPr>
        <w:t>4</w:t>
      </w:r>
      <w:r>
        <w:rPr>
          <w:noProof/>
        </w:rPr>
        <w:fldChar w:fldCharType="end"/>
      </w:r>
      <w:r w:rsidR="005110DE" w:rsidRPr="57352DF8">
        <w:t xml:space="preserve"> Scoring system for assessing the quality of toxicity data for contaminants (metal or non-metal) to marine</w:t>
      </w:r>
      <w:r>
        <w:t xml:space="preserve"> and </w:t>
      </w:r>
      <w:r w:rsidR="005110DE" w:rsidRPr="57352DF8">
        <w:t>estuarine non-plant species, to be used in the derivation of guideline values for toxicants</w:t>
      </w:r>
      <w:bookmarkEnd w:id="183"/>
    </w:p>
    <w:tbl>
      <w:tblPr>
        <w:tblW w:w="0" w:type="auto"/>
        <w:tblLayout w:type="fixed"/>
        <w:tblLook w:val="04A0" w:firstRow="1" w:lastRow="0" w:firstColumn="1" w:lastColumn="0" w:noHBand="0" w:noVBand="1"/>
      </w:tblPr>
      <w:tblGrid>
        <w:gridCol w:w="709"/>
        <w:gridCol w:w="6521"/>
        <w:gridCol w:w="1790"/>
      </w:tblGrid>
      <w:tr w:rsidR="007374DE" w:rsidRPr="00B1499A" w14:paraId="4FD99B53" w14:textId="77777777" w:rsidTr="00C0455D">
        <w:trPr>
          <w:cantSplit/>
          <w:trHeight w:val="320"/>
          <w:tblHeader/>
        </w:trPr>
        <w:tc>
          <w:tcPr>
            <w:tcW w:w="709" w:type="dxa"/>
            <w:tcBorders>
              <w:top w:val="single" w:sz="12" w:space="0" w:color="auto"/>
              <w:left w:val="nil"/>
              <w:bottom w:val="single" w:sz="12" w:space="0" w:color="auto"/>
              <w:right w:val="nil"/>
            </w:tcBorders>
            <w:noWrap/>
            <w:hideMark/>
          </w:tcPr>
          <w:p w14:paraId="693ECA3B" w14:textId="64DCE0B0" w:rsidR="007374DE" w:rsidRPr="00B1499A" w:rsidRDefault="007374DE" w:rsidP="00851228">
            <w:pPr>
              <w:pStyle w:val="TableHeading"/>
            </w:pPr>
            <w:r>
              <w:t>No.</w:t>
            </w:r>
          </w:p>
        </w:tc>
        <w:tc>
          <w:tcPr>
            <w:tcW w:w="6521" w:type="dxa"/>
            <w:tcBorders>
              <w:top w:val="single" w:sz="12" w:space="0" w:color="auto"/>
              <w:left w:val="nil"/>
              <w:bottom w:val="single" w:sz="12" w:space="0" w:color="auto"/>
              <w:right w:val="nil"/>
            </w:tcBorders>
          </w:tcPr>
          <w:p w14:paraId="1770BEE3" w14:textId="2E74A2F7" w:rsidR="007374DE" w:rsidRPr="00B1499A" w:rsidRDefault="007374DE" w:rsidP="00851228">
            <w:pPr>
              <w:pStyle w:val="TableHeading"/>
            </w:pPr>
            <w:r>
              <w:t>Question</w:t>
            </w:r>
          </w:p>
        </w:tc>
        <w:tc>
          <w:tcPr>
            <w:tcW w:w="1790" w:type="dxa"/>
            <w:tcBorders>
              <w:top w:val="single" w:sz="12" w:space="0" w:color="auto"/>
              <w:left w:val="nil"/>
              <w:bottom w:val="single" w:sz="12" w:space="0" w:color="auto"/>
              <w:right w:val="nil"/>
            </w:tcBorders>
            <w:noWrap/>
            <w:hideMark/>
          </w:tcPr>
          <w:p w14:paraId="5B57BC24" w14:textId="4312351F" w:rsidR="007374DE" w:rsidRPr="00B1499A" w:rsidRDefault="007374DE" w:rsidP="00851228">
            <w:pPr>
              <w:pStyle w:val="TableHeading"/>
            </w:pPr>
            <w:r>
              <w:t>Score</w:t>
            </w:r>
            <w:r w:rsidRPr="00F67D15">
              <w:rPr>
                <w:vertAlign w:val="superscript"/>
              </w:rPr>
              <w:t>a</w:t>
            </w:r>
          </w:p>
        </w:tc>
      </w:tr>
      <w:tr w:rsidR="005E2E82" w:rsidRPr="00903169" w14:paraId="2FEE2699" w14:textId="77777777" w:rsidTr="001220EF">
        <w:trPr>
          <w:cantSplit/>
          <w:trHeight w:val="320"/>
        </w:trPr>
        <w:tc>
          <w:tcPr>
            <w:tcW w:w="7230" w:type="dxa"/>
            <w:gridSpan w:val="2"/>
            <w:tcBorders>
              <w:top w:val="single" w:sz="12" w:space="0" w:color="auto"/>
              <w:left w:val="nil"/>
              <w:bottom w:val="single" w:sz="12" w:space="0" w:color="auto"/>
              <w:right w:val="nil"/>
            </w:tcBorders>
            <w:noWrap/>
            <w:hideMark/>
          </w:tcPr>
          <w:p w14:paraId="6A28AEB8" w14:textId="2C8CB47D" w:rsidR="005E2E82" w:rsidRPr="00B1499A" w:rsidRDefault="005E2E82" w:rsidP="005E2E82">
            <w:pPr>
              <w:pStyle w:val="TableText"/>
            </w:pPr>
            <w:r w:rsidRPr="002171FA">
              <w:rPr>
                <w:b/>
                <w:bCs/>
              </w:rPr>
              <w:t>A. G</w:t>
            </w:r>
            <w:r>
              <w:rPr>
                <w:b/>
                <w:bCs/>
              </w:rPr>
              <w:t>eneral test design information</w:t>
            </w:r>
          </w:p>
        </w:tc>
        <w:tc>
          <w:tcPr>
            <w:tcW w:w="1790" w:type="dxa"/>
            <w:tcBorders>
              <w:top w:val="single" w:sz="12" w:space="0" w:color="auto"/>
              <w:left w:val="nil"/>
              <w:bottom w:val="single" w:sz="12" w:space="0" w:color="auto"/>
              <w:right w:val="nil"/>
            </w:tcBorders>
            <w:noWrap/>
            <w:hideMark/>
          </w:tcPr>
          <w:p w14:paraId="35C3B471" w14:textId="2CF4EB2A" w:rsidR="005E2E82" w:rsidRPr="00B1499A" w:rsidRDefault="005E2E82" w:rsidP="005E2E82">
            <w:pPr>
              <w:pStyle w:val="TableText"/>
            </w:pPr>
          </w:p>
        </w:tc>
      </w:tr>
      <w:tr w:rsidR="00D62C7F" w:rsidRPr="00B1499A" w14:paraId="579005D7" w14:textId="77777777" w:rsidTr="00C0455D">
        <w:trPr>
          <w:cantSplit/>
          <w:trHeight w:val="320"/>
        </w:trPr>
        <w:tc>
          <w:tcPr>
            <w:tcW w:w="709" w:type="dxa"/>
            <w:tcBorders>
              <w:top w:val="single" w:sz="12" w:space="0" w:color="auto"/>
              <w:left w:val="nil"/>
              <w:bottom w:val="single" w:sz="4" w:space="0" w:color="auto"/>
              <w:right w:val="nil"/>
            </w:tcBorders>
            <w:hideMark/>
          </w:tcPr>
          <w:p w14:paraId="5E4B835D" w14:textId="4AEE763C" w:rsidR="00D62C7F" w:rsidRPr="00B1499A" w:rsidRDefault="00D62C7F" w:rsidP="00D62C7F">
            <w:pPr>
              <w:pStyle w:val="TableText"/>
            </w:pPr>
            <w:r w:rsidRPr="00B1499A">
              <w:t>1</w:t>
            </w:r>
          </w:p>
        </w:tc>
        <w:tc>
          <w:tcPr>
            <w:tcW w:w="6521" w:type="dxa"/>
            <w:tcBorders>
              <w:top w:val="single" w:sz="12" w:space="0" w:color="auto"/>
              <w:left w:val="nil"/>
              <w:bottom w:val="single" w:sz="4" w:space="0" w:color="auto"/>
              <w:right w:val="nil"/>
            </w:tcBorders>
            <w:hideMark/>
          </w:tcPr>
          <w:p w14:paraId="11FB6114" w14:textId="35464275" w:rsidR="00D62C7F" w:rsidRPr="00B1499A" w:rsidRDefault="00D62C7F" w:rsidP="00D62C7F">
            <w:pPr>
              <w:pStyle w:val="TableText"/>
              <w:rPr>
                <w:color w:val="000000"/>
              </w:rPr>
            </w:pPr>
            <w:r w:rsidRPr="57352DF8">
              <w:t>Was the duration of the exposure stated (</w:t>
            </w:r>
            <w:r>
              <w:t>e.g.</w:t>
            </w:r>
            <w:r w:rsidRPr="57352DF8">
              <w:t xml:space="preserve"> 48</w:t>
            </w:r>
            <w:r>
              <w:t xml:space="preserve"> h,</w:t>
            </w:r>
            <w:r w:rsidRPr="57352DF8">
              <w:t xml:space="preserve"> 96 h)?</w:t>
            </w:r>
          </w:p>
        </w:tc>
        <w:tc>
          <w:tcPr>
            <w:tcW w:w="1790" w:type="dxa"/>
            <w:tcBorders>
              <w:top w:val="single" w:sz="12" w:space="0" w:color="auto"/>
              <w:left w:val="nil"/>
              <w:bottom w:val="single" w:sz="4" w:space="0" w:color="auto"/>
              <w:right w:val="nil"/>
            </w:tcBorders>
            <w:hideMark/>
          </w:tcPr>
          <w:p w14:paraId="73C7EB05" w14:textId="6370621C" w:rsidR="00D62C7F" w:rsidRPr="00B1499A" w:rsidRDefault="00D62C7F" w:rsidP="00D62C7F">
            <w:pPr>
              <w:pStyle w:val="TableText"/>
            </w:pPr>
            <w:r w:rsidRPr="00B1499A">
              <w:t>Yes (3), No (0/FAIL)</w:t>
            </w:r>
          </w:p>
        </w:tc>
      </w:tr>
      <w:tr w:rsidR="00D62C7F" w:rsidRPr="00B1499A" w14:paraId="44CA4913" w14:textId="77777777" w:rsidTr="00C0455D">
        <w:trPr>
          <w:cantSplit/>
          <w:trHeight w:val="1040"/>
        </w:trPr>
        <w:tc>
          <w:tcPr>
            <w:tcW w:w="709" w:type="dxa"/>
            <w:tcBorders>
              <w:top w:val="single" w:sz="4" w:space="0" w:color="auto"/>
              <w:left w:val="nil"/>
              <w:bottom w:val="single" w:sz="4" w:space="0" w:color="auto"/>
              <w:right w:val="nil"/>
            </w:tcBorders>
            <w:hideMark/>
          </w:tcPr>
          <w:p w14:paraId="4B3D0004" w14:textId="6970C3AE" w:rsidR="00D62C7F" w:rsidRPr="00B1499A" w:rsidRDefault="00D62C7F" w:rsidP="00D62C7F">
            <w:pPr>
              <w:pStyle w:val="TableText"/>
            </w:pPr>
            <w:r w:rsidRPr="00B1499A">
              <w:t>2</w:t>
            </w:r>
          </w:p>
        </w:tc>
        <w:tc>
          <w:tcPr>
            <w:tcW w:w="6521" w:type="dxa"/>
            <w:tcBorders>
              <w:top w:val="single" w:sz="4" w:space="0" w:color="auto"/>
              <w:left w:val="nil"/>
              <w:bottom w:val="single" w:sz="4" w:space="0" w:color="auto"/>
              <w:right w:val="nil"/>
            </w:tcBorders>
            <w:hideMark/>
          </w:tcPr>
          <w:p w14:paraId="7E367D67" w14:textId="4A6EA017" w:rsidR="00D62C7F" w:rsidRPr="00B1499A" w:rsidRDefault="00D62C7F" w:rsidP="00D62C7F">
            <w:pPr>
              <w:pStyle w:val="TableText"/>
              <w:rPr>
                <w:color w:val="000000"/>
              </w:rPr>
            </w:pPr>
            <w:r w:rsidRPr="57352DF8">
              <w:t>Was the biological endpoint (</w:t>
            </w:r>
            <w:r>
              <w:t>e.g.</w:t>
            </w:r>
            <w:r w:rsidRPr="57352DF8">
              <w:t xml:space="preserve"> immobilisation</w:t>
            </w:r>
            <w:r>
              <w:t>,</w:t>
            </w:r>
            <w:r w:rsidRPr="57352DF8">
              <w:t xml:space="preserve"> population growth) stated? Note: </w:t>
            </w:r>
            <w:r>
              <w:t>e</w:t>
            </w:r>
            <w:r w:rsidRPr="57352DF8">
              <w:t xml:space="preserve">nsure that the endpoint is considered to be ecologically relevant. </w:t>
            </w:r>
            <w:r w:rsidR="003E565F">
              <w:t>Do not use e</w:t>
            </w:r>
            <w:r w:rsidRPr="57352DF8">
              <w:t>ndpoints with no demonstrated ecological relevance to derive guideline values</w:t>
            </w:r>
            <w:r w:rsidR="00236FD0">
              <w:t>,</w:t>
            </w:r>
            <w:r w:rsidRPr="57352DF8">
              <w:t xml:space="preserve"> and </w:t>
            </w:r>
            <w:r w:rsidR="00EA1935">
              <w:t xml:space="preserve">they </w:t>
            </w:r>
            <w:r w:rsidRPr="57352DF8">
              <w:t xml:space="preserve">do not need </w:t>
            </w:r>
            <w:r w:rsidR="00EA1935">
              <w:t>their</w:t>
            </w:r>
            <w:r w:rsidRPr="57352DF8">
              <w:t xml:space="preserve"> quality assessed.</w:t>
            </w:r>
          </w:p>
        </w:tc>
        <w:tc>
          <w:tcPr>
            <w:tcW w:w="1790" w:type="dxa"/>
            <w:tcBorders>
              <w:top w:val="single" w:sz="4" w:space="0" w:color="auto"/>
              <w:left w:val="nil"/>
              <w:bottom w:val="single" w:sz="4" w:space="0" w:color="auto"/>
              <w:right w:val="nil"/>
            </w:tcBorders>
            <w:hideMark/>
          </w:tcPr>
          <w:p w14:paraId="0B75E476" w14:textId="11007C75" w:rsidR="00D62C7F" w:rsidRPr="00B1499A" w:rsidRDefault="00D62C7F" w:rsidP="00D62C7F">
            <w:pPr>
              <w:pStyle w:val="TableText"/>
            </w:pPr>
            <w:r w:rsidRPr="00B1499A">
              <w:t>Yes (3), No (0/FAIL)</w:t>
            </w:r>
          </w:p>
        </w:tc>
      </w:tr>
      <w:tr w:rsidR="00D62C7F" w:rsidRPr="00B1499A" w14:paraId="555A66CA" w14:textId="77777777" w:rsidTr="00C0455D">
        <w:trPr>
          <w:cantSplit/>
          <w:trHeight w:val="780"/>
        </w:trPr>
        <w:tc>
          <w:tcPr>
            <w:tcW w:w="709" w:type="dxa"/>
            <w:tcBorders>
              <w:top w:val="single" w:sz="4" w:space="0" w:color="auto"/>
              <w:left w:val="nil"/>
              <w:bottom w:val="single" w:sz="4" w:space="0" w:color="auto"/>
              <w:right w:val="nil"/>
            </w:tcBorders>
            <w:hideMark/>
          </w:tcPr>
          <w:p w14:paraId="1F623F50" w14:textId="5AB34FC5" w:rsidR="00D62C7F" w:rsidRPr="00B1499A" w:rsidRDefault="00D62C7F" w:rsidP="00D62C7F">
            <w:pPr>
              <w:pStyle w:val="TableText"/>
            </w:pPr>
            <w:r w:rsidRPr="00B1499A">
              <w:t>3</w:t>
            </w:r>
          </w:p>
        </w:tc>
        <w:tc>
          <w:tcPr>
            <w:tcW w:w="6521" w:type="dxa"/>
            <w:tcBorders>
              <w:top w:val="single" w:sz="4" w:space="0" w:color="auto"/>
              <w:left w:val="nil"/>
              <w:bottom w:val="single" w:sz="4" w:space="0" w:color="auto"/>
              <w:right w:val="nil"/>
            </w:tcBorders>
            <w:hideMark/>
          </w:tcPr>
          <w:p w14:paraId="172398A3" w14:textId="1BA60FD3" w:rsidR="00D62C7F" w:rsidRPr="00B1499A" w:rsidRDefault="00D62C7F" w:rsidP="00D62C7F">
            <w:pPr>
              <w:pStyle w:val="TableText"/>
              <w:rPr>
                <w:color w:val="000000"/>
              </w:rPr>
            </w:pPr>
            <w:r w:rsidRPr="57352DF8">
              <w:t xml:space="preserve">Was the measure of toxicity reported (e.g. NEC, ECx, NOEC) </w:t>
            </w:r>
            <w:r w:rsidRPr="00CA02BC">
              <w:rPr>
                <w:b/>
                <w:bCs/>
              </w:rPr>
              <w:t>and</w:t>
            </w:r>
            <w:r w:rsidRPr="57352DF8">
              <w:t xml:space="preserve"> its associated biological</w:t>
            </w:r>
            <w:r w:rsidR="00371EB5">
              <w:t>-</w:t>
            </w:r>
            <w:r w:rsidRPr="57352DF8">
              <w:t>effect size reported or quantifiable from the data (e.g. EC10, LC50, 15% effect at NOEC)?</w:t>
            </w:r>
          </w:p>
        </w:tc>
        <w:tc>
          <w:tcPr>
            <w:tcW w:w="1790" w:type="dxa"/>
            <w:tcBorders>
              <w:top w:val="single" w:sz="4" w:space="0" w:color="auto"/>
              <w:left w:val="nil"/>
              <w:bottom w:val="single" w:sz="4" w:space="0" w:color="auto"/>
              <w:right w:val="nil"/>
            </w:tcBorders>
            <w:hideMark/>
          </w:tcPr>
          <w:p w14:paraId="4BA35E03" w14:textId="4CB9C9FF" w:rsidR="00D62C7F" w:rsidRPr="00B1499A" w:rsidRDefault="00D62C7F" w:rsidP="00D62C7F">
            <w:pPr>
              <w:pStyle w:val="TableText"/>
            </w:pPr>
            <w:r w:rsidRPr="00B1499A">
              <w:t>Yes (3), No (0/FAIL)</w:t>
            </w:r>
          </w:p>
        </w:tc>
      </w:tr>
      <w:tr w:rsidR="00D62C7F" w:rsidRPr="00B1499A" w14:paraId="26619B3A" w14:textId="77777777" w:rsidTr="00C0455D">
        <w:trPr>
          <w:cantSplit/>
          <w:trHeight w:val="320"/>
        </w:trPr>
        <w:tc>
          <w:tcPr>
            <w:tcW w:w="709" w:type="dxa"/>
            <w:tcBorders>
              <w:top w:val="single" w:sz="4" w:space="0" w:color="auto"/>
              <w:left w:val="nil"/>
              <w:bottom w:val="single" w:sz="4" w:space="0" w:color="auto"/>
              <w:right w:val="nil"/>
            </w:tcBorders>
            <w:hideMark/>
          </w:tcPr>
          <w:p w14:paraId="08263B16" w14:textId="0E872C42" w:rsidR="00D62C7F" w:rsidRPr="00B1499A" w:rsidRDefault="00D62C7F" w:rsidP="00D62C7F">
            <w:pPr>
              <w:pStyle w:val="TableText"/>
            </w:pPr>
            <w:r w:rsidRPr="00B1499A">
              <w:t>4</w:t>
            </w:r>
          </w:p>
        </w:tc>
        <w:tc>
          <w:tcPr>
            <w:tcW w:w="6521" w:type="dxa"/>
            <w:tcBorders>
              <w:top w:val="single" w:sz="4" w:space="0" w:color="auto"/>
              <w:left w:val="nil"/>
              <w:bottom w:val="single" w:sz="4" w:space="0" w:color="auto"/>
              <w:right w:val="nil"/>
            </w:tcBorders>
            <w:hideMark/>
          </w:tcPr>
          <w:p w14:paraId="3DB57D74" w14:textId="2AE3C668" w:rsidR="00D62C7F" w:rsidRPr="00B1499A" w:rsidRDefault="00D62C7F" w:rsidP="00D62C7F">
            <w:pPr>
              <w:pStyle w:val="TableText"/>
              <w:rPr>
                <w:color w:val="000000"/>
              </w:rPr>
            </w:pPr>
            <w:r w:rsidRPr="57352DF8">
              <w:t>Were appropriate controls (</w:t>
            </w:r>
            <w:r>
              <w:t>e.g.</w:t>
            </w:r>
            <w:r w:rsidRPr="57352DF8">
              <w:t xml:space="preserve"> no-toxicant control</w:t>
            </w:r>
            <w:r>
              <w:t>,</w:t>
            </w:r>
            <w:r w:rsidRPr="57352DF8">
              <w:t xml:space="preserve"> solvent control) used?</w:t>
            </w:r>
          </w:p>
        </w:tc>
        <w:tc>
          <w:tcPr>
            <w:tcW w:w="1790" w:type="dxa"/>
            <w:tcBorders>
              <w:top w:val="single" w:sz="4" w:space="0" w:color="auto"/>
              <w:left w:val="nil"/>
              <w:bottom w:val="single" w:sz="4" w:space="0" w:color="auto"/>
              <w:right w:val="nil"/>
            </w:tcBorders>
            <w:hideMark/>
          </w:tcPr>
          <w:p w14:paraId="769AA966" w14:textId="59E746BD" w:rsidR="00D62C7F" w:rsidRPr="00B1499A" w:rsidRDefault="00D62C7F" w:rsidP="00D62C7F">
            <w:pPr>
              <w:pStyle w:val="TableText"/>
            </w:pPr>
            <w:r w:rsidRPr="00B1499A">
              <w:t>Yes (3), No (0/FAIL)</w:t>
            </w:r>
            <w:r w:rsidRPr="00F67D15">
              <w:rPr>
                <w:vertAlign w:val="superscript"/>
              </w:rPr>
              <w:t>b</w:t>
            </w:r>
          </w:p>
        </w:tc>
      </w:tr>
      <w:tr w:rsidR="00D62C7F" w:rsidRPr="00A22B40" w14:paraId="4C26C122" w14:textId="77777777" w:rsidTr="00C0455D">
        <w:trPr>
          <w:cantSplit/>
          <w:trHeight w:val="520"/>
        </w:trPr>
        <w:tc>
          <w:tcPr>
            <w:tcW w:w="709" w:type="dxa"/>
            <w:tcBorders>
              <w:top w:val="single" w:sz="4" w:space="0" w:color="auto"/>
              <w:left w:val="nil"/>
              <w:bottom w:val="single" w:sz="4" w:space="0" w:color="auto"/>
              <w:right w:val="nil"/>
            </w:tcBorders>
            <w:hideMark/>
          </w:tcPr>
          <w:p w14:paraId="098CCC93" w14:textId="1891B21B" w:rsidR="00D62C7F" w:rsidRPr="00B1499A" w:rsidRDefault="00D62C7F" w:rsidP="00D62C7F">
            <w:pPr>
              <w:pStyle w:val="TableText"/>
            </w:pPr>
            <w:r w:rsidRPr="00B1499A">
              <w:t>5</w:t>
            </w:r>
          </w:p>
        </w:tc>
        <w:tc>
          <w:tcPr>
            <w:tcW w:w="6521" w:type="dxa"/>
            <w:tcBorders>
              <w:top w:val="single" w:sz="4" w:space="0" w:color="auto"/>
              <w:left w:val="nil"/>
              <w:bottom w:val="single" w:sz="4" w:space="0" w:color="auto"/>
              <w:right w:val="nil"/>
            </w:tcBorders>
            <w:hideMark/>
          </w:tcPr>
          <w:p w14:paraId="7990E855" w14:textId="286A6970" w:rsidR="00D62C7F" w:rsidRPr="00B1499A" w:rsidRDefault="00D62C7F" w:rsidP="00D62C7F">
            <w:pPr>
              <w:pStyle w:val="TableText"/>
            </w:pPr>
            <w:r w:rsidRPr="57352DF8">
              <w:t>How may treatment concentrations were used (in addition to the control)?</w:t>
            </w:r>
          </w:p>
        </w:tc>
        <w:tc>
          <w:tcPr>
            <w:tcW w:w="1790" w:type="dxa"/>
            <w:tcBorders>
              <w:top w:val="single" w:sz="4" w:space="0" w:color="auto"/>
              <w:left w:val="nil"/>
              <w:bottom w:val="single" w:sz="4" w:space="0" w:color="auto"/>
              <w:right w:val="nil"/>
            </w:tcBorders>
            <w:hideMark/>
          </w:tcPr>
          <w:p w14:paraId="472E0947" w14:textId="5B0E1B21" w:rsidR="00D62C7F" w:rsidRPr="00B1499A" w:rsidRDefault="00D62C7F" w:rsidP="00D62C7F">
            <w:pPr>
              <w:pStyle w:val="TableText"/>
            </w:pPr>
            <w:r w:rsidRPr="00B1499A">
              <w:t>≥</w:t>
            </w:r>
            <w:r>
              <w:t> </w:t>
            </w:r>
            <w:r w:rsidRPr="00B1499A">
              <w:t>9 (3), 6</w:t>
            </w:r>
            <w:r>
              <w:t>–</w:t>
            </w:r>
            <w:r w:rsidRPr="00B1499A">
              <w:t>8 (2), 3</w:t>
            </w:r>
            <w:r>
              <w:t>–</w:t>
            </w:r>
            <w:r w:rsidRPr="00B1499A">
              <w:t>5 (1), &lt;</w:t>
            </w:r>
            <w:r>
              <w:t> </w:t>
            </w:r>
            <w:r w:rsidRPr="00B1499A">
              <w:t>3 (0/FAIL)</w:t>
            </w:r>
            <w:r w:rsidRPr="00F67D15">
              <w:rPr>
                <w:color w:val="000000"/>
                <w:vertAlign w:val="superscript"/>
              </w:rPr>
              <w:t>b</w:t>
            </w:r>
          </w:p>
        </w:tc>
      </w:tr>
      <w:tr w:rsidR="00D62C7F" w:rsidRPr="00A22B40" w14:paraId="34F78F94" w14:textId="77777777" w:rsidTr="00C0455D">
        <w:trPr>
          <w:cantSplit/>
          <w:trHeight w:val="520"/>
        </w:trPr>
        <w:tc>
          <w:tcPr>
            <w:tcW w:w="709" w:type="dxa"/>
            <w:tcBorders>
              <w:top w:val="single" w:sz="4" w:space="0" w:color="auto"/>
              <w:left w:val="nil"/>
              <w:bottom w:val="single" w:sz="4" w:space="0" w:color="auto"/>
              <w:right w:val="nil"/>
            </w:tcBorders>
            <w:hideMark/>
          </w:tcPr>
          <w:p w14:paraId="05CC151D" w14:textId="4733AF22" w:rsidR="00D62C7F" w:rsidRPr="00B1499A" w:rsidRDefault="00D62C7F" w:rsidP="00D62C7F">
            <w:pPr>
              <w:pStyle w:val="TableText"/>
            </w:pPr>
            <w:r w:rsidRPr="00B1499A">
              <w:t>6</w:t>
            </w:r>
          </w:p>
        </w:tc>
        <w:tc>
          <w:tcPr>
            <w:tcW w:w="6521" w:type="dxa"/>
            <w:tcBorders>
              <w:top w:val="single" w:sz="4" w:space="0" w:color="auto"/>
              <w:left w:val="nil"/>
              <w:bottom w:val="single" w:sz="4" w:space="0" w:color="auto"/>
              <w:right w:val="nil"/>
            </w:tcBorders>
            <w:hideMark/>
          </w:tcPr>
          <w:p w14:paraId="0152B243" w14:textId="2D84FEC6" w:rsidR="00D62C7F" w:rsidRPr="00B1499A" w:rsidRDefault="00D62C7F" w:rsidP="00D62C7F">
            <w:pPr>
              <w:pStyle w:val="TableText"/>
            </w:pPr>
            <w:r w:rsidRPr="00B1499A">
              <w:t xml:space="preserve">What was the test concentration spacing? Note: </w:t>
            </w:r>
            <w:r>
              <w:t>a</w:t>
            </w:r>
            <w:r w:rsidRPr="00B1499A">
              <w:t xml:space="preserve"> spacing of &lt;</w:t>
            </w:r>
            <w:r>
              <w:t> </w:t>
            </w:r>
            <w:r w:rsidRPr="00B1499A">
              <w:t>3.2 is highly preferred, while a spacing of ≥</w:t>
            </w:r>
            <w:r>
              <w:t> </w:t>
            </w:r>
            <w:r w:rsidRPr="00B1499A">
              <w:t>10 is too great</w:t>
            </w:r>
            <w:r>
              <w:t>.</w:t>
            </w:r>
          </w:p>
        </w:tc>
        <w:tc>
          <w:tcPr>
            <w:tcW w:w="1790" w:type="dxa"/>
            <w:tcBorders>
              <w:top w:val="single" w:sz="4" w:space="0" w:color="auto"/>
              <w:left w:val="nil"/>
              <w:bottom w:val="single" w:sz="4" w:space="0" w:color="auto"/>
              <w:right w:val="nil"/>
            </w:tcBorders>
            <w:hideMark/>
          </w:tcPr>
          <w:p w14:paraId="5C8D54B5" w14:textId="52B584F8" w:rsidR="00D62C7F" w:rsidRPr="00B1499A" w:rsidRDefault="00D62C7F" w:rsidP="00D62C7F">
            <w:pPr>
              <w:pStyle w:val="TableText"/>
            </w:pPr>
            <w:r w:rsidRPr="00B1499A">
              <w:t>≤</w:t>
            </w:r>
            <w:r>
              <w:t> </w:t>
            </w:r>
            <w:r w:rsidRPr="00B1499A">
              <w:t>3.2 (3), 3.3</w:t>
            </w:r>
            <w:r>
              <w:t>–</w:t>
            </w:r>
            <w:r w:rsidRPr="00B1499A">
              <w:t>9 (1), ≥</w:t>
            </w:r>
            <w:r>
              <w:t> </w:t>
            </w:r>
            <w:r w:rsidRPr="00B1499A">
              <w:t>10 (0/FAIL)</w:t>
            </w:r>
            <w:r w:rsidRPr="00F67D15">
              <w:rPr>
                <w:color w:val="000000"/>
                <w:vertAlign w:val="superscript"/>
              </w:rPr>
              <w:t>b</w:t>
            </w:r>
          </w:p>
        </w:tc>
      </w:tr>
      <w:tr w:rsidR="00D62C7F" w:rsidRPr="00A22B40" w14:paraId="604FD75F" w14:textId="77777777" w:rsidTr="00C0455D">
        <w:trPr>
          <w:cantSplit/>
          <w:trHeight w:val="780"/>
        </w:trPr>
        <w:tc>
          <w:tcPr>
            <w:tcW w:w="709" w:type="dxa"/>
            <w:tcBorders>
              <w:top w:val="single" w:sz="4" w:space="0" w:color="auto"/>
              <w:left w:val="nil"/>
              <w:bottom w:val="single" w:sz="4" w:space="0" w:color="auto"/>
              <w:right w:val="nil"/>
            </w:tcBorders>
            <w:hideMark/>
          </w:tcPr>
          <w:p w14:paraId="184BEE52" w14:textId="18BB0E57" w:rsidR="00D62C7F" w:rsidRPr="00B1499A" w:rsidRDefault="00D62C7F" w:rsidP="00D62C7F">
            <w:pPr>
              <w:pStyle w:val="TableText"/>
            </w:pPr>
            <w:r w:rsidRPr="00B1499A">
              <w:t>7</w:t>
            </w:r>
          </w:p>
        </w:tc>
        <w:tc>
          <w:tcPr>
            <w:tcW w:w="6521" w:type="dxa"/>
            <w:tcBorders>
              <w:top w:val="single" w:sz="4" w:space="0" w:color="auto"/>
              <w:left w:val="nil"/>
              <w:bottom w:val="single" w:sz="4" w:space="0" w:color="auto"/>
              <w:right w:val="nil"/>
            </w:tcBorders>
            <w:hideMark/>
          </w:tcPr>
          <w:p w14:paraId="34027331" w14:textId="5369264B" w:rsidR="00D62C7F" w:rsidRPr="00B1499A" w:rsidRDefault="00D62C7F" w:rsidP="00D62C7F">
            <w:pPr>
              <w:pStyle w:val="TableText"/>
            </w:pPr>
            <w:r w:rsidRPr="00B1499A">
              <w:t xml:space="preserve">Was each control and chemical concentration at least duplicated? Note: for concentration-response modelling, it is also </w:t>
            </w:r>
            <w:r w:rsidRPr="00A22B40">
              <w:t>acceptable</w:t>
            </w:r>
            <w:r w:rsidRPr="00B1499A">
              <w:t xml:space="preserve"> to have many concentrations (e.g</w:t>
            </w:r>
            <w:r>
              <w:t>.</w:t>
            </w:r>
            <w:r w:rsidRPr="00B1499A">
              <w:t xml:space="preserve"> &gt;</w:t>
            </w:r>
            <w:r>
              <w:t> </w:t>
            </w:r>
            <w:r w:rsidRPr="00B1499A">
              <w:t>15) without replication (assuming the controls are replicated).</w:t>
            </w:r>
          </w:p>
        </w:tc>
        <w:tc>
          <w:tcPr>
            <w:tcW w:w="1790" w:type="dxa"/>
            <w:tcBorders>
              <w:top w:val="single" w:sz="4" w:space="0" w:color="auto"/>
              <w:left w:val="nil"/>
              <w:bottom w:val="single" w:sz="4" w:space="0" w:color="auto"/>
              <w:right w:val="nil"/>
            </w:tcBorders>
            <w:hideMark/>
          </w:tcPr>
          <w:p w14:paraId="5D09E981" w14:textId="03EEDCC6" w:rsidR="00D62C7F" w:rsidRPr="00B1499A" w:rsidRDefault="00D62C7F" w:rsidP="00D62C7F">
            <w:pPr>
              <w:pStyle w:val="TableText"/>
            </w:pPr>
            <w:r w:rsidRPr="00B1499A">
              <w:t>Yes (3), No (0/FAIL)</w:t>
            </w:r>
          </w:p>
        </w:tc>
      </w:tr>
      <w:tr w:rsidR="00D62C7F" w:rsidRPr="00B1499A" w14:paraId="54F6C9CE" w14:textId="77777777" w:rsidTr="00C0455D">
        <w:trPr>
          <w:cantSplit/>
          <w:trHeight w:val="320"/>
        </w:trPr>
        <w:tc>
          <w:tcPr>
            <w:tcW w:w="709" w:type="dxa"/>
            <w:tcBorders>
              <w:top w:val="single" w:sz="4" w:space="0" w:color="auto"/>
              <w:left w:val="nil"/>
              <w:bottom w:val="single" w:sz="4" w:space="0" w:color="auto"/>
              <w:right w:val="nil"/>
            </w:tcBorders>
            <w:hideMark/>
          </w:tcPr>
          <w:p w14:paraId="72064BB9" w14:textId="7D983D04" w:rsidR="00D62C7F" w:rsidRPr="00B1499A" w:rsidRDefault="00D62C7F" w:rsidP="00D62C7F">
            <w:pPr>
              <w:pStyle w:val="TableText"/>
            </w:pPr>
            <w:r w:rsidRPr="00B1499A">
              <w:t>8</w:t>
            </w:r>
          </w:p>
        </w:tc>
        <w:tc>
          <w:tcPr>
            <w:tcW w:w="6521" w:type="dxa"/>
            <w:tcBorders>
              <w:top w:val="single" w:sz="4" w:space="0" w:color="auto"/>
              <w:left w:val="nil"/>
              <w:bottom w:val="single" w:sz="4" w:space="0" w:color="auto"/>
              <w:right w:val="nil"/>
            </w:tcBorders>
            <w:hideMark/>
          </w:tcPr>
          <w:p w14:paraId="7693EDD7" w14:textId="528BCDB3" w:rsidR="00D62C7F" w:rsidRPr="00B1499A" w:rsidRDefault="00D62C7F" w:rsidP="00D62C7F">
            <w:pPr>
              <w:pStyle w:val="TableText"/>
              <w:rPr>
                <w:color w:val="000000"/>
              </w:rPr>
            </w:pPr>
            <w:r w:rsidRPr="57352DF8">
              <w:t>Were the characteristics of the test organism (</w:t>
            </w:r>
            <w:r>
              <w:t>e.g.</w:t>
            </w:r>
            <w:r w:rsidRPr="57352DF8">
              <w:t xml:space="preserve"> length, mass, age) stated?</w:t>
            </w:r>
          </w:p>
        </w:tc>
        <w:tc>
          <w:tcPr>
            <w:tcW w:w="1790" w:type="dxa"/>
            <w:tcBorders>
              <w:top w:val="single" w:sz="4" w:space="0" w:color="auto"/>
              <w:left w:val="nil"/>
              <w:bottom w:val="single" w:sz="4" w:space="0" w:color="auto"/>
              <w:right w:val="nil"/>
            </w:tcBorders>
            <w:hideMark/>
          </w:tcPr>
          <w:p w14:paraId="2418580E" w14:textId="585F2FC1" w:rsidR="00D62C7F" w:rsidRPr="00B1499A" w:rsidRDefault="00D62C7F" w:rsidP="00D62C7F">
            <w:pPr>
              <w:pStyle w:val="TableText"/>
            </w:pPr>
            <w:r w:rsidRPr="00B1499A">
              <w:t>Yes (3), No (0)</w:t>
            </w:r>
          </w:p>
        </w:tc>
      </w:tr>
      <w:tr w:rsidR="00D62C7F" w:rsidRPr="00A22B40" w14:paraId="70DB9C16" w14:textId="77777777" w:rsidTr="00C0455D">
        <w:trPr>
          <w:cantSplit/>
          <w:trHeight w:val="520"/>
        </w:trPr>
        <w:tc>
          <w:tcPr>
            <w:tcW w:w="709" w:type="dxa"/>
            <w:tcBorders>
              <w:top w:val="single" w:sz="4" w:space="0" w:color="auto"/>
              <w:left w:val="nil"/>
              <w:bottom w:val="single" w:sz="4" w:space="0" w:color="auto"/>
              <w:right w:val="nil"/>
            </w:tcBorders>
            <w:hideMark/>
          </w:tcPr>
          <w:p w14:paraId="1AA8D0EF" w14:textId="56B7F640" w:rsidR="00D62C7F" w:rsidRPr="00B1499A" w:rsidRDefault="00D62C7F" w:rsidP="00D62C7F">
            <w:pPr>
              <w:pStyle w:val="TableText"/>
            </w:pPr>
            <w:r w:rsidRPr="00B1499A">
              <w:t>9</w:t>
            </w:r>
          </w:p>
        </w:tc>
        <w:tc>
          <w:tcPr>
            <w:tcW w:w="6521" w:type="dxa"/>
            <w:tcBorders>
              <w:top w:val="single" w:sz="4" w:space="0" w:color="auto"/>
              <w:left w:val="nil"/>
              <w:bottom w:val="single" w:sz="4" w:space="0" w:color="auto"/>
              <w:right w:val="nil"/>
            </w:tcBorders>
            <w:hideMark/>
          </w:tcPr>
          <w:p w14:paraId="59642648" w14:textId="6A6EC7BE" w:rsidR="00D62C7F" w:rsidRPr="00B1499A" w:rsidRDefault="00D62C7F" w:rsidP="00D62C7F">
            <w:pPr>
              <w:pStyle w:val="TableText"/>
            </w:pPr>
            <w:r w:rsidRPr="57352DF8">
              <w:t>Was the type of test medium used stated (e.g. synthetic or natural water? If synthetic, to what recipe? If natural, what source? Filtered or unfiltered?)</w:t>
            </w:r>
            <w:r>
              <w:t>?</w:t>
            </w:r>
          </w:p>
        </w:tc>
        <w:tc>
          <w:tcPr>
            <w:tcW w:w="1790" w:type="dxa"/>
            <w:tcBorders>
              <w:top w:val="single" w:sz="4" w:space="0" w:color="auto"/>
              <w:left w:val="nil"/>
              <w:bottom w:val="single" w:sz="4" w:space="0" w:color="auto"/>
              <w:right w:val="nil"/>
            </w:tcBorders>
            <w:hideMark/>
          </w:tcPr>
          <w:p w14:paraId="721D809B" w14:textId="36F1C3B4" w:rsidR="00D62C7F" w:rsidRPr="00B1499A" w:rsidRDefault="00D62C7F" w:rsidP="00D62C7F">
            <w:pPr>
              <w:pStyle w:val="TableText"/>
            </w:pPr>
            <w:r w:rsidRPr="00B1499A">
              <w:t>Yes (3), No (0)</w:t>
            </w:r>
          </w:p>
        </w:tc>
      </w:tr>
      <w:tr w:rsidR="00D62C7F" w:rsidRPr="00B1499A" w14:paraId="741F72ED" w14:textId="77777777" w:rsidTr="00C0455D">
        <w:trPr>
          <w:cantSplit/>
          <w:trHeight w:val="320"/>
        </w:trPr>
        <w:tc>
          <w:tcPr>
            <w:tcW w:w="709" w:type="dxa"/>
            <w:tcBorders>
              <w:top w:val="single" w:sz="4" w:space="0" w:color="auto"/>
              <w:left w:val="nil"/>
              <w:bottom w:val="single" w:sz="4" w:space="0" w:color="auto"/>
              <w:right w:val="nil"/>
            </w:tcBorders>
            <w:hideMark/>
          </w:tcPr>
          <w:p w14:paraId="33FFF9D8" w14:textId="73ED97A5" w:rsidR="00D62C7F" w:rsidRPr="00B1499A" w:rsidRDefault="00D62C7F" w:rsidP="00D62C7F">
            <w:pPr>
              <w:pStyle w:val="TableText"/>
            </w:pPr>
            <w:r w:rsidRPr="00B1499A">
              <w:t>10</w:t>
            </w:r>
          </w:p>
        </w:tc>
        <w:tc>
          <w:tcPr>
            <w:tcW w:w="6521" w:type="dxa"/>
            <w:tcBorders>
              <w:top w:val="single" w:sz="4" w:space="0" w:color="auto"/>
              <w:left w:val="nil"/>
              <w:bottom w:val="single" w:sz="4" w:space="0" w:color="auto"/>
              <w:right w:val="nil"/>
            </w:tcBorders>
            <w:hideMark/>
          </w:tcPr>
          <w:p w14:paraId="7E20A510" w14:textId="65EC4239" w:rsidR="00D62C7F" w:rsidRPr="00B1499A" w:rsidRDefault="00D62C7F" w:rsidP="00D62C7F">
            <w:pPr>
              <w:pStyle w:val="TableText"/>
              <w:rPr>
                <w:color w:val="000000"/>
              </w:rPr>
            </w:pPr>
            <w:r w:rsidRPr="57352DF8">
              <w:t>Was the type of exposure (</w:t>
            </w:r>
            <w:r>
              <w:t>e.g.</w:t>
            </w:r>
            <w:r w:rsidRPr="57352DF8">
              <w:t xml:space="preserve"> static, flow-through) stated?</w:t>
            </w:r>
          </w:p>
        </w:tc>
        <w:tc>
          <w:tcPr>
            <w:tcW w:w="1790" w:type="dxa"/>
            <w:tcBorders>
              <w:top w:val="single" w:sz="4" w:space="0" w:color="auto"/>
              <w:left w:val="nil"/>
              <w:bottom w:val="single" w:sz="4" w:space="0" w:color="auto"/>
              <w:right w:val="nil"/>
            </w:tcBorders>
            <w:hideMark/>
          </w:tcPr>
          <w:p w14:paraId="45694F99" w14:textId="33B57AB8" w:rsidR="00D62C7F" w:rsidRPr="00B1499A" w:rsidRDefault="00D62C7F" w:rsidP="00D62C7F">
            <w:pPr>
              <w:pStyle w:val="TableText"/>
            </w:pPr>
            <w:r w:rsidRPr="00B1499A">
              <w:t>Yes (3), No (0)</w:t>
            </w:r>
          </w:p>
        </w:tc>
      </w:tr>
      <w:tr w:rsidR="00D62C7F" w:rsidRPr="00B1499A" w14:paraId="5FA3AB82" w14:textId="77777777" w:rsidTr="00C0455D">
        <w:trPr>
          <w:cantSplit/>
          <w:trHeight w:val="320"/>
        </w:trPr>
        <w:tc>
          <w:tcPr>
            <w:tcW w:w="709" w:type="dxa"/>
            <w:tcBorders>
              <w:top w:val="single" w:sz="4" w:space="0" w:color="auto"/>
              <w:left w:val="nil"/>
              <w:bottom w:val="single" w:sz="12" w:space="0" w:color="auto"/>
              <w:right w:val="nil"/>
            </w:tcBorders>
            <w:hideMark/>
          </w:tcPr>
          <w:p w14:paraId="7588DFD6" w14:textId="77777777" w:rsidR="00D62C7F" w:rsidRPr="00B1499A" w:rsidRDefault="00D62C7F" w:rsidP="00D62C7F">
            <w:pPr>
              <w:pStyle w:val="TableText"/>
            </w:pPr>
          </w:p>
        </w:tc>
        <w:tc>
          <w:tcPr>
            <w:tcW w:w="8311" w:type="dxa"/>
            <w:gridSpan w:val="2"/>
            <w:tcBorders>
              <w:top w:val="single" w:sz="4" w:space="0" w:color="auto"/>
              <w:left w:val="nil"/>
              <w:bottom w:val="single" w:sz="12" w:space="0" w:color="auto"/>
              <w:right w:val="nil"/>
            </w:tcBorders>
            <w:noWrap/>
            <w:hideMark/>
          </w:tcPr>
          <w:p w14:paraId="1F000A9B" w14:textId="15FEDE75" w:rsidR="00D62C7F" w:rsidRPr="00B1499A" w:rsidRDefault="00D62C7F" w:rsidP="00D62C7F">
            <w:pPr>
              <w:pStyle w:val="TableText"/>
              <w:rPr>
                <w:rFonts w:ascii="Aptos Narrow" w:hAnsi="Aptos Narrow" w:cs="Times New Roman"/>
                <w:color w:val="000000"/>
              </w:rPr>
            </w:pPr>
            <w:r w:rsidRPr="00DF2AF9">
              <w:t>M</w:t>
            </w:r>
            <w:r>
              <w:t>aximum sub-total for Part A = 30</w:t>
            </w:r>
          </w:p>
        </w:tc>
      </w:tr>
      <w:tr w:rsidR="005E2E82" w:rsidRPr="00997AE6" w14:paraId="2FAAFD8D" w14:textId="77777777" w:rsidTr="001220EF">
        <w:trPr>
          <w:cantSplit/>
          <w:trHeight w:val="320"/>
        </w:trPr>
        <w:tc>
          <w:tcPr>
            <w:tcW w:w="7230" w:type="dxa"/>
            <w:gridSpan w:val="2"/>
            <w:tcBorders>
              <w:top w:val="single" w:sz="12" w:space="0" w:color="auto"/>
              <w:left w:val="nil"/>
              <w:bottom w:val="single" w:sz="12" w:space="0" w:color="auto"/>
              <w:right w:val="nil"/>
            </w:tcBorders>
            <w:noWrap/>
            <w:hideMark/>
          </w:tcPr>
          <w:p w14:paraId="24F773D8" w14:textId="6DA8F1CA" w:rsidR="005E2E82" w:rsidRPr="00997AE6" w:rsidRDefault="005E2E82" w:rsidP="005E2E82">
            <w:pPr>
              <w:pStyle w:val="TableText"/>
            </w:pPr>
            <w:r w:rsidRPr="009D6B76">
              <w:rPr>
                <w:b/>
                <w:bCs/>
              </w:rPr>
              <w:t>B. Test performance/results</w:t>
            </w:r>
          </w:p>
        </w:tc>
        <w:tc>
          <w:tcPr>
            <w:tcW w:w="1790" w:type="dxa"/>
            <w:tcBorders>
              <w:top w:val="single" w:sz="12" w:space="0" w:color="auto"/>
              <w:left w:val="nil"/>
              <w:bottom w:val="single" w:sz="12" w:space="0" w:color="auto"/>
              <w:right w:val="nil"/>
            </w:tcBorders>
            <w:hideMark/>
          </w:tcPr>
          <w:p w14:paraId="4423E23C" w14:textId="0550BC13" w:rsidR="005E2E82" w:rsidRPr="00997AE6" w:rsidRDefault="005E2E82" w:rsidP="005E2E82">
            <w:pPr>
              <w:pStyle w:val="TableText"/>
            </w:pPr>
          </w:p>
        </w:tc>
      </w:tr>
      <w:tr w:rsidR="00D62C7F" w:rsidRPr="00997AE6" w14:paraId="3DE1ED85" w14:textId="77777777" w:rsidTr="00C0455D">
        <w:trPr>
          <w:cantSplit/>
          <w:trHeight w:val="520"/>
        </w:trPr>
        <w:tc>
          <w:tcPr>
            <w:tcW w:w="709" w:type="dxa"/>
            <w:tcBorders>
              <w:top w:val="single" w:sz="12" w:space="0" w:color="auto"/>
              <w:left w:val="nil"/>
              <w:bottom w:val="single" w:sz="4" w:space="0" w:color="auto"/>
              <w:right w:val="nil"/>
            </w:tcBorders>
            <w:hideMark/>
          </w:tcPr>
          <w:p w14:paraId="4DCDD753" w14:textId="054BCCFE" w:rsidR="00D62C7F" w:rsidRPr="00997AE6" w:rsidRDefault="00D62C7F" w:rsidP="00D62C7F">
            <w:pPr>
              <w:pStyle w:val="TableText"/>
            </w:pPr>
            <w:r w:rsidRPr="00997AE6">
              <w:t>11</w:t>
            </w:r>
          </w:p>
        </w:tc>
        <w:tc>
          <w:tcPr>
            <w:tcW w:w="6521" w:type="dxa"/>
            <w:tcBorders>
              <w:top w:val="single" w:sz="12" w:space="0" w:color="auto"/>
              <w:left w:val="nil"/>
              <w:bottom w:val="single" w:sz="4" w:space="0" w:color="auto"/>
              <w:right w:val="nil"/>
            </w:tcBorders>
            <w:hideMark/>
          </w:tcPr>
          <w:p w14:paraId="6CCA6178" w14:textId="20579EAD" w:rsidR="00D62C7F" w:rsidRPr="00997AE6" w:rsidRDefault="00D62C7F" w:rsidP="00D62C7F">
            <w:pPr>
              <w:pStyle w:val="TableText"/>
            </w:pPr>
            <w:r w:rsidRPr="57352DF8">
              <w:t>Were analytical reagent</w:t>
            </w:r>
            <w:r>
              <w:t>-</w:t>
            </w:r>
            <w:r w:rsidRPr="57352DF8">
              <w:t>grade chemicals or the highest possible purity chemicals used for the experiment?</w:t>
            </w:r>
          </w:p>
        </w:tc>
        <w:tc>
          <w:tcPr>
            <w:tcW w:w="1790" w:type="dxa"/>
            <w:tcBorders>
              <w:top w:val="single" w:sz="12" w:space="0" w:color="auto"/>
              <w:left w:val="nil"/>
              <w:bottom w:val="single" w:sz="4" w:space="0" w:color="auto"/>
              <w:right w:val="nil"/>
            </w:tcBorders>
            <w:hideMark/>
          </w:tcPr>
          <w:p w14:paraId="2B0A1C06" w14:textId="721CE23D" w:rsidR="00D62C7F" w:rsidRPr="00997AE6" w:rsidRDefault="00D62C7F" w:rsidP="00D62C7F">
            <w:pPr>
              <w:pStyle w:val="TableText"/>
            </w:pPr>
            <w:r w:rsidRPr="57352DF8">
              <w:t>Yes (3), No/</w:t>
            </w:r>
            <w:r>
              <w:t>n</w:t>
            </w:r>
            <w:r w:rsidRPr="57352DF8">
              <w:t>ot stated (0)</w:t>
            </w:r>
          </w:p>
        </w:tc>
      </w:tr>
      <w:tr w:rsidR="00D62C7F" w:rsidRPr="00997AE6" w14:paraId="0B6CD52A" w14:textId="77777777" w:rsidTr="00C0455D">
        <w:trPr>
          <w:cantSplit/>
          <w:trHeight w:val="780"/>
        </w:trPr>
        <w:tc>
          <w:tcPr>
            <w:tcW w:w="709" w:type="dxa"/>
            <w:tcBorders>
              <w:top w:val="single" w:sz="4" w:space="0" w:color="auto"/>
              <w:left w:val="nil"/>
              <w:bottom w:val="single" w:sz="4" w:space="0" w:color="auto"/>
              <w:right w:val="nil"/>
            </w:tcBorders>
            <w:hideMark/>
          </w:tcPr>
          <w:p w14:paraId="1F61CAE7" w14:textId="5920300D" w:rsidR="00D62C7F" w:rsidRPr="00997AE6" w:rsidRDefault="00D62C7F" w:rsidP="00D62C7F">
            <w:pPr>
              <w:pStyle w:val="TableText"/>
            </w:pPr>
            <w:r w:rsidRPr="00997AE6">
              <w:t>12 (A)</w:t>
            </w:r>
          </w:p>
        </w:tc>
        <w:tc>
          <w:tcPr>
            <w:tcW w:w="6521" w:type="dxa"/>
            <w:tcBorders>
              <w:top w:val="single" w:sz="4" w:space="0" w:color="auto"/>
              <w:left w:val="nil"/>
              <w:bottom w:val="single" w:sz="4" w:space="0" w:color="auto"/>
              <w:right w:val="nil"/>
            </w:tcBorders>
            <w:hideMark/>
          </w:tcPr>
          <w:p w14:paraId="05B1D39E" w14:textId="1CDDF426" w:rsidR="00D62C7F" w:rsidRPr="00997AE6" w:rsidRDefault="00D62C7F" w:rsidP="00D62C7F">
            <w:pPr>
              <w:pStyle w:val="TableText"/>
            </w:pPr>
            <w:r w:rsidRPr="57352DF8">
              <w:t>Were test solutions, blanks and/or controls tested for common contamination (e.g. elevated naturally</w:t>
            </w:r>
            <w:r>
              <w:t xml:space="preserve"> </w:t>
            </w:r>
            <w:r w:rsidRPr="57352DF8">
              <w:t>occurring substances</w:t>
            </w:r>
            <w:r>
              <w:t>,</w:t>
            </w:r>
            <w:r w:rsidRPr="57352DF8">
              <w:t xml:space="preserve"> such as nutrients, metals, metalloids) or other suspect contaminants?</w:t>
            </w:r>
          </w:p>
        </w:tc>
        <w:tc>
          <w:tcPr>
            <w:tcW w:w="1790" w:type="dxa"/>
            <w:tcBorders>
              <w:top w:val="single" w:sz="4" w:space="0" w:color="auto"/>
              <w:left w:val="nil"/>
              <w:bottom w:val="single" w:sz="4" w:space="0" w:color="auto"/>
              <w:right w:val="nil"/>
            </w:tcBorders>
            <w:hideMark/>
          </w:tcPr>
          <w:p w14:paraId="121003C2" w14:textId="2FA1F9B9" w:rsidR="00D62C7F" w:rsidRPr="00997AE6" w:rsidRDefault="00D62C7F" w:rsidP="00D62C7F">
            <w:pPr>
              <w:pStyle w:val="TableText"/>
            </w:pPr>
            <w:r w:rsidRPr="57352DF8">
              <w:t>Yes (2), No/</w:t>
            </w:r>
            <w:r>
              <w:t>n</w:t>
            </w:r>
            <w:r w:rsidRPr="57352DF8">
              <w:t>ot stated (0)</w:t>
            </w:r>
          </w:p>
        </w:tc>
      </w:tr>
      <w:tr w:rsidR="00D62C7F" w:rsidRPr="00997AE6" w14:paraId="08435F87" w14:textId="77777777" w:rsidTr="00C0455D">
        <w:trPr>
          <w:cantSplit/>
          <w:trHeight w:val="320"/>
        </w:trPr>
        <w:tc>
          <w:tcPr>
            <w:tcW w:w="709" w:type="dxa"/>
            <w:tcBorders>
              <w:top w:val="single" w:sz="4" w:space="0" w:color="auto"/>
              <w:left w:val="nil"/>
              <w:bottom w:val="single" w:sz="4" w:space="0" w:color="auto"/>
              <w:right w:val="nil"/>
            </w:tcBorders>
            <w:hideMark/>
          </w:tcPr>
          <w:p w14:paraId="693A5BC3" w14:textId="73F60186" w:rsidR="00D62C7F" w:rsidRPr="00997AE6" w:rsidRDefault="00D62C7F" w:rsidP="00D62C7F">
            <w:pPr>
              <w:pStyle w:val="TableText"/>
            </w:pPr>
            <w:r w:rsidRPr="00997AE6">
              <w:t>12 (B)</w:t>
            </w:r>
          </w:p>
        </w:tc>
        <w:tc>
          <w:tcPr>
            <w:tcW w:w="6521" w:type="dxa"/>
            <w:tcBorders>
              <w:top w:val="single" w:sz="4" w:space="0" w:color="auto"/>
              <w:left w:val="nil"/>
              <w:bottom w:val="single" w:sz="4" w:space="0" w:color="auto"/>
              <w:right w:val="nil"/>
            </w:tcBorders>
            <w:noWrap/>
            <w:hideMark/>
          </w:tcPr>
          <w:p w14:paraId="7EDF27D2" w14:textId="3FA57148" w:rsidR="00D62C7F" w:rsidRPr="00997AE6" w:rsidRDefault="00D62C7F" w:rsidP="00D62C7F">
            <w:pPr>
              <w:pStyle w:val="TableText"/>
            </w:pPr>
            <w:r w:rsidRPr="57352DF8">
              <w:t>If so, were any significant contamination issues identified?</w:t>
            </w:r>
          </w:p>
        </w:tc>
        <w:tc>
          <w:tcPr>
            <w:tcW w:w="1790" w:type="dxa"/>
            <w:tcBorders>
              <w:top w:val="single" w:sz="4" w:space="0" w:color="auto"/>
              <w:left w:val="nil"/>
              <w:bottom w:val="single" w:sz="4" w:space="0" w:color="auto"/>
              <w:right w:val="nil"/>
            </w:tcBorders>
            <w:hideMark/>
          </w:tcPr>
          <w:p w14:paraId="52079747" w14:textId="48F7BDE2" w:rsidR="00D62C7F" w:rsidRPr="00997AE6" w:rsidRDefault="00D62C7F" w:rsidP="00D62C7F">
            <w:pPr>
              <w:pStyle w:val="TableText"/>
            </w:pPr>
            <w:r w:rsidRPr="00997AE6">
              <w:t>No (2), Yes (0/FAIL)</w:t>
            </w:r>
          </w:p>
        </w:tc>
      </w:tr>
      <w:tr w:rsidR="00D62C7F" w:rsidRPr="00997AE6" w14:paraId="6F063EE7" w14:textId="77777777" w:rsidTr="00C0455D">
        <w:trPr>
          <w:cantSplit/>
          <w:trHeight w:val="1040"/>
        </w:trPr>
        <w:tc>
          <w:tcPr>
            <w:tcW w:w="709" w:type="dxa"/>
            <w:tcBorders>
              <w:top w:val="single" w:sz="4" w:space="0" w:color="auto"/>
              <w:left w:val="nil"/>
              <w:bottom w:val="single" w:sz="4" w:space="0" w:color="auto"/>
              <w:right w:val="nil"/>
            </w:tcBorders>
            <w:hideMark/>
          </w:tcPr>
          <w:p w14:paraId="1BB484A1" w14:textId="633C6210" w:rsidR="00D62C7F" w:rsidRPr="00997AE6" w:rsidRDefault="00D62C7F" w:rsidP="00D62C7F">
            <w:pPr>
              <w:pStyle w:val="TableText"/>
            </w:pPr>
            <w:r w:rsidRPr="00997AE6">
              <w:t>13</w:t>
            </w:r>
          </w:p>
        </w:tc>
        <w:tc>
          <w:tcPr>
            <w:tcW w:w="6521" w:type="dxa"/>
            <w:tcBorders>
              <w:top w:val="single" w:sz="4" w:space="0" w:color="auto"/>
              <w:left w:val="nil"/>
              <w:bottom w:val="single" w:sz="4" w:space="0" w:color="auto"/>
              <w:right w:val="nil"/>
            </w:tcBorders>
            <w:hideMark/>
          </w:tcPr>
          <w:p w14:paraId="7750CC02" w14:textId="1C7C0342" w:rsidR="00D62C7F" w:rsidRPr="00997AE6" w:rsidRDefault="00D62C7F" w:rsidP="00D62C7F">
            <w:pPr>
              <w:pStyle w:val="TableText"/>
            </w:pPr>
            <w:r w:rsidRPr="00997AE6">
              <w:t xml:space="preserve">Were the contaminant concentrations measured at the beginning and end of the exposure? Note: </w:t>
            </w:r>
            <w:r>
              <w:t>n</w:t>
            </w:r>
            <w:r w:rsidRPr="00997AE6">
              <w:t>ormally, toxicity data calculated using nominal</w:t>
            </w:r>
            <w:r>
              <w:t>-</w:t>
            </w:r>
            <w:r w:rsidRPr="00997AE6">
              <w:t xml:space="preserve">concentration data would not be used to derive </w:t>
            </w:r>
            <w:r>
              <w:t>guideline value</w:t>
            </w:r>
            <w:r w:rsidRPr="00997AE6">
              <w:t>s; however, professional judgement can be used to include such data</w:t>
            </w:r>
            <w:r>
              <w:t>,</w:t>
            </w:r>
            <w:r w:rsidRPr="00997AE6">
              <w:t xml:space="preserve"> provided a justification for their use is provided.</w:t>
            </w:r>
          </w:p>
        </w:tc>
        <w:tc>
          <w:tcPr>
            <w:tcW w:w="1790" w:type="dxa"/>
            <w:tcBorders>
              <w:top w:val="single" w:sz="4" w:space="0" w:color="auto"/>
              <w:left w:val="nil"/>
              <w:bottom w:val="single" w:sz="4" w:space="0" w:color="auto"/>
              <w:right w:val="nil"/>
            </w:tcBorders>
            <w:hideMark/>
          </w:tcPr>
          <w:p w14:paraId="71AF596A" w14:textId="5DC77339" w:rsidR="00D62C7F" w:rsidRPr="00997AE6" w:rsidRDefault="00D62C7F" w:rsidP="00D62C7F">
            <w:pPr>
              <w:pStyle w:val="TableText"/>
            </w:pPr>
            <w:r w:rsidRPr="57352DF8">
              <w:t>Yes (8), Measured once (4), Not measured or stated (0/FAIL)</w:t>
            </w:r>
            <w:r w:rsidRPr="57352DF8">
              <w:rPr>
                <w:color w:val="000000" w:themeColor="text1"/>
                <w:vertAlign w:val="superscript"/>
              </w:rPr>
              <w:t>b</w:t>
            </w:r>
          </w:p>
        </w:tc>
      </w:tr>
      <w:tr w:rsidR="00D62C7F" w:rsidRPr="00997AE6" w14:paraId="147581CE" w14:textId="77777777" w:rsidTr="00C0455D">
        <w:trPr>
          <w:cantSplit/>
          <w:trHeight w:val="780"/>
        </w:trPr>
        <w:tc>
          <w:tcPr>
            <w:tcW w:w="709" w:type="dxa"/>
            <w:tcBorders>
              <w:top w:val="single" w:sz="4" w:space="0" w:color="auto"/>
              <w:left w:val="nil"/>
              <w:bottom w:val="single" w:sz="4" w:space="0" w:color="auto"/>
              <w:right w:val="nil"/>
            </w:tcBorders>
            <w:hideMark/>
          </w:tcPr>
          <w:p w14:paraId="5DA80672" w14:textId="479C32E4" w:rsidR="00D62C7F" w:rsidRPr="00997AE6" w:rsidRDefault="00D62C7F" w:rsidP="00D62C7F">
            <w:pPr>
              <w:pStyle w:val="TableText"/>
            </w:pPr>
            <w:r w:rsidRPr="00997AE6">
              <w:t>14 (A)</w:t>
            </w:r>
          </w:p>
        </w:tc>
        <w:tc>
          <w:tcPr>
            <w:tcW w:w="6521" w:type="dxa"/>
            <w:tcBorders>
              <w:top w:val="single" w:sz="4" w:space="0" w:color="auto"/>
              <w:left w:val="nil"/>
              <w:bottom w:val="single" w:sz="4" w:space="0" w:color="auto"/>
              <w:right w:val="nil"/>
            </w:tcBorders>
            <w:hideMark/>
          </w:tcPr>
          <w:p w14:paraId="120C3E3A" w14:textId="44CE23D5" w:rsidR="00D62C7F" w:rsidRPr="00997AE6" w:rsidRDefault="00D62C7F" w:rsidP="00D62C7F">
            <w:pPr>
              <w:pStyle w:val="TableText"/>
            </w:pPr>
            <w:r w:rsidRPr="57352DF8">
              <w:t>Were test</w:t>
            </w:r>
            <w:r>
              <w:t>-</w:t>
            </w:r>
            <w:r w:rsidRPr="57352DF8">
              <w:t>acceptability criteria stated (</w:t>
            </w:r>
            <w:r>
              <w:t>e.g.</w:t>
            </w:r>
            <w:r w:rsidRPr="57352DF8">
              <w:t xml:space="preserve"> mortality in controls must not exceed a certain percentage) or inferred (</w:t>
            </w:r>
            <w:r>
              <w:t>e.g.</w:t>
            </w:r>
            <w:r w:rsidRPr="57352DF8">
              <w:t xml:space="preserve"> test methods used were </w:t>
            </w:r>
            <w:r w:rsidRPr="00A352C1">
              <w:t>U</w:t>
            </w:r>
            <w:r>
              <w:t>nited States Environmental Protection Agency</w:t>
            </w:r>
            <w:r w:rsidRPr="00A352C1">
              <w:t xml:space="preserve"> or </w:t>
            </w:r>
            <w:r w:rsidRPr="00702FF1">
              <w:t>Organisation for Economic Co-operation and Development</w:t>
            </w:r>
            <w:r w:rsidRPr="57352DF8">
              <w:t>)</w:t>
            </w:r>
            <w:r>
              <w:t>?</w:t>
            </w:r>
          </w:p>
        </w:tc>
        <w:tc>
          <w:tcPr>
            <w:tcW w:w="1790" w:type="dxa"/>
            <w:tcBorders>
              <w:top w:val="single" w:sz="4" w:space="0" w:color="auto"/>
              <w:left w:val="nil"/>
              <w:bottom w:val="single" w:sz="4" w:space="0" w:color="auto"/>
              <w:right w:val="nil"/>
            </w:tcBorders>
            <w:hideMark/>
          </w:tcPr>
          <w:p w14:paraId="7ABBDF61" w14:textId="33417A0C" w:rsidR="00D62C7F" w:rsidRPr="00997AE6" w:rsidRDefault="00D62C7F" w:rsidP="00D62C7F">
            <w:pPr>
              <w:pStyle w:val="TableText"/>
            </w:pPr>
            <w:r w:rsidRPr="00997AE6">
              <w:t>Stated (2), Inferred (1), Neither (0)</w:t>
            </w:r>
          </w:p>
        </w:tc>
      </w:tr>
      <w:tr w:rsidR="00D62C7F" w:rsidRPr="00997AE6" w14:paraId="548247C2" w14:textId="77777777" w:rsidTr="00C0455D">
        <w:trPr>
          <w:cantSplit/>
          <w:trHeight w:val="520"/>
        </w:trPr>
        <w:tc>
          <w:tcPr>
            <w:tcW w:w="709" w:type="dxa"/>
            <w:tcBorders>
              <w:top w:val="single" w:sz="4" w:space="0" w:color="auto"/>
              <w:left w:val="nil"/>
              <w:bottom w:val="single" w:sz="4" w:space="0" w:color="auto"/>
              <w:right w:val="nil"/>
            </w:tcBorders>
            <w:hideMark/>
          </w:tcPr>
          <w:p w14:paraId="7B016F29" w14:textId="71F3E5C3" w:rsidR="00D62C7F" w:rsidRPr="00997AE6" w:rsidRDefault="00D62C7F" w:rsidP="00D62C7F">
            <w:pPr>
              <w:pStyle w:val="TableText"/>
            </w:pPr>
            <w:r w:rsidRPr="00997AE6">
              <w:t>14 (B)</w:t>
            </w:r>
          </w:p>
        </w:tc>
        <w:tc>
          <w:tcPr>
            <w:tcW w:w="6521" w:type="dxa"/>
            <w:tcBorders>
              <w:top w:val="single" w:sz="4" w:space="0" w:color="auto"/>
              <w:left w:val="nil"/>
              <w:bottom w:val="single" w:sz="4" w:space="0" w:color="auto"/>
              <w:right w:val="nil"/>
            </w:tcBorders>
            <w:hideMark/>
          </w:tcPr>
          <w:p w14:paraId="011261FF" w14:textId="56E0EF19" w:rsidR="00D62C7F" w:rsidRPr="00997AE6" w:rsidRDefault="00D62C7F" w:rsidP="00D62C7F">
            <w:pPr>
              <w:pStyle w:val="TableText"/>
            </w:pPr>
            <w:r w:rsidRPr="57352DF8">
              <w:t>If so, were test</w:t>
            </w:r>
            <w:r>
              <w:t>-</w:t>
            </w:r>
            <w:r w:rsidRPr="57352DF8">
              <w:t xml:space="preserve">acceptability criteria met? Note: </w:t>
            </w:r>
            <w:r>
              <w:t>d</w:t>
            </w:r>
            <w:r w:rsidRPr="57352DF8">
              <w:t>ata that fail the acceptability criteria are automatically deemed to be of unacceptable quality and must not be used.</w:t>
            </w:r>
          </w:p>
        </w:tc>
        <w:tc>
          <w:tcPr>
            <w:tcW w:w="1790" w:type="dxa"/>
            <w:tcBorders>
              <w:top w:val="single" w:sz="4" w:space="0" w:color="auto"/>
              <w:left w:val="nil"/>
              <w:bottom w:val="single" w:sz="4" w:space="0" w:color="auto"/>
              <w:right w:val="nil"/>
            </w:tcBorders>
            <w:hideMark/>
          </w:tcPr>
          <w:p w14:paraId="39462EE8" w14:textId="0E418566" w:rsidR="00D62C7F" w:rsidRPr="00997AE6" w:rsidRDefault="00D62C7F" w:rsidP="00D62C7F">
            <w:pPr>
              <w:pStyle w:val="TableText"/>
            </w:pPr>
            <w:r w:rsidRPr="00997AE6">
              <w:t>Yes (6), Not reported (2), No (0/FAIL)</w:t>
            </w:r>
          </w:p>
        </w:tc>
      </w:tr>
      <w:tr w:rsidR="00D62C7F" w:rsidRPr="00997AE6" w14:paraId="3CE49425" w14:textId="77777777" w:rsidTr="00C0455D">
        <w:trPr>
          <w:cantSplit/>
          <w:trHeight w:val="320"/>
        </w:trPr>
        <w:tc>
          <w:tcPr>
            <w:tcW w:w="709" w:type="dxa"/>
            <w:tcBorders>
              <w:top w:val="single" w:sz="4" w:space="0" w:color="auto"/>
              <w:left w:val="nil"/>
              <w:bottom w:val="single" w:sz="4" w:space="0" w:color="auto"/>
              <w:right w:val="nil"/>
            </w:tcBorders>
            <w:hideMark/>
          </w:tcPr>
          <w:p w14:paraId="2507BBBD" w14:textId="02A76271" w:rsidR="00D62C7F" w:rsidRPr="00997AE6" w:rsidRDefault="00D62C7F" w:rsidP="00D62C7F">
            <w:pPr>
              <w:pStyle w:val="TableText"/>
            </w:pPr>
            <w:r w:rsidRPr="00997AE6">
              <w:t>15 (A)</w:t>
            </w:r>
          </w:p>
        </w:tc>
        <w:tc>
          <w:tcPr>
            <w:tcW w:w="6521" w:type="dxa"/>
            <w:tcBorders>
              <w:top w:val="single" w:sz="4" w:space="0" w:color="auto"/>
              <w:left w:val="nil"/>
              <w:bottom w:val="single" w:sz="4" w:space="0" w:color="auto"/>
              <w:right w:val="nil"/>
            </w:tcBorders>
            <w:hideMark/>
          </w:tcPr>
          <w:p w14:paraId="34BA0878" w14:textId="77477ED4" w:rsidR="00D62C7F" w:rsidRPr="00997AE6" w:rsidRDefault="00D62C7F" w:rsidP="00D62C7F">
            <w:pPr>
              <w:pStyle w:val="TableText"/>
            </w:pPr>
            <w:r w:rsidRPr="00997AE6">
              <w:t>Were parallel reference</w:t>
            </w:r>
            <w:r>
              <w:t>-</w:t>
            </w:r>
            <w:r w:rsidRPr="00997AE6">
              <w:t>toxicant toxicity tests conducted?</w:t>
            </w:r>
          </w:p>
        </w:tc>
        <w:tc>
          <w:tcPr>
            <w:tcW w:w="1790" w:type="dxa"/>
            <w:tcBorders>
              <w:top w:val="single" w:sz="4" w:space="0" w:color="auto"/>
              <w:left w:val="nil"/>
              <w:bottom w:val="single" w:sz="4" w:space="0" w:color="auto"/>
              <w:right w:val="nil"/>
            </w:tcBorders>
            <w:hideMark/>
          </w:tcPr>
          <w:p w14:paraId="5FE3B005" w14:textId="0CD982FB" w:rsidR="00D62C7F" w:rsidRPr="00997AE6" w:rsidRDefault="00D62C7F" w:rsidP="00D62C7F">
            <w:pPr>
              <w:pStyle w:val="TableText"/>
            </w:pPr>
            <w:r w:rsidRPr="00997AE6">
              <w:t>Yes (2), No (0)</w:t>
            </w:r>
          </w:p>
        </w:tc>
      </w:tr>
      <w:tr w:rsidR="00D62C7F" w:rsidRPr="00997AE6" w14:paraId="33411084" w14:textId="77777777" w:rsidTr="00C0455D">
        <w:trPr>
          <w:cantSplit/>
          <w:trHeight w:val="520"/>
        </w:trPr>
        <w:tc>
          <w:tcPr>
            <w:tcW w:w="709" w:type="dxa"/>
            <w:tcBorders>
              <w:top w:val="single" w:sz="4" w:space="0" w:color="auto"/>
              <w:left w:val="nil"/>
              <w:bottom w:val="single" w:sz="4" w:space="0" w:color="auto"/>
              <w:right w:val="nil"/>
            </w:tcBorders>
            <w:hideMark/>
          </w:tcPr>
          <w:p w14:paraId="28143199" w14:textId="0F828352" w:rsidR="00D62C7F" w:rsidRPr="00997AE6" w:rsidRDefault="00D62C7F" w:rsidP="00D62C7F">
            <w:pPr>
              <w:pStyle w:val="TableText"/>
            </w:pPr>
            <w:r w:rsidRPr="00997AE6">
              <w:t>15 (B)</w:t>
            </w:r>
          </w:p>
        </w:tc>
        <w:tc>
          <w:tcPr>
            <w:tcW w:w="6521" w:type="dxa"/>
            <w:tcBorders>
              <w:top w:val="single" w:sz="4" w:space="0" w:color="auto"/>
              <w:left w:val="nil"/>
              <w:bottom w:val="single" w:sz="4" w:space="0" w:color="auto"/>
              <w:right w:val="nil"/>
            </w:tcBorders>
            <w:hideMark/>
          </w:tcPr>
          <w:p w14:paraId="29BF9279" w14:textId="1CF493BE" w:rsidR="00D62C7F" w:rsidRPr="00997AE6" w:rsidRDefault="00D62C7F" w:rsidP="00D62C7F">
            <w:pPr>
              <w:pStyle w:val="TableText"/>
            </w:pPr>
            <w:r w:rsidRPr="00997AE6">
              <w:t>If so, did the reference toxicity results fall within the acceptable limits?</w:t>
            </w:r>
          </w:p>
        </w:tc>
        <w:tc>
          <w:tcPr>
            <w:tcW w:w="1790" w:type="dxa"/>
            <w:tcBorders>
              <w:top w:val="single" w:sz="4" w:space="0" w:color="auto"/>
              <w:left w:val="nil"/>
              <w:bottom w:val="single" w:sz="4" w:space="0" w:color="auto"/>
              <w:right w:val="nil"/>
            </w:tcBorders>
            <w:hideMark/>
          </w:tcPr>
          <w:p w14:paraId="35630845" w14:textId="6DD4A747" w:rsidR="00D62C7F" w:rsidRPr="00997AE6" w:rsidRDefault="00D62C7F" w:rsidP="00D62C7F">
            <w:pPr>
              <w:pStyle w:val="TableText"/>
            </w:pPr>
            <w:r w:rsidRPr="00997AE6">
              <w:t>Yes (6), Not reported (2), No (0/FAIL)</w:t>
            </w:r>
          </w:p>
        </w:tc>
      </w:tr>
      <w:tr w:rsidR="00D62C7F" w:rsidRPr="00997AE6" w14:paraId="1420C2C8" w14:textId="77777777" w:rsidTr="00C0455D">
        <w:trPr>
          <w:cantSplit/>
          <w:trHeight w:val="60"/>
        </w:trPr>
        <w:tc>
          <w:tcPr>
            <w:tcW w:w="709" w:type="dxa"/>
            <w:tcBorders>
              <w:top w:val="single" w:sz="4" w:space="0" w:color="auto"/>
              <w:left w:val="nil"/>
              <w:bottom w:val="single" w:sz="4" w:space="0" w:color="auto"/>
              <w:right w:val="nil"/>
            </w:tcBorders>
            <w:hideMark/>
          </w:tcPr>
          <w:p w14:paraId="62235C70" w14:textId="12224508" w:rsidR="00D62C7F" w:rsidRPr="00997AE6" w:rsidRDefault="00D62C7F" w:rsidP="00D62C7F">
            <w:pPr>
              <w:pStyle w:val="TableText"/>
            </w:pPr>
            <w:r w:rsidRPr="00997AE6">
              <w:lastRenderedPageBreak/>
              <w:t>16</w:t>
            </w:r>
          </w:p>
        </w:tc>
        <w:tc>
          <w:tcPr>
            <w:tcW w:w="6521" w:type="dxa"/>
            <w:tcBorders>
              <w:top w:val="single" w:sz="4" w:space="0" w:color="auto"/>
              <w:left w:val="nil"/>
              <w:bottom w:val="single" w:sz="4" w:space="0" w:color="auto"/>
              <w:right w:val="nil"/>
            </w:tcBorders>
            <w:hideMark/>
          </w:tcPr>
          <w:p w14:paraId="019E0F48" w14:textId="47BF0F82" w:rsidR="00D62C7F" w:rsidRPr="00997AE6" w:rsidRDefault="00D62C7F" w:rsidP="00D62C7F">
            <w:pPr>
              <w:pStyle w:val="TableText"/>
            </w:pPr>
            <w:r w:rsidRPr="57352DF8">
              <w:t>Was there a concentration-response (C-R) relationship</w:t>
            </w:r>
            <w:r>
              <w:t>,</w:t>
            </w:r>
            <w:r w:rsidRPr="57352DF8">
              <w:t xml:space="preserve"> either observable or stated (i.e. was there a larger response in the endpoint of interest at higher treatment concentrations than at lower treatment concentrations?)? Note: </w:t>
            </w:r>
            <w:r>
              <w:t>a</w:t>
            </w:r>
            <w:r w:rsidRPr="57352DF8">
              <w:t xml:space="preserve"> full C-R relationship is one that includes zero, partial and full effects, while a partial C-R relationship is one that is missing either zero, partial or full effects.</w:t>
            </w:r>
            <w:r w:rsidR="00D05B2F" w:rsidRPr="00A352C1">
              <w:t xml:space="preserve"> Professional judgement might be required to make decisions associated with C-R relationships that exhibit characteristics such as non-monotonicity and low</w:t>
            </w:r>
            <w:r w:rsidR="00D05B2F">
              <w:t>-</w:t>
            </w:r>
            <w:r w:rsidR="00D05B2F" w:rsidRPr="00A352C1">
              <w:t>dose effects.</w:t>
            </w:r>
          </w:p>
        </w:tc>
        <w:tc>
          <w:tcPr>
            <w:tcW w:w="1790" w:type="dxa"/>
            <w:tcBorders>
              <w:top w:val="single" w:sz="4" w:space="0" w:color="auto"/>
              <w:left w:val="nil"/>
              <w:bottom w:val="single" w:sz="4" w:space="0" w:color="auto"/>
              <w:right w:val="nil"/>
            </w:tcBorders>
            <w:hideMark/>
          </w:tcPr>
          <w:p w14:paraId="27BCE16C" w14:textId="77A937AE" w:rsidR="00D62C7F" w:rsidRPr="00997AE6" w:rsidRDefault="00D62C7F" w:rsidP="00D62C7F">
            <w:pPr>
              <w:pStyle w:val="TableText"/>
            </w:pPr>
            <w:r w:rsidRPr="00997AE6">
              <w:t xml:space="preserve">Yes </w:t>
            </w:r>
            <w:r>
              <w:t>–</w:t>
            </w:r>
            <w:r w:rsidRPr="00997AE6">
              <w:t xml:space="preserve"> full (8), Yes </w:t>
            </w:r>
            <w:r>
              <w:t>–</w:t>
            </w:r>
            <w:r w:rsidRPr="00997AE6">
              <w:t xml:space="preserve"> partial (4), No </w:t>
            </w:r>
            <w:r>
              <w:t>–</w:t>
            </w:r>
            <w:r w:rsidRPr="00997AE6">
              <w:t xml:space="preserve"> (0/FAIL)</w:t>
            </w:r>
          </w:p>
        </w:tc>
      </w:tr>
      <w:tr w:rsidR="00D62C7F" w:rsidRPr="00997AE6" w14:paraId="69462C08" w14:textId="77777777" w:rsidTr="00C0455D">
        <w:trPr>
          <w:cantSplit/>
          <w:trHeight w:val="338"/>
        </w:trPr>
        <w:tc>
          <w:tcPr>
            <w:tcW w:w="709" w:type="dxa"/>
            <w:tcBorders>
              <w:top w:val="single" w:sz="4" w:space="0" w:color="auto"/>
              <w:left w:val="nil"/>
              <w:bottom w:val="single" w:sz="4" w:space="0" w:color="auto"/>
              <w:right w:val="nil"/>
            </w:tcBorders>
            <w:hideMark/>
          </w:tcPr>
          <w:p w14:paraId="47DD29C4" w14:textId="31CA13F6" w:rsidR="00D62C7F" w:rsidRPr="00997AE6" w:rsidRDefault="00D62C7F" w:rsidP="00D62C7F">
            <w:pPr>
              <w:pStyle w:val="TableText"/>
            </w:pPr>
            <w:r w:rsidRPr="00997AE6">
              <w:t>17 (A)</w:t>
            </w:r>
          </w:p>
        </w:tc>
        <w:tc>
          <w:tcPr>
            <w:tcW w:w="6521" w:type="dxa"/>
            <w:tcBorders>
              <w:top w:val="single" w:sz="4" w:space="0" w:color="auto"/>
              <w:left w:val="nil"/>
              <w:bottom w:val="single" w:sz="4" w:space="0" w:color="auto"/>
              <w:right w:val="nil"/>
            </w:tcBorders>
            <w:hideMark/>
          </w:tcPr>
          <w:p w14:paraId="0A9821C1" w14:textId="306C80B0" w:rsidR="00D62C7F" w:rsidRPr="00997AE6" w:rsidRDefault="00D62C7F" w:rsidP="00D62C7F">
            <w:pPr>
              <w:pStyle w:val="TableText"/>
            </w:pPr>
            <w:r w:rsidRPr="57352DF8">
              <w:t xml:space="preserve">Was the statistical method or model used to determine the toxicity estimate stated </w:t>
            </w:r>
            <w:r>
              <w:rPr>
                <w:b/>
                <w:bCs/>
              </w:rPr>
              <w:t>and</w:t>
            </w:r>
            <w:r w:rsidRPr="57352DF8">
              <w:t xml:space="preserve"> appropriate</w:t>
            </w:r>
            <w:r w:rsidR="00C718C5">
              <w:t xml:space="preserve"> </w:t>
            </w:r>
            <w:r w:rsidR="00C718C5" w:rsidRPr="57352DF8">
              <w:t>(e.g. refer to Green et al. 2018, noting that new methods will/have emerged that may not be captured in past publications)?</w:t>
            </w:r>
          </w:p>
        </w:tc>
        <w:tc>
          <w:tcPr>
            <w:tcW w:w="1790" w:type="dxa"/>
            <w:tcBorders>
              <w:top w:val="single" w:sz="4" w:space="0" w:color="auto"/>
              <w:left w:val="nil"/>
              <w:bottom w:val="single" w:sz="4" w:space="0" w:color="auto"/>
              <w:right w:val="nil"/>
            </w:tcBorders>
            <w:hideMark/>
          </w:tcPr>
          <w:p w14:paraId="0953A74F" w14:textId="4D919BE1" w:rsidR="00D62C7F" w:rsidRPr="00997AE6" w:rsidRDefault="00D62C7F" w:rsidP="00D62C7F">
            <w:pPr>
              <w:pStyle w:val="TableText"/>
            </w:pPr>
            <w:r w:rsidRPr="00997AE6">
              <w:t>Yes (6), No (0)</w:t>
            </w:r>
          </w:p>
        </w:tc>
      </w:tr>
      <w:tr w:rsidR="00D62C7F" w:rsidRPr="00997AE6" w14:paraId="1D84306C" w14:textId="77777777" w:rsidTr="00C0455D">
        <w:trPr>
          <w:cantSplit/>
          <w:trHeight w:val="274"/>
        </w:trPr>
        <w:tc>
          <w:tcPr>
            <w:tcW w:w="709" w:type="dxa"/>
            <w:tcBorders>
              <w:top w:val="single" w:sz="4" w:space="0" w:color="auto"/>
              <w:left w:val="nil"/>
              <w:bottom w:val="single" w:sz="4" w:space="0" w:color="auto"/>
              <w:right w:val="nil"/>
            </w:tcBorders>
            <w:hideMark/>
          </w:tcPr>
          <w:p w14:paraId="441420CC" w14:textId="6615EC90" w:rsidR="00D62C7F" w:rsidRPr="00997AE6" w:rsidRDefault="00D62C7F" w:rsidP="00D62C7F">
            <w:pPr>
              <w:pStyle w:val="TableText"/>
            </w:pPr>
            <w:r w:rsidRPr="00997AE6">
              <w:t>17 (B)</w:t>
            </w:r>
          </w:p>
        </w:tc>
        <w:tc>
          <w:tcPr>
            <w:tcW w:w="6521" w:type="dxa"/>
            <w:tcBorders>
              <w:top w:val="single" w:sz="4" w:space="0" w:color="auto"/>
              <w:left w:val="nil"/>
              <w:bottom w:val="single" w:sz="4" w:space="0" w:color="auto"/>
              <w:right w:val="nil"/>
            </w:tcBorders>
            <w:hideMark/>
          </w:tcPr>
          <w:p w14:paraId="533B0F8B" w14:textId="38A3B43E" w:rsidR="00D62C7F" w:rsidRPr="00997AE6" w:rsidRDefault="00D62C7F" w:rsidP="00D62C7F">
            <w:pPr>
              <w:pStyle w:val="TableText"/>
            </w:pPr>
            <w:r w:rsidRPr="00997AE6">
              <w:t xml:space="preserve">For </w:t>
            </w:r>
            <w:r>
              <w:t xml:space="preserve">point estimates from concentration-response modelling (e.g. </w:t>
            </w:r>
            <w:r w:rsidRPr="00997AE6">
              <w:t>LC/EC/NEC/BEC/NSEC</w:t>
            </w:r>
            <w:r>
              <w:t>)</w:t>
            </w:r>
            <w:r w:rsidRPr="00997AE6">
              <w:t>, was an estimate of variability provided? For</w:t>
            </w:r>
            <w:r>
              <w:t xml:space="preserve"> estimates based on hypothesis testing</w:t>
            </w:r>
            <w:r w:rsidRPr="00997AE6">
              <w:t xml:space="preserve"> </w:t>
            </w:r>
            <w:r>
              <w:t xml:space="preserve">(e.g. </w:t>
            </w:r>
            <w:r w:rsidRPr="00997AE6">
              <w:t>NOEC/LOEC/MATC</w:t>
            </w:r>
            <w:r>
              <w:t>)</w:t>
            </w:r>
            <w:r w:rsidRPr="00997AE6">
              <w:t>, was the significance level 0.05 or less?</w:t>
            </w:r>
          </w:p>
        </w:tc>
        <w:tc>
          <w:tcPr>
            <w:tcW w:w="1790" w:type="dxa"/>
            <w:tcBorders>
              <w:top w:val="single" w:sz="4" w:space="0" w:color="auto"/>
              <w:left w:val="nil"/>
              <w:bottom w:val="single" w:sz="4" w:space="0" w:color="auto"/>
              <w:right w:val="nil"/>
            </w:tcBorders>
            <w:hideMark/>
          </w:tcPr>
          <w:p w14:paraId="1BD034BE" w14:textId="7B4679E6" w:rsidR="00D62C7F" w:rsidRPr="00997AE6" w:rsidRDefault="00D62C7F" w:rsidP="00D62C7F">
            <w:pPr>
              <w:pStyle w:val="TableText"/>
            </w:pPr>
            <w:r w:rsidRPr="00997AE6">
              <w:t>Yes (2), No (0</w:t>
            </w:r>
            <w:r>
              <w:t>)</w:t>
            </w:r>
          </w:p>
        </w:tc>
      </w:tr>
      <w:tr w:rsidR="00D62C7F" w:rsidRPr="00997AE6" w14:paraId="2D23048E" w14:textId="77777777" w:rsidTr="00C0455D">
        <w:trPr>
          <w:cantSplit/>
          <w:trHeight w:val="320"/>
        </w:trPr>
        <w:tc>
          <w:tcPr>
            <w:tcW w:w="709" w:type="dxa"/>
            <w:tcBorders>
              <w:top w:val="single" w:sz="4" w:space="0" w:color="auto"/>
              <w:left w:val="nil"/>
              <w:bottom w:val="single" w:sz="12" w:space="0" w:color="auto"/>
              <w:right w:val="nil"/>
            </w:tcBorders>
            <w:hideMark/>
          </w:tcPr>
          <w:p w14:paraId="73425914" w14:textId="77777777" w:rsidR="00D62C7F" w:rsidRPr="00997AE6" w:rsidRDefault="00D62C7F" w:rsidP="00D62C7F">
            <w:pPr>
              <w:pStyle w:val="TableText"/>
            </w:pPr>
          </w:p>
        </w:tc>
        <w:tc>
          <w:tcPr>
            <w:tcW w:w="8311" w:type="dxa"/>
            <w:gridSpan w:val="2"/>
            <w:tcBorders>
              <w:top w:val="single" w:sz="4" w:space="0" w:color="auto"/>
              <w:left w:val="nil"/>
              <w:bottom w:val="single" w:sz="12" w:space="0" w:color="auto"/>
              <w:right w:val="nil"/>
            </w:tcBorders>
            <w:hideMark/>
          </w:tcPr>
          <w:p w14:paraId="536036CC" w14:textId="1D37F628" w:rsidR="00D62C7F" w:rsidRPr="00997AE6" w:rsidRDefault="00D62C7F" w:rsidP="00D62C7F">
            <w:pPr>
              <w:pStyle w:val="TableText"/>
            </w:pPr>
            <w:r>
              <w:t>Maximum sub-total for Part B = 47</w:t>
            </w:r>
          </w:p>
        </w:tc>
      </w:tr>
      <w:tr w:rsidR="005E2E82" w:rsidRPr="00903169" w14:paraId="4174B6BF" w14:textId="77777777" w:rsidTr="001220EF">
        <w:trPr>
          <w:cantSplit/>
          <w:trHeight w:val="320"/>
        </w:trPr>
        <w:tc>
          <w:tcPr>
            <w:tcW w:w="7230" w:type="dxa"/>
            <w:gridSpan w:val="2"/>
            <w:tcBorders>
              <w:top w:val="single" w:sz="12" w:space="0" w:color="auto"/>
              <w:left w:val="nil"/>
              <w:bottom w:val="single" w:sz="12" w:space="0" w:color="auto"/>
              <w:right w:val="nil"/>
            </w:tcBorders>
            <w:noWrap/>
            <w:hideMark/>
          </w:tcPr>
          <w:p w14:paraId="33728A43" w14:textId="04365E5E" w:rsidR="005E2E82" w:rsidRPr="00B1499A" w:rsidRDefault="005E2E82" w:rsidP="005E2E82">
            <w:pPr>
              <w:pStyle w:val="TableText"/>
            </w:pPr>
            <w:r w:rsidRPr="009D6B76">
              <w:rPr>
                <w:b/>
                <w:bCs/>
              </w:rPr>
              <w:t>C. T</w:t>
            </w:r>
            <w:r>
              <w:rPr>
                <w:b/>
                <w:bCs/>
              </w:rPr>
              <w:t>est water chemistry/test conditions</w:t>
            </w:r>
          </w:p>
        </w:tc>
        <w:tc>
          <w:tcPr>
            <w:tcW w:w="1790" w:type="dxa"/>
            <w:tcBorders>
              <w:top w:val="single" w:sz="12" w:space="0" w:color="auto"/>
              <w:left w:val="nil"/>
              <w:bottom w:val="single" w:sz="12" w:space="0" w:color="auto"/>
              <w:right w:val="nil"/>
            </w:tcBorders>
            <w:hideMark/>
          </w:tcPr>
          <w:p w14:paraId="4C2EFB8A" w14:textId="77777777" w:rsidR="005E2E82" w:rsidRPr="00B1499A" w:rsidRDefault="005E2E82" w:rsidP="005E2E82">
            <w:pPr>
              <w:pStyle w:val="TableText"/>
            </w:pPr>
            <w:r w:rsidRPr="00B1499A">
              <w:t> </w:t>
            </w:r>
          </w:p>
        </w:tc>
      </w:tr>
      <w:tr w:rsidR="005110DE" w:rsidRPr="00B1499A" w14:paraId="25F958F4" w14:textId="77777777" w:rsidTr="00C0455D">
        <w:trPr>
          <w:cantSplit/>
          <w:trHeight w:val="320"/>
        </w:trPr>
        <w:tc>
          <w:tcPr>
            <w:tcW w:w="709" w:type="dxa"/>
            <w:tcBorders>
              <w:top w:val="single" w:sz="12" w:space="0" w:color="auto"/>
              <w:left w:val="nil"/>
              <w:bottom w:val="single" w:sz="4" w:space="0" w:color="auto"/>
              <w:right w:val="nil"/>
            </w:tcBorders>
            <w:hideMark/>
          </w:tcPr>
          <w:p w14:paraId="3593A085" w14:textId="77777777" w:rsidR="005110DE" w:rsidRPr="00B1499A" w:rsidRDefault="005110DE" w:rsidP="00CF716C">
            <w:pPr>
              <w:pStyle w:val="TableText"/>
            </w:pPr>
            <w:r w:rsidRPr="00B1499A">
              <w:t>18</w:t>
            </w:r>
          </w:p>
        </w:tc>
        <w:tc>
          <w:tcPr>
            <w:tcW w:w="6521" w:type="dxa"/>
            <w:tcBorders>
              <w:top w:val="single" w:sz="12" w:space="0" w:color="auto"/>
              <w:left w:val="nil"/>
              <w:bottom w:val="single" w:sz="4" w:space="0" w:color="auto"/>
              <w:right w:val="nil"/>
            </w:tcBorders>
            <w:hideMark/>
          </w:tcPr>
          <w:p w14:paraId="7B81CDB4" w14:textId="34CEE2E3" w:rsidR="005110DE" w:rsidRPr="00B1499A" w:rsidRDefault="005110DE" w:rsidP="00CF716C">
            <w:pPr>
              <w:pStyle w:val="TableText"/>
            </w:pPr>
            <w:r w:rsidRPr="00B1499A">
              <w:t>Were the following parameters measured and reported?</w:t>
            </w:r>
          </w:p>
        </w:tc>
        <w:tc>
          <w:tcPr>
            <w:tcW w:w="1790" w:type="dxa"/>
            <w:tcBorders>
              <w:top w:val="single" w:sz="12" w:space="0" w:color="auto"/>
              <w:left w:val="nil"/>
              <w:bottom w:val="single" w:sz="4" w:space="0" w:color="auto"/>
              <w:right w:val="nil"/>
            </w:tcBorders>
            <w:hideMark/>
          </w:tcPr>
          <w:p w14:paraId="3DBD65DB" w14:textId="77777777" w:rsidR="005110DE" w:rsidRPr="00B1499A" w:rsidRDefault="005110DE" w:rsidP="00CF716C">
            <w:pPr>
              <w:pStyle w:val="TableText"/>
            </w:pPr>
            <w:r w:rsidRPr="00B1499A">
              <w:t> </w:t>
            </w:r>
          </w:p>
        </w:tc>
      </w:tr>
      <w:tr w:rsidR="005110DE" w:rsidRPr="00B1499A" w14:paraId="13EF1500" w14:textId="77777777" w:rsidTr="00C0455D">
        <w:trPr>
          <w:cantSplit/>
          <w:trHeight w:val="215"/>
        </w:trPr>
        <w:tc>
          <w:tcPr>
            <w:tcW w:w="709" w:type="dxa"/>
            <w:tcBorders>
              <w:top w:val="single" w:sz="4" w:space="0" w:color="auto"/>
              <w:left w:val="nil"/>
              <w:bottom w:val="single" w:sz="4" w:space="0" w:color="auto"/>
              <w:right w:val="nil"/>
            </w:tcBorders>
            <w:hideMark/>
          </w:tcPr>
          <w:p w14:paraId="69D64CAC" w14:textId="77777777" w:rsidR="005110DE" w:rsidRPr="00B1499A" w:rsidRDefault="005110DE" w:rsidP="00CF716C">
            <w:pPr>
              <w:pStyle w:val="TableText"/>
            </w:pPr>
            <w:r w:rsidRPr="00B1499A">
              <w:t>18.1</w:t>
            </w:r>
          </w:p>
        </w:tc>
        <w:tc>
          <w:tcPr>
            <w:tcW w:w="6521" w:type="dxa"/>
            <w:tcBorders>
              <w:top w:val="single" w:sz="4" w:space="0" w:color="auto"/>
              <w:left w:val="nil"/>
              <w:bottom w:val="single" w:sz="4" w:space="0" w:color="auto"/>
              <w:right w:val="nil"/>
            </w:tcBorders>
            <w:hideMark/>
          </w:tcPr>
          <w:p w14:paraId="5D485FFD" w14:textId="40D58016" w:rsidR="005110DE" w:rsidRPr="00B1499A" w:rsidRDefault="005110DE" w:rsidP="00CF716C">
            <w:pPr>
              <w:pStyle w:val="TableText"/>
            </w:pPr>
            <w:r w:rsidRPr="00B1499A">
              <w:t xml:space="preserve">pH </w:t>
            </w:r>
            <w:r w:rsidR="00791B38">
              <w:t>–</w:t>
            </w:r>
            <w:r w:rsidRPr="00B1499A">
              <w:t xml:space="preserve"> </w:t>
            </w:r>
            <w:r w:rsidR="004D61E3">
              <w:t>w</w:t>
            </w:r>
            <w:r w:rsidRPr="00B1499A">
              <w:t>as pH measured at least at the beginning and end of the toxicity test?</w:t>
            </w:r>
          </w:p>
        </w:tc>
        <w:tc>
          <w:tcPr>
            <w:tcW w:w="1790" w:type="dxa"/>
            <w:tcBorders>
              <w:top w:val="single" w:sz="4" w:space="0" w:color="auto"/>
              <w:left w:val="nil"/>
              <w:bottom w:val="single" w:sz="4" w:space="0" w:color="auto"/>
              <w:right w:val="nil"/>
            </w:tcBorders>
            <w:hideMark/>
          </w:tcPr>
          <w:p w14:paraId="3C975044" w14:textId="599FA754" w:rsidR="005110DE" w:rsidRPr="00B1499A" w:rsidRDefault="005110DE" w:rsidP="00CF716C">
            <w:pPr>
              <w:pStyle w:val="TableText"/>
            </w:pPr>
            <w:r w:rsidRPr="00B1499A">
              <w:t>Yes (3), No (0/FAIL)</w:t>
            </w:r>
          </w:p>
        </w:tc>
      </w:tr>
      <w:tr w:rsidR="00945FDE" w:rsidRPr="00B1499A" w14:paraId="0479403A" w14:textId="77777777" w:rsidTr="00C0455D">
        <w:trPr>
          <w:cantSplit/>
          <w:trHeight w:val="108"/>
        </w:trPr>
        <w:tc>
          <w:tcPr>
            <w:tcW w:w="709" w:type="dxa"/>
            <w:tcBorders>
              <w:top w:val="single" w:sz="4" w:space="0" w:color="auto"/>
              <w:left w:val="nil"/>
              <w:bottom w:val="single" w:sz="4" w:space="0" w:color="auto"/>
              <w:right w:val="nil"/>
            </w:tcBorders>
            <w:hideMark/>
          </w:tcPr>
          <w:p w14:paraId="018B0DB7" w14:textId="77777777" w:rsidR="00945FDE" w:rsidRPr="00B1499A" w:rsidRDefault="00945FDE" w:rsidP="00CF716C">
            <w:pPr>
              <w:pStyle w:val="TableText"/>
            </w:pPr>
            <w:r w:rsidRPr="00B1499A">
              <w:t>18.</w:t>
            </w:r>
            <w:r>
              <w:t>2</w:t>
            </w:r>
          </w:p>
        </w:tc>
        <w:tc>
          <w:tcPr>
            <w:tcW w:w="6521" w:type="dxa"/>
            <w:tcBorders>
              <w:top w:val="single" w:sz="4" w:space="0" w:color="auto"/>
              <w:left w:val="nil"/>
              <w:bottom w:val="single" w:sz="4" w:space="0" w:color="auto"/>
              <w:right w:val="nil"/>
            </w:tcBorders>
            <w:hideMark/>
          </w:tcPr>
          <w:p w14:paraId="4E99E0D3" w14:textId="509D2825" w:rsidR="00945FDE" w:rsidRPr="00B1499A" w:rsidRDefault="00945FDE" w:rsidP="00CF716C">
            <w:pPr>
              <w:pStyle w:val="TableText"/>
            </w:pPr>
            <w:r w:rsidRPr="00B1499A">
              <w:t xml:space="preserve">Dissolved </w:t>
            </w:r>
            <w:r>
              <w:t>organic carbon (for metals/non-metallic inorganics only)</w:t>
            </w:r>
          </w:p>
        </w:tc>
        <w:tc>
          <w:tcPr>
            <w:tcW w:w="1790" w:type="dxa"/>
            <w:tcBorders>
              <w:top w:val="single" w:sz="4" w:space="0" w:color="auto"/>
              <w:left w:val="nil"/>
              <w:bottom w:val="single" w:sz="4" w:space="0" w:color="auto"/>
              <w:right w:val="nil"/>
            </w:tcBorders>
            <w:hideMark/>
          </w:tcPr>
          <w:p w14:paraId="0052D31A" w14:textId="5CE32B76" w:rsidR="00945FDE" w:rsidRPr="00B1499A" w:rsidRDefault="00945FDE" w:rsidP="00CF716C">
            <w:pPr>
              <w:pStyle w:val="TableText"/>
            </w:pPr>
            <w:r w:rsidRPr="00B1499A">
              <w:t>Yes (</w:t>
            </w:r>
            <w:r w:rsidR="00094AEB">
              <w:t>3</w:t>
            </w:r>
            <w:r w:rsidRPr="00B1499A">
              <w:t>), No (0/FAIL)</w:t>
            </w:r>
          </w:p>
        </w:tc>
      </w:tr>
      <w:tr w:rsidR="00AC286D" w:rsidRPr="00B1499A" w14:paraId="6A519E30" w14:textId="77777777" w:rsidTr="00C0455D">
        <w:trPr>
          <w:cantSplit/>
          <w:trHeight w:val="183"/>
        </w:trPr>
        <w:tc>
          <w:tcPr>
            <w:tcW w:w="709" w:type="dxa"/>
            <w:tcBorders>
              <w:top w:val="single" w:sz="4" w:space="0" w:color="auto"/>
              <w:left w:val="nil"/>
              <w:bottom w:val="single" w:sz="4" w:space="0" w:color="auto"/>
              <w:right w:val="nil"/>
            </w:tcBorders>
            <w:hideMark/>
          </w:tcPr>
          <w:p w14:paraId="2E2C192C" w14:textId="05772876" w:rsidR="00AC286D" w:rsidRPr="00B1499A" w:rsidRDefault="00AC286D" w:rsidP="00CF716C">
            <w:pPr>
              <w:pStyle w:val="TableText"/>
            </w:pPr>
            <w:r w:rsidRPr="00B1499A">
              <w:t>18.</w:t>
            </w:r>
            <w:r>
              <w:t>3</w:t>
            </w:r>
          </w:p>
        </w:tc>
        <w:tc>
          <w:tcPr>
            <w:tcW w:w="6521" w:type="dxa"/>
            <w:tcBorders>
              <w:top w:val="single" w:sz="4" w:space="0" w:color="auto"/>
              <w:left w:val="nil"/>
              <w:bottom w:val="single" w:sz="4" w:space="0" w:color="auto"/>
              <w:right w:val="nil"/>
            </w:tcBorders>
            <w:hideMark/>
          </w:tcPr>
          <w:p w14:paraId="6CCE7E34" w14:textId="291437F9" w:rsidR="00AC286D" w:rsidRPr="00B1499A" w:rsidRDefault="00AC286D" w:rsidP="00CF716C">
            <w:pPr>
              <w:pStyle w:val="TableText"/>
            </w:pPr>
            <w:r>
              <w:t>Salinity/</w:t>
            </w:r>
            <w:r w:rsidR="004D61E3">
              <w:t>c</w:t>
            </w:r>
            <w:r>
              <w:t>o</w:t>
            </w:r>
            <w:r w:rsidRPr="00B1499A">
              <w:t>nductivity</w:t>
            </w:r>
          </w:p>
        </w:tc>
        <w:tc>
          <w:tcPr>
            <w:tcW w:w="1790" w:type="dxa"/>
            <w:tcBorders>
              <w:top w:val="single" w:sz="4" w:space="0" w:color="auto"/>
              <w:left w:val="nil"/>
              <w:bottom w:val="single" w:sz="4" w:space="0" w:color="auto"/>
              <w:right w:val="nil"/>
            </w:tcBorders>
            <w:hideMark/>
          </w:tcPr>
          <w:p w14:paraId="48CC8D32" w14:textId="07B42154" w:rsidR="00AC286D" w:rsidRPr="00B1499A" w:rsidRDefault="00AC286D" w:rsidP="00CF716C">
            <w:pPr>
              <w:pStyle w:val="TableText"/>
            </w:pPr>
            <w:r w:rsidRPr="00B1499A">
              <w:t>Yes (</w:t>
            </w:r>
            <w:r>
              <w:t>3</w:t>
            </w:r>
            <w:r w:rsidRPr="00B1499A">
              <w:t>), No (0/FAIL)</w:t>
            </w:r>
          </w:p>
        </w:tc>
      </w:tr>
      <w:tr w:rsidR="005110DE" w:rsidRPr="00B1499A" w14:paraId="4E98A5DF" w14:textId="77777777" w:rsidTr="00C0455D">
        <w:trPr>
          <w:cantSplit/>
          <w:trHeight w:val="108"/>
        </w:trPr>
        <w:tc>
          <w:tcPr>
            <w:tcW w:w="709" w:type="dxa"/>
            <w:tcBorders>
              <w:top w:val="single" w:sz="4" w:space="0" w:color="auto"/>
              <w:left w:val="nil"/>
              <w:bottom w:val="single" w:sz="4" w:space="0" w:color="auto"/>
              <w:right w:val="nil"/>
            </w:tcBorders>
            <w:hideMark/>
          </w:tcPr>
          <w:p w14:paraId="560561BD" w14:textId="1366FC67" w:rsidR="005110DE" w:rsidRPr="00B1499A" w:rsidRDefault="005110DE" w:rsidP="00CF716C">
            <w:pPr>
              <w:pStyle w:val="TableText"/>
            </w:pPr>
            <w:r w:rsidRPr="00B1499A">
              <w:t>18.</w:t>
            </w:r>
            <w:r w:rsidR="00AC286D">
              <w:t>4</w:t>
            </w:r>
          </w:p>
        </w:tc>
        <w:tc>
          <w:tcPr>
            <w:tcW w:w="6521" w:type="dxa"/>
            <w:tcBorders>
              <w:top w:val="single" w:sz="4" w:space="0" w:color="auto"/>
              <w:left w:val="nil"/>
              <w:bottom w:val="single" w:sz="4" w:space="0" w:color="auto"/>
              <w:right w:val="nil"/>
            </w:tcBorders>
            <w:hideMark/>
          </w:tcPr>
          <w:p w14:paraId="2783671A" w14:textId="455B6C7B" w:rsidR="005110DE" w:rsidRPr="00B1499A" w:rsidRDefault="002700C7" w:rsidP="00CF716C">
            <w:pPr>
              <w:pStyle w:val="TableText"/>
            </w:pPr>
            <w:r w:rsidRPr="00B1499A">
              <w:t>Dissolved oxygen</w:t>
            </w:r>
            <w:r>
              <w:t xml:space="preserve"> (DO) – w</w:t>
            </w:r>
            <w:r w:rsidRPr="00B1499A">
              <w:t xml:space="preserve">as </w:t>
            </w:r>
            <w:r>
              <w:t>DO</w:t>
            </w:r>
            <w:r w:rsidRPr="00B1499A">
              <w:t xml:space="preserve"> measured at least at the beginning and end of the toxicity test?</w:t>
            </w:r>
          </w:p>
        </w:tc>
        <w:tc>
          <w:tcPr>
            <w:tcW w:w="1790" w:type="dxa"/>
            <w:tcBorders>
              <w:top w:val="single" w:sz="4" w:space="0" w:color="auto"/>
              <w:left w:val="nil"/>
              <w:bottom w:val="single" w:sz="4" w:space="0" w:color="auto"/>
              <w:right w:val="nil"/>
            </w:tcBorders>
            <w:hideMark/>
          </w:tcPr>
          <w:p w14:paraId="7717294F" w14:textId="246F4D23" w:rsidR="005110DE" w:rsidRPr="00B1499A" w:rsidRDefault="005110DE" w:rsidP="00CF716C">
            <w:pPr>
              <w:pStyle w:val="TableText"/>
            </w:pPr>
            <w:r w:rsidRPr="00B1499A">
              <w:t>Yes (2), No (0/FAIL)</w:t>
            </w:r>
          </w:p>
        </w:tc>
      </w:tr>
      <w:tr w:rsidR="005110DE" w:rsidRPr="00B1499A" w14:paraId="57529D10" w14:textId="77777777" w:rsidTr="00C0455D">
        <w:trPr>
          <w:cantSplit/>
          <w:trHeight w:val="529"/>
        </w:trPr>
        <w:tc>
          <w:tcPr>
            <w:tcW w:w="709" w:type="dxa"/>
            <w:tcBorders>
              <w:top w:val="single" w:sz="4" w:space="0" w:color="auto"/>
              <w:left w:val="nil"/>
              <w:bottom w:val="single" w:sz="4" w:space="0" w:color="auto"/>
              <w:right w:val="nil"/>
            </w:tcBorders>
            <w:hideMark/>
          </w:tcPr>
          <w:p w14:paraId="09F18EBD" w14:textId="3CCF983C" w:rsidR="005110DE" w:rsidRPr="00B1499A" w:rsidRDefault="005110DE" w:rsidP="00CF716C">
            <w:pPr>
              <w:pStyle w:val="TableText"/>
            </w:pPr>
            <w:r w:rsidRPr="00B1499A">
              <w:t>18.</w:t>
            </w:r>
            <w:r w:rsidR="00945FDE">
              <w:t>5</w:t>
            </w:r>
          </w:p>
        </w:tc>
        <w:tc>
          <w:tcPr>
            <w:tcW w:w="6521" w:type="dxa"/>
            <w:tcBorders>
              <w:top w:val="single" w:sz="4" w:space="0" w:color="auto"/>
              <w:left w:val="nil"/>
              <w:bottom w:val="single" w:sz="4" w:space="0" w:color="auto"/>
              <w:right w:val="nil"/>
            </w:tcBorders>
            <w:hideMark/>
          </w:tcPr>
          <w:p w14:paraId="12FDA74E" w14:textId="77777777" w:rsidR="005110DE" w:rsidRPr="00B1499A" w:rsidRDefault="005110DE" w:rsidP="00CF716C">
            <w:pPr>
              <w:pStyle w:val="TableText"/>
            </w:pPr>
            <w:r w:rsidRPr="00B1499A">
              <w:t>Temperature</w:t>
            </w:r>
          </w:p>
        </w:tc>
        <w:tc>
          <w:tcPr>
            <w:tcW w:w="1790" w:type="dxa"/>
            <w:tcBorders>
              <w:top w:val="single" w:sz="4" w:space="0" w:color="auto"/>
              <w:left w:val="nil"/>
              <w:bottom w:val="single" w:sz="4" w:space="0" w:color="auto"/>
              <w:right w:val="nil"/>
            </w:tcBorders>
            <w:hideMark/>
          </w:tcPr>
          <w:p w14:paraId="2808091E" w14:textId="5CEF0557" w:rsidR="005110DE" w:rsidRPr="00B1499A" w:rsidRDefault="005110DE" w:rsidP="00CF716C">
            <w:pPr>
              <w:pStyle w:val="TableText"/>
            </w:pPr>
            <w:r w:rsidRPr="00B1499A">
              <w:t>Yes (2), Temperature of room or chamber was reported (1), No (0/FAIL)</w:t>
            </w:r>
          </w:p>
        </w:tc>
      </w:tr>
      <w:tr w:rsidR="00945FDE" w:rsidRPr="00B1499A" w14:paraId="4429ED6E" w14:textId="77777777" w:rsidTr="00E17E7D">
        <w:trPr>
          <w:cantSplit/>
          <w:trHeight w:val="397"/>
        </w:trPr>
        <w:tc>
          <w:tcPr>
            <w:tcW w:w="709" w:type="dxa"/>
            <w:tcBorders>
              <w:top w:val="single" w:sz="4" w:space="0" w:color="auto"/>
              <w:left w:val="nil"/>
              <w:bottom w:val="single" w:sz="4" w:space="0" w:color="auto"/>
              <w:right w:val="nil"/>
            </w:tcBorders>
          </w:tcPr>
          <w:p w14:paraId="13AD9860" w14:textId="1B87E2A1" w:rsidR="00945FDE" w:rsidRPr="00B1499A" w:rsidRDefault="00945FDE" w:rsidP="00CF716C">
            <w:pPr>
              <w:pStyle w:val="TableText"/>
            </w:pPr>
            <w:r>
              <w:t>18.6</w:t>
            </w:r>
          </w:p>
        </w:tc>
        <w:tc>
          <w:tcPr>
            <w:tcW w:w="6521" w:type="dxa"/>
            <w:tcBorders>
              <w:top w:val="single" w:sz="4" w:space="0" w:color="auto"/>
              <w:left w:val="nil"/>
              <w:bottom w:val="single" w:sz="4" w:space="0" w:color="auto"/>
              <w:right w:val="nil"/>
            </w:tcBorders>
          </w:tcPr>
          <w:p w14:paraId="05BB4E6E" w14:textId="58ACBB56" w:rsidR="00945FDE" w:rsidRPr="00B1499A" w:rsidRDefault="00945FDE" w:rsidP="00CF716C">
            <w:pPr>
              <w:pStyle w:val="TableText"/>
              <w:rPr>
                <w:color w:val="000000"/>
              </w:rPr>
            </w:pPr>
            <w:r w:rsidRPr="57352DF8">
              <w:t>Any other parameters of relevance (e.g. other toxicity</w:t>
            </w:r>
            <w:r w:rsidR="00E17E7D">
              <w:t>-</w:t>
            </w:r>
            <w:r w:rsidRPr="57352DF8">
              <w:t>modifying factors)</w:t>
            </w:r>
            <w:r w:rsidR="00A75106">
              <w:t>?</w:t>
            </w:r>
          </w:p>
        </w:tc>
        <w:tc>
          <w:tcPr>
            <w:tcW w:w="1790" w:type="dxa"/>
            <w:tcBorders>
              <w:top w:val="single" w:sz="4" w:space="0" w:color="auto"/>
              <w:left w:val="nil"/>
              <w:bottom w:val="single" w:sz="4" w:space="0" w:color="auto"/>
              <w:right w:val="nil"/>
            </w:tcBorders>
          </w:tcPr>
          <w:p w14:paraId="7DBC843C" w14:textId="759BBF2F" w:rsidR="00945FDE" w:rsidRPr="00B1499A" w:rsidRDefault="00945FDE" w:rsidP="00CF716C">
            <w:pPr>
              <w:pStyle w:val="TableText"/>
            </w:pPr>
            <w:r w:rsidRPr="00B1499A">
              <w:t>Yes (2), No (0/FAIL)</w:t>
            </w:r>
          </w:p>
        </w:tc>
      </w:tr>
      <w:tr w:rsidR="006234B8" w:rsidRPr="00B1499A" w14:paraId="571E2677" w14:textId="77777777" w:rsidTr="00C0455D">
        <w:trPr>
          <w:cantSplit/>
          <w:trHeight w:val="70"/>
        </w:trPr>
        <w:tc>
          <w:tcPr>
            <w:tcW w:w="709" w:type="dxa"/>
            <w:tcBorders>
              <w:top w:val="single" w:sz="4" w:space="0" w:color="auto"/>
              <w:bottom w:val="single" w:sz="4" w:space="0" w:color="auto"/>
            </w:tcBorders>
            <w:hideMark/>
          </w:tcPr>
          <w:p w14:paraId="17604E80" w14:textId="77777777" w:rsidR="006234B8" w:rsidRPr="00B1499A" w:rsidRDefault="006234B8" w:rsidP="006234B8">
            <w:pPr>
              <w:pStyle w:val="TableText"/>
            </w:pPr>
          </w:p>
        </w:tc>
        <w:tc>
          <w:tcPr>
            <w:tcW w:w="8311" w:type="dxa"/>
            <w:gridSpan w:val="2"/>
            <w:tcBorders>
              <w:top w:val="single" w:sz="4" w:space="0" w:color="auto"/>
              <w:bottom w:val="single" w:sz="4" w:space="0" w:color="auto"/>
            </w:tcBorders>
            <w:hideMark/>
          </w:tcPr>
          <w:p w14:paraId="64B03640" w14:textId="24749F24" w:rsidR="006234B8" w:rsidRPr="00B1499A" w:rsidRDefault="006234B8" w:rsidP="006234B8">
            <w:pPr>
              <w:pStyle w:val="TableText"/>
              <w:rPr>
                <w:color w:val="000000"/>
              </w:rPr>
            </w:pPr>
            <w:r w:rsidRPr="009D7457">
              <w:rPr>
                <w:color w:val="000000"/>
              </w:rPr>
              <w:t>M</w:t>
            </w:r>
            <w:r>
              <w:rPr>
                <w:color w:val="000000"/>
              </w:rPr>
              <w:t>aximum sub-total for Part C = 15</w:t>
            </w:r>
          </w:p>
        </w:tc>
      </w:tr>
      <w:tr w:rsidR="006234B8" w:rsidRPr="00163D3D" w14:paraId="0E843E51" w14:textId="77777777" w:rsidTr="00C0455D">
        <w:trPr>
          <w:cantSplit/>
          <w:trHeight w:val="70"/>
        </w:trPr>
        <w:tc>
          <w:tcPr>
            <w:tcW w:w="709" w:type="dxa"/>
            <w:tcBorders>
              <w:top w:val="single" w:sz="4" w:space="0" w:color="auto"/>
              <w:bottom w:val="single" w:sz="12" w:space="0" w:color="auto"/>
            </w:tcBorders>
          </w:tcPr>
          <w:p w14:paraId="3AB68EAE" w14:textId="77777777" w:rsidR="006234B8" w:rsidRPr="00163D3D" w:rsidRDefault="006234B8" w:rsidP="006234B8">
            <w:pPr>
              <w:pStyle w:val="TableText"/>
            </w:pPr>
          </w:p>
        </w:tc>
        <w:tc>
          <w:tcPr>
            <w:tcW w:w="8311" w:type="dxa"/>
            <w:gridSpan w:val="2"/>
            <w:tcBorders>
              <w:top w:val="single" w:sz="4" w:space="0" w:color="auto"/>
              <w:bottom w:val="single" w:sz="12" w:space="0" w:color="auto"/>
            </w:tcBorders>
          </w:tcPr>
          <w:p w14:paraId="088C6ED3" w14:textId="00944348" w:rsidR="006234B8" w:rsidRPr="00163D3D" w:rsidRDefault="006234B8" w:rsidP="006234B8">
            <w:pPr>
              <w:pStyle w:val="TableText"/>
            </w:pPr>
            <w:r w:rsidRPr="00163D3D">
              <w:t>M</w:t>
            </w:r>
            <w:r>
              <w:t xml:space="preserve">aximum total for parts </w:t>
            </w:r>
            <w:r w:rsidRPr="00163D3D">
              <w:t>A</w:t>
            </w:r>
            <w:r>
              <w:t xml:space="preserve"> +</w:t>
            </w:r>
            <w:r w:rsidRPr="00163D3D">
              <w:t xml:space="preserve"> B </w:t>
            </w:r>
            <w:r>
              <w:t>+</w:t>
            </w:r>
            <w:r w:rsidRPr="00163D3D">
              <w:t xml:space="preserve"> C </w:t>
            </w:r>
            <w:r>
              <w:t>=</w:t>
            </w:r>
            <w:r w:rsidRPr="00163D3D">
              <w:t xml:space="preserve"> 9</w:t>
            </w:r>
            <w:r>
              <w:t>2</w:t>
            </w:r>
          </w:p>
        </w:tc>
      </w:tr>
    </w:tbl>
    <w:p w14:paraId="5697C36D" w14:textId="77777777" w:rsidR="00246FF4" w:rsidRDefault="00246FF4" w:rsidP="004D7186">
      <w:pPr>
        <w:pStyle w:val="FigureTableNoteSource"/>
        <w:rPr>
          <w:lang w:eastAsia="ja-JP"/>
        </w:rPr>
      </w:pPr>
      <w:r w:rsidRPr="0026617C">
        <w:rPr>
          <w:lang w:eastAsia="ja-JP"/>
        </w:rPr>
        <w:t xml:space="preserve">Source: </w:t>
      </w:r>
      <w:r>
        <w:rPr>
          <w:lang w:eastAsia="ja-JP"/>
        </w:rPr>
        <w:t>Updated from Warne et al. (2018).</w:t>
      </w:r>
    </w:p>
    <w:p w14:paraId="02575C9B" w14:textId="4E6072FD" w:rsidR="005110DE" w:rsidRDefault="005110DE" w:rsidP="00CF716C">
      <w:pPr>
        <w:pStyle w:val="FigureTableNoteSource"/>
      </w:pPr>
      <w:r w:rsidRPr="57352DF8">
        <w:rPr>
          <w:vertAlign w:val="superscript"/>
        </w:rPr>
        <w:t>a</w:t>
      </w:r>
      <w:r w:rsidRPr="57352DF8">
        <w:t xml:space="preserve"> Where a question </w:t>
      </w:r>
      <w:r w:rsidRPr="00CF716C">
        <w:t>has</w:t>
      </w:r>
      <w:r w:rsidRPr="57352DF8">
        <w:t xml:space="preserve"> a possible </w:t>
      </w:r>
      <w:r w:rsidR="00CF716C">
        <w:t>‘</w:t>
      </w:r>
      <w:r w:rsidRPr="57352DF8">
        <w:t>No (0/FAIL)</w:t>
      </w:r>
      <w:r w:rsidR="00CF716C">
        <w:t>’</w:t>
      </w:r>
      <w:r w:rsidRPr="57352DF8">
        <w:t xml:space="preserve"> outcome, professional </w:t>
      </w:r>
      <w:r w:rsidR="00542D1C">
        <w:t>judgement</w:t>
      </w:r>
      <w:r w:rsidRPr="57352DF8">
        <w:t xml:space="preserve"> may be required to determine if a 0 is assigned or if the test fails the quality assessment process.</w:t>
      </w:r>
    </w:p>
    <w:p w14:paraId="5B6EAF5D" w14:textId="77777777" w:rsidR="006C5761" w:rsidRDefault="005110DE" w:rsidP="006C5761">
      <w:pPr>
        <w:pStyle w:val="FigureTableNoteSource"/>
      </w:pPr>
      <w:r w:rsidRPr="57352DF8">
        <w:rPr>
          <w:vertAlign w:val="superscript"/>
        </w:rPr>
        <w:t>b</w:t>
      </w:r>
      <w:r w:rsidRPr="57352DF8">
        <w:t xml:space="preserve"> See </w:t>
      </w:r>
      <w:r w:rsidR="00AD63D3" w:rsidRPr="00AD63D3">
        <w:fldChar w:fldCharType="begin"/>
      </w:r>
      <w:r w:rsidR="00AD63D3" w:rsidRPr="00AD63D3">
        <w:instrText xml:space="preserve"> REF _Ref520276250 \h </w:instrText>
      </w:r>
      <w:r w:rsidR="00AD63D3">
        <w:instrText xml:space="preserve"> \* MERGEFORMAT </w:instrText>
      </w:r>
      <w:r w:rsidR="00AD63D3" w:rsidRPr="00AD63D3">
        <w:fldChar w:fldCharType="separate"/>
      </w:r>
    </w:p>
    <w:p w14:paraId="464261AF" w14:textId="000C9516" w:rsidR="005110DE" w:rsidRDefault="006C5761" w:rsidP="00CF716C">
      <w:pPr>
        <w:pStyle w:val="FigureTableNoteSource"/>
      </w:pPr>
      <w:r w:rsidRPr="57352DF8">
        <w:t>Table</w:t>
      </w:r>
      <w:r>
        <w:t> </w:t>
      </w:r>
      <w:r>
        <w:rPr>
          <w:noProof/>
        </w:rPr>
        <w:t>2</w:t>
      </w:r>
      <w:r w:rsidR="00AD63D3" w:rsidRPr="00AD63D3">
        <w:fldChar w:fldCharType="end"/>
      </w:r>
      <w:r w:rsidR="005110DE" w:rsidRPr="57352DF8">
        <w:t xml:space="preserve"> for additional guidance.</w:t>
      </w:r>
    </w:p>
    <w:p w14:paraId="7BAA5A4D" w14:textId="77777777" w:rsidR="005110DE" w:rsidRDefault="005110DE" w:rsidP="004D7186">
      <w:r>
        <w:br w:type="page"/>
      </w:r>
    </w:p>
    <w:p w14:paraId="5157331C" w14:textId="067B6AC4" w:rsidR="005110DE" w:rsidRPr="00D636A6" w:rsidRDefault="00594F1C" w:rsidP="005110DE">
      <w:pPr>
        <w:pStyle w:val="Caption"/>
        <w:keepLines/>
      </w:pPr>
      <w:bookmarkStart w:id="184" w:name="_Toc206085231"/>
      <w:r>
        <w:lastRenderedPageBreak/>
        <w:t>Table</w:t>
      </w:r>
      <w:r w:rsidR="000B093C">
        <w:t> </w:t>
      </w:r>
      <w:r>
        <w:fldChar w:fldCharType="begin"/>
      </w:r>
      <w:r>
        <w:instrText xml:space="preserve"> STYLEREF 7 \s </w:instrText>
      </w:r>
      <w:r>
        <w:fldChar w:fldCharType="separate"/>
      </w:r>
      <w:r w:rsidR="006C5761">
        <w:rPr>
          <w:noProof/>
        </w:rPr>
        <w:t>B</w:t>
      </w:r>
      <w:r>
        <w:rPr>
          <w:noProof/>
        </w:rPr>
        <w:fldChar w:fldCharType="end"/>
      </w:r>
      <w:r>
        <w:t>.</w:t>
      </w:r>
      <w:r>
        <w:fldChar w:fldCharType="begin"/>
      </w:r>
      <w:r>
        <w:instrText xml:space="preserve"> SEQ ApxTable \* ARABIC \s 7 </w:instrText>
      </w:r>
      <w:r>
        <w:fldChar w:fldCharType="separate"/>
      </w:r>
      <w:r w:rsidR="006C5761">
        <w:rPr>
          <w:noProof/>
        </w:rPr>
        <w:t>5</w:t>
      </w:r>
      <w:r>
        <w:rPr>
          <w:noProof/>
        </w:rPr>
        <w:fldChar w:fldCharType="end"/>
      </w:r>
      <w:r>
        <w:t xml:space="preserve"> </w:t>
      </w:r>
      <w:r w:rsidR="005110DE" w:rsidRPr="00D636A6">
        <w:t xml:space="preserve">Scoring system for assessing the quality of toxicity data for contaminants </w:t>
      </w:r>
      <w:r w:rsidR="005110DE">
        <w:t xml:space="preserve">(metal or non-metal) </w:t>
      </w:r>
      <w:r w:rsidR="005110DE" w:rsidRPr="00D636A6">
        <w:t>to marine</w:t>
      </w:r>
      <w:r>
        <w:t xml:space="preserve"> and </w:t>
      </w:r>
      <w:r w:rsidR="005110DE" w:rsidRPr="00D636A6">
        <w:t>estuarine plant species</w:t>
      </w:r>
      <w:r w:rsidR="005110DE">
        <w:t>,</w:t>
      </w:r>
      <w:r w:rsidR="005110DE" w:rsidRPr="00D636A6">
        <w:t xml:space="preserve"> to be used in the derivation of guideline values for toxicants</w:t>
      </w:r>
      <w:bookmarkEnd w:id="184"/>
    </w:p>
    <w:tbl>
      <w:tblPr>
        <w:tblW w:w="0" w:type="auto"/>
        <w:tblLayout w:type="fixed"/>
        <w:tblLook w:val="04A0" w:firstRow="1" w:lastRow="0" w:firstColumn="1" w:lastColumn="0" w:noHBand="0" w:noVBand="1"/>
      </w:tblPr>
      <w:tblGrid>
        <w:gridCol w:w="709"/>
        <w:gridCol w:w="6521"/>
        <w:gridCol w:w="1790"/>
      </w:tblGrid>
      <w:tr w:rsidR="007374DE" w:rsidRPr="00B1499A" w14:paraId="39E9A7F2" w14:textId="77777777" w:rsidTr="007374DE">
        <w:trPr>
          <w:trHeight w:val="320"/>
          <w:tblHeader/>
        </w:trPr>
        <w:tc>
          <w:tcPr>
            <w:tcW w:w="709" w:type="dxa"/>
            <w:tcBorders>
              <w:top w:val="single" w:sz="12" w:space="0" w:color="auto"/>
              <w:left w:val="nil"/>
              <w:bottom w:val="single" w:sz="12" w:space="0" w:color="auto"/>
              <w:right w:val="nil"/>
            </w:tcBorders>
            <w:noWrap/>
            <w:vAlign w:val="center"/>
            <w:hideMark/>
          </w:tcPr>
          <w:p w14:paraId="6AA71BCA" w14:textId="6084A0DF" w:rsidR="007374DE" w:rsidRPr="00CF716C" w:rsidRDefault="007374DE" w:rsidP="00851228">
            <w:pPr>
              <w:pStyle w:val="TableHeading"/>
            </w:pPr>
            <w:r>
              <w:t>No.</w:t>
            </w:r>
          </w:p>
        </w:tc>
        <w:tc>
          <w:tcPr>
            <w:tcW w:w="6521" w:type="dxa"/>
            <w:tcBorders>
              <w:top w:val="single" w:sz="12" w:space="0" w:color="auto"/>
              <w:left w:val="nil"/>
              <w:bottom w:val="single" w:sz="12" w:space="0" w:color="auto"/>
              <w:right w:val="nil"/>
            </w:tcBorders>
            <w:vAlign w:val="center"/>
          </w:tcPr>
          <w:p w14:paraId="19508BAC" w14:textId="2E85F1A3" w:rsidR="007374DE" w:rsidRPr="00CF716C" w:rsidRDefault="007374DE" w:rsidP="00851228">
            <w:pPr>
              <w:pStyle w:val="TableHeading"/>
            </w:pPr>
            <w:r>
              <w:t>Question</w:t>
            </w:r>
          </w:p>
        </w:tc>
        <w:tc>
          <w:tcPr>
            <w:tcW w:w="1790" w:type="dxa"/>
            <w:tcBorders>
              <w:top w:val="single" w:sz="12" w:space="0" w:color="auto"/>
              <w:left w:val="nil"/>
              <w:bottom w:val="single" w:sz="12" w:space="0" w:color="auto"/>
              <w:right w:val="nil"/>
            </w:tcBorders>
            <w:noWrap/>
            <w:vAlign w:val="center"/>
            <w:hideMark/>
          </w:tcPr>
          <w:p w14:paraId="420AF870" w14:textId="30A2638B" w:rsidR="007374DE" w:rsidRPr="00CF716C" w:rsidRDefault="007374DE" w:rsidP="00851228">
            <w:pPr>
              <w:pStyle w:val="TableHeading"/>
            </w:pPr>
            <w:r>
              <w:t>Score</w:t>
            </w:r>
            <w:r w:rsidRPr="00F67D15">
              <w:rPr>
                <w:vertAlign w:val="superscript"/>
              </w:rPr>
              <w:t>a</w:t>
            </w:r>
          </w:p>
        </w:tc>
      </w:tr>
      <w:tr w:rsidR="005E2E82" w:rsidRPr="00903169" w14:paraId="70CEA5F3" w14:textId="77777777" w:rsidTr="001220EF">
        <w:trPr>
          <w:trHeight w:val="320"/>
        </w:trPr>
        <w:tc>
          <w:tcPr>
            <w:tcW w:w="7230" w:type="dxa"/>
            <w:gridSpan w:val="2"/>
            <w:tcBorders>
              <w:top w:val="single" w:sz="12" w:space="0" w:color="auto"/>
              <w:left w:val="nil"/>
              <w:bottom w:val="single" w:sz="12" w:space="0" w:color="auto"/>
              <w:right w:val="nil"/>
            </w:tcBorders>
            <w:noWrap/>
            <w:hideMark/>
          </w:tcPr>
          <w:p w14:paraId="53DCBEC9" w14:textId="60D19766" w:rsidR="005E2E82" w:rsidRPr="00B1499A" w:rsidRDefault="005E2E82" w:rsidP="005E2E82">
            <w:pPr>
              <w:pStyle w:val="TableText"/>
            </w:pPr>
            <w:r w:rsidRPr="002171FA">
              <w:rPr>
                <w:b/>
                <w:bCs/>
              </w:rPr>
              <w:t>A. G</w:t>
            </w:r>
            <w:r>
              <w:rPr>
                <w:b/>
                <w:bCs/>
              </w:rPr>
              <w:t>eneral test design information</w:t>
            </w:r>
          </w:p>
        </w:tc>
        <w:tc>
          <w:tcPr>
            <w:tcW w:w="1790" w:type="dxa"/>
            <w:tcBorders>
              <w:top w:val="single" w:sz="12" w:space="0" w:color="auto"/>
              <w:left w:val="nil"/>
              <w:bottom w:val="single" w:sz="12" w:space="0" w:color="auto"/>
              <w:right w:val="nil"/>
            </w:tcBorders>
            <w:noWrap/>
            <w:vAlign w:val="center"/>
            <w:hideMark/>
          </w:tcPr>
          <w:p w14:paraId="569016FC" w14:textId="63A9FDF7" w:rsidR="005E2E82" w:rsidRPr="00B1499A" w:rsidRDefault="005E2E82" w:rsidP="005E2E82">
            <w:pPr>
              <w:pStyle w:val="TableText"/>
            </w:pPr>
          </w:p>
        </w:tc>
      </w:tr>
      <w:tr w:rsidR="00E17E7D" w:rsidRPr="00B1499A" w14:paraId="54430871" w14:textId="77777777" w:rsidTr="002F6B5D">
        <w:trPr>
          <w:trHeight w:val="320"/>
        </w:trPr>
        <w:tc>
          <w:tcPr>
            <w:tcW w:w="709" w:type="dxa"/>
            <w:tcBorders>
              <w:top w:val="single" w:sz="12" w:space="0" w:color="auto"/>
              <w:left w:val="nil"/>
              <w:bottom w:val="single" w:sz="4" w:space="0" w:color="auto"/>
              <w:right w:val="nil"/>
            </w:tcBorders>
            <w:hideMark/>
          </w:tcPr>
          <w:p w14:paraId="42C14467" w14:textId="0B80EBBD" w:rsidR="00E17E7D" w:rsidRPr="00B1499A" w:rsidRDefault="00E17E7D" w:rsidP="00E17E7D">
            <w:pPr>
              <w:pStyle w:val="TableText"/>
            </w:pPr>
            <w:r w:rsidRPr="00B1499A">
              <w:t>1</w:t>
            </w:r>
          </w:p>
        </w:tc>
        <w:tc>
          <w:tcPr>
            <w:tcW w:w="6521" w:type="dxa"/>
            <w:tcBorders>
              <w:top w:val="single" w:sz="12" w:space="0" w:color="auto"/>
              <w:left w:val="nil"/>
              <w:bottom w:val="single" w:sz="4" w:space="0" w:color="auto"/>
              <w:right w:val="nil"/>
            </w:tcBorders>
            <w:hideMark/>
          </w:tcPr>
          <w:p w14:paraId="0B69F744" w14:textId="1104911A" w:rsidR="00E17E7D" w:rsidRPr="00B1499A" w:rsidRDefault="00E17E7D" w:rsidP="00E17E7D">
            <w:pPr>
              <w:pStyle w:val="TableText"/>
              <w:rPr>
                <w:color w:val="000000"/>
              </w:rPr>
            </w:pPr>
            <w:r w:rsidRPr="57352DF8">
              <w:t>Was the duration of the exposure stated (</w:t>
            </w:r>
            <w:r>
              <w:t>e.g.</w:t>
            </w:r>
            <w:r w:rsidRPr="57352DF8">
              <w:t xml:space="preserve"> 48</w:t>
            </w:r>
            <w:r>
              <w:t xml:space="preserve"> h,</w:t>
            </w:r>
            <w:r w:rsidRPr="57352DF8">
              <w:t xml:space="preserve"> 96 h)?</w:t>
            </w:r>
          </w:p>
        </w:tc>
        <w:tc>
          <w:tcPr>
            <w:tcW w:w="1790" w:type="dxa"/>
            <w:tcBorders>
              <w:top w:val="single" w:sz="12" w:space="0" w:color="auto"/>
              <w:left w:val="nil"/>
              <w:bottom w:val="single" w:sz="4" w:space="0" w:color="auto"/>
              <w:right w:val="nil"/>
            </w:tcBorders>
            <w:hideMark/>
          </w:tcPr>
          <w:p w14:paraId="7B3FA8FE" w14:textId="773F50C8" w:rsidR="00E17E7D" w:rsidRPr="00B1499A" w:rsidRDefault="00E17E7D" w:rsidP="00E17E7D">
            <w:pPr>
              <w:pStyle w:val="TableText"/>
            </w:pPr>
            <w:r w:rsidRPr="00B1499A">
              <w:t>Yes (3), No (0/FAIL)</w:t>
            </w:r>
          </w:p>
        </w:tc>
      </w:tr>
      <w:tr w:rsidR="00E17E7D" w:rsidRPr="00B1499A" w14:paraId="1F0CA79D" w14:textId="77777777" w:rsidTr="002F6B5D">
        <w:trPr>
          <w:trHeight w:val="1040"/>
        </w:trPr>
        <w:tc>
          <w:tcPr>
            <w:tcW w:w="709" w:type="dxa"/>
            <w:tcBorders>
              <w:top w:val="single" w:sz="4" w:space="0" w:color="auto"/>
              <w:left w:val="nil"/>
              <w:bottom w:val="single" w:sz="4" w:space="0" w:color="auto"/>
              <w:right w:val="nil"/>
            </w:tcBorders>
            <w:hideMark/>
          </w:tcPr>
          <w:p w14:paraId="2AA7ADBF" w14:textId="530B0DA7" w:rsidR="00E17E7D" w:rsidRPr="00B1499A" w:rsidRDefault="00E17E7D" w:rsidP="00E17E7D">
            <w:pPr>
              <w:pStyle w:val="TableText"/>
            </w:pPr>
            <w:r w:rsidRPr="00B1499A">
              <w:t>2</w:t>
            </w:r>
          </w:p>
        </w:tc>
        <w:tc>
          <w:tcPr>
            <w:tcW w:w="6521" w:type="dxa"/>
            <w:tcBorders>
              <w:top w:val="single" w:sz="4" w:space="0" w:color="auto"/>
              <w:left w:val="nil"/>
              <w:bottom w:val="single" w:sz="4" w:space="0" w:color="auto"/>
              <w:right w:val="nil"/>
            </w:tcBorders>
            <w:hideMark/>
          </w:tcPr>
          <w:p w14:paraId="7DC131EE" w14:textId="72FEBEC3" w:rsidR="00E17E7D" w:rsidRPr="00B1499A" w:rsidRDefault="00E17E7D" w:rsidP="00E17E7D">
            <w:pPr>
              <w:pStyle w:val="TableText"/>
              <w:rPr>
                <w:color w:val="000000"/>
              </w:rPr>
            </w:pPr>
            <w:r w:rsidRPr="57352DF8">
              <w:t>Was the biological endpoint (</w:t>
            </w:r>
            <w:r>
              <w:t>e.g.</w:t>
            </w:r>
            <w:r w:rsidRPr="57352DF8">
              <w:t xml:space="preserve"> immobilisation</w:t>
            </w:r>
            <w:r>
              <w:t>,</w:t>
            </w:r>
            <w:r w:rsidRPr="57352DF8">
              <w:t xml:space="preserve"> population growth) stated? Note: </w:t>
            </w:r>
            <w:r>
              <w:t>e</w:t>
            </w:r>
            <w:r w:rsidRPr="57352DF8">
              <w:t xml:space="preserve">nsure that the endpoint is considered to be ecologically relevant. </w:t>
            </w:r>
            <w:r w:rsidR="00466181">
              <w:t>Do not use e</w:t>
            </w:r>
            <w:r w:rsidRPr="57352DF8">
              <w:t>ndpoints with no demonstrated ecological relevance to derive guideline values</w:t>
            </w:r>
            <w:r w:rsidR="00236FD0">
              <w:t>,</w:t>
            </w:r>
            <w:r w:rsidRPr="57352DF8">
              <w:t xml:space="preserve"> and </w:t>
            </w:r>
            <w:r w:rsidR="00EA1935">
              <w:t xml:space="preserve">they </w:t>
            </w:r>
            <w:r w:rsidRPr="57352DF8">
              <w:t xml:space="preserve">do not need </w:t>
            </w:r>
            <w:r w:rsidR="00EA1935">
              <w:t>their</w:t>
            </w:r>
            <w:r w:rsidRPr="57352DF8">
              <w:t xml:space="preserve"> quality assessed.</w:t>
            </w:r>
          </w:p>
        </w:tc>
        <w:tc>
          <w:tcPr>
            <w:tcW w:w="1790" w:type="dxa"/>
            <w:tcBorders>
              <w:top w:val="single" w:sz="4" w:space="0" w:color="auto"/>
              <w:left w:val="nil"/>
              <w:bottom w:val="single" w:sz="4" w:space="0" w:color="auto"/>
              <w:right w:val="nil"/>
            </w:tcBorders>
            <w:hideMark/>
          </w:tcPr>
          <w:p w14:paraId="77A5647B" w14:textId="31E93620" w:rsidR="00E17E7D" w:rsidRPr="00B1499A" w:rsidRDefault="00E17E7D" w:rsidP="00E17E7D">
            <w:pPr>
              <w:pStyle w:val="TableText"/>
            </w:pPr>
            <w:r w:rsidRPr="00B1499A">
              <w:t>Yes (3), No (0/FAIL)</w:t>
            </w:r>
          </w:p>
        </w:tc>
      </w:tr>
      <w:tr w:rsidR="00E17E7D" w:rsidRPr="00B1499A" w14:paraId="48A2D4E9" w14:textId="77777777" w:rsidTr="002F6B5D">
        <w:trPr>
          <w:trHeight w:val="780"/>
        </w:trPr>
        <w:tc>
          <w:tcPr>
            <w:tcW w:w="709" w:type="dxa"/>
            <w:tcBorders>
              <w:top w:val="single" w:sz="4" w:space="0" w:color="auto"/>
              <w:left w:val="nil"/>
              <w:bottom w:val="single" w:sz="4" w:space="0" w:color="auto"/>
              <w:right w:val="nil"/>
            </w:tcBorders>
            <w:hideMark/>
          </w:tcPr>
          <w:p w14:paraId="4386FF49" w14:textId="5ACE4A0E" w:rsidR="00E17E7D" w:rsidRPr="00B1499A" w:rsidRDefault="00E17E7D" w:rsidP="00E17E7D">
            <w:pPr>
              <w:pStyle w:val="TableText"/>
            </w:pPr>
            <w:r w:rsidRPr="00B1499A">
              <w:t>3</w:t>
            </w:r>
          </w:p>
        </w:tc>
        <w:tc>
          <w:tcPr>
            <w:tcW w:w="6521" w:type="dxa"/>
            <w:tcBorders>
              <w:top w:val="single" w:sz="4" w:space="0" w:color="auto"/>
              <w:left w:val="nil"/>
              <w:bottom w:val="single" w:sz="4" w:space="0" w:color="auto"/>
              <w:right w:val="nil"/>
            </w:tcBorders>
            <w:hideMark/>
          </w:tcPr>
          <w:p w14:paraId="2CFC77C6" w14:textId="5CE4CDF0" w:rsidR="00E17E7D" w:rsidRPr="00B1499A" w:rsidRDefault="00E17E7D" w:rsidP="00E17E7D">
            <w:pPr>
              <w:pStyle w:val="TableText"/>
              <w:rPr>
                <w:color w:val="000000"/>
              </w:rPr>
            </w:pPr>
            <w:r w:rsidRPr="57352DF8">
              <w:t xml:space="preserve">Was the measure of toxicity reported (e.g. NEC, ECx, NOEC) </w:t>
            </w:r>
            <w:r w:rsidRPr="00CA02BC">
              <w:rPr>
                <w:b/>
                <w:bCs/>
              </w:rPr>
              <w:t>and</w:t>
            </w:r>
            <w:r w:rsidRPr="57352DF8">
              <w:t xml:space="preserve"> its associated biological</w:t>
            </w:r>
            <w:r w:rsidR="00371EB5">
              <w:t>-</w:t>
            </w:r>
            <w:r w:rsidRPr="57352DF8">
              <w:t>effect size reported or quantifiable from the data (e.g. EC10, LC50, 15% effect at NOEC)?</w:t>
            </w:r>
          </w:p>
        </w:tc>
        <w:tc>
          <w:tcPr>
            <w:tcW w:w="1790" w:type="dxa"/>
            <w:tcBorders>
              <w:top w:val="single" w:sz="4" w:space="0" w:color="auto"/>
              <w:left w:val="nil"/>
              <w:bottom w:val="single" w:sz="4" w:space="0" w:color="auto"/>
              <w:right w:val="nil"/>
            </w:tcBorders>
            <w:hideMark/>
          </w:tcPr>
          <w:p w14:paraId="6C8BC21D" w14:textId="50BD5C75" w:rsidR="00E17E7D" w:rsidRPr="00B1499A" w:rsidRDefault="00E17E7D" w:rsidP="00E17E7D">
            <w:pPr>
              <w:pStyle w:val="TableText"/>
            </w:pPr>
            <w:r w:rsidRPr="00B1499A">
              <w:t>Yes (3), No (0/FAIL)</w:t>
            </w:r>
          </w:p>
        </w:tc>
      </w:tr>
      <w:tr w:rsidR="00E17E7D" w:rsidRPr="00B1499A" w14:paraId="1E64CBC7" w14:textId="77777777" w:rsidTr="002F6B5D">
        <w:trPr>
          <w:trHeight w:val="320"/>
        </w:trPr>
        <w:tc>
          <w:tcPr>
            <w:tcW w:w="709" w:type="dxa"/>
            <w:tcBorders>
              <w:top w:val="single" w:sz="4" w:space="0" w:color="auto"/>
              <w:left w:val="nil"/>
              <w:bottom w:val="single" w:sz="4" w:space="0" w:color="auto"/>
              <w:right w:val="nil"/>
            </w:tcBorders>
            <w:hideMark/>
          </w:tcPr>
          <w:p w14:paraId="29CECA95" w14:textId="0B90E067" w:rsidR="00E17E7D" w:rsidRPr="00B1499A" w:rsidRDefault="00E17E7D" w:rsidP="00E17E7D">
            <w:pPr>
              <w:pStyle w:val="TableText"/>
            </w:pPr>
            <w:r w:rsidRPr="00B1499A">
              <w:t>4</w:t>
            </w:r>
          </w:p>
        </w:tc>
        <w:tc>
          <w:tcPr>
            <w:tcW w:w="6521" w:type="dxa"/>
            <w:tcBorders>
              <w:top w:val="single" w:sz="4" w:space="0" w:color="auto"/>
              <w:left w:val="nil"/>
              <w:bottom w:val="single" w:sz="4" w:space="0" w:color="auto"/>
              <w:right w:val="nil"/>
            </w:tcBorders>
            <w:hideMark/>
          </w:tcPr>
          <w:p w14:paraId="7D3E8B18" w14:textId="7E95842F" w:rsidR="00E17E7D" w:rsidRPr="00B1499A" w:rsidRDefault="00E17E7D" w:rsidP="00E17E7D">
            <w:pPr>
              <w:pStyle w:val="TableText"/>
              <w:rPr>
                <w:color w:val="000000"/>
              </w:rPr>
            </w:pPr>
            <w:r w:rsidRPr="57352DF8">
              <w:t>Were appropriate controls (</w:t>
            </w:r>
            <w:r>
              <w:t>e.g.</w:t>
            </w:r>
            <w:r w:rsidRPr="57352DF8">
              <w:t xml:space="preserve"> no-toxicant control</w:t>
            </w:r>
            <w:r>
              <w:t>,</w:t>
            </w:r>
            <w:r w:rsidRPr="57352DF8">
              <w:t xml:space="preserve"> solvent control) used?</w:t>
            </w:r>
          </w:p>
        </w:tc>
        <w:tc>
          <w:tcPr>
            <w:tcW w:w="1790" w:type="dxa"/>
            <w:tcBorders>
              <w:top w:val="single" w:sz="4" w:space="0" w:color="auto"/>
              <w:left w:val="nil"/>
              <w:bottom w:val="single" w:sz="4" w:space="0" w:color="auto"/>
              <w:right w:val="nil"/>
            </w:tcBorders>
            <w:hideMark/>
          </w:tcPr>
          <w:p w14:paraId="636B172C" w14:textId="26DF9411" w:rsidR="00E17E7D" w:rsidRPr="00B1499A" w:rsidRDefault="00E17E7D" w:rsidP="00E17E7D">
            <w:pPr>
              <w:pStyle w:val="TableText"/>
            </w:pPr>
            <w:r w:rsidRPr="00B1499A">
              <w:t>Yes (3), No (0/FAIL)</w:t>
            </w:r>
            <w:r w:rsidRPr="00F67D15">
              <w:rPr>
                <w:vertAlign w:val="superscript"/>
              </w:rPr>
              <w:t>b</w:t>
            </w:r>
          </w:p>
        </w:tc>
      </w:tr>
      <w:tr w:rsidR="00E17E7D" w:rsidRPr="00A22B40" w14:paraId="6E1CA4CB" w14:textId="77777777" w:rsidTr="002F6B5D">
        <w:trPr>
          <w:trHeight w:val="520"/>
        </w:trPr>
        <w:tc>
          <w:tcPr>
            <w:tcW w:w="709" w:type="dxa"/>
            <w:tcBorders>
              <w:top w:val="single" w:sz="4" w:space="0" w:color="auto"/>
              <w:left w:val="nil"/>
              <w:bottom w:val="single" w:sz="4" w:space="0" w:color="auto"/>
              <w:right w:val="nil"/>
            </w:tcBorders>
            <w:hideMark/>
          </w:tcPr>
          <w:p w14:paraId="1BEA4E23" w14:textId="6A400D17" w:rsidR="00E17E7D" w:rsidRPr="00B1499A" w:rsidRDefault="00E17E7D" w:rsidP="00E17E7D">
            <w:pPr>
              <w:pStyle w:val="TableText"/>
            </w:pPr>
            <w:r w:rsidRPr="00B1499A">
              <w:t>5</w:t>
            </w:r>
          </w:p>
        </w:tc>
        <w:tc>
          <w:tcPr>
            <w:tcW w:w="6521" w:type="dxa"/>
            <w:tcBorders>
              <w:top w:val="single" w:sz="4" w:space="0" w:color="auto"/>
              <w:left w:val="nil"/>
              <w:bottom w:val="single" w:sz="4" w:space="0" w:color="auto"/>
              <w:right w:val="nil"/>
            </w:tcBorders>
            <w:hideMark/>
          </w:tcPr>
          <w:p w14:paraId="06C45B14" w14:textId="36431F0C" w:rsidR="00E17E7D" w:rsidRPr="00B1499A" w:rsidRDefault="00E17E7D" w:rsidP="00E17E7D">
            <w:pPr>
              <w:pStyle w:val="TableText"/>
            </w:pPr>
            <w:r w:rsidRPr="57352DF8">
              <w:t>How may treatment concentrations were used (in addition to the control)?</w:t>
            </w:r>
          </w:p>
        </w:tc>
        <w:tc>
          <w:tcPr>
            <w:tcW w:w="1790" w:type="dxa"/>
            <w:tcBorders>
              <w:top w:val="single" w:sz="4" w:space="0" w:color="auto"/>
              <w:left w:val="nil"/>
              <w:bottom w:val="single" w:sz="4" w:space="0" w:color="auto"/>
              <w:right w:val="nil"/>
            </w:tcBorders>
            <w:hideMark/>
          </w:tcPr>
          <w:p w14:paraId="35E6B0E2" w14:textId="53997B88" w:rsidR="00E17E7D" w:rsidRPr="00B1499A" w:rsidRDefault="00E17E7D" w:rsidP="00E17E7D">
            <w:pPr>
              <w:pStyle w:val="TableText"/>
            </w:pPr>
            <w:r w:rsidRPr="00B1499A">
              <w:t>≥</w:t>
            </w:r>
            <w:r>
              <w:t> </w:t>
            </w:r>
            <w:r w:rsidRPr="00B1499A">
              <w:t>9 (3), 6</w:t>
            </w:r>
            <w:r>
              <w:t>–</w:t>
            </w:r>
            <w:r w:rsidRPr="00B1499A">
              <w:t>8 (2), 3</w:t>
            </w:r>
            <w:r>
              <w:t>–</w:t>
            </w:r>
            <w:r w:rsidRPr="00B1499A">
              <w:t>5 (1), &lt;</w:t>
            </w:r>
            <w:r>
              <w:t> </w:t>
            </w:r>
            <w:r w:rsidRPr="00B1499A">
              <w:t>3 (0/FAIL)</w:t>
            </w:r>
            <w:r w:rsidRPr="00F67D15">
              <w:rPr>
                <w:color w:val="000000"/>
                <w:vertAlign w:val="superscript"/>
              </w:rPr>
              <w:t>b</w:t>
            </w:r>
          </w:p>
        </w:tc>
      </w:tr>
      <w:tr w:rsidR="00E17E7D" w:rsidRPr="00A22B40" w14:paraId="05880BF5" w14:textId="77777777" w:rsidTr="002F6B5D">
        <w:trPr>
          <w:trHeight w:val="520"/>
        </w:trPr>
        <w:tc>
          <w:tcPr>
            <w:tcW w:w="709" w:type="dxa"/>
            <w:tcBorders>
              <w:top w:val="single" w:sz="4" w:space="0" w:color="auto"/>
              <w:left w:val="nil"/>
              <w:bottom w:val="single" w:sz="4" w:space="0" w:color="auto"/>
              <w:right w:val="nil"/>
            </w:tcBorders>
            <w:hideMark/>
          </w:tcPr>
          <w:p w14:paraId="5BEADFA7" w14:textId="4224E8D2" w:rsidR="00E17E7D" w:rsidRPr="00B1499A" w:rsidRDefault="00E17E7D" w:rsidP="00E17E7D">
            <w:pPr>
              <w:pStyle w:val="TableText"/>
            </w:pPr>
            <w:r w:rsidRPr="00B1499A">
              <w:t>6</w:t>
            </w:r>
          </w:p>
        </w:tc>
        <w:tc>
          <w:tcPr>
            <w:tcW w:w="6521" w:type="dxa"/>
            <w:tcBorders>
              <w:top w:val="single" w:sz="4" w:space="0" w:color="auto"/>
              <w:left w:val="nil"/>
              <w:bottom w:val="single" w:sz="4" w:space="0" w:color="auto"/>
              <w:right w:val="nil"/>
            </w:tcBorders>
            <w:hideMark/>
          </w:tcPr>
          <w:p w14:paraId="5C92F6B0" w14:textId="1D04A705" w:rsidR="00E17E7D" w:rsidRPr="00B1499A" w:rsidRDefault="00E17E7D" w:rsidP="00E17E7D">
            <w:pPr>
              <w:pStyle w:val="TableText"/>
            </w:pPr>
            <w:r w:rsidRPr="00B1499A">
              <w:t xml:space="preserve">What was the test concentration spacing? Note: </w:t>
            </w:r>
            <w:r>
              <w:t>a</w:t>
            </w:r>
            <w:r w:rsidRPr="00B1499A">
              <w:t xml:space="preserve"> spacing of &lt;</w:t>
            </w:r>
            <w:r>
              <w:t> </w:t>
            </w:r>
            <w:r w:rsidRPr="00B1499A">
              <w:t>3.2 is highly preferred, while a spacing of ≥</w:t>
            </w:r>
            <w:r>
              <w:t> </w:t>
            </w:r>
            <w:r w:rsidRPr="00B1499A">
              <w:t>10 is too great</w:t>
            </w:r>
            <w:r>
              <w:t>.</w:t>
            </w:r>
          </w:p>
        </w:tc>
        <w:tc>
          <w:tcPr>
            <w:tcW w:w="1790" w:type="dxa"/>
            <w:tcBorders>
              <w:top w:val="single" w:sz="4" w:space="0" w:color="auto"/>
              <w:left w:val="nil"/>
              <w:bottom w:val="single" w:sz="4" w:space="0" w:color="auto"/>
              <w:right w:val="nil"/>
            </w:tcBorders>
            <w:hideMark/>
          </w:tcPr>
          <w:p w14:paraId="0D0EA2CB" w14:textId="63F1D576" w:rsidR="00E17E7D" w:rsidRPr="00B1499A" w:rsidRDefault="00E17E7D" w:rsidP="00E17E7D">
            <w:pPr>
              <w:pStyle w:val="TableText"/>
            </w:pPr>
            <w:r w:rsidRPr="00B1499A">
              <w:t>≤</w:t>
            </w:r>
            <w:r>
              <w:t> </w:t>
            </w:r>
            <w:r w:rsidRPr="00B1499A">
              <w:t>3.2 (3), 3.3</w:t>
            </w:r>
            <w:r>
              <w:t>–</w:t>
            </w:r>
            <w:r w:rsidRPr="00B1499A">
              <w:t>9 (1), ≥</w:t>
            </w:r>
            <w:r>
              <w:t> </w:t>
            </w:r>
            <w:r w:rsidRPr="00B1499A">
              <w:t>10 (0/FAIL)</w:t>
            </w:r>
            <w:r w:rsidRPr="00F67D15">
              <w:rPr>
                <w:color w:val="000000"/>
                <w:vertAlign w:val="superscript"/>
              </w:rPr>
              <w:t>b</w:t>
            </w:r>
          </w:p>
        </w:tc>
      </w:tr>
      <w:tr w:rsidR="00E17E7D" w:rsidRPr="00A22B40" w14:paraId="6E4F077B" w14:textId="77777777" w:rsidTr="002F6B5D">
        <w:trPr>
          <w:trHeight w:val="780"/>
        </w:trPr>
        <w:tc>
          <w:tcPr>
            <w:tcW w:w="709" w:type="dxa"/>
            <w:tcBorders>
              <w:top w:val="single" w:sz="4" w:space="0" w:color="auto"/>
              <w:left w:val="nil"/>
              <w:bottom w:val="single" w:sz="4" w:space="0" w:color="auto"/>
              <w:right w:val="nil"/>
            </w:tcBorders>
            <w:hideMark/>
          </w:tcPr>
          <w:p w14:paraId="4F3F710C" w14:textId="4F970009" w:rsidR="00E17E7D" w:rsidRPr="00B1499A" w:rsidRDefault="00E17E7D" w:rsidP="00E17E7D">
            <w:pPr>
              <w:pStyle w:val="TableText"/>
            </w:pPr>
            <w:r w:rsidRPr="00B1499A">
              <w:t>7</w:t>
            </w:r>
          </w:p>
        </w:tc>
        <w:tc>
          <w:tcPr>
            <w:tcW w:w="6521" w:type="dxa"/>
            <w:tcBorders>
              <w:top w:val="single" w:sz="4" w:space="0" w:color="auto"/>
              <w:left w:val="nil"/>
              <w:bottom w:val="single" w:sz="4" w:space="0" w:color="auto"/>
              <w:right w:val="nil"/>
            </w:tcBorders>
            <w:hideMark/>
          </w:tcPr>
          <w:p w14:paraId="4FE0B84B" w14:textId="6309A095" w:rsidR="00E17E7D" w:rsidRPr="00B1499A" w:rsidRDefault="00E17E7D" w:rsidP="00E17E7D">
            <w:pPr>
              <w:pStyle w:val="TableText"/>
            </w:pPr>
            <w:r w:rsidRPr="00B1499A">
              <w:t xml:space="preserve">Was each control and chemical concentration at least duplicated? Note: for concentration-response modelling, it is also </w:t>
            </w:r>
            <w:r w:rsidRPr="00A22B40">
              <w:t>acceptable</w:t>
            </w:r>
            <w:r w:rsidRPr="00B1499A">
              <w:t xml:space="preserve"> to have many concentrations (e.g</w:t>
            </w:r>
            <w:r>
              <w:t>.</w:t>
            </w:r>
            <w:r w:rsidRPr="00B1499A">
              <w:t xml:space="preserve"> &gt;</w:t>
            </w:r>
            <w:r>
              <w:t> </w:t>
            </w:r>
            <w:r w:rsidRPr="00B1499A">
              <w:t>15) without replication (assuming the controls are replicated).</w:t>
            </w:r>
          </w:p>
        </w:tc>
        <w:tc>
          <w:tcPr>
            <w:tcW w:w="1790" w:type="dxa"/>
            <w:tcBorders>
              <w:top w:val="single" w:sz="4" w:space="0" w:color="auto"/>
              <w:left w:val="nil"/>
              <w:bottom w:val="single" w:sz="4" w:space="0" w:color="auto"/>
              <w:right w:val="nil"/>
            </w:tcBorders>
            <w:hideMark/>
          </w:tcPr>
          <w:p w14:paraId="7B0AF467" w14:textId="03626174" w:rsidR="00E17E7D" w:rsidRPr="00B1499A" w:rsidRDefault="00E17E7D" w:rsidP="00E17E7D">
            <w:pPr>
              <w:pStyle w:val="TableText"/>
            </w:pPr>
            <w:r w:rsidRPr="00B1499A">
              <w:t>Yes (3), No (0/FAIL)</w:t>
            </w:r>
          </w:p>
        </w:tc>
      </w:tr>
      <w:tr w:rsidR="00E17E7D" w:rsidRPr="00B1499A" w14:paraId="6AF2BCD2" w14:textId="77777777" w:rsidTr="002F6B5D">
        <w:trPr>
          <w:trHeight w:val="320"/>
        </w:trPr>
        <w:tc>
          <w:tcPr>
            <w:tcW w:w="709" w:type="dxa"/>
            <w:tcBorders>
              <w:top w:val="single" w:sz="4" w:space="0" w:color="auto"/>
              <w:left w:val="nil"/>
              <w:bottom w:val="single" w:sz="4" w:space="0" w:color="auto"/>
              <w:right w:val="nil"/>
            </w:tcBorders>
            <w:hideMark/>
          </w:tcPr>
          <w:p w14:paraId="68DEE175" w14:textId="70415323" w:rsidR="00E17E7D" w:rsidRPr="00B1499A" w:rsidRDefault="00E17E7D" w:rsidP="00E17E7D">
            <w:pPr>
              <w:pStyle w:val="TableText"/>
            </w:pPr>
            <w:r w:rsidRPr="00B1499A">
              <w:t>8</w:t>
            </w:r>
          </w:p>
        </w:tc>
        <w:tc>
          <w:tcPr>
            <w:tcW w:w="6521" w:type="dxa"/>
            <w:tcBorders>
              <w:top w:val="single" w:sz="4" w:space="0" w:color="auto"/>
              <w:left w:val="nil"/>
              <w:bottom w:val="single" w:sz="4" w:space="0" w:color="auto"/>
              <w:right w:val="nil"/>
            </w:tcBorders>
            <w:hideMark/>
          </w:tcPr>
          <w:p w14:paraId="497C355F" w14:textId="275259FA" w:rsidR="00E17E7D" w:rsidRPr="00B1499A" w:rsidRDefault="00E17E7D" w:rsidP="00E17E7D">
            <w:pPr>
              <w:pStyle w:val="TableText"/>
              <w:rPr>
                <w:color w:val="000000"/>
              </w:rPr>
            </w:pPr>
            <w:r w:rsidRPr="57352DF8">
              <w:t>Were the characteristics of the test organism (</w:t>
            </w:r>
            <w:r>
              <w:t>e.g.</w:t>
            </w:r>
            <w:r w:rsidRPr="57352DF8">
              <w:t xml:space="preserve"> length, mass, age) stated?</w:t>
            </w:r>
          </w:p>
        </w:tc>
        <w:tc>
          <w:tcPr>
            <w:tcW w:w="1790" w:type="dxa"/>
            <w:tcBorders>
              <w:top w:val="single" w:sz="4" w:space="0" w:color="auto"/>
              <w:left w:val="nil"/>
              <w:bottom w:val="single" w:sz="4" w:space="0" w:color="auto"/>
              <w:right w:val="nil"/>
            </w:tcBorders>
            <w:hideMark/>
          </w:tcPr>
          <w:p w14:paraId="3D185E9F" w14:textId="1D52A12B" w:rsidR="00E17E7D" w:rsidRPr="00B1499A" w:rsidRDefault="00E17E7D" w:rsidP="00E17E7D">
            <w:pPr>
              <w:pStyle w:val="TableText"/>
            </w:pPr>
            <w:r w:rsidRPr="00B1499A">
              <w:t>Yes (3), No (0)</w:t>
            </w:r>
          </w:p>
        </w:tc>
      </w:tr>
      <w:tr w:rsidR="00E17E7D" w:rsidRPr="00A22B40" w14:paraId="74F9251F" w14:textId="77777777" w:rsidTr="002F6B5D">
        <w:trPr>
          <w:trHeight w:val="520"/>
        </w:trPr>
        <w:tc>
          <w:tcPr>
            <w:tcW w:w="709" w:type="dxa"/>
            <w:tcBorders>
              <w:top w:val="single" w:sz="4" w:space="0" w:color="auto"/>
              <w:left w:val="nil"/>
              <w:bottom w:val="single" w:sz="4" w:space="0" w:color="auto"/>
              <w:right w:val="nil"/>
            </w:tcBorders>
            <w:hideMark/>
          </w:tcPr>
          <w:p w14:paraId="7D42B3EE" w14:textId="05FD9DD4" w:rsidR="00E17E7D" w:rsidRPr="00B1499A" w:rsidRDefault="00E17E7D" w:rsidP="00E17E7D">
            <w:pPr>
              <w:pStyle w:val="TableText"/>
            </w:pPr>
            <w:r w:rsidRPr="00B1499A">
              <w:t>9</w:t>
            </w:r>
          </w:p>
        </w:tc>
        <w:tc>
          <w:tcPr>
            <w:tcW w:w="6521" w:type="dxa"/>
            <w:tcBorders>
              <w:top w:val="single" w:sz="4" w:space="0" w:color="auto"/>
              <w:left w:val="nil"/>
              <w:bottom w:val="single" w:sz="4" w:space="0" w:color="auto"/>
              <w:right w:val="nil"/>
            </w:tcBorders>
            <w:hideMark/>
          </w:tcPr>
          <w:p w14:paraId="02FDA408" w14:textId="6D9C921F" w:rsidR="00E17E7D" w:rsidRPr="00B1499A" w:rsidRDefault="00E17E7D" w:rsidP="00E17E7D">
            <w:pPr>
              <w:pStyle w:val="TableText"/>
            </w:pPr>
            <w:r w:rsidRPr="57352DF8">
              <w:t>Was the type of test medium used stated (e.g. synthetic or natural water? If synthetic, to what recipe? If natural, what source? Filtered or unfiltered?)</w:t>
            </w:r>
            <w:r>
              <w:t>?</w:t>
            </w:r>
          </w:p>
        </w:tc>
        <w:tc>
          <w:tcPr>
            <w:tcW w:w="1790" w:type="dxa"/>
            <w:tcBorders>
              <w:top w:val="single" w:sz="4" w:space="0" w:color="auto"/>
              <w:left w:val="nil"/>
              <w:bottom w:val="single" w:sz="4" w:space="0" w:color="auto"/>
              <w:right w:val="nil"/>
            </w:tcBorders>
            <w:hideMark/>
          </w:tcPr>
          <w:p w14:paraId="578A700A" w14:textId="2A9EB3BD" w:rsidR="00E17E7D" w:rsidRPr="00B1499A" w:rsidRDefault="00E17E7D" w:rsidP="00E17E7D">
            <w:pPr>
              <w:pStyle w:val="TableText"/>
            </w:pPr>
            <w:r w:rsidRPr="00B1499A">
              <w:t>Yes (3), No (0)</w:t>
            </w:r>
          </w:p>
        </w:tc>
      </w:tr>
      <w:tr w:rsidR="00E17E7D" w:rsidRPr="00B1499A" w14:paraId="186F56E5" w14:textId="77777777" w:rsidTr="002F6B5D">
        <w:trPr>
          <w:trHeight w:val="320"/>
        </w:trPr>
        <w:tc>
          <w:tcPr>
            <w:tcW w:w="709" w:type="dxa"/>
            <w:tcBorders>
              <w:top w:val="single" w:sz="4" w:space="0" w:color="auto"/>
              <w:left w:val="nil"/>
              <w:bottom w:val="single" w:sz="4" w:space="0" w:color="auto"/>
              <w:right w:val="nil"/>
            </w:tcBorders>
            <w:hideMark/>
          </w:tcPr>
          <w:p w14:paraId="1511FFEA" w14:textId="25621288" w:rsidR="00E17E7D" w:rsidRPr="00B1499A" w:rsidRDefault="00E17E7D" w:rsidP="00E17E7D">
            <w:pPr>
              <w:pStyle w:val="TableText"/>
            </w:pPr>
            <w:r w:rsidRPr="00B1499A">
              <w:t>10</w:t>
            </w:r>
          </w:p>
        </w:tc>
        <w:tc>
          <w:tcPr>
            <w:tcW w:w="6521" w:type="dxa"/>
            <w:tcBorders>
              <w:top w:val="single" w:sz="4" w:space="0" w:color="auto"/>
              <w:left w:val="nil"/>
              <w:bottom w:val="single" w:sz="4" w:space="0" w:color="auto"/>
              <w:right w:val="nil"/>
            </w:tcBorders>
            <w:hideMark/>
          </w:tcPr>
          <w:p w14:paraId="6E936BD4" w14:textId="73C6AFD6" w:rsidR="00E17E7D" w:rsidRPr="00B1499A" w:rsidRDefault="00E17E7D" w:rsidP="00E17E7D">
            <w:pPr>
              <w:pStyle w:val="TableText"/>
              <w:rPr>
                <w:color w:val="000000"/>
              </w:rPr>
            </w:pPr>
            <w:r w:rsidRPr="57352DF8">
              <w:t>Was the type of exposure (</w:t>
            </w:r>
            <w:r>
              <w:t>e.g.</w:t>
            </w:r>
            <w:r w:rsidRPr="57352DF8">
              <w:t xml:space="preserve"> static, flow-through) stated?</w:t>
            </w:r>
          </w:p>
        </w:tc>
        <w:tc>
          <w:tcPr>
            <w:tcW w:w="1790" w:type="dxa"/>
            <w:tcBorders>
              <w:top w:val="single" w:sz="4" w:space="0" w:color="auto"/>
              <w:left w:val="nil"/>
              <w:bottom w:val="single" w:sz="4" w:space="0" w:color="auto"/>
              <w:right w:val="nil"/>
            </w:tcBorders>
            <w:hideMark/>
          </w:tcPr>
          <w:p w14:paraId="289C8A38" w14:textId="2854A3AC" w:rsidR="00E17E7D" w:rsidRPr="00B1499A" w:rsidRDefault="00E17E7D" w:rsidP="00E17E7D">
            <w:pPr>
              <w:pStyle w:val="TableText"/>
            </w:pPr>
            <w:r w:rsidRPr="00B1499A">
              <w:t>Yes (3), No (0)</w:t>
            </w:r>
          </w:p>
        </w:tc>
      </w:tr>
      <w:tr w:rsidR="00E17E7D" w:rsidRPr="00B1499A" w14:paraId="3544FB61" w14:textId="77777777" w:rsidTr="001220EF">
        <w:trPr>
          <w:trHeight w:val="320"/>
        </w:trPr>
        <w:tc>
          <w:tcPr>
            <w:tcW w:w="709" w:type="dxa"/>
            <w:tcBorders>
              <w:top w:val="single" w:sz="4" w:space="0" w:color="auto"/>
              <w:left w:val="nil"/>
              <w:bottom w:val="single" w:sz="12" w:space="0" w:color="auto"/>
              <w:right w:val="nil"/>
            </w:tcBorders>
            <w:hideMark/>
          </w:tcPr>
          <w:p w14:paraId="02654CC9" w14:textId="77777777" w:rsidR="00E17E7D" w:rsidRPr="00B1499A" w:rsidRDefault="00E17E7D" w:rsidP="00E17E7D">
            <w:pPr>
              <w:pStyle w:val="TableText"/>
            </w:pPr>
          </w:p>
        </w:tc>
        <w:tc>
          <w:tcPr>
            <w:tcW w:w="8311" w:type="dxa"/>
            <w:gridSpan w:val="2"/>
            <w:tcBorders>
              <w:top w:val="single" w:sz="4" w:space="0" w:color="auto"/>
              <w:left w:val="nil"/>
              <w:bottom w:val="single" w:sz="12" w:space="0" w:color="auto"/>
              <w:right w:val="nil"/>
            </w:tcBorders>
            <w:noWrap/>
            <w:hideMark/>
          </w:tcPr>
          <w:p w14:paraId="033F7A57" w14:textId="450A456D" w:rsidR="00E17E7D" w:rsidRPr="00B1499A" w:rsidRDefault="00E17E7D" w:rsidP="00E17E7D">
            <w:pPr>
              <w:pStyle w:val="TableText"/>
              <w:rPr>
                <w:rFonts w:ascii="Aptos Narrow" w:hAnsi="Aptos Narrow" w:cs="Times New Roman"/>
                <w:color w:val="000000"/>
              </w:rPr>
            </w:pPr>
            <w:r w:rsidRPr="00DF2AF9">
              <w:t>M</w:t>
            </w:r>
            <w:r>
              <w:t>aximum sub-total for Part A = 30</w:t>
            </w:r>
          </w:p>
        </w:tc>
      </w:tr>
      <w:tr w:rsidR="005E2E82" w:rsidRPr="00997AE6" w14:paraId="12C39587" w14:textId="77777777" w:rsidTr="001220EF">
        <w:trPr>
          <w:trHeight w:val="320"/>
        </w:trPr>
        <w:tc>
          <w:tcPr>
            <w:tcW w:w="7230" w:type="dxa"/>
            <w:gridSpan w:val="2"/>
            <w:tcBorders>
              <w:top w:val="single" w:sz="12" w:space="0" w:color="auto"/>
              <w:left w:val="nil"/>
              <w:bottom w:val="single" w:sz="12" w:space="0" w:color="auto"/>
              <w:right w:val="nil"/>
            </w:tcBorders>
            <w:noWrap/>
            <w:hideMark/>
          </w:tcPr>
          <w:p w14:paraId="326C8350" w14:textId="36163DAA" w:rsidR="005E2E82" w:rsidRPr="00997AE6" w:rsidRDefault="005E2E82" w:rsidP="005E2E82">
            <w:pPr>
              <w:pStyle w:val="TableText"/>
            </w:pPr>
            <w:r w:rsidRPr="009D6B76">
              <w:rPr>
                <w:b/>
                <w:bCs/>
              </w:rPr>
              <w:t>B. Test performance/results</w:t>
            </w:r>
          </w:p>
        </w:tc>
        <w:tc>
          <w:tcPr>
            <w:tcW w:w="1790" w:type="dxa"/>
            <w:tcBorders>
              <w:top w:val="single" w:sz="12" w:space="0" w:color="auto"/>
              <w:left w:val="nil"/>
              <w:bottom w:val="single" w:sz="12" w:space="0" w:color="auto"/>
              <w:right w:val="nil"/>
            </w:tcBorders>
            <w:vAlign w:val="center"/>
            <w:hideMark/>
          </w:tcPr>
          <w:p w14:paraId="07F6666A" w14:textId="0E487F26" w:rsidR="005E2E82" w:rsidRPr="00997AE6" w:rsidRDefault="005E2E82" w:rsidP="005E2E82">
            <w:pPr>
              <w:pStyle w:val="TableText"/>
            </w:pPr>
          </w:p>
        </w:tc>
      </w:tr>
      <w:tr w:rsidR="00E17E7D" w:rsidRPr="00997AE6" w14:paraId="47453537" w14:textId="77777777" w:rsidTr="002F6B5D">
        <w:trPr>
          <w:trHeight w:val="520"/>
        </w:trPr>
        <w:tc>
          <w:tcPr>
            <w:tcW w:w="709" w:type="dxa"/>
            <w:tcBorders>
              <w:top w:val="single" w:sz="12" w:space="0" w:color="auto"/>
              <w:left w:val="nil"/>
              <w:bottom w:val="single" w:sz="4" w:space="0" w:color="auto"/>
              <w:right w:val="nil"/>
            </w:tcBorders>
            <w:hideMark/>
          </w:tcPr>
          <w:p w14:paraId="744C052D" w14:textId="0E4286DC" w:rsidR="00E17E7D" w:rsidRPr="00997AE6" w:rsidRDefault="00E17E7D" w:rsidP="00E17E7D">
            <w:pPr>
              <w:pStyle w:val="TableText"/>
            </w:pPr>
            <w:r w:rsidRPr="00997AE6">
              <w:t>11</w:t>
            </w:r>
          </w:p>
        </w:tc>
        <w:tc>
          <w:tcPr>
            <w:tcW w:w="6521" w:type="dxa"/>
            <w:tcBorders>
              <w:top w:val="single" w:sz="12" w:space="0" w:color="auto"/>
              <w:left w:val="nil"/>
              <w:bottom w:val="single" w:sz="4" w:space="0" w:color="auto"/>
              <w:right w:val="nil"/>
            </w:tcBorders>
            <w:hideMark/>
          </w:tcPr>
          <w:p w14:paraId="236F84D6" w14:textId="293C6649" w:rsidR="00E17E7D" w:rsidRPr="00997AE6" w:rsidRDefault="00E17E7D" w:rsidP="00E17E7D">
            <w:pPr>
              <w:pStyle w:val="TableText"/>
            </w:pPr>
            <w:r w:rsidRPr="57352DF8">
              <w:t>Were analytical reagent</w:t>
            </w:r>
            <w:r>
              <w:t>-</w:t>
            </w:r>
            <w:r w:rsidRPr="57352DF8">
              <w:t>grade chemicals or the highest possible purity chemicals used for the experiment?</w:t>
            </w:r>
          </w:p>
        </w:tc>
        <w:tc>
          <w:tcPr>
            <w:tcW w:w="1790" w:type="dxa"/>
            <w:tcBorders>
              <w:top w:val="single" w:sz="12" w:space="0" w:color="auto"/>
              <w:left w:val="nil"/>
              <w:bottom w:val="single" w:sz="4" w:space="0" w:color="auto"/>
              <w:right w:val="nil"/>
            </w:tcBorders>
            <w:hideMark/>
          </w:tcPr>
          <w:p w14:paraId="0847D864" w14:textId="0D2CD97C" w:rsidR="00E17E7D" w:rsidRPr="00997AE6" w:rsidRDefault="00E17E7D" w:rsidP="00E17E7D">
            <w:pPr>
              <w:pStyle w:val="TableText"/>
            </w:pPr>
            <w:r w:rsidRPr="57352DF8">
              <w:t>Yes (3), No/</w:t>
            </w:r>
            <w:r>
              <w:t>n</w:t>
            </w:r>
            <w:r w:rsidRPr="57352DF8">
              <w:t>ot stated (0)</w:t>
            </w:r>
          </w:p>
        </w:tc>
      </w:tr>
      <w:tr w:rsidR="00E17E7D" w:rsidRPr="00997AE6" w14:paraId="760446ED" w14:textId="77777777" w:rsidTr="002F6B5D">
        <w:trPr>
          <w:trHeight w:val="780"/>
        </w:trPr>
        <w:tc>
          <w:tcPr>
            <w:tcW w:w="709" w:type="dxa"/>
            <w:tcBorders>
              <w:top w:val="single" w:sz="4" w:space="0" w:color="auto"/>
              <w:left w:val="nil"/>
              <w:bottom w:val="single" w:sz="4" w:space="0" w:color="auto"/>
              <w:right w:val="nil"/>
            </w:tcBorders>
            <w:hideMark/>
          </w:tcPr>
          <w:p w14:paraId="4517645C" w14:textId="0CA03128" w:rsidR="00E17E7D" w:rsidRPr="00997AE6" w:rsidRDefault="00E17E7D" w:rsidP="00E17E7D">
            <w:pPr>
              <w:pStyle w:val="TableText"/>
            </w:pPr>
            <w:r w:rsidRPr="00997AE6">
              <w:t>12 (A)</w:t>
            </w:r>
          </w:p>
        </w:tc>
        <w:tc>
          <w:tcPr>
            <w:tcW w:w="6521" w:type="dxa"/>
            <w:tcBorders>
              <w:top w:val="single" w:sz="4" w:space="0" w:color="auto"/>
              <w:left w:val="nil"/>
              <w:bottom w:val="single" w:sz="4" w:space="0" w:color="auto"/>
              <w:right w:val="nil"/>
            </w:tcBorders>
            <w:hideMark/>
          </w:tcPr>
          <w:p w14:paraId="2D71EE0C" w14:textId="7662086F" w:rsidR="00E17E7D" w:rsidRPr="00997AE6" w:rsidRDefault="00E17E7D" w:rsidP="00E17E7D">
            <w:pPr>
              <w:pStyle w:val="TableText"/>
            </w:pPr>
            <w:r w:rsidRPr="57352DF8">
              <w:t>Were test solutions, blanks and/or controls tested for common contamination (e.g. elevated naturally</w:t>
            </w:r>
            <w:r>
              <w:t xml:space="preserve"> </w:t>
            </w:r>
            <w:r w:rsidRPr="57352DF8">
              <w:t>occurring substances</w:t>
            </w:r>
            <w:r>
              <w:t>,</w:t>
            </w:r>
            <w:r w:rsidRPr="57352DF8">
              <w:t xml:space="preserve"> such as nutrients, metals, metalloids) or other suspect contaminants?</w:t>
            </w:r>
          </w:p>
        </w:tc>
        <w:tc>
          <w:tcPr>
            <w:tcW w:w="1790" w:type="dxa"/>
            <w:tcBorders>
              <w:top w:val="single" w:sz="4" w:space="0" w:color="auto"/>
              <w:left w:val="nil"/>
              <w:bottom w:val="single" w:sz="4" w:space="0" w:color="auto"/>
              <w:right w:val="nil"/>
            </w:tcBorders>
            <w:hideMark/>
          </w:tcPr>
          <w:p w14:paraId="06C606EC" w14:textId="29EA946B" w:rsidR="00E17E7D" w:rsidRPr="00997AE6" w:rsidRDefault="00E17E7D" w:rsidP="00E17E7D">
            <w:pPr>
              <w:pStyle w:val="TableText"/>
            </w:pPr>
            <w:r w:rsidRPr="57352DF8">
              <w:t>Yes (2), No/</w:t>
            </w:r>
            <w:r>
              <w:t>n</w:t>
            </w:r>
            <w:r w:rsidRPr="57352DF8">
              <w:t>ot stated (0)</w:t>
            </w:r>
          </w:p>
        </w:tc>
      </w:tr>
      <w:tr w:rsidR="00E17E7D" w:rsidRPr="00997AE6" w14:paraId="59F7B4AE" w14:textId="77777777" w:rsidTr="002F6B5D">
        <w:trPr>
          <w:trHeight w:val="320"/>
        </w:trPr>
        <w:tc>
          <w:tcPr>
            <w:tcW w:w="709" w:type="dxa"/>
            <w:tcBorders>
              <w:top w:val="single" w:sz="4" w:space="0" w:color="auto"/>
              <w:left w:val="nil"/>
              <w:bottom w:val="single" w:sz="4" w:space="0" w:color="auto"/>
              <w:right w:val="nil"/>
            </w:tcBorders>
            <w:hideMark/>
          </w:tcPr>
          <w:p w14:paraId="1D21DEF9" w14:textId="274C9DB8" w:rsidR="00E17E7D" w:rsidRPr="00997AE6" w:rsidRDefault="00E17E7D" w:rsidP="00E17E7D">
            <w:pPr>
              <w:pStyle w:val="TableText"/>
            </w:pPr>
            <w:r w:rsidRPr="00997AE6">
              <w:t>12 (B)</w:t>
            </w:r>
          </w:p>
        </w:tc>
        <w:tc>
          <w:tcPr>
            <w:tcW w:w="6521" w:type="dxa"/>
            <w:tcBorders>
              <w:top w:val="single" w:sz="4" w:space="0" w:color="auto"/>
              <w:left w:val="nil"/>
              <w:bottom w:val="single" w:sz="4" w:space="0" w:color="auto"/>
              <w:right w:val="nil"/>
            </w:tcBorders>
            <w:noWrap/>
            <w:hideMark/>
          </w:tcPr>
          <w:p w14:paraId="3773A716" w14:textId="414B754F" w:rsidR="00E17E7D" w:rsidRPr="00997AE6" w:rsidRDefault="00E17E7D" w:rsidP="00E17E7D">
            <w:pPr>
              <w:pStyle w:val="TableText"/>
            </w:pPr>
            <w:r w:rsidRPr="57352DF8">
              <w:t>If so, were any significant contamination issues identified?</w:t>
            </w:r>
          </w:p>
        </w:tc>
        <w:tc>
          <w:tcPr>
            <w:tcW w:w="1790" w:type="dxa"/>
            <w:tcBorders>
              <w:top w:val="single" w:sz="4" w:space="0" w:color="auto"/>
              <w:left w:val="nil"/>
              <w:bottom w:val="single" w:sz="4" w:space="0" w:color="auto"/>
              <w:right w:val="nil"/>
            </w:tcBorders>
            <w:hideMark/>
          </w:tcPr>
          <w:p w14:paraId="6ADDCC68" w14:textId="06E02CE6" w:rsidR="00E17E7D" w:rsidRPr="00997AE6" w:rsidRDefault="00E17E7D" w:rsidP="00E17E7D">
            <w:pPr>
              <w:pStyle w:val="TableText"/>
            </w:pPr>
            <w:r w:rsidRPr="00997AE6">
              <w:t>No (2), Yes (0/FAIL)</w:t>
            </w:r>
          </w:p>
        </w:tc>
      </w:tr>
      <w:tr w:rsidR="00E17E7D" w:rsidRPr="00997AE6" w14:paraId="0B939AEC" w14:textId="77777777" w:rsidTr="002F6B5D">
        <w:trPr>
          <w:trHeight w:val="1040"/>
        </w:trPr>
        <w:tc>
          <w:tcPr>
            <w:tcW w:w="709" w:type="dxa"/>
            <w:tcBorders>
              <w:top w:val="single" w:sz="4" w:space="0" w:color="auto"/>
              <w:left w:val="nil"/>
              <w:bottom w:val="single" w:sz="4" w:space="0" w:color="auto"/>
              <w:right w:val="nil"/>
            </w:tcBorders>
            <w:hideMark/>
          </w:tcPr>
          <w:p w14:paraId="0EDB5DA4" w14:textId="612714D2" w:rsidR="00E17E7D" w:rsidRPr="00997AE6" w:rsidRDefault="00E17E7D" w:rsidP="00E17E7D">
            <w:pPr>
              <w:pStyle w:val="TableText"/>
            </w:pPr>
            <w:r w:rsidRPr="00997AE6">
              <w:t>13</w:t>
            </w:r>
          </w:p>
        </w:tc>
        <w:tc>
          <w:tcPr>
            <w:tcW w:w="6521" w:type="dxa"/>
            <w:tcBorders>
              <w:top w:val="single" w:sz="4" w:space="0" w:color="auto"/>
              <w:left w:val="nil"/>
              <w:bottom w:val="single" w:sz="4" w:space="0" w:color="auto"/>
              <w:right w:val="nil"/>
            </w:tcBorders>
            <w:hideMark/>
          </w:tcPr>
          <w:p w14:paraId="10A41BAC" w14:textId="1F8496BA" w:rsidR="00E17E7D" w:rsidRPr="00997AE6" w:rsidRDefault="00E17E7D" w:rsidP="00E17E7D">
            <w:pPr>
              <w:pStyle w:val="TableText"/>
            </w:pPr>
            <w:r w:rsidRPr="00997AE6">
              <w:t xml:space="preserve">Were the contaminant concentrations measured at the beginning and end of the exposure? Note: </w:t>
            </w:r>
            <w:r>
              <w:t>n</w:t>
            </w:r>
            <w:r w:rsidRPr="00997AE6">
              <w:t>ormally, toxicity data calculated using nominal</w:t>
            </w:r>
            <w:r>
              <w:t>-</w:t>
            </w:r>
            <w:r w:rsidRPr="00997AE6">
              <w:t xml:space="preserve">concentration data would not be used to derive </w:t>
            </w:r>
            <w:r>
              <w:t>guideline value</w:t>
            </w:r>
            <w:r w:rsidRPr="00997AE6">
              <w:t>s; however, professional judgement can be used to include such data</w:t>
            </w:r>
            <w:r>
              <w:t>,</w:t>
            </w:r>
            <w:r w:rsidRPr="00997AE6">
              <w:t xml:space="preserve"> provided a justification for their use is provided.</w:t>
            </w:r>
          </w:p>
        </w:tc>
        <w:tc>
          <w:tcPr>
            <w:tcW w:w="1790" w:type="dxa"/>
            <w:tcBorders>
              <w:top w:val="single" w:sz="4" w:space="0" w:color="auto"/>
              <w:left w:val="nil"/>
              <w:bottom w:val="single" w:sz="4" w:space="0" w:color="auto"/>
              <w:right w:val="nil"/>
            </w:tcBorders>
            <w:hideMark/>
          </w:tcPr>
          <w:p w14:paraId="02C646B7" w14:textId="0C52F591" w:rsidR="00E17E7D" w:rsidRPr="00997AE6" w:rsidRDefault="00E17E7D" w:rsidP="00E17E7D">
            <w:pPr>
              <w:pStyle w:val="TableText"/>
            </w:pPr>
            <w:r w:rsidRPr="57352DF8">
              <w:t>Yes (8), Measured once (4), Not measured or stated (0/FAIL)</w:t>
            </w:r>
            <w:r w:rsidRPr="57352DF8">
              <w:rPr>
                <w:color w:val="000000" w:themeColor="text1"/>
                <w:vertAlign w:val="superscript"/>
              </w:rPr>
              <w:t>b</w:t>
            </w:r>
          </w:p>
        </w:tc>
      </w:tr>
      <w:tr w:rsidR="00E17E7D" w:rsidRPr="00997AE6" w14:paraId="4E616CCC" w14:textId="77777777" w:rsidTr="002F6B5D">
        <w:trPr>
          <w:trHeight w:val="780"/>
        </w:trPr>
        <w:tc>
          <w:tcPr>
            <w:tcW w:w="709" w:type="dxa"/>
            <w:tcBorders>
              <w:top w:val="single" w:sz="4" w:space="0" w:color="auto"/>
              <w:left w:val="nil"/>
              <w:bottom w:val="single" w:sz="4" w:space="0" w:color="auto"/>
              <w:right w:val="nil"/>
            </w:tcBorders>
            <w:hideMark/>
          </w:tcPr>
          <w:p w14:paraId="38AB0B4E" w14:textId="65A37525" w:rsidR="00E17E7D" w:rsidRPr="00997AE6" w:rsidRDefault="00E17E7D" w:rsidP="00E17E7D">
            <w:pPr>
              <w:pStyle w:val="TableText"/>
            </w:pPr>
            <w:r w:rsidRPr="00997AE6">
              <w:t>14 (A)</w:t>
            </w:r>
          </w:p>
        </w:tc>
        <w:tc>
          <w:tcPr>
            <w:tcW w:w="6521" w:type="dxa"/>
            <w:tcBorders>
              <w:top w:val="single" w:sz="4" w:space="0" w:color="auto"/>
              <w:left w:val="nil"/>
              <w:bottom w:val="single" w:sz="4" w:space="0" w:color="auto"/>
              <w:right w:val="nil"/>
            </w:tcBorders>
            <w:hideMark/>
          </w:tcPr>
          <w:p w14:paraId="14DD8952" w14:textId="2CDA7F48" w:rsidR="00E17E7D" w:rsidRPr="00997AE6" w:rsidRDefault="00E17E7D" w:rsidP="00E17E7D">
            <w:pPr>
              <w:pStyle w:val="TableText"/>
            </w:pPr>
            <w:r w:rsidRPr="57352DF8">
              <w:t>Were test</w:t>
            </w:r>
            <w:r>
              <w:t>-</w:t>
            </w:r>
            <w:r w:rsidRPr="57352DF8">
              <w:t>acceptability criteria stated (</w:t>
            </w:r>
            <w:r>
              <w:t>e.g.</w:t>
            </w:r>
            <w:r w:rsidRPr="57352DF8">
              <w:t xml:space="preserve"> mortality in controls must not exceed a certain percentage) or inferred (</w:t>
            </w:r>
            <w:r>
              <w:t>e.g.</w:t>
            </w:r>
            <w:r w:rsidRPr="57352DF8">
              <w:t xml:space="preserve"> test methods used were </w:t>
            </w:r>
            <w:r w:rsidRPr="00A352C1">
              <w:t>U</w:t>
            </w:r>
            <w:r>
              <w:t>nited States Environmental Protection Agency</w:t>
            </w:r>
            <w:r w:rsidRPr="00A352C1">
              <w:t xml:space="preserve"> or </w:t>
            </w:r>
            <w:r w:rsidRPr="00702FF1">
              <w:t>Organisation for Economic Co-operation and Development</w:t>
            </w:r>
            <w:r w:rsidRPr="57352DF8">
              <w:t>)</w:t>
            </w:r>
            <w:r>
              <w:t>?</w:t>
            </w:r>
          </w:p>
        </w:tc>
        <w:tc>
          <w:tcPr>
            <w:tcW w:w="1790" w:type="dxa"/>
            <w:tcBorders>
              <w:top w:val="single" w:sz="4" w:space="0" w:color="auto"/>
              <w:left w:val="nil"/>
              <w:bottom w:val="single" w:sz="4" w:space="0" w:color="auto"/>
              <w:right w:val="nil"/>
            </w:tcBorders>
            <w:hideMark/>
          </w:tcPr>
          <w:p w14:paraId="11E9B8C1" w14:textId="5551C858" w:rsidR="00E17E7D" w:rsidRPr="00997AE6" w:rsidRDefault="00E17E7D" w:rsidP="00E17E7D">
            <w:pPr>
              <w:pStyle w:val="TableText"/>
            </w:pPr>
            <w:r w:rsidRPr="00997AE6">
              <w:t>Stated (2), Inferred (1), Neither (0)</w:t>
            </w:r>
          </w:p>
        </w:tc>
      </w:tr>
      <w:tr w:rsidR="00E17E7D" w:rsidRPr="00997AE6" w14:paraId="00EB8CD8" w14:textId="77777777" w:rsidTr="002F6B5D">
        <w:trPr>
          <w:trHeight w:val="520"/>
        </w:trPr>
        <w:tc>
          <w:tcPr>
            <w:tcW w:w="709" w:type="dxa"/>
            <w:tcBorders>
              <w:top w:val="single" w:sz="4" w:space="0" w:color="auto"/>
              <w:left w:val="nil"/>
              <w:bottom w:val="single" w:sz="4" w:space="0" w:color="auto"/>
              <w:right w:val="nil"/>
            </w:tcBorders>
            <w:hideMark/>
          </w:tcPr>
          <w:p w14:paraId="0A97C027" w14:textId="3D7FB3FB" w:rsidR="00E17E7D" w:rsidRPr="00997AE6" w:rsidRDefault="00E17E7D" w:rsidP="00E17E7D">
            <w:pPr>
              <w:pStyle w:val="TableText"/>
            </w:pPr>
            <w:r w:rsidRPr="00997AE6">
              <w:t>14 (B)</w:t>
            </w:r>
          </w:p>
        </w:tc>
        <w:tc>
          <w:tcPr>
            <w:tcW w:w="6521" w:type="dxa"/>
            <w:tcBorders>
              <w:top w:val="single" w:sz="4" w:space="0" w:color="auto"/>
              <w:left w:val="nil"/>
              <w:bottom w:val="single" w:sz="4" w:space="0" w:color="auto"/>
              <w:right w:val="nil"/>
            </w:tcBorders>
            <w:hideMark/>
          </w:tcPr>
          <w:p w14:paraId="7AB35D2C" w14:textId="17C7FA3C" w:rsidR="00E17E7D" w:rsidRPr="00997AE6" w:rsidRDefault="00E17E7D" w:rsidP="00E17E7D">
            <w:pPr>
              <w:pStyle w:val="TableText"/>
            </w:pPr>
            <w:r w:rsidRPr="57352DF8">
              <w:t>If so, were test</w:t>
            </w:r>
            <w:r>
              <w:t>-</w:t>
            </w:r>
            <w:r w:rsidRPr="57352DF8">
              <w:t xml:space="preserve">acceptability criteria met? Note: </w:t>
            </w:r>
            <w:r>
              <w:t>d</w:t>
            </w:r>
            <w:r w:rsidRPr="57352DF8">
              <w:t>ata that fail the acceptability criteria are automatically deemed to be of unacceptable quality and must not be used.</w:t>
            </w:r>
          </w:p>
        </w:tc>
        <w:tc>
          <w:tcPr>
            <w:tcW w:w="1790" w:type="dxa"/>
            <w:tcBorders>
              <w:top w:val="single" w:sz="4" w:space="0" w:color="auto"/>
              <w:left w:val="nil"/>
              <w:bottom w:val="single" w:sz="4" w:space="0" w:color="auto"/>
              <w:right w:val="nil"/>
            </w:tcBorders>
            <w:hideMark/>
          </w:tcPr>
          <w:p w14:paraId="4E0A6C5A" w14:textId="6DD78285" w:rsidR="00E17E7D" w:rsidRPr="00997AE6" w:rsidRDefault="00E17E7D" w:rsidP="00E17E7D">
            <w:pPr>
              <w:pStyle w:val="TableText"/>
            </w:pPr>
            <w:r w:rsidRPr="00997AE6">
              <w:t>Yes (6), Not reported (2), No (0/FAIL)</w:t>
            </w:r>
          </w:p>
        </w:tc>
      </w:tr>
      <w:tr w:rsidR="00E17E7D" w:rsidRPr="00997AE6" w14:paraId="2033EBB8" w14:textId="77777777" w:rsidTr="002F6B5D">
        <w:trPr>
          <w:trHeight w:val="320"/>
        </w:trPr>
        <w:tc>
          <w:tcPr>
            <w:tcW w:w="709" w:type="dxa"/>
            <w:tcBorders>
              <w:top w:val="single" w:sz="4" w:space="0" w:color="auto"/>
              <w:left w:val="nil"/>
              <w:bottom w:val="single" w:sz="4" w:space="0" w:color="auto"/>
              <w:right w:val="nil"/>
            </w:tcBorders>
            <w:hideMark/>
          </w:tcPr>
          <w:p w14:paraId="6786ED45" w14:textId="7FB72764" w:rsidR="00E17E7D" w:rsidRPr="00997AE6" w:rsidRDefault="00E17E7D" w:rsidP="00E17E7D">
            <w:pPr>
              <w:pStyle w:val="TableText"/>
            </w:pPr>
            <w:r w:rsidRPr="00997AE6">
              <w:t>15 (A)</w:t>
            </w:r>
          </w:p>
        </w:tc>
        <w:tc>
          <w:tcPr>
            <w:tcW w:w="6521" w:type="dxa"/>
            <w:tcBorders>
              <w:top w:val="single" w:sz="4" w:space="0" w:color="auto"/>
              <w:left w:val="nil"/>
              <w:bottom w:val="single" w:sz="4" w:space="0" w:color="auto"/>
              <w:right w:val="nil"/>
            </w:tcBorders>
            <w:hideMark/>
          </w:tcPr>
          <w:p w14:paraId="3E494FC0" w14:textId="306F29EE" w:rsidR="00E17E7D" w:rsidRPr="00997AE6" w:rsidRDefault="00E17E7D" w:rsidP="00E17E7D">
            <w:pPr>
              <w:pStyle w:val="TableText"/>
            </w:pPr>
            <w:r w:rsidRPr="00997AE6">
              <w:t>Were parallel reference</w:t>
            </w:r>
            <w:r>
              <w:t>-</w:t>
            </w:r>
            <w:r w:rsidRPr="00997AE6">
              <w:t>toxicant toxicity tests conducted?</w:t>
            </w:r>
          </w:p>
        </w:tc>
        <w:tc>
          <w:tcPr>
            <w:tcW w:w="1790" w:type="dxa"/>
            <w:tcBorders>
              <w:top w:val="single" w:sz="4" w:space="0" w:color="auto"/>
              <w:left w:val="nil"/>
              <w:bottom w:val="single" w:sz="4" w:space="0" w:color="auto"/>
              <w:right w:val="nil"/>
            </w:tcBorders>
            <w:hideMark/>
          </w:tcPr>
          <w:p w14:paraId="1D855C55" w14:textId="33A85A04" w:rsidR="00E17E7D" w:rsidRPr="00997AE6" w:rsidRDefault="00E17E7D" w:rsidP="00E17E7D">
            <w:pPr>
              <w:pStyle w:val="TableText"/>
            </w:pPr>
            <w:r w:rsidRPr="00997AE6">
              <w:t>Yes (2), No (0)</w:t>
            </w:r>
          </w:p>
        </w:tc>
      </w:tr>
      <w:tr w:rsidR="00E17E7D" w:rsidRPr="00997AE6" w14:paraId="58005FA3" w14:textId="77777777" w:rsidTr="002F6B5D">
        <w:trPr>
          <w:trHeight w:val="520"/>
        </w:trPr>
        <w:tc>
          <w:tcPr>
            <w:tcW w:w="709" w:type="dxa"/>
            <w:tcBorders>
              <w:top w:val="single" w:sz="4" w:space="0" w:color="auto"/>
              <w:left w:val="nil"/>
              <w:bottom w:val="single" w:sz="4" w:space="0" w:color="auto"/>
              <w:right w:val="nil"/>
            </w:tcBorders>
            <w:hideMark/>
          </w:tcPr>
          <w:p w14:paraId="02E6A639" w14:textId="5C921B07" w:rsidR="00E17E7D" w:rsidRPr="00997AE6" w:rsidRDefault="00E17E7D" w:rsidP="00E17E7D">
            <w:pPr>
              <w:pStyle w:val="TableText"/>
            </w:pPr>
            <w:r w:rsidRPr="00997AE6">
              <w:t>15 (B)</w:t>
            </w:r>
          </w:p>
        </w:tc>
        <w:tc>
          <w:tcPr>
            <w:tcW w:w="6521" w:type="dxa"/>
            <w:tcBorders>
              <w:top w:val="single" w:sz="4" w:space="0" w:color="auto"/>
              <w:left w:val="nil"/>
              <w:bottom w:val="single" w:sz="4" w:space="0" w:color="auto"/>
              <w:right w:val="nil"/>
            </w:tcBorders>
            <w:hideMark/>
          </w:tcPr>
          <w:p w14:paraId="65838AE8" w14:textId="6C23B1A2" w:rsidR="00E17E7D" w:rsidRPr="00997AE6" w:rsidRDefault="00E17E7D" w:rsidP="00E17E7D">
            <w:pPr>
              <w:pStyle w:val="TableText"/>
            </w:pPr>
            <w:r w:rsidRPr="00997AE6">
              <w:t>If so, did the reference toxicity results fall within the acceptable limits?</w:t>
            </w:r>
          </w:p>
        </w:tc>
        <w:tc>
          <w:tcPr>
            <w:tcW w:w="1790" w:type="dxa"/>
            <w:tcBorders>
              <w:top w:val="single" w:sz="4" w:space="0" w:color="auto"/>
              <w:left w:val="nil"/>
              <w:bottom w:val="single" w:sz="4" w:space="0" w:color="auto"/>
              <w:right w:val="nil"/>
            </w:tcBorders>
            <w:hideMark/>
          </w:tcPr>
          <w:p w14:paraId="0274DAF3" w14:textId="306288BE" w:rsidR="00E17E7D" w:rsidRPr="00997AE6" w:rsidRDefault="00E17E7D" w:rsidP="00E17E7D">
            <w:pPr>
              <w:pStyle w:val="TableText"/>
            </w:pPr>
            <w:r w:rsidRPr="00997AE6">
              <w:t>Yes (6), Not reported (2), No (0/FAIL)</w:t>
            </w:r>
          </w:p>
        </w:tc>
      </w:tr>
      <w:tr w:rsidR="00E17E7D" w:rsidRPr="00997AE6" w14:paraId="44EF68ED" w14:textId="77777777" w:rsidTr="002F6B5D">
        <w:trPr>
          <w:trHeight w:val="60"/>
        </w:trPr>
        <w:tc>
          <w:tcPr>
            <w:tcW w:w="709" w:type="dxa"/>
            <w:tcBorders>
              <w:top w:val="single" w:sz="4" w:space="0" w:color="auto"/>
              <w:left w:val="nil"/>
              <w:bottom w:val="single" w:sz="4" w:space="0" w:color="auto"/>
              <w:right w:val="nil"/>
            </w:tcBorders>
            <w:hideMark/>
          </w:tcPr>
          <w:p w14:paraId="2161D55F" w14:textId="4F24A249" w:rsidR="00E17E7D" w:rsidRPr="00997AE6" w:rsidRDefault="00E17E7D" w:rsidP="00E17E7D">
            <w:pPr>
              <w:pStyle w:val="TableText"/>
            </w:pPr>
            <w:r w:rsidRPr="00997AE6">
              <w:lastRenderedPageBreak/>
              <w:t>16</w:t>
            </w:r>
          </w:p>
        </w:tc>
        <w:tc>
          <w:tcPr>
            <w:tcW w:w="6521" w:type="dxa"/>
            <w:tcBorders>
              <w:top w:val="single" w:sz="4" w:space="0" w:color="auto"/>
              <w:left w:val="nil"/>
              <w:bottom w:val="single" w:sz="4" w:space="0" w:color="auto"/>
              <w:right w:val="nil"/>
            </w:tcBorders>
            <w:hideMark/>
          </w:tcPr>
          <w:p w14:paraId="4143703C" w14:textId="051D392D" w:rsidR="00E17E7D" w:rsidRPr="00997AE6" w:rsidRDefault="00E17E7D" w:rsidP="00E17E7D">
            <w:pPr>
              <w:pStyle w:val="TableText"/>
            </w:pPr>
            <w:r w:rsidRPr="57352DF8">
              <w:t>Was there a concentration-response (C-R) relationship</w:t>
            </w:r>
            <w:r>
              <w:t>,</w:t>
            </w:r>
            <w:r w:rsidRPr="57352DF8">
              <w:t xml:space="preserve"> either observable or stated (i.e. was there a larger response in the endpoint of interest at higher treatment concentrations than at lower treatment concentrations?)? </w:t>
            </w:r>
            <w:r w:rsidR="00410A92" w:rsidRPr="00A352C1">
              <w:t xml:space="preserve">Note: </w:t>
            </w:r>
            <w:r w:rsidR="00410A92">
              <w:t>a</w:t>
            </w:r>
            <w:r w:rsidR="00410A92" w:rsidRPr="00A352C1">
              <w:t xml:space="preserve"> full C-R relationship is one that includes zero, partial and full effects, while a partial C-R relationship is one that is missing either zero, partial or full effects. Professional judgement might be required to make decisions associated with C-R relationships that exhibit characteristics such as non-monotonicity and low</w:t>
            </w:r>
            <w:r w:rsidR="00410A92">
              <w:t>-</w:t>
            </w:r>
            <w:r w:rsidR="00410A92" w:rsidRPr="00A352C1">
              <w:t>dose effects.</w:t>
            </w:r>
          </w:p>
        </w:tc>
        <w:tc>
          <w:tcPr>
            <w:tcW w:w="1790" w:type="dxa"/>
            <w:tcBorders>
              <w:top w:val="single" w:sz="4" w:space="0" w:color="auto"/>
              <w:left w:val="nil"/>
              <w:bottom w:val="single" w:sz="4" w:space="0" w:color="auto"/>
              <w:right w:val="nil"/>
            </w:tcBorders>
            <w:hideMark/>
          </w:tcPr>
          <w:p w14:paraId="533575A7" w14:textId="34A03399" w:rsidR="00E17E7D" w:rsidRPr="00997AE6" w:rsidRDefault="00E17E7D" w:rsidP="00E17E7D">
            <w:pPr>
              <w:pStyle w:val="TableText"/>
            </w:pPr>
            <w:r w:rsidRPr="00997AE6">
              <w:t xml:space="preserve">Yes </w:t>
            </w:r>
            <w:r>
              <w:t>–</w:t>
            </w:r>
            <w:r w:rsidRPr="00997AE6">
              <w:t xml:space="preserve"> full (8), Yes </w:t>
            </w:r>
            <w:r>
              <w:t>–</w:t>
            </w:r>
            <w:r w:rsidRPr="00997AE6">
              <w:t xml:space="preserve"> partial (4), No </w:t>
            </w:r>
            <w:r>
              <w:t>–</w:t>
            </w:r>
            <w:r w:rsidRPr="00997AE6">
              <w:t xml:space="preserve"> (0/FAIL)</w:t>
            </w:r>
          </w:p>
        </w:tc>
      </w:tr>
      <w:tr w:rsidR="00E17E7D" w:rsidRPr="00997AE6" w14:paraId="6971815C" w14:textId="77777777" w:rsidTr="002F6B5D">
        <w:trPr>
          <w:trHeight w:val="338"/>
        </w:trPr>
        <w:tc>
          <w:tcPr>
            <w:tcW w:w="709" w:type="dxa"/>
            <w:tcBorders>
              <w:top w:val="single" w:sz="4" w:space="0" w:color="auto"/>
              <w:left w:val="nil"/>
              <w:bottom w:val="single" w:sz="4" w:space="0" w:color="auto"/>
              <w:right w:val="nil"/>
            </w:tcBorders>
            <w:hideMark/>
          </w:tcPr>
          <w:p w14:paraId="2F991D19" w14:textId="00E8388C" w:rsidR="00E17E7D" w:rsidRPr="00997AE6" w:rsidRDefault="00E17E7D" w:rsidP="00E17E7D">
            <w:pPr>
              <w:pStyle w:val="TableText"/>
            </w:pPr>
            <w:r w:rsidRPr="00997AE6">
              <w:t>17 (A)</w:t>
            </w:r>
          </w:p>
        </w:tc>
        <w:tc>
          <w:tcPr>
            <w:tcW w:w="6521" w:type="dxa"/>
            <w:tcBorders>
              <w:top w:val="single" w:sz="4" w:space="0" w:color="auto"/>
              <w:left w:val="nil"/>
              <w:bottom w:val="single" w:sz="4" w:space="0" w:color="auto"/>
              <w:right w:val="nil"/>
            </w:tcBorders>
            <w:hideMark/>
          </w:tcPr>
          <w:p w14:paraId="1FFE091F" w14:textId="67CDFCAB" w:rsidR="00E17E7D" w:rsidRPr="00997AE6" w:rsidRDefault="00E17E7D" w:rsidP="00E17E7D">
            <w:pPr>
              <w:pStyle w:val="TableText"/>
            </w:pPr>
            <w:r w:rsidRPr="57352DF8">
              <w:t xml:space="preserve">Was the statistical method or model used to determine the toxicity estimate stated </w:t>
            </w:r>
            <w:r>
              <w:rPr>
                <w:b/>
                <w:bCs/>
              </w:rPr>
              <w:t>and</w:t>
            </w:r>
            <w:r w:rsidRPr="57352DF8">
              <w:t xml:space="preserve"> appropriate</w:t>
            </w:r>
            <w:r w:rsidR="00C718C5">
              <w:t xml:space="preserve"> </w:t>
            </w:r>
            <w:r w:rsidR="00C718C5" w:rsidRPr="57352DF8">
              <w:t>(e.g. refer to Green et al. 2018, noting that new methods will/have emerged that may not be captured in past publications)?</w:t>
            </w:r>
          </w:p>
        </w:tc>
        <w:tc>
          <w:tcPr>
            <w:tcW w:w="1790" w:type="dxa"/>
            <w:tcBorders>
              <w:top w:val="single" w:sz="4" w:space="0" w:color="auto"/>
              <w:left w:val="nil"/>
              <w:bottom w:val="single" w:sz="4" w:space="0" w:color="auto"/>
              <w:right w:val="nil"/>
            </w:tcBorders>
            <w:hideMark/>
          </w:tcPr>
          <w:p w14:paraId="6FB0B736" w14:textId="64631399" w:rsidR="00E17E7D" w:rsidRPr="00997AE6" w:rsidRDefault="00E17E7D" w:rsidP="00E17E7D">
            <w:pPr>
              <w:pStyle w:val="TableText"/>
            </w:pPr>
            <w:r w:rsidRPr="00997AE6">
              <w:t>Yes (6), No (0)</w:t>
            </w:r>
          </w:p>
        </w:tc>
      </w:tr>
      <w:tr w:rsidR="00E17E7D" w:rsidRPr="00997AE6" w14:paraId="52FBA52B" w14:textId="77777777" w:rsidTr="002F6B5D">
        <w:trPr>
          <w:trHeight w:val="274"/>
        </w:trPr>
        <w:tc>
          <w:tcPr>
            <w:tcW w:w="709" w:type="dxa"/>
            <w:tcBorders>
              <w:top w:val="single" w:sz="4" w:space="0" w:color="auto"/>
              <w:left w:val="nil"/>
              <w:bottom w:val="single" w:sz="4" w:space="0" w:color="auto"/>
              <w:right w:val="nil"/>
            </w:tcBorders>
            <w:hideMark/>
          </w:tcPr>
          <w:p w14:paraId="427C9218" w14:textId="47F3B3F7" w:rsidR="00E17E7D" w:rsidRPr="00997AE6" w:rsidRDefault="00E17E7D" w:rsidP="00E17E7D">
            <w:pPr>
              <w:pStyle w:val="TableText"/>
            </w:pPr>
            <w:r w:rsidRPr="00997AE6">
              <w:t>17 (B)</w:t>
            </w:r>
          </w:p>
        </w:tc>
        <w:tc>
          <w:tcPr>
            <w:tcW w:w="6521" w:type="dxa"/>
            <w:tcBorders>
              <w:top w:val="single" w:sz="4" w:space="0" w:color="auto"/>
              <w:left w:val="nil"/>
              <w:bottom w:val="single" w:sz="4" w:space="0" w:color="auto"/>
              <w:right w:val="nil"/>
            </w:tcBorders>
            <w:hideMark/>
          </w:tcPr>
          <w:p w14:paraId="3FFD7D3C" w14:textId="48A57724" w:rsidR="00E17E7D" w:rsidRPr="00997AE6" w:rsidRDefault="00E17E7D" w:rsidP="00E17E7D">
            <w:pPr>
              <w:pStyle w:val="TableText"/>
            </w:pPr>
            <w:r w:rsidRPr="00997AE6">
              <w:t xml:space="preserve">For </w:t>
            </w:r>
            <w:r>
              <w:t xml:space="preserve">point estimates from concentration-response modelling (e.g. </w:t>
            </w:r>
            <w:r w:rsidRPr="00997AE6">
              <w:t>LC/EC/NEC/BEC/NSEC</w:t>
            </w:r>
            <w:r>
              <w:t>)</w:t>
            </w:r>
            <w:r w:rsidRPr="00997AE6">
              <w:t>, was an estimate of variability provided? For</w:t>
            </w:r>
            <w:r>
              <w:t xml:space="preserve"> estimates based on hypothesis testing</w:t>
            </w:r>
            <w:r w:rsidRPr="00997AE6">
              <w:t xml:space="preserve"> </w:t>
            </w:r>
            <w:r>
              <w:t xml:space="preserve">(e.g. </w:t>
            </w:r>
            <w:r w:rsidRPr="00997AE6">
              <w:t>NOEC/LOEC/MATC</w:t>
            </w:r>
            <w:r>
              <w:t>)</w:t>
            </w:r>
            <w:r w:rsidRPr="00997AE6">
              <w:t>, was the significance level 0.05 or less?</w:t>
            </w:r>
          </w:p>
        </w:tc>
        <w:tc>
          <w:tcPr>
            <w:tcW w:w="1790" w:type="dxa"/>
            <w:tcBorders>
              <w:top w:val="single" w:sz="4" w:space="0" w:color="auto"/>
              <w:left w:val="nil"/>
              <w:bottom w:val="single" w:sz="4" w:space="0" w:color="auto"/>
              <w:right w:val="nil"/>
            </w:tcBorders>
            <w:hideMark/>
          </w:tcPr>
          <w:p w14:paraId="7ABA2A74" w14:textId="0ED88935" w:rsidR="00E17E7D" w:rsidRPr="00997AE6" w:rsidRDefault="00E17E7D" w:rsidP="00E17E7D">
            <w:pPr>
              <w:pStyle w:val="TableText"/>
            </w:pPr>
            <w:r w:rsidRPr="00997AE6">
              <w:t>Yes (2), No (0</w:t>
            </w:r>
            <w:r>
              <w:t>)</w:t>
            </w:r>
          </w:p>
        </w:tc>
      </w:tr>
      <w:tr w:rsidR="00E17E7D" w:rsidRPr="00997AE6" w14:paraId="464BA38D" w14:textId="77777777" w:rsidTr="001220EF">
        <w:trPr>
          <w:trHeight w:val="320"/>
        </w:trPr>
        <w:tc>
          <w:tcPr>
            <w:tcW w:w="709" w:type="dxa"/>
            <w:tcBorders>
              <w:top w:val="single" w:sz="4" w:space="0" w:color="auto"/>
              <w:left w:val="nil"/>
              <w:bottom w:val="single" w:sz="12" w:space="0" w:color="auto"/>
              <w:right w:val="nil"/>
            </w:tcBorders>
            <w:hideMark/>
          </w:tcPr>
          <w:p w14:paraId="1AFC3438" w14:textId="77777777" w:rsidR="00E17E7D" w:rsidRPr="00997AE6" w:rsidRDefault="00E17E7D" w:rsidP="00E17E7D">
            <w:pPr>
              <w:pStyle w:val="TableText"/>
            </w:pPr>
          </w:p>
        </w:tc>
        <w:tc>
          <w:tcPr>
            <w:tcW w:w="8311" w:type="dxa"/>
            <w:gridSpan w:val="2"/>
            <w:tcBorders>
              <w:top w:val="single" w:sz="4" w:space="0" w:color="auto"/>
              <w:left w:val="nil"/>
              <w:bottom w:val="single" w:sz="12" w:space="0" w:color="auto"/>
              <w:right w:val="nil"/>
            </w:tcBorders>
            <w:hideMark/>
          </w:tcPr>
          <w:p w14:paraId="586C1AC4" w14:textId="61281E8D" w:rsidR="00E17E7D" w:rsidRPr="00997AE6" w:rsidRDefault="00E17E7D" w:rsidP="00E17E7D">
            <w:pPr>
              <w:pStyle w:val="TableText"/>
            </w:pPr>
            <w:r>
              <w:t>Maximum sub-total for Part B = 47</w:t>
            </w:r>
          </w:p>
        </w:tc>
      </w:tr>
      <w:tr w:rsidR="005E2E82" w:rsidRPr="00903169" w14:paraId="0789D68B" w14:textId="77777777" w:rsidTr="001220EF">
        <w:trPr>
          <w:trHeight w:val="320"/>
        </w:trPr>
        <w:tc>
          <w:tcPr>
            <w:tcW w:w="7230" w:type="dxa"/>
            <w:gridSpan w:val="2"/>
            <w:tcBorders>
              <w:top w:val="single" w:sz="12" w:space="0" w:color="auto"/>
              <w:left w:val="nil"/>
              <w:bottom w:val="single" w:sz="12" w:space="0" w:color="auto"/>
              <w:right w:val="nil"/>
            </w:tcBorders>
            <w:noWrap/>
            <w:hideMark/>
          </w:tcPr>
          <w:p w14:paraId="5ECE2399" w14:textId="4F84B87A" w:rsidR="005E2E82" w:rsidRPr="00B1499A" w:rsidRDefault="005E2E82" w:rsidP="005E2E82">
            <w:pPr>
              <w:pStyle w:val="TableText"/>
            </w:pPr>
            <w:r w:rsidRPr="009D6B76">
              <w:rPr>
                <w:b/>
                <w:bCs/>
              </w:rPr>
              <w:t>C. T</w:t>
            </w:r>
            <w:r>
              <w:rPr>
                <w:b/>
                <w:bCs/>
              </w:rPr>
              <w:t>est water chemistry/test conditions</w:t>
            </w:r>
          </w:p>
        </w:tc>
        <w:tc>
          <w:tcPr>
            <w:tcW w:w="1790" w:type="dxa"/>
            <w:tcBorders>
              <w:top w:val="single" w:sz="12" w:space="0" w:color="auto"/>
              <w:left w:val="nil"/>
              <w:bottom w:val="single" w:sz="12" w:space="0" w:color="auto"/>
              <w:right w:val="nil"/>
            </w:tcBorders>
            <w:vAlign w:val="center"/>
            <w:hideMark/>
          </w:tcPr>
          <w:p w14:paraId="25389A72" w14:textId="77777777" w:rsidR="005E2E82" w:rsidRPr="00B1499A" w:rsidRDefault="005E2E82" w:rsidP="005E2E82">
            <w:pPr>
              <w:pStyle w:val="TableText"/>
            </w:pPr>
            <w:r w:rsidRPr="00B1499A">
              <w:t> </w:t>
            </w:r>
          </w:p>
        </w:tc>
      </w:tr>
      <w:tr w:rsidR="005110DE" w:rsidRPr="00B1499A" w14:paraId="6E4E0DFF" w14:textId="77777777" w:rsidTr="002F6B5D">
        <w:trPr>
          <w:trHeight w:val="320"/>
        </w:trPr>
        <w:tc>
          <w:tcPr>
            <w:tcW w:w="709" w:type="dxa"/>
            <w:tcBorders>
              <w:top w:val="single" w:sz="12" w:space="0" w:color="auto"/>
              <w:left w:val="nil"/>
              <w:bottom w:val="single" w:sz="4" w:space="0" w:color="auto"/>
              <w:right w:val="nil"/>
            </w:tcBorders>
            <w:hideMark/>
          </w:tcPr>
          <w:p w14:paraId="4DF83EC7" w14:textId="77777777" w:rsidR="005110DE" w:rsidRPr="00B1499A" w:rsidRDefault="005110DE" w:rsidP="00CF716C">
            <w:pPr>
              <w:pStyle w:val="TableText"/>
            </w:pPr>
            <w:r w:rsidRPr="00B1499A">
              <w:t>18</w:t>
            </w:r>
          </w:p>
        </w:tc>
        <w:tc>
          <w:tcPr>
            <w:tcW w:w="6521" w:type="dxa"/>
            <w:tcBorders>
              <w:top w:val="single" w:sz="12" w:space="0" w:color="auto"/>
              <w:left w:val="nil"/>
              <w:bottom w:val="single" w:sz="4" w:space="0" w:color="auto"/>
              <w:right w:val="nil"/>
            </w:tcBorders>
            <w:hideMark/>
          </w:tcPr>
          <w:p w14:paraId="478D3F8B" w14:textId="31A5FFB5" w:rsidR="005110DE" w:rsidRPr="00B1499A" w:rsidRDefault="005110DE" w:rsidP="00CF716C">
            <w:pPr>
              <w:pStyle w:val="TableText"/>
            </w:pPr>
            <w:r w:rsidRPr="00B1499A">
              <w:t>Were the following parameters measured and reported?</w:t>
            </w:r>
          </w:p>
        </w:tc>
        <w:tc>
          <w:tcPr>
            <w:tcW w:w="1790" w:type="dxa"/>
            <w:tcBorders>
              <w:top w:val="single" w:sz="12" w:space="0" w:color="auto"/>
              <w:left w:val="nil"/>
              <w:bottom w:val="nil"/>
              <w:right w:val="nil"/>
            </w:tcBorders>
            <w:hideMark/>
          </w:tcPr>
          <w:p w14:paraId="10CB9CE1" w14:textId="77777777" w:rsidR="005110DE" w:rsidRPr="00B1499A" w:rsidRDefault="005110DE" w:rsidP="00CF716C">
            <w:pPr>
              <w:pStyle w:val="TableText"/>
            </w:pPr>
            <w:r w:rsidRPr="00B1499A">
              <w:t> </w:t>
            </w:r>
          </w:p>
        </w:tc>
      </w:tr>
      <w:tr w:rsidR="005110DE" w:rsidRPr="00B1499A" w14:paraId="02CB531C" w14:textId="77777777" w:rsidTr="002F6B5D">
        <w:trPr>
          <w:trHeight w:val="215"/>
        </w:trPr>
        <w:tc>
          <w:tcPr>
            <w:tcW w:w="709" w:type="dxa"/>
            <w:tcBorders>
              <w:top w:val="single" w:sz="4" w:space="0" w:color="auto"/>
              <w:left w:val="nil"/>
              <w:bottom w:val="single" w:sz="4" w:space="0" w:color="auto"/>
              <w:right w:val="nil"/>
            </w:tcBorders>
            <w:hideMark/>
          </w:tcPr>
          <w:p w14:paraId="437BDA8F" w14:textId="77777777" w:rsidR="005110DE" w:rsidRPr="00B1499A" w:rsidRDefault="005110DE" w:rsidP="00CF716C">
            <w:pPr>
              <w:pStyle w:val="TableText"/>
            </w:pPr>
            <w:r w:rsidRPr="00B1499A">
              <w:t>18.1</w:t>
            </w:r>
          </w:p>
        </w:tc>
        <w:tc>
          <w:tcPr>
            <w:tcW w:w="6521" w:type="dxa"/>
            <w:tcBorders>
              <w:top w:val="single" w:sz="4" w:space="0" w:color="auto"/>
              <w:left w:val="nil"/>
              <w:bottom w:val="single" w:sz="4" w:space="0" w:color="auto"/>
              <w:right w:val="nil"/>
            </w:tcBorders>
            <w:hideMark/>
          </w:tcPr>
          <w:p w14:paraId="017C8196" w14:textId="2CC7D7FA" w:rsidR="005110DE" w:rsidRPr="00B1499A" w:rsidRDefault="005110DE" w:rsidP="00CF716C">
            <w:pPr>
              <w:pStyle w:val="TableText"/>
            </w:pPr>
            <w:r w:rsidRPr="00B1499A">
              <w:t xml:space="preserve">pH </w:t>
            </w:r>
            <w:r w:rsidR="00791B38">
              <w:t>–</w:t>
            </w:r>
            <w:r w:rsidRPr="00B1499A">
              <w:t xml:space="preserve"> </w:t>
            </w:r>
            <w:r w:rsidR="002F6B5D">
              <w:t>w</w:t>
            </w:r>
            <w:r w:rsidRPr="00B1499A">
              <w:t>as pH measured at least at the beginning and end of the toxicity test?</w:t>
            </w:r>
          </w:p>
        </w:tc>
        <w:tc>
          <w:tcPr>
            <w:tcW w:w="1790" w:type="dxa"/>
            <w:tcBorders>
              <w:top w:val="nil"/>
              <w:left w:val="nil"/>
              <w:bottom w:val="single" w:sz="4" w:space="0" w:color="BFBFBF" w:themeColor="background1" w:themeShade="BF"/>
              <w:right w:val="nil"/>
            </w:tcBorders>
            <w:hideMark/>
          </w:tcPr>
          <w:p w14:paraId="2083FE9B" w14:textId="09B55569" w:rsidR="005110DE" w:rsidRPr="00B1499A" w:rsidRDefault="005110DE" w:rsidP="00CF716C">
            <w:pPr>
              <w:pStyle w:val="TableText"/>
            </w:pPr>
            <w:r w:rsidRPr="00B1499A">
              <w:t>Yes (3), No (0/FAIL)</w:t>
            </w:r>
          </w:p>
        </w:tc>
      </w:tr>
      <w:tr w:rsidR="00AC286D" w:rsidRPr="00B1499A" w14:paraId="5746A529" w14:textId="77777777" w:rsidTr="002F6B5D">
        <w:trPr>
          <w:trHeight w:val="183"/>
        </w:trPr>
        <w:tc>
          <w:tcPr>
            <w:tcW w:w="709" w:type="dxa"/>
            <w:tcBorders>
              <w:top w:val="single" w:sz="4" w:space="0" w:color="auto"/>
              <w:left w:val="nil"/>
              <w:bottom w:val="single" w:sz="4" w:space="0" w:color="auto"/>
              <w:right w:val="nil"/>
            </w:tcBorders>
            <w:hideMark/>
          </w:tcPr>
          <w:p w14:paraId="3E0C66F5" w14:textId="0C6AACB4" w:rsidR="00AC286D" w:rsidRPr="00B1499A" w:rsidRDefault="00AC286D" w:rsidP="00CF716C">
            <w:pPr>
              <w:pStyle w:val="TableText"/>
            </w:pPr>
            <w:r w:rsidRPr="00B1499A">
              <w:t>18.</w:t>
            </w:r>
            <w:r>
              <w:t>2</w:t>
            </w:r>
          </w:p>
        </w:tc>
        <w:tc>
          <w:tcPr>
            <w:tcW w:w="6521" w:type="dxa"/>
            <w:tcBorders>
              <w:top w:val="single" w:sz="4" w:space="0" w:color="auto"/>
              <w:left w:val="nil"/>
              <w:bottom w:val="single" w:sz="4" w:space="0" w:color="auto"/>
              <w:right w:val="nil"/>
            </w:tcBorders>
            <w:hideMark/>
          </w:tcPr>
          <w:p w14:paraId="7CD6A954" w14:textId="1628000B" w:rsidR="00AC286D" w:rsidRPr="00B1499A" w:rsidRDefault="00AC286D" w:rsidP="00CF716C">
            <w:pPr>
              <w:pStyle w:val="TableText"/>
            </w:pPr>
            <w:r>
              <w:t>Salinity/c</w:t>
            </w:r>
            <w:r w:rsidRPr="00B1499A">
              <w:t xml:space="preserve">onductivity </w:t>
            </w:r>
          </w:p>
        </w:tc>
        <w:tc>
          <w:tcPr>
            <w:tcW w:w="1790" w:type="dxa"/>
            <w:tcBorders>
              <w:top w:val="single" w:sz="4" w:space="0" w:color="BFBFBF" w:themeColor="background1" w:themeShade="BF"/>
              <w:left w:val="nil"/>
              <w:bottom w:val="single" w:sz="4" w:space="0" w:color="BFBFBF" w:themeColor="background1" w:themeShade="BF"/>
              <w:right w:val="nil"/>
            </w:tcBorders>
            <w:hideMark/>
          </w:tcPr>
          <w:p w14:paraId="522B0409" w14:textId="179651AF" w:rsidR="00AC286D" w:rsidRPr="00B1499A" w:rsidRDefault="00AC286D" w:rsidP="00CF716C">
            <w:pPr>
              <w:pStyle w:val="TableText"/>
            </w:pPr>
            <w:r w:rsidRPr="00B1499A">
              <w:t>Yes (</w:t>
            </w:r>
            <w:r>
              <w:t>3</w:t>
            </w:r>
            <w:r w:rsidRPr="00B1499A">
              <w:t>), No (0/FAIL)</w:t>
            </w:r>
          </w:p>
        </w:tc>
      </w:tr>
      <w:tr w:rsidR="00AC286D" w:rsidRPr="00B1499A" w14:paraId="190C9CA0" w14:textId="77777777" w:rsidTr="002F6B5D">
        <w:trPr>
          <w:trHeight w:val="108"/>
        </w:trPr>
        <w:tc>
          <w:tcPr>
            <w:tcW w:w="709" w:type="dxa"/>
            <w:tcBorders>
              <w:top w:val="single" w:sz="4" w:space="0" w:color="auto"/>
              <w:left w:val="nil"/>
              <w:bottom w:val="single" w:sz="4" w:space="0" w:color="auto"/>
              <w:right w:val="nil"/>
            </w:tcBorders>
            <w:hideMark/>
          </w:tcPr>
          <w:p w14:paraId="7FEE15F2" w14:textId="336920F7" w:rsidR="00AC286D" w:rsidRPr="00B1499A" w:rsidRDefault="00AC286D" w:rsidP="00CF716C">
            <w:pPr>
              <w:pStyle w:val="TableText"/>
            </w:pPr>
            <w:r w:rsidRPr="00B1499A">
              <w:t>18.</w:t>
            </w:r>
            <w:r>
              <w:t>3</w:t>
            </w:r>
          </w:p>
        </w:tc>
        <w:tc>
          <w:tcPr>
            <w:tcW w:w="6521" w:type="dxa"/>
            <w:tcBorders>
              <w:top w:val="single" w:sz="4" w:space="0" w:color="auto"/>
              <w:left w:val="nil"/>
              <w:bottom w:val="single" w:sz="4" w:space="0" w:color="auto"/>
              <w:right w:val="nil"/>
            </w:tcBorders>
            <w:hideMark/>
          </w:tcPr>
          <w:p w14:paraId="6BCCE184" w14:textId="77777777" w:rsidR="00AC286D" w:rsidRPr="00B1499A" w:rsidRDefault="00AC286D" w:rsidP="00CF716C">
            <w:pPr>
              <w:pStyle w:val="TableText"/>
            </w:pPr>
            <w:r w:rsidRPr="00B1499A">
              <w:t xml:space="preserve">Dissolved </w:t>
            </w:r>
            <w:r>
              <w:t>organic carbon (for metals/non-metallic inorganics only)</w:t>
            </w:r>
          </w:p>
        </w:tc>
        <w:tc>
          <w:tcPr>
            <w:tcW w:w="1790" w:type="dxa"/>
            <w:tcBorders>
              <w:top w:val="single" w:sz="4" w:space="0" w:color="BFBFBF" w:themeColor="background1" w:themeShade="BF"/>
              <w:left w:val="nil"/>
              <w:bottom w:val="single" w:sz="4" w:space="0" w:color="BFBFBF" w:themeColor="background1" w:themeShade="BF"/>
              <w:right w:val="nil"/>
            </w:tcBorders>
            <w:hideMark/>
          </w:tcPr>
          <w:p w14:paraId="2DF487DB" w14:textId="7CC85613" w:rsidR="00AC286D" w:rsidRPr="00B1499A" w:rsidRDefault="00AC286D" w:rsidP="00CF716C">
            <w:pPr>
              <w:pStyle w:val="TableText"/>
            </w:pPr>
            <w:r w:rsidRPr="00B1499A">
              <w:t>Yes (</w:t>
            </w:r>
            <w:r>
              <w:t>3</w:t>
            </w:r>
            <w:r w:rsidRPr="00B1499A">
              <w:t>), No (0/FAIL)</w:t>
            </w:r>
          </w:p>
        </w:tc>
      </w:tr>
      <w:tr w:rsidR="005110DE" w:rsidRPr="00B1499A" w14:paraId="336D6FD9" w14:textId="77777777" w:rsidTr="002F6B5D">
        <w:trPr>
          <w:trHeight w:val="529"/>
        </w:trPr>
        <w:tc>
          <w:tcPr>
            <w:tcW w:w="709" w:type="dxa"/>
            <w:tcBorders>
              <w:top w:val="single" w:sz="4" w:space="0" w:color="auto"/>
              <w:left w:val="nil"/>
              <w:bottom w:val="single" w:sz="4" w:space="0" w:color="auto"/>
              <w:right w:val="nil"/>
            </w:tcBorders>
            <w:hideMark/>
          </w:tcPr>
          <w:p w14:paraId="20D8AB9C" w14:textId="77777777" w:rsidR="005110DE" w:rsidRPr="00B1499A" w:rsidRDefault="005110DE" w:rsidP="00CF716C">
            <w:pPr>
              <w:pStyle w:val="TableText"/>
            </w:pPr>
            <w:r w:rsidRPr="00B1499A">
              <w:t>18.</w:t>
            </w:r>
            <w:r>
              <w:t>4</w:t>
            </w:r>
          </w:p>
        </w:tc>
        <w:tc>
          <w:tcPr>
            <w:tcW w:w="6521" w:type="dxa"/>
            <w:tcBorders>
              <w:top w:val="single" w:sz="4" w:space="0" w:color="auto"/>
              <w:left w:val="nil"/>
              <w:bottom w:val="single" w:sz="4" w:space="0" w:color="auto"/>
              <w:right w:val="nil"/>
            </w:tcBorders>
            <w:hideMark/>
          </w:tcPr>
          <w:p w14:paraId="333C4BBA" w14:textId="77777777" w:rsidR="005110DE" w:rsidRPr="00B1499A" w:rsidRDefault="005110DE" w:rsidP="00CF716C">
            <w:pPr>
              <w:pStyle w:val="TableText"/>
            </w:pPr>
            <w:r w:rsidRPr="00B1499A">
              <w:t>Temperature</w:t>
            </w:r>
          </w:p>
        </w:tc>
        <w:tc>
          <w:tcPr>
            <w:tcW w:w="1790" w:type="dxa"/>
            <w:tcBorders>
              <w:top w:val="single" w:sz="4" w:space="0" w:color="BFBFBF" w:themeColor="background1" w:themeShade="BF"/>
              <w:left w:val="nil"/>
              <w:bottom w:val="single" w:sz="4" w:space="0" w:color="BFBFBF" w:themeColor="background1" w:themeShade="BF"/>
              <w:right w:val="nil"/>
            </w:tcBorders>
            <w:hideMark/>
          </w:tcPr>
          <w:p w14:paraId="2B31E00F" w14:textId="2C9B1D40" w:rsidR="005110DE" w:rsidRPr="00B1499A" w:rsidRDefault="005110DE" w:rsidP="00CF716C">
            <w:pPr>
              <w:pStyle w:val="TableText"/>
            </w:pPr>
            <w:r w:rsidRPr="00B1499A">
              <w:t>Yes (2), Temperature of room or chamber was reported (1), No (0/FAIL)</w:t>
            </w:r>
          </w:p>
        </w:tc>
      </w:tr>
      <w:tr w:rsidR="005110DE" w:rsidRPr="00B1499A" w14:paraId="2397199F" w14:textId="77777777" w:rsidTr="002F6B5D">
        <w:trPr>
          <w:trHeight w:val="108"/>
        </w:trPr>
        <w:tc>
          <w:tcPr>
            <w:tcW w:w="709" w:type="dxa"/>
            <w:tcBorders>
              <w:top w:val="single" w:sz="4" w:space="0" w:color="auto"/>
              <w:left w:val="nil"/>
              <w:bottom w:val="single" w:sz="4" w:space="0" w:color="auto"/>
              <w:right w:val="nil"/>
            </w:tcBorders>
            <w:hideMark/>
          </w:tcPr>
          <w:p w14:paraId="0868ADDA" w14:textId="77777777" w:rsidR="005110DE" w:rsidRPr="00B1499A" w:rsidRDefault="005110DE" w:rsidP="00CF716C">
            <w:pPr>
              <w:pStyle w:val="TableText"/>
            </w:pPr>
            <w:r w:rsidRPr="00B1499A">
              <w:t>18.</w:t>
            </w:r>
            <w:r>
              <w:t>5</w:t>
            </w:r>
          </w:p>
        </w:tc>
        <w:tc>
          <w:tcPr>
            <w:tcW w:w="6521" w:type="dxa"/>
            <w:tcBorders>
              <w:top w:val="single" w:sz="4" w:space="0" w:color="auto"/>
              <w:left w:val="nil"/>
              <w:bottom w:val="single" w:sz="4" w:space="0" w:color="auto"/>
              <w:right w:val="nil"/>
            </w:tcBorders>
            <w:hideMark/>
          </w:tcPr>
          <w:p w14:paraId="32E24BC1" w14:textId="725E6AFA" w:rsidR="005110DE" w:rsidRPr="00B1499A" w:rsidRDefault="005110DE" w:rsidP="00CF716C">
            <w:pPr>
              <w:pStyle w:val="TableText"/>
            </w:pPr>
            <w:r>
              <w:t>Light intensity/illuminance</w:t>
            </w:r>
          </w:p>
        </w:tc>
        <w:tc>
          <w:tcPr>
            <w:tcW w:w="1790" w:type="dxa"/>
            <w:tcBorders>
              <w:top w:val="single" w:sz="4" w:space="0" w:color="BFBFBF" w:themeColor="background1" w:themeShade="BF"/>
              <w:left w:val="nil"/>
              <w:bottom w:val="single" w:sz="4" w:space="0" w:color="BFBFBF" w:themeColor="background1" w:themeShade="BF"/>
              <w:right w:val="nil"/>
            </w:tcBorders>
            <w:hideMark/>
          </w:tcPr>
          <w:p w14:paraId="2E80F080" w14:textId="2B3AE1A6" w:rsidR="005110DE" w:rsidRPr="00B1499A" w:rsidRDefault="005110DE" w:rsidP="00CF716C">
            <w:pPr>
              <w:pStyle w:val="TableText"/>
            </w:pPr>
            <w:r w:rsidRPr="00B1499A">
              <w:t>Yes (2), No (0/FAIL)</w:t>
            </w:r>
          </w:p>
        </w:tc>
      </w:tr>
      <w:tr w:rsidR="00FE4D7A" w:rsidRPr="00B1499A" w14:paraId="32F65756" w14:textId="77777777" w:rsidTr="002F6B5D">
        <w:trPr>
          <w:trHeight w:val="283"/>
        </w:trPr>
        <w:tc>
          <w:tcPr>
            <w:tcW w:w="709" w:type="dxa"/>
            <w:tcBorders>
              <w:top w:val="single" w:sz="4" w:space="0" w:color="auto"/>
              <w:left w:val="nil"/>
              <w:bottom w:val="single" w:sz="4" w:space="0" w:color="auto"/>
              <w:right w:val="nil"/>
            </w:tcBorders>
          </w:tcPr>
          <w:p w14:paraId="4B0049B7" w14:textId="77777777" w:rsidR="00FE4D7A" w:rsidRPr="00B1499A" w:rsidRDefault="00FE4D7A" w:rsidP="00CF716C">
            <w:pPr>
              <w:pStyle w:val="TableText"/>
            </w:pPr>
            <w:r>
              <w:t>18.6</w:t>
            </w:r>
          </w:p>
        </w:tc>
        <w:tc>
          <w:tcPr>
            <w:tcW w:w="6521" w:type="dxa"/>
            <w:tcBorders>
              <w:top w:val="single" w:sz="4" w:space="0" w:color="auto"/>
              <w:left w:val="nil"/>
              <w:bottom w:val="single" w:sz="4" w:space="0" w:color="auto"/>
              <w:right w:val="nil"/>
            </w:tcBorders>
          </w:tcPr>
          <w:p w14:paraId="6518CEB0" w14:textId="0CEF5548" w:rsidR="00FE4D7A" w:rsidRPr="00B1499A" w:rsidRDefault="00FE4D7A" w:rsidP="00CF716C">
            <w:pPr>
              <w:pStyle w:val="TableText"/>
              <w:rPr>
                <w:color w:val="000000"/>
              </w:rPr>
            </w:pPr>
            <w:r w:rsidRPr="57352DF8">
              <w:t>Any other parameters of relevance (e.g. other toxicity</w:t>
            </w:r>
            <w:r w:rsidR="00E17E7D">
              <w:t>-</w:t>
            </w:r>
            <w:r w:rsidRPr="57352DF8">
              <w:t>modifying factors)</w:t>
            </w:r>
            <w:r w:rsidR="00A75106">
              <w:t>?</w:t>
            </w:r>
          </w:p>
        </w:tc>
        <w:tc>
          <w:tcPr>
            <w:tcW w:w="1790" w:type="dxa"/>
            <w:tcBorders>
              <w:top w:val="single" w:sz="4" w:space="0" w:color="BFBFBF" w:themeColor="background1" w:themeShade="BF"/>
              <w:left w:val="nil"/>
              <w:bottom w:val="single" w:sz="4" w:space="0" w:color="BFBFBF" w:themeColor="background1" w:themeShade="BF"/>
              <w:right w:val="nil"/>
            </w:tcBorders>
          </w:tcPr>
          <w:p w14:paraId="03BE34A5" w14:textId="54A75291" w:rsidR="00FE4D7A" w:rsidRPr="00B1499A" w:rsidRDefault="00FE4D7A" w:rsidP="00CF716C">
            <w:pPr>
              <w:pStyle w:val="TableText"/>
            </w:pPr>
            <w:r w:rsidRPr="00B1499A">
              <w:t>Yes (2), No (0/FAIL)</w:t>
            </w:r>
          </w:p>
        </w:tc>
      </w:tr>
      <w:tr w:rsidR="006234B8" w:rsidRPr="00B1499A" w14:paraId="67A1DA3D" w14:textId="77777777" w:rsidTr="002F6B5D">
        <w:trPr>
          <w:trHeight w:val="70"/>
        </w:trPr>
        <w:tc>
          <w:tcPr>
            <w:tcW w:w="709" w:type="dxa"/>
            <w:tcBorders>
              <w:top w:val="single" w:sz="4" w:space="0" w:color="auto"/>
              <w:bottom w:val="single" w:sz="4" w:space="0" w:color="auto"/>
            </w:tcBorders>
            <w:vAlign w:val="center"/>
            <w:hideMark/>
          </w:tcPr>
          <w:p w14:paraId="76BEA84C" w14:textId="77777777" w:rsidR="006234B8" w:rsidRPr="00B1499A" w:rsidRDefault="006234B8" w:rsidP="006234B8">
            <w:pPr>
              <w:pStyle w:val="TableText"/>
            </w:pPr>
          </w:p>
        </w:tc>
        <w:tc>
          <w:tcPr>
            <w:tcW w:w="8311" w:type="dxa"/>
            <w:gridSpan w:val="2"/>
            <w:tcBorders>
              <w:top w:val="single" w:sz="4" w:space="0" w:color="auto"/>
              <w:bottom w:val="single" w:sz="4" w:space="0" w:color="auto"/>
            </w:tcBorders>
            <w:vAlign w:val="center"/>
            <w:hideMark/>
          </w:tcPr>
          <w:p w14:paraId="0B4B6D04" w14:textId="150B72DC" w:rsidR="006234B8" w:rsidRPr="00B1499A" w:rsidRDefault="006234B8" w:rsidP="006234B8">
            <w:pPr>
              <w:pStyle w:val="TableText"/>
              <w:rPr>
                <w:color w:val="000000"/>
              </w:rPr>
            </w:pPr>
            <w:r w:rsidRPr="009D7457">
              <w:rPr>
                <w:color w:val="000000"/>
              </w:rPr>
              <w:t>M</w:t>
            </w:r>
            <w:r>
              <w:rPr>
                <w:color w:val="000000"/>
              </w:rPr>
              <w:t>aximum sub-total for Part C = 15</w:t>
            </w:r>
          </w:p>
        </w:tc>
      </w:tr>
      <w:tr w:rsidR="006234B8" w:rsidRPr="00163D3D" w14:paraId="00A1C99F" w14:textId="77777777" w:rsidTr="002F6B5D">
        <w:trPr>
          <w:trHeight w:val="70"/>
        </w:trPr>
        <w:tc>
          <w:tcPr>
            <w:tcW w:w="709" w:type="dxa"/>
            <w:tcBorders>
              <w:top w:val="single" w:sz="4" w:space="0" w:color="auto"/>
              <w:bottom w:val="single" w:sz="12" w:space="0" w:color="auto"/>
            </w:tcBorders>
            <w:vAlign w:val="center"/>
          </w:tcPr>
          <w:p w14:paraId="473E414F" w14:textId="77777777" w:rsidR="006234B8" w:rsidRPr="00163D3D" w:rsidRDefault="006234B8" w:rsidP="006234B8">
            <w:pPr>
              <w:pStyle w:val="TableText"/>
            </w:pPr>
          </w:p>
        </w:tc>
        <w:tc>
          <w:tcPr>
            <w:tcW w:w="8311" w:type="dxa"/>
            <w:gridSpan w:val="2"/>
            <w:tcBorders>
              <w:top w:val="single" w:sz="4" w:space="0" w:color="auto"/>
              <w:bottom w:val="single" w:sz="12" w:space="0" w:color="auto"/>
            </w:tcBorders>
            <w:vAlign w:val="center"/>
          </w:tcPr>
          <w:p w14:paraId="3A5C43CC" w14:textId="34F65FE3" w:rsidR="006234B8" w:rsidRPr="00163D3D" w:rsidRDefault="006234B8" w:rsidP="006234B8">
            <w:pPr>
              <w:pStyle w:val="TableText"/>
            </w:pPr>
            <w:r w:rsidRPr="00163D3D">
              <w:t>M</w:t>
            </w:r>
            <w:r>
              <w:t xml:space="preserve">aximum total for parts </w:t>
            </w:r>
            <w:r w:rsidRPr="00163D3D">
              <w:t>A</w:t>
            </w:r>
            <w:r>
              <w:t xml:space="preserve"> +</w:t>
            </w:r>
            <w:r w:rsidRPr="00163D3D">
              <w:t xml:space="preserve"> B </w:t>
            </w:r>
            <w:r>
              <w:t>+</w:t>
            </w:r>
            <w:r w:rsidRPr="00163D3D">
              <w:t xml:space="preserve"> C </w:t>
            </w:r>
            <w:r>
              <w:t>=</w:t>
            </w:r>
            <w:r w:rsidRPr="00163D3D">
              <w:t xml:space="preserve"> 9</w:t>
            </w:r>
            <w:r>
              <w:t>2</w:t>
            </w:r>
          </w:p>
        </w:tc>
      </w:tr>
    </w:tbl>
    <w:p w14:paraId="266500BC" w14:textId="77777777" w:rsidR="008A1BCC" w:rsidRDefault="008A1BCC" w:rsidP="004D7186">
      <w:pPr>
        <w:pStyle w:val="FigureTableNoteSource"/>
        <w:rPr>
          <w:lang w:eastAsia="ja-JP"/>
        </w:rPr>
      </w:pPr>
      <w:r w:rsidRPr="0026617C">
        <w:rPr>
          <w:lang w:eastAsia="ja-JP"/>
        </w:rPr>
        <w:t xml:space="preserve">Source: </w:t>
      </w:r>
      <w:r>
        <w:rPr>
          <w:lang w:eastAsia="ja-JP"/>
        </w:rPr>
        <w:t>Updated from Warne et al. (2018).</w:t>
      </w:r>
    </w:p>
    <w:p w14:paraId="59C08A70" w14:textId="60A7DF23" w:rsidR="005110DE" w:rsidRDefault="005110DE" w:rsidP="00CF716C">
      <w:pPr>
        <w:pStyle w:val="FigureTableNoteSource"/>
      </w:pPr>
      <w:r w:rsidRPr="57352DF8">
        <w:rPr>
          <w:vertAlign w:val="superscript"/>
        </w:rPr>
        <w:t>a</w:t>
      </w:r>
      <w:r w:rsidRPr="57352DF8">
        <w:t xml:space="preserve"> Where a question has a </w:t>
      </w:r>
      <w:r w:rsidRPr="00CF716C">
        <w:t>possible</w:t>
      </w:r>
      <w:r w:rsidRPr="57352DF8">
        <w:t xml:space="preserve"> </w:t>
      </w:r>
      <w:r w:rsidR="00CF716C">
        <w:t>‘</w:t>
      </w:r>
      <w:r w:rsidRPr="57352DF8">
        <w:t>No (0/FAIL)</w:t>
      </w:r>
      <w:r w:rsidR="00CF716C">
        <w:t>’</w:t>
      </w:r>
      <w:r w:rsidRPr="57352DF8">
        <w:t xml:space="preserve"> outcome, professional </w:t>
      </w:r>
      <w:r w:rsidR="00542D1C">
        <w:t>judgement</w:t>
      </w:r>
      <w:r w:rsidRPr="57352DF8">
        <w:t xml:space="preserve"> may be required to determine if a 0 is assigned or if the test fails the quality</w:t>
      </w:r>
      <w:r w:rsidR="00CF716C">
        <w:t>-</w:t>
      </w:r>
      <w:r w:rsidRPr="57352DF8">
        <w:t>assessment process.</w:t>
      </w:r>
    </w:p>
    <w:p w14:paraId="55C26CD1" w14:textId="77777777" w:rsidR="006C5761" w:rsidRDefault="005110DE" w:rsidP="006C5761">
      <w:pPr>
        <w:pStyle w:val="FigureTableNoteSource"/>
      </w:pPr>
      <w:r w:rsidRPr="57352DF8">
        <w:rPr>
          <w:vertAlign w:val="superscript"/>
        </w:rPr>
        <w:t>b</w:t>
      </w:r>
      <w:r w:rsidRPr="57352DF8">
        <w:t xml:space="preserve"> See </w:t>
      </w:r>
      <w:r w:rsidR="00AD63D3" w:rsidRPr="00AD63D3">
        <w:fldChar w:fldCharType="begin"/>
      </w:r>
      <w:r w:rsidR="00AD63D3" w:rsidRPr="00AD63D3">
        <w:instrText xml:space="preserve"> REF _Ref520276250 \h </w:instrText>
      </w:r>
      <w:r w:rsidR="00AD63D3">
        <w:instrText xml:space="preserve"> \* MERGEFORMAT </w:instrText>
      </w:r>
      <w:r w:rsidR="00AD63D3" w:rsidRPr="00AD63D3">
        <w:fldChar w:fldCharType="separate"/>
      </w:r>
    </w:p>
    <w:p w14:paraId="53081D11" w14:textId="7BDDDD2A" w:rsidR="00BE602D" w:rsidRDefault="006C5761" w:rsidP="00CF716C">
      <w:pPr>
        <w:pStyle w:val="FigureTableNoteSource"/>
      </w:pPr>
      <w:r w:rsidRPr="57352DF8">
        <w:t>Table</w:t>
      </w:r>
      <w:r>
        <w:t> </w:t>
      </w:r>
      <w:r>
        <w:rPr>
          <w:noProof/>
        </w:rPr>
        <w:t>2</w:t>
      </w:r>
      <w:r w:rsidR="00AD63D3" w:rsidRPr="00AD63D3">
        <w:fldChar w:fldCharType="end"/>
      </w:r>
      <w:r w:rsidR="005110DE" w:rsidRPr="57352DF8">
        <w:t xml:space="preserve"> for additional guidance.</w:t>
      </w:r>
    </w:p>
    <w:p w14:paraId="0053184B" w14:textId="0BA7D962" w:rsidR="00BE602D" w:rsidRDefault="00B603C4" w:rsidP="004C272A">
      <w:pPr>
        <w:pStyle w:val="Heading7"/>
      </w:pPr>
      <w:bookmarkStart w:id="185" w:name="_Toc202084783"/>
      <w:bookmarkStart w:id="186" w:name="_Ref202085553"/>
      <w:bookmarkStart w:id="187" w:name="_Toc206143343"/>
      <w:r w:rsidRPr="00DE4FAC">
        <w:lastRenderedPageBreak/>
        <w:t xml:space="preserve">Examples of data assessment </w:t>
      </w:r>
      <w:r w:rsidRPr="00FB31AA">
        <w:t>decisions</w:t>
      </w:r>
      <w:r w:rsidRPr="00DE4FAC">
        <w:t xml:space="preserve"> relating to bimodality and the </w:t>
      </w:r>
      <w:r w:rsidR="00141BF7">
        <w:t>log-normal–log-normal</w:t>
      </w:r>
      <w:r w:rsidRPr="00DE4FAC">
        <w:t xml:space="preserve"> distribution</w:t>
      </w:r>
      <w:bookmarkEnd w:id="185"/>
      <w:bookmarkEnd w:id="186"/>
      <w:bookmarkEnd w:id="187"/>
    </w:p>
    <w:p w14:paraId="682D25E9" w14:textId="368C1032" w:rsidR="00B679A4" w:rsidRDefault="00F50883" w:rsidP="004D7186">
      <w:r w:rsidRPr="57352DF8">
        <w:t>This</w:t>
      </w:r>
      <w:r w:rsidR="00B679A4">
        <w:t xml:space="preserve"> </w:t>
      </w:r>
      <w:r w:rsidR="00146878">
        <w:t xml:space="preserve">appendix </w:t>
      </w:r>
      <w:r w:rsidRPr="57352DF8">
        <w:t>provides a number of examples of decision</w:t>
      </w:r>
      <w:r w:rsidR="1CC6E16B" w:rsidRPr="57352DF8">
        <w:t>-</w:t>
      </w:r>
      <w:r w:rsidRPr="57352DF8">
        <w:t xml:space="preserve">making processes for datasets where the </w:t>
      </w:r>
      <w:r w:rsidR="00141BF7">
        <w:t>log-normal–log-normal</w:t>
      </w:r>
      <w:r w:rsidRPr="57352DF8">
        <w:t xml:space="preserve"> (l</w:t>
      </w:r>
      <w:r w:rsidR="00965F62">
        <w:t>-</w:t>
      </w:r>
      <w:r w:rsidRPr="57352DF8">
        <w:t>norm</w:t>
      </w:r>
      <w:r w:rsidR="00965F62">
        <w:t>–</w:t>
      </w:r>
      <w:r w:rsidRPr="57352DF8">
        <w:t>l</w:t>
      </w:r>
      <w:r w:rsidR="00965F62">
        <w:t>-</w:t>
      </w:r>
      <w:r w:rsidRPr="57352DF8">
        <w:t xml:space="preserve">norm) distribution in (shiny)ssdtools is having an influence, from small to dominant, on the model-averaged SSD and associated protective concentration (PC) values. The examples represent hypothetical datasets based on situations that have been encountered for real datasets. All datasets were analysed using </w:t>
      </w:r>
      <w:r w:rsidR="00570299">
        <w:t>(</w:t>
      </w:r>
      <w:r w:rsidRPr="57352DF8">
        <w:t>shiny</w:t>
      </w:r>
      <w:r w:rsidR="00570299">
        <w:t>)</w:t>
      </w:r>
      <w:r w:rsidRPr="57352DF8">
        <w:t xml:space="preserve">ssdtools v 0.3.1 (which uses ssdtools v 2.1.0) using the full set of default models. For the purpose of simplicity, only the PC95 values are considered in the examples. All units are assumed to be in </w:t>
      </w:r>
      <w:r w:rsidRPr="57352DF8">
        <w:rPr>
          <w:rFonts w:ascii="Symbol" w:eastAsia="Symbol" w:hAnsi="Symbol" w:cs="Symbol"/>
        </w:rPr>
        <w:t>m</w:t>
      </w:r>
      <w:r w:rsidRPr="57352DF8">
        <w:t xml:space="preserve">g/L. It is likely that issues </w:t>
      </w:r>
      <w:r w:rsidR="00B74A49" w:rsidRPr="57352DF8">
        <w:t xml:space="preserve">that are not captured in the examples provided below </w:t>
      </w:r>
      <w:r w:rsidRPr="57352DF8">
        <w:t>will arise for other datasets; in many cases, some degree of professional judgement will be required, and the associated decision</w:t>
      </w:r>
      <w:r w:rsidR="7C9D5AE1" w:rsidRPr="57352DF8">
        <w:t>-</w:t>
      </w:r>
      <w:r w:rsidRPr="57352DF8">
        <w:t>making processes will need to be defensible and documented.</w:t>
      </w:r>
    </w:p>
    <w:p w14:paraId="497381C9" w14:textId="36562ED3" w:rsidR="00F50883" w:rsidRPr="00187A1A" w:rsidRDefault="00F50883" w:rsidP="004D7186">
      <w:pPr>
        <w:rPr>
          <w:b/>
          <w:bCs/>
        </w:rPr>
      </w:pPr>
      <w:r w:rsidRPr="00187A1A">
        <w:rPr>
          <w:b/>
          <w:bCs/>
        </w:rPr>
        <w:t xml:space="preserve">Dataset A – non-bimodal dataset, low weight for </w:t>
      </w:r>
      <w:r w:rsidR="00965F62" w:rsidRPr="00187A1A">
        <w:rPr>
          <w:b/>
          <w:bCs/>
        </w:rPr>
        <w:t>l-norm–l-norm</w:t>
      </w:r>
    </w:p>
    <w:p w14:paraId="271450FC" w14:textId="7DC6AA13" w:rsidR="00B679A4" w:rsidRDefault="00F50883" w:rsidP="004D7186">
      <w:r w:rsidRPr="57352DF8">
        <w:t>Dataset A contained 12 chronic values from 6 taxonomic groups (</w:t>
      </w:r>
      <w:r w:rsidR="00DC306E">
        <w:fldChar w:fldCharType="begin"/>
      </w:r>
      <w:r w:rsidR="00DC306E">
        <w:instrText xml:space="preserve"> REF _Ref202091304 \h </w:instrText>
      </w:r>
      <w:r w:rsidR="00DC306E">
        <w:fldChar w:fldCharType="separate"/>
      </w:r>
      <w:r w:rsidR="006C5761">
        <w:t>Figure </w:t>
      </w:r>
      <w:r w:rsidR="006C5761">
        <w:rPr>
          <w:noProof/>
        </w:rPr>
        <w:t>C</w:t>
      </w:r>
      <w:r w:rsidR="006C5761">
        <w:t>.</w:t>
      </w:r>
      <w:r w:rsidR="006C5761">
        <w:rPr>
          <w:noProof/>
        </w:rPr>
        <w:t>1</w:t>
      </w:r>
      <w:r w:rsidR="00DC306E">
        <w:fldChar w:fldCharType="end"/>
      </w:r>
      <w:r w:rsidR="00D64C79">
        <w:t>a</w:t>
      </w:r>
      <w:r w:rsidRPr="57352DF8">
        <w:t xml:space="preserve">). The </w:t>
      </w:r>
      <w:r w:rsidR="00965F62">
        <w:t>l-norm–l-norm</w:t>
      </w:r>
      <w:r w:rsidRPr="57352DF8">
        <w:t xml:space="preserve"> was assigned a relatively low weight (0.11), although its influence on the SSD is evident in the small deviation around the 20</w:t>
      </w:r>
      <w:r w:rsidRPr="00DC306E">
        <w:t>th</w:t>
      </w:r>
      <w:r w:rsidRPr="57352DF8">
        <w:t xml:space="preserve"> percentile. The PC95 was 22.5, compared to 21.4 if the </w:t>
      </w:r>
      <w:r w:rsidR="00965F62">
        <w:t>l-norm–l-norm</w:t>
      </w:r>
      <w:r w:rsidRPr="57352DF8">
        <w:t xml:space="preserve"> was removed from the default model set (</w:t>
      </w:r>
      <w:r w:rsidR="00DC306E">
        <w:fldChar w:fldCharType="begin"/>
      </w:r>
      <w:r w:rsidR="00DC306E">
        <w:instrText xml:space="preserve"> REF _Ref202091304 \h </w:instrText>
      </w:r>
      <w:r w:rsidR="00DC306E">
        <w:fldChar w:fldCharType="separate"/>
      </w:r>
      <w:r w:rsidR="006C5761">
        <w:t>Figure </w:t>
      </w:r>
      <w:r w:rsidR="006C5761">
        <w:rPr>
          <w:noProof/>
        </w:rPr>
        <w:t>C</w:t>
      </w:r>
      <w:r w:rsidR="006C5761">
        <w:t>.</w:t>
      </w:r>
      <w:r w:rsidR="006C5761">
        <w:rPr>
          <w:noProof/>
        </w:rPr>
        <w:t>1</w:t>
      </w:r>
      <w:r w:rsidR="00DC306E">
        <w:fldChar w:fldCharType="end"/>
      </w:r>
      <w:r w:rsidR="00D64C79">
        <w:t>b</w:t>
      </w:r>
      <w:r w:rsidRPr="57352DF8">
        <w:t>). The toxicant</w:t>
      </w:r>
      <w:r w:rsidR="00FC711A">
        <w:t>’s</w:t>
      </w:r>
      <w:r w:rsidRPr="57352DF8">
        <w:t xml:space="preserve"> mode of action is</w:t>
      </w:r>
      <w:r w:rsidR="00FC711A">
        <w:t xml:space="preserve"> not</w:t>
      </w:r>
      <w:r w:rsidRPr="57352DF8">
        <w:t xml:space="preserve"> specific to any subset of taxonomic groups</w:t>
      </w:r>
      <w:r w:rsidR="00E804B8">
        <w:t>,</w:t>
      </w:r>
      <w:r w:rsidRPr="57352DF8">
        <w:t xml:space="preserve"> and the dataset was determined to not be bimodal.</w:t>
      </w:r>
    </w:p>
    <w:p w14:paraId="0E5E69E1" w14:textId="2BC956B6" w:rsidR="00F50883" w:rsidRPr="00F50883" w:rsidRDefault="00F50883" w:rsidP="004D7186">
      <w:r w:rsidRPr="57352DF8">
        <w:t xml:space="preserve">Given the low weight of the </w:t>
      </w:r>
      <w:r w:rsidR="00965F62">
        <w:t>l-norm–l-norm</w:t>
      </w:r>
      <w:r w:rsidRPr="57352DF8">
        <w:t xml:space="preserve"> and its minor effect on the PC95, there is no need to consider measures to improve the modelling (i.e. by improving the dataset or removing the </w:t>
      </w:r>
      <w:r w:rsidR="00965F62">
        <w:t>l-norm–l-norm</w:t>
      </w:r>
      <w:r w:rsidRPr="57352DF8">
        <w:t xml:space="preserve"> from the analysis).</w:t>
      </w:r>
    </w:p>
    <w:p w14:paraId="3A68BECA" w14:textId="1A7B42A0" w:rsidR="00F50883" w:rsidRDefault="00910EDA" w:rsidP="00910EDA">
      <w:pPr>
        <w:pStyle w:val="Caption"/>
      </w:pPr>
      <w:bookmarkStart w:id="188" w:name="_Ref202091304"/>
      <w:bookmarkStart w:id="189" w:name="_Toc206085220"/>
      <w:r>
        <w:t>Figure</w:t>
      </w:r>
      <w:r w:rsidR="000B093C">
        <w:t> </w:t>
      </w:r>
      <w:r>
        <w:fldChar w:fldCharType="begin"/>
      </w:r>
      <w:r>
        <w:instrText xml:space="preserve"> STYLEREF 7 \s </w:instrText>
      </w:r>
      <w:r>
        <w:fldChar w:fldCharType="separate"/>
      </w:r>
      <w:r w:rsidR="006C5761">
        <w:rPr>
          <w:noProof/>
        </w:rPr>
        <w:t>C</w:t>
      </w:r>
      <w:r>
        <w:rPr>
          <w:noProof/>
        </w:rPr>
        <w:fldChar w:fldCharType="end"/>
      </w:r>
      <w:r>
        <w:t>.</w:t>
      </w:r>
      <w:r>
        <w:fldChar w:fldCharType="begin"/>
      </w:r>
      <w:r>
        <w:instrText xml:space="preserve"> SEQ ApxFigure \* ARABIC \s 7 </w:instrText>
      </w:r>
      <w:r>
        <w:fldChar w:fldCharType="separate"/>
      </w:r>
      <w:r w:rsidR="006C5761">
        <w:rPr>
          <w:noProof/>
        </w:rPr>
        <w:t>1</w:t>
      </w:r>
      <w:r>
        <w:rPr>
          <w:noProof/>
        </w:rPr>
        <w:fldChar w:fldCharType="end"/>
      </w:r>
      <w:bookmarkEnd w:id="188"/>
      <w:r w:rsidR="00F50883" w:rsidRPr="57352DF8">
        <w:t xml:space="preserve"> Species sensitivity distribution for dataset A (n = 12) (</w:t>
      </w:r>
      <w:r w:rsidR="001E7D5C">
        <w:t>a</w:t>
      </w:r>
      <w:r w:rsidR="00F50883" w:rsidRPr="57352DF8">
        <w:t>) using the full default model set and (</w:t>
      </w:r>
      <w:r w:rsidR="001E7D5C">
        <w:t>b</w:t>
      </w:r>
      <w:r w:rsidR="00F50883" w:rsidRPr="57352DF8">
        <w:t xml:space="preserve">) without </w:t>
      </w:r>
      <w:r w:rsidR="00965F62">
        <w:t>l-norm–l-norm</w:t>
      </w:r>
      <w:r w:rsidR="00F50883" w:rsidRPr="57352DF8">
        <w:t xml:space="preserve"> in the model set.</w:t>
      </w:r>
      <w:bookmarkEnd w:id="189"/>
    </w:p>
    <w:p w14:paraId="3ABD9EA8" w14:textId="3D3E0E62" w:rsidR="001E7D5C" w:rsidRPr="001E7D5C" w:rsidRDefault="00A071A4" w:rsidP="001E7D5C">
      <w:r w:rsidRPr="00A071A4">
        <w:rPr>
          <w:noProof/>
        </w:rPr>
        <w:drawing>
          <wp:inline distT="0" distB="0" distL="0" distR="0" wp14:anchorId="597A0818" wp14:editId="64EF858A">
            <wp:extent cx="5759450" cy="2086610"/>
            <wp:effectExtent l="0" t="0" r="6350" b="0"/>
            <wp:docPr id="13029265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26555" name="Picture 1">
                      <a:extLst>
                        <a:ext uri="{C183D7F6-B498-43B3-948B-1728B52AA6E4}">
                          <adec:decorative xmlns:adec="http://schemas.microsoft.com/office/drawing/2017/decorative" val="1"/>
                        </a:ext>
                      </a:extLst>
                    </pic:cNvPr>
                    <pic:cNvPicPr/>
                  </pic:nvPicPr>
                  <pic:blipFill>
                    <a:blip r:embed="rId59"/>
                    <a:stretch>
                      <a:fillRect/>
                    </a:stretch>
                  </pic:blipFill>
                  <pic:spPr>
                    <a:xfrm>
                      <a:off x="0" y="0"/>
                      <a:ext cx="5759450" cy="2086610"/>
                    </a:xfrm>
                    <a:prstGeom prst="rect">
                      <a:avLst/>
                    </a:prstGeom>
                  </pic:spPr>
                </pic:pic>
              </a:graphicData>
            </a:graphic>
          </wp:inline>
        </w:drawing>
      </w:r>
    </w:p>
    <w:p w14:paraId="526F924B" w14:textId="519BAF9B" w:rsidR="00F50883" w:rsidRPr="006A17C6" w:rsidRDefault="00F50883" w:rsidP="006A17C6">
      <w:pPr>
        <w:keepNext/>
        <w:rPr>
          <w:b/>
          <w:bCs/>
        </w:rPr>
      </w:pPr>
      <w:r w:rsidRPr="006A17C6">
        <w:rPr>
          <w:b/>
          <w:bCs/>
        </w:rPr>
        <w:lastRenderedPageBreak/>
        <w:t xml:space="preserve">Dataset B – bimodal dataset, high weight for </w:t>
      </w:r>
      <w:r w:rsidR="00965F62" w:rsidRPr="006A17C6">
        <w:rPr>
          <w:b/>
          <w:bCs/>
        </w:rPr>
        <w:t>l-norm–l-norm</w:t>
      </w:r>
    </w:p>
    <w:p w14:paraId="1D4C23C9" w14:textId="6FE9C791" w:rsidR="00F50883" w:rsidRPr="00F50883" w:rsidRDefault="00F50883" w:rsidP="004D7186">
      <w:r w:rsidRPr="57352DF8">
        <w:t>Dataset B contained 27 chronic values from 8 taxonomic groups (</w:t>
      </w:r>
      <w:r w:rsidR="00DC306E">
        <w:fldChar w:fldCharType="begin"/>
      </w:r>
      <w:r w:rsidR="00DC306E">
        <w:instrText xml:space="preserve"> REF _Ref202091341 \h </w:instrText>
      </w:r>
      <w:r w:rsidR="00DC306E">
        <w:fldChar w:fldCharType="separate"/>
      </w:r>
      <w:r w:rsidR="006C5761">
        <w:t>Figure </w:t>
      </w:r>
      <w:r w:rsidR="006C5761">
        <w:rPr>
          <w:noProof/>
        </w:rPr>
        <w:t>C</w:t>
      </w:r>
      <w:r w:rsidR="006C5761">
        <w:t>.</w:t>
      </w:r>
      <w:r w:rsidR="006C5761">
        <w:rPr>
          <w:noProof/>
        </w:rPr>
        <w:t>2</w:t>
      </w:r>
      <w:r w:rsidR="00DC306E">
        <w:fldChar w:fldCharType="end"/>
      </w:r>
      <w:r w:rsidR="00D95D90">
        <w:t>a</w:t>
      </w:r>
      <w:r w:rsidRPr="57352DF8">
        <w:t xml:space="preserve">). The </w:t>
      </w:r>
      <w:r w:rsidR="00965F62">
        <w:t>l-norm–l-norm</w:t>
      </w:r>
      <w:r w:rsidRPr="57352DF8">
        <w:t xml:space="preserve"> was assigned a relatively high weight (0.661), and its influence on the SSD is most evident in the deviation at the upper end of the distribution. The PC95 was 0.86 compared to 0.71 if the </w:t>
      </w:r>
      <w:r w:rsidR="00965F62">
        <w:t>l-norm–l-norm</w:t>
      </w:r>
      <w:r w:rsidRPr="57352DF8">
        <w:t xml:space="preserve"> was removed from the default model set (</w:t>
      </w:r>
      <w:r w:rsidR="00DC306E">
        <w:fldChar w:fldCharType="begin"/>
      </w:r>
      <w:r w:rsidR="00DC306E">
        <w:instrText xml:space="preserve"> REF _Ref202091341 \h </w:instrText>
      </w:r>
      <w:r w:rsidR="00DC306E">
        <w:fldChar w:fldCharType="separate"/>
      </w:r>
      <w:r w:rsidR="006C5761">
        <w:t>Figure </w:t>
      </w:r>
      <w:r w:rsidR="006C5761">
        <w:rPr>
          <w:noProof/>
        </w:rPr>
        <w:t>C</w:t>
      </w:r>
      <w:r w:rsidR="006C5761">
        <w:t>.</w:t>
      </w:r>
      <w:r w:rsidR="006C5761">
        <w:rPr>
          <w:noProof/>
        </w:rPr>
        <w:t>2</w:t>
      </w:r>
      <w:r w:rsidR="00DC306E">
        <w:fldChar w:fldCharType="end"/>
      </w:r>
      <w:r w:rsidR="00D95D90">
        <w:t>b</w:t>
      </w:r>
      <w:r w:rsidRPr="57352DF8">
        <w:t>). The toxicant is also a nutrient for plants and algae</w:t>
      </w:r>
      <w:r w:rsidR="009639DB">
        <w:t>. It</w:t>
      </w:r>
      <w:r w:rsidRPr="57352DF8">
        <w:t xml:space="preserve"> is typically less toxic to plants and algae than to animals and, therefore, a dataset that contains data for both animals and plants/algae could be expected to be bimodal on this basis. It is somewhat surprising that this bimodality was reflected in the SSD when there were only</w:t>
      </w:r>
      <w:r w:rsidR="00C64837">
        <w:t xml:space="preserve"> 2</w:t>
      </w:r>
      <w:r w:rsidRPr="57352DF8">
        <w:t xml:space="preserve"> algal values compared to 25 animal values; nevertheless, the fit of the SSD, and the associated influence of the </w:t>
      </w:r>
      <w:r w:rsidR="00965F62">
        <w:t>l-norm–l-norm</w:t>
      </w:r>
      <w:r w:rsidRPr="57352DF8">
        <w:t xml:space="preserve">, is consistent with what would be expected for this toxicant. Consequently, there is no need to further assess the data nor consider removal of the </w:t>
      </w:r>
      <w:r w:rsidR="00965F62">
        <w:t>l-norm–l-norm</w:t>
      </w:r>
      <w:r w:rsidRPr="57352DF8">
        <w:t xml:space="preserve"> distribution, and the dataset and its SSD would be considered acceptable for deriving the GVs.</w:t>
      </w:r>
    </w:p>
    <w:p w14:paraId="5E98FF71" w14:textId="6E4CEF3E" w:rsidR="00F50883" w:rsidRDefault="00E802E8" w:rsidP="00E802E8">
      <w:pPr>
        <w:pStyle w:val="Caption"/>
      </w:pPr>
      <w:bookmarkStart w:id="190" w:name="_Ref202091341"/>
      <w:bookmarkStart w:id="191" w:name="_Toc206085221"/>
      <w:r>
        <w:t>Figure</w:t>
      </w:r>
      <w:r w:rsidR="000B093C">
        <w:t> </w:t>
      </w:r>
      <w:r>
        <w:fldChar w:fldCharType="begin"/>
      </w:r>
      <w:r>
        <w:instrText xml:space="preserve"> STYLEREF 7 \s </w:instrText>
      </w:r>
      <w:r>
        <w:fldChar w:fldCharType="separate"/>
      </w:r>
      <w:r w:rsidR="006C5761">
        <w:rPr>
          <w:noProof/>
        </w:rPr>
        <w:t>C</w:t>
      </w:r>
      <w:r>
        <w:rPr>
          <w:noProof/>
        </w:rPr>
        <w:fldChar w:fldCharType="end"/>
      </w:r>
      <w:r>
        <w:t>.</w:t>
      </w:r>
      <w:r>
        <w:fldChar w:fldCharType="begin"/>
      </w:r>
      <w:r>
        <w:instrText xml:space="preserve"> SEQ ApxFigure \* ARABIC \s 7 </w:instrText>
      </w:r>
      <w:r>
        <w:fldChar w:fldCharType="separate"/>
      </w:r>
      <w:r w:rsidR="006C5761">
        <w:rPr>
          <w:noProof/>
        </w:rPr>
        <w:t>2</w:t>
      </w:r>
      <w:r>
        <w:rPr>
          <w:noProof/>
        </w:rPr>
        <w:fldChar w:fldCharType="end"/>
      </w:r>
      <w:bookmarkEnd w:id="190"/>
      <w:r w:rsidRPr="57352DF8">
        <w:t xml:space="preserve"> </w:t>
      </w:r>
      <w:r w:rsidR="00F50883" w:rsidRPr="57352DF8">
        <w:t>Species sensitivity distribution for dataset B (n = 27) (</w:t>
      </w:r>
      <w:r w:rsidR="00FF46A1">
        <w:t>a</w:t>
      </w:r>
      <w:r w:rsidR="00F50883" w:rsidRPr="57352DF8">
        <w:t>) using the full default model set and (</w:t>
      </w:r>
      <w:r w:rsidR="00FF46A1">
        <w:t>b</w:t>
      </w:r>
      <w:r w:rsidR="00F50883" w:rsidRPr="57352DF8">
        <w:t xml:space="preserve">) without </w:t>
      </w:r>
      <w:r w:rsidR="00965F62">
        <w:t>l-norm–l-norm</w:t>
      </w:r>
      <w:r w:rsidR="00F50883" w:rsidRPr="57352DF8">
        <w:t xml:space="preserve"> in the model set</w:t>
      </w:r>
      <w:bookmarkEnd w:id="191"/>
    </w:p>
    <w:p w14:paraId="1856B9C8" w14:textId="00A0F417" w:rsidR="005637A9" w:rsidRPr="005637A9" w:rsidRDefault="005637A9" w:rsidP="005637A9">
      <w:r w:rsidRPr="005637A9">
        <w:rPr>
          <w:noProof/>
        </w:rPr>
        <w:drawing>
          <wp:inline distT="0" distB="0" distL="0" distR="0" wp14:anchorId="39C0CAE2" wp14:editId="41A0B36E">
            <wp:extent cx="5759450" cy="2137410"/>
            <wp:effectExtent l="0" t="0" r="6350" b="0"/>
            <wp:docPr id="4604498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49824" name="Picture 1">
                      <a:extLst>
                        <a:ext uri="{C183D7F6-B498-43B3-948B-1728B52AA6E4}">
                          <adec:decorative xmlns:adec="http://schemas.microsoft.com/office/drawing/2017/decorative" val="1"/>
                        </a:ext>
                      </a:extLst>
                    </pic:cNvPr>
                    <pic:cNvPicPr/>
                  </pic:nvPicPr>
                  <pic:blipFill>
                    <a:blip r:embed="rId60"/>
                    <a:stretch>
                      <a:fillRect/>
                    </a:stretch>
                  </pic:blipFill>
                  <pic:spPr>
                    <a:xfrm>
                      <a:off x="0" y="0"/>
                      <a:ext cx="5759450" cy="2137410"/>
                    </a:xfrm>
                    <a:prstGeom prst="rect">
                      <a:avLst/>
                    </a:prstGeom>
                  </pic:spPr>
                </pic:pic>
              </a:graphicData>
            </a:graphic>
          </wp:inline>
        </w:drawing>
      </w:r>
    </w:p>
    <w:p w14:paraId="5D4A4D88" w14:textId="51D93805" w:rsidR="00F50883" w:rsidRPr="00FF46A1" w:rsidRDefault="00F50883" w:rsidP="004D7186">
      <w:pPr>
        <w:rPr>
          <w:b/>
          <w:bCs/>
        </w:rPr>
      </w:pPr>
      <w:r w:rsidRPr="00FF46A1">
        <w:rPr>
          <w:b/>
          <w:bCs/>
        </w:rPr>
        <w:t xml:space="preserve">Dataset C – non-bimodal dataset, high weight for </w:t>
      </w:r>
      <w:r w:rsidR="00965F62" w:rsidRPr="00FF46A1">
        <w:rPr>
          <w:b/>
          <w:bCs/>
        </w:rPr>
        <w:t>l-norm–l-norm</w:t>
      </w:r>
    </w:p>
    <w:p w14:paraId="74534CF3" w14:textId="3CDDA003" w:rsidR="00F50883" w:rsidRPr="00F50883" w:rsidRDefault="00F50883" w:rsidP="004D7186">
      <w:r w:rsidRPr="57352DF8">
        <w:t>Dataset C(</w:t>
      </w:r>
      <w:r w:rsidR="00D95D90">
        <w:t>a</w:t>
      </w:r>
      <w:r w:rsidRPr="57352DF8">
        <w:t>) contained 17 chronic values from 5 taxonomic groups (</w:t>
      </w:r>
      <w:r w:rsidR="00DC306E">
        <w:fldChar w:fldCharType="begin"/>
      </w:r>
      <w:r w:rsidR="00DC306E">
        <w:instrText xml:space="preserve"> REF _Ref202091357 \h </w:instrText>
      </w:r>
      <w:r w:rsidR="00DC306E">
        <w:fldChar w:fldCharType="separate"/>
      </w:r>
      <w:r w:rsidR="006C5761">
        <w:t>Figure </w:t>
      </w:r>
      <w:r w:rsidR="006C5761">
        <w:rPr>
          <w:noProof/>
        </w:rPr>
        <w:t>C</w:t>
      </w:r>
      <w:r w:rsidR="006C5761" w:rsidRPr="001B2542">
        <w:t>.</w:t>
      </w:r>
      <w:r w:rsidR="006C5761">
        <w:rPr>
          <w:noProof/>
        </w:rPr>
        <w:t>3</w:t>
      </w:r>
      <w:r w:rsidR="00DC306E">
        <w:fldChar w:fldCharType="end"/>
      </w:r>
      <w:r w:rsidR="00D95D90">
        <w:t>a</w:t>
      </w:r>
      <w:r w:rsidRPr="57352DF8">
        <w:t>). The dataset contain</w:t>
      </w:r>
      <w:r w:rsidR="001D2002">
        <w:t>ed</w:t>
      </w:r>
      <w:r w:rsidRPr="57352DF8">
        <w:t xml:space="preserve"> a cluster of bivalve data, all from the same study, </w:t>
      </w:r>
      <w:r w:rsidR="00A524EB">
        <w:t>that show</w:t>
      </w:r>
      <w:r w:rsidR="00A524EB" w:rsidRPr="57352DF8">
        <w:t xml:space="preserve"> </w:t>
      </w:r>
      <w:r w:rsidRPr="57352DF8">
        <w:t xml:space="preserve">very similar sensitivity at the lower end of the SSD. The bivalve data comprise ~60% of the dataset, which is a significant over-representation for this taxonomic group. Although it could be argued that the dataset is bimodal due to bivalves being more sensitive, this could equally be an artefact due to the bivalve results being from a single study that produced very sensitive results. When combined with the fact that the toxicant does not have a specific mode of action, it is not possible to conclude that the dataset is bimodal. However, the </w:t>
      </w:r>
      <w:r w:rsidR="00965F62">
        <w:t>l-norm–l-norm</w:t>
      </w:r>
      <w:r w:rsidRPr="57352DF8">
        <w:t xml:space="preserve"> was assigned a very high weight (0.999), and its major influence on the SSD is evident in its dramatic change of slope at around the 60</w:t>
      </w:r>
      <w:r w:rsidRPr="00F97C4A">
        <w:t>th</w:t>
      </w:r>
      <w:r w:rsidRPr="57352DF8">
        <w:t xml:space="preserve"> percentile. It is evident that the </w:t>
      </w:r>
      <w:r w:rsidR="00965F62">
        <w:t>l-norm–l-norm</w:t>
      </w:r>
      <w:r w:rsidRPr="57352DF8">
        <w:t xml:space="preserve"> is modelling the data as if the dataset is bimodal. Although bivalves might be relatively sensitive, the over-representation of data for this group (from a single study) is disproportionately affecting the SSD. To improve the taxonomic representation across the dataset, an upper limit to the proportion of a dataset that any one taxonomic group can comprise was considered. In this case, the bivalve data were culled to ensure that they did not represent more than ~20% of the resulting dataset</w:t>
      </w:r>
      <w:r w:rsidR="006C047F">
        <w:t>. T</w:t>
      </w:r>
      <w:r w:rsidRPr="57352DF8">
        <w:t xml:space="preserve">he lowest bivalve values </w:t>
      </w:r>
      <w:r w:rsidR="006C047F">
        <w:t>were</w:t>
      </w:r>
      <w:r w:rsidR="006C047F" w:rsidRPr="57352DF8">
        <w:t xml:space="preserve"> </w:t>
      </w:r>
      <w:r w:rsidRPr="57352DF8">
        <w:t xml:space="preserve">selected when culling. This resulted in removing 8 of the 10 bivalve values, </w:t>
      </w:r>
      <w:r w:rsidR="006C047F">
        <w:t>and</w:t>
      </w:r>
      <w:r w:rsidR="006C047F" w:rsidRPr="57352DF8">
        <w:t xml:space="preserve"> </w:t>
      </w:r>
      <w:r w:rsidRPr="57352DF8">
        <w:t xml:space="preserve">the final dataset </w:t>
      </w:r>
      <w:r w:rsidR="00E077AA">
        <w:t xml:space="preserve">– </w:t>
      </w:r>
      <w:r w:rsidRPr="57352DF8">
        <w:t>dataset C(</w:t>
      </w:r>
      <w:r w:rsidR="00D95D90">
        <w:t>b</w:t>
      </w:r>
      <w:r w:rsidRPr="57352DF8">
        <w:t>)</w:t>
      </w:r>
      <w:r w:rsidR="00E077AA">
        <w:t xml:space="preserve"> –</w:t>
      </w:r>
      <w:r w:rsidRPr="57352DF8">
        <w:t xml:space="preserve"> compris</w:t>
      </w:r>
      <w:r w:rsidR="006C047F">
        <w:t>ed</w:t>
      </w:r>
      <w:r w:rsidRPr="57352DF8">
        <w:t xml:space="preserve"> 9 values from 5 taxonomic groups. The SSD for this dataset is shown in </w:t>
      </w:r>
      <w:r w:rsidR="00DC306E">
        <w:fldChar w:fldCharType="begin"/>
      </w:r>
      <w:r w:rsidR="00DC306E">
        <w:instrText xml:space="preserve"> REF _Ref202091357 \h </w:instrText>
      </w:r>
      <w:r w:rsidR="00DC306E">
        <w:fldChar w:fldCharType="separate"/>
      </w:r>
      <w:r w:rsidR="006C5761">
        <w:t>Figure </w:t>
      </w:r>
      <w:r w:rsidR="006C5761">
        <w:rPr>
          <w:noProof/>
        </w:rPr>
        <w:t>C</w:t>
      </w:r>
      <w:r w:rsidR="006C5761" w:rsidRPr="001B2542">
        <w:t>.</w:t>
      </w:r>
      <w:r w:rsidR="006C5761">
        <w:rPr>
          <w:noProof/>
        </w:rPr>
        <w:t>3</w:t>
      </w:r>
      <w:r w:rsidR="00DC306E">
        <w:fldChar w:fldCharType="end"/>
      </w:r>
      <w:r w:rsidR="00D95D90">
        <w:t>b</w:t>
      </w:r>
      <w:r w:rsidRPr="57352DF8">
        <w:t xml:space="preserve">. </w:t>
      </w:r>
      <w:r w:rsidR="006F42BD">
        <w:t>N</w:t>
      </w:r>
      <w:r w:rsidRPr="57352DF8">
        <w:t xml:space="preserve">ote that professional judgement </w:t>
      </w:r>
      <w:r w:rsidRPr="57352DF8">
        <w:lastRenderedPageBreak/>
        <w:t xml:space="preserve">will be required for decisions on aspects such as the maximum proportion for any single taxonomic group and whether the lowest values, or a mix of values from across the range of values, for the taxonomic group are selected. In this example, a maximum taxonomic representation of 20% was selected </w:t>
      </w:r>
      <w:r w:rsidR="00787072">
        <w:t>and</w:t>
      </w:r>
      <w:r w:rsidR="00787072" w:rsidRPr="57352DF8">
        <w:t xml:space="preserve"> </w:t>
      </w:r>
      <w:r w:rsidRPr="57352DF8">
        <w:t>the lowest bivalve values retained.</w:t>
      </w:r>
      <w:r w:rsidR="008F1358" w:rsidRPr="008F1358">
        <w:rPr>
          <w:noProof/>
        </w:rPr>
        <w:t xml:space="preserve"> </w:t>
      </w:r>
    </w:p>
    <w:p w14:paraId="0A5B30D1" w14:textId="542F0A2B" w:rsidR="00F50883" w:rsidRDefault="001B2542" w:rsidP="001B2542">
      <w:pPr>
        <w:pStyle w:val="Caption"/>
      </w:pPr>
      <w:bookmarkStart w:id="192" w:name="_Ref202091357"/>
      <w:bookmarkStart w:id="193" w:name="_Toc206085222"/>
      <w:r>
        <w:t>Figure</w:t>
      </w:r>
      <w:r w:rsidR="000B093C">
        <w:t> </w:t>
      </w:r>
      <w:r>
        <w:fldChar w:fldCharType="begin"/>
      </w:r>
      <w:r>
        <w:instrText xml:space="preserve"> STYLEREF 7 \s </w:instrText>
      </w:r>
      <w:r>
        <w:fldChar w:fldCharType="separate"/>
      </w:r>
      <w:r w:rsidR="006C5761">
        <w:rPr>
          <w:noProof/>
        </w:rPr>
        <w:t>C</w:t>
      </w:r>
      <w:r>
        <w:fldChar w:fldCharType="end"/>
      </w:r>
      <w:r w:rsidRPr="001B2542">
        <w:t>.</w:t>
      </w:r>
      <w:r>
        <w:fldChar w:fldCharType="begin"/>
      </w:r>
      <w:r>
        <w:instrText xml:space="preserve"> SEQ ApxFigure \* ARABIC \s 7 </w:instrText>
      </w:r>
      <w:r>
        <w:fldChar w:fldCharType="separate"/>
      </w:r>
      <w:r w:rsidR="006C5761">
        <w:rPr>
          <w:noProof/>
        </w:rPr>
        <w:t>3</w:t>
      </w:r>
      <w:r>
        <w:fldChar w:fldCharType="end"/>
      </w:r>
      <w:bookmarkEnd w:id="192"/>
      <w:r w:rsidRPr="57352DF8">
        <w:t xml:space="preserve"> </w:t>
      </w:r>
      <w:r w:rsidR="00F50883" w:rsidRPr="57352DF8">
        <w:t>Species sensitivity distribution for dataset C (</w:t>
      </w:r>
      <w:r w:rsidR="008F1358">
        <w:t>a</w:t>
      </w:r>
      <w:r w:rsidR="00F50883" w:rsidRPr="57352DF8">
        <w:t>) original dataset (n = 17) and (</w:t>
      </w:r>
      <w:r w:rsidR="008F1358">
        <w:t>b</w:t>
      </w:r>
      <w:r w:rsidR="00F50883" w:rsidRPr="57352DF8">
        <w:t>) dataset modified to reduce the taxonomic representation of bivalves (n = 9)</w:t>
      </w:r>
      <w:bookmarkEnd w:id="193"/>
    </w:p>
    <w:p w14:paraId="632A66D6" w14:textId="71CBA55B" w:rsidR="008F1358" w:rsidRPr="008F1358" w:rsidRDefault="005637A9" w:rsidP="008F1358">
      <w:r w:rsidRPr="005637A9">
        <w:rPr>
          <w:noProof/>
        </w:rPr>
        <w:drawing>
          <wp:inline distT="0" distB="0" distL="0" distR="0" wp14:anchorId="2467EEA8" wp14:editId="0C539978">
            <wp:extent cx="5759450" cy="2063115"/>
            <wp:effectExtent l="0" t="0" r="6350" b="0"/>
            <wp:docPr id="5039274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27451" name="Picture 1">
                      <a:extLst>
                        <a:ext uri="{C183D7F6-B498-43B3-948B-1728B52AA6E4}">
                          <adec:decorative xmlns:adec="http://schemas.microsoft.com/office/drawing/2017/decorative" val="1"/>
                        </a:ext>
                      </a:extLst>
                    </pic:cNvPr>
                    <pic:cNvPicPr/>
                  </pic:nvPicPr>
                  <pic:blipFill>
                    <a:blip r:embed="rId61"/>
                    <a:stretch>
                      <a:fillRect/>
                    </a:stretch>
                  </pic:blipFill>
                  <pic:spPr>
                    <a:xfrm>
                      <a:off x="0" y="0"/>
                      <a:ext cx="5759450" cy="2063115"/>
                    </a:xfrm>
                    <a:prstGeom prst="rect">
                      <a:avLst/>
                    </a:prstGeom>
                  </pic:spPr>
                </pic:pic>
              </a:graphicData>
            </a:graphic>
          </wp:inline>
        </w:drawing>
      </w:r>
    </w:p>
    <w:p w14:paraId="51739841" w14:textId="51496FFB" w:rsidR="00B679A4" w:rsidRDefault="00F50883" w:rsidP="004D7186">
      <w:r w:rsidRPr="57352DF8">
        <w:t>For dataset C(</w:t>
      </w:r>
      <w:r w:rsidR="00D95D90">
        <w:t>b</w:t>
      </w:r>
      <w:r w:rsidRPr="57352DF8">
        <w:t xml:space="preserve">), the </w:t>
      </w:r>
      <w:r w:rsidR="00965F62">
        <w:t>l-norm–l-norm</w:t>
      </w:r>
      <w:r w:rsidRPr="57352DF8">
        <w:t xml:space="preserve"> weight for the SSD was zero, probably as a result of both the smaller sample size and the removal of the tight (steep) cluster of bivalve data from the SSD. The resulting PC95 value was 328, compared to a markedly higher 724 for the original dataset. The fit of the SSD for dataset C(</w:t>
      </w:r>
      <w:r w:rsidR="00D95D90">
        <w:t>b</w:t>
      </w:r>
      <w:r w:rsidRPr="57352DF8">
        <w:t>) (</w:t>
      </w:r>
      <w:r w:rsidR="00DC306E">
        <w:fldChar w:fldCharType="begin"/>
      </w:r>
      <w:r w:rsidR="00DC306E">
        <w:instrText xml:space="preserve"> REF _Ref202091357 \h </w:instrText>
      </w:r>
      <w:r w:rsidR="00DC306E">
        <w:fldChar w:fldCharType="separate"/>
      </w:r>
      <w:r w:rsidR="006C5761">
        <w:t>Figure </w:t>
      </w:r>
      <w:r w:rsidR="006C5761">
        <w:rPr>
          <w:noProof/>
        </w:rPr>
        <w:t>C</w:t>
      </w:r>
      <w:r w:rsidR="006C5761" w:rsidRPr="001B2542">
        <w:t>.</w:t>
      </w:r>
      <w:r w:rsidR="006C5761">
        <w:rPr>
          <w:noProof/>
        </w:rPr>
        <w:t>3</w:t>
      </w:r>
      <w:r w:rsidR="00DC306E">
        <w:fldChar w:fldCharType="end"/>
      </w:r>
      <w:r w:rsidR="00D95D90">
        <w:t>b</w:t>
      </w:r>
      <w:r w:rsidRPr="57352DF8">
        <w:t xml:space="preserve">) would probably be classified as poor, resulting in </w:t>
      </w:r>
      <w:r w:rsidR="00D07410">
        <w:t xml:space="preserve">GVs of </w:t>
      </w:r>
      <w:r w:rsidRPr="57352DF8">
        <w:t xml:space="preserve">moderate reliability as per Section </w:t>
      </w:r>
      <w:r w:rsidR="004328DD">
        <w:fldChar w:fldCharType="begin"/>
      </w:r>
      <w:r w:rsidR="004328DD">
        <w:instrText xml:space="preserve"> REF _Ref522008106 \r \h </w:instrText>
      </w:r>
      <w:r w:rsidR="004328DD">
        <w:fldChar w:fldCharType="separate"/>
      </w:r>
      <w:r w:rsidR="006C5761">
        <w:t>3.8</w:t>
      </w:r>
      <w:r w:rsidR="004328DD">
        <w:fldChar w:fldCharType="end"/>
      </w:r>
      <w:r w:rsidRPr="57352DF8">
        <w:t xml:space="preserve"> (i.e. between 8</w:t>
      </w:r>
      <w:r w:rsidR="00D07410">
        <w:t xml:space="preserve"> and </w:t>
      </w:r>
      <w:r w:rsidRPr="57352DF8">
        <w:t xml:space="preserve">14 chronic data with a poor fit of the SSD). Although the dataset was reduced by 8 values, from 17 to 9, the use of GVs based on the full dataset that was over-represented by bivalve data and for which the </w:t>
      </w:r>
      <w:r w:rsidR="00965F62">
        <w:t>l-norm–l-norm</w:t>
      </w:r>
      <w:r w:rsidRPr="57352DF8">
        <w:t xml:space="preserve"> was highly weighted, was not defensible. Notably, the SSD for dataset C(</w:t>
      </w:r>
      <w:r w:rsidR="00AA6628">
        <w:t>a</w:t>
      </w:r>
      <w:r w:rsidRPr="57352DF8">
        <w:t>) (</w:t>
      </w:r>
      <w:r w:rsidR="00DC306E">
        <w:fldChar w:fldCharType="begin"/>
      </w:r>
      <w:r w:rsidR="00DC306E">
        <w:instrText xml:space="preserve"> REF _Ref202091357 \h </w:instrText>
      </w:r>
      <w:r w:rsidR="00DC306E">
        <w:fldChar w:fldCharType="separate"/>
      </w:r>
      <w:r w:rsidR="006C5761">
        <w:t>Figure </w:t>
      </w:r>
      <w:r w:rsidR="006C5761">
        <w:rPr>
          <w:noProof/>
        </w:rPr>
        <w:t>C</w:t>
      </w:r>
      <w:r w:rsidR="006C5761" w:rsidRPr="001B2542">
        <w:t>.</w:t>
      </w:r>
      <w:r w:rsidR="006C5761">
        <w:rPr>
          <w:noProof/>
        </w:rPr>
        <w:t>3</w:t>
      </w:r>
      <w:r w:rsidR="00DC306E">
        <w:fldChar w:fldCharType="end"/>
      </w:r>
      <w:r w:rsidR="00AA6628">
        <w:t>a</w:t>
      </w:r>
      <w:r w:rsidRPr="57352DF8">
        <w:t>), while closely fitting the data, could not realistically be classified as being good</w:t>
      </w:r>
      <w:r w:rsidR="00D07410">
        <w:t>,</w:t>
      </w:r>
      <w:r w:rsidRPr="57352DF8">
        <w:t xml:space="preserve"> because the </w:t>
      </w:r>
      <w:r w:rsidR="00965F62">
        <w:t>l-norm–l-norm</w:t>
      </w:r>
      <w:r w:rsidRPr="57352DF8">
        <w:t xml:space="preserve"> was modelling the data artefact associated with the over-represented bivalve data.</w:t>
      </w:r>
    </w:p>
    <w:p w14:paraId="3B6FAAFB" w14:textId="4707179F" w:rsidR="00F50883" w:rsidRPr="008F1358" w:rsidRDefault="00F50883" w:rsidP="004D7186">
      <w:pPr>
        <w:rPr>
          <w:b/>
          <w:bCs/>
        </w:rPr>
      </w:pPr>
      <w:r w:rsidRPr="008F1358">
        <w:rPr>
          <w:b/>
          <w:bCs/>
        </w:rPr>
        <w:t xml:space="preserve">Dataset D – non-bimodal dataset, high weight for </w:t>
      </w:r>
      <w:r w:rsidR="00965F62" w:rsidRPr="008F1358">
        <w:rPr>
          <w:b/>
          <w:bCs/>
        </w:rPr>
        <w:t>l-norm–l-norm</w:t>
      </w:r>
    </w:p>
    <w:p w14:paraId="45FF3008" w14:textId="65F3994B" w:rsidR="00F50883" w:rsidRPr="00F50883" w:rsidRDefault="00F50883" w:rsidP="004D7186">
      <w:r w:rsidRPr="57352DF8">
        <w:t>Dataset D contained 51 chronic values from 10 taxonomic groups (</w:t>
      </w:r>
      <w:r w:rsidR="00DC306E">
        <w:fldChar w:fldCharType="begin"/>
      </w:r>
      <w:r w:rsidR="00DC306E">
        <w:instrText xml:space="preserve"> REF _Ref202091406 \h </w:instrText>
      </w:r>
      <w:r w:rsidR="00DC306E">
        <w:fldChar w:fldCharType="separate"/>
      </w:r>
      <w:r w:rsidR="006C5761">
        <w:t>Figure </w:t>
      </w:r>
      <w:r w:rsidR="006C5761">
        <w:rPr>
          <w:noProof/>
        </w:rPr>
        <w:t>C</w:t>
      </w:r>
      <w:r w:rsidR="006C5761" w:rsidRPr="001B2542">
        <w:t>.</w:t>
      </w:r>
      <w:r w:rsidR="006C5761">
        <w:rPr>
          <w:noProof/>
        </w:rPr>
        <w:t>4</w:t>
      </w:r>
      <w:r w:rsidR="00DC306E">
        <w:fldChar w:fldCharType="end"/>
      </w:r>
      <w:r w:rsidR="00AA6628">
        <w:t>a</w:t>
      </w:r>
      <w:r w:rsidRPr="57352DF8">
        <w:t xml:space="preserve">). The </w:t>
      </w:r>
      <w:r w:rsidR="00965F62">
        <w:t>l-norm–l-norm</w:t>
      </w:r>
      <w:r w:rsidRPr="57352DF8">
        <w:t xml:space="preserve"> was assigned a relatively high weight (0.753), and its influence on the SSD is evident in the small deviation at around the 30</w:t>
      </w:r>
      <w:r w:rsidRPr="00353D94">
        <w:t>th</w:t>
      </w:r>
      <w:r w:rsidRPr="57352DF8">
        <w:t xml:space="preserve"> percentile, where the SSD joins the lower and upper subsets of data. The PC95 was 0.73, compared to 0.63 if the </w:t>
      </w:r>
      <w:r w:rsidR="00965F62">
        <w:t>l-norm–l-norm</w:t>
      </w:r>
      <w:r w:rsidRPr="57352DF8">
        <w:t xml:space="preserve"> was removed from the default model set (</w:t>
      </w:r>
      <w:r w:rsidR="00DC306E">
        <w:fldChar w:fldCharType="begin"/>
      </w:r>
      <w:r w:rsidR="00DC306E">
        <w:instrText xml:space="preserve"> REF _Ref202091406 \h </w:instrText>
      </w:r>
      <w:r w:rsidR="00DC306E">
        <w:fldChar w:fldCharType="separate"/>
      </w:r>
      <w:r w:rsidR="006C5761">
        <w:t>Figure </w:t>
      </w:r>
      <w:r w:rsidR="006C5761">
        <w:rPr>
          <w:noProof/>
        </w:rPr>
        <w:t>C</w:t>
      </w:r>
      <w:r w:rsidR="006C5761" w:rsidRPr="001B2542">
        <w:t>.</w:t>
      </w:r>
      <w:r w:rsidR="006C5761">
        <w:rPr>
          <w:noProof/>
        </w:rPr>
        <w:t>4</w:t>
      </w:r>
      <w:r w:rsidR="00DC306E">
        <w:fldChar w:fldCharType="end"/>
      </w:r>
      <w:r w:rsidR="00AA6628">
        <w:t>b</w:t>
      </w:r>
      <w:r w:rsidRPr="57352DF8">
        <w:t>). The toxicant</w:t>
      </w:r>
      <w:r w:rsidR="00353D94">
        <w:t>’</w:t>
      </w:r>
      <w:r w:rsidRPr="57352DF8">
        <w:t>s mode of action is</w:t>
      </w:r>
      <w:r w:rsidR="00353D94">
        <w:t xml:space="preserve"> not</w:t>
      </w:r>
      <w:r w:rsidRPr="57352DF8">
        <w:t xml:space="preserve"> specific to any subset of taxonomic groups</w:t>
      </w:r>
      <w:r w:rsidR="00353D94">
        <w:t>,</w:t>
      </w:r>
      <w:r w:rsidRPr="57352DF8">
        <w:t xml:space="preserve"> and the dataset was determined to not be bimodal.</w:t>
      </w:r>
    </w:p>
    <w:p w14:paraId="241FA634" w14:textId="7F81F8D8" w:rsidR="00F50883" w:rsidRDefault="001B2542" w:rsidP="001B2542">
      <w:pPr>
        <w:pStyle w:val="Caption"/>
      </w:pPr>
      <w:bookmarkStart w:id="194" w:name="_Ref202091406"/>
      <w:bookmarkStart w:id="195" w:name="_Toc206085223"/>
      <w:r>
        <w:lastRenderedPageBreak/>
        <w:t>Figure</w:t>
      </w:r>
      <w:r w:rsidR="000B093C">
        <w:t> </w:t>
      </w:r>
      <w:r>
        <w:fldChar w:fldCharType="begin"/>
      </w:r>
      <w:r>
        <w:instrText xml:space="preserve"> STYLEREF 7 \s </w:instrText>
      </w:r>
      <w:r>
        <w:fldChar w:fldCharType="separate"/>
      </w:r>
      <w:r w:rsidR="006C5761">
        <w:rPr>
          <w:noProof/>
        </w:rPr>
        <w:t>C</w:t>
      </w:r>
      <w:r>
        <w:rPr>
          <w:noProof/>
        </w:rPr>
        <w:fldChar w:fldCharType="end"/>
      </w:r>
      <w:r w:rsidRPr="001B2542">
        <w:t>.</w:t>
      </w:r>
      <w:r>
        <w:fldChar w:fldCharType="begin"/>
      </w:r>
      <w:r>
        <w:instrText xml:space="preserve"> SEQ ApxFigure \* ARABIC \s 7 </w:instrText>
      </w:r>
      <w:r>
        <w:fldChar w:fldCharType="separate"/>
      </w:r>
      <w:r w:rsidR="006C5761">
        <w:rPr>
          <w:noProof/>
        </w:rPr>
        <w:t>4</w:t>
      </w:r>
      <w:r>
        <w:rPr>
          <w:noProof/>
        </w:rPr>
        <w:fldChar w:fldCharType="end"/>
      </w:r>
      <w:bookmarkEnd w:id="194"/>
      <w:r w:rsidRPr="57352DF8">
        <w:t xml:space="preserve"> </w:t>
      </w:r>
      <w:r w:rsidR="00F50883" w:rsidRPr="57352DF8">
        <w:t>Species sensitivity distribution for dataset D (n = 51) (</w:t>
      </w:r>
      <w:r w:rsidR="008F1358">
        <w:t>a</w:t>
      </w:r>
      <w:r w:rsidR="00F50883" w:rsidRPr="57352DF8">
        <w:t>) using the full default model set and (</w:t>
      </w:r>
      <w:r w:rsidR="008F1358">
        <w:t>b</w:t>
      </w:r>
      <w:r w:rsidR="00F50883" w:rsidRPr="57352DF8">
        <w:t xml:space="preserve">) without </w:t>
      </w:r>
      <w:r w:rsidR="00965F62">
        <w:t>l-norm–l-norm</w:t>
      </w:r>
      <w:r w:rsidR="00F50883" w:rsidRPr="57352DF8">
        <w:t xml:space="preserve"> in the model set</w:t>
      </w:r>
      <w:bookmarkEnd w:id="195"/>
    </w:p>
    <w:p w14:paraId="2082AB2B" w14:textId="201E0C64" w:rsidR="003F253A" w:rsidRPr="003F253A" w:rsidRDefault="003F253A" w:rsidP="003F253A">
      <w:r w:rsidRPr="003F253A">
        <w:rPr>
          <w:noProof/>
        </w:rPr>
        <w:drawing>
          <wp:inline distT="0" distB="0" distL="0" distR="0" wp14:anchorId="3BCE25BB" wp14:editId="075D2A97">
            <wp:extent cx="5759450" cy="2084705"/>
            <wp:effectExtent l="0" t="0" r="6350" b="0"/>
            <wp:docPr id="11639335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33578" name="Picture 1">
                      <a:extLst>
                        <a:ext uri="{C183D7F6-B498-43B3-948B-1728B52AA6E4}">
                          <adec:decorative xmlns:adec="http://schemas.microsoft.com/office/drawing/2017/decorative" val="1"/>
                        </a:ext>
                      </a:extLst>
                    </pic:cNvPr>
                    <pic:cNvPicPr/>
                  </pic:nvPicPr>
                  <pic:blipFill>
                    <a:blip r:embed="rId62"/>
                    <a:stretch>
                      <a:fillRect/>
                    </a:stretch>
                  </pic:blipFill>
                  <pic:spPr>
                    <a:xfrm>
                      <a:off x="0" y="0"/>
                      <a:ext cx="5759450" cy="2084705"/>
                    </a:xfrm>
                    <a:prstGeom prst="rect">
                      <a:avLst/>
                    </a:prstGeom>
                  </pic:spPr>
                </pic:pic>
              </a:graphicData>
            </a:graphic>
          </wp:inline>
        </w:drawing>
      </w:r>
    </w:p>
    <w:p w14:paraId="5AA4E51B" w14:textId="74D92FB0" w:rsidR="00B679A4" w:rsidRDefault="00F50883" w:rsidP="004D7186">
      <w:r w:rsidRPr="57352DF8">
        <w:t>This dataset appears to be potentially bimodal</w:t>
      </w:r>
      <w:r w:rsidR="006D3C5C">
        <w:t>,</w:t>
      </w:r>
      <w:r w:rsidRPr="57352DF8">
        <w:t xml:space="preserve"> due to a gap in the data between</w:t>
      </w:r>
      <w:r w:rsidR="00C64837">
        <w:t xml:space="preserve"> 2</w:t>
      </w:r>
      <w:r w:rsidRPr="57352DF8">
        <w:t xml:space="preserve"> green algae at around 1.8–2.6. However, this gap is small and is almost certainly due to a lack of values in the literature within this range, not to any </w:t>
      </w:r>
      <w:r w:rsidR="006D3C5C">
        <w:t xml:space="preserve">reasons related to </w:t>
      </w:r>
      <w:r w:rsidRPr="57352DF8">
        <w:t xml:space="preserve">mode of action. Additional analysis of the dataset revealed that it was not bimodal, and that the </w:t>
      </w:r>
      <w:r w:rsidR="00965F62">
        <w:t>l-norm–l-norm</w:t>
      </w:r>
      <w:r w:rsidRPr="57352DF8">
        <w:t xml:space="preserve"> was assigned a high weight because of the large difference in variance between the upper and lower subsets of data (the lower subset having lower variance than the upper subset).</w:t>
      </w:r>
    </w:p>
    <w:p w14:paraId="1E3CF7D7" w14:textId="4B0761E8" w:rsidR="00F50883" w:rsidRPr="00F50883" w:rsidRDefault="00F50883" w:rsidP="004D7186">
      <w:r w:rsidRPr="57352DF8">
        <w:t xml:space="preserve">Ultimately, there was no justifiable reason to remove the </w:t>
      </w:r>
      <w:r w:rsidR="00965F62">
        <w:t>l-norm–l-norm</w:t>
      </w:r>
      <w:r w:rsidRPr="57352DF8">
        <w:t xml:space="preserve"> distribution from the model set, and the dataset and SSD as shown were retained for deriving the GVs.</w:t>
      </w:r>
    </w:p>
    <w:p w14:paraId="23FCBC63" w14:textId="7543DB91" w:rsidR="00F50883" w:rsidRPr="0008654B" w:rsidRDefault="00F50883" w:rsidP="004D7186">
      <w:pPr>
        <w:rPr>
          <w:b/>
          <w:bCs/>
        </w:rPr>
      </w:pPr>
      <w:r w:rsidRPr="0008654B">
        <w:rPr>
          <w:b/>
          <w:bCs/>
        </w:rPr>
        <w:t xml:space="preserve">Dataset E – non-bimodal dataset, high weight for </w:t>
      </w:r>
      <w:r w:rsidR="00965F62" w:rsidRPr="0008654B">
        <w:rPr>
          <w:b/>
          <w:bCs/>
        </w:rPr>
        <w:t>l-norm–l-norm</w:t>
      </w:r>
    </w:p>
    <w:p w14:paraId="31D3EE2B" w14:textId="28509100" w:rsidR="00F50883" w:rsidRPr="00F50883" w:rsidRDefault="00F50883" w:rsidP="004D7186">
      <w:r w:rsidRPr="57352DF8">
        <w:t>Dataset E(</w:t>
      </w:r>
      <w:r w:rsidR="00AA6628">
        <w:t>a</w:t>
      </w:r>
      <w:r w:rsidRPr="57352DF8">
        <w:t>) contained 24 values from 7 taxonomic groups (</w:t>
      </w:r>
      <w:r w:rsidR="00DC306E">
        <w:fldChar w:fldCharType="begin"/>
      </w:r>
      <w:r w:rsidR="00DC306E">
        <w:instrText xml:space="preserve"> REF _Ref202091422 \h </w:instrText>
      </w:r>
      <w:r w:rsidR="00DC306E">
        <w:fldChar w:fldCharType="separate"/>
      </w:r>
      <w:r w:rsidR="006C5761">
        <w:t>Figure </w:t>
      </w:r>
      <w:r w:rsidR="006C5761">
        <w:rPr>
          <w:noProof/>
        </w:rPr>
        <w:t>C</w:t>
      </w:r>
      <w:r w:rsidR="006C5761">
        <w:t>.</w:t>
      </w:r>
      <w:r w:rsidR="006C5761">
        <w:rPr>
          <w:noProof/>
        </w:rPr>
        <w:t>5</w:t>
      </w:r>
      <w:r w:rsidR="00DC306E">
        <w:fldChar w:fldCharType="end"/>
      </w:r>
      <w:r w:rsidR="00AA6628">
        <w:t>a</w:t>
      </w:r>
      <w:r w:rsidRPr="57352DF8">
        <w:t>). The values are a mix of chronic and converted</w:t>
      </w:r>
      <w:r w:rsidR="000A6520">
        <w:t>-</w:t>
      </w:r>
      <w:r w:rsidRPr="57352DF8">
        <w:t xml:space="preserve">acute values. The </w:t>
      </w:r>
      <w:r w:rsidR="00965F62">
        <w:t>l-norm–l-norm</w:t>
      </w:r>
      <w:r w:rsidRPr="57352DF8">
        <w:t xml:space="preserve"> was assigned a relatively high weight (0.998), and its major influence on the SSD is evident in the almost vertical section of the SSD between around the </w:t>
      </w:r>
      <w:r w:rsidRPr="00D83D14">
        <w:t>10th and 30th percentiles</w:t>
      </w:r>
      <w:r w:rsidRPr="57352DF8">
        <w:t xml:space="preserve">, representing a very tight cluster of values at a concentration of </w:t>
      </w:r>
      <w:r w:rsidR="008F0A61" w:rsidRPr="57352DF8">
        <w:rPr>
          <w:rFonts w:ascii="Symbol" w:eastAsia="Symbol" w:hAnsi="Symbol" w:cs="Symbol"/>
        </w:rPr>
        <w:t>~</w:t>
      </w:r>
      <w:r w:rsidRPr="57352DF8">
        <w:t xml:space="preserve">0.04. The PC95 was 0.011, compared to 0.008 if the </w:t>
      </w:r>
      <w:r w:rsidR="00965F62">
        <w:t>l-norm–l-norm</w:t>
      </w:r>
      <w:r w:rsidRPr="57352DF8">
        <w:t xml:space="preserve"> was removed from the default model set </w:t>
      </w:r>
      <w:r w:rsidR="00D83D14">
        <w:t xml:space="preserve">– </w:t>
      </w:r>
      <w:r w:rsidRPr="57352DF8">
        <w:t>dataset E(</w:t>
      </w:r>
      <w:r w:rsidR="00AA6628">
        <w:t>b</w:t>
      </w:r>
      <w:r w:rsidRPr="57352DF8">
        <w:t xml:space="preserve">) </w:t>
      </w:r>
      <w:r w:rsidR="00D83D14">
        <w:t>(</w:t>
      </w:r>
      <w:r w:rsidRPr="57352DF8">
        <w:t xml:space="preserve">see </w:t>
      </w:r>
      <w:r w:rsidR="00DC306E">
        <w:fldChar w:fldCharType="begin"/>
      </w:r>
      <w:r w:rsidR="00DC306E">
        <w:instrText xml:space="preserve"> REF _Ref202091422 \h </w:instrText>
      </w:r>
      <w:r w:rsidR="00DC306E">
        <w:fldChar w:fldCharType="separate"/>
      </w:r>
      <w:r w:rsidR="006C5761">
        <w:t>Figure </w:t>
      </w:r>
      <w:r w:rsidR="006C5761">
        <w:rPr>
          <w:noProof/>
        </w:rPr>
        <w:t>C</w:t>
      </w:r>
      <w:r w:rsidR="006C5761">
        <w:t>.</w:t>
      </w:r>
      <w:r w:rsidR="006C5761">
        <w:rPr>
          <w:noProof/>
        </w:rPr>
        <w:t>5</w:t>
      </w:r>
      <w:r w:rsidR="00DC306E">
        <w:fldChar w:fldCharType="end"/>
      </w:r>
      <w:r w:rsidR="00AA6628">
        <w:t>b</w:t>
      </w:r>
      <w:r w:rsidRPr="57352DF8">
        <w:t>). The toxicant</w:t>
      </w:r>
      <w:r w:rsidR="00D83D14">
        <w:t>’s</w:t>
      </w:r>
      <w:r w:rsidRPr="57352DF8">
        <w:t xml:space="preserve"> mode of action is</w:t>
      </w:r>
      <w:r w:rsidR="00D83D14">
        <w:t xml:space="preserve"> not</w:t>
      </w:r>
      <w:r w:rsidRPr="57352DF8">
        <w:t xml:space="preserve"> specific to any subset of taxonomic groups</w:t>
      </w:r>
      <w:r w:rsidR="00D83D14">
        <w:t>,</w:t>
      </w:r>
      <w:r w:rsidRPr="57352DF8">
        <w:t xml:space="preserve"> and the dataset was determined to not be bimodal.</w:t>
      </w:r>
    </w:p>
    <w:p w14:paraId="62E3774C" w14:textId="2C1A2F77" w:rsidR="00F50883" w:rsidRDefault="001B2542" w:rsidP="001B2542">
      <w:pPr>
        <w:pStyle w:val="Caption"/>
      </w:pPr>
      <w:bookmarkStart w:id="196" w:name="_Ref202091422"/>
      <w:bookmarkStart w:id="197" w:name="_Toc206085224"/>
      <w:r>
        <w:t>Figure</w:t>
      </w:r>
      <w:r w:rsidR="000B093C">
        <w:t> </w:t>
      </w:r>
      <w:r>
        <w:fldChar w:fldCharType="begin"/>
      </w:r>
      <w:r>
        <w:instrText xml:space="preserve"> STYLEREF 7 \s </w:instrText>
      </w:r>
      <w:r>
        <w:fldChar w:fldCharType="separate"/>
      </w:r>
      <w:r w:rsidR="006C5761">
        <w:rPr>
          <w:noProof/>
        </w:rPr>
        <w:t>C</w:t>
      </w:r>
      <w:r>
        <w:rPr>
          <w:noProof/>
        </w:rPr>
        <w:fldChar w:fldCharType="end"/>
      </w:r>
      <w:r>
        <w:t>.</w:t>
      </w:r>
      <w:r>
        <w:fldChar w:fldCharType="begin"/>
      </w:r>
      <w:r>
        <w:instrText xml:space="preserve"> SEQ ApxFigure \* ARABIC \s 7 </w:instrText>
      </w:r>
      <w:r>
        <w:fldChar w:fldCharType="separate"/>
      </w:r>
      <w:r w:rsidR="006C5761">
        <w:rPr>
          <w:noProof/>
        </w:rPr>
        <w:t>5</w:t>
      </w:r>
      <w:r>
        <w:rPr>
          <w:noProof/>
        </w:rPr>
        <w:fldChar w:fldCharType="end"/>
      </w:r>
      <w:bookmarkEnd w:id="196"/>
      <w:r w:rsidRPr="57352DF8">
        <w:t xml:space="preserve"> </w:t>
      </w:r>
      <w:r w:rsidR="00F50883" w:rsidRPr="001B2542">
        <w:t>Species</w:t>
      </w:r>
      <w:r w:rsidR="00F50883" w:rsidRPr="57352DF8">
        <w:t xml:space="preserve"> sensitivity distribution for dataset E (n = 24) (</w:t>
      </w:r>
      <w:r w:rsidR="008F1358">
        <w:t>a</w:t>
      </w:r>
      <w:r w:rsidR="00F50883" w:rsidRPr="57352DF8">
        <w:t>) using the full default model set and (</w:t>
      </w:r>
      <w:r w:rsidR="008F1358">
        <w:t>b</w:t>
      </w:r>
      <w:r w:rsidR="00F50883" w:rsidRPr="57352DF8">
        <w:t xml:space="preserve">) without </w:t>
      </w:r>
      <w:r w:rsidR="00965F62">
        <w:t>l-norm–l-norm</w:t>
      </w:r>
      <w:r w:rsidR="00F50883" w:rsidRPr="57352DF8">
        <w:t xml:space="preserve"> in the model set</w:t>
      </w:r>
      <w:bookmarkEnd w:id="197"/>
    </w:p>
    <w:p w14:paraId="4A29294D" w14:textId="74CAF01C" w:rsidR="00C051EE" w:rsidRPr="00C051EE" w:rsidRDefault="00C051EE" w:rsidP="00C051EE">
      <w:r w:rsidRPr="00C051EE">
        <w:rPr>
          <w:noProof/>
        </w:rPr>
        <w:drawing>
          <wp:inline distT="0" distB="0" distL="0" distR="0" wp14:anchorId="286A5EA1" wp14:editId="26EA641B">
            <wp:extent cx="5759450" cy="2134235"/>
            <wp:effectExtent l="0" t="0" r="6350" b="0"/>
            <wp:docPr id="3710513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51334"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5759450" cy="2134235"/>
                    </a:xfrm>
                    <a:prstGeom prst="rect">
                      <a:avLst/>
                    </a:prstGeom>
                  </pic:spPr>
                </pic:pic>
              </a:graphicData>
            </a:graphic>
          </wp:inline>
        </w:drawing>
      </w:r>
    </w:p>
    <w:p w14:paraId="02F62171" w14:textId="5D24E2F8" w:rsidR="00B679A4" w:rsidRDefault="00F50883" w:rsidP="004D7186">
      <w:r w:rsidRPr="57352DF8">
        <w:lastRenderedPageBreak/>
        <w:t>The almost</w:t>
      </w:r>
      <w:r w:rsidR="00C051EE">
        <w:t>-</w:t>
      </w:r>
      <w:r w:rsidRPr="57352DF8">
        <w:t xml:space="preserve">vertical cluster of 5 values between around </w:t>
      </w:r>
      <w:r w:rsidRPr="00BA5B80">
        <w:t>the 10th and 30th percentiles</w:t>
      </w:r>
      <w:r w:rsidRPr="57352DF8">
        <w:t xml:space="preserve"> corresponds to 4 converted</w:t>
      </w:r>
      <w:r w:rsidR="6AC6D7C6" w:rsidRPr="57352DF8">
        <w:t>-</w:t>
      </w:r>
      <w:r w:rsidRPr="57352DF8">
        <w:t>acute EC50s</w:t>
      </w:r>
      <w:r w:rsidR="00BA5B80">
        <w:t xml:space="preserve"> for insects</w:t>
      </w:r>
      <w:r w:rsidRPr="57352DF8">
        <w:t xml:space="preserve"> from the same study and an additional converted</w:t>
      </w:r>
      <w:r w:rsidR="025C0E75" w:rsidRPr="57352DF8">
        <w:t>-</w:t>
      </w:r>
      <w:r w:rsidRPr="57352DF8">
        <w:t xml:space="preserve">acute EC50 </w:t>
      </w:r>
      <w:r w:rsidR="00506F01">
        <w:t xml:space="preserve">for an insect </w:t>
      </w:r>
      <w:r w:rsidRPr="57352DF8">
        <w:t xml:space="preserve">from another source (ranging from 0.042 to 0.044). A similar issue can sometimes arise for NOEC data from a single study, where the same NOEC is reported for multiple species (because the same concentration ranges were used for all species). The stacking of the converted EC50 values is an artefact of the dataset and is not related in any way to bimodality or taxa-specific sensitivity; yet the </w:t>
      </w:r>
      <w:r w:rsidR="00965F62">
        <w:t>l-norm–l-norm</w:t>
      </w:r>
      <w:r w:rsidRPr="57352DF8">
        <w:t xml:space="preserve"> closely models this subset of the data, resulting in a very atypical SSD.</w:t>
      </w:r>
    </w:p>
    <w:p w14:paraId="376D9D5B" w14:textId="6B243263" w:rsidR="00B679A4" w:rsidRDefault="00F50883" w:rsidP="004D7186">
      <w:r w:rsidRPr="57352DF8">
        <w:t>Consequently, the dataset was assessed for any ability to improve it. Although acute EC50s are not considered to be preferred data, it was not viable to remove all the acute values from the dataset because 19 of the 24 values were acute EC50s, and this would have resulted in insufficient remaining values to derive GVs using the SSD method. Removing only the subset of 5 values was also not defensible, as all values scored in excess of 70% in the quality assessment and appeared reliable. Moreover,</w:t>
      </w:r>
      <w:r w:rsidR="00C64837">
        <w:t xml:space="preserve"> 4</w:t>
      </w:r>
      <w:r w:rsidRPr="57352DF8">
        <w:t xml:space="preserve"> other species tested in the study all had relatively different EC50s, indicating that there was not an inherent, systematic flaw in the study itself. It was concluded that the available dataset could not be further improved.</w:t>
      </w:r>
    </w:p>
    <w:p w14:paraId="2E5FBC6A" w14:textId="255E5753" w:rsidR="00BE602D" w:rsidRPr="00BE602D" w:rsidRDefault="00F50883" w:rsidP="004D7186">
      <w:r w:rsidRPr="57352DF8">
        <w:t xml:space="preserve">Consequently, the next step was to consider whether removal of the </w:t>
      </w:r>
      <w:r w:rsidR="00965F62">
        <w:t>l-norm–l-norm</w:t>
      </w:r>
      <w:r w:rsidRPr="57352DF8">
        <w:t xml:space="preserve"> from the default model set was justified. </w:t>
      </w:r>
      <w:r w:rsidR="00DC306E">
        <w:fldChar w:fldCharType="begin"/>
      </w:r>
      <w:r w:rsidR="00DC306E">
        <w:instrText xml:space="preserve"> REF _Ref202091422 \h </w:instrText>
      </w:r>
      <w:r w:rsidR="00DC306E">
        <w:fldChar w:fldCharType="separate"/>
      </w:r>
      <w:r w:rsidR="006C5761">
        <w:t>Figure </w:t>
      </w:r>
      <w:r w:rsidR="006C5761">
        <w:rPr>
          <w:noProof/>
        </w:rPr>
        <w:t>C</w:t>
      </w:r>
      <w:r w:rsidR="006C5761">
        <w:t>.</w:t>
      </w:r>
      <w:r w:rsidR="006C5761">
        <w:rPr>
          <w:noProof/>
        </w:rPr>
        <w:t>5</w:t>
      </w:r>
      <w:r w:rsidR="00DC306E">
        <w:fldChar w:fldCharType="end"/>
      </w:r>
      <w:r w:rsidR="00500520">
        <w:t>b</w:t>
      </w:r>
      <w:r w:rsidRPr="57352DF8">
        <w:t xml:space="preserve"> shows the SSD based on the model set without the </w:t>
      </w:r>
      <w:r w:rsidR="00965F62">
        <w:t>l-norm–l-norm</w:t>
      </w:r>
      <w:r w:rsidRPr="57352DF8">
        <w:t>. Overall, the SSD fits the dataset relatively well, although there is a generally poor fit at the lower end of the SSD. The resulting GVs would be classified as either moderate reliability (if the SSD was deemed to be a good fit) or low reliability (if the SSD was deemed to be a poor fit). As with dataset C</w:t>
      </w:r>
      <w:r w:rsidR="003F3CC8" w:rsidRPr="57352DF8">
        <w:t xml:space="preserve"> (</w:t>
      </w:r>
      <w:r w:rsidR="00DC306E">
        <w:fldChar w:fldCharType="begin"/>
      </w:r>
      <w:r w:rsidR="00DC306E">
        <w:instrText xml:space="preserve"> REF _Ref202091422 \h </w:instrText>
      </w:r>
      <w:r w:rsidR="00DC306E">
        <w:fldChar w:fldCharType="separate"/>
      </w:r>
      <w:r w:rsidR="006C5761">
        <w:t>Figure </w:t>
      </w:r>
      <w:r w:rsidR="006C5761">
        <w:rPr>
          <w:noProof/>
        </w:rPr>
        <w:t>C</w:t>
      </w:r>
      <w:r w:rsidR="006C5761">
        <w:t>.</w:t>
      </w:r>
      <w:r w:rsidR="006C5761">
        <w:rPr>
          <w:noProof/>
        </w:rPr>
        <w:t>5</w:t>
      </w:r>
      <w:r w:rsidR="00DC306E">
        <w:fldChar w:fldCharType="end"/>
      </w:r>
      <w:r w:rsidR="00500520">
        <w:t>a</w:t>
      </w:r>
      <w:r w:rsidRPr="57352DF8">
        <w:t>, the SSD for dataset E(</w:t>
      </w:r>
      <w:r w:rsidR="00500520">
        <w:t>a</w:t>
      </w:r>
      <w:r w:rsidRPr="57352DF8">
        <w:t>) (</w:t>
      </w:r>
      <w:r w:rsidR="00F320A3">
        <w:fldChar w:fldCharType="begin"/>
      </w:r>
      <w:r w:rsidR="00F320A3">
        <w:instrText xml:space="preserve"> REF _Ref202091422 \h </w:instrText>
      </w:r>
      <w:r w:rsidR="00F320A3">
        <w:fldChar w:fldCharType="separate"/>
      </w:r>
      <w:r w:rsidR="006C5761">
        <w:t>Figure </w:t>
      </w:r>
      <w:r w:rsidR="006C5761">
        <w:rPr>
          <w:noProof/>
        </w:rPr>
        <w:t>C</w:t>
      </w:r>
      <w:r w:rsidR="006C5761">
        <w:t>.</w:t>
      </w:r>
      <w:r w:rsidR="006C5761">
        <w:rPr>
          <w:noProof/>
        </w:rPr>
        <w:t>5</w:t>
      </w:r>
      <w:r w:rsidR="00F320A3">
        <w:fldChar w:fldCharType="end"/>
      </w:r>
      <w:r w:rsidR="00500520">
        <w:t>a</w:t>
      </w:r>
      <w:r w:rsidRPr="57352DF8">
        <w:t>), while closely fitting the data, could not realistically be classified as being good</w:t>
      </w:r>
      <w:r w:rsidR="005D0C6C">
        <w:t>,</w:t>
      </w:r>
      <w:r w:rsidRPr="57352DF8">
        <w:t xml:space="preserve"> because the </w:t>
      </w:r>
      <w:r w:rsidR="00965F62">
        <w:t>l-norm–l-norm</w:t>
      </w:r>
      <w:r w:rsidRPr="57352DF8">
        <w:t xml:space="preserve"> was modelling the data artefact associated with the stacked subset of data.</w:t>
      </w:r>
    </w:p>
    <w:p w14:paraId="2ECA7729" w14:textId="369C9593" w:rsidR="00D636A6" w:rsidRDefault="00D636A6" w:rsidP="004D7186">
      <w:pPr>
        <w:pStyle w:val="Heading2"/>
        <w:numPr>
          <w:ilvl w:val="0"/>
          <w:numId w:val="0"/>
        </w:numPr>
      </w:pPr>
      <w:bookmarkStart w:id="198" w:name="_Ref166050244"/>
      <w:bookmarkStart w:id="199" w:name="_Ref166050416"/>
      <w:bookmarkStart w:id="200" w:name="_Toc202084784"/>
      <w:bookmarkStart w:id="201" w:name="_Toc206143344"/>
      <w:r>
        <w:lastRenderedPageBreak/>
        <w:t>Glossary</w:t>
      </w:r>
      <w:bookmarkEnd w:id="198"/>
      <w:bookmarkEnd w:id="199"/>
      <w:bookmarkEnd w:id="200"/>
      <w:bookmarkEnd w:id="201"/>
    </w:p>
    <w:tbl>
      <w:tblPr>
        <w:tblW w:w="5000" w:type="pct"/>
        <w:tblBorders>
          <w:top w:val="single" w:sz="4" w:space="0" w:color="auto"/>
          <w:bottom w:val="single" w:sz="4" w:space="0" w:color="auto"/>
        </w:tblBorders>
        <w:tblLook w:val="04A0" w:firstRow="1" w:lastRow="0" w:firstColumn="1" w:lastColumn="0" w:noHBand="0" w:noVBand="1"/>
      </w:tblPr>
      <w:tblGrid>
        <w:gridCol w:w="2601"/>
        <w:gridCol w:w="6469"/>
      </w:tblGrid>
      <w:tr w:rsidR="00867388" w14:paraId="1042D19E" w14:textId="77777777" w:rsidTr="00B40635">
        <w:trPr>
          <w:cantSplit/>
          <w:tblHeader/>
        </w:trPr>
        <w:tc>
          <w:tcPr>
            <w:tcW w:w="1434" w:type="pct"/>
            <w:tcBorders>
              <w:top w:val="single" w:sz="12" w:space="0" w:color="auto"/>
              <w:bottom w:val="single" w:sz="12" w:space="0" w:color="auto"/>
            </w:tcBorders>
          </w:tcPr>
          <w:p w14:paraId="284A27D4" w14:textId="77777777" w:rsidR="00867388" w:rsidRDefault="00867388" w:rsidP="00CA4325">
            <w:pPr>
              <w:pStyle w:val="TableHeading"/>
            </w:pPr>
            <w:r>
              <w:t>Term</w:t>
            </w:r>
          </w:p>
        </w:tc>
        <w:tc>
          <w:tcPr>
            <w:tcW w:w="3566" w:type="pct"/>
            <w:tcBorders>
              <w:top w:val="single" w:sz="12" w:space="0" w:color="auto"/>
              <w:bottom w:val="single" w:sz="12" w:space="0" w:color="auto"/>
            </w:tcBorders>
          </w:tcPr>
          <w:p w14:paraId="3FE6B1E1" w14:textId="77777777" w:rsidR="00867388" w:rsidRDefault="00867388" w:rsidP="00CA4325">
            <w:pPr>
              <w:pStyle w:val="TableHeading"/>
            </w:pPr>
            <w:r>
              <w:t>Definition</w:t>
            </w:r>
          </w:p>
        </w:tc>
      </w:tr>
      <w:tr w:rsidR="009473F5" w14:paraId="7D1129F9" w14:textId="77777777" w:rsidTr="00B40635">
        <w:trPr>
          <w:cantSplit/>
        </w:trPr>
        <w:tc>
          <w:tcPr>
            <w:tcW w:w="1434" w:type="pct"/>
            <w:tcBorders>
              <w:top w:val="single" w:sz="4" w:space="0" w:color="auto"/>
              <w:bottom w:val="single" w:sz="4" w:space="0" w:color="auto"/>
            </w:tcBorders>
          </w:tcPr>
          <w:p w14:paraId="504806B0" w14:textId="77777777" w:rsidR="009473F5" w:rsidRPr="00D1598C" w:rsidRDefault="009473F5" w:rsidP="009473F5">
            <w:pPr>
              <w:pStyle w:val="TableText"/>
            </w:pPr>
            <w:r w:rsidRPr="00D1598C">
              <w:t>Acute toxicity</w:t>
            </w:r>
          </w:p>
        </w:tc>
        <w:tc>
          <w:tcPr>
            <w:tcW w:w="3566" w:type="pct"/>
            <w:tcBorders>
              <w:top w:val="single" w:sz="4" w:space="0" w:color="auto"/>
              <w:bottom w:val="single" w:sz="4" w:space="0" w:color="auto"/>
            </w:tcBorders>
          </w:tcPr>
          <w:p w14:paraId="76357D34" w14:textId="4097DAE9" w:rsidR="009473F5" w:rsidRDefault="009473F5" w:rsidP="009473F5">
            <w:pPr>
              <w:pStyle w:val="TableText"/>
            </w:pPr>
            <w:r w:rsidRPr="00BE3065">
              <w:rPr>
                <w:lang w:eastAsia="ja-JP"/>
              </w:rPr>
              <w:t xml:space="preserve">A lethal or adverse sub-lethal effect that occurs </w:t>
            </w:r>
            <w:r>
              <w:rPr>
                <w:lang w:eastAsia="ja-JP"/>
              </w:rPr>
              <w:t xml:space="preserve">as a result of a </w:t>
            </w:r>
            <w:r w:rsidRPr="00BE3065">
              <w:rPr>
                <w:lang w:eastAsia="ja-JP"/>
              </w:rPr>
              <w:t>short</w:t>
            </w:r>
            <w:r>
              <w:rPr>
                <w:lang w:eastAsia="ja-JP"/>
              </w:rPr>
              <w:t xml:space="preserve"> (relative to the organism’s life span) exposure to a chemical</w:t>
            </w:r>
            <w:r w:rsidRPr="00BE3065">
              <w:rPr>
                <w:lang w:eastAsia="ja-JP"/>
              </w:rPr>
              <w:t xml:space="preserve">. Refer to Warne et al. </w:t>
            </w:r>
            <w:r>
              <w:rPr>
                <w:lang w:eastAsia="ja-JP"/>
              </w:rPr>
              <w:t>(2018)</w:t>
            </w:r>
            <w:r w:rsidRPr="00BE3065">
              <w:rPr>
                <w:lang w:eastAsia="ja-JP"/>
              </w:rPr>
              <w:t xml:space="preserve"> for examples of acute exposures</w:t>
            </w:r>
          </w:p>
        </w:tc>
      </w:tr>
      <w:tr w:rsidR="009473F5" w14:paraId="430F884F" w14:textId="77777777" w:rsidTr="009473F5">
        <w:trPr>
          <w:cantSplit/>
        </w:trPr>
        <w:tc>
          <w:tcPr>
            <w:tcW w:w="1434" w:type="pct"/>
            <w:tcBorders>
              <w:top w:val="single" w:sz="4" w:space="0" w:color="auto"/>
              <w:bottom w:val="single" w:sz="4" w:space="0" w:color="auto"/>
            </w:tcBorders>
          </w:tcPr>
          <w:p w14:paraId="7AC6889A" w14:textId="49D25436" w:rsidR="00B40635" w:rsidRPr="00D1598C" w:rsidRDefault="00B40635" w:rsidP="00B40635">
            <w:pPr>
              <w:pStyle w:val="TableText"/>
            </w:pPr>
            <w:r>
              <w:t>Acute-to-chronic ratio (ACR)</w:t>
            </w:r>
          </w:p>
        </w:tc>
        <w:tc>
          <w:tcPr>
            <w:tcW w:w="3566" w:type="pct"/>
            <w:tcBorders>
              <w:top w:val="single" w:sz="4" w:space="0" w:color="auto"/>
              <w:bottom w:val="single" w:sz="4" w:space="0" w:color="auto"/>
            </w:tcBorders>
          </w:tcPr>
          <w:p w14:paraId="2D738058" w14:textId="35421129" w:rsidR="00B40635" w:rsidRPr="57352DF8" w:rsidRDefault="00B40635" w:rsidP="00B40635">
            <w:pPr>
              <w:pStyle w:val="TableText"/>
            </w:pPr>
            <w:r>
              <w:rPr>
                <w:lang w:eastAsia="ja-JP"/>
              </w:rPr>
              <w:t>T</w:t>
            </w:r>
            <w:r w:rsidRPr="00BE3065">
              <w:rPr>
                <w:lang w:eastAsia="ja-JP"/>
              </w:rPr>
              <w:t>he species</w:t>
            </w:r>
            <w:r>
              <w:rPr>
                <w:lang w:eastAsia="ja-JP"/>
              </w:rPr>
              <w:t>’</w:t>
            </w:r>
            <w:r w:rsidRPr="00BE3065">
              <w:rPr>
                <w:lang w:eastAsia="ja-JP"/>
              </w:rPr>
              <w:t xml:space="preserve"> mean acute value (LC/EC50) divided by the chronic value (e.g. NOEC or EC10) for the same species</w:t>
            </w:r>
          </w:p>
        </w:tc>
      </w:tr>
      <w:tr w:rsidR="00B40635" w14:paraId="0AC29492" w14:textId="77777777" w:rsidTr="00B40635">
        <w:trPr>
          <w:cantSplit/>
        </w:trPr>
        <w:tc>
          <w:tcPr>
            <w:tcW w:w="1434" w:type="pct"/>
            <w:tcBorders>
              <w:top w:val="single" w:sz="4" w:space="0" w:color="auto"/>
              <w:bottom w:val="single" w:sz="4" w:space="0" w:color="auto"/>
            </w:tcBorders>
          </w:tcPr>
          <w:p w14:paraId="16843FDA" w14:textId="77777777" w:rsidR="00B40635" w:rsidRPr="00D1598C" w:rsidRDefault="00B40635" w:rsidP="00B40635">
            <w:pPr>
              <w:pStyle w:val="TableText"/>
            </w:pPr>
            <w:r w:rsidRPr="00D1598C">
              <w:t>Active ingredient (AI)</w:t>
            </w:r>
          </w:p>
        </w:tc>
        <w:tc>
          <w:tcPr>
            <w:tcW w:w="3566" w:type="pct"/>
            <w:tcBorders>
              <w:top w:val="single" w:sz="4" w:space="0" w:color="auto"/>
              <w:bottom w:val="single" w:sz="4" w:space="0" w:color="auto"/>
            </w:tcBorders>
          </w:tcPr>
          <w:p w14:paraId="6A92548D" w14:textId="502C9A9A" w:rsidR="00B40635" w:rsidRDefault="00B40635" w:rsidP="00B40635">
            <w:pPr>
              <w:pStyle w:val="TableText"/>
            </w:pPr>
            <w:r w:rsidRPr="00EB5FA8">
              <w:t>The chemical(s) that is biologically active and helps a pesticide achieve its objective</w:t>
            </w:r>
          </w:p>
        </w:tc>
      </w:tr>
      <w:tr w:rsidR="00B40635" w14:paraId="2BFC211C" w14:textId="77777777" w:rsidTr="00B40635">
        <w:trPr>
          <w:cantSplit/>
        </w:trPr>
        <w:tc>
          <w:tcPr>
            <w:tcW w:w="1434" w:type="pct"/>
            <w:tcBorders>
              <w:top w:val="single" w:sz="4" w:space="0" w:color="auto"/>
              <w:bottom w:val="single" w:sz="4" w:space="0" w:color="auto"/>
            </w:tcBorders>
          </w:tcPr>
          <w:p w14:paraId="65CA555E" w14:textId="77777777" w:rsidR="00B40635" w:rsidRPr="00D1598C" w:rsidRDefault="00B40635" w:rsidP="00B40635">
            <w:pPr>
              <w:pStyle w:val="TableText"/>
            </w:pPr>
            <w:r w:rsidRPr="00D1598C">
              <w:t>Alga</w:t>
            </w:r>
          </w:p>
        </w:tc>
        <w:tc>
          <w:tcPr>
            <w:tcW w:w="3566" w:type="pct"/>
            <w:tcBorders>
              <w:top w:val="single" w:sz="4" w:space="0" w:color="auto"/>
              <w:bottom w:val="single" w:sz="4" w:space="0" w:color="auto"/>
            </w:tcBorders>
          </w:tcPr>
          <w:p w14:paraId="1E39D70F" w14:textId="0E082A57" w:rsidR="00B40635" w:rsidRDefault="00B40635" w:rsidP="00B40635">
            <w:pPr>
              <w:pStyle w:val="TableText"/>
            </w:pPr>
            <w:r w:rsidRPr="00EB5FA8">
              <w:t>Chlorophyll</w:t>
            </w:r>
            <w:r>
              <w:t>-</w:t>
            </w:r>
            <w:r w:rsidRPr="00EB5FA8">
              <w:t xml:space="preserve">bearing plants, most of which are aquatic. These can be microscopic in size and </w:t>
            </w:r>
            <w:r w:rsidR="00206E3F">
              <w:t xml:space="preserve">can be </w:t>
            </w:r>
            <w:r w:rsidRPr="00EB5FA8">
              <w:t>single</w:t>
            </w:r>
            <w:r w:rsidR="0092615C">
              <w:t>-</w:t>
            </w:r>
            <w:r w:rsidRPr="00EB5FA8">
              <w:t>celled (such as microalgae) or multi</w:t>
            </w:r>
            <w:r w:rsidR="00206E3F">
              <w:t>-</w:t>
            </w:r>
            <w:r w:rsidRPr="00EB5FA8">
              <w:t xml:space="preserve">cellular such as </w:t>
            </w:r>
            <w:r w:rsidR="00206E3F">
              <w:t>macroalgae/</w:t>
            </w:r>
            <w:r w:rsidRPr="00EB5FA8">
              <w:t>seaweeds)</w:t>
            </w:r>
          </w:p>
        </w:tc>
      </w:tr>
      <w:tr w:rsidR="00B40635" w14:paraId="7FA1DD23" w14:textId="77777777" w:rsidTr="00B40635">
        <w:trPr>
          <w:cantSplit/>
        </w:trPr>
        <w:tc>
          <w:tcPr>
            <w:tcW w:w="1434" w:type="pct"/>
            <w:tcBorders>
              <w:top w:val="single" w:sz="4" w:space="0" w:color="auto"/>
              <w:bottom w:val="single" w:sz="4" w:space="0" w:color="auto"/>
            </w:tcBorders>
          </w:tcPr>
          <w:p w14:paraId="028EEDAB" w14:textId="77777777" w:rsidR="00B40635" w:rsidRPr="00D1598C" w:rsidRDefault="00B40635" w:rsidP="00B40635">
            <w:pPr>
              <w:pStyle w:val="TableText"/>
            </w:pPr>
            <w:r w:rsidRPr="00D1598C">
              <w:t>Amphipod</w:t>
            </w:r>
          </w:p>
        </w:tc>
        <w:tc>
          <w:tcPr>
            <w:tcW w:w="3566" w:type="pct"/>
            <w:tcBorders>
              <w:top w:val="single" w:sz="4" w:space="0" w:color="auto"/>
              <w:bottom w:val="single" w:sz="4" w:space="0" w:color="auto"/>
            </w:tcBorders>
          </w:tcPr>
          <w:p w14:paraId="404058F7" w14:textId="4A42AD10" w:rsidR="00B40635" w:rsidRPr="00EB5FA8" w:rsidRDefault="00B40635" w:rsidP="00B40635">
            <w:pPr>
              <w:pStyle w:val="TableText"/>
            </w:pPr>
            <w:r w:rsidRPr="00EB5FA8">
              <w:rPr>
                <w:iCs/>
              </w:rPr>
              <w:t>Small crustaceans (typically &lt;</w:t>
            </w:r>
            <w:r>
              <w:rPr>
                <w:iCs/>
              </w:rPr>
              <w:t> </w:t>
            </w:r>
            <w:r w:rsidRPr="00EB5FA8">
              <w:rPr>
                <w:iCs/>
              </w:rPr>
              <w:t>10 mm) found in most aquatic environments</w:t>
            </w:r>
          </w:p>
        </w:tc>
      </w:tr>
      <w:tr w:rsidR="00B40635" w14:paraId="5F618E52" w14:textId="77777777" w:rsidTr="00B40635">
        <w:trPr>
          <w:cantSplit/>
        </w:trPr>
        <w:tc>
          <w:tcPr>
            <w:tcW w:w="1434" w:type="pct"/>
            <w:tcBorders>
              <w:top w:val="single" w:sz="4" w:space="0" w:color="auto"/>
              <w:bottom w:val="single" w:sz="4" w:space="0" w:color="auto"/>
            </w:tcBorders>
          </w:tcPr>
          <w:p w14:paraId="0A2A4311" w14:textId="77777777" w:rsidR="00B40635" w:rsidRPr="00D1598C" w:rsidRDefault="00B40635" w:rsidP="00B40635">
            <w:pPr>
              <w:pStyle w:val="TableText"/>
            </w:pPr>
            <w:r w:rsidRPr="00D1598C">
              <w:t>Aquatic ecosystem</w:t>
            </w:r>
          </w:p>
        </w:tc>
        <w:tc>
          <w:tcPr>
            <w:tcW w:w="3566" w:type="pct"/>
            <w:tcBorders>
              <w:top w:val="single" w:sz="4" w:space="0" w:color="auto"/>
              <w:bottom w:val="single" w:sz="4" w:space="0" w:color="auto"/>
            </w:tcBorders>
          </w:tcPr>
          <w:p w14:paraId="125B9B4D" w14:textId="258DA042" w:rsidR="00B40635" w:rsidRPr="00EB5FA8" w:rsidRDefault="00B40635" w:rsidP="00B40635">
            <w:pPr>
              <w:pStyle w:val="TableText"/>
            </w:pPr>
            <w:r w:rsidRPr="00EB5FA8">
              <w:t>Any water environment in which plants and animals interact with the chemical and physical features of the environment</w:t>
            </w:r>
          </w:p>
        </w:tc>
      </w:tr>
      <w:tr w:rsidR="00B40635" w14:paraId="3F33D5E3" w14:textId="77777777" w:rsidTr="00B40635">
        <w:trPr>
          <w:cantSplit/>
        </w:trPr>
        <w:tc>
          <w:tcPr>
            <w:tcW w:w="1434" w:type="pct"/>
            <w:tcBorders>
              <w:top w:val="single" w:sz="4" w:space="0" w:color="auto"/>
              <w:bottom w:val="single" w:sz="4" w:space="0" w:color="auto"/>
            </w:tcBorders>
          </w:tcPr>
          <w:p w14:paraId="72179563" w14:textId="1B96B1C5" w:rsidR="00B40635" w:rsidRPr="00D1598C" w:rsidRDefault="00B40635" w:rsidP="00B40635">
            <w:pPr>
              <w:pStyle w:val="TableText"/>
            </w:pPr>
            <w:r>
              <w:t>Assessment factor (AF)</w:t>
            </w:r>
          </w:p>
        </w:tc>
        <w:tc>
          <w:tcPr>
            <w:tcW w:w="3566" w:type="pct"/>
            <w:tcBorders>
              <w:top w:val="single" w:sz="4" w:space="0" w:color="auto"/>
              <w:bottom w:val="single" w:sz="4" w:space="0" w:color="auto"/>
            </w:tcBorders>
          </w:tcPr>
          <w:p w14:paraId="0DCAFC0A" w14:textId="2368275B" w:rsidR="00B40635" w:rsidRPr="00EB5FA8" w:rsidRDefault="004E6B3B" w:rsidP="00B40635">
            <w:pPr>
              <w:pStyle w:val="TableText"/>
            </w:pPr>
            <w:r>
              <w:t>A</w:t>
            </w:r>
            <w:r w:rsidRPr="004E6B3B">
              <w:t xml:space="preserve"> unitless number applied to the lowest toxicity </w:t>
            </w:r>
            <w:r>
              <w:t>value</w:t>
            </w:r>
            <w:r w:rsidRPr="004E6B3B">
              <w:t xml:space="preserve"> for a chemical to derive a concentration that should not cause adverse environmental effects. The size of the AF varies with the type of data. Also called ‘application factor’ or ‘safety factor’</w:t>
            </w:r>
            <w:r w:rsidR="00B40635">
              <w:t xml:space="preserve"> (used when there are insufficient data to use the </w:t>
            </w:r>
            <w:r w:rsidR="0097710B">
              <w:t>species sensitivity distribution</w:t>
            </w:r>
            <w:r w:rsidR="00B40635">
              <w:t xml:space="preserve"> method)</w:t>
            </w:r>
          </w:p>
        </w:tc>
      </w:tr>
      <w:tr w:rsidR="00B40635" w14:paraId="2A1878EB" w14:textId="77777777" w:rsidTr="00B40635">
        <w:trPr>
          <w:cantSplit/>
        </w:trPr>
        <w:tc>
          <w:tcPr>
            <w:tcW w:w="1434" w:type="pct"/>
            <w:tcBorders>
              <w:top w:val="single" w:sz="4" w:space="0" w:color="auto"/>
              <w:bottom w:val="single" w:sz="4" w:space="0" w:color="auto"/>
            </w:tcBorders>
          </w:tcPr>
          <w:p w14:paraId="4052F2CA" w14:textId="77777777" w:rsidR="00B40635" w:rsidRPr="00D1598C" w:rsidRDefault="00B40635" w:rsidP="00B40635">
            <w:pPr>
              <w:pStyle w:val="TableText"/>
            </w:pPr>
            <w:r w:rsidRPr="00D1598C">
              <w:t>BEC10</w:t>
            </w:r>
          </w:p>
        </w:tc>
        <w:tc>
          <w:tcPr>
            <w:tcW w:w="3566" w:type="pct"/>
            <w:tcBorders>
              <w:top w:val="single" w:sz="4" w:space="0" w:color="auto"/>
              <w:bottom w:val="single" w:sz="4" w:space="0" w:color="auto"/>
            </w:tcBorders>
          </w:tcPr>
          <w:p w14:paraId="4938FB96" w14:textId="79C057E0" w:rsidR="00B40635" w:rsidRPr="00EB5FA8" w:rsidRDefault="00B40635" w:rsidP="00B40635">
            <w:pPr>
              <w:pStyle w:val="TableText"/>
            </w:pPr>
            <w:r w:rsidRPr="00EB5FA8">
              <w:t>Bounded</w:t>
            </w:r>
            <w:r w:rsidR="001F2C6A">
              <w:t>-</w:t>
            </w:r>
            <w:r w:rsidRPr="00EB5FA8">
              <w:t>effect concentration in a toxicity test that is the highest tested concentration that has an upper 95% confidence interval that causes less than a 10% effect</w:t>
            </w:r>
          </w:p>
        </w:tc>
      </w:tr>
      <w:tr w:rsidR="00B40635" w14:paraId="3FE1A813" w14:textId="77777777" w:rsidTr="00B40635">
        <w:trPr>
          <w:cantSplit/>
        </w:trPr>
        <w:tc>
          <w:tcPr>
            <w:tcW w:w="1434" w:type="pct"/>
            <w:tcBorders>
              <w:top w:val="single" w:sz="4" w:space="0" w:color="auto"/>
              <w:bottom w:val="single" w:sz="4" w:space="0" w:color="auto"/>
            </w:tcBorders>
          </w:tcPr>
          <w:p w14:paraId="07E39788" w14:textId="77777777" w:rsidR="00B40635" w:rsidRPr="00D1598C" w:rsidRDefault="00B40635" w:rsidP="00B40635">
            <w:pPr>
              <w:pStyle w:val="TableText"/>
            </w:pPr>
            <w:r w:rsidRPr="00D1598C">
              <w:t>Benthic</w:t>
            </w:r>
          </w:p>
        </w:tc>
        <w:tc>
          <w:tcPr>
            <w:tcW w:w="3566" w:type="pct"/>
            <w:tcBorders>
              <w:top w:val="single" w:sz="4" w:space="0" w:color="auto"/>
              <w:bottom w:val="single" w:sz="4" w:space="0" w:color="auto"/>
            </w:tcBorders>
          </w:tcPr>
          <w:p w14:paraId="4138ECCF" w14:textId="286C6B11" w:rsidR="00B40635" w:rsidRPr="00EB5FA8" w:rsidRDefault="00B40635" w:rsidP="00B40635">
            <w:pPr>
              <w:pStyle w:val="TableText"/>
            </w:pPr>
            <w:r>
              <w:t>O</w:t>
            </w:r>
            <w:r w:rsidRPr="00EB5FA8">
              <w:t>rganisms living in or on the sediments of aquatic habitats</w:t>
            </w:r>
          </w:p>
        </w:tc>
      </w:tr>
      <w:tr w:rsidR="004B5056" w14:paraId="55D19613" w14:textId="77777777" w:rsidTr="00B40635">
        <w:trPr>
          <w:cantSplit/>
        </w:trPr>
        <w:tc>
          <w:tcPr>
            <w:tcW w:w="1434" w:type="pct"/>
            <w:tcBorders>
              <w:top w:val="single" w:sz="4" w:space="0" w:color="auto"/>
              <w:bottom w:val="single" w:sz="4" w:space="0" w:color="auto"/>
            </w:tcBorders>
          </w:tcPr>
          <w:p w14:paraId="4EF9C9CD" w14:textId="77777777" w:rsidR="004B5056" w:rsidRPr="00D1598C" w:rsidRDefault="004B5056" w:rsidP="004B5056">
            <w:pPr>
              <w:pStyle w:val="TableText"/>
            </w:pPr>
            <w:r w:rsidRPr="00D1598C">
              <w:t>Bioaccumulation</w:t>
            </w:r>
          </w:p>
        </w:tc>
        <w:tc>
          <w:tcPr>
            <w:tcW w:w="3566" w:type="pct"/>
            <w:tcBorders>
              <w:top w:val="single" w:sz="4" w:space="0" w:color="auto"/>
              <w:bottom w:val="single" w:sz="4" w:space="0" w:color="auto"/>
            </w:tcBorders>
          </w:tcPr>
          <w:p w14:paraId="5FBFA2B3" w14:textId="62F82DC6" w:rsidR="004B5056" w:rsidRPr="00EB5FA8" w:rsidRDefault="004B5056" w:rsidP="004B5056">
            <w:pPr>
              <w:pStyle w:val="TableText"/>
            </w:pPr>
            <w:r w:rsidRPr="00620280">
              <w:t>The process by which chemical substances are accumulated by aquatic organisms by all routes of exposures (dietary and the ambient environment)</w:t>
            </w:r>
          </w:p>
        </w:tc>
      </w:tr>
      <w:tr w:rsidR="00B40635" w14:paraId="631FE719" w14:textId="77777777" w:rsidTr="00B40635">
        <w:trPr>
          <w:cantSplit/>
        </w:trPr>
        <w:tc>
          <w:tcPr>
            <w:tcW w:w="1434" w:type="pct"/>
            <w:tcBorders>
              <w:top w:val="single" w:sz="4" w:space="0" w:color="auto"/>
              <w:bottom w:val="single" w:sz="4" w:space="0" w:color="auto"/>
            </w:tcBorders>
          </w:tcPr>
          <w:p w14:paraId="64774A11" w14:textId="11B32FE2" w:rsidR="00B40635" w:rsidRPr="00D1598C" w:rsidRDefault="00B40635" w:rsidP="00B40635">
            <w:pPr>
              <w:pStyle w:val="TableText"/>
            </w:pPr>
            <w:r>
              <w:t>Bioaccumulation factor (BAF)</w:t>
            </w:r>
          </w:p>
        </w:tc>
        <w:tc>
          <w:tcPr>
            <w:tcW w:w="3566" w:type="pct"/>
            <w:tcBorders>
              <w:top w:val="single" w:sz="4" w:space="0" w:color="auto"/>
              <w:bottom w:val="single" w:sz="4" w:space="0" w:color="auto"/>
            </w:tcBorders>
          </w:tcPr>
          <w:p w14:paraId="4F614EFC" w14:textId="6600F971" w:rsidR="00B40635" w:rsidRDefault="00B40635" w:rsidP="00B40635">
            <w:pPr>
              <w:pStyle w:val="TableText"/>
            </w:pPr>
            <w:r w:rsidRPr="57352DF8">
              <w:t>The ratio of the concentration of a chemical in tissue of an organism to the concentration in either the surrounding media (water for aquatic organisms, soil for terrestrial organisms) or in the food they consume, once equilibrium is reached</w:t>
            </w:r>
          </w:p>
        </w:tc>
      </w:tr>
      <w:tr w:rsidR="00B40635" w14:paraId="4CD62395" w14:textId="77777777" w:rsidTr="00B40635">
        <w:trPr>
          <w:cantSplit/>
        </w:trPr>
        <w:tc>
          <w:tcPr>
            <w:tcW w:w="1434" w:type="pct"/>
            <w:tcBorders>
              <w:top w:val="single" w:sz="4" w:space="0" w:color="auto"/>
              <w:bottom w:val="single" w:sz="4" w:space="0" w:color="auto"/>
            </w:tcBorders>
          </w:tcPr>
          <w:p w14:paraId="0F2CDF03" w14:textId="77777777" w:rsidR="00B40635" w:rsidRPr="00D1598C" w:rsidRDefault="00B40635" w:rsidP="00B40635">
            <w:pPr>
              <w:pStyle w:val="TableText"/>
            </w:pPr>
            <w:r w:rsidRPr="00D1598C">
              <w:t>Bioavailable</w:t>
            </w:r>
          </w:p>
        </w:tc>
        <w:tc>
          <w:tcPr>
            <w:tcW w:w="3566" w:type="pct"/>
            <w:tcBorders>
              <w:top w:val="single" w:sz="4" w:space="0" w:color="auto"/>
              <w:bottom w:val="single" w:sz="4" w:space="0" w:color="auto"/>
            </w:tcBorders>
          </w:tcPr>
          <w:p w14:paraId="47741F00" w14:textId="07C713A4" w:rsidR="00B40635" w:rsidRPr="00EB5FA8" w:rsidRDefault="00B40635" w:rsidP="00B40635">
            <w:pPr>
              <w:pStyle w:val="TableText"/>
            </w:pPr>
            <w:r w:rsidRPr="00EB5FA8">
              <w:t>Able to be taken up by organisms</w:t>
            </w:r>
          </w:p>
        </w:tc>
      </w:tr>
      <w:tr w:rsidR="00B40635" w14:paraId="1EECF60D" w14:textId="77777777" w:rsidTr="00B40635">
        <w:trPr>
          <w:cantSplit/>
        </w:trPr>
        <w:tc>
          <w:tcPr>
            <w:tcW w:w="1434" w:type="pct"/>
            <w:tcBorders>
              <w:top w:val="single" w:sz="4" w:space="0" w:color="auto"/>
              <w:bottom w:val="single" w:sz="4" w:space="0" w:color="auto"/>
            </w:tcBorders>
          </w:tcPr>
          <w:p w14:paraId="4E1FEA23" w14:textId="4E6E4F33" w:rsidR="00B40635" w:rsidRPr="00027ACD" w:rsidRDefault="00B40635" w:rsidP="00B40635">
            <w:pPr>
              <w:pStyle w:val="TableText"/>
            </w:pPr>
            <w:r>
              <w:t>B</w:t>
            </w:r>
            <w:r w:rsidRPr="00027ACD">
              <w:t>ioconcentration</w:t>
            </w:r>
          </w:p>
        </w:tc>
        <w:tc>
          <w:tcPr>
            <w:tcW w:w="3566" w:type="pct"/>
            <w:tcBorders>
              <w:top w:val="single" w:sz="4" w:space="0" w:color="auto"/>
              <w:bottom w:val="single" w:sz="4" w:space="0" w:color="auto"/>
            </w:tcBorders>
          </w:tcPr>
          <w:p w14:paraId="396626D8" w14:textId="70BA05A1" w:rsidR="00B40635" w:rsidRPr="00027ACD" w:rsidRDefault="00B40635" w:rsidP="00B40635">
            <w:pPr>
              <w:pStyle w:val="TableText"/>
            </w:pPr>
            <w:r w:rsidRPr="57352DF8">
              <w:t>Processes by which chemicals accumulate in the tissues of living organisms from the surrounding media (</w:t>
            </w:r>
            <w:r>
              <w:t>e.g.</w:t>
            </w:r>
            <w:r w:rsidRPr="57352DF8">
              <w:t xml:space="preserve"> soil, sediment or water)</w:t>
            </w:r>
          </w:p>
        </w:tc>
      </w:tr>
      <w:tr w:rsidR="00EF0B5F" w14:paraId="39291725" w14:textId="77777777" w:rsidTr="00B40635">
        <w:trPr>
          <w:cantSplit/>
        </w:trPr>
        <w:tc>
          <w:tcPr>
            <w:tcW w:w="1434" w:type="pct"/>
            <w:tcBorders>
              <w:top w:val="single" w:sz="4" w:space="0" w:color="auto"/>
              <w:bottom w:val="single" w:sz="4" w:space="0" w:color="auto"/>
            </w:tcBorders>
          </w:tcPr>
          <w:p w14:paraId="03A81270" w14:textId="2B76EFE5" w:rsidR="00EF0B5F" w:rsidRPr="00027ACD" w:rsidRDefault="00EF0B5F" w:rsidP="00EF0B5F">
            <w:pPr>
              <w:pStyle w:val="TableText"/>
            </w:pPr>
            <w:r>
              <w:t>B</w:t>
            </w:r>
            <w:r w:rsidRPr="00027ACD">
              <w:t>ioconcentration factor</w:t>
            </w:r>
            <w:r>
              <w:t xml:space="preserve"> (BCF)</w:t>
            </w:r>
          </w:p>
        </w:tc>
        <w:tc>
          <w:tcPr>
            <w:tcW w:w="3566" w:type="pct"/>
            <w:tcBorders>
              <w:top w:val="single" w:sz="4" w:space="0" w:color="auto"/>
              <w:bottom w:val="single" w:sz="4" w:space="0" w:color="auto"/>
            </w:tcBorders>
          </w:tcPr>
          <w:p w14:paraId="61D811A0" w14:textId="381FF058" w:rsidR="00EF0B5F" w:rsidRPr="00027ACD" w:rsidRDefault="00EF0B5F" w:rsidP="00EF0B5F">
            <w:pPr>
              <w:pStyle w:val="TableText"/>
            </w:pPr>
            <w:r>
              <w:rPr>
                <w:lang w:eastAsia="ja-JP"/>
              </w:rPr>
              <w:t>The ratio of the concentration of a contaminant in an organism to its concentration in the ambient water (or sediment) at a steady state. It can be expressed on the basis of wet weight, dry weight or lipid weight</w:t>
            </w:r>
          </w:p>
        </w:tc>
      </w:tr>
      <w:tr w:rsidR="00B40635" w14:paraId="2C8CF485" w14:textId="77777777" w:rsidTr="00B40635">
        <w:trPr>
          <w:cantSplit/>
        </w:trPr>
        <w:tc>
          <w:tcPr>
            <w:tcW w:w="1434" w:type="pct"/>
            <w:tcBorders>
              <w:top w:val="single" w:sz="4" w:space="0" w:color="auto"/>
              <w:bottom w:val="single" w:sz="4" w:space="0" w:color="auto"/>
            </w:tcBorders>
          </w:tcPr>
          <w:p w14:paraId="7869AF1E" w14:textId="77777777" w:rsidR="00B40635" w:rsidRPr="00D1598C" w:rsidRDefault="00B40635" w:rsidP="00B40635">
            <w:pPr>
              <w:pStyle w:val="TableText"/>
            </w:pPr>
            <w:r w:rsidRPr="00D1598C">
              <w:t>Biomagnification</w:t>
            </w:r>
          </w:p>
        </w:tc>
        <w:tc>
          <w:tcPr>
            <w:tcW w:w="3566" w:type="pct"/>
            <w:tcBorders>
              <w:top w:val="single" w:sz="4" w:space="0" w:color="auto"/>
              <w:bottom w:val="single" w:sz="4" w:space="0" w:color="auto"/>
            </w:tcBorders>
          </w:tcPr>
          <w:p w14:paraId="09701973" w14:textId="3C542115" w:rsidR="00B40635" w:rsidRPr="00EB5FA8" w:rsidRDefault="00B40635" w:rsidP="00B40635">
            <w:pPr>
              <w:pStyle w:val="TableText"/>
            </w:pPr>
            <w:r w:rsidRPr="00EB5FA8">
              <w:t>The processes by which tissue concentrations of chemicals increase as the chemical passes up through</w:t>
            </w:r>
            <w:r>
              <w:t xml:space="preserve"> 2</w:t>
            </w:r>
            <w:r w:rsidRPr="00EB5FA8">
              <w:t xml:space="preserve"> or more trophic levels in a food chain. The term implies an efficient transfer of chemicals from food to consumer</w:t>
            </w:r>
            <w:r w:rsidR="00775EA2">
              <w:t>,</w:t>
            </w:r>
            <w:r w:rsidRPr="00EB5FA8">
              <w:t xml:space="preserve"> so that the residue concentrations increase systematically from one trophic level to the next</w:t>
            </w:r>
          </w:p>
        </w:tc>
      </w:tr>
      <w:tr w:rsidR="00B40635" w14:paraId="393A4E4A" w14:textId="77777777" w:rsidTr="00B40635">
        <w:trPr>
          <w:cantSplit/>
        </w:trPr>
        <w:tc>
          <w:tcPr>
            <w:tcW w:w="1434" w:type="pct"/>
            <w:tcBorders>
              <w:top w:val="single" w:sz="4" w:space="0" w:color="auto"/>
              <w:bottom w:val="single" w:sz="4" w:space="0" w:color="auto"/>
            </w:tcBorders>
          </w:tcPr>
          <w:p w14:paraId="368D5E72" w14:textId="77777777" w:rsidR="00B40635" w:rsidRPr="00D1598C" w:rsidRDefault="00B40635" w:rsidP="00B40635">
            <w:pPr>
              <w:pStyle w:val="TableText"/>
            </w:pPr>
            <w:r>
              <w:t>Bimodality coefficient</w:t>
            </w:r>
          </w:p>
        </w:tc>
        <w:tc>
          <w:tcPr>
            <w:tcW w:w="3566" w:type="pct"/>
            <w:tcBorders>
              <w:top w:val="single" w:sz="4" w:space="0" w:color="auto"/>
              <w:bottom w:val="single" w:sz="4" w:space="0" w:color="auto"/>
            </w:tcBorders>
          </w:tcPr>
          <w:p w14:paraId="686D03DE" w14:textId="6850437B" w:rsidR="00B40635" w:rsidRPr="00EB5FA8" w:rsidRDefault="00B40635" w:rsidP="00B40635">
            <w:pPr>
              <w:pStyle w:val="TableText"/>
            </w:pPr>
            <w:r w:rsidRPr="57352DF8">
              <w:t>A statistical measure of whether a set of data has one or</w:t>
            </w:r>
            <w:r>
              <w:t xml:space="preserve"> 2</w:t>
            </w:r>
            <w:r w:rsidRPr="57352DF8">
              <w:t xml:space="preserve"> modes. In this report, it is used to determine if various groups of organisms have different sensitivities to a chemical or whether fresh and marine organisms have different sensitivities to a chemical</w:t>
            </w:r>
          </w:p>
        </w:tc>
      </w:tr>
      <w:tr w:rsidR="00B40635" w14:paraId="23CCA229" w14:textId="77777777" w:rsidTr="00B40635">
        <w:trPr>
          <w:cantSplit/>
        </w:trPr>
        <w:tc>
          <w:tcPr>
            <w:tcW w:w="1434" w:type="pct"/>
            <w:tcBorders>
              <w:top w:val="single" w:sz="4" w:space="0" w:color="auto"/>
              <w:bottom w:val="single" w:sz="4" w:space="0" w:color="auto"/>
            </w:tcBorders>
          </w:tcPr>
          <w:p w14:paraId="0CDA4347" w14:textId="1B1BB6D1" w:rsidR="00B40635" w:rsidRPr="00D1598C" w:rsidRDefault="00B40635" w:rsidP="00B40635">
            <w:pPr>
              <w:pStyle w:val="TableText"/>
            </w:pPr>
            <w:r w:rsidRPr="00D1598C">
              <w:t xml:space="preserve">Biotic </w:t>
            </w:r>
            <w:r>
              <w:t>l</w:t>
            </w:r>
            <w:r w:rsidRPr="00D1598C">
              <w:t xml:space="preserve">igand </w:t>
            </w:r>
            <w:r>
              <w:t>m</w:t>
            </w:r>
            <w:r w:rsidRPr="00D1598C">
              <w:t>odel (BLM)</w:t>
            </w:r>
          </w:p>
        </w:tc>
        <w:tc>
          <w:tcPr>
            <w:tcW w:w="3566" w:type="pct"/>
            <w:tcBorders>
              <w:top w:val="single" w:sz="4" w:space="0" w:color="auto"/>
              <w:bottom w:val="single" w:sz="4" w:space="0" w:color="auto"/>
            </w:tcBorders>
          </w:tcPr>
          <w:p w14:paraId="2C53BED4" w14:textId="37B1659E" w:rsidR="00B40635" w:rsidRPr="00EB5FA8" w:rsidRDefault="00B40635" w:rsidP="00B40635">
            <w:pPr>
              <w:pStyle w:val="TableText"/>
            </w:pPr>
            <w:r w:rsidRPr="00EB5FA8">
              <w:t>Models that consider the effect of water parameters, including water hardness</w:t>
            </w:r>
            <w:r>
              <w:t>,</w:t>
            </w:r>
            <w:r w:rsidRPr="00EB5FA8">
              <w:t xml:space="preserve"> </w:t>
            </w:r>
            <w:r w:rsidRPr="001B62F9">
              <w:rPr>
                <w:rFonts w:cs="Arial"/>
                <w:color w:val="222222"/>
                <w:szCs w:val="18"/>
                <w:shd w:val="clear" w:color="auto" w:fill="FFFFFF"/>
              </w:rPr>
              <w:t>pH, and dissolved organic carbon</w:t>
            </w:r>
            <w:r w:rsidRPr="001B62F9">
              <w:rPr>
                <w:szCs w:val="18"/>
              </w:rPr>
              <w:t>,</w:t>
            </w:r>
            <w:r w:rsidRPr="00EB5FA8">
              <w:t xml:space="preserve"> to model the bioavailability of metals. The ligand is the gill surface</w:t>
            </w:r>
          </w:p>
        </w:tc>
      </w:tr>
      <w:tr w:rsidR="00B40635" w14:paraId="17BD44A8" w14:textId="77777777" w:rsidTr="00B40635">
        <w:trPr>
          <w:cantSplit/>
        </w:trPr>
        <w:tc>
          <w:tcPr>
            <w:tcW w:w="1434" w:type="pct"/>
            <w:tcBorders>
              <w:top w:val="single" w:sz="4" w:space="0" w:color="auto"/>
              <w:bottom w:val="single" w:sz="4" w:space="0" w:color="auto"/>
            </w:tcBorders>
          </w:tcPr>
          <w:p w14:paraId="7C75BBE2" w14:textId="50FC33A4" w:rsidR="00B40635" w:rsidRPr="00D1598C" w:rsidRDefault="00B40635" w:rsidP="00B40635">
            <w:pPr>
              <w:pStyle w:val="TableText"/>
            </w:pPr>
            <w:r w:rsidRPr="57352DF8">
              <w:t>BurrliOZ and Burrlioz</w:t>
            </w:r>
          </w:p>
        </w:tc>
        <w:tc>
          <w:tcPr>
            <w:tcW w:w="3566" w:type="pct"/>
            <w:tcBorders>
              <w:top w:val="single" w:sz="4" w:space="0" w:color="auto"/>
              <w:bottom w:val="single" w:sz="4" w:space="0" w:color="auto"/>
            </w:tcBorders>
          </w:tcPr>
          <w:p w14:paraId="4BB5C7C2" w14:textId="734A51E6" w:rsidR="00B40635" w:rsidRPr="00EB5FA8" w:rsidRDefault="00B40635" w:rsidP="00B40635">
            <w:pPr>
              <w:pStyle w:val="TableText"/>
            </w:pPr>
            <w:r w:rsidRPr="57352DF8">
              <w:t xml:space="preserve">A </w:t>
            </w:r>
            <w:r w:rsidRPr="57352DF8">
              <w:rPr>
                <w:rStyle w:val="st1"/>
              </w:rPr>
              <w:t>species sensitivity distribution</w:t>
            </w:r>
            <w:r w:rsidRPr="57352DF8">
              <w:t xml:space="preserve"> </w:t>
            </w:r>
            <w:r w:rsidRPr="57352DF8">
              <w:rPr>
                <w:rStyle w:val="st1"/>
              </w:rPr>
              <w:t xml:space="preserve">software package developed and used in the 2000 Guidelines to derive guideline values (previously termed </w:t>
            </w:r>
            <w:r>
              <w:rPr>
                <w:rStyle w:val="st1"/>
              </w:rPr>
              <w:t>‘</w:t>
            </w:r>
            <w:r w:rsidRPr="57352DF8">
              <w:rPr>
                <w:rStyle w:val="st1"/>
              </w:rPr>
              <w:t>trigger values</w:t>
            </w:r>
            <w:r>
              <w:rPr>
                <w:rStyle w:val="st1"/>
              </w:rPr>
              <w:t>’</w:t>
            </w:r>
            <w:r w:rsidRPr="57352DF8">
              <w:rPr>
                <w:rStyle w:val="st1"/>
              </w:rPr>
              <w:t>) to protect aquatic ecosystems. BurrliOZ denotes the original version of the software, while Burrlioz and Burrlioz 2.0 denote the second, improved version of the software</w:t>
            </w:r>
          </w:p>
        </w:tc>
      </w:tr>
      <w:tr w:rsidR="00B40635" w14:paraId="4EE95C46" w14:textId="77777777" w:rsidTr="00B40635">
        <w:trPr>
          <w:cantSplit/>
        </w:trPr>
        <w:tc>
          <w:tcPr>
            <w:tcW w:w="1434" w:type="pct"/>
            <w:tcBorders>
              <w:top w:val="single" w:sz="4" w:space="0" w:color="auto"/>
              <w:bottom w:val="single" w:sz="4" w:space="0" w:color="auto"/>
            </w:tcBorders>
          </w:tcPr>
          <w:p w14:paraId="52FF9914" w14:textId="77777777" w:rsidR="00B40635" w:rsidRPr="00D1598C" w:rsidRDefault="00B40635" w:rsidP="00B40635">
            <w:pPr>
              <w:pStyle w:val="TableText"/>
            </w:pPr>
            <w:r w:rsidRPr="00D1598C">
              <w:lastRenderedPageBreak/>
              <w:t>Burr Type III</w:t>
            </w:r>
          </w:p>
        </w:tc>
        <w:tc>
          <w:tcPr>
            <w:tcW w:w="3566" w:type="pct"/>
            <w:tcBorders>
              <w:top w:val="single" w:sz="4" w:space="0" w:color="auto"/>
              <w:bottom w:val="single" w:sz="4" w:space="0" w:color="auto"/>
            </w:tcBorders>
          </w:tcPr>
          <w:p w14:paraId="32A06903" w14:textId="4AAEAC0C" w:rsidR="00B40635" w:rsidRPr="00EB5FA8" w:rsidRDefault="00B40635" w:rsidP="00B40635">
            <w:pPr>
              <w:pStyle w:val="TableText"/>
            </w:pPr>
            <w:r w:rsidRPr="00EB5FA8">
              <w:t>A flexible family of parametric distributions for non-negative data</w:t>
            </w:r>
          </w:p>
        </w:tc>
      </w:tr>
      <w:tr w:rsidR="003A4FF9" w14:paraId="73699BD9" w14:textId="77777777" w:rsidTr="00B40635">
        <w:trPr>
          <w:cantSplit/>
        </w:trPr>
        <w:tc>
          <w:tcPr>
            <w:tcW w:w="1434" w:type="pct"/>
            <w:tcBorders>
              <w:top w:val="single" w:sz="4" w:space="0" w:color="auto"/>
              <w:bottom w:val="single" w:sz="4" w:space="0" w:color="auto"/>
            </w:tcBorders>
          </w:tcPr>
          <w:p w14:paraId="02EDF25E" w14:textId="77777777" w:rsidR="003A4FF9" w:rsidRPr="00D1598C" w:rsidRDefault="003A4FF9" w:rsidP="003A4FF9">
            <w:pPr>
              <w:pStyle w:val="TableText"/>
            </w:pPr>
            <w:r w:rsidRPr="00D1598C">
              <w:t>Chronic toxicity</w:t>
            </w:r>
          </w:p>
        </w:tc>
        <w:tc>
          <w:tcPr>
            <w:tcW w:w="3566" w:type="pct"/>
            <w:tcBorders>
              <w:top w:val="single" w:sz="4" w:space="0" w:color="auto"/>
              <w:bottom w:val="single" w:sz="4" w:space="0" w:color="auto"/>
            </w:tcBorders>
          </w:tcPr>
          <w:p w14:paraId="7D77AE60" w14:textId="594574A3" w:rsidR="003A4FF9" w:rsidRPr="00EB5FA8" w:rsidRDefault="003A4FF9" w:rsidP="003A4FF9">
            <w:pPr>
              <w:pStyle w:val="TableText"/>
            </w:pPr>
            <w:r w:rsidRPr="00BE3065">
              <w:rPr>
                <w:lang w:eastAsia="ja-JP"/>
              </w:rPr>
              <w:t xml:space="preserve">A lethal or sub-lethal adverse effect that occurs </w:t>
            </w:r>
            <w:r>
              <w:rPr>
                <w:lang w:eastAsia="ja-JP"/>
              </w:rPr>
              <w:t>as the result of</w:t>
            </w:r>
            <w:r w:rsidRPr="00BE3065">
              <w:rPr>
                <w:lang w:eastAsia="ja-JP"/>
              </w:rPr>
              <w:t xml:space="preserve"> exposure to a chemical for a period that is a substantial portion of the organism’s life span or an adverse </w:t>
            </w:r>
            <w:r>
              <w:rPr>
                <w:lang w:eastAsia="ja-JP"/>
              </w:rPr>
              <w:t xml:space="preserve">sub-lethal </w:t>
            </w:r>
            <w:r w:rsidRPr="00BE3065">
              <w:rPr>
                <w:lang w:eastAsia="ja-JP"/>
              </w:rPr>
              <w:t>effect on a sensitive early life stage.</w:t>
            </w:r>
            <w:r w:rsidRPr="00585FD8">
              <w:rPr>
                <w:lang w:eastAsia="ja-JP"/>
              </w:rPr>
              <w:t xml:space="preserve"> Refer to Warne et al. (201</w:t>
            </w:r>
            <w:r>
              <w:rPr>
                <w:lang w:eastAsia="ja-JP"/>
              </w:rPr>
              <w:t>8</w:t>
            </w:r>
            <w:r w:rsidRPr="00585FD8">
              <w:rPr>
                <w:lang w:eastAsia="ja-JP"/>
              </w:rPr>
              <w:t>) for examples of chronic exposures</w:t>
            </w:r>
          </w:p>
        </w:tc>
      </w:tr>
      <w:tr w:rsidR="00B40635" w14:paraId="5912B6B0" w14:textId="77777777" w:rsidTr="00B40635">
        <w:trPr>
          <w:cantSplit/>
        </w:trPr>
        <w:tc>
          <w:tcPr>
            <w:tcW w:w="1434" w:type="pct"/>
            <w:tcBorders>
              <w:top w:val="single" w:sz="4" w:space="0" w:color="auto"/>
              <w:bottom w:val="single" w:sz="4" w:space="0" w:color="auto"/>
            </w:tcBorders>
          </w:tcPr>
          <w:p w14:paraId="358CD83B" w14:textId="77777777" w:rsidR="00B40635" w:rsidRPr="00D1598C" w:rsidRDefault="00B40635" w:rsidP="00B40635">
            <w:pPr>
              <w:pStyle w:val="TableText"/>
            </w:pPr>
            <w:r w:rsidRPr="00D1598C">
              <w:t>Chronic estimated toxicity value(s)/data</w:t>
            </w:r>
          </w:p>
        </w:tc>
        <w:tc>
          <w:tcPr>
            <w:tcW w:w="3566" w:type="pct"/>
            <w:tcBorders>
              <w:top w:val="single" w:sz="4" w:space="0" w:color="auto"/>
              <w:bottom w:val="single" w:sz="4" w:space="0" w:color="auto"/>
            </w:tcBorders>
          </w:tcPr>
          <w:p w14:paraId="775027C5" w14:textId="58987D1C" w:rsidR="00B40635" w:rsidRPr="00EB5FA8" w:rsidRDefault="00B40635" w:rsidP="00B40635">
            <w:pPr>
              <w:pStyle w:val="TableText"/>
            </w:pPr>
            <w:r w:rsidRPr="00EB5FA8">
              <w:t xml:space="preserve">Chronic </w:t>
            </w:r>
            <w:r w:rsidRPr="003E461E">
              <w:rPr>
                <w:rFonts w:cs="Arial"/>
              </w:rPr>
              <w:t>LC50</w:t>
            </w:r>
            <w:r>
              <w:rPr>
                <w:rFonts w:cs="Arial"/>
              </w:rPr>
              <w:t xml:space="preserve">, </w:t>
            </w:r>
            <w:r w:rsidRPr="003E461E">
              <w:rPr>
                <w:rFonts w:cs="Arial"/>
              </w:rPr>
              <w:t>IC50</w:t>
            </w:r>
            <w:r>
              <w:rPr>
                <w:rFonts w:cs="Arial"/>
              </w:rPr>
              <w:t xml:space="preserve">, </w:t>
            </w:r>
            <w:r w:rsidRPr="003E461E">
              <w:rPr>
                <w:rFonts w:cs="Arial"/>
              </w:rPr>
              <w:t>EC50</w:t>
            </w:r>
            <w:r>
              <w:rPr>
                <w:rFonts w:cs="Arial"/>
              </w:rPr>
              <w:t>,</w:t>
            </w:r>
            <w:r w:rsidRPr="003E461E">
              <w:rPr>
                <w:rFonts w:cs="Arial"/>
              </w:rPr>
              <w:t xml:space="preserve"> LOEC and MATC</w:t>
            </w:r>
            <w:r w:rsidRPr="00EB5FA8">
              <w:rPr>
                <w:rFonts w:cs="Arial"/>
              </w:rPr>
              <w:t xml:space="preserve"> values that have been converted to estimates of chronic NOEC/EC10 data</w:t>
            </w:r>
          </w:p>
        </w:tc>
      </w:tr>
      <w:tr w:rsidR="00B40635" w14:paraId="7D1D2B3F" w14:textId="77777777" w:rsidTr="00B40635">
        <w:trPr>
          <w:cantSplit/>
        </w:trPr>
        <w:tc>
          <w:tcPr>
            <w:tcW w:w="1434" w:type="pct"/>
            <w:tcBorders>
              <w:top w:val="single" w:sz="4" w:space="0" w:color="auto"/>
              <w:bottom w:val="single" w:sz="4" w:space="0" w:color="auto"/>
            </w:tcBorders>
          </w:tcPr>
          <w:p w14:paraId="3DF75D2C" w14:textId="77777777" w:rsidR="00B40635" w:rsidRPr="00D1598C" w:rsidRDefault="00B40635" w:rsidP="00B40635">
            <w:pPr>
              <w:pStyle w:val="TableText"/>
            </w:pPr>
            <w:r w:rsidRPr="00D1598C">
              <w:t>Community</w:t>
            </w:r>
          </w:p>
        </w:tc>
        <w:tc>
          <w:tcPr>
            <w:tcW w:w="3566" w:type="pct"/>
            <w:tcBorders>
              <w:top w:val="single" w:sz="4" w:space="0" w:color="auto"/>
              <w:bottom w:val="single" w:sz="4" w:space="0" w:color="auto"/>
            </w:tcBorders>
          </w:tcPr>
          <w:p w14:paraId="55BE35A7" w14:textId="63581BB9" w:rsidR="00B40635" w:rsidRPr="00EB5FA8" w:rsidRDefault="00B40635" w:rsidP="00B40635">
            <w:pPr>
              <w:pStyle w:val="TableText"/>
            </w:pPr>
            <w:r w:rsidRPr="00EB5FA8">
              <w:t>An assemblage of organisms characterised by a distinctive combination of species occupying a common environment and interacting with one another</w:t>
            </w:r>
          </w:p>
        </w:tc>
      </w:tr>
      <w:tr w:rsidR="00B40635" w14:paraId="6CD32D7F" w14:textId="77777777" w:rsidTr="00B40635">
        <w:trPr>
          <w:cantSplit/>
        </w:trPr>
        <w:tc>
          <w:tcPr>
            <w:tcW w:w="1434" w:type="pct"/>
            <w:tcBorders>
              <w:top w:val="single" w:sz="4" w:space="0" w:color="auto"/>
              <w:bottom w:val="single" w:sz="4" w:space="0" w:color="auto"/>
            </w:tcBorders>
          </w:tcPr>
          <w:p w14:paraId="6310F916" w14:textId="77777777" w:rsidR="00B40635" w:rsidRPr="00D1598C" w:rsidRDefault="00B40635" w:rsidP="00B40635">
            <w:pPr>
              <w:pStyle w:val="TableText"/>
            </w:pPr>
            <w:r w:rsidRPr="00D1598C">
              <w:t>Concentration</w:t>
            </w:r>
          </w:p>
        </w:tc>
        <w:tc>
          <w:tcPr>
            <w:tcW w:w="3566" w:type="pct"/>
            <w:tcBorders>
              <w:top w:val="single" w:sz="4" w:space="0" w:color="auto"/>
              <w:bottom w:val="single" w:sz="4" w:space="0" w:color="auto"/>
            </w:tcBorders>
          </w:tcPr>
          <w:p w14:paraId="1D309BBC" w14:textId="2E734C6D" w:rsidR="00B40635" w:rsidRPr="00EB5FA8" w:rsidRDefault="00B40635" w:rsidP="00B40635">
            <w:pPr>
              <w:pStyle w:val="TableText"/>
            </w:pPr>
            <w:r w:rsidRPr="57352DF8">
              <w:t>The quantifiable amount of a substance in water, biota, soil or sediment</w:t>
            </w:r>
          </w:p>
        </w:tc>
      </w:tr>
      <w:tr w:rsidR="00B40635" w14:paraId="0FFB61F8" w14:textId="77777777" w:rsidTr="00B40635">
        <w:trPr>
          <w:cantSplit/>
        </w:trPr>
        <w:tc>
          <w:tcPr>
            <w:tcW w:w="1434" w:type="pct"/>
            <w:tcBorders>
              <w:top w:val="single" w:sz="4" w:space="0" w:color="auto"/>
              <w:bottom w:val="single" w:sz="4" w:space="0" w:color="auto"/>
            </w:tcBorders>
          </w:tcPr>
          <w:p w14:paraId="7C8555CC" w14:textId="77777777" w:rsidR="00B40635" w:rsidRPr="00D1598C" w:rsidRDefault="00B40635" w:rsidP="00B40635">
            <w:pPr>
              <w:pStyle w:val="TableText"/>
            </w:pPr>
            <w:r w:rsidRPr="00D1598C">
              <w:t>Contaminants</w:t>
            </w:r>
          </w:p>
        </w:tc>
        <w:tc>
          <w:tcPr>
            <w:tcW w:w="3566" w:type="pct"/>
            <w:tcBorders>
              <w:top w:val="single" w:sz="4" w:space="0" w:color="auto"/>
              <w:bottom w:val="single" w:sz="4" w:space="0" w:color="auto"/>
            </w:tcBorders>
          </w:tcPr>
          <w:p w14:paraId="22396C45" w14:textId="064201BB" w:rsidR="00B40635" w:rsidRPr="00EB5FA8" w:rsidRDefault="00B40635" w:rsidP="00B40635">
            <w:pPr>
              <w:pStyle w:val="TableText"/>
            </w:pPr>
            <w:r w:rsidRPr="57352DF8">
              <w:t>Biological or chemical substances or entities, not normally present in a system, capable of producing an adverse effect in a biological system, seriously injuring structure or function</w:t>
            </w:r>
          </w:p>
        </w:tc>
      </w:tr>
      <w:tr w:rsidR="00B40635" w14:paraId="54DDDE87" w14:textId="77777777" w:rsidTr="00B40635">
        <w:trPr>
          <w:cantSplit/>
        </w:trPr>
        <w:tc>
          <w:tcPr>
            <w:tcW w:w="1434" w:type="pct"/>
            <w:tcBorders>
              <w:top w:val="single" w:sz="4" w:space="0" w:color="auto"/>
              <w:bottom w:val="single" w:sz="4" w:space="0" w:color="auto"/>
            </w:tcBorders>
          </w:tcPr>
          <w:p w14:paraId="39EA24D6" w14:textId="77777777" w:rsidR="00B40635" w:rsidRPr="00D1598C" w:rsidRDefault="00B40635" w:rsidP="00B40635">
            <w:pPr>
              <w:pStyle w:val="TableText"/>
            </w:pPr>
            <w:r w:rsidRPr="00D1598C">
              <w:t>Control</w:t>
            </w:r>
          </w:p>
        </w:tc>
        <w:tc>
          <w:tcPr>
            <w:tcW w:w="3566" w:type="pct"/>
            <w:tcBorders>
              <w:top w:val="single" w:sz="4" w:space="0" w:color="auto"/>
              <w:bottom w:val="single" w:sz="4" w:space="0" w:color="auto"/>
            </w:tcBorders>
          </w:tcPr>
          <w:p w14:paraId="6693F2FE" w14:textId="1BCE6C6C" w:rsidR="00B40635" w:rsidRPr="00EB5FA8" w:rsidRDefault="00B40635" w:rsidP="00B40635">
            <w:pPr>
              <w:pStyle w:val="TableText"/>
            </w:pPr>
            <w:r w:rsidRPr="57352DF8">
              <w:t>Part of an experimental procedure that is ideally exactly like the treated part except that it is not subject to the test treatment. It is used as a standard of comparison, to check that the outcome of the experiment is a reflection of the test conditions and not of some unknown general factor</w:t>
            </w:r>
          </w:p>
        </w:tc>
      </w:tr>
      <w:tr w:rsidR="00B40635" w14:paraId="468F945A" w14:textId="77777777" w:rsidTr="00B40635">
        <w:trPr>
          <w:cantSplit/>
        </w:trPr>
        <w:tc>
          <w:tcPr>
            <w:tcW w:w="1434" w:type="pct"/>
            <w:tcBorders>
              <w:top w:val="single" w:sz="4" w:space="0" w:color="auto"/>
              <w:bottom w:val="single" w:sz="4" w:space="0" w:color="auto"/>
            </w:tcBorders>
          </w:tcPr>
          <w:p w14:paraId="5EAEBC3B" w14:textId="77777777" w:rsidR="00B40635" w:rsidRPr="00D1598C" w:rsidRDefault="00B40635" w:rsidP="00B40635">
            <w:pPr>
              <w:pStyle w:val="TableText"/>
            </w:pPr>
            <w:r w:rsidRPr="00D1598C">
              <w:t>Copepod</w:t>
            </w:r>
          </w:p>
        </w:tc>
        <w:tc>
          <w:tcPr>
            <w:tcW w:w="3566" w:type="pct"/>
            <w:tcBorders>
              <w:top w:val="single" w:sz="4" w:space="0" w:color="auto"/>
              <w:bottom w:val="single" w:sz="4" w:space="0" w:color="auto"/>
            </w:tcBorders>
          </w:tcPr>
          <w:p w14:paraId="7077FF71" w14:textId="2D83680A" w:rsidR="00B40635" w:rsidRPr="00EB5FA8" w:rsidRDefault="00B40635" w:rsidP="00B40635">
            <w:pPr>
              <w:pStyle w:val="TableText"/>
            </w:pPr>
            <w:r w:rsidRPr="00EB5FA8">
              <w:t>A small crustacean found in marine and freshwater habitats; many are planktonic (living within the water column), but more are benthic (living on or in the sediments)</w:t>
            </w:r>
          </w:p>
        </w:tc>
      </w:tr>
      <w:tr w:rsidR="00B40635" w14:paraId="43700E70" w14:textId="77777777" w:rsidTr="00B40635">
        <w:trPr>
          <w:cantSplit/>
        </w:trPr>
        <w:tc>
          <w:tcPr>
            <w:tcW w:w="1434" w:type="pct"/>
            <w:tcBorders>
              <w:top w:val="single" w:sz="4" w:space="0" w:color="auto"/>
              <w:bottom w:val="single" w:sz="4" w:space="0" w:color="auto"/>
            </w:tcBorders>
          </w:tcPr>
          <w:p w14:paraId="0D3B15BE" w14:textId="6D048A96" w:rsidR="00B40635" w:rsidRPr="00D1598C" w:rsidRDefault="00B40635" w:rsidP="00B40635">
            <w:pPr>
              <w:pStyle w:val="TableText"/>
            </w:pPr>
            <w:r w:rsidRPr="00D1598C">
              <w:t>Converted</w:t>
            </w:r>
            <w:r w:rsidR="00ED06E3">
              <w:t>-</w:t>
            </w:r>
            <w:r w:rsidRPr="00D1598C">
              <w:t>acute value(s)/data</w:t>
            </w:r>
          </w:p>
        </w:tc>
        <w:tc>
          <w:tcPr>
            <w:tcW w:w="3566" w:type="pct"/>
            <w:tcBorders>
              <w:top w:val="single" w:sz="4" w:space="0" w:color="auto"/>
              <w:bottom w:val="single" w:sz="4" w:space="0" w:color="auto"/>
            </w:tcBorders>
          </w:tcPr>
          <w:p w14:paraId="2EBDD3B8" w14:textId="3E01170E" w:rsidR="00B40635" w:rsidRPr="00EB5FA8" w:rsidRDefault="00B40635" w:rsidP="00B40635">
            <w:pPr>
              <w:pStyle w:val="TableText"/>
            </w:pPr>
            <w:r w:rsidRPr="57352DF8">
              <w:t>Acute toxicity data that have been converted using experimentally</w:t>
            </w:r>
            <w:r w:rsidR="00ED06E3">
              <w:t xml:space="preserve"> </w:t>
            </w:r>
            <w:r w:rsidRPr="57352DF8">
              <w:t>derived or default acute</w:t>
            </w:r>
            <w:r w:rsidR="00ED06E3">
              <w:t>-</w:t>
            </w:r>
            <w:r w:rsidRPr="57352DF8">
              <w:t>to</w:t>
            </w:r>
            <w:r w:rsidR="00ED06E3">
              <w:t>-</w:t>
            </w:r>
            <w:r w:rsidRPr="57352DF8">
              <w:t>chronic ratios</w:t>
            </w:r>
          </w:p>
        </w:tc>
      </w:tr>
      <w:tr w:rsidR="00B05AC3" w14:paraId="3D1D67D3" w14:textId="77777777" w:rsidTr="00B40635">
        <w:trPr>
          <w:cantSplit/>
        </w:trPr>
        <w:tc>
          <w:tcPr>
            <w:tcW w:w="1434" w:type="pct"/>
            <w:tcBorders>
              <w:top w:val="single" w:sz="4" w:space="0" w:color="auto"/>
              <w:bottom w:val="single" w:sz="4" w:space="0" w:color="auto"/>
            </w:tcBorders>
          </w:tcPr>
          <w:p w14:paraId="3CE6BB4D" w14:textId="0AA006C1" w:rsidR="00B05AC3" w:rsidRPr="00D1598C" w:rsidRDefault="00B05AC3" w:rsidP="00B05AC3">
            <w:pPr>
              <w:pStyle w:val="TableText"/>
            </w:pPr>
            <w:r w:rsidRPr="00D1598C">
              <w:t xml:space="preserve">Default </w:t>
            </w:r>
            <w:r>
              <w:t>guideline value (D</w:t>
            </w:r>
            <w:r w:rsidRPr="00D1598C">
              <w:t>GV</w:t>
            </w:r>
            <w:r>
              <w:t>)</w:t>
            </w:r>
          </w:p>
        </w:tc>
        <w:tc>
          <w:tcPr>
            <w:tcW w:w="3566" w:type="pct"/>
            <w:tcBorders>
              <w:top w:val="single" w:sz="4" w:space="0" w:color="auto"/>
              <w:bottom w:val="single" w:sz="4" w:space="0" w:color="auto"/>
            </w:tcBorders>
          </w:tcPr>
          <w:p w14:paraId="7AAC3FED" w14:textId="071543D7" w:rsidR="00B05AC3" w:rsidRPr="00EB5FA8" w:rsidRDefault="00B05AC3" w:rsidP="00B05AC3">
            <w:pPr>
              <w:pStyle w:val="TableText"/>
            </w:pPr>
            <w:r>
              <w:rPr>
                <w:lang w:eastAsia="ja-JP"/>
              </w:rPr>
              <w:t>A</w:t>
            </w:r>
            <w:r w:rsidRPr="00DD72C8">
              <w:rPr>
                <w:lang w:eastAsia="ja-JP"/>
              </w:rPr>
              <w:t xml:space="preserve"> guideline value recommended for generic application in the absence of a more specific guideline value (e.g. a site-specific value) in the </w:t>
            </w:r>
            <w:r w:rsidRPr="00E76024">
              <w:rPr>
                <w:i/>
                <w:iCs/>
                <w:lang w:eastAsia="ja-JP"/>
              </w:rPr>
              <w:t>Australian and New Zealand Guidelines for Fresh and Marine Water Quality</w:t>
            </w:r>
            <w:r w:rsidRPr="00DD72C8">
              <w:rPr>
                <w:lang w:eastAsia="ja-JP"/>
              </w:rPr>
              <w:t>. Formerly known as ‘trigger values’.</w:t>
            </w:r>
          </w:p>
        </w:tc>
      </w:tr>
      <w:tr w:rsidR="00B40635" w14:paraId="348E6D4E" w14:textId="77777777" w:rsidTr="00B40635">
        <w:trPr>
          <w:cantSplit/>
        </w:trPr>
        <w:tc>
          <w:tcPr>
            <w:tcW w:w="1434" w:type="pct"/>
            <w:tcBorders>
              <w:top w:val="single" w:sz="4" w:space="0" w:color="auto"/>
              <w:bottom w:val="single" w:sz="4" w:space="0" w:color="auto"/>
            </w:tcBorders>
          </w:tcPr>
          <w:p w14:paraId="2C24E5E4" w14:textId="77777777" w:rsidR="00B40635" w:rsidRPr="00D1598C" w:rsidRDefault="00B40635" w:rsidP="00B40635">
            <w:pPr>
              <w:pStyle w:val="TableText"/>
            </w:pPr>
            <w:r w:rsidRPr="00D1598C">
              <w:t>DOC</w:t>
            </w:r>
          </w:p>
        </w:tc>
        <w:tc>
          <w:tcPr>
            <w:tcW w:w="3566" w:type="pct"/>
            <w:tcBorders>
              <w:top w:val="single" w:sz="4" w:space="0" w:color="auto"/>
              <w:bottom w:val="single" w:sz="4" w:space="0" w:color="auto"/>
            </w:tcBorders>
          </w:tcPr>
          <w:p w14:paraId="1E94264F" w14:textId="2B950C13" w:rsidR="00B40635" w:rsidRPr="00EB5FA8" w:rsidRDefault="00B40635" w:rsidP="00B40635">
            <w:pPr>
              <w:pStyle w:val="TableText"/>
            </w:pPr>
            <w:r w:rsidRPr="00EB5FA8">
              <w:t>Dissolved organic carbon</w:t>
            </w:r>
          </w:p>
        </w:tc>
      </w:tr>
      <w:tr w:rsidR="00B40635" w14:paraId="7CFF75A8" w14:textId="77777777" w:rsidTr="00B40635">
        <w:trPr>
          <w:cantSplit/>
        </w:trPr>
        <w:tc>
          <w:tcPr>
            <w:tcW w:w="1434" w:type="pct"/>
            <w:tcBorders>
              <w:top w:val="single" w:sz="4" w:space="0" w:color="auto"/>
              <w:bottom w:val="single" w:sz="4" w:space="0" w:color="auto"/>
            </w:tcBorders>
          </w:tcPr>
          <w:p w14:paraId="5704238C" w14:textId="77777777" w:rsidR="00B40635" w:rsidRPr="00D1598C" w:rsidRDefault="00B40635" w:rsidP="00B40635">
            <w:pPr>
              <w:pStyle w:val="TableText"/>
            </w:pPr>
            <w:r w:rsidRPr="00D1598C">
              <w:t>Ecotoxicology</w:t>
            </w:r>
          </w:p>
        </w:tc>
        <w:tc>
          <w:tcPr>
            <w:tcW w:w="3566" w:type="pct"/>
            <w:tcBorders>
              <w:top w:val="single" w:sz="4" w:space="0" w:color="auto"/>
              <w:bottom w:val="single" w:sz="4" w:space="0" w:color="auto"/>
            </w:tcBorders>
          </w:tcPr>
          <w:p w14:paraId="54D4A65F" w14:textId="59F8AFD9" w:rsidR="00B40635" w:rsidRPr="00EB5FA8" w:rsidRDefault="00B40635" w:rsidP="00B40635">
            <w:pPr>
              <w:pStyle w:val="TableText"/>
            </w:pPr>
            <w:r w:rsidRPr="00EB5FA8">
              <w:t>The science dealing with the adverse effects of chemicals, physical agents and natural products on populations and communities of living organisms</w:t>
            </w:r>
          </w:p>
        </w:tc>
      </w:tr>
      <w:tr w:rsidR="00B40635" w14:paraId="359DC025" w14:textId="77777777" w:rsidTr="00B40635">
        <w:trPr>
          <w:cantSplit/>
        </w:trPr>
        <w:tc>
          <w:tcPr>
            <w:tcW w:w="1434" w:type="pct"/>
            <w:tcBorders>
              <w:top w:val="single" w:sz="4" w:space="0" w:color="auto"/>
              <w:bottom w:val="single" w:sz="4" w:space="0" w:color="auto"/>
            </w:tcBorders>
          </w:tcPr>
          <w:p w14:paraId="6F51A47E" w14:textId="77777777" w:rsidR="00B40635" w:rsidRPr="00D1598C" w:rsidRDefault="00B40635" w:rsidP="00B40635">
            <w:pPr>
              <w:pStyle w:val="TableText"/>
            </w:pPr>
            <w:r w:rsidRPr="00D1598C">
              <w:t>EC50</w:t>
            </w:r>
          </w:p>
        </w:tc>
        <w:tc>
          <w:tcPr>
            <w:tcW w:w="3566" w:type="pct"/>
            <w:tcBorders>
              <w:top w:val="single" w:sz="4" w:space="0" w:color="auto"/>
              <w:bottom w:val="single" w:sz="4" w:space="0" w:color="auto"/>
            </w:tcBorders>
          </w:tcPr>
          <w:p w14:paraId="2A20565C" w14:textId="0A5CD032" w:rsidR="00B40635" w:rsidRPr="00EB5FA8" w:rsidRDefault="00B40635" w:rsidP="00B40635">
            <w:pPr>
              <w:pStyle w:val="TableText"/>
            </w:pPr>
            <w:r w:rsidRPr="00EB5FA8">
              <w:t>The toxicant concentration that is expected to cause one or more specified effects in 50% of a group of organisms or a 50% effect under specified conditions</w:t>
            </w:r>
          </w:p>
        </w:tc>
      </w:tr>
      <w:tr w:rsidR="00B40635" w14:paraId="56B5805C" w14:textId="77777777" w:rsidTr="00B40635">
        <w:trPr>
          <w:cantSplit/>
        </w:trPr>
        <w:tc>
          <w:tcPr>
            <w:tcW w:w="1434" w:type="pct"/>
            <w:tcBorders>
              <w:top w:val="single" w:sz="4" w:space="0" w:color="auto"/>
              <w:bottom w:val="single" w:sz="4" w:space="0" w:color="auto"/>
            </w:tcBorders>
          </w:tcPr>
          <w:p w14:paraId="7FE1122C" w14:textId="3B4C0855" w:rsidR="00B40635" w:rsidRPr="00D1598C" w:rsidRDefault="00B40635" w:rsidP="00B40635">
            <w:pPr>
              <w:pStyle w:val="TableText"/>
            </w:pPr>
            <w:r w:rsidRPr="57352DF8">
              <w:t>ECx</w:t>
            </w:r>
          </w:p>
        </w:tc>
        <w:tc>
          <w:tcPr>
            <w:tcW w:w="3566" w:type="pct"/>
            <w:tcBorders>
              <w:top w:val="single" w:sz="4" w:space="0" w:color="auto"/>
              <w:bottom w:val="single" w:sz="4" w:space="0" w:color="auto"/>
            </w:tcBorders>
          </w:tcPr>
          <w:p w14:paraId="78830DCE" w14:textId="53FFDCCA" w:rsidR="00B40635" w:rsidRPr="00EB5FA8" w:rsidRDefault="004E6B3B" w:rsidP="00B40635">
            <w:pPr>
              <w:pStyle w:val="TableText"/>
            </w:pPr>
            <w:r>
              <w:t>T</w:t>
            </w:r>
            <w:r w:rsidRPr="004E6B3B">
              <w:t>he concentration of a substance in water or sediment that is estimated to produce an x% change in the response being measured or a certain effect in x% of the test organisms, under specified conditions</w:t>
            </w:r>
          </w:p>
        </w:tc>
      </w:tr>
      <w:tr w:rsidR="00B40635" w14:paraId="0AD26D9E" w14:textId="77777777" w:rsidTr="00B40635">
        <w:trPr>
          <w:cantSplit/>
        </w:trPr>
        <w:tc>
          <w:tcPr>
            <w:tcW w:w="1434" w:type="pct"/>
            <w:tcBorders>
              <w:top w:val="single" w:sz="4" w:space="0" w:color="auto"/>
              <w:bottom w:val="single" w:sz="4" w:space="0" w:color="auto"/>
            </w:tcBorders>
          </w:tcPr>
          <w:p w14:paraId="0C0A3240" w14:textId="77777777" w:rsidR="00B40635" w:rsidRPr="00D1598C" w:rsidRDefault="00B40635" w:rsidP="00B40635">
            <w:pPr>
              <w:pStyle w:val="TableText"/>
            </w:pPr>
            <w:r w:rsidRPr="00D1598C">
              <w:t>Estuarine water</w:t>
            </w:r>
          </w:p>
        </w:tc>
        <w:tc>
          <w:tcPr>
            <w:tcW w:w="3566" w:type="pct"/>
            <w:tcBorders>
              <w:top w:val="single" w:sz="4" w:space="0" w:color="auto"/>
              <w:bottom w:val="single" w:sz="4" w:space="0" w:color="auto"/>
            </w:tcBorders>
          </w:tcPr>
          <w:p w14:paraId="7E367925" w14:textId="648622DC" w:rsidR="00B40635" w:rsidRPr="00EB5FA8" w:rsidRDefault="00B40635" w:rsidP="00B40635">
            <w:pPr>
              <w:pStyle w:val="TableText"/>
            </w:pPr>
            <w:r w:rsidRPr="00EB5FA8">
              <w:t xml:space="preserve">For the purposes of deriving </w:t>
            </w:r>
            <w:r w:rsidR="002E25DD">
              <w:t xml:space="preserve">default </w:t>
            </w:r>
            <w:r w:rsidR="00626731">
              <w:t>guideline value</w:t>
            </w:r>
            <w:r>
              <w:t>s,</w:t>
            </w:r>
            <w:r w:rsidRPr="00EB5FA8">
              <w:t xml:space="preserve"> estuarine water is defined as any waters </w:t>
            </w:r>
            <w:r>
              <w:t>with a</w:t>
            </w:r>
            <w:r w:rsidRPr="00EB5FA8">
              <w:t xml:space="preserve"> salinity </w:t>
            </w:r>
            <w:r w:rsidR="0099103D">
              <w:t>between</w:t>
            </w:r>
            <w:r w:rsidR="0099103D" w:rsidRPr="00EB5FA8">
              <w:t xml:space="preserve"> </w:t>
            </w:r>
            <w:r>
              <w:t>0.5</w:t>
            </w:r>
            <w:r w:rsidR="0099103D" w:rsidRPr="003E461E">
              <w:rPr>
                <w:rFonts w:cs="Arial"/>
              </w:rPr>
              <w:t>‰</w:t>
            </w:r>
            <w:r>
              <w:t xml:space="preserve"> </w:t>
            </w:r>
            <w:r w:rsidR="0099103D">
              <w:t>and</w:t>
            </w:r>
            <w:r>
              <w:t xml:space="preserve"> </w:t>
            </w:r>
            <w:r w:rsidRPr="003E461E">
              <w:t>25</w:t>
            </w:r>
            <w:r w:rsidRPr="003E461E">
              <w:rPr>
                <w:rFonts w:cs="Arial"/>
              </w:rPr>
              <w:t>‰</w:t>
            </w:r>
          </w:p>
        </w:tc>
      </w:tr>
      <w:tr w:rsidR="00B40635" w14:paraId="71456A7E" w14:textId="77777777" w:rsidTr="00B40635">
        <w:trPr>
          <w:cantSplit/>
        </w:trPr>
        <w:tc>
          <w:tcPr>
            <w:tcW w:w="1434" w:type="pct"/>
            <w:tcBorders>
              <w:top w:val="single" w:sz="4" w:space="0" w:color="auto"/>
              <w:bottom w:val="single" w:sz="4" w:space="0" w:color="auto"/>
            </w:tcBorders>
          </w:tcPr>
          <w:p w14:paraId="363C8B1E" w14:textId="74E955DC" w:rsidR="00B40635" w:rsidRPr="00D1598C" w:rsidRDefault="00B40635" w:rsidP="00B40635">
            <w:pPr>
              <w:pStyle w:val="TableText"/>
            </w:pPr>
            <w:r w:rsidRPr="00D1598C">
              <w:t>Formulation</w:t>
            </w:r>
          </w:p>
        </w:tc>
        <w:tc>
          <w:tcPr>
            <w:tcW w:w="3566" w:type="pct"/>
            <w:tcBorders>
              <w:top w:val="single" w:sz="4" w:space="0" w:color="auto"/>
              <w:bottom w:val="single" w:sz="4" w:space="0" w:color="auto"/>
            </w:tcBorders>
          </w:tcPr>
          <w:p w14:paraId="2606E329" w14:textId="50190244" w:rsidR="00B40635" w:rsidRPr="00EB5FA8" w:rsidRDefault="00B40635" w:rsidP="00B40635">
            <w:pPr>
              <w:pStyle w:val="TableText"/>
            </w:pPr>
            <w:r w:rsidRPr="57352DF8">
              <w:t>A commercial product that is manufactured for sale</w:t>
            </w:r>
            <w:r w:rsidR="0099103D">
              <w:t>;</w:t>
            </w:r>
            <w:r w:rsidRPr="57352DF8">
              <w:t xml:space="preserve"> for example, pesticides. Formulations typically contain one or more active ingredients that are added to products to ‘improve the storage, handling, safety, application or effectiveness of the product’ (Ware 1994). As such, formulations are not technical materials (see </w:t>
            </w:r>
            <w:r w:rsidR="00F02B34">
              <w:t>g</w:t>
            </w:r>
            <w:r w:rsidRPr="57352DF8">
              <w:t>lossary</w:t>
            </w:r>
            <w:r w:rsidR="00F02B34">
              <w:t xml:space="preserve"> entry for ‘Technical material’</w:t>
            </w:r>
            <w:r w:rsidRPr="57352DF8">
              <w:t xml:space="preserve">). The same active ingredient </w:t>
            </w:r>
            <w:r w:rsidR="00F02B34">
              <w:t>may</w:t>
            </w:r>
            <w:r w:rsidR="00F02B34" w:rsidRPr="57352DF8">
              <w:t xml:space="preserve"> </w:t>
            </w:r>
            <w:r w:rsidRPr="57352DF8">
              <w:t>be found in multiple formulations. Examples of different formulations of pesticides include emulsifiable concentrates, wettable powders, water-dispersible granules and powders</w:t>
            </w:r>
          </w:p>
        </w:tc>
      </w:tr>
      <w:tr w:rsidR="00B40635" w14:paraId="5AFA5802" w14:textId="77777777" w:rsidTr="00B40635">
        <w:trPr>
          <w:cantSplit/>
        </w:trPr>
        <w:tc>
          <w:tcPr>
            <w:tcW w:w="1434" w:type="pct"/>
            <w:tcBorders>
              <w:top w:val="single" w:sz="4" w:space="0" w:color="auto"/>
              <w:bottom w:val="single" w:sz="4" w:space="0" w:color="auto"/>
            </w:tcBorders>
          </w:tcPr>
          <w:p w14:paraId="0F135DDF" w14:textId="77777777" w:rsidR="00B40635" w:rsidRPr="00D1598C" w:rsidRDefault="00B40635" w:rsidP="00B40635">
            <w:pPr>
              <w:pStyle w:val="TableText"/>
            </w:pPr>
            <w:r w:rsidRPr="00D1598C">
              <w:t>Freshwater</w:t>
            </w:r>
            <w:r>
              <w:t xml:space="preserve"> (FW)</w:t>
            </w:r>
          </w:p>
        </w:tc>
        <w:tc>
          <w:tcPr>
            <w:tcW w:w="3566" w:type="pct"/>
            <w:tcBorders>
              <w:top w:val="single" w:sz="4" w:space="0" w:color="auto"/>
              <w:bottom w:val="single" w:sz="4" w:space="0" w:color="auto"/>
            </w:tcBorders>
          </w:tcPr>
          <w:p w14:paraId="7504FA11" w14:textId="6A78D7B9" w:rsidR="00B40635" w:rsidRPr="0065558F" w:rsidRDefault="00B40635" w:rsidP="00B40635">
            <w:pPr>
              <w:pStyle w:val="TableText"/>
            </w:pPr>
            <w:r w:rsidRPr="00EB5FA8">
              <w:t xml:space="preserve">For the purposes of deriving </w:t>
            </w:r>
            <w:r w:rsidR="00626731">
              <w:t>default guideline value</w:t>
            </w:r>
            <w:r>
              <w:t>s,</w:t>
            </w:r>
            <w:r w:rsidRPr="00EB5FA8">
              <w:t xml:space="preserve"> freshwater is defined as any waters </w:t>
            </w:r>
            <w:r>
              <w:t>with a</w:t>
            </w:r>
            <w:r w:rsidRPr="00EB5FA8">
              <w:t xml:space="preserve"> salinity </w:t>
            </w:r>
            <w:r>
              <w:t>of &lt;</w:t>
            </w:r>
            <w:r w:rsidR="009308D7">
              <w:t> </w:t>
            </w:r>
            <w:r w:rsidRPr="00EB5FA8">
              <w:t>0.5</w:t>
            </w:r>
            <w:r>
              <w:rPr>
                <w:rFonts w:cs="Arial"/>
              </w:rPr>
              <w:t>‰</w:t>
            </w:r>
          </w:p>
        </w:tc>
      </w:tr>
      <w:tr w:rsidR="00B40635" w14:paraId="50F60E0A" w14:textId="77777777" w:rsidTr="00B40635">
        <w:trPr>
          <w:cantSplit/>
        </w:trPr>
        <w:tc>
          <w:tcPr>
            <w:tcW w:w="1434" w:type="pct"/>
            <w:tcBorders>
              <w:top w:val="single" w:sz="4" w:space="0" w:color="auto"/>
              <w:bottom w:val="single" w:sz="4" w:space="0" w:color="auto"/>
            </w:tcBorders>
          </w:tcPr>
          <w:p w14:paraId="510F2C0D" w14:textId="77777777" w:rsidR="00B40635" w:rsidRPr="00D1598C" w:rsidRDefault="00B40635" w:rsidP="00B40635">
            <w:pPr>
              <w:pStyle w:val="TableText"/>
            </w:pPr>
            <w:r w:rsidRPr="00D1598C">
              <w:t>Guideline value (GV)</w:t>
            </w:r>
          </w:p>
        </w:tc>
        <w:tc>
          <w:tcPr>
            <w:tcW w:w="3566" w:type="pct"/>
            <w:tcBorders>
              <w:top w:val="single" w:sz="4" w:space="0" w:color="auto"/>
              <w:bottom w:val="single" w:sz="4" w:space="0" w:color="auto"/>
            </w:tcBorders>
          </w:tcPr>
          <w:p w14:paraId="4E19DB12" w14:textId="2E4BDBEF" w:rsidR="00B40635" w:rsidRPr="00EB5FA8" w:rsidRDefault="004E6B3B" w:rsidP="00B40635">
            <w:pPr>
              <w:pStyle w:val="TableText"/>
            </w:pPr>
            <w:r>
              <w:t>A</w:t>
            </w:r>
            <w:r w:rsidRPr="004E6B3B">
              <w:t xml:space="preserve"> measurable quantity (e.g. concentration) or condition of an indicator for a specific community value below which (or above which, in the case of stressors such as pH, dissolved oxygen and many biodiversity responses) there is considered to be a low risk of unacceptable effects occurring to that community value. Guideline values for more than one indicator should be used simultaneously in a multiple lines of evidence approach.</w:t>
            </w:r>
            <w:r>
              <w:t xml:space="preserve"> Also refer to ‘default guideline value’ and ‘site-specific guideline value’</w:t>
            </w:r>
          </w:p>
        </w:tc>
      </w:tr>
      <w:tr w:rsidR="00B40635" w14:paraId="7B120039" w14:textId="77777777" w:rsidTr="00B40635">
        <w:trPr>
          <w:cantSplit/>
        </w:trPr>
        <w:tc>
          <w:tcPr>
            <w:tcW w:w="1434" w:type="pct"/>
            <w:tcBorders>
              <w:top w:val="single" w:sz="4" w:space="0" w:color="auto"/>
              <w:bottom w:val="single" w:sz="4" w:space="0" w:color="auto"/>
            </w:tcBorders>
          </w:tcPr>
          <w:p w14:paraId="570EF035" w14:textId="1BC3B80E" w:rsidR="00B40635" w:rsidRPr="00D1598C" w:rsidRDefault="00B40635" w:rsidP="00B40635">
            <w:pPr>
              <w:pStyle w:val="TableText"/>
            </w:pPr>
            <w:r>
              <w:lastRenderedPageBreak/>
              <w:t>Hardness-modified guideline value</w:t>
            </w:r>
          </w:p>
        </w:tc>
        <w:tc>
          <w:tcPr>
            <w:tcW w:w="3566" w:type="pct"/>
            <w:tcBorders>
              <w:top w:val="single" w:sz="4" w:space="0" w:color="auto"/>
              <w:bottom w:val="single" w:sz="4" w:space="0" w:color="auto"/>
            </w:tcBorders>
          </w:tcPr>
          <w:p w14:paraId="73220475" w14:textId="3E78B738" w:rsidR="00B40635" w:rsidRPr="00EB5FA8" w:rsidRDefault="00B40635" w:rsidP="00B40635">
            <w:pPr>
              <w:pStyle w:val="TableText"/>
            </w:pPr>
            <w:r>
              <w:t>These are guideline values for chemicals whose toxicity is affected by water hardness. Such guideline values are reported at a hardness of 30mg/L CaCO</w:t>
            </w:r>
            <w:r w:rsidRPr="004569BA">
              <w:rPr>
                <w:vertAlign w:val="subscript"/>
              </w:rPr>
              <w:t>3</w:t>
            </w:r>
            <w:r>
              <w:t xml:space="preserve"> but can be adjusted to the hardness in the water body being examined</w:t>
            </w:r>
          </w:p>
        </w:tc>
      </w:tr>
      <w:tr w:rsidR="00B40635" w14:paraId="07B60065" w14:textId="77777777" w:rsidTr="00B40635">
        <w:trPr>
          <w:cantSplit/>
        </w:trPr>
        <w:tc>
          <w:tcPr>
            <w:tcW w:w="1434" w:type="pct"/>
            <w:tcBorders>
              <w:top w:val="single" w:sz="4" w:space="0" w:color="auto"/>
              <w:bottom w:val="single" w:sz="4" w:space="0" w:color="auto"/>
            </w:tcBorders>
          </w:tcPr>
          <w:p w14:paraId="7C9F977E" w14:textId="77777777" w:rsidR="00B40635" w:rsidRPr="00D1598C" w:rsidRDefault="00B40635" w:rsidP="00B40635">
            <w:pPr>
              <w:pStyle w:val="TableText"/>
            </w:pPr>
            <w:r w:rsidRPr="00D1598C">
              <w:t>IC50</w:t>
            </w:r>
          </w:p>
        </w:tc>
        <w:tc>
          <w:tcPr>
            <w:tcW w:w="3566" w:type="pct"/>
            <w:tcBorders>
              <w:top w:val="single" w:sz="4" w:space="0" w:color="auto"/>
              <w:bottom w:val="single" w:sz="4" w:space="0" w:color="auto"/>
            </w:tcBorders>
          </w:tcPr>
          <w:p w14:paraId="1183C8AB" w14:textId="6DA836B0" w:rsidR="00B40635" w:rsidRPr="00EB5FA8" w:rsidRDefault="00B40635" w:rsidP="00B40635">
            <w:pPr>
              <w:pStyle w:val="TableText"/>
            </w:pPr>
            <w:r w:rsidRPr="00391DA2">
              <w:t>A toxicant concentration that would cause a 50% reduction in a non-quantal measurement such as fecundity or growth</w:t>
            </w:r>
          </w:p>
        </w:tc>
      </w:tr>
      <w:tr w:rsidR="00B40635" w14:paraId="0779BAA5" w14:textId="77777777" w:rsidTr="00B40635">
        <w:trPr>
          <w:cantSplit/>
        </w:trPr>
        <w:tc>
          <w:tcPr>
            <w:tcW w:w="1434" w:type="pct"/>
            <w:tcBorders>
              <w:top w:val="single" w:sz="4" w:space="0" w:color="auto"/>
              <w:bottom w:val="single" w:sz="4" w:space="0" w:color="auto"/>
            </w:tcBorders>
          </w:tcPr>
          <w:p w14:paraId="6C39E5FA" w14:textId="70537F85" w:rsidR="00B40635" w:rsidRPr="00D1598C" w:rsidRDefault="00B40635" w:rsidP="00B40635">
            <w:pPr>
              <w:pStyle w:val="TableText"/>
            </w:pPr>
            <w:r w:rsidRPr="57352DF8">
              <w:t>ICx</w:t>
            </w:r>
          </w:p>
        </w:tc>
        <w:tc>
          <w:tcPr>
            <w:tcW w:w="3566" w:type="pct"/>
            <w:tcBorders>
              <w:top w:val="single" w:sz="4" w:space="0" w:color="auto"/>
              <w:bottom w:val="single" w:sz="4" w:space="0" w:color="auto"/>
            </w:tcBorders>
          </w:tcPr>
          <w:p w14:paraId="04388602" w14:textId="358872BD" w:rsidR="00B40635" w:rsidRPr="00EB5FA8" w:rsidRDefault="00E037B3" w:rsidP="00B40635">
            <w:pPr>
              <w:pStyle w:val="TableText"/>
            </w:pPr>
            <w:r>
              <w:t>T</w:t>
            </w:r>
            <w:r w:rsidRPr="00E037B3">
              <w:t>he concentration of a substance in water or sediment that is estimated to produce an x% inhibition of the response being measured in test organisms relative to the control response, under specified conditions</w:t>
            </w:r>
          </w:p>
        </w:tc>
      </w:tr>
      <w:tr w:rsidR="00B40635" w14:paraId="33FE4447" w14:textId="77777777" w:rsidTr="00B40635">
        <w:trPr>
          <w:cantSplit/>
        </w:trPr>
        <w:tc>
          <w:tcPr>
            <w:tcW w:w="1434" w:type="pct"/>
            <w:tcBorders>
              <w:top w:val="single" w:sz="4" w:space="0" w:color="auto"/>
              <w:bottom w:val="single" w:sz="4" w:space="0" w:color="auto"/>
            </w:tcBorders>
          </w:tcPr>
          <w:p w14:paraId="63F9FD18" w14:textId="77777777" w:rsidR="00B40635" w:rsidRPr="00D1598C" w:rsidRDefault="00B40635" w:rsidP="00B40635">
            <w:pPr>
              <w:pStyle w:val="TableText"/>
            </w:pPr>
            <w:r w:rsidRPr="00D1598C">
              <w:t>Indicator</w:t>
            </w:r>
          </w:p>
        </w:tc>
        <w:tc>
          <w:tcPr>
            <w:tcW w:w="3566" w:type="pct"/>
            <w:tcBorders>
              <w:top w:val="single" w:sz="4" w:space="0" w:color="auto"/>
              <w:bottom w:val="single" w:sz="4" w:space="0" w:color="auto"/>
            </w:tcBorders>
          </w:tcPr>
          <w:p w14:paraId="086F618E" w14:textId="1542028B" w:rsidR="00B40635" w:rsidRPr="00EB5FA8" w:rsidRDefault="00B40635" w:rsidP="00B40635">
            <w:pPr>
              <w:pStyle w:val="TableText"/>
            </w:pPr>
            <w:r w:rsidRPr="00391DA2">
              <w:t>Measurement parameter or combination of parameters that can be used to assess the quality of water</w:t>
            </w:r>
          </w:p>
        </w:tc>
      </w:tr>
      <w:tr w:rsidR="00B40635" w14:paraId="04B7E4F8" w14:textId="77777777" w:rsidTr="00B40635">
        <w:trPr>
          <w:cantSplit/>
        </w:trPr>
        <w:tc>
          <w:tcPr>
            <w:tcW w:w="1434" w:type="pct"/>
            <w:tcBorders>
              <w:top w:val="single" w:sz="4" w:space="0" w:color="auto"/>
              <w:bottom w:val="single" w:sz="4" w:space="0" w:color="auto"/>
            </w:tcBorders>
          </w:tcPr>
          <w:p w14:paraId="3C8E1A68" w14:textId="77777777" w:rsidR="00B40635" w:rsidRPr="00D1598C" w:rsidRDefault="00B40635" w:rsidP="00B40635">
            <w:pPr>
              <w:pStyle w:val="TableText"/>
            </w:pPr>
            <w:r w:rsidRPr="00D1598C">
              <w:t>Invertebrate</w:t>
            </w:r>
          </w:p>
        </w:tc>
        <w:tc>
          <w:tcPr>
            <w:tcW w:w="3566" w:type="pct"/>
            <w:tcBorders>
              <w:top w:val="single" w:sz="4" w:space="0" w:color="auto"/>
              <w:bottom w:val="single" w:sz="4" w:space="0" w:color="auto"/>
            </w:tcBorders>
          </w:tcPr>
          <w:p w14:paraId="3297CD9E" w14:textId="2F57BDA4" w:rsidR="00B40635" w:rsidRPr="00EB5FA8" w:rsidRDefault="00B40635" w:rsidP="00B40635">
            <w:pPr>
              <w:pStyle w:val="TableText"/>
            </w:pPr>
            <w:r w:rsidRPr="00F44B48">
              <w:t>An animal lacking a notochord or backbone</w:t>
            </w:r>
          </w:p>
        </w:tc>
      </w:tr>
      <w:tr w:rsidR="00B40635" w14:paraId="0BB9DAFD" w14:textId="77777777" w:rsidTr="00B40635">
        <w:trPr>
          <w:cantSplit/>
        </w:trPr>
        <w:tc>
          <w:tcPr>
            <w:tcW w:w="1434" w:type="pct"/>
            <w:tcBorders>
              <w:top w:val="single" w:sz="4" w:space="0" w:color="auto"/>
              <w:bottom w:val="single" w:sz="4" w:space="0" w:color="auto"/>
            </w:tcBorders>
          </w:tcPr>
          <w:p w14:paraId="1DD7A4E9" w14:textId="77777777" w:rsidR="00B40635" w:rsidRPr="00D1598C" w:rsidRDefault="00B40635" w:rsidP="00B40635">
            <w:pPr>
              <w:pStyle w:val="TableText"/>
            </w:pPr>
            <w:r w:rsidRPr="00D1598C">
              <w:t>LC50</w:t>
            </w:r>
          </w:p>
        </w:tc>
        <w:tc>
          <w:tcPr>
            <w:tcW w:w="3566" w:type="pct"/>
            <w:tcBorders>
              <w:top w:val="single" w:sz="4" w:space="0" w:color="auto"/>
              <w:bottom w:val="single" w:sz="4" w:space="0" w:color="auto"/>
            </w:tcBorders>
          </w:tcPr>
          <w:p w14:paraId="74DE3590" w14:textId="6207B02F" w:rsidR="00B40635" w:rsidRPr="00EB5FA8" w:rsidRDefault="00B40635" w:rsidP="00B40635">
            <w:pPr>
              <w:pStyle w:val="TableText"/>
            </w:pPr>
            <w:r>
              <w:t>The</w:t>
            </w:r>
            <w:r w:rsidRPr="00391DA2">
              <w:t xml:space="preserve"> toxicant concentration that is expected to be lethal to 50% of a group of organisms under specified conditions</w:t>
            </w:r>
          </w:p>
        </w:tc>
      </w:tr>
      <w:tr w:rsidR="00B40635" w14:paraId="5C2C6621" w14:textId="77777777" w:rsidTr="00B40635">
        <w:trPr>
          <w:cantSplit/>
        </w:trPr>
        <w:tc>
          <w:tcPr>
            <w:tcW w:w="1434" w:type="pct"/>
            <w:tcBorders>
              <w:top w:val="single" w:sz="4" w:space="0" w:color="auto"/>
              <w:bottom w:val="single" w:sz="4" w:space="0" w:color="auto"/>
            </w:tcBorders>
          </w:tcPr>
          <w:p w14:paraId="7412D12E" w14:textId="3C6492E8" w:rsidR="00B40635" w:rsidRPr="00D1598C" w:rsidRDefault="00B40635" w:rsidP="00B40635">
            <w:pPr>
              <w:pStyle w:val="TableText"/>
            </w:pPr>
            <w:r w:rsidRPr="57352DF8">
              <w:t>LCx</w:t>
            </w:r>
          </w:p>
        </w:tc>
        <w:tc>
          <w:tcPr>
            <w:tcW w:w="3566" w:type="pct"/>
            <w:tcBorders>
              <w:top w:val="single" w:sz="4" w:space="0" w:color="auto"/>
              <w:bottom w:val="single" w:sz="4" w:space="0" w:color="auto"/>
            </w:tcBorders>
          </w:tcPr>
          <w:p w14:paraId="10EFD789" w14:textId="18AF73D7" w:rsidR="00B40635" w:rsidRPr="00EB5FA8" w:rsidRDefault="00E037B3" w:rsidP="00B40635">
            <w:pPr>
              <w:pStyle w:val="TableText"/>
            </w:pPr>
            <w:r>
              <w:t>T</w:t>
            </w:r>
            <w:r w:rsidRPr="00E037B3">
              <w:t>he concentration of a substance in water or sediment that is estimated to be lethal to x% of a group of test organisms under specified conditions</w:t>
            </w:r>
          </w:p>
        </w:tc>
      </w:tr>
      <w:tr w:rsidR="00B40635" w14:paraId="0B8B8DD2" w14:textId="77777777" w:rsidTr="00B40635">
        <w:trPr>
          <w:cantSplit/>
        </w:trPr>
        <w:tc>
          <w:tcPr>
            <w:tcW w:w="1434" w:type="pct"/>
            <w:tcBorders>
              <w:top w:val="single" w:sz="4" w:space="0" w:color="auto"/>
              <w:bottom w:val="single" w:sz="4" w:space="0" w:color="auto"/>
            </w:tcBorders>
          </w:tcPr>
          <w:p w14:paraId="2E56E525" w14:textId="77777777" w:rsidR="00B40635" w:rsidRPr="00D1598C" w:rsidRDefault="00B40635" w:rsidP="00B40635">
            <w:pPr>
              <w:pStyle w:val="TableText"/>
            </w:pPr>
            <w:r w:rsidRPr="00D1598C">
              <w:t>Level of protection</w:t>
            </w:r>
          </w:p>
        </w:tc>
        <w:tc>
          <w:tcPr>
            <w:tcW w:w="3566" w:type="pct"/>
            <w:tcBorders>
              <w:top w:val="single" w:sz="4" w:space="0" w:color="auto"/>
              <w:bottom w:val="single" w:sz="4" w:space="0" w:color="auto"/>
            </w:tcBorders>
          </w:tcPr>
          <w:p w14:paraId="56A17828" w14:textId="322C9709" w:rsidR="00B40635" w:rsidRPr="00EB5FA8" w:rsidRDefault="00B40635" w:rsidP="00B40635">
            <w:pPr>
              <w:pStyle w:val="TableText"/>
            </w:pPr>
            <w:r w:rsidRPr="00391DA2">
              <w:t>The acceptable level of change from a defined reference condition</w:t>
            </w:r>
          </w:p>
        </w:tc>
      </w:tr>
      <w:tr w:rsidR="00FD2B1B" w14:paraId="1FF42E4D" w14:textId="77777777" w:rsidTr="00B40635">
        <w:trPr>
          <w:cantSplit/>
        </w:trPr>
        <w:tc>
          <w:tcPr>
            <w:tcW w:w="1434" w:type="pct"/>
            <w:tcBorders>
              <w:top w:val="single" w:sz="4" w:space="0" w:color="auto"/>
              <w:bottom w:val="single" w:sz="4" w:space="0" w:color="auto"/>
            </w:tcBorders>
          </w:tcPr>
          <w:p w14:paraId="77ABE545" w14:textId="53A171EB" w:rsidR="00FD2B1B" w:rsidRPr="00D1598C" w:rsidRDefault="00FD2B1B" w:rsidP="00FD2B1B">
            <w:pPr>
              <w:pStyle w:val="TableText"/>
            </w:pPr>
            <w:r>
              <w:t>Lowest-observed-effect concentration (</w:t>
            </w:r>
            <w:r w:rsidRPr="00D1598C">
              <w:t>LOEC</w:t>
            </w:r>
            <w:r>
              <w:t>)</w:t>
            </w:r>
          </w:p>
        </w:tc>
        <w:tc>
          <w:tcPr>
            <w:tcW w:w="3566" w:type="pct"/>
            <w:tcBorders>
              <w:top w:val="single" w:sz="4" w:space="0" w:color="auto"/>
              <w:bottom w:val="single" w:sz="4" w:space="0" w:color="auto"/>
            </w:tcBorders>
          </w:tcPr>
          <w:p w14:paraId="18877730" w14:textId="58E0E711" w:rsidR="00FD2B1B" w:rsidRPr="00EB5FA8" w:rsidRDefault="00FD2B1B" w:rsidP="00FD2B1B">
            <w:pPr>
              <w:pStyle w:val="TableText"/>
            </w:pPr>
            <w:r>
              <w:rPr>
                <w:lang w:eastAsia="ja-JP"/>
              </w:rPr>
              <w:t>T</w:t>
            </w:r>
            <w:r w:rsidRPr="00342AB1">
              <w:rPr>
                <w:lang w:eastAsia="ja-JP"/>
              </w:rPr>
              <w:t xml:space="preserve">he lowest concentration of a material used in a toxicity test that has a statistically significant </w:t>
            </w:r>
            <w:r w:rsidRPr="00585FD8">
              <w:rPr>
                <w:lang w:eastAsia="ja-JP"/>
              </w:rPr>
              <w:t>(p</w:t>
            </w:r>
            <w:r>
              <w:rPr>
                <w:lang w:eastAsia="ja-JP"/>
              </w:rPr>
              <w:t> </w:t>
            </w:r>
            <w:r w:rsidRPr="00585FD8">
              <w:rPr>
                <w:lang w:eastAsia="ja-JP"/>
              </w:rPr>
              <w:t>≤</w:t>
            </w:r>
            <w:r>
              <w:rPr>
                <w:lang w:eastAsia="ja-JP"/>
              </w:rPr>
              <w:t> </w:t>
            </w:r>
            <w:r w:rsidRPr="00585FD8">
              <w:rPr>
                <w:lang w:eastAsia="ja-JP"/>
              </w:rPr>
              <w:t xml:space="preserve">0.05) </w:t>
            </w:r>
            <w:r w:rsidRPr="00342AB1">
              <w:rPr>
                <w:lang w:eastAsia="ja-JP"/>
              </w:rPr>
              <w:t>adverse effect on the exposed population of test organisms as compared with the controls.</w:t>
            </w:r>
            <w:r>
              <w:rPr>
                <w:lang w:eastAsia="ja-JP"/>
              </w:rPr>
              <w:t xml:space="preserve"> All higher concentrations should also cause statistically significant effects</w:t>
            </w:r>
          </w:p>
        </w:tc>
      </w:tr>
      <w:tr w:rsidR="00B40635" w14:paraId="6DFAD22D" w14:textId="77777777" w:rsidTr="00B40635">
        <w:trPr>
          <w:cantSplit/>
        </w:trPr>
        <w:tc>
          <w:tcPr>
            <w:tcW w:w="1434" w:type="pct"/>
            <w:tcBorders>
              <w:top w:val="single" w:sz="4" w:space="0" w:color="auto"/>
              <w:bottom w:val="single" w:sz="4" w:space="0" w:color="auto"/>
            </w:tcBorders>
          </w:tcPr>
          <w:p w14:paraId="75A10CD9" w14:textId="44336D34" w:rsidR="00B40635" w:rsidRPr="00D1598C" w:rsidRDefault="00B40635" w:rsidP="00B40635">
            <w:pPr>
              <w:pStyle w:val="TableText"/>
            </w:pPr>
            <w:r>
              <w:t>Macroinvertebrate</w:t>
            </w:r>
          </w:p>
        </w:tc>
        <w:tc>
          <w:tcPr>
            <w:tcW w:w="3566" w:type="pct"/>
            <w:tcBorders>
              <w:top w:val="single" w:sz="4" w:space="0" w:color="auto"/>
              <w:bottom w:val="single" w:sz="4" w:space="0" w:color="auto"/>
            </w:tcBorders>
          </w:tcPr>
          <w:p w14:paraId="3E76C89C" w14:textId="0FE2EA79" w:rsidR="00B40635" w:rsidRPr="00EF3312" w:rsidRDefault="00B40635" w:rsidP="00B40635">
            <w:pPr>
              <w:pStyle w:val="TableText"/>
            </w:pPr>
            <w:r w:rsidRPr="57352DF8">
              <w:t xml:space="preserve">Macroinvertebrates </w:t>
            </w:r>
            <w:r w:rsidR="00FD2B1B">
              <w:t>are</w:t>
            </w:r>
            <w:r w:rsidR="00FD2B1B" w:rsidRPr="57352DF8">
              <w:t xml:space="preserve"> </w:t>
            </w:r>
            <w:r w:rsidRPr="57352DF8">
              <w:t>invertebrate</w:t>
            </w:r>
            <w:r w:rsidR="007D29E9">
              <w:t xml:space="preserve"> specie</w:t>
            </w:r>
            <w:r w:rsidRPr="57352DF8">
              <w:t>s where full-grown adults are ≥</w:t>
            </w:r>
            <w:r w:rsidR="00FD2B1B">
              <w:t> </w:t>
            </w:r>
            <w:r w:rsidRPr="57352DF8">
              <w:t>2 mm long</w:t>
            </w:r>
            <w:r w:rsidR="00F17402">
              <w:t>. Examples of invertebrates that meet this criterion are</w:t>
            </w:r>
            <w:r w:rsidRPr="57352DF8">
              <w:t xml:space="preserve"> decapods, echinoderms, molluscs, annelids, corals, amphipods, larger cladocerans </w:t>
            </w:r>
            <w:r w:rsidR="00F17402">
              <w:t>(e.g.</w:t>
            </w:r>
            <w:r w:rsidRPr="57352DF8">
              <w:t xml:space="preserve"> </w:t>
            </w:r>
            <w:r w:rsidRPr="57352DF8">
              <w:rPr>
                <w:i/>
                <w:iCs/>
              </w:rPr>
              <w:t>Daphnia magna</w:t>
            </w:r>
            <w:r w:rsidRPr="57352DF8">
              <w:t xml:space="preserve">, </w:t>
            </w:r>
            <w:r w:rsidRPr="57352DF8">
              <w:rPr>
                <w:i/>
                <w:iCs/>
              </w:rPr>
              <w:t>Daphnia carinata</w:t>
            </w:r>
            <w:r w:rsidRPr="57352DF8">
              <w:t xml:space="preserve"> and </w:t>
            </w:r>
            <w:r w:rsidRPr="57352DF8">
              <w:rPr>
                <w:i/>
                <w:iCs/>
              </w:rPr>
              <w:t>Daphnia pulex</w:t>
            </w:r>
            <w:r w:rsidR="00981CBB">
              <w:t>,</w:t>
            </w:r>
            <w:r w:rsidRPr="57352DF8">
              <w:t xml:space="preserve"> and insect species where larvae are ≥</w:t>
            </w:r>
            <w:r w:rsidR="00FD2B1B">
              <w:t> </w:t>
            </w:r>
            <w:r w:rsidRPr="57352DF8">
              <w:t>2 mm long</w:t>
            </w:r>
          </w:p>
        </w:tc>
      </w:tr>
      <w:tr w:rsidR="00B40635" w14:paraId="0406B3F6" w14:textId="77777777" w:rsidTr="00B40635">
        <w:trPr>
          <w:cantSplit/>
        </w:trPr>
        <w:tc>
          <w:tcPr>
            <w:tcW w:w="1434" w:type="pct"/>
            <w:tcBorders>
              <w:top w:val="single" w:sz="4" w:space="0" w:color="auto"/>
              <w:bottom w:val="single" w:sz="4" w:space="0" w:color="auto"/>
            </w:tcBorders>
          </w:tcPr>
          <w:p w14:paraId="4A5DE974" w14:textId="77777777" w:rsidR="00B40635" w:rsidRPr="00D1598C" w:rsidRDefault="00B40635" w:rsidP="00B40635">
            <w:pPr>
              <w:pStyle w:val="TableText"/>
            </w:pPr>
            <w:r w:rsidRPr="00D1598C">
              <w:t>Marine water</w:t>
            </w:r>
          </w:p>
        </w:tc>
        <w:tc>
          <w:tcPr>
            <w:tcW w:w="3566" w:type="pct"/>
            <w:tcBorders>
              <w:top w:val="single" w:sz="4" w:space="0" w:color="auto"/>
              <w:bottom w:val="single" w:sz="4" w:space="0" w:color="auto"/>
            </w:tcBorders>
          </w:tcPr>
          <w:p w14:paraId="0FD1F091" w14:textId="395AA3A7" w:rsidR="00B40635" w:rsidRPr="00EB5FA8" w:rsidRDefault="00B40635" w:rsidP="00B40635">
            <w:pPr>
              <w:pStyle w:val="TableText"/>
            </w:pPr>
            <w:r w:rsidRPr="00EF3312">
              <w:t xml:space="preserve">For the purposes of deriving </w:t>
            </w:r>
            <w:r w:rsidR="002E25DD">
              <w:t xml:space="preserve">default </w:t>
            </w:r>
            <w:r w:rsidR="00626731">
              <w:t>guideline value</w:t>
            </w:r>
            <w:r>
              <w:t>s,</w:t>
            </w:r>
            <w:r w:rsidRPr="00EF3312">
              <w:t xml:space="preserve"> marine water is defined as any waters </w:t>
            </w:r>
            <w:r>
              <w:t>with a</w:t>
            </w:r>
            <w:r w:rsidRPr="00EF3312">
              <w:t xml:space="preserve"> salinity </w:t>
            </w:r>
            <w:r w:rsidR="00314F63">
              <w:t>between</w:t>
            </w:r>
            <w:r w:rsidR="00314F63" w:rsidRPr="00EF3312">
              <w:t xml:space="preserve"> </w:t>
            </w:r>
            <w:r>
              <w:rPr>
                <w:rFonts w:cs="Arial"/>
              </w:rPr>
              <w:t>25</w:t>
            </w:r>
            <w:r w:rsidR="00314F63" w:rsidRPr="00EF3312">
              <w:rPr>
                <w:rFonts w:cs="Arial"/>
              </w:rPr>
              <w:t>‰</w:t>
            </w:r>
            <w:r w:rsidRPr="00EF3312">
              <w:rPr>
                <w:rFonts w:cs="Arial"/>
              </w:rPr>
              <w:t xml:space="preserve"> </w:t>
            </w:r>
            <w:r w:rsidR="00314F63">
              <w:rPr>
                <w:rFonts w:cs="Arial"/>
              </w:rPr>
              <w:t>and</w:t>
            </w:r>
            <w:r w:rsidRPr="00EF3312">
              <w:rPr>
                <w:rFonts w:cs="Arial"/>
              </w:rPr>
              <w:t xml:space="preserve"> 3</w:t>
            </w:r>
            <w:r>
              <w:rPr>
                <w:rFonts w:cs="Arial"/>
              </w:rPr>
              <w:t>6</w:t>
            </w:r>
            <w:r w:rsidRPr="00EF3312">
              <w:rPr>
                <w:rFonts w:cs="Arial"/>
              </w:rPr>
              <w:t>‰</w:t>
            </w:r>
          </w:p>
        </w:tc>
      </w:tr>
      <w:tr w:rsidR="00B40635" w14:paraId="03C0F55F" w14:textId="77777777" w:rsidTr="00B40635">
        <w:trPr>
          <w:cantSplit/>
        </w:trPr>
        <w:tc>
          <w:tcPr>
            <w:tcW w:w="1434" w:type="pct"/>
            <w:tcBorders>
              <w:top w:val="single" w:sz="4" w:space="0" w:color="auto"/>
              <w:bottom w:val="single" w:sz="4" w:space="0" w:color="auto"/>
            </w:tcBorders>
          </w:tcPr>
          <w:p w14:paraId="10328A36" w14:textId="3B1743E6" w:rsidR="00B40635" w:rsidRPr="00D1598C" w:rsidRDefault="00314F63" w:rsidP="00B40635">
            <w:pPr>
              <w:pStyle w:val="TableText"/>
            </w:pPr>
            <w:r>
              <w:t>Maximum allowable toxicant concentration (</w:t>
            </w:r>
            <w:r w:rsidR="00B40635" w:rsidRPr="00D1598C">
              <w:t>MATC</w:t>
            </w:r>
            <w:r>
              <w:t>)</w:t>
            </w:r>
          </w:p>
        </w:tc>
        <w:tc>
          <w:tcPr>
            <w:tcW w:w="3566" w:type="pct"/>
            <w:tcBorders>
              <w:top w:val="single" w:sz="4" w:space="0" w:color="auto"/>
              <w:bottom w:val="single" w:sz="4" w:space="0" w:color="auto"/>
            </w:tcBorders>
          </w:tcPr>
          <w:p w14:paraId="7DECE2AD" w14:textId="654504EC" w:rsidR="00B40635" w:rsidRPr="00EF3312" w:rsidRDefault="00314F63" w:rsidP="00B40635">
            <w:pPr>
              <w:pStyle w:val="TableText"/>
            </w:pPr>
            <w:r>
              <w:t>T</w:t>
            </w:r>
            <w:r w:rsidR="00B40635" w:rsidRPr="57352DF8">
              <w:t>he geometric mean of the lowest exposure concentration that causes a statistically significant adverse effect (LOEC) and the highest exposure concentration where no statistically significant effect is observed (NOEC) in a chronic test</w:t>
            </w:r>
          </w:p>
        </w:tc>
      </w:tr>
      <w:tr w:rsidR="00B40635" w14:paraId="061800E5" w14:textId="77777777" w:rsidTr="00B40635">
        <w:trPr>
          <w:cantSplit/>
        </w:trPr>
        <w:tc>
          <w:tcPr>
            <w:tcW w:w="1434" w:type="pct"/>
            <w:tcBorders>
              <w:top w:val="single" w:sz="4" w:space="0" w:color="auto"/>
              <w:bottom w:val="single" w:sz="4" w:space="0" w:color="auto"/>
            </w:tcBorders>
          </w:tcPr>
          <w:p w14:paraId="1C91EDFE" w14:textId="77777777" w:rsidR="00B40635" w:rsidRPr="00D1598C" w:rsidRDefault="00B40635" w:rsidP="00B40635">
            <w:pPr>
              <w:pStyle w:val="TableText"/>
            </w:pPr>
            <w:r>
              <w:t>Measured concentration</w:t>
            </w:r>
          </w:p>
        </w:tc>
        <w:tc>
          <w:tcPr>
            <w:tcW w:w="3566" w:type="pct"/>
            <w:tcBorders>
              <w:top w:val="single" w:sz="4" w:space="0" w:color="auto"/>
              <w:bottom w:val="single" w:sz="4" w:space="0" w:color="auto"/>
            </w:tcBorders>
          </w:tcPr>
          <w:p w14:paraId="2563F0C2" w14:textId="598B9E0A" w:rsidR="00B40635" w:rsidRPr="00A93ED0" w:rsidRDefault="00B40635" w:rsidP="00B40635">
            <w:pPr>
              <w:pStyle w:val="TableText"/>
              <w:rPr>
                <w:highlight w:val="darkYellow"/>
              </w:rPr>
            </w:pPr>
            <w:r w:rsidRPr="57352DF8">
              <w:t>The concentration (mass per unit volume) of a chemical in a test solution as determined by chemical analysis</w:t>
            </w:r>
          </w:p>
        </w:tc>
      </w:tr>
      <w:tr w:rsidR="00B40635" w14:paraId="366D66F8" w14:textId="77777777" w:rsidTr="00B40635">
        <w:trPr>
          <w:cantSplit/>
        </w:trPr>
        <w:tc>
          <w:tcPr>
            <w:tcW w:w="1434" w:type="pct"/>
            <w:tcBorders>
              <w:top w:val="single" w:sz="4" w:space="0" w:color="auto"/>
              <w:bottom w:val="single" w:sz="4" w:space="0" w:color="auto"/>
            </w:tcBorders>
          </w:tcPr>
          <w:p w14:paraId="61E7106E" w14:textId="77777777" w:rsidR="00B40635" w:rsidRPr="00D1598C" w:rsidRDefault="00B40635" w:rsidP="00B40635">
            <w:pPr>
              <w:pStyle w:val="TableText"/>
            </w:pPr>
            <w:r w:rsidRPr="00D1598C">
              <w:t>Measurement parameter</w:t>
            </w:r>
          </w:p>
        </w:tc>
        <w:tc>
          <w:tcPr>
            <w:tcW w:w="3566" w:type="pct"/>
            <w:tcBorders>
              <w:top w:val="single" w:sz="4" w:space="0" w:color="auto"/>
              <w:bottom w:val="single" w:sz="4" w:space="0" w:color="auto"/>
            </w:tcBorders>
          </w:tcPr>
          <w:p w14:paraId="786E317C" w14:textId="23DAC7F9" w:rsidR="00B40635" w:rsidRPr="00EF3312" w:rsidRDefault="00B40635" w:rsidP="00B40635">
            <w:pPr>
              <w:pStyle w:val="TableText"/>
            </w:pPr>
            <w:r w:rsidRPr="00391DA2">
              <w:t>Any parameter or variable that is measured</w:t>
            </w:r>
          </w:p>
        </w:tc>
      </w:tr>
      <w:tr w:rsidR="00B40635" w14:paraId="0226B769" w14:textId="77777777" w:rsidTr="00B40635">
        <w:trPr>
          <w:cantSplit/>
        </w:trPr>
        <w:tc>
          <w:tcPr>
            <w:tcW w:w="1434" w:type="pct"/>
            <w:tcBorders>
              <w:top w:val="single" w:sz="4" w:space="0" w:color="auto"/>
              <w:bottom w:val="single" w:sz="4" w:space="0" w:color="auto"/>
            </w:tcBorders>
          </w:tcPr>
          <w:p w14:paraId="1E141AED" w14:textId="1BE2575E" w:rsidR="00B40635" w:rsidRPr="009E3888" w:rsidRDefault="00B40635" w:rsidP="00B40635">
            <w:pPr>
              <w:pStyle w:val="TableText"/>
              <w:rPr>
                <w:highlight w:val="yellow"/>
              </w:rPr>
            </w:pPr>
            <w:r w:rsidRPr="007C52D5">
              <w:t>Mechanism of action</w:t>
            </w:r>
          </w:p>
        </w:tc>
        <w:tc>
          <w:tcPr>
            <w:tcW w:w="3566" w:type="pct"/>
            <w:tcBorders>
              <w:top w:val="single" w:sz="4" w:space="0" w:color="auto"/>
              <w:bottom w:val="single" w:sz="4" w:space="0" w:color="auto"/>
            </w:tcBorders>
          </w:tcPr>
          <w:p w14:paraId="0459BFFB" w14:textId="797BEEF2" w:rsidR="00B40635" w:rsidRPr="00391DA2" w:rsidRDefault="00B40635" w:rsidP="00B40635">
            <w:pPr>
              <w:pStyle w:val="TableText"/>
            </w:pPr>
            <w:r>
              <w:t>A detailed description of how a toxicant exerts its toxicity at a molecular level. Typically, this is not known for individual species in ecotoxicology and therefore chemicals are usually classified by their mode of action</w:t>
            </w:r>
          </w:p>
        </w:tc>
      </w:tr>
      <w:tr w:rsidR="00B40635" w14:paraId="427D870B" w14:textId="77777777" w:rsidTr="00B40635">
        <w:trPr>
          <w:cantSplit/>
        </w:trPr>
        <w:tc>
          <w:tcPr>
            <w:tcW w:w="1434" w:type="pct"/>
            <w:tcBorders>
              <w:top w:val="single" w:sz="4" w:space="0" w:color="auto"/>
              <w:bottom w:val="single" w:sz="4" w:space="0" w:color="auto"/>
            </w:tcBorders>
          </w:tcPr>
          <w:p w14:paraId="2256E59A" w14:textId="77777777" w:rsidR="00B40635" w:rsidRPr="00D1598C" w:rsidRDefault="00B40635" w:rsidP="00B40635">
            <w:pPr>
              <w:pStyle w:val="TableText"/>
            </w:pPr>
            <w:r w:rsidRPr="00D1598C">
              <w:t>Mesocosm</w:t>
            </w:r>
          </w:p>
        </w:tc>
        <w:tc>
          <w:tcPr>
            <w:tcW w:w="3566" w:type="pct"/>
            <w:tcBorders>
              <w:top w:val="single" w:sz="4" w:space="0" w:color="auto"/>
              <w:bottom w:val="single" w:sz="4" w:space="0" w:color="auto"/>
            </w:tcBorders>
          </w:tcPr>
          <w:p w14:paraId="7AB31019" w14:textId="111C8EDB" w:rsidR="00B40635" w:rsidRPr="00EF3312" w:rsidRDefault="00B40635" w:rsidP="00B40635">
            <w:pPr>
              <w:pStyle w:val="TableText"/>
            </w:pPr>
            <w:r w:rsidRPr="57352DF8">
              <w:t>Large enclosures designed to mimic field exposure conditions, taking the form of larger tanks, enclosures or artificial channels to mimic streams</w:t>
            </w:r>
            <w:r w:rsidR="003777C7">
              <w:t>. They are</w:t>
            </w:r>
            <w:r w:rsidRPr="57352DF8">
              <w:t xml:space="preserve"> often, but not necessarily, located in or near waterbodies</w:t>
            </w:r>
          </w:p>
        </w:tc>
      </w:tr>
      <w:tr w:rsidR="00B40635" w14:paraId="4339039D" w14:textId="77777777" w:rsidTr="00B40635">
        <w:trPr>
          <w:cantSplit/>
        </w:trPr>
        <w:tc>
          <w:tcPr>
            <w:tcW w:w="1434" w:type="pct"/>
            <w:tcBorders>
              <w:top w:val="single" w:sz="4" w:space="0" w:color="auto"/>
              <w:bottom w:val="single" w:sz="4" w:space="0" w:color="auto"/>
            </w:tcBorders>
          </w:tcPr>
          <w:p w14:paraId="64B2837D" w14:textId="77777777" w:rsidR="00B40635" w:rsidRPr="00D1598C" w:rsidRDefault="00B40635" w:rsidP="00B40635">
            <w:pPr>
              <w:pStyle w:val="TableText"/>
            </w:pPr>
            <w:r w:rsidRPr="00D1598C">
              <w:t>Microcosm</w:t>
            </w:r>
          </w:p>
        </w:tc>
        <w:tc>
          <w:tcPr>
            <w:tcW w:w="3566" w:type="pct"/>
            <w:tcBorders>
              <w:top w:val="single" w:sz="4" w:space="0" w:color="auto"/>
              <w:bottom w:val="single" w:sz="4" w:space="0" w:color="auto"/>
            </w:tcBorders>
          </w:tcPr>
          <w:p w14:paraId="2F6B5217" w14:textId="58F868D8" w:rsidR="00B40635" w:rsidRPr="00EF3312" w:rsidRDefault="00B40635" w:rsidP="00B40635">
            <w:pPr>
              <w:pStyle w:val="TableText"/>
            </w:pPr>
            <w:r>
              <w:t>A laboratory-based bench-scale artificial ecosystem</w:t>
            </w:r>
          </w:p>
        </w:tc>
      </w:tr>
      <w:tr w:rsidR="00B40635" w14:paraId="30EA085E" w14:textId="77777777" w:rsidTr="00B40635">
        <w:trPr>
          <w:cantSplit/>
        </w:trPr>
        <w:tc>
          <w:tcPr>
            <w:tcW w:w="1434" w:type="pct"/>
            <w:tcBorders>
              <w:top w:val="single" w:sz="4" w:space="0" w:color="auto"/>
              <w:bottom w:val="single" w:sz="4" w:space="0" w:color="auto"/>
            </w:tcBorders>
          </w:tcPr>
          <w:p w14:paraId="7D4C6DE8" w14:textId="0A6A1EC3" w:rsidR="00B40635" w:rsidRPr="00D1598C" w:rsidRDefault="00B40635" w:rsidP="00B40635">
            <w:pPr>
              <w:pStyle w:val="TableText"/>
            </w:pPr>
            <w:r w:rsidRPr="57352DF8">
              <w:t>Microinvertebrate</w:t>
            </w:r>
          </w:p>
        </w:tc>
        <w:tc>
          <w:tcPr>
            <w:tcW w:w="3566" w:type="pct"/>
            <w:tcBorders>
              <w:top w:val="single" w:sz="4" w:space="0" w:color="auto"/>
              <w:bottom w:val="single" w:sz="4" w:space="0" w:color="auto"/>
            </w:tcBorders>
          </w:tcPr>
          <w:p w14:paraId="78214F3E" w14:textId="34E15F8F" w:rsidR="00B40635" w:rsidRDefault="00B40635" w:rsidP="00B40635">
            <w:pPr>
              <w:pStyle w:val="TableText"/>
            </w:pPr>
            <w:r w:rsidRPr="57352DF8">
              <w:t>Microinvertebrates are invertebrate species where full-grown adults are typically &lt;</w:t>
            </w:r>
            <w:r w:rsidR="007D29E9">
              <w:t> </w:t>
            </w:r>
            <w:r w:rsidRPr="57352DF8">
              <w:t xml:space="preserve">2 mm long. Examples of invertebrates that meet this criterion are some cladocerans </w:t>
            </w:r>
            <w:r>
              <w:t>(e.g.</w:t>
            </w:r>
            <w:r w:rsidRPr="57352DF8">
              <w:t> </w:t>
            </w:r>
            <w:r w:rsidRPr="57352DF8">
              <w:rPr>
                <w:i/>
                <w:iCs/>
              </w:rPr>
              <w:t>Ceriodaphnia dubia</w:t>
            </w:r>
            <w:r w:rsidRPr="57352DF8">
              <w:t xml:space="preserve"> and </w:t>
            </w:r>
            <w:r w:rsidRPr="57352DF8">
              <w:rPr>
                <w:i/>
                <w:iCs/>
              </w:rPr>
              <w:t>Moina australiensis</w:t>
            </w:r>
            <w:r w:rsidRPr="57352DF8">
              <w:t>), copepods, conchostracans, rotifer, acari, bryozoa and hydra</w:t>
            </w:r>
          </w:p>
        </w:tc>
      </w:tr>
      <w:tr w:rsidR="00B40635" w14:paraId="33E166EB" w14:textId="77777777" w:rsidTr="00B40635">
        <w:trPr>
          <w:cantSplit/>
        </w:trPr>
        <w:tc>
          <w:tcPr>
            <w:tcW w:w="1434" w:type="pct"/>
            <w:tcBorders>
              <w:top w:val="single" w:sz="4" w:space="0" w:color="auto"/>
              <w:bottom w:val="single" w:sz="4" w:space="0" w:color="auto"/>
            </w:tcBorders>
          </w:tcPr>
          <w:p w14:paraId="1D4FC7F5" w14:textId="77777777" w:rsidR="00B40635" w:rsidRDefault="00B40635" w:rsidP="00B40635">
            <w:pPr>
              <w:pStyle w:val="TableText"/>
            </w:pPr>
            <w:r w:rsidRPr="007C52D5">
              <w:t>Mode of action</w:t>
            </w:r>
          </w:p>
        </w:tc>
        <w:tc>
          <w:tcPr>
            <w:tcW w:w="3566" w:type="pct"/>
            <w:tcBorders>
              <w:top w:val="single" w:sz="4" w:space="0" w:color="auto"/>
              <w:bottom w:val="single" w:sz="4" w:space="0" w:color="auto"/>
            </w:tcBorders>
          </w:tcPr>
          <w:p w14:paraId="18B6B243" w14:textId="3BB5CB9C" w:rsidR="00B40635" w:rsidRPr="007B75F2" w:rsidRDefault="00B40635" w:rsidP="00B40635">
            <w:pPr>
              <w:pStyle w:val="TableText"/>
            </w:pPr>
            <w:r w:rsidRPr="57352DF8">
              <w:t>A description of how a toxicant exerts its toxicity at a sub-cellular level. This term is used far more frequently in ecotoxicology than the more detailed mechanism of action</w:t>
            </w:r>
          </w:p>
        </w:tc>
      </w:tr>
      <w:tr w:rsidR="00B40635" w14:paraId="285EC840" w14:textId="77777777" w:rsidTr="00B40635">
        <w:trPr>
          <w:cantSplit/>
        </w:trPr>
        <w:tc>
          <w:tcPr>
            <w:tcW w:w="1434" w:type="pct"/>
            <w:tcBorders>
              <w:top w:val="single" w:sz="4" w:space="0" w:color="auto"/>
              <w:bottom w:val="single" w:sz="4" w:space="0" w:color="auto"/>
            </w:tcBorders>
          </w:tcPr>
          <w:p w14:paraId="69361026" w14:textId="56ACB424" w:rsidR="00B40635" w:rsidRPr="00D1598C" w:rsidRDefault="00B40635" w:rsidP="00B40635">
            <w:pPr>
              <w:pStyle w:val="TableText"/>
            </w:pPr>
            <w:r w:rsidRPr="00EB5FA8">
              <w:t xml:space="preserve">Multiple </w:t>
            </w:r>
            <w:r>
              <w:t>l</w:t>
            </w:r>
            <w:r w:rsidRPr="00EB5FA8">
              <w:t xml:space="preserve">inear </w:t>
            </w:r>
            <w:r>
              <w:t>r</w:t>
            </w:r>
            <w:r w:rsidRPr="00EB5FA8">
              <w:t xml:space="preserve">egression </w:t>
            </w:r>
            <w:r>
              <w:t>equations</w:t>
            </w:r>
            <w:r w:rsidRPr="00657832">
              <w:rPr>
                <w:i/>
              </w:rPr>
              <w:t xml:space="preserve"> </w:t>
            </w:r>
            <w:r w:rsidRPr="007B5C5D">
              <w:t>(MLR equations</w:t>
            </w:r>
            <w:r>
              <w:t>)</w:t>
            </w:r>
          </w:p>
        </w:tc>
        <w:tc>
          <w:tcPr>
            <w:tcW w:w="3566" w:type="pct"/>
            <w:tcBorders>
              <w:top w:val="single" w:sz="4" w:space="0" w:color="auto"/>
              <w:bottom w:val="single" w:sz="4" w:space="0" w:color="auto"/>
            </w:tcBorders>
          </w:tcPr>
          <w:p w14:paraId="5A166648" w14:textId="3A879F52" w:rsidR="00B40635" w:rsidRDefault="00B40635" w:rsidP="00B40635">
            <w:pPr>
              <w:pStyle w:val="TableText"/>
            </w:pPr>
            <w:r w:rsidRPr="00657832">
              <w:rPr>
                <w:rStyle w:val="Heading9Char"/>
                <w:rFonts w:asciiTheme="minorHAnsi" w:hAnsiTheme="minorHAnsi"/>
                <w:i w:val="0"/>
                <w:color w:val="auto"/>
                <w:sz w:val="18"/>
                <w:szCs w:val="18"/>
              </w:rPr>
              <w:t>Regression equations where the y parameter is modelled using</w:t>
            </w:r>
            <w:r>
              <w:rPr>
                <w:rStyle w:val="Heading9Char"/>
                <w:rFonts w:asciiTheme="minorHAnsi" w:hAnsiTheme="minorHAnsi"/>
                <w:i w:val="0"/>
                <w:color w:val="auto"/>
                <w:sz w:val="18"/>
                <w:szCs w:val="18"/>
              </w:rPr>
              <w:t xml:space="preserve"> 2</w:t>
            </w:r>
            <w:r w:rsidRPr="00657832">
              <w:rPr>
                <w:rStyle w:val="Heading9Char"/>
                <w:rFonts w:asciiTheme="minorHAnsi" w:hAnsiTheme="minorHAnsi"/>
                <w:i w:val="0"/>
                <w:color w:val="auto"/>
                <w:sz w:val="18"/>
                <w:szCs w:val="18"/>
              </w:rPr>
              <w:t xml:space="preserve"> or more x parameters</w:t>
            </w:r>
          </w:p>
        </w:tc>
      </w:tr>
      <w:tr w:rsidR="00B40635" w14:paraId="17CBF9CE" w14:textId="77777777" w:rsidTr="00B40635">
        <w:trPr>
          <w:cantSplit/>
        </w:trPr>
        <w:tc>
          <w:tcPr>
            <w:tcW w:w="1434" w:type="pct"/>
            <w:tcBorders>
              <w:top w:val="single" w:sz="4" w:space="0" w:color="auto"/>
              <w:bottom w:val="single" w:sz="4" w:space="0" w:color="auto"/>
            </w:tcBorders>
          </w:tcPr>
          <w:p w14:paraId="57350EE6" w14:textId="77777777" w:rsidR="00B40635" w:rsidRPr="00D1598C" w:rsidRDefault="00B40635" w:rsidP="00B40635">
            <w:pPr>
              <w:pStyle w:val="TableText"/>
            </w:pPr>
            <w:r w:rsidRPr="00D1598C">
              <w:lastRenderedPageBreak/>
              <w:t>Multi-generation toxicity test</w:t>
            </w:r>
          </w:p>
        </w:tc>
        <w:tc>
          <w:tcPr>
            <w:tcW w:w="3566" w:type="pct"/>
            <w:tcBorders>
              <w:top w:val="single" w:sz="4" w:space="0" w:color="auto"/>
              <w:bottom w:val="single" w:sz="4" w:space="0" w:color="auto"/>
            </w:tcBorders>
          </w:tcPr>
          <w:p w14:paraId="29896A9E" w14:textId="109F0A9B" w:rsidR="00B40635" w:rsidRDefault="00B40635" w:rsidP="00B40635">
            <w:pPr>
              <w:pStyle w:val="TableText"/>
            </w:pPr>
            <w:r w:rsidRPr="57352DF8">
              <w:t>A toxicity test that exposes more than one generation of a test organism sequentially to the test chemical. The duration of multi-generation tests depends on the generation time of the test organism. For example, a typical 72-hour test for a microalga is a multi-generation test. However, a multi-generation test on a fish species could take months to years. Typically</w:t>
            </w:r>
            <w:r w:rsidR="008D29DC">
              <w:t>,</w:t>
            </w:r>
            <w:r w:rsidRPr="57352DF8">
              <w:t xml:space="preserve"> a multi-generation test will be of shorter duration than the average life span of the test organism. Multi-generation toxicity tests can only generate chronic toxicity data</w:t>
            </w:r>
          </w:p>
        </w:tc>
      </w:tr>
      <w:tr w:rsidR="00B40635" w14:paraId="7D0C98F0" w14:textId="77777777" w:rsidTr="00B40635">
        <w:trPr>
          <w:cantSplit/>
        </w:trPr>
        <w:tc>
          <w:tcPr>
            <w:tcW w:w="1434" w:type="pct"/>
            <w:tcBorders>
              <w:top w:val="single" w:sz="4" w:space="0" w:color="auto"/>
              <w:bottom w:val="single" w:sz="4" w:space="0" w:color="auto"/>
            </w:tcBorders>
          </w:tcPr>
          <w:p w14:paraId="3D3B1D66" w14:textId="7DCCDE73" w:rsidR="00B40635" w:rsidRPr="00D1598C" w:rsidRDefault="00B40635" w:rsidP="00B40635">
            <w:pPr>
              <w:pStyle w:val="TableText"/>
            </w:pPr>
            <w:r>
              <w:t>Negligible effect</w:t>
            </w:r>
          </w:p>
        </w:tc>
        <w:tc>
          <w:tcPr>
            <w:tcW w:w="3566" w:type="pct"/>
            <w:tcBorders>
              <w:top w:val="single" w:sz="4" w:space="0" w:color="auto"/>
              <w:bottom w:val="single" w:sz="4" w:space="0" w:color="auto"/>
            </w:tcBorders>
          </w:tcPr>
          <w:p w14:paraId="1FE3B111" w14:textId="362794BE" w:rsidR="00B40635" w:rsidRPr="00EB5FA8" w:rsidRDefault="00B40635" w:rsidP="00B40635">
            <w:pPr>
              <w:pStyle w:val="TableText"/>
            </w:pPr>
            <w:r w:rsidRPr="57352DF8">
              <w:t>Corresponding to an estimated no</w:t>
            </w:r>
            <w:r w:rsidR="00C932B8">
              <w:t>-</w:t>
            </w:r>
            <w:r w:rsidRPr="57352DF8">
              <w:t>effect or acceptable</w:t>
            </w:r>
            <w:r w:rsidR="00C932B8">
              <w:t>-</w:t>
            </w:r>
            <w:r w:rsidRPr="57352DF8">
              <w:t xml:space="preserve">effect level; </w:t>
            </w:r>
            <w:r>
              <w:t>negligible-effect</w:t>
            </w:r>
            <w:r w:rsidRPr="57352DF8">
              <w:t xml:space="preserve"> concentrations typically include the NEC, NSEC, BEC10, ECx/ICx where x</w:t>
            </w:r>
            <w:r w:rsidR="00972000">
              <w:t> </w:t>
            </w:r>
            <w:r w:rsidRPr="57352DF8">
              <w:t>≤</w:t>
            </w:r>
            <w:r w:rsidR="00972000">
              <w:t> </w:t>
            </w:r>
            <w:r w:rsidRPr="57352DF8">
              <w:t>10, and NOEC, but if necessary, can also include the ECx/ICx where x is &gt;</w:t>
            </w:r>
            <w:r w:rsidR="00972000">
              <w:t> </w:t>
            </w:r>
            <w:r w:rsidRPr="57352DF8">
              <w:t>10 and ≤</w:t>
            </w:r>
            <w:r w:rsidR="00972000">
              <w:t> </w:t>
            </w:r>
            <w:r w:rsidRPr="57352DF8">
              <w:t>20</w:t>
            </w:r>
          </w:p>
        </w:tc>
      </w:tr>
      <w:tr w:rsidR="001A3D02" w14:paraId="5D9422FA" w14:textId="77777777" w:rsidTr="00B40635">
        <w:trPr>
          <w:cantSplit/>
        </w:trPr>
        <w:tc>
          <w:tcPr>
            <w:tcW w:w="1434" w:type="pct"/>
            <w:tcBorders>
              <w:top w:val="single" w:sz="4" w:space="0" w:color="auto"/>
              <w:bottom w:val="single" w:sz="4" w:space="0" w:color="auto"/>
            </w:tcBorders>
          </w:tcPr>
          <w:p w14:paraId="1C903453" w14:textId="434B4C6C" w:rsidR="001A3D02" w:rsidRDefault="001A3D02" w:rsidP="001A3D02">
            <w:pPr>
              <w:pStyle w:val="TableText"/>
            </w:pPr>
            <w:r>
              <w:t>No-effect concentration (</w:t>
            </w:r>
            <w:r w:rsidRPr="00D1598C">
              <w:t>NEC</w:t>
            </w:r>
            <w:r>
              <w:t>)</w:t>
            </w:r>
          </w:p>
        </w:tc>
        <w:tc>
          <w:tcPr>
            <w:tcW w:w="3566" w:type="pct"/>
            <w:tcBorders>
              <w:top w:val="single" w:sz="4" w:space="0" w:color="auto"/>
              <w:bottom w:val="single" w:sz="4" w:space="0" w:color="auto"/>
            </w:tcBorders>
          </w:tcPr>
          <w:p w14:paraId="63340441" w14:textId="3ABF9D22" w:rsidR="001A3D02" w:rsidRPr="00EB5FA8" w:rsidRDefault="001A3D02" w:rsidP="001A3D02">
            <w:pPr>
              <w:pStyle w:val="TableText"/>
            </w:pPr>
            <w:r>
              <w:rPr>
                <w:lang w:val="en-GB" w:eastAsia="ja-JP"/>
              </w:rPr>
              <w:t>T</w:t>
            </w:r>
            <w:r w:rsidRPr="0020248D">
              <w:rPr>
                <w:lang w:val="en-GB" w:eastAsia="ja-JP"/>
              </w:rPr>
              <w:t xml:space="preserve">he maximum concentration </w:t>
            </w:r>
            <w:r>
              <w:rPr>
                <w:lang w:val="en-GB" w:eastAsia="ja-JP"/>
              </w:rPr>
              <w:t xml:space="preserve">of a toxicant that </w:t>
            </w:r>
            <w:r w:rsidRPr="0020248D">
              <w:rPr>
                <w:lang w:val="en-GB" w:eastAsia="ja-JP"/>
              </w:rPr>
              <w:t>causes no adverse effect in a target organism</w:t>
            </w:r>
            <w:r>
              <w:rPr>
                <w:lang w:val="en-GB" w:eastAsia="ja-JP"/>
              </w:rPr>
              <w:t>, based on a threshold parameter in a concentration–response model</w:t>
            </w:r>
          </w:p>
        </w:tc>
      </w:tr>
      <w:tr w:rsidR="009E78D6" w14:paraId="25F8ED91" w14:textId="77777777" w:rsidTr="00B40635">
        <w:trPr>
          <w:cantSplit/>
        </w:trPr>
        <w:tc>
          <w:tcPr>
            <w:tcW w:w="1434" w:type="pct"/>
            <w:tcBorders>
              <w:top w:val="single" w:sz="4" w:space="0" w:color="auto"/>
              <w:bottom w:val="single" w:sz="4" w:space="0" w:color="auto"/>
            </w:tcBorders>
          </w:tcPr>
          <w:p w14:paraId="4E52167C" w14:textId="7EF5F45B" w:rsidR="009E78D6" w:rsidRPr="00D1598C" w:rsidRDefault="009E78D6" w:rsidP="009E78D6">
            <w:pPr>
              <w:pStyle w:val="TableText"/>
            </w:pPr>
            <w:r>
              <w:t>No-observed-effect concentration (</w:t>
            </w:r>
            <w:r w:rsidRPr="00D1598C">
              <w:t>NOEC</w:t>
            </w:r>
            <w:r>
              <w:t>)</w:t>
            </w:r>
          </w:p>
        </w:tc>
        <w:tc>
          <w:tcPr>
            <w:tcW w:w="3566" w:type="pct"/>
            <w:tcBorders>
              <w:top w:val="single" w:sz="4" w:space="0" w:color="auto"/>
              <w:bottom w:val="single" w:sz="4" w:space="0" w:color="auto"/>
            </w:tcBorders>
          </w:tcPr>
          <w:p w14:paraId="3E35833F" w14:textId="7BA04686" w:rsidR="009E78D6" w:rsidRDefault="009E78D6" w:rsidP="009E78D6">
            <w:pPr>
              <w:pStyle w:val="TableText"/>
            </w:pPr>
            <w:r>
              <w:rPr>
                <w:lang w:eastAsia="ja-JP"/>
              </w:rPr>
              <w:t>T</w:t>
            </w:r>
            <w:r w:rsidRPr="000158D8">
              <w:rPr>
                <w:lang w:eastAsia="ja-JP"/>
              </w:rPr>
              <w:t xml:space="preserve">he highest concentration of a </w:t>
            </w:r>
            <w:r>
              <w:rPr>
                <w:lang w:eastAsia="ja-JP"/>
              </w:rPr>
              <w:t>toxicant</w:t>
            </w:r>
            <w:r w:rsidRPr="000158D8">
              <w:rPr>
                <w:lang w:eastAsia="ja-JP"/>
              </w:rPr>
              <w:t xml:space="preserve"> used in a toxicity test that </w:t>
            </w:r>
            <w:r>
              <w:rPr>
                <w:lang w:eastAsia="ja-JP"/>
              </w:rPr>
              <w:t>does not have a</w:t>
            </w:r>
            <w:r w:rsidRPr="000158D8">
              <w:rPr>
                <w:lang w:eastAsia="ja-JP"/>
              </w:rPr>
              <w:t xml:space="preserve"> statistically significant </w:t>
            </w:r>
            <w:r>
              <w:rPr>
                <w:lang w:eastAsia="ja-JP"/>
              </w:rPr>
              <w:t>(</w:t>
            </w:r>
            <w:r w:rsidRPr="00585FD8">
              <w:rPr>
                <w:lang w:eastAsia="ja-JP"/>
              </w:rPr>
              <w:t>p</w:t>
            </w:r>
            <w:r>
              <w:rPr>
                <w:lang w:eastAsia="ja-JP"/>
              </w:rPr>
              <w:t> </w:t>
            </w:r>
            <w:r w:rsidRPr="00585FD8">
              <w:rPr>
                <w:lang w:eastAsia="ja-JP"/>
              </w:rPr>
              <w:t>≤</w:t>
            </w:r>
            <w:r>
              <w:rPr>
                <w:lang w:eastAsia="ja-JP"/>
              </w:rPr>
              <w:t> </w:t>
            </w:r>
            <w:r w:rsidRPr="00585FD8">
              <w:rPr>
                <w:lang w:eastAsia="ja-JP"/>
              </w:rPr>
              <w:t xml:space="preserve">0.05) </w:t>
            </w:r>
            <w:r w:rsidRPr="000158D8">
              <w:rPr>
                <w:lang w:eastAsia="ja-JP"/>
              </w:rPr>
              <w:t>adverse effect on the exposed population of test organisms as compared with the controls</w:t>
            </w:r>
          </w:p>
        </w:tc>
      </w:tr>
      <w:tr w:rsidR="00B40635" w14:paraId="51CA7445" w14:textId="77777777" w:rsidTr="00B40635">
        <w:trPr>
          <w:cantSplit/>
        </w:trPr>
        <w:tc>
          <w:tcPr>
            <w:tcW w:w="1434" w:type="pct"/>
            <w:tcBorders>
              <w:top w:val="single" w:sz="4" w:space="0" w:color="auto"/>
              <w:bottom w:val="single" w:sz="4" w:space="0" w:color="auto"/>
            </w:tcBorders>
          </w:tcPr>
          <w:p w14:paraId="59BE99CF" w14:textId="270B46DB" w:rsidR="00B40635" w:rsidRPr="00D1598C" w:rsidRDefault="00B40635" w:rsidP="00B40635">
            <w:pPr>
              <w:pStyle w:val="TableText"/>
            </w:pPr>
            <w:r>
              <w:t>Nominal concentration</w:t>
            </w:r>
          </w:p>
        </w:tc>
        <w:tc>
          <w:tcPr>
            <w:tcW w:w="3566" w:type="pct"/>
            <w:tcBorders>
              <w:top w:val="single" w:sz="4" w:space="0" w:color="auto"/>
              <w:bottom w:val="single" w:sz="4" w:space="0" w:color="auto"/>
            </w:tcBorders>
          </w:tcPr>
          <w:p w14:paraId="001F74A4" w14:textId="4EBE6A3B" w:rsidR="00B40635" w:rsidRPr="00A93ED0" w:rsidRDefault="00B40635" w:rsidP="00B40635">
            <w:pPr>
              <w:pStyle w:val="TableText"/>
            </w:pPr>
            <w:r>
              <w:t xml:space="preserve">The quantity of a chemical added to a unit volume of test media. This concentration has not been confirmed by analytical measurement. It is the opposite of a measured concentration (see </w:t>
            </w:r>
            <w:r w:rsidR="009E78D6">
              <w:t>glossary entry for ‘Measured concentration’</w:t>
            </w:r>
            <w:r>
              <w:t>)</w:t>
            </w:r>
          </w:p>
        </w:tc>
      </w:tr>
      <w:tr w:rsidR="00B40635" w14:paraId="57387273" w14:textId="77777777" w:rsidTr="00B40635">
        <w:trPr>
          <w:cantSplit/>
        </w:trPr>
        <w:tc>
          <w:tcPr>
            <w:tcW w:w="1434" w:type="pct"/>
            <w:tcBorders>
              <w:top w:val="single" w:sz="4" w:space="0" w:color="auto"/>
              <w:bottom w:val="single" w:sz="4" w:space="0" w:color="auto"/>
            </w:tcBorders>
          </w:tcPr>
          <w:p w14:paraId="52B9AA5F" w14:textId="329EDD80" w:rsidR="00B40635" w:rsidRDefault="0050282F" w:rsidP="00B40635">
            <w:pPr>
              <w:pStyle w:val="TableText"/>
            </w:pPr>
            <w:r>
              <w:t>No</w:t>
            </w:r>
            <w:r w:rsidR="00A50A4B">
              <w:t>-</w:t>
            </w:r>
            <w:r>
              <w:t>significant</w:t>
            </w:r>
            <w:r w:rsidR="00A50A4B">
              <w:t>-</w:t>
            </w:r>
            <w:r>
              <w:t>effect concentration (</w:t>
            </w:r>
            <w:r w:rsidR="00B40635">
              <w:t>NSEC</w:t>
            </w:r>
            <w:r>
              <w:t>)</w:t>
            </w:r>
          </w:p>
        </w:tc>
        <w:tc>
          <w:tcPr>
            <w:tcW w:w="3566" w:type="pct"/>
            <w:tcBorders>
              <w:top w:val="single" w:sz="4" w:space="0" w:color="auto"/>
              <w:bottom w:val="single" w:sz="4" w:space="0" w:color="auto"/>
            </w:tcBorders>
          </w:tcPr>
          <w:p w14:paraId="37C9E3E4" w14:textId="13A43B17" w:rsidR="00B40635" w:rsidRDefault="0050282F" w:rsidP="00B40635">
            <w:pPr>
              <w:pStyle w:val="TableText"/>
            </w:pPr>
            <w:r>
              <w:t>The highest concentration for which the difference between the predicted response at that concentration is statistically insignificant from the predicted response at zero concentration, as estimated from a monotonically decreasing model</w:t>
            </w:r>
            <w:r w:rsidR="00B40635">
              <w:t xml:space="preserve"> (see Fisher and Fox 2023)</w:t>
            </w:r>
          </w:p>
        </w:tc>
      </w:tr>
      <w:tr w:rsidR="00B40635" w14:paraId="0172B68A" w14:textId="77777777" w:rsidTr="00B40635">
        <w:trPr>
          <w:cantSplit/>
        </w:trPr>
        <w:tc>
          <w:tcPr>
            <w:tcW w:w="1434" w:type="pct"/>
            <w:tcBorders>
              <w:top w:val="single" w:sz="4" w:space="0" w:color="auto"/>
              <w:bottom w:val="single" w:sz="4" w:space="0" w:color="auto"/>
            </w:tcBorders>
          </w:tcPr>
          <w:p w14:paraId="747F3C85" w14:textId="15E38A4F" w:rsidR="00B40635" w:rsidRPr="00D1598C" w:rsidRDefault="00B40635" w:rsidP="00B40635">
            <w:pPr>
              <w:pStyle w:val="TableText"/>
            </w:pPr>
            <w:r>
              <w:t>Octanol–water partition coefficient (K</w:t>
            </w:r>
            <w:r w:rsidRPr="00E925CE">
              <w:rPr>
                <w:vertAlign w:val="subscript"/>
              </w:rPr>
              <w:t>OW</w:t>
            </w:r>
            <w:r>
              <w:t>)</w:t>
            </w:r>
          </w:p>
        </w:tc>
        <w:tc>
          <w:tcPr>
            <w:tcW w:w="3566" w:type="pct"/>
            <w:tcBorders>
              <w:top w:val="single" w:sz="4" w:space="0" w:color="auto"/>
              <w:bottom w:val="single" w:sz="4" w:space="0" w:color="auto"/>
            </w:tcBorders>
          </w:tcPr>
          <w:p w14:paraId="5041A563" w14:textId="0F6F9DB7" w:rsidR="00B40635" w:rsidRDefault="00B40635" w:rsidP="00B40635">
            <w:pPr>
              <w:pStyle w:val="TableText"/>
            </w:pPr>
            <w:r w:rsidRPr="57352DF8">
              <w:t xml:space="preserve">The ratio of the concentration of a chemical dissolved in octanol to that dissolved in water once equilibrium is reached. This is usually expressed as a logarithm to the base 10 </w:t>
            </w:r>
            <w:r>
              <w:t>(i.e.</w:t>
            </w:r>
            <w:r w:rsidRPr="57352DF8">
              <w:t xml:space="preserve"> log</w:t>
            </w:r>
            <w:r>
              <w:t>-</w:t>
            </w:r>
            <w:r w:rsidRPr="57352DF8">
              <w:t>K</w:t>
            </w:r>
            <w:r w:rsidRPr="00E925CE">
              <w:rPr>
                <w:vertAlign w:val="subscript"/>
              </w:rPr>
              <w:t>OW</w:t>
            </w:r>
            <w:r w:rsidRPr="57352DF8">
              <w:t>). High K</w:t>
            </w:r>
            <w:r w:rsidRPr="00E925CE">
              <w:rPr>
                <w:vertAlign w:val="subscript"/>
              </w:rPr>
              <w:t>OW</w:t>
            </w:r>
            <w:r w:rsidRPr="57352DF8">
              <w:t xml:space="preserve"> values </w:t>
            </w:r>
            <w:r>
              <w:t>(e.g.</w:t>
            </w:r>
            <w:r w:rsidRPr="57352DF8">
              <w:t xml:space="preserve"> log</w:t>
            </w:r>
            <w:r>
              <w:t>-</w:t>
            </w:r>
            <w:r w:rsidRPr="57352DF8">
              <w:t>K</w:t>
            </w:r>
            <w:r w:rsidRPr="00E925CE">
              <w:rPr>
                <w:vertAlign w:val="subscript"/>
              </w:rPr>
              <w:t>OW</w:t>
            </w:r>
            <w:r w:rsidRPr="57352DF8">
              <w:t xml:space="preserve"> values between 4 and 7.5) indicate a high solubility in lipids (fats in tissue) and high bioaccumulation potential</w:t>
            </w:r>
          </w:p>
        </w:tc>
      </w:tr>
      <w:tr w:rsidR="00B40635" w14:paraId="594835ED" w14:textId="77777777" w:rsidTr="00B40635">
        <w:trPr>
          <w:cantSplit/>
        </w:trPr>
        <w:tc>
          <w:tcPr>
            <w:tcW w:w="1434" w:type="pct"/>
            <w:tcBorders>
              <w:top w:val="single" w:sz="4" w:space="0" w:color="auto"/>
              <w:bottom w:val="single" w:sz="4" w:space="0" w:color="auto"/>
            </w:tcBorders>
          </w:tcPr>
          <w:p w14:paraId="28D16B01" w14:textId="77777777" w:rsidR="00B40635" w:rsidRPr="00D1598C" w:rsidRDefault="00B40635" w:rsidP="00B40635">
            <w:pPr>
              <w:pStyle w:val="TableText"/>
            </w:pPr>
            <w:r w:rsidRPr="00D1598C">
              <w:t>Organism</w:t>
            </w:r>
          </w:p>
        </w:tc>
        <w:tc>
          <w:tcPr>
            <w:tcW w:w="3566" w:type="pct"/>
            <w:tcBorders>
              <w:top w:val="single" w:sz="4" w:space="0" w:color="auto"/>
              <w:bottom w:val="single" w:sz="4" w:space="0" w:color="auto"/>
            </w:tcBorders>
          </w:tcPr>
          <w:p w14:paraId="0502D8EA" w14:textId="4C0FC0C7" w:rsidR="00B40635" w:rsidRDefault="00B40635" w:rsidP="00B40635">
            <w:pPr>
              <w:pStyle w:val="TableText"/>
            </w:pPr>
            <w:r w:rsidRPr="00EB5FA8">
              <w:t>Any living animal or plant</w:t>
            </w:r>
          </w:p>
        </w:tc>
      </w:tr>
      <w:tr w:rsidR="00B40635" w14:paraId="4D775037" w14:textId="77777777" w:rsidTr="00B40635">
        <w:trPr>
          <w:cantSplit/>
        </w:trPr>
        <w:tc>
          <w:tcPr>
            <w:tcW w:w="1434" w:type="pct"/>
            <w:tcBorders>
              <w:top w:val="single" w:sz="4" w:space="0" w:color="auto"/>
              <w:bottom w:val="single" w:sz="4" w:space="0" w:color="auto"/>
            </w:tcBorders>
          </w:tcPr>
          <w:p w14:paraId="4249AE09" w14:textId="2C7273A9" w:rsidR="00B40635" w:rsidRPr="00D1598C" w:rsidRDefault="00B40635" w:rsidP="00B40635">
            <w:pPr>
              <w:pStyle w:val="TableText"/>
            </w:pPr>
            <w:r w:rsidRPr="57352DF8">
              <w:t>Persistent, bioaccumulative and toxic substances (PBT)</w:t>
            </w:r>
          </w:p>
        </w:tc>
        <w:tc>
          <w:tcPr>
            <w:tcW w:w="3566" w:type="pct"/>
            <w:tcBorders>
              <w:top w:val="single" w:sz="4" w:space="0" w:color="auto"/>
              <w:bottom w:val="single" w:sz="4" w:space="0" w:color="auto"/>
            </w:tcBorders>
          </w:tcPr>
          <w:p w14:paraId="1FA664D7" w14:textId="32EA84F4" w:rsidR="00B40635" w:rsidRDefault="00B40635" w:rsidP="00B40635">
            <w:pPr>
              <w:pStyle w:val="TableText"/>
            </w:pPr>
            <w:r w:rsidRPr="57352DF8">
              <w:t>Substances that persist in the environment, bioaccumulate in organisms and cause toxic effects to humans or organisms from long-term exposure. The exact definitions vary in different jurisdictions</w:t>
            </w:r>
          </w:p>
        </w:tc>
      </w:tr>
      <w:tr w:rsidR="00B40635" w14:paraId="432A6E99" w14:textId="77777777" w:rsidTr="00B40635">
        <w:trPr>
          <w:cantSplit/>
        </w:trPr>
        <w:tc>
          <w:tcPr>
            <w:tcW w:w="1434" w:type="pct"/>
            <w:tcBorders>
              <w:top w:val="single" w:sz="4" w:space="0" w:color="auto"/>
              <w:bottom w:val="single" w:sz="4" w:space="0" w:color="auto"/>
            </w:tcBorders>
          </w:tcPr>
          <w:p w14:paraId="754D2C16" w14:textId="77777777" w:rsidR="00B40635" w:rsidRPr="00D1598C" w:rsidRDefault="00B40635" w:rsidP="00B40635">
            <w:pPr>
              <w:pStyle w:val="TableText"/>
            </w:pPr>
            <w:r w:rsidRPr="00D1598C">
              <w:t>PC</w:t>
            </w:r>
          </w:p>
        </w:tc>
        <w:tc>
          <w:tcPr>
            <w:tcW w:w="3566" w:type="pct"/>
            <w:tcBorders>
              <w:top w:val="single" w:sz="4" w:space="0" w:color="auto"/>
              <w:bottom w:val="single" w:sz="4" w:space="0" w:color="auto"/>
            </w:tcBorders>
          </w:tcPr>
          <w:p w14:paraId="2CA14D97" w14:textId="118EBEFF" w:rsidR="00B40635" w:rsidRDefault="00B40635" w:rsidP="00B40635">
            <w:pPr>
              <w:pStyle w:val="TableText"/>
            </w:pPr>
            <w:r w:rsidRPr="00EB5FA8">
              <w:t>Protective concentration. A PC95 is the concentration that should protect 95% of species</w:t>
            </w:r>
          </w:p>
        </w:tc>
      </w:tr>
      <w:tr w:rsidR="00B40635" w14:paraId="23D5404A" w14:textId="77777777" w:rsidTr="00B40635">
        <w:trPr>
          <w:cantSplit/>
        </w:trPr>
        <w:tc>
          <w:tcPr>
            <w:tcW w:w="1434" w:type="pct"/>
            <w:tcBorders>
              <w:top w:val="single" w:sz="4" w:space="0" w:color="auto"/>
              <w:bottom w:val="single" w:sz="4" w:space="0" w:color="auto"/>
            </w:tcBorders>
          </w:tcPr>
          <w:p w14:paraId="4DE1CE21" w14:textId="77777777" w:rsidR="00B40635" w:rsidRPr="00D1598C" w:rsidRDefault="00B40635" w:rsidP="00B40635">
            <w:pPr>
              <w:pStyle w:val="TableText"/>
            </w:pPr>
            <w:r w:rsidRPr="00D1598C">
              <w:t>Pesticide</w:t>
            </w:r>
          </w:p>
        </w:tc>
        <w:tc>
          <w:tcPr>
            <w:tcW w:w="3566" w:type="pct"/>
            <w:tcBorders>
              <w:top w:val="single" w:sz="4" w:space="0" w:color="auto"/>
              <w:bottom w:val="single" w:sz="4" w:space="0" w:color="auto"/>
            </w:tcBorders>
          </w:tcPr>
          <w:p w14:paraId="6AADAD10" w14:textId="2C41F3EF" w:rsidR="00B40635" w:rsidRDefault="00B40635" w:rsidP="00B40635">
            <w:pPr>
              <w:pStyle w:val="TableText"/>
            </w:pPr>
            <w:r w:rsidRPr="00EB5FA8">
              <w:t>Substance or mixture of substances used to kill unwanted species of plants or animals</w:t>
            </w:r>
          </w:p>
        </w:tc>
      </w:tr>
      <w:tr w:rsidR="00B40635" w14:paraId="7AEFEA1F" w14:textId="77777777" w:rsidTr="00B40635">
        <w:trPr>
          <w:cantSplit/>
        </w:trPr>
        <w:tc>
          <w:tcPr>
            <w:tcW w:w="1434" w:type="pct"/>
            <w:tcBorders>
              <w:top w:val="single" w:sz="4" w:space="0" w:color="auto"/>
              <w:bottom w:val="single" w:sz="4" w:space="0" w:color="auto"/>
            </w:tcBorders>
          </w:tcPr>
          <w:p w14:paraId="47102BED" w14:textId="77777777" w:rsidR="00B40635" w:rsidRPr="00D1598C" w:rsidRDefault="00B40635" w:rsidP="00B40635">
            <w:pPr>
              <w:pStyle w:val="TableText"/>
            </w:pPr>
            <w:r w:rsidRPr="00D1598C">
              <w:t>pH</w:t>
            </w:r>
          </w:p>
        </w:tc>
        <w:tc>
          <w:tcPr>
            <w:tcW w:w="3566" w:type="pct"/>
            <w:tcBorders>
              <w:top w:val="single" w:sz="4" w:space="0" w:color="auto"/>
              <w:bottom w:val="single" w:sz="4" w:space="0" w:color="auto"/>
            </w:tcBorders>
          </w:tcPr>
          <w:p w14:paraId="52720328" w14:textId="480235C5" w:rsidR="00B40635" w:rsidRDefault="00B40635" w:rsidP="00B40635">
            <w:pPr>
              <w:pStyle w:val="TableText"/>
            </w:pPr>
            <w:r w:rsidRPr="00EB5FA8">
              <w:t>The intensity of the acidic or basic character of a solution, defined as the negative logarithm of the hydrogen</w:t>
            </w:r>
            <w:r w:rsidR="005B5D03">
              <w:t>-</w:t>
            </w:r>
            <w:r w:rsidRPr="00EB5FA8">
              <w:t>ion concentration of a solution</w:t>
            </w:r>
          </w:p>
        </w:tc>
      </w:tr>
      <w:tr w:rsidR="00B40635" w14:paraId="084E3244" w14:textId="77777777" w:rsidTr="00B40635">
        <w:trPr>
          <w:cantSplit/>
        </w:trPr>
        <w:tc>
          <w:tcPr>
            <w:tcW w:w="1434" w:type="pct"/>
            <w:tcBorders>
              <w:top w:val="single" w:sz="4" w:space="0" w:color="auto"/>
              <w:bottom w:val="single" w:sz="4" w:space="0" w:color="auto"/>
            </w:tcBorders>
          </w:tcPr>
          <w:p w14:paraId="60F5AA3C" w14:textId="77777777" w:rsidR="00B40635" w:rsidRPr="00D1598C" w:rsidRDefault="00B40635" w:rsidP="00B40635">
            <w:pPr>
              <w:pStyle w:val="TableText"/>
            </w:pPr>
            <w:r w:rsidRPr="00D1598C">
              <w:t>Phylum</w:t>
            </w:r>
          </w:p>
        </w:tc>
        <w:tc>
          <w:tcPr>
            <w:tcW w:w="3566" w:type="pct"/>
            <w:tcBorders>
              <w:top w:val="single" w:sz="4" w:space="0" w:color="auto"/>
              <w:bottom w:val="single" w:sz="4" w:space="0" w:color="auto"/>
            </w:tcBorders>
          </w:tcPr>
          <w:p w14:paraId="4B90AD1E" w14:textId="72899510" w:rsidR="00B40635" w:rsidRDefault="00B40635" w:rsidP="00B40635">
            <w:pPr>
              <w:pStyle w:val="TableText"/>
            </w:pPr>
            <w:r w:rsidRPr="00EB5FA8">
              <w:t xml:space="preserve">A </w:t>
            </w:r>
            <w:hyperlink r:id="rId64" w:tooltip="Taxonomic rank" w:history="1">
              <w:r w:rsidRPr="00A36322">
                <w:rPr>
                  <w:rStyle w:val="Hyperlink"/>
                  <w:color w:val="000000"/>
                  <w:u w:val="none"/>
                </w:rPr>
                <w:t>taxonomic rank</w:t>
              </w:r>
            </w:hyperlink>
            <w:r w:rsidRPr="00A36322">
              <w:t xml:space="preserve"> below </w:t>
            </w:r>
            <w:hyperlink r:id="rId65" w:tooltip="Kingdom (biology)" w:history="1">
              <w:r w:rsidRPr="00A36322">
                <w:rPr>
                  <w:rStyle w:val="Hyperlink"/>
                  <w:color w:val="000000"/>
                  <w:u w:val="none"/>
                </w:rPr>
                <w:t>kingdom</w:t>
              </w:r>
            </w:hyperlink>
            <w:r w:rsidRPr="00A36322">
              <w:t xml:space="preserve"> and above </w:t>
            </w:r>
            <w:hyperlink r:id="rId66" w:tooltip="Class (biology)" w:history="1">
              <w:r w:rsidRPr="00A36322">
                <w:rPr>
                  <w:rStyle w:val="Hyperlink"/>
                  <w:color w:val="000000"/>
                  <w:u w:val="none"/>
                </w:rPr>
                <w:t>class</w:t>
              </w:r>
            </w:hyperlink>
          </w:p>
        </w:tc>
      </w:tr>
      <w:tr w:rsidR="00B40635" w14:paraId="54A1B4C8" w14:textId="77777777" w:rsidTr="00B40635">
        <w:trPr>
          <w:cantSplit/>
        </w:trPr>
        <w:tc>
          <w:tcPr>
            <w:tcW w:w="1434" w:type="pct"/>
            <w:tcBorders>
              <w:top w:val="single" w:sz="4" w:space="0" w:color="auto"/>
              <w:bottom w:val="single" w:sz="4" w:space="0" w:color="auto"/>
            </w:tcBorders>
          </w:tcPr>
          <w:p w14:paraId="5AB3D895" w14:textId="17D59A90" w:rsidR="00B40635" w:rsidRPr="00D1598C" w:rsidRDefault="00B40635" w:rsidP="00B40635">
            <w:pPr>
              <w:pStyle w:val="TableText"/>
            </w:pPr>
            <w:r w:rsidRPr="00D1598C">
              <w:t>Quality assurance</w:t>
            </w:r>
          </w:p>
        </w:tc>
        <w:tc>
          <w:tcPr>
            <w:tcW w:w="3566" w:type="pct"/>
            <w:tcBorders>
              <w:top w:val="single" w:sz="4" w:space="0" w:color="auto"/>
              <w:bottom w:val="single" w:sz="4" w:space="0" w:color="auto"/>
            </w:tcBorders>
          </w:tcPr>
          <w:p w14:paraId="4088A153" w14:textId="6020030F" w:rsidR="00B40635" w:rsidRDefault="00B40635" w:rsidP="00B40635">
            <w:pPr>
              <w:pStyle w:val="TableText"/>
            </w:pPr>
            <w:r w:rsidRPr="00EB5FA8">
              <w:t xml:space="preserve">The implementation of checks on the success of quality control </w:t>
            </w:r>
            <w:r>
              <w:t>(e.g.</w:t>
            </w:r>
            <w:r w:rsidRPr="00EB5FA8">
              <w:t xml:space="preserve"> replicate samples, analysis of samples of known concentration)</w:t>
            </w:r>
          </w:p>
        </w:tc>
      </w:tr>
      <w:tr w:rsidR="00B40635" w14:paraId="2AB66D4A" w14:textId="77777777" w:rsidTr="00B40635">
        <w:trPr>
          <w:cantSplit/>
        </w:trPr>
        <w:tc>
          <w:tcPr>
            <w:tcW w:w="1434" w:type="pct"/>
            <w:tcBorders>
              <w:top w:val="single" w:sz="4" w:space="0" w:color="auto"/>
              <w:bottom w:val="single" w:sz="4" w:space="0" w:color="auto"/>
            </w:tcBorders>
          </w:tcPr>
          <w:p w14:paraId="5AA14F5F" w14:textId="47222DE4" w:rsidR="00B40635" w:rsidRPr="00D1598C" w:rsidRDefault="00B40635" w:rsidP="00B40635">
            <w:pPr>
              <w:pStyle w:val="TableText"/>
            </w:pPr>
            <w:r w:rsidRPr="00D1598C">
              <w:t>Quality control</w:t>
            </w:r>
          </w:p>
        </w:tc>
        <w:tc>
          <w:tcPr>
            <w:tcW w:w="3566" w:type="pct"/>
            <w:tcBorders>
              <w:top w:val="single" w:sz="4" w:space="0" w:color="auto"/>
              <w:bottom w:val="single" w:sz="4" w:space="0" w:color="auto"/>
            </w:tcBorders>
          </w:tcPr>
          <w:p w14:paraId="796ECCDF" w14:textId="1DBBDC7A" w:rsidR="00B40635" w:rsidRDefault="00B40635" w:rsidP="00B40635">
            <w:pPr>
              <w:pStyle w:val="TableText"/>
            </w:pPr>
            <w:r w:rsidRPr="00EB5FA8">
              <w:t xml:space="preserve">The implementation of procedures to maximise the integrity of monitoring data </w:t>
            </w:r>
            <w:r>
              <w:t>(e.g.</w:t>
            </w:r>
            <w:r w:rsidRPr="00EB5FA8">
              <w:t xml:space="preserve"> cleaning procedures, contamination avoidance, sample preservation methods)</w:t>
            </w:r>
          </w:p>
        </w:tc>
      </w:tr>
      <w:tr w:rsidR="00B40635" w14:paraId="44D7DB68" w14:textId="77777777" w:rsidTr="00B40635">
        <w:trPr>
          <w:cantSplit/>
        </w:trPr>
        <w:tc>
          <w:tcPr>
            <w:tcW w:w="1434" w:type="pct"/>
            <w:tcBorders>
              <w:top w:val="single" w:sz="4" w:space="0" w:color="auto"/>
              <w:bottom w:val="single" w:sz="4" w:space="0" w:color="auto"/>
            </w:tcBorders>
          </w:tcPr>
          <w:p w14:paraId="338B877A" w14:textId="77777777" w:rsidR="00B40635" w:rsidRPr="00D1598C" w:rsidRDefault="00B40635" w:rsidP="00B40635">
            <w:pPr>
              <w:pStyle w:val="TableText"/>
            </w:pPr>
            <w:r>
              <w:t>Quantitative structure-activity relationship (QSAR)</w:t>
            </w:r>
          </w:p>
        </w:tc>
        <w:tc>
          <w:tcPr>
            <w:tcW w:w="3566" w:type="pct"/>
            <w:tcBorders>
              <w:top w:val="single" w:sz="4" w:space="0" w:color="auto"/>
              <w:bottom w:val="single" w:sz="4" w:space="0" w:color="auto"/>
            </w:tcBorders>
          </w:tcPr>
          <w:p w14:paraId="0AD913C3" w14:textId="3ED0954E" w:rsidR="00B40635" w:rsidRPr="00EB5FA8" w:rsidRDefault="00B40635" w:rsidP="00B40635">
            <w:pPr>
              <w:pStyle w:val="TableText"/>
            </w:pPr>
            <w:r>
              <w:t>A relationship between biological activity (e.g. toxicity) and a physicochemical property or measure of the structure of a group of related chemicals. These are used to predict the activity of chemicals that belong to the same group of chemicals as those used to develop the relationship but for which toxicity data do not exist. Each QSAR can only predict the toxicity to a single species</w:t>
            </w:r>
          </w:p>
        </w:tc>
      </w:tr>
      <w:tr w:rsidR="00B40635" w14:paraId="27707A15" w14:textId="77777777" w:rsidTr="00B40635">
        <w:trPr>
          <w:cantSplit/>
        </w:trPr>
        <w:tc>
          <w:tcPr>
            <w:tcW w:w="1434" w:type="pct"/>
            <w:tcBorders>
              <w:top w:val="single" w:sz="4" w:space="0" w:color="auto"/>
              <w:bottom w:val="single" w:sz="4" w:space="0" w:color="auto"/>
            </w:tcBorders>
          </w:tcPr>
          <w:p w14:paraId="28090E22" w14:textId="77777777" w:rsidR="00B40635" w:rsidRPr="00D1598C" w:rsidRDefault="00B40635" w:rsidP="00B40635">
            <w:pPr>
              <w:pStyle w:val="TableText"/>
            </w:pPr>
            <w:r w:rsidRPr="00D1598C">
              <w:t>Reference toxicant</w:t>
            </w:r>
          </w:p>
        </w:tc>
        <w:tc>
          <w:tcPr>
            <w:tcW w:w="3566" w:type="pct"/>
            <w:tcBorders>
              <w:top w:val="single" w:sz="4" w:space="0" w:color="auto"/>
              <w:bottom w:val="single" w:sz="4" w:space="0" w:color="auto"/>
            </w:tcBorders>
          </w:tcPr>
          <w:p w14:paraId="7E6FF0A9" w14:textId="6A4B035A" w:rsidR="00B40635" w:rsidRDefault="00B40635" w:rsidP="00B40635">
            <w:pPr>
              <w:pStyle w:val="TableText"/>
            </w:pPr>
            <w:r w:rsidRPr="57352DF8">
              <w:t>A reference chemical (toxicant) used in a toxicity test to assess the sensitivity of a test organism and to demonstrate the repeatability of a test and the laboratory's ability to perform the test consistently</w:t>
            </w:r>
          </w:p>
        </w:tc>
      </w:tr>
      <w:tr w:rsidR="00B40635" w14:paraId="026E8BD7" w14:textId="77777777" w:rsidTr="00B40635">
        <w:trPr>
          <w:cantSplit/>
        </w:trPr>
        <w:tc>
          <w:tcPr>
            <w:tcW w:w="1434" w:type="pct"/>
            <w:tcBorders>
              <w:top w:val="single" w:sz="4" w:space="0" w:color="auto"/>
              <w:bottom w:val="single" w:sz="4" w:space="0" w:color="auto"/>
            </w:tcBorders>
          </w:tcPr>
          <w:p w14:paraId="210846AE" w14:textId="77777777" w:rsidR="00B40635" w:rsidRPr="00D1598C" w:rsidRDefault="00B40635" w:rsidP="00B40635">
            <w:pPr>
              <w:pStyle w:val="TableText"/>
            </w:pPr>
            <w:r w:rsidRPr="00D1598C">
              <w:lastRenderedPageBreak/>
              <w:t>Reference condition</w:t>
            </w:r>
          </w:p>
        </w:tc>
        <w:tc>
          <w:tcPr>
            <w:tcW w:w="3566" w:type="pct"/>
            <w:tcBorders>
              <w:top w:val="single" w:sz="4" w:space="0" w:color="auto"/>
              <w:bottom w:val="single" w:sz="4" w:space="0" w:color="auto"/>
            </w:tcBorders>
          </w:tcPr>
          <w:p w14:paraId="558C4CE3" w14:textId="62FCA481" w:rsidR="00B40635" w:rsidRDefault="00B40635" w:rsidP="00B40635">
            <w:pPr>
              <w:pStyle w:val="TableText"/>
            </w:pPr>
            <w:r w:rsidRPr="57352DF8">
              <w:t>An environmental quality or condition that is defined from as many similar systems as possible (including historical data) and used as a benchmark for determining the environmental quality or condition to be achieved or maintained in a particular system of equivalent type</w:t>
            </w:r>
          </w:p>
        </w:tc>
      </w:tr>
      <w:tr w:rsidR="00B40635" w14:paraId="2BEDF593" w14:textId="77777777" w:rsidTr="00B40635">
        <w:trPr>
          <w:cantSplit/>
        </w:trPr>
        <w:tc>
          <w:tcPr>
            <w:tcW w:w="1434" w:type="pct"/>
            <w:tcBorders>
              <w:top w:val="single" w:sz="4" w:space="0" w:color="auto"/>
              <w:bottom w:val="single" w:sz="4" w:space="0" w:color="auto"/>
            </w:tcBorders>
          </w:tcPr>
          <w:p w14:paraId="65F775BE" w14:textId="77777777" w:rsidR="00B40635" w:rsidRPr="00D1598C" w:rsidRDefault="00B40635" w:rsidP="00B40635">
            <w:pPr>
              <w:pStyle w:val="TableText"/>
            </w:pPr>
            <w:r w:rsidRPr="00D1598C">
              <w:t>Risk</w:t>
            </w:r>
          </w:p>
        </w:tc>
        <w:tc>
          <w:tcPr>
            <w:tcW w:w="3566" w:type="pct"/>
            <w:tcBorders>
              <w:top w:val="single" w:sz="4" w:space="0" w:color="auto"/>
              <w:bottom w:val="single" w:sz="4" w:space="0" w:color="auto"/>
            </w:tcBorders>
          </w:tcPr>
          <w:p w14:paraId="616CF488" w14:textId="4452DDB9" w:rsidR="00B40635" w:rsidRDefault="00B40635" w:rsidP="00B40635">
            <w:pPr>
              <w:pStyle w:val="TableText"/>
            </w:pPr>
            <w:r w:rsidRPr="00EB5FA8">
              <w:t>Typically defined by the joint interaction of both the likelihood and consequence of an event having a negative or adverse impact. Estimates of risk may be expressed in absolute or relative terms. Absolute risk is the excess risk due to exposure. Relative risk is the ratio of the risk in the exposed population to the risk in the unexposed population</w:t>
            </w:r>
          </w:p>
        </w:tc>
      </w:tr>
      <w:tr w:rsidR="00B40635" w14:paraId="53FE2C41" w14:textId="77777777" w:rsidTr="00B40635">
        <w:trPr>
          <w:cantSplit/>
        </w:trPr>
        <w:tc>
          <w:tcPr>
            <w:tcW w:w="1434" w:type="pct"/>
            <w:tcBorders>
              <w:top w:val="single" w:sz="4" w:space="0" w:color="auto"/>
              <w:bottom w:val="single" w:sz="4" w:space="0" w:color="auto"/>
            </w:tcBorders>
          </w:tcPr>
          <w:p w14:paraId="62F2DF05" w14:textId="77777777" w:rsidR="00B40635" w:rsidRPr="00D1598C" w:rsidRDefault="00B40635" w:rsidP="00B40635">
            <w:pPr>
              <w:pStyle w:val="TableText"/>
            </w:pPr>
            <w:r w:rsidRPr="00D1598C">
              <w:t>Salinity</w:t>
            </w:r>
          </w:p>
        </w:tc>
        <w:tc>
          <w:tcPr>
            <w:tcW w:w="3566" w:type="pct"/>
            <w:tcBorders>
              <w:top w:val="single" w:sz="4" w:space="0" w:color="auto"/>
              <w:bottom w:val="single" w:sz="4" w:space="0" w:color="auto"/>
            </w:tcBorders>
          </w:tcPr>
          <w:p w14:paraId="1A629BC2" w14:textId="3A10CA10" w:rsidR="00B40635" w:rsidRDefault="00B40635" w:rsidP="00B40635">
            <w:pPr>
              <w:pStyle w:val="TableText"/>
            </w:pPr>
            <w:r w:rsidRPr="00EB5FA8">
              <w:t>The presence of soluble salts in water or soils</w:t>
            </w:r>
          </w:p>
        </w:tc>
      </w:tr>
      <w:tr w:rsidR="00B40635" w14:paraId="3153B36D" w14:textId="77777777" w:rsidTr="00B40635">
        <w:trPr>
          <w:cantSplit/>
        </w:trPr>
        <w:tc>
          <w:tcPr>
            <w:tcW w:w="1434" w:type="pct"/>
            <w:tcBorders>
              <w:top w:val="single" w:sz="4" w:space="0" w:color="auto"/>
              <w:bottom w:val="single" w:sz="4" w:space="0" w:color="auto"/>
            </w:tcBorders>
          </w:tcPr>
          <w:p w14:paraId="58F49E17" w14:textId="77777777" w:rsidR="00B40635" w:rsidRPr="00D1598C" w:rsidRDefault="00B40635" w:rsidP="00B40635">
            <w:pPr>
              <w:pStyle w:val="TableText"/>
            </w:pPr>
            <w:r w:rsidRPr="00D1598C">
              <w:t>Sediment</w:t>
            </w:r>
          </w:p>
        </w:tc>
        <w:tc>
          <w:tcPr>
            <w:tcW w:w="3566" w:type="pct"/>
            <w:tcBorders>
              <w:top w:val="single" w:sz="4" w:space="0" w:color="auto"/>
              <w:bottom w:val="single" w:sz="4" w:space="0" w:color="auto"/>
            </w:tcBorders>
          </w:tcPr>
          <w:p w14:paraId="3B61C873" w14:textId="3124A912" w:rsidR="00B40635" w:rsidRDefault="00B40635" w:rsidP="00B40635">
            <w:pPr>
              <w:pStyle w:val="TableText"/>
            </w:pPr>
            <w:r w:rsidRPr="00EB5FA8">
              <w:t>Unconsolidated mineral and organic particulate material that has settled to the bottom of aquatic environments</w:t>
            </w:r>
          </w:p>
        </w:tc>
      </w:tr>
      <w:tr w:rsidR="00B40635" w14:paraId="29A2C430" w14:textId="77777777" w:rsidTr="00B40635">
        <w:trPr>
          <w:cantSplit/>
        </w:trPr>
        <w:tc>
          <w:tcPr>
            <w:tcW w:w="1434" w:type="pct"/>
            <w:tcBorders>
              <w:top w:val="single" w:sz="4" w:space="0" w:color="auto"/>
              <w:bottom w:val="single" w:sz="4" w:space="0" w:color="auto"/>
            </w:tcBorders>
          </w:tcPr>
          <w:p w14:paraId="731739A8" w14:textId="77777777" w:rsidR="00B40635" w:rsidRPr="00D1598C" w:rsidRDefault="00B40635" w:rsidP="00B40635">
            <w:pPr>
              <w:pStyle w:val="TableText"/>
            </w:pPr>
            <w:r w:rsidRPr="00D1598C">
              <w:t>Single-generation toxicity test</w:t>
            </w:r>
          </w:p>
        </w:tc>
        <w:tc>
          <w:tcPr>
            <w:tcW w:w="3566" w:type="pct"/>
            <w:tcBorders>
              <w:top w:val="single" w:sz="4" w:space="0" w:color="auto"/>
              <w:bottom w:val="single" w:sz="4" w:space="0" w:color="auto"/>
            </w:tcBorders>
          </w:tcPr>
          <w:p w14:paraId="5D0BD2CC" w14:textId="59AF5BF0" w:rsidR="00B40635" w:rsidRDefault="00B40635" w:rsidP="00B40635">
            <w:pPr>
              <w:pStyle w:val="TableText"/>
            </w:pPr>
            <w:r>
              <w:t>A</w:t>
            </w:r>
            <w:r w:rsidRPr="00EB5FA8">
              <w:t xml:space="preserve"> toxicity test that exposes a single generation of the test organism to the test chemical. Single-generation toxicity tests can generate either acute or chronic toxicity data, depending on the duration of the exposure (refer to </w:t>
            </w:r>
            <w:r w:rsidR="00EC01D0">
              <w:t>glossary entries for ‘A</w:t>
            </w:r>
            <w:r w:rsidRPr="00EB5FA8">
              <w:t xml:space="preserve">cute </w:t>
            </w:r>
            <w:r w:rsidR="00EC01D0">
              <w:t xml:space="preserve">toxicity’ </w:t>
            </w:r>
            <w:r w:rsidRPr="00EB5FA8">
              <w:t xml:space="preserve">and </w:t>
            </w:r>
            <w:r w:rsidR="00EC01D0">
              <w:t>‘C</w:t>
            </w:r>
            <w:r w:rsidRPr="00EB5FA8">
              <w:t>hronic toxicity</w:t>
            </w:r>
            <w:r w:rsidR="00EC01D0">
              <w:t>’</w:t>
            </w:r>
            <w:r w:rsidRPr="00EB5FA8">
              <w:t>)</w:t>
            </w:r>
          </w:p>
        </w:tc>
      </w:tr>
      <w:tr w:rsidR="00B40635" w14:paraId="126D27E0" w14:textId="77777777" w:rsidTr="00B40635">
        <w:trPr>
          <w:cantSplit/>
        </w:trPr>
        <w:tc>
          <w:tcPr>
            <w:tcW w:w="1434" w:type="pct"/>
            <w:tcBorders>
              <w:top w:val="single" w:sz="4" w:space="0" w:color="auto"/>
              <w:bottom w:val="single" w:sz="4" w:space="0" w:color="auto"/>
            </w:tcBorders>
          </w:tcPr>
          <w:p w14:paraId="644D2460" w14:textId="3766D96F" w:rsidR="00B40635" w:rsidRPr="00D1598C" w:rsidRDefault="00B40635" w:rsidP="00B40635">
            <w:pPr>
              <w:pStyle w:val="TableText"/>
            </w:pPr>
            <w:r w:rsidRPr="00D1598C">
              <w:t xml:space="preserve">Site-specific </w:t>
            </w:r>
            <w:r w:rsidR="00C727B4">
              <w:t>guideline value</w:t>
            </w:r>
          </w:p>
        </w:tc>
        <w:tc>
          <w:tcPr>
            <w:tcW w:w="3566" w:type="pct"/>
            <w:tcBorders>
              <w:top w:val="single" w:sz="4" w:space="0" w:color="auto"/>
              <w:bottom w:val="single" w:sz="4" w:space="0" w:color="auto"/>
            </w:tcBorders>
          </w:tcPr>
          <w:p w14:paraId="7E7966E4" w14:textId="4156DFF0" w:rsidR="00B40635" w:rsidRDefault="00B40635" w:rsidP="00B40635">
            <w:pPr>
              <w:pStyle w:val="TableText"/>
            </w:pPr>
            <w:r w:rsidRPr="001325FA">
              <w:rPr>
                <w:lang w:val="en-US"/>
              </w:rPr>
              <w:t>A guideline value that is relevant to the specific location or conditions that are the focus of a given assessment or issue</w:t>
            </w:r>
          </w:p>
        </w:tc>
      </w:tr>
      <w:tr w:rsidR="00B40635" w14:paraId="4B003253" w14:textId="77777777" w:rsidTr="00B40635">
        <w:trPr>
          <w:cantSplit/>
        </w:trPr>
        <w:tc>
          <w:tcPr>
            <w:tcW w:w="1434" w:type="pct"/>
            <w:tcBorders>
              <w:top w:val="single" w:sz="4" w:space="0" w:color="auto"/>
              <w:bottom w:val="single" w:sz="4" w:space="0" w:color="auto"/>
            </w:tcBorders>
          </w:tcPr>
          <w:p w14:paraId="1B2A1AA3" w14:textId="77777777" w:rsidR="00B40635" w:rsidRPr="00D1598C" w:rsidRDefault="00B40635" w:rsidP="00B40635">
            <w:pPr>
              <w:pStyle w:val="TableText"/>
            </w:pPr>
            <w:r w:rsidRPr="00D1598C">
              <w:t>Species</w:t>
            </w:r>
          </w:p>
        </w:tc>
        <w:tc>
          <w:tcPr>
            <w:tcW w:w="3566" w:type="pct"/>
            <w:tcBorders>
              <w:top w:val="single" w:sz="4" w:space="0" w:color="auto"/>
              <w:bottom w:val="single" w:sz="4" w:space="0" w:color="auto"/>
            </w:tcBorders>
          </w:tcPr>
          <w:p w14:paraId="394C9BC2" w14:textId="4F229F79" w:rsidR="00B40635" w:rsidRDefault="00B40635" w:rsidP="00B40635">
            <w:pPr>
              <w:pStyle w:val="TableText"/>
            </w:pPr>
            <w:r>
              <w:t>A</w:t>
            </w:r>
            <w:r w:rsidRPr="00EB5FA8">
              <w:t xml:space="preserve"> group of organisms that resemble each other to a greater degree than members of other groups and</w:t>
            </w:r>
            <w:r w:rsidRPr="00391DA2">
              <w:t xml:space="preserve"> that form a reproductively isolated group that will not normally breed with members of another group. (Chemical species are differing compounds of an element</w:t>
            </w:r>
            <w:r w:rsidR="00147B34">
              <w:t>.</w:t>
            </w:r>
            <w:r w:rsidRPr="00391DA2">
              <w:t>)</w:t>
            </w:r>
          </w:p>
        </w:tc>
      </w:tr>
      <w:tr w:rsidR="00B40635" w14:paraId="484AA075" w14:textId="77777777" w:rsidTr="00B40635">
        <w:trPr>
          <w:cantSplit/>
        </w:trPr>
        <w:tc>
          <w:tcPr>
            <w:tcW w:w="1434" w:type="pct"/>
            <w:tcBorders>
              <w:top w:val="single" w:sz="4" w:space="0" w:color="auto"/>
              <w:bottom w:val="single" w:sz="4" w:space="0" w:color="auto"/>
            </w:tcBorders>
          </w:tcPr>
          <w:p w14:paraId="71368C24" w14:textId="5E72E595" w:rsidR="00B40635" w:rsidRPr="00D1598C" w:rsidRDefault="00B40635" w:rsidP="00B40635">
            <w:pPr>
              <w:pStyle w:val="TableText"/>
            </w:pPr>
            <w:r>
              <w:t>Standard error (SE)</w:t>
            </w:r>
          </w:p>
        </w:tc>
        <w:tc>
          <w:tcPr>
            <w:tcW w:w="3566" w:type="pct"/>
            <w:tcBorders>
              <w:top w:val="single" w:sz="4" w:space="0" w:color="auto"/>
              <w:bottom w:val="single" w:sz="4" w:space="0" w:color="auto"/>
            </w:tcBorders>
          </w:tcPr>
          <w:p w14:paraId="54AB3CDC" w14:textId="2D550FA4" w:rsidR="00B40635" w:rsidRPr="57352DF8" w:rsidRDefault="00BE23D4" w:rsidP="00B40635">
            <w:pPr>
              <w:pStyle w:val="TableText"/>
            </w:pPr>
            <w:r>
              <w:t>A</w:t>
            </w:r>
            <w:r w:rsidRPr="00BE23D4">
              <w:t xml:space="preserve"> statistic that reveals how accurately sample data represents the whole population</w:t>
            </w:r>
            <w:r>
              <w:t xml:space="preserve">. It is </w:t>
            </w:r>
            <w:r w:rsidRPr="00BE23D4">
              <w:t xml:space="preserve">calculated as the standard deviation </w:t>
            </w:r>
            <w:r>
              <w:t xml:space="preserve">of the sample data </w:t>
            </w:r>
            <w:r w:rsidRPr="00BE23D4">
              <w:t>divided by the square root of the sample size</w:t>
            </w:r>
          </w:p>
        </w:tc>
      </w:tr>
      <w:tr w:rsidR="00B40635" w14:paraId="7217869C" w14:textId="77777777" w:rsidTr="00B40635">
        <w:trPr>
          <w:cantSplit/>
        </w:trPr>
        <w:tc>
          <w:tcPr>
            <w:tcW w:w="1434" w:type="pct"/>
            <w:tcBorders>
              <w:top w:val="single" w:sz="4" w:space="0" w:color="auto"/>
              <w:bottom w:val="single" w:sz="4" w:space="0" w:color="auto"/>
            </w:tcBorders>
          </w:tcPr>
          <w:p w14:paraId="056A1249" w14:textId="77777777" w:rsidR="00B40635" w:rsidRPr="00D1598C" w:rsidRDefault="00B40635" w:rsidP="00B40635">
            <w:pPr>
              <w:pStyle w:val="TableText"/>
            </w:pPr>
            <w:r w:rsidRPr="00D1598C">
              <w:t>Stressors</w:t>
            </w:r>
          </w:p>
        </w:tc>
        <w:tc>
          <w:tcPr>
            <w:tcW w:w="3566" w:type="pct"/>
            <w:tcBorders>
              <w:top w:val="single" w:sz="4" w:space="0" w:color="auto"/>
              <w:bottom w:val="single" w:sz="4" w:space="0" w:color="auto"/>
            </w:tcBorders>
          </w:tcPr>
          <w:p w14:paraId="514C2AEC" w14:textId="6A3517BC" w:rsidR="00B40635" w:rsidRDefault="00B40635" w:rsidP="00B40635">
            <w:pPr>
              <w:pStyle w:val="TableText"/>
            </w:pPr>
            <w:r w:rsidRPr="57352DF8">
              <w:t>The physical, chemical or biological factors that can cause an adverse effect on an aquatic ecosystem</w:t>
            </w:r>
            <w:r w:rsidR="00147B34">
              <w:t>,</w:t>
            </w:r>
            <w:r w:rsidRPr="57352DF8">
              <w:t xml:space="preserve"> as measured by the condition indicators</w:t>
            </w:r>
          </w:p>
        </w:tc>
      </w:tr>
      <w:tr w:rsidR="00C43FDB" w14:paraId="3DA4F6C1" w14:textId="77777777" w:rsidTr="00B40635">
        <w:trPr>
          <w:cantSplit/>
        </w:trPr>
        <w:tc>
          <w:tcPr>
            <w:tcW w:w="1434" w:type="pct"/>
            <w:tcBorders>
              <w:top w:val="single" w:sz="4" w:space="0" w:color="auto"/>
              <w:bottom w:val="single" w:sz="4" w:space="0" w:color="auto"/>
            </w:tcBorders>
          </w:tcPr>
          <w:p w14:paraId="0B93F793" w14:textId="77777777" w:rsidR="00C43FDB" w:rsidRPr="00D1598C" w:rsidRDefault="00C43FDB" w:rsidP="00C43FDB">
            <w:pPr>
              <w:pStyle w:val="TableText"/>
            </w:pPr>
            <w:r w:rsidRPr="00391DA2">
              <w:t>Species sensitivity distribution</w:t>
            </w:r>
            <w:r w:rsidRPr="00D1598C">
              <w:t xml:space="preserve"> </w:t>
            </w:r>
            <w:r>
              <w:t>(</w:t>
            </w:r>
            <w:r w:rsidRPr="00D1598C">
              <w:t>SSD</w:t>
            </w:r>
            <w:r>
              <w:t>)</w:t>
            </w:r>
          </w:p>
        </w:tc>
        <w:tc>
          <w:tcPr>
            <w:tcW w:w="3566" w:type="pct"/>
            <w:tcBorders>
              <w:top w:val="single" w:sz="4" w:space="0" w:color="auto"/>
              <w:bottom w:val="single" w:sz="4" w:space="0" w:color="auto"/>
            </w:tcBorders>
          </w:tcPr>
          <w:p w14:paraId="468D8144" w14:textId="7FB04998" w:rsidR="00C43FDB" w:rsidRDefault="00C43FDB" w:rsidP="00C43FDB">
            <w:pPr>
              <w:pStyle w:val="TableText"/>
            </w:pPr>
            <w:r>
              <w:rPr>
                <w:lang w:eastAsia="ja-JP"/>
              </w:rPr>
              <w:t>A</w:t>
            </w:r>
            <w:r w:rsidRPr="006D6161">
              <w:rPr>
                <w:lang w:eastAsia="ja-JP"/>
              </w:rPr>
              <w:t xml:space="preserve"> method that plots the cumulative frequency of species’ sensitivities to a toxicant and fits a statistical distribution to the data. From the distribution, the concentration that should theoretically protect a selected percentage of species can be determined</w:t>
            </w:r>
          </w:p>
        </w:tc>
      </w:tr>
      <w:tr w:rsidR="00B40635" w14:paraId="585EF27A" w14:textId="77777777" w:rsidTr="00B40635">
        <w:trPr>
          <w:cantSplit/>
        </w:trPr>
        <w:tc>
          <w:tcPr>
            <w:tcW w:w="1434" w:type="pct"/>
            <w:tcBorders>
              <w:top w:val="single" w:sz="4" w:space="0" w:color="auto"/>
              <w:bottom w:val="single" w:sz="4" w:space="0" w:color="auto"/>
            </w:tcBorders>
          </w:tcPr>
          <w:p w14:paraId="7C9B16E9" w14:textId="7930A399" w:rsidR="00B40635" w:rsidRPr="00D1598C" w:rsidRDefault="00B40635" w:rsidP="00B40635">
            <w:pPr>
              <w:pStyle w:val="TableText"/>
            </w:pPr>
            <w:r w:rsidRPr="00D1598C">
              <w:t>Sub</w:t>
            </w:r>
            <w:r>
              <w:t>-</w:t>
            </w:r>
            <w:r w:rsidRPr="00D1598C">
              <w:t>lethal</w:t>
            </w:r>
          </w:p>
        </w:tc>
        <w:tc>
          <w:tcPr>
            <w:tcW w:w="3566" w:type="pct"/>
            <w:tcBorders>
              <w:top w:val="single" w:sz="4" w:space="0" w:color="auto"/>
              <w:bottom w:val="single" w:sz="4" w:space="0" w:color="auto"/>
            </w:tcBorders>
          </w:tcPr>
          <w:p w14:paraId="64CAEFD0" w14:textId="5A011FB0" w:rsidR="00B40635" w:rsidRDefault="00B40635" w:rsidP="00B40635">
            <w:pPr>
              <w:pStyle w:val="TableText"/>
            </w:pPr>
            <w:r w:rsidRPr="00391DA2">
              <w:t>Involving a</w:t>
            </w:r>
            <w:r>
              <w:t>n adverse</w:t>
            </w:r>
            <w:r w:rsidRPr="00391DA2">
              <w:t xml:space="preserve"> effect below the level that causes death</w:t>
            </w:r>
          </w:p>
        </w:tc>
      </w:tr>
      <w:tr w:rsidR="00B40635" w14:paraId="55B9F42C" w14:textId="77777777" w:rsidTr="00B40635">
        <w:trPr>
          <w:cantSplit/>
        </w:trPr>
        <w:tc>
          <w:tcPr>
            <w:tcW w:w="1434" w:type="pct"/>
            <w:tcBorders>
              <w:top w:val="single" w:sz="4" w:space="0" w:color="auto"/>
              <w:bottom w:val="single" w:sz="4" w:space="0" w:color="auto"/>
            </w:tcBorders>
          </w:tcPr>
          <w:p w14:paraId="4D890C15" w14:textId="77777777" w:rsidR="00B40635" w:rsidRPr="00D1598C" w:rsidRDefault="00B40635" w:rsidP="00B40635">
            <w:pPr>
              <w:pStyle w:val="TableText"/>
            </w:pPr>
            <w:r w:rsidRPr="00D1598C">
              <w:t>Taxon (taxa)</w:t>
            </w:r>
          </w:p>
        </w:tc>
        <w:tc>
          <w:tcPr>
            <w:tcW w:w="3566" w:type="pct"/>
            <w:tcBorders>
              <w:top w:val="single" w:sz="4" w:space="0" w:color="auto"/>
              <w:bottom w:val="single" w:sz="4" w:space="0" w:color="auto"/>
            </w:tcBorders>
          </w:tcPr>
          <w:p w14:paraId="1DA172B3" w14:textId="21BE81F8" w:rsidR="00B40635" w:rsidRDefault="00B40635" w:rsidP="00B40635">
            <w:pPr>
              <w:pStyle w:val="TableText"/>
            </w:pPr>
            <w:r w:rsidRPr="00391DA2">
              <w:t xml:space="preserve">Any group of organisms considered sufficiently distinct from other such groups to be treated as a separate unit </w:t>
            </w:r>
            <w:r>
              <w:t>(e.g.</w:t>
            </w:r>
            <w:r w:rsidRPr="00391DA2">
              <w:t xml:space="preserve"> species, genera, families)</w:t>
            </w:r>
          </w:p>
        </w:tc>
      </w:tr>
      <w:tr w:rsidR="00B40635" w14:paraId="2EA2100E" w14:textId="77777777" w:rsidTr="00B40635">
        <w:trPr>
          <w:cantSplit/>
        </w:trPr>
        <w:tc>
          <w:tcPr>
            <w:tcW w:w="1434" w:type="pct"/>
            <w:tcBorders>
              <w:top w:val="single" w:sz="4" w:space="0" w:color="auto"/>
              <w:bottom w:val="single" w:sz="4" w:space="0" w:color="auto"/>
            </w:tcBorders>
          </w:tcPr>
          <w:p w14:paraId="59D93032" w14:textId="77777777" w:rsidR="00B40635" w:rsidRPr="00D1598C" w:rsidRDefault="00B40635" w:rsidP="00B40635">
            <w:pPr>
              <w:pStyle w:val="TableText"/>
            </w:pPr>
            <w:r w:rsidRPr="00D1598C">
              <w:t>Taxonomic group</w:t>
            </w:r>
          </w:p>
        </w:tc>
        <w:tc>
          <w:tcPr>
            <w:tcW w:w="3566" w:type="pct"/>
            <w:tcBorders>
              <w:top w:val="single" w:sz="4" w:space="0" w:color="auto"/>
              <w:bottom w:val="single" w:sz="4" w:space="0" w:color="auto"/>
            </w:tcBorders>
          </w:tcPr>
          <w:p w14:paraId="7C1AE3CC" w14:textId="0EF70B97" w:rsidR="00B40635" w:rsidRDefault="00B40635" w:rsidP="00B40635">
            <w:pPr>
              <w:pStyle w:val="TableText"/>
            </w:pPr>
            <w:r w:rsidRPr="57352DF8">
              <w:t>Groups of taxa. For the purposes of deriving a guideline value, taxonomic groups are generally phyla</w:t>
            </w:r>
          </w:p>
        </w:tc>
      </w:tr>
      <w:tr w:rsidR="00B40635" w14:paraId="0ED72954" w14:textId="77777777" w:rsidTr="00B40635">
        <w:trPr>
          <w:cantSplit/>
        </w:trPr>
        <w:tc>
          <w:tcPr>
            <w:tcW w:w="1434" w:type="pct"/>
            <w:tcBorders>
              <w:top w:val="single" w:sz="4" w:space="0" w:color="auto"/>
              <w:bottom w:val="single" w:sz="4" w:space="0" w:color="auto"/>
            </w:tcBorders>
          </w:tcPr>
          <w:p w14:paraId="2729B105" w14:textId="475B0938" w:rsidR="00B40635" w:rsidRPr="00D1598C" w:rsidRDefault="00B40635" w:rsidP="00B40635">
            <w:pPr>
              <w:pStyle w:val="TableText"/>
            </w:pPr>
            <w:r w:rsidRPr="00D1598C">
              <w:t>Technical material</w:t>
            </w:r>
          </w:p>
        </w:tc>
        <w:tc>
          <w:tcPr>
            <w:tcW w:w="3566" w:type="pct"/>
            <w:tcBorders>
              <w:top w:val="single" w:sz="4" w:space="0" w:color="auto"/>
              <w:bottom w:val="single" w:sz="4" w:space="0" w:color="auto"/>
            </w:tcBorders>
          </w:tcPr>
          <w:p w14:paraId="42569677" w14:textId="56B1DB8A" w:rsidR="00B40635" w:rsidRDefault="00B40635" w:rsidP="00B40635">
            <w:pPr>
              <w:pStyle w:val="TableText"/>
            </w:pPr>
            <w:r w:rsidRPr="0065558F">
              <w:t xml:space="preserve">A form of a pesticide </w:t>
            </w:r>
            <w:r>
              <w:t xml:space="preserve">that </w:t>
            </w:r>
            <w:r w:rsidRPr="0065558F">
              <w:t>consists of the active ingredient</w:t>
            </w:r>
            <w:r>
              <w:t xml:space="preserve"> </w:t>
            </w:r>
            <w:r w:rsidRPr="0065558F">
              <w:t xml:space="preserve">plus impurities associated with </w:t>
            </w:r>
            <w:r>
              <w:t xml:space="preserve">the </w:t>
            </w:r>
            <w:r w:rsidRPr="0065558F">
              <w:t xml:space="preserve">manufacture </w:t>
            </w:r>
            <w:r>
              <w:t xml:space="preserve">of the </w:t>
            </w:r>
            <w:r w:rsidR="004E5DF8">
              <w:t>active ingredient</w:t>
            </w:r>
            <w:r>
              <w:t xml:space="preserve"> </w:t>
            </w:r>
            <w:r w:rsidRPr="0065558F">
              <w:t>but</w:t>
            </w:r>
            <w:r w:rsidR="00C77756">
              <w:t xml:space="preserve"> that</w:t>
            </w:r>
            <w:r w:rsidRPr="0065558F">
              <w:t xml:space="preserve"> is free of other </w:t>
            </w:r>
            <w:r>
              <w:t>‘</w:t>
            </w:r>
            <w:r w:rsidRPr="0065558F">
              <w:t>extraneous matter and added modifying agents, except stabilisers if required</w:t>
            </w:r>
            <w:r>
              <w:t>’</w:t>
            </w:r>
            <w:r w:rsidRPr="0065558F">
              <w:t xml:space="preserve"> (APVMA 2014)</w:t>
            </w:r>
            <w:r>
              <w:t>. Technical materials are not formulations</w:t>
            </w:r>
          </w:p>
        </w:tc>
      </w:tr>
      <w:tr w:rsidR="00B40635" w14:paraId="148582E4" w14:textId="77777777" w:rsidTr="00B40635">
        <w:trPr>
          <w:cantSplit/>
        </w:trPr>
        <w:tc>
          <w:tcPr>
            <w:tcW w:w="1434" w:type="pct"/>
            <w:tcBorders>
              <w:top w:val="single" w:sz="4" w:space="0" w:color="auto"/>
              <w:bottom w:val="single" w:sz="4" w:space="0" w:color="auto"/>
            </w:tcBorders>
          </w:tcPr>
          <w:p w14:paraId="6F5923AD" w14:textId="77777777" w:rsidR="00B40635" w:rsidRPr="00D1598C" w:rsidRDefault="00B40635" w:rsidP="00B40635">
            <w:pPr>
              <w:pStyle w:val="TableText"/>
            </w:pPr>
            <w:r w:rsidRPr="00D1598C">
              <w:t>Toxicant</w:t>
            </w:r>
          </w:p>
        </w:tc>
        <w:tc>
          <w:tcPr>
            <w:tcW w:w="3566" w:type="pct"/>
            <w:tcBorders>
              <w:top w:val="single" w:sz="4" w:space="0" w:color="auto"/>
              <w:bottom w:val="single" w:sz="4" w:space="0" w:color="auto"/>
            </w:tcBorders>
          </w:tcPr>
          <w:p w14:paraId="49BA8B79" w14:textId="77777777" w:rsidR="00B40635" w:rsidRPr="0065558F" w:rsidRDefault="00B40635" w:rsidP="00B40635">
            <w:pPr>
              <w:pStyle w:val="TableText"/>
            </w:pPr>
            <w:r w:rsidRPr="00391DA2">
              <w:t>A chemical capable of producing an adverse response (effect) in a biological system, seriously injuring structure or function or producing death. Examples include pesticides</w:t>
            </w:r>
            <w:r>
              <w:t xml:space="preserve"> and metals</w:t>
            </w:r>
          </w:p>
        </w:tc>
      </w:tr>
      <w:tr w:rsidR="00B40635" w14:paraId="2F0DD77C" w14:textId="77777777" w:rsidTr="00B40635">
        <w:trPr>
          <w:cantSplit/>
        </w:trPr>
        <w:tc>
          <w:tcPr>
            <w:tcW w:w="1434" w:type="pct"/>
            <w:tcBorders>
              <w:top w:val="single" w:sz="4" w:space="0" w:color="auto"/>
              <w:bottom w:val="single" w:sz="4" w:space="0" w:color="auto"/>
            </w:tcBorders>
          </w:tcPr>
          <w:p w14:paraId="60FB27D0" w14:textId="77777777" w:rsidR="00B40635" w:rsidRPr="00D1598C" w:rsidRDefault="00B40635" w:rsidP="00B40635">
            <w:pPr>
              <w:pStyle w:val="TableText"/>
            </w:pPr>
            <w:r w:rsidRPr="00D1598C">
              <w:t>Toxicity</w:t>
            </w:r>
          </w:p>
        </w:tc>
        <w:tc>
          <w:tcPr>
            <w:tcW w:w="3566" w:type="pct"/>
            <w:tcBorders>
              <w:top w:val="single" w:sz="4" w:space="0" w:color="auto"/>
              <w:bottom w:val="single" w:sz="4" w:space="0" w:color="auto"/>
            </w:tcBorders>
          </w:tcPr>
          <w:p w14:paraId="1E333F3D" w14:textId="58B30C39" w:rsidR="00B40635" w:rsidRDefault="00B40635" w:rsidP="00B40635">
            <w:pPr>
              <w:pStyle w:val="TableText"/>
            </w:pPr>
            <w:r w:rsidRPr="57352DF8">
              <w:t>The inherent potential or capacity of a material to cause adverse effects in a living organism</w:t>
            </w:r>
          </w:p>
        </w:tc>
      </w:tr>
      <w:tr w:rsidR="00B40635" w14:paraId="3E0CEA02" w14:textId="77777777" w:rsidTr="00B40635">
        <w:trPr>
          <w:cantSplit/>
        </w:trPr>
        <w:tc>
          <w:tcPr>
            <w:tcW w:w="1434" w:type="pct"/>
            <w:tcBorders>
              <w:top w:val="single" w:sz="4" w:space="0" w:color="auto"/>
              <w:bottom w:val="single" w:sz="4" w:space="0" w:color="auto"/>
            </w:tcBorders>
          </w:tcPr>
          <w:p w14:paraId="102C1917" w14:textId="32793A9F" w:rsidR="00B40635" w:rsidRPr="00D1598C" w:rsidRDefault="00B40635" w:rsidP="00B40635">
            <w:pPr>
              <w:pStyle w:val="TableText"/>
            </w:pPr>
            <w:r>
              <w:t>Toxicity-modifying factor (TMF)</w:t>
            </w:r>
          </w:p>
        </w:tc>
        <w:tc>
          <w:tcPr>
            <w:tcW w:w="3566" w:type="pct"/>
            <w:tcBorders>
              <w:top w:val="single" w:sz="4" w:space="0" w:color="auto"/>
              <w:bottom w:val="single" w:sz="4" w:space="0" w:color="auto"/>
            </w:tcBorders>
          </w:tcPr>
          <w:p w14:paraId="06CB3DC2" w14:textId="761452E5" w:rsidR="00B40635" w:rsidRPr="57352DF8" w:rsidRDefault="00BE23D4" w:rsidP="00B40635">
            <w:pPr>
              <w:pStyle w:val="TableText"/>
            </w:pPr>
            <w:r>
              <w:rPr>
                <w:lang w:val="en-NZ"/>
              </w:rPr>
              <w:t>A</w:t>
            </w:r>
            <w:r w:rsidRPr="00BE23D4">
              <w:rPr>
                <w:lang w:val="en-NZ"/>
              </w:rPr>
              <w:t>spects of water chemistry that influence the bioavailability of a compound</w:t>
            </w:r>
            <w:r>
              <w:rPr>
                <w:lang w:val="en-NZ"/>
              </w:rPr>
              <w:t xml:space="preserve"> (e.g. pH water hardness, dissolved organic carbon)</w:t>
            </w:r>
          </w:p>
        </w:tc>
      </w:tr>
      <w:tr w:rsidR="00B40635" w14:paraId="695ED6D9" w14:textId="77777777" w:rsidTr="00B40635">
        <w:trPr>
          <w:cantSplit/>
        </w:trPr>
        <w:tc>
          <w:tcPr>
            <w:tcW w:w="1434" w:type="pct"/>
            <w:tcBorders>
              <w:top w:val="single" w:sz="4" w:space="0" w:color="auto"/>
              <w:bottom w:val="single" w:sz="4" w:space="0" w:color="auto"/>
            </w:tcBorders>
          </w:tcPr>
          <w:p w14:paraId="41107F19" w14:textId="77777777" w:rsidR="00B40635" w:rsidRPr="00D1598C" w:rsidRDefault="00B40635" w:rsidP="00B40635">
            <w:pPr>
              <w:pStyle w:val="TableText"/>
            </w:pPr>
            <w:r w:rsidRPr="00D1598C">
              <w:t>Toxicity test</w:t>
            </w:r>
          </w:p>
        </w:tc>
        <w:tc>
          <w:tcPr>
            <w:tcW w:w="3566" w:type="pct"/>
            <w:tcBorders>
              <w:top w:val="single" w:sz="4" w:space="0" w:color="auto"/>
              <w:bottom w:val="single" w:sz="4" w:space="0" w:color="auto"/>
            </w:tcBorders>
          </w:tcPr>
          <w:p w14:paraId="30E8ADC3" w14:textId="7C0299C5" w:rsidR="00B40635" w:rsidRDefault="00B40635" w:rsidP="00B40635">
            <w:pPr>
              <w:pStyle w:val="TableText"/>
            </w:pPr>
            <w:r w:rsidRPr="57352DF8">
              <w:t>The means by which the toxicity of a chemical or other test material is determined. A toxicity test is used to measure the degree of response produced by exposure to a specific level of stimulus (or concentration of chemical) for a specified test period</w:t>
            </w:r>
          </w:p>
        </w:tc>
      </w:tr>
      <w:tr w:rsidR="00B40635" w14:paraId="09EEDD7A" w14:textId="77777777" w:rsidTr="00B40635">
        <w:trPr>
          <w:cantSplit/>
        </w:trPr>
        <w:tc>
          <w:tcPr>
            <w:tcW w:w="1434" w:type="pct"/>
            <w:tcBorders>
              <w:top w:val="single" w:sz="4" w:space="0" w:color="auto"/>
              <w:bottom w:val="single" w:sz="4" w:space="0" w:color="auto"/>
            </w:tcBorders>
          </w:tcPr>
          <w:p w14:paraId="6B62A756" w14:textId="3983254C" w:rsidR="00B40635" w:rsidRPr="00D1598C" w:rsidRDefault="00B40635" w:rsidP="00B40635">
            <w:pPr>
              <w:pStyle w:val="TableText"/>
            </w:pPr>
            <w:r>
              <w:lastRenderedPageBreak/>
              <w:t>Trigger value</w:t>
            </w:r>
          </w:p>
        </w:tc>
        <w:tc>
          <w:tcPr>
            <w:tcW w:w="3566" w:type="pct"/>
            <w:tcBorders>
              <w:top w:val="single" w:sz="4" w:space="0" w:color="auto"/>
              <w:bottom w:val="single" w:sz="4" w:space="0" w:color="auto"/>
            </w:tcBorders>
          </w:tcPr>
          <w:p w14:paraId="42BA8E38" w14:textId="34B4EC66" w:rsidR="00B40635" w:rsidRPr="00122A56" w:rsidRDefault="00B40635" w:rsidP="00B40635">
            <w:pPr>
              <w:pStyle w:val="TableText"/>
              <w:rPr>
                <w:lang w:val="en-GB"/>
              </w:rPr>
            </w:pPr>
            <w:r>
              <w:t xml:space="preserve">Term used in </w:t>
            </w:r>
            <w:r w:rsidR="00A50A4B">
              <w:t>the</w:t>
            </w:r>
            <w:r>
              <w:t xml:space="preserve"> 2000</w:t>
            </w:r>
            <w:r w:rsidR="00A50A4B">
              <w:t xml:space="preserve"> Guidelines</w:t>
            </w:r>
            <w:r>
              <w:t xml:space="preserve"> to define a guideline value (and which is broadly equivalent to ‘default guideline value’ used in ANZG 2018). It was defined as ‘the </w:t>
            </w:r>
            <w:r w:rsidRPr="00122A56">
              <w:rPr>
                <w:lang w:val="en-GB"/>
              </w:rPr>
              <w:t>concentrations (or loads) of the key performance</w:t>
            </w:r>
            <w:r>
              <w:rPr>
                <w:lang w:val="en-GB"/>
              </w:rPr>
              <w:t xml:space="preserve"> </w:t>
            </w:r>
            <w:r w:rsidRPr="00122A56">
              <w:rPr>
                <w:lang w:val="en-GB"/>
              </w:rPr>
              <w:t>indicators measured for the ecosystem, below which there exists a</w:t>
            </w:r>
            <w:r>
              <w:rPr>
                <w:lang w:val="en-GB"/>
              </w:rPr>
              <w:t xml:space="preserve"> </w:t>
            </w:r>
            <w:r w:rsidRPr="00122A56">
              <w:rPr>
                <w:lang w:val="en-GB"/>
              </w:rPr>
              <w:t>low risk that adverse biological (ecological) effects will occur. They</w:t>
            </w:r>
            <w:r>
              <w:rPr>
                <w:lang w:val="en-GB"/>
              </w:rPr>
              <w:t xml:space="preserve"> </w:t>
            </w:r>
            <w:r w:rsidRPr="00122A56">
              <w:rPr>
                <w:lang w:val="en-GB"/>
              </w:rPr>
              <w:t>indicate a risk of impact if exceeded and should ‘trigger’ some</w:t>
            </w:r>
            <w:r>
              <w:rPr>
                <w:lang w:val="en-GB"/>
              </w:rPr>
              <w:t xml:space="preserve"> </w:t>
            </w:r>
            <w:r w:rsidRPr="00122A56">
              <w:rPr>
                <w:lang w:val="en-GB"/>
              </w:rPr>
              <w:t>action, either further ecosystem specific investigations or</w:t>
            </w:r>
            <w:r>
              <w:rPr>
                <w:lang w:val="en-GB"/>
              </w:rPr>
              <w:t xml:space="preserve"> </w:t>
            </w:r>
            <w:r w:rsidRPr="00122A56">
              <w:rPr>
                <w:lang w:val="en-GB"/>
              </w:rPr>
              <w:t>implementation of management/remedial actions</w:t>
            </w:r>
            <w:r>
              <w:t>’</w:t>
            </w:r>
          </w:p>
        </w:tc>
      </w:tr>
      <w:tr w:rsidR="00B40635" w14:paraId="60B2ADB4" w14:textId="77777777" w:rsidTr="00B40635">
        <w:trPr>
          <w:cantSplit/>
        </w:trPr>
        <w:tc>
          <w:tcPr>
            <w:tcW w:w="1434" w:type="pct"/>
            <w:tcBorders>
              <w:top w:val="single" w:sz="4" w:space="0" w:color="auto"/>
              <w:bottom w:val="single" w:sz="4" w:space="0" w:color="auto"/>
            </w:tcBorders>
          </w:tcPr>
          <w:p w14:paraId="766527D5" w14:textId="77777777" w:rsidR="00B40635" w:rsidRPr="00D1598C" w:rsidRDefault="00B40635" w:rsidP="00B40635">
            <w:pPr>
              <w:pStyle w:val="TableText"/>
            </w:pPr>
            <w:r w:rsidRPr="00D1598C">
              <w:t>Trophic level</w:t>
            </w:r>
          </w:p>
        </w:tc>
        <w:tc>
          <w:tcPr>
            <w:tcW w:w="3566" w:type="pct"/>
            <w:tcBorders>
              <w:top w:val="single" w:sz="4" w:space="0" w:color="auto"/>
              <w:bottom w:val="single" w:sz="4" w:space="0" w:color="auto"/>
            </w:tcBorders>
          </w:tcPr>
          <w:p w14:paraId="21B610E4" w14:textId="55E5133B" w:rsidR="00B40635" w:rsidRDefault="00B40635" w:rsidP="00B40635">
            <w:pPr>
              <w:pStyle w:val="TableText"/>
            </w:pPr>
            <w:r w:rsidRPr="57352DF8">
              <w:t xml:space="preserve">A notional stage in the </w:t>
            </w:r>
            <w:r w:rsidR="002D3843">
              <w:t>‘</w:t>
            </w:r>
            <w:r w:rsidRPr="57352DF8">
              <w:t>food chain</w:t>
            </w:r>
            <w:r w:rsidR="002D3843">
              <w:t>’</w:t>
            </w:r>
            <w:r w:rsidRPr="57352DF8">
              <w:t xml:space="preserve"> that transfers matter and energy through a community; primary producers, herbivores, carnivores and decomposers each occupy a different trophic level</w:t>
            </w:r>
          </w:p>
        </w:tc>
      </w:tr>
      <w:tr w:rsidR="00B40635" w14:paraId="09BF1181" w14:textId="77777777" w:rsidTr="00B40635">
        <w:trPr>
          <w:cantSplit/>
        </w:trPr>
        <w:tc>
          <w:tcPr>
            <w:tcW w:w="1434" w:type="pct"/>
            <w:tcBorders>
              <w:top w:val="single" w:sz="4" w:space="0" w:color="auto"/>
              <w:bottom w:val="single" w:sz="4" w:space="0" w:color="auto"/>
            </w:tcBorders>
          </w:tcPr>
          <w:p w14:paraId="41BEB90B" w14:textId="77777777" w:rsidR="00B40635" w:rsidRPr="00D1598C" w:rsidRDefault="00B40635" w:rsidP="00B40635">
            <w:pPr>
              <w:pStyle w:val="TableText"/>
            </w:pPr>
            <w:r w:rsidRPr="00D1598C">
              <w:t>Uptake</w:t>
            </w:r>
          </w:p>
        </w:tc>
        <w:tc>
          <w:tcPr>
            <w:tcW w:w="3566" w:type="pct"/>
            <w:tcBorders>
              <w:top w:val="single" w:sz="4" w:space="0" w:color="auto"/>
              <w:bottom w:val="single" w:sz="4" w:space="0" w:color="auto"/>
            </w:tcBorders>
          </w:tcPr>
          <w:p w14:paraId="4CCDAEFE" w14:textId="571D3605" w:rsidR="00B40635" w:rsidRDefault="00B40635" w:rsidP="00B40635">
            <w:pPr>
              <w:pStyle w:val="TableText"/>
            </w:pPr>
            <w:r w:rsidRPr="00391DA2">
              <w:t>A process by which materials are absorbed and incorporated into a living organism</w:t>
            </w:r>
          </w:p>
        </w:tc>
      </w:tr>
      <w:tr w:rsidR="00B40635" w14:paraId="28C56CA2" w14:textId="77777777" w:rsidTr="00B40635">
        <w:trPr>
          <w:cantSplit/>
        </w:trPr>
        <w:tc>
          <w:tcPr>
            <w:tcW w:w="1434" w:type="pct"/>
            <w:tcBorders>
              <w:top w:val="single" w:sz="4" w:space="0" w:color="auto"/>
              <w:bottom w:val="single" w:sz="4" w:space="0" w:color="auto"/>
            </w:tcBorders>
          </w:tcPr>
          <w:p w14:paraId="020F436E" w14:textId="77777777" w:rsidR="00B40635" w:rsidRPr="00D1598C" w:rsidRDefault="00B40635" w:rsidP="00B40635">
            <w:pPr>
              <w:pStyle w:val="TableText"/>
            </w:pPr>
            <w:r w:rsidRPr="00D1598C">
              <w:t>Vertebrate</w:t>
            </w:r>
          </w:p>
        </w:tc>
        <w:tc>
          <w:tcPr>
            <w:tcW w:w="3566" w:type="pct"/>
            <w:tcBorders>
              <w:top w:val="single" w:sz="4" w:space="0" w:color="auto"/>
              <w:bottom w:val="single" w:sz="4" w:space="0" w:color="auto"/>
            </w:tcBorders>
          </w:tcPr>
          <w:p w14:paraId="1E9A83F7" w14:textId="16AE3B68" w:rsidR="00B40635" w:rsidRDefault="00B40635" w:rsidP="00B40635">
            <w:pPr>
              <w:pStyle w:val="TableText"/>
            </w:pPr>
            <w:r>
              <w:t>An animal having a backbone</w:t>
            </w:r>
          </w:p>
        </w:tc>
      </w:tr>
      <w:tr w:rsidR="00B40635" w14:paraId="32485965" w14:textId="77777777" w:rsidTr="00B40635">
        <w:trPr>
          <w:cantSplit/>
        </w:trPr>
        <w:tc>
          <w:tcPr>
            <w:tcW w:w="1434" w:type="pct"/>
            <w:tcBorders>
              <w:top w:val="single" w:sz="4" w:space="0" w:color="auto"/>
              <w:bottom w:val="single" w:sz="12" w:space="0" w:color="auto"/>
            </w:tcBorders>
          </w:tcPr>
          <w:p w14:paraId="38E53B6C" w14:textId="604EAA53" w:rsidR="00B40635" w:rsidRPr="00995936" w:rsidRDefault="00B40635" w:rsidP="00B40635">
            <w:pPr>
              <w:pStyle w:val="TableText"/>
            </w:pPr>
            <w:r w:rsidRPr="57352DF8">
              <w:t>Weight of evidence (WoE)</w:t>
            </w:r>
          </w:p>
        </w:tc>
        <w:tc>
          <w:tcPr>
            <w:tcW w:w="3566" w:type="pct"/>
            <w:tcBorders>
              <w:top w:val="single" w:sz="4" w:space="0" w:color="auto"/>
              <w:bottom w:val="single" w:sz="12" w:space="0" w:color="auto"/>
            </w:tcBorders>
          </w:tcPr>
          <w:p w14:paraId="3DD53317" w14:textId="501F9CC5" w:rsidR="00B40635" w:rsidRPr="00995936" w:rsidRDefault="00B40635" w:rsidP="00B40635">
            <w:pPr>
              <w:pStyle w:val="TableText"/>
              <w:ind w:left="-28"/>
            </w:pPr>
            <w:r w:rsidRPr="00995936">
              <w:t>Describes the process to collect, analyse and evaluate a combination of different qualitative, semi-quantitative or quantitative lines of evidence to make an overall assessment of water</w:t>
            </w:r>
            <w:r w:rsidR="00BF27E5">
              <w:t xml:space="preserve"> or </w:t>
            </w:r>
            <w:r w:rsidRPr="00995936">
              <w:t>sediment quality and its associated management.</w:t>
            </w:r>
          </w:p>
          <w:p w14:paraId="4D257D65" w14:textId="2556B123" w:rsidR="00B40635" w:rsidRPr="00995936" w:rsidRDefault="00B40635" w:rsidP="00B40635">
            <w:pPr>
              <w:pStyle w:val="TableText"/>
              <w:ind w:left="-28"/>
            </w:pPr>
            <w:r w:rsidRPr="57352DF8">
              <w:t>Applying a weight-of-evidence process incorporates judgements about the quality, quantity, relevance and congruence of the data contained in the different lines of evidence.</w:t>
            </w:r>
          </w:p>
        </w:tc>
      </w:tr>
    </w:tbl>
    <w:p w14:paraId="4EAB7D11" w14:textId="77777777" w:rsidR="00D636A6" w:rsidRPr="0043350F" w:rsidRDefault="00D636A6" w:rsidP="004D7186">
      <w:pPr>
        <w:pStyle w:val="Heading2"/>
        <w:numPr>
          <w:ilvl w:val="0"/>
          <w:numId w:val="0"/>
        </w:numPr>
      </w:pPr>
      <w:bookmarkStart w:id="202" w:name="_Toc202084785"/>
      <w:bookmarkStart w:id="203" w:name="_Toc206143345"/>
      <w:r>
        <w:lastRenderedPageBreak/>
        <w:t>References</w:t>
      </w:r>
      <w:bookmarkEnd w:id="202"/>
      <w:bookmarkEnd w:id="203"/>
    </w:p>
    <w:p w14:paraId="5D4A0C05" w14:textId="14E7B1EA" w:rsidR="00D636A6" w:rsidRPr="00C924B6" w:rsidRDefault="00D636A6" w:rsidP="004D7186">
      <w:r>
        <w:t>ANZECC</w:t>
      </w:r>
      <w:r w:rsidR="0079714B">
        <w:t xml:space="preserve"> and </w:t>
      </w:r>
      <w:r>
        <w:t xml:space="preserve">ARMCANZ </w:t>
      </w:r>
      <w:r w:rsidR="0079714B">
        <w:rPr>
          <w:lang w:eastAsia="ja-JP"/>
        </w:rPr>
        <w:t>(</w:t>
      </w:r>
      <w:r w:rsidR="0079714B" w:rsidRPr="00ED5FCF">
        <w:rPr>
          <w:lang w:eastAsia="ja-JP"/>
        </w:rPr>
        <w:t>Australian and New Zealand Environment and Conservation Council and Agriculture and Resource Management Council of Australia and New Zealand</w:t>
      </w:r>
      <w:r w:rsidR="0079714B">
        <w:rPr>
          <w:lang w:eastAsia="ja-JP"/>
        </w:rPr>
        <w:t>)</w:t>
      </w:r>
      <w:r w:rsidR="0079714B" w:rsidRPr="00264744">
        <w:t xml:space="preserve"> </w:t>
      </w:r>
      <w:r w:rsidR="0079714B">
        <w:t>(</w:t>
      </w:r>
      <w:r w:rsidR="002B5C66">
        <w:t>2000a</w:t>
      </w:r>
      <w:r w:rsidR="0079714B">
        <w:t>)</w:t>
      </w:r>
      <w:r>
        <w:t xml:space="preserve"> </w:t>
      </w:r>
      <w:hyperlink r:id="rId67" w:history="1">
        <w:r w:rsidRPr="00525B60">
          <w:rPr>
            <w:rStyle w:val="Hyperlink"/>
            <w:i/>
            <w:iCs/>
          </w:rPr>
          <w:t xml:space="preserve">Australian and New Zealand </w:t>
        </w:r>
        <w:r w:rsidR="00DE335E" w:rsidRPr="00525B60">
          <w:rPr>
            <w:rStyle w:val="Hyperlink"/>
            <w:i/>
            <w:iCs/>
          </w:rPr>
          <w:t>guidelines for fresh and marine water quality</w:t>
        </w:r>
        <w:r w:rsidR="00525B60" w:rsidRPr="00525B60">
          <w:rPr>
            <w:rStyle w:val="Hyperlink"/>
            <w:i/>
            <w:iCs/>
          </w:rPr>
          <w:t>.</w:t>
        </w:r>
        <w:r w:rsidRPr="00525B60">
          <w:rPr>
            <w:rStyle w:val="Hyperlink"/>
            <w:i/>
            <w:iCs/>
          </w:rPr>
          <w:t xml:space="preserve"> </w:t>
        </w:r>
        <w:r w:rsidR="10B6CEDE" w:rsidRPr="00525B60">
          <w:rPr>
            <w:rStyle w:val="Hyperlink"/>
            <w:i/>
            <w:iCs/>
          </w:rPr>
          <w:t>V</w:t>
        </w:r>
        <w:r w:rsidR="00DE335E" w:rsidRPr="00525B60">
          <w:rPr>
            <w:rStyle w:val="Hyperlink"/>
            <w:i/>
            <w:iCs/>
          </w:rPr>
          <w:t xml:space="preserve">olume </w:t>
        </w:r>
        <w:r w:rsidRPr="00525B60">
          <w:rPr>
            <w:rStyle w:val="Hyperlink"/>
            <w:i/>
            <w:iCs/>
          </w:rPr>
          <w:t xml:space="preserve">1, The </w:t>
        </w:r>
        <w:r w:rsidR="00DE335E" w:rsidRPr="00525B60">
          <w:rPr>
            <w:rStyle w:val="Hyperlink"/>
            <w:i/>
            <w:iCs/>
          </w:rPr>
          <w:t>guidelines</w:t>
        </w:r>
      </w:hyperlink>
      <w:r w:rsidR="002B5C66">
        <w:t>,</w:t>
      </w:r>
      <w:r>
        <w:t xml:space="preserve"> </w:t>
      </w:r>
      <w:r w:rsidR="002B5C66">
        <w:t>Australian and New Zealand Environment and Conservation Council and Agriculture and Resource Management Council of Australia and New Zealand, Canberra</w:t>
      </w:r>
      <w:r w:rsidR="006F1DEB">
        <w:t xml:space="preserve">, </w:t>
      </w:r>
      <w:r w:rsidR="00DE335E">
        <w:t>a</w:t>
      </w:r>
      <w:r>
        <w:t xml:space="preserve">ccessed </w:t>
      </w:r>
      <w:r w:rsidR="00DE335E">
        <w:t xml:space="preserve">24 </w:t>
      </w:r>
      <w:r w:rsidR="00A4224C">
        <w:t>December</w:t>
      </w:r>
      <w:r>
        <w:t xml:space="preserve"> 2014.</w:t>
      </w:r>
    </w:p>
    <w:p w14:paraId="7CBBF3B4" w14:textId="13F714F3" w:rsidR="00D636A6" w:rsidRPr="00C924B6" w:rsidRDefault="006164B6" w:rsidP="004D7186">
      <w:r>
        <w:t>ANZECC</w:t>
      </w:r>
      <w:r w:rsidR="0079714B">
        <w:t xml:space="preserve"> and </w:t>
      </w:r>
      <w:r>
        <w:t>ARMCANZ</w:t>
      </w:r>
      <w:r w:rsidR="00AB3628">
        <w:t xml:space="preserve"> </w:t>
      </w:r>
      <w:r w:rsidR="0079714B">
        <w:t>(</w:t>
      </w:r>
      <w:r w:rsidR="00D636A6">
        <w:t>2000b</w:t>
      </w:r>
      <w:r w:rsidR="0079714B">
        <w:t>)</w:t>
      </w:r>
      <w:r w:rsidR="00D636A6">
        <w:t xml:space="preserve"> </w:t>
      </w:r>
      <w:hyperlink r:id="rId68" w:history="1">
        <w:r w:rsidR="00D868A7">
          <w:rPr>
            <w:rStyle w:val="Hyperlink"/>
            <w:i/>
            <w:iCs/>
          </w:rPr>
          <w:t>Australian and New Zealand guidelines for fresh and marine water quality. Volume 2, Aquatic ecosystems</w:t>
        </w:r>
      </w:hyperlink>
      <w:r w:rsidR="002B5C66">
        <w:t>,</w:t>
      </w:r>
      <w:r w:rsidR="00D636A6">
        <w:t xml:space="preserve"> </w:t>
      </w:r>
      <w:r w:rsidR="002B5C66">
        <w:t>Australian and New Zealand Environment and Conservation Council and Agriculture and Resource Management Council of Australia and New Zealand, Canberra</w:t>
      </w:r>
      <w:r w:rsidR="0078602D">
        <w:t>,</w:t>
      </w:r>
      <w:r w:rsidR="00276C75">
        <w:t xml:space="preserve"> a</w:t>
      </w:r>
      <w:r w:rsidR="00D636A6">
        <w:t xml:space="preserve">ccessed </w:t>
      </w:r>
      <w:r w:rsidR="00276C75">
        <w:t xml:space="preserve">24 </w:t>
      </w:r>
      <w:r w:rsidR="00A4224C">
        <w:t>December</w:t>
      </w:r>
      <w:r w:rsidR="00D636A6">
        <w:t xml:space="preserve"> 2014.</w:t>
      </w:r>
    </w:p>
    <w:p w14:paraId="51814311" w14:textId="350BCC6E" w:rsidR="00D636A6" w:rsidRPr="00C924B6" w:rsidRDefault="006164B6" w:rsidP="004D7186">
      <w:r>
        <w:t>ANZECC</w:t>
      </w:r>
      <w:r w:rsidR="0079714B">
        <w:t xml:space="preserve"> and </w:t>
      </w:r>
      <w:r>
        <w:t>ARMCANZ</w:t>
      </w:r>
      <w:r w:rsidR="00AB3628" w:rsidRPr="00C924B6" w:rsidDel="00AB3628">
        <w:t xml:space="preserve"> </w:t>
      </w:r>
      <w:r w:rsidR="0079714B">
        <w:t>(</w:t>
      </w:r>
      <w:r w:rsidR="00D636A6" w:rsidRPr="00C924B6">
        <w:t>2000c</w:t>
      </w:r>
      <w:r w:rsidR="0079714B">
        <w:t>)</w:t>
      </w:r>
      <w:r w:rsidR="00D636A6" w:rsidRPr="00C924B6">
        <w:t xml:space="preserve"> </w:t>
      </w:r>
      <w:hyperlink r:id="rId69" w:history="1">
        <w:r w:rsidR="00D636A6" w:rsidRPr="00525B60">
          <w:rPr>
            <w:rStyle w:val="Hyperlink"/>
            <w:i/>
            <w:iCs/>
          </w:rPr>
          <w:t xml:space="preserve">Australian and New Zealand </w:t>
        </w:r>
        <w:r w:rsidR="00276C75" w:rsidRPr="00525B60">
          <w:rPr>
            <w:rStyle w:val="Hyperlink"/>
            <w:i/>
            <w:iCs/>
          </w:rPr>
          <w:t>guidelines for fresh and marine water quality</w:t>
        </w:r>
        <w:r w:rsidR="00525B60" w:rsidRPr="00525B60">
          <w:rPr>
            <w:rStyle w:val="Hyperlink"/>
            <w:i/>
            <w:iCs/>
          </w:rPr>
          <w:t>.</w:t>
        </w:r>
        <w:r w:rsidR="00D636A6" w:rsidRPr="00525B60">
          <w:rPr>
            <w:rStyle w:val="Hyperlink"/>
            <w:i/>
            <w:iCs/>
          </w:rPr>
          <w:t xml:space="preserve"> Volume 3, Primary industries</w:t>
        </w:r>
      </w:hyperlink>
      <w:r w:rsidR="006C3730">
        <w:t>,</w:t>
      </w:r>
      <w:r w:rsidR="00D636A6" w:rsidRPr="00C924B6">
        <w:t xml:space="preserve"> </w:t>
      </w:r>
      <w:r w:rsidR="002B5C66" w:rsidRPr="00C924B6">
        <w:t>Australian and New Zealand Environment and Conservation Council and Agriculture and Resource Management Council of Australia and New Zealand</w:t>
      </w:r>
      <w:r w:rsidR="006C3730">
        <w:t>, Canberra</w:t>
      </w:r>
      <w:r w:rsidR="0078602D">
        <w:t>,</w:t>
      </w:r>
      <w:r w:rsidR="00D636A6" w:rsidRPr="00C924B6">
        <w:t xml:space="preserve"> </w:t>
      </w:r>
      <w:r w:rsidR="00276C75">
        <w:t>a</w:t>
      </w:r>
      <w:r w:rsidR="00D636A6" w:rsidRPr="00C924B6">
        <w:t xml:space="preserve">ccessed </w:t>
      </w:r>
      <w:r w:rsidR="00276C75">
        <w:t xml:space="preserve">24 </w:t>
      </w:r>
      <w:r w:rsidR="00A4224C" w:rsidRPr="00C924B6">
        <w:t>December</w:t>
      </w:r>
      <w:r w:rsidR="00D636A6" w:rsidRPr="00C924B6">
        <w:t xml:space="preserve"> 2014.</w:t>
      </w:r>
    </w:p>
    <w:p w14:paraId="66F6B49F" w14:textId="15208E52" w:rsidR="00D636A6" w:rsidRDefault="006164B6" w:rsidP="004D7186">
      <w:r>
        <w:t>ANZECC</w:t>
      </w:r>
      <w:r w:rsidR="00B16956">
        <w:t xml:space="preserve"> and </w:t>
      </w:r>
      <w:r>
        <w:t>ARMCANZ</w:t>
      </w:r>
      <w:r w:rsidR="00D636A6" w:rsidRPr="00C924B6" w:rsidDel="009C1F73">
        <w:t xml:space="preserve"> </w:t>
      </w:r>
      <w:r w:rsidR="00B16956">
        <w:t>(</w:t>
      </w:r>
      <w:r w:rsidR="00D636A6" w:rsidRPr="00C924B6">
        <w:t>2000d</w:t>
      </w:r>
      <w:r w:rsidR="00B16956">
        <w:t>)</w:t>
      </w:r>
      <w:r w:rsidR="00D636A6" w:rsidRPr="00C924B6">
        <w:t xml:space="preserve"> </w:t>
      </w:r>
      <w:hyperlink r:id="rId70" w:history="1">
        <w:r w:rsidR="00D636A6" w:rsidRPr="000D0B6E">
          <w:rPr>
            <w:rStyle w:val="Hyperlink"/>
            <w:i/>
            <w:iCs/>
          </w:rPr>
          <w:t xml:space="preserve">National Water Quality Management Strategy, Paper No. 7, Australian </w:t>
        </w:r>
        <w:r w:rsidR="00276C75" w:rsidRPr="000D0B6E">
          <w:rPr>
            <w:rStyle w:val="Hyperlink"/>
            <w:i/>
            <w:iCs/>
          </w:rPr>
          <w:t>guidelines for water quality monitoring and reporting</w:t>
        </w:r>
      </w:hyperlink>
      <w:r w:rsidR="00276C75">
        <w:t>,</w:t>
      </w:r>
      <w:r w:rsidR="00D636A6" w:rsidRPr="00C924B6">
        <w:t xml:space="preserve"> </w:t>
      </w:r>
      <w:r w:rsidR="00276C75" w:rsidRPr="00C924B6">
        <w:t>Australian and New Zealand Environment and Conservation Council and Agriculture and Resource Management Council of Australia and New Zealand</w:t>
      </w:r>
      <w:r w:rsidR="00D636A6" w:rsidRPr="00C924B6">
        <w:t>, Canberra</w:t>
      </w:r>
      <w:r w:rsidR="0078602D">
        <w:t xml:space="preserve">, </w:t>
      </w:r>
      <w:r w:rsidR="00276C75">
        <w:t>a</w:t>
      </w:r>
      <w:r w:rsidR="00D636A6" w:rsidRPr="00C924B6">
        <w:t xml:space="preserve">ccessed </w:t>
      </w:r>
      <w:r w:rsidR="00276C75">
        <w:t xml:space="preserve">24 </w:t>
      </w:r>
      <w:r w:rsidR="00A4224C">
        <w:t>December</w:t>
      </w:r>
      <w:r w:rsidR="00D636A6" w:rsidRPr="00C924B6">
        <w:t xml:space="preserve"> 2014.</w:t>
      </w:r>
    </w:p>
    <w:p w14:paraId="241D04D0" w14:textId="05152F2B" w:rsidR="00DF1616" w:rsidRPr="00C924B6" w:rsidRDefault="00DF1616" w:rsidP="004D7186">
      <w:r w:rsidRPr="4F27CDBB">
        <w:t>ANZECC</w:t>
      </w:r>
      <w:r w:rsidR="00462682">
        <w:t xml:space="preserve"> and </w:t>
      </w:r>
      <w:r w:rsidRPr="4F27CDBB">
        <w:t xml:space="preserve">ARMCANZ </w:t>
      </w:r>
      <w:r w:rsidR="00462682">
        <w:t>(</w:t>
      </w:r>
      <w:r w:rsidRPr="4F27CDBB">
        <w:t>2000e</w:t>
      </w:r>
      <w:r w:rsidR="00462682">
        <w:t>)</w:t>
      </w:r>
      <w:r w:rsidRPr="4F27CDBB">
        <w:t xml:space="preserve"> </w:t>
      </w:r>
      <w:hyperlink r:id="rId71" w:history="1">
        <w:r w:rsidRPr="00532482">
          <w:rPr>
            <w:rStyle w:val="Hyperlink"/>
            <w:i/>
            <w:iCs/>
          </w:rPr>
          <w:t xml:space="preserve">Toxicant default guideline values for aquatic ecosystem protection: </w:t>
        </w:r>
        <w:r w:rsidR="00532482" w:rsidRPr="00532482">
          <w:rPr>
            <w:rStyle w:val="Hyperlink"/>
            <w:i/>
            <w:iCs/>
          </w:rPr>
          <w:t>s</w:t>
        </w:r>
        <w:r w:rsidR="00D63016" w:rsidRPr="00532482">
          <w:rPr>
            <w:rStyle w:val="Hyperlink"/>
            <w:i/>
            <w:iCs/>
          </w:rPr>
          <w:t>ulfides in freshwater and marine water</w:t>
        </w:r>
      </w:hyperlink>
      <w:r w:rsidR="00532482">
        <w:t>,</w:t>
      </w:r>
      <w:r w:rsidRPr="4F27CDBB">
        <w:t xml:space="preserve"> Australian and New Zealand Guidelines for Fresh and Marine Water Quality, Australian and New Zealand Environment and Conservation Council and Agriculture and Resource Management Council of Australia and New Zealand.</w:t>
      </w:r>
      <w:r w:rsidR="00B679A4">
        <w:t xml:space="preserve"> </w:t>
      </w:r>
      <w:r w:rsidRPr="4F27CDBB">
        <w:t xml:space="preserve">Reproduced in ANZG (2018) </w:t>
      </w:r>
      <w:r w:rsidRPr="008F72DA">
        <w:rPr>
          <w:i/>
          <w:iCs/>
        </w:rPr>
        <w:t>Australian and New Zealand Guidelines for Fresh and Marine Water Quality</w:t>
      </w:r>
      <w:r w:rsidRPr="4F27CDBB">
        <w:t xml:space="preserve">, Australian and New Zealand </w:t>
      </w:r>
      <w:r w:rsidR="008F72DA">
        <w:t>g</w:t>
      </w:r>
      <w:r w:rsidRPr="4F27CDBB">
        <w:t>overnments and Australian state and territory governments, Canberra</w:t>
      </w:r>
      <w:r w:rsidR="00275AE7" w:rsidRPr="4F27CDBB">
        <w:t>, accessed</w:t>
      </w:r>
      <w:r w:rsidRPr="4F27CDBB">
        <w:t xml:space="preserve"> </w:t>
      </w:r>
      <w:r w:rsidR="00D63016" w:rsidRPr="4F27CDBB">
        <w:t>26 June 2024.</w:t>
      </w:r>
    </w:p>
    <w:p w14:paraId="70DC37E9" w14:textId="77777777" w:rsidR="00BF35ED" w:rsidRDefault="00BF35ED" w:rsidP="004D7186">
      <w:pPr>
        <w:rPr>
          <w:noProof/>
        </w:rPr>
      </w:pPr>
      <w:r w:rsidRPr="00380D60">
        <w:rPr>
          <w:noProof/>
        </w:rPr>
        <w:t xml:space="preserve">ANZG </w:t>
      </w:r>
      <w:r>
        <w:rPr>
          <w:noProof/>
        </w:rPr>
        <w:t>(Australian and New Zealand Guidelines) (</w:t>
      </w:r>
      <w:r w:rsidRPr="00380D60">
        <w:rPr>
          <w:noProof/>
        </w:rPr>
        <w:t>2018</w:t>
      </w:r>
      <w:r>
        <w:rPr>
          <w:noProof/>
        </w:rPr>
        <w:t>)</w:t>
      </w:r>
      <w:r w:rsidRPr="00380D60">
        <w:rPr>
          <w:noProof/>
        </w:rPr>
        <w:t xml:space="preserve"> </w:t>
      </w:r>
      <w:hyperlink r:id="rId72" w:history="1">
        <w:r w:rsidRPr="00857C34">
          <w:rPr>
            <w:rStyle w:val="Hyperlink"/>
            <w:i/>
            <w:iCs/>
          </w:rPr>
          <w:t xml:space="preserve">Australian and New Zealand </w:t>
        </w:r>
        <w:r>
          <w:rPr>
            <w:rStyle w:val="Hyperlink"/>
            <w:i/>
            <w:iCs/>
          </w:rPr>
          <w:t>G</w:t>
        </w:r>
        <w:r w:rsidRPr="00857C34">
          <w:rPr>
            <w:rStyle w:val="Hyperlink"/>
            <w:i/>
            <w:iCs/>
          </w:rPr>
          <w:t xml:space="preserve">uidelines for </w:t>
        </w:r>
        <w:r>
          <w:rPr>
            <w:rStyle w:val="Hyperlink"/>
            <w:i/>
            <w:iCs/>
          </w:rPr>
          <w:t>F</w:t>
        </w:r>
        <w:r w:rsidRPr="00857C34">
          <w:rPr>
            <w:rStyle w:val="Hyperlink"/>
            <w:i/>
            <w:iCs/>
          </w:rPr>
          <w:t xml:space="preserve">resh and </w:t>
        </w:r>
        <w:r>
          <w:rPr>
            <w:rStyle w:val="Hyperlink"/>
            <w:i/>
            <w:iCs/>
          </w:rPr>
          <w:t>M</w:t>
        </w:r>
        <w:r w:rsidRPr="00857C34">
          <w:rPr>
            <w:rStyle w:val="Hyperlink"/>
            <w:i/>
            <w:iCs/>
          </w:rPr>
          <w:t xml:space="preserve">arine </w:t>
        </w:r>
        <w:r>
          <w:rPr>
            <w:rStyle w:val="Hyperlink"/>
            <w:i/>
            <w:iCs/>
          </w:rPr>
          <w:t>W</w:t>
        </w:r>
        <w:r w:rsidRPr="00857C34">
          <w:rPr>
            <w:rStyle w:val="Hyperlink"/>
            <w:i/>
            <w:iCs/>
          </w:rPr>
          <w:t xml:space="preserve">ater </w:t>
        </w:r>
        <w:r>
          <w:rPr>
            <w:rStyle w:val="Hyperlink"/>
            <w:i/>
            <w:iCs/>
          </w:rPr>
          <w:t>Q</w:t>
        </w:r>
        <w:r w:rsidRPr="00857C34">
          <w:rPr>
            <w:rStyle w:val="Hyperlink"/>
            <w:i/>
            <w:iCs/>
          </w:rPr>
          <w:t>uality</w:t>
        </w:r>
      </w:hyperlink>
      <w:r>
        <w:rPr>
          <w:noProof/>
        </w:rPr>
        <w:t>,</w:t>
      </w:r>
      <w:r w:rsidRPr="00380D60">
        <w:rPr>
          <w:noProof/>
        </w:rPr>
        <w:t xml:space="preserve"> Australian and New Zealand </w:t>
      </w:r>
      <w:r>
        <w:rPr>
          <w:noProof/>
        </w:rPr>
        <w:t>g</w:t>
      </w:r>
      <w:r w:rsidRPr="00380D60">
        <w:rPr>
          <w:noProof/>
        </w:rPr>
        <w:t>overnments and Australian state and territory governments.</w:t>
      </w:r>
    </w:p>
    <w:p w14:paraId="036EFB6F" w14:textId="71434998" w:rsidR="007A4C31" w:rsidRDefault="007A4C31" w:rsidP="004D7186">
      <w:r w:rsidRPr="00860194">
        <w:t xml:space="preserve">ANZG </w:t>
      </w:r>
      <w:r w:rsidR="00BF35ED">
        <w:t>(</w:t>
      </w:r>
      <w:r w:rsidRPr="00860194">
        <w:t>202</w:t>
      </w:r>
      <w:r>
        <w:t>0</w:t>
      </w:r>
      <w:r w:rsidR="00BF35ED">
        <w:t>)</w:t>
      </w:r>
      <w:r w:rsidRPr="00860194">
        <w:t xml:space="preserve"> </w:t>
      </w:r>
      <w:hyperlink r:id="rId73" w:history="1">
        <w:r w:rsidRPr="00DC5919">
          <w:rPr>
            <w:rStyle w:val="Hyperlink"/>
            <w:i/>
            <w:iCs/>
          </w:rPr>
          <w:t xml:space="preserve">Toxicant default guideline values for aquatic ecosystem protection: </w:t>
        </w:r>
        <w:r w:rsidR="0060576D">
          <w:rPr>
            <w:rStyle w:val="Hyperlink"/>
            <w:i/>
            <w:iCs/>
          </w:rPr>
          <w:t>m</w:t>
        </w:r>
        <w:r w:rsidRPr="00DC5919">
          <w:rPr>
            <w:rStyle w:val="Hyperlink"/>
            <w:i/>
            <w:iCs/>
          </w:rPr>
          <w:t>etolachlor in freshwater</w:t>
        </w:r>
      </w:hyperlink>
      <w:r w:rsidR="00F709BD">
        <w:t>,</w:t>
      </w:r>
      <w:r w:rsidRPr="00860194">
        <w:t xml:space="preserve"> Australian and New Zealand Guidelines for Fresh and Marine Water Quality</w:t>
      </w:r>
      <w:r w:rsidR="00DC5919">
        <w:t>,</w:t>
      </w:r>
      <w:r w:rsidRPr="00860194">
        <w:t xml:space="preserve"> Australian and New Zealand Governments and Australian state and territory governments, Canberra.</w:t>
      </w:r>
    </w:p>
    <w:p w14:paraId="208CE700" w14:textId="0A624F03" w:rsidR="009A665D" w:rsidRDefault="009A665D" w:rsidP="004D7186">
      <w:r w:rsidRPr="00860194">
        <w:t xml:space="preserve">ANZG </w:t>
      </w:r>
      <w:r w:rsidR="00F709BD">
        <w:t>(</w:t>
      </w:r>
      <w:r w:rsidRPr="00860194">
        <w:t>202</w:t>
      </w:r>
      <w:r>
        <w:t>1</w:t>
      </w:r>
      <w:r w:rsidR="00F709BD">
        <w:t>)</w:t>
      </w:r>
      <w:r w:rsidRPr="00860194">
        <w:t xml:space="preserve"> </w:t>
      </w:r>
      <w:hyperlink r:id="rId74" w:history="1">
        <w:r w:rsidRPr="0060576D">
          <w:rPr>
            <w:rStyle w:val="Hyperlink"/>
            <w:i/>
            <w:iCs/>
          </w:rPr>
          <w:t xml:space="preserve">Toxicant default guideline values for aquatic ecosystem protection: </w:t>
        </w:r>
        <w:r w:rsidR="0060576D">
          <w:rPr>
            <w:rStyle w:val="Hyperlink"/>
            <w:i/>
            <w:iCs/>
          </w:rPr>
          <w:t>z</w:t>
        </w:r>
        <w:r w:rsidRPr="0060576D">
          <w:rPr>
            <w:rStyle w:val="Hyperlink"/>
            <w:i/>
            <w:iCs/>
          </w:rPr>
          <w:t>inc in marine water</w:t>
        </w:r>
      </w:hyperlink>
      <w:r w:rsidR="00F709BD">
        <w:t>,</w:t>
      </w:r>
      <w:r w:rsidRPr="00860194">
        <w:t xml:space="preserve"> Australian and New Zealand Guidelines for Fresh and Marine Water Quality</w:t>
      </w:r>
      <w:r w:rsidR="0060576D">
        <w:t>,</w:t>
      </w:r>
      <w:r w:rsidRPr="00860194">
        <w:t xml:space="preserve"> Australian and New Zealand Governments and Australian state and territory governments, Canberra.</w:t>
      </w:r>
    </w:p>
    <w:p w14:paraId="0A0AFC3C" w14:textId="08D6FF5B" w:rsidR="00860194" w:rsidRDefault="00860194" w:rsidP="004D7186">
      <w:r w:rsidRPr="00860194">
        <w:t xml:space="preserve">ANZG </w:t>
      </w:r>
      <w:r w:rsidR="00F709BD">
        <w:t>(</w:t>
      </w:r>
      <w:r w:rsidRPr="00860194">
        <w:t>2023</w:t>
      </w:r>
      <w:r w:rsidR="00F709BD">
        <w:t>)</w:t>
      </w:r>
      <w:r w:rsidRPr="00860194">
        <w:t xml:space="preserve"> </w:t>
      </w:r>
      <w:hyperlink r:id="rId75" w:history="1">
        <w:r w:rsidRPr="00D50181">
          <w:rPr>
            <w:rStyle w:val="Hyperlink"/>
            <w:i/>
            <w:iCs/>
          </w:rPr>
          <w:t xml:space="preserve">Toxicant default guideline values for aquatic ecosystem protection: </w:t>
        </w:r>
        <w:r w:rsidR="00C85804" w:rsidRPr="00D50181">
          <w:rPr>
            <w:rStyle w:val="Hyperlink"/>
            <w:i/>
            <w:iCs/>
          </w:rPr>
          <w:t>d</w:t>
        </w:r>
        <w:r w:rsidRPr="00D50181">
          <w:rPr>
            <w:rStyle w:val="Hyperlink"/>
            <w:i/>
            <w:iCs/>
          </w:rPr>
          <w:t>ioxins in freshwater</w:t>
        </w:r>
      </w:hyperlink>
      <w:r w:rsidR="00F709BD">
        <w:t>,</w:t>
      </w:r>
      <w:r w:rsidRPr="00860194">
        <w:t xml:space="preserve"> Australian and New Zealand Guidelines for Fresh and Marine Water Quality</w:t>
      </w:r>
      <w:r w:rsidR="00764026">
        <w:t>,</w:t>
      </w:r>
      <w:r w:rsidRPr="00860194">
        <w:t xml:space="preserve"> Australian and New Zealand Governments and Australian state and territory governments, Canberra.</w:t>
      </w:r>
    </w:p>
    <w:p w14:paraId="70E6D0DE" w14:textId="69D732DD" w:rsidR="00506A6C" w:rsidRDefault="00506A6C" w:rsidP="004D7186">
      <w:r w:rsidRPr="00506A6C">
        <w:lastRenderedPageBreak/>
        <w:t xml:space="preserve">ANZG </w:t>
      </w:r>
      <w:r>
        <w:t>(</w:t>
      </w:r>
      <w:r w:rsidRPr="00506A6C">
        <w:t>2025</w:t>
      </w:r>
      <w:r>
        <w:t>a)</w:t>
      </w:r>
      <w:r w:rsidRPr="00506A6C">
        <w:t xml:space="preserve"> </w:t>
      </w:r>
      <w:r w:rsidR="0041501A" w:rsidRPr="0041501A">
        <w:rPr>
          <w:i/>
          <w:iCs/>
        </w:rPr>
        <w:t>Toxicant default guideline values for aquatic ecosystem protection: chlorine in marine water</w:t>
      </w:r>
      <w:r w:rsidR="004B01F4">
        <w:t>,</w:t>
      </w:r>
      <w:r w:rsidRPr="00506A6C">
        <w:t xml:space="preserve"> Australian and New Zealand Guidelines for Fresh and Marine Water Quality</w:t>
      </w:r>
      <w:r w:rsidR="004B01F4">
        <w:t>,</w:t>
      </w:r>
      <w:r w:rsidRPr="00506A6C">
        <w:t xml:space="preserve"> Australian and New Zealand </w:t>
      </w:r>
      <w:r w:rsidR="004B01F4">
        <w:t>g</w:t>
      </w:r>
      <w:r w:rsidRPr="00506A6C">
        <w:t>overnments and Australian state and territory governments, Canberra</w:t>
      </w:r>
      <w:r>
        <w:t>.</w:t>
      </w:r>
    </w:p>
    <w:p w14:paraId="24985E39" w14:textId="7BCA349F" w:rsidR="006D16B3" w:rsidRPr="003A254A" w:rsidRDefault="006D16B3" w:rsidP="004D7186">
      <w:pPr>
        <w:rPr>
          <w:color w:val="000000"/>
          <w:lang w:val="en-US"/>
        </w:rPr>
      </w:pPr>
      <w:r>
        <w:t xml:space="preserve">ANZG </w:t>
      </w:r>
      <w:r w:rsidR="00F709BD">
        <w:t>(</w:t>
      </w:r>
      <w:r w:rsidR="00506A6C">
        <w:t>2025b</w:t>
      </w:r>
      <w:r w:rsidR="00F709BD">
        <w:t>)</w:t>
      </w:r>
      <w:r>
        <w:t xml:space="preserve"> </w:t>
      </w:r>
      <w:r w:rsidR="0041501A" w:rsidRPr="0041501A">
        <w:rPr>
          <w:i/>
          <w:iCs/>
        </w:rPr>
        <w:t>Toxicant default guideline values for aquatic ecosystem protection: ammonia in freshwater</w:t>
      </w:r>
      <w:r w:rsidR="00F709BD" w:rsidRPr="00F709BD">
        <w:t>,</w:t>
      </w:r>
      <w:r w:rsidR="0052189A" w:rsidRPr="0052189A">
        <w:t xml:space="preserve"> Australian and New Zealand Guidelines for Fresh and Marine Water Quality</w:t>
      </w:r>
      <w:r w:rsidR="00764026">
        <w:t>,</w:t>
      </w:r>
      <w:r w:rsidR="0052189A" w:rsidRPr="0052189A">
        <w:t xml:space="preserve"> Australian and New Zealand Governments and Australian state and territory governments, Canberra.</w:t>
      </w:r>
    </w:p>
    <w:p w14:paraId="51BE6671" w14:textId="21D4FB01" w:rsidR="00113383" w:rsidRPr="003A254A" w:rsidRDefault="00113383" w:rsidP="004D7186">
      <w:pPr>
        <w:rPr>
          <w:color w:val="000000"/>
          <w:lang w:val="en-US"/>
        </w:rPr>
      </w:pPr>
      <w:r>
        <w:t xml:space="preserve">ANZG </w:t>
      </w:r>
      <w:r w:rsidR="00F709BD">
        <w:t>(</w:t>
      </w:r>
      <w:r w:rsidR="00506A6C">
        <w:t>2025c</w:t>
      </w:r>
      <w:r w:rsidR="00F709BD">
        <w:t>)</w:t>
      </w:r>
      <w:r>
        <w:t xml:space="preserve"> </w:t>
      </w:r>
      <w:hyperlink r:id="rId76" w:history="1">
        <w:r w:rsidRPr="00CB0AF1">
          <w:rPr>
            <w:rStyle w:val="Hyperlink"/>
            <w:i/>
          </w:rPr>
          <w:t xml:space="preserve">Toxicant default guideline values for aquatic ecosystem protection: </w:t>
        </w:r>
        <w:r w:rsidR="00C85804" w:rsidRPr="00CB0AF1">
          <w:rPr>
            <w:rStyle w:val="Hyperlink"/>
            <w:i/>
          </w:rPr>
          <w:t>n</w:t>
        </w:r>
        <w:r w:rsidRPr="00CB0AF1">
          <w:rPr>
            <w:rStyle w:val="Hyperlink"/>
            <w:i/>
          </w:rPr>
          <w:t>itrate in freshwater</w:t>
        </w:r>
      </w:hyperlink>
      <w:r w:rsidR="00F709BD" w:rsidRPr="00F709BD">
        <w:rPr>
          <w:iCs/>
        </w:rPr>
        <w:t>,</w:t>
      </w:r>
      <w:r w:rsidRPr="0052189A">
        <w:t xml:space="preserve"> Australian and New Zealand Guidelines for Fresh and Marine Water Quality</w:t>
      </w:r>
      <w:r w:rsidR="00C015DD">
        <w:t>,</w:t>
      </w:r>
      <w:r w:rsidRPr="0052189A">
        <w:t xml:space="preserve"> Australian and New Zealand Governments and Australian state and territory governments, Canberra.</w:t>
      </w:r>
    </w:p>
    <w:p w14:paraId="7DBEDDA1" w14:textId="1077CCF4" w:rsidR="006C3AB8" w:rsidRDefault="006C3AB8" w:rsidP="004D7186">
      <w:r w:rsidRPr="00860194">
        <w:t xml:space="preserve">ANZG </w:t>
      </w:r>
      <w:r w:rsidR="00F709BD">
        <w:t>(</w:t>
      </w:r>
      <w:r w:rsidR="00506A6C" w:rsidRPr="00860194">
        <w:t>202</w:t>
      </w:r>
      <w:r w:rsidR="00506A6C">
        <w:t>5d</w:t>
      </w:r>
      <w:r w:rsidR="00F709BD">
        <w:t>)</w:t>
      </w:r>
      <w:r w:rsidRPr="00860194">
        <w:t xml:space="preserve"> </w:t>
      </w:r>
      <w:r w:rsidR="0041501A" w:rsidRPr="0041501A">
        <w:rPr>
          <w:i/>
          <w:iCs/>
        </w:rPr>
        <w:t>Toxicant default guideline values for aquatic ecosystem protection: simazine in marine water</w:t>
      </w:r>
      <w:r w:rsidR="00F709BD">
        <w:t>,</w:t>
      </w:r>
      <w:r w:rsidRPr="00860194">
        <w:t xml:space="preserve"> Australian and New Zealand Guidelines for Fresh and Marine Water Quality</w:t>
      </w:r>
      <w:r w:rsidR="00F273FB">
        <w:t>,</w:t>
      </w:r>
      <w:r w:rsidRPr="00860194">
        <w:t xml:space="preserve"> Australian and New Zealand Governments and Australian state and territory governments, Canberra.</w:t>
      </w:r>
    </w:p>
    <w:p w14:paraId="520F4861" w14:textId="4DFB37A6" w:rsidR="006C3AB8" w:rsidRDefault="006C3AB8" w:rsidP="004D7186">
      <w:r w:rsidRPr="00860194">
        <w:t xml:space="preserve">ANZG </w:t>
      </w:r>
      <w:r w:rsidR="00F709BD">
        <w:t>(</w:t>
      </w:r>
      <w:r w:rsidR="00506A6C" w:rsidRPr="00860194">
        <w:t>202</w:t>
      </w:r>
      <w:r w:rsidR="00506A6C">
        <w:t>5e</w:t>
      </w:r>
      <w:r w:rsidR="00F709BD">
        <w:t>)</w:t>
      </w:r>
      <w:r w:rsidRPr="00860194">
        <w:t xml:space="preserve"> </w:t>
      </w:r>
      <w:hyperlink r:id="rId77" w:history="1">
        <w:r w:rsidRPr="00EA683E">
          <w:rPr>
            <w:rStyle w:val="Hyperlink"/>
            <w:i/>
            <w:iCs/>
          </w:rPr>
          <w:t xml:space="preserve">Toxicant default guideline values for aquatic ecosystem protection: </w:t>
        </w:r>
        <w:r w:rsidR="00C85804" w:rsidRPr="00EA683E">
          <w:rPr>
            <w:rStyle w:val="Hyperlink"/>
            <w:i/>
            <w:iCs/>
          </w:rPr>
          <w:t>a</w:t>
        </w:r>
        <w:r w:rsidRPr="00EA683E">
          <w:rPr>
            <w:rStyle w:val="Hyperlink"/>
            <w:i/>
            <w:iCs/>
          </w:rPr>
          <w:t>luminium in marine water</w:t>
        </w:r>
      </w:hyperlink>
      <w:r w:rsidR="00F709BD">
        <w:t>,</w:t>
      </w:r>
      <w:r w:rsidRPr="00860194">
        <w:t xml:space="preserve"> Australian and New Zealand Guidelines for Fresh and Marine Water Quality</w:t>
      </w:r>
      <w:r w:rsidR="00EA683E">
        <w:t>,</w:t>
      </w:r>
      <w:r w:rsidRPr="00860194">
        <w:t xml:space="preserve"> Australian and New Zealand Governments and Australian state and territory governments, Canberra</w:t>
      </w:r>
      <w:r w:rsidR="00F273FB">
        <w:t>.</w:t>
      </w:r>
    </w:p>
    <w:p w14:paraId="2592F5F8" w14:textId="544105C2" w:rsidR="003E3FC2" w:rsidRDefault="003E3FC2" w:rsidP="004D7186">
      <w:r>
        <w:t>APVMA</w:t>
      </w:r>
      <w:r w:rsidR="00944156">
        <w:t xml:space="preserve"> </w:t>
      </w:r>
      <w:r w:rsidR="00C90C29">
        <w:t>(</w:t>
      </w:r>
      <w:r w:rsidR="00C90C29" w:rsidRPr="00C90C29">
        <w:t>Australian Pesticides and Veterinary Medicines Authority</w:t>
      </w:r>
      <w:r w:rsidR="00C90C29">
        <w:t>) (</w:t>
      </w:r>
      <w:r w:rsidR="00944156">
        <w:t>201</w:t>
      </w:r>
      <w:r w:rsidR="00531B6A">
        <w:t>4</w:t>
      </w:r>
      <w:r w:rsidR="00C90C29">
        <w:t>)</w:t>
      </w:r>
      <w:r w:rsidR="006C3730">
        <w:t xml:space="preserve"> </w:t>
      </w:r>
      <w:hyperlink r:id="rId78" w:history="1">
        <w:r w:rsidR="006C3730" w:rsidRPr="00A456FF">
          <w:rPr>
            <w:rStyle w:val="Hyperlink"/>
            <w:i/>
            <w:iCs/>
          </w:rPr>
          <w:t>Formulation types</w:t>
        </w:r>
      </w:hyperlink>
      <w:r w:rsidR="006C3730">
        <w:t>,</w:t>
      </w:r>
      <w:r>
        <w:t xml:space="preserve"> </w:t>
      </w:r>
      <w:r w:rsidR="00A456FF">
        <w:t>APVMA website</w:t>
      </w:r>
      <w:r w:rsidR="006C3730">
        <w:t>, accessed 7 June</w:t>
      </w:r>
      <w:r>
        <w:t xml:space="preserve"> 2018.</w:t>
      </w:r>
    </w:p>
    <w:p w14:paraId="4A96A5E4" w14:textId="5D0AAA9C" w:rsidR="00406737" w:rsidRPr="00406737" w:rsidRDefault="00406737" w:rsidP="004D7186">
      <w:r>
        <w:t xml:space="preserve">Australian Government </w:t>
      </w:r>
      <w:r w:rsidR="000F5712">
        <w:t>(</w:t>
      </w:r>
      <w:r>
        <w:t>2018</w:t>
      </w:r>
      <w:r w:rsidR="000F5712">
        <w:t>)</w:t>
      </w:r>
      <w:r>
        <w:t xml:space="preserve"> </w:t>
      </w:r>
      <w:hyperlink r:id="rId79">
        <w:r w:rsidRPr="36A60666">
          <w:rPr>
            <w:rStyle w:val="Hyperlink"/>
            <w:i/>
            <w:iCs/>
          </w:rPr>
          <w:t>Charter: National Water Quality Management Strategy</w:t>
        </w:r>
      </w:hyperlink>
      <w:r>
        <w:t>, Department of Agriculture and Water Resources, Canberra</w:t>
      </w:r>
      <w:r w:rsidRPr="006164B6">
        <w:t>.</w:t>
      </w:r>
    </w:p>
    <w:p w14:paraId="11F301A4" w14:textId="617B67B0" w:rsidR="00D636A6" w:rsidRPr="00C924B6" w:rsidRDefault="00D636A6" w:rsidP="004D7186">
      <w:r>
        <w:t xml:space="preserve">Barry S </w:t>
      </w:r>
      <w:r w:rsidR="00506746">
        <w:t>and</w:t>
      </w:r>
      <w:r>
        <w:t xml:space="preserve"> Henderson</w:t>
      </w:r>
      <w:r w:rsidR="006C3730">
        <w:t xml:space="preserve"> B</w:t>
      </w:r>
      <w:r>
        <w:t xml:space="preserve"> </w:t>
      </w:r>
      <w:r w:rsidR="00736CB4">
        <w:t>(</w:t>
      </w:r>
      <w:r>
        <w:t>2014</w:t>
      </w:r>
      <w:r w:rsidR="00736CB4">
        <w:t>)</w:t>
      </w:r>
      <w:r>
        <w:t xml:space="preserve"> </w:t>
      </w:r>
      <w:hyperlink r:id="rId80">
        <w:r w:rsidRPr="00736CB4">
          <w:rPr>
            <w:rStyle w:val="Hyperlink"/>
            <w:i/>
            <w:iCs/>
          </w:rPr>
          <w:t>Burrlioz 2.0</w:t>
        </w:r>
      </w:hyperlink>
      <w:r w:rsidR="006C3730">
        <w:t>,</w:t>
      </w:r>
      <w:r>
        <w:t xml:space="preserve"> Commonwealth </w:t>
      </w:r>
      <w:r w:rsidR="18C3A4F8">
        <w:t>Scientific</w:t>
      </w:r>
      <w:r>
        <w:t xml:space="preserve"> and Industrial Research Organisation</w:t>
      </w:r>
      <w:r w:rsidR="00736CB4">
        <w:t xml:space="preserve"> website</w:t>
      </w:r>
      <w:r>
        <w:t xml:space="preserve">, Canberra, </w:t>
      </w:r>
      <w:r w:rsidR="006C3730">
        <w:t>a</w:t>
      </w:r>
      <w:r>
        <w:t xml:space="preserve">ccessed </w:t>
      </w:r>
      <w:r w:rsidR="006C3730">
        <w:t xml:space="preserve">24 </w:t>
      </w:r>
      <w:r w:rsidR="00A4224C">
        <w:t>December</w:t>
      </w:r>
      <w:r>
        <w:t xml:space="preserve"> 2014.</w:t>
      </w:r>
    </w:p>
    <w:p w14:paraId="307E518D" w14:textId="77777777" w:rsidR="0017216E" w:rsidRPr="00F6192C" w:rsidRDefault="0017216E" w:rsidP="004D7186">
      <w:pPr>
        <w:rPr>
          <w:lang w:val="en-GB" w:eastAsia="ja-JP"/>
        </w:rPr>
      </w:pPr>
      <w:r w:rsidRPr="00F6192C">
        <w:rPr>
          <w:lang w:val="en-GB" w:eastAsia="ja-JP"/>
        </w:rPr>
        <w:t xml:space="preserve">Batley GE, van Dam R, Warne MStJ, Chapman JC, Fox DR, Hickey CW and Stauber JL </w:t>
      </w:r>
      <w:r>
        <w:rPr>
          <w:lang w:val="en-GB" w:eastAsia="ja-JP"/>
        </w:rPr>
        <w:t>(</w:t>
      </w:r>
      <w:r w:rsidRPr="00F6192C">
        <w:rPr>
          <w:lang w:val="en-GB" w:eastAsia="ja-JP"/>
        </w:rPr>
        <w:t>2018</w:t>
      </w:r>
      <w:r>
        <w:rPr>
          <w:lang w:val="en-GB" w:eastAsia="ja-JP"/>
        </w:rPr>
        <w:t>)</w:t>
      </w:r>
      <w:r w:rsidRPr="00F6192C">
        <w:rPr>
          <w:lang w:val="en-GB" w:eastAsia="ja-JP"/>
        </w:rPr>
        <w:t xml:space="preserve"> </w:t>
      </w:r>
      <w:hyperlink r:id="rId81" w:history="1">
        <w:r w:rsidRPr="00EB27F6">
          <w:rPr>
            <w:rStyle w:val="Hyperlink"/>
            <w:i/>
            <w:iCs/>
            <w:lang w:val="en-GB" w:eastAsia="ja-JP"/>
          </w:rPr>
          <w:t>Technical rationale for changes to the method for deriving Australian and New Zealand water quality guideline values for toxicants</w:t>
        </w:r>
      </w:hyperlink>
      <w:r w:rsidRPr="003C60FB">
        <w:rPr>
          <w:lang w:val="en-GB" w:eastAsia="ja-JP"/>
        </w:rPr>
        <w:t xml:space="preserve">, </w:t>
      </w:r>
      <w:r>
        <w:rPr>
          <w:lang w:val="en-GB" w:eastAsia="ja-JP"/>
        </w:rPr>
        <w:t xml:space="preserve">report </w:t>
      </w:r>
      <w:r w:rsidRPr="003C60FB">
        <w:rPr>
          <w:lang w:val="en-GB" w:eastAsia="ja-JP"/>
        </w:rPr>
        <w:t>p</w:t>
      </w:r>
      <w:r w:rsidRPr="00F6192C">
        <w:rPr>
          <w:lang w:val="en-GB" w:eastAsia="ja-JP"/>
        </w:rPr>
        <w:t xml:space="preserve">repared for the revision of the </w:t>
      </w:r>
      <w:r w:rsidRPr="00846F7C">
        <w:rPr>
          <w:lang w:val="en-GB" w:eastAsia="ja-JP"/>
        </w:rPr>
        <w:t xml:space="preserve">Australian and New Zealand </w:t>
      </w:r>
      <w:r>
        <w:rPr>
          <w:lang w:val="en-GB" w:eastAsia="ja-JP"/>
        </w:rPr>
        <w:t>g</w:t>
      </w:r>
      <w:r w:rsidRPr="00846F7C">
        <w:rPr>
          <w:lang w:val="en-GB" w:eastAsia="ja-JP"/>
        </w:rPr>
        <w:t xml:space="preserve">uidelines for </w:t>
      </w:r>
      <w:r>
        <w:rPr>
          <w:lang w:val="en-GB" w:eastAsia="ja-JP"/>
        </w:rPr>
        <w:t>f</w:t>
      </w:r>
      <w:r w:rsidRPr="00846F7C">
        <w:rPr>
          <w:lang w:val="en-GB" w:eastAsia="ja-JP"/>
        </w:rPr>
        <w:t xml:space="preserve">resh and </w:t>
      </w:r>
      <w:r>
        <w:rPr>
          <w:lang w:val="en-GB" w:eastAsia="ja-JP"/>
        </w:rPr>
        <w:t>m</w:t>
      </w:r>
      <w:r w:rsidRPr="00846F7C">
        <w:rPr>
          <w:lang w:val="en-GB" w:eastAsia="ja-JP"/>
        </w:rPr>
        <w:t xml:space="preserve">arine </w:t>
      </w:r>
      <w:r>
        <w:rPr>
          <w:lang w:val="en-GB" w:eastAsia="ja-JP"/>
        </w:rPr>
        <w:t>w</w:t>
      </w:r>
      <w:r w:rsidRPr="00846F7C">
        <w:rPr>
          <w:lang w:val="en-GB" w:eastAsia="ja-JP"/>
        </w:rPr>
        <w:t xml:space="preserve">ater </w:t>
      </w:r>
      <w:r>
        <w:rPr>
          <w:lang w:val="en-GB" w:eastAsia="ja-JP"/>
        </w:rPr>
        <w:t>q</w:t>
      </w:r>
      <w:r w:rsidRPr="00846F7C">
        <w:rPr>
          <w:lang w:val="en-GB" w:eastAsia="ja-JP"/>
        </w:rPr>
        <w:t>uality</w:t>
      </w:r>
      <w:r>
        <w:rPr>
          <w:lang w:val="en-GB" w:eastAsia="ja-JP"/>
        </w:rPr>
        <w:t>,</w:t>
      </w:r>
      <w:r w:rsidRPr="00F6192C">
        <w:rPr>
          <w:lang w:val="en-GB" w:eastAsia="ja-JP"/>
        </w:rPr>
        <w:t xml:space="preserve"> Australian and New Zealand </w:t>
      </w:r>
      <w:r>
        <w:rPr>
          <w:lang w:val="en-GB" w:eastAsia="ja-JP"/>
        </w:rPr>
        <w:t>g</w:t>
      </w:r>
      <w:r w:rsidRPr="00F6192C">
        <w:rPr>
          <w:lang w:val="en-GB" w:eastAsia="ja-JP"/>
        </w:rPr>
        <w:t>overnments and Australian state and territory governments.</w:t>
      </w:r>
    </w:p>
    <w:p w14:paraId="3D8EBED6" w14:textId="0BCB6DD6" w:rsidR="00901CB5" w:rsidRPr="00901CB5" w:rsidRDefault="00901CB5" w:rsidP="004D7186">
      <w:pPr>
        <w:rPr>
          <w:lang w:eastAsia="ja-JP"/>
        </w:rPr>
      </w:pPr>
      <w:r w:rsidRPr="57352DF8">
        <w:rPr>
          <w:lang w:eastAsia="ja-JP"/>
        </w:rPr>
        <w:t xml:space="preserve">Brix KV, DeForest DK, Tear L, Peijnenburg W, Peters A, Middleton ET and Erickson R </w:t>
      </w:r>
      <w:r w:rsidR="0017216E">
        <w:rPr>
          <w:lang w:eastAsia="ja-JP"/>
        </w:rPr>
        <w:t>(</w:t>
      </w:r>
      <w:r w:rsidRPr="57352DF8">
        <w:rPr>
          <w:lang w:eastAsia="ja-JP"/>
        </w:rPr>
        <w:t>2020</w:t>
      </w:r>
      <w:r w:rsidR="0017216E">
        <w:rPr>
          <w:lang w:eastAsia="ja-JP"/>
        </w:rPr>
        <w:t>)</w:t>
      </w:r>
      <w:r w:rsidRPr="57352DF8">
        <w:rPr>
          <w:lang w:eastAsia="ja-JP"/>
        </w:rPr>
        <w:t xml:space="preserve"> </w:t>
      </w:r>
      <w:r w:rsidR="00333531">
        <w:rPr>
          <w:lang w:eastAsia="ja-JP"/>
        </w:rPr>
        <w:t>‘</w:t>
      </w:r>
      <w:hyperlink r:id="rId82" w:history="1">
        <w:r w:rsidRPr="00642D08">
          <w:rPr>
            <w:rStyle w:val="Hyperlink"/>
            <w:lang w:eastAsia="ja-JP"/>
          </w:rPr>
          <w:t>Development of empirical bioavailability models for metals</w:t>
        </w:r>
      </w:hyperlink>
      <w:r w:rsidR="00333531">
        <w:rPr>
          <w:lang w:eastAsia="ja-JP"/>
        </w:rPr>
        <w:t>’,</w:t>
      </w:r>
      <w:r w:rsidRPr="57352DF8">
        <w:rPr>
          <w:lang w:eastAsia="ja-JP"/>
        </w:rPr>
        <w:t xml:space="preserve"> </w:t>
      </w:r>
      <w:r w:rsidRPr="57352DF8">
        <w:rPr>
          <w:i/>
          <w:iCs/>
          <w:lang w:eastAsia="ja-JP"/>
        </w:rPr>
        <w:t>Environ</w:t>
      </w:r>
      <w:r w:rsidR="00642D08">
        <w:rPr>
          <w:i/>
          <w:iCs/>
          <w:lang w:eastAsia="ja-JP"/>
        </w:rPr>
        <w:t>mental</w:t>
      </w:r>
      <w:r w:rsidRPr="57352DF8">
        <w:rPr>
          <w:i/>
          <w:iCs/>
          <w:lang w:eastAsia="ja-JP"/>
        </w:rPr>
        <w:t xml:space="preserve"> Toxicol</w:t>
      </w:r>
      <w:r w:rsidR="00642D08">
        <w:rPr>
          <w:i/>
          <w:iCs/>
          <w:lang w:eastAsia="ja-JP"/>
        </w:rPr>
        <w:t>ogy and</w:t>
      </w:r>
      <w:r w:rsidR="7491EA50" w:rsidRPr="57352DF8">
        <w:rPr>
          <w:i/>
          <w:iCs/>
          <w:lang w:eastAsia="ja-JP"/>
        </w:rPr>
        <w:t xml:space="preserve"> </w:t>
      </w:r>
      <w:r w:rsidRPr="57352DF8">
        <w:rPr>
          <w:i/>
          <w:iCs/>
          <w:lang w:eastAsia="ja-JP"/>
        </w:rPr>
        <w:t>Chem</w:t>
      </w:r>
      <w:r w:rsidR="00642D08">
        <w:rPr>
          <w:i/>
          <w:iCs/>
          <w:lang w:eastAsia="ja-JP"/>
        </w:rPr>
        <w:t>istry</w:t>
      </w:r>
      <w:r w:rsidRPr="57352DF8">
        <w:rPr>
          <w:lang w:eastAsia="ja-JP"/>
        </w:rPr>
        <w:t>, 39</w:t>
      </w:r>
      <w:r w:rsidR="00642D08">
        <w:rPr>
          <w:lang w:eastAsia="ja-JP"/>
        </w:rPr>
        <w:t>:</w:t>
      </w:r>
      <w:r w:rsidRPr="57352DF8">
        <w:rPr>
          <w:lang w:eastAsia="ja-JP"/>
        </w:rPr>
        <w:t>85–100</w:t>
      </w:r>
      <w:r w:rsidR="00642D08">
        <w:rPr>
          <w:lang w:eastAsia="ja-JP"/>
        </w:rPr>
        <w:t>, doi:</w:t>
      </w:r>
      <w:r w:rsidR="00642D08" w:rsidRPr="00642D08">
        <w:rPr>
          <w:lang w:eastAsia="ja-JP"/>
        </w:rPr>
        <w:t>10.1002/etc.4570</w:t>
      </w:r>
      <w:r w:rsidRPr="57352DF8">
        <w:rPr>
          <w:lang w:eastAsia="ja-JP"/>
        </w:rPr>
        <w:t>.</w:t>
      </w:r>
    </w:p>
    <w:p w14:paraId="3FA64359" w14:textId="343805E2" w:rsidR="00D636A6" w:rsidRPr="00C924B6" w:rsidRDefault="00D636A6" w:rsidP="004D7186">
      <w:r w:rsidRPr="57352DF8">
        <w:t>Campbell E,</w:t>
      </w:r>
      <w:r w:rsidRPr="57352DF8">
        <w:rPr>
          <w:spacing w:val="8"/>
        </w:rPr>
        <w:t xml:space="preserve"> </w:t>
      </w:r>
      <w:r w:rsidRPr="57352DF8">
        <w:t>Palmer</w:t>
      </w:r>
      <w:r w:rsidRPr="57352DF8">
        <w:rPr>
          <w:spacing w:val="3"/>
        </w:rPr>
        <w:t xml:space="preserve"> </w:t>
      </w:r>
      <w:r w:rsidR="00BF22FA" w:rsidRPr="57352DF8">
        <w:t>MJ</w:t>
      </w:r>
      <w:r w:rsidRPr="57352DF8">
        <w:t>,</w:t>
      </w:r>
      <w:r w:rsidRPr="57352DF8">
        <w:rPr>
          <w:spacing w:val="9"/>
        </w:rPr>
        <w:t xml:space="preserve"> </w:t>
      </w:r>
      <w:r w:rsidRPr="57352DF8">
        <w:t>Shao</w:t>
      </w:r>
      <w:r w:rsidRPr="57352DF8">
        <w:rPr>
          <w:spacing w:val="9"/>
        </w:rPr>
        <w:t xml:space="preserve"> </w:t>
      </w:r>
      <w:r w:rsidR="00BF22FA" w:rsidRPr="57352DF8">
        <w:t>Q</w:t>
      </w:r>
      <w:r w:rsidRPr="57352DF8">
        <w:t xml:space="preserve"> </w:t>
      </w:r>
      <w:r w:rsidR="00506746" w:rsidRPr="57352DF8">
        <w:t>and</w:t>
      </w:r>
      <w:r w:rsidRPr="57352DF8">
        <w:rPr>
          <w:spacing w:val="9"/>
        </w:rPr>
        <w:t xml:space="preserve"> </w:t>
      </w:r>
      <w:r w:rsidRPr="57352DF8">
        <w:rPr>
          <w:spacing w:val="-4"/>
        </w:rPr>
        <w:t>W</w:t>
      </w:r>
      <w:r w:rsidRPr="57352DF8">
        <w:t>ilson</w:t>
      </w:r>
      <w:r w:rsidRPr="57352DF8">
        <w:rPr>
          <w:spacing w:val="1"/>
        </w:rPr>
        <w:t xml:space="preserve"> </w:t>
      </w:r>
      <w:r w:rsidRPr="57352DF8">
        <w:t>D</w:t>
      </w:r>
      <w:r w:rsidRPr="57352DF8">
        <w:rPr>
          <w:spacing w:val="12"/>
        </w:rPr>
        <w:t xml:space="preserve"> </w:t>
      </w:r>
      <w:r w:rsidR="009B036B">
        <w:rPr>
          <w:spacing w:val="12"/>
        </w:rPr>
        <w:t>(</w:t>
      </w:r>
      <w:r w:rsidRPr="57352DF8">
        <w:t>2000</w:t>
      </w:r>
      <w:r w:rsidR="009B036B">
        <w:t>)</w:t>
      </w:r>
      <w:r w:rsidR="00944156" w:rsidRPr="57352DF8">
        <w:rPr>
          <w:spacing w:val="3"/>
        </w:rPr>
        <w:t xml:space="preserve"> </w:t>
      </w:r>
      <w:r w:rsidRPr="00206E73">
        <w:t>Burrli</w:t>
      </w:r>
      <w:r w:rsidR="00CC3F7A">
        <w:t>oz</w:t>
      </w:r>
      <w:r w:rsidRPr="00206E73">
        <w:t>: a computer program for calculating toxicant trigger values for the ANZECC and ARMCANZ water quality guidelines</w:t>
      </w:r>
      <w:r w:rsidR="009B036B">
        <w:t>,</w:t>
      </w:r>
      <w:r w:rsidRPr="57352DF8">
        <w:rPr>
          <w:spacing w:val="29"/>
        </w:rPr>
        <w:t xml:space="preserve"> </w:t>
      </w:r>
      <w:r w:rsidRPr="57352DF8">
        <w:rPr>
          <w:spacing w:val="5"/>
        </w:rPr>
        <w:t>P</w:t>
      </w:r>
      <w:r w:rsidRPr="57352DF8">
        <w:rPr>
          <w:spacing w:val="4"/>
        </w:rPr>
        <w:t>e</w:t>
      </w:r>
      <w:r w:rsidRPr="57352DF8">
        <w:rPr>
          <w:spacing w:val="6"/>
        </w:rPr>
        <w:t>r</w:t>
      </w:r>
      <w:r w:rsidRPr="57352DF8">
        <w:rPr>
          <w:spacing w:val="5"/>
        </w:rPr>
        <w:t>th</w:t>
      </w:r>
      <w:r w:rsidRPr="57352DF8">
        <w:t>.</w:t>
      </w:r>
    </w:p>
    <w:p w14:paraId="68727A95" w14:textId="5F6E8EE1" w:rsidR="00D636A6" w:rsidRDefault="00FE77BC" w:rsidP="004D7186">
      <w:pPr>
        <w:rPr>
          <w:noProof/>
          <w:lang w:val="en-GB" w:eastAsia="en-GB" w:bidi="en-US"/>
        </w:rPr>
      </w:pPr>
      <w:r w:rsidRPr="2F2010B8">
        <w:rPr>
          <w:noProof/>
          <w:lang w:val="en-GB" w:eastAsia="en-GB" w:bidi="en-US"/>
        </w:rPr>
        <w:t xml:space="preserve">CCME </w:t>
      </w:r>
      <w:r w:rsidR="00633CE1">
        <w:rPr>
          <w:noProof/>
          <w:lang w:val="en-GB" w:eastAsia="en-GB" w:bidi="en-US"/>
        </w:rPr>
        <w:t>(Canadian Council of Ministers of the Environment) (</w:t>
      </w:r>
      <w:r w:rsidRPr="2F2010B8">
        <w:rPr>
          <w:noProof/>
          <w:lang w:val="en-GB" w:eastAsia="en-GB" w:bidi="en-US"/>
        </w:rPr>
        <w:t>2018</w:t>
      </w:r>
      <w:r w:rsidR="00633CE1">
        <w:rPr>
          <w:noProof/>
          <w:lang w:val="en-GB" w:eastAsia="en-GB" w:bidi="en-US"/>
        </w:rPr>
        <w:t>)</w:t>
      </w:r>
      <w:r w:rsidRPr="2F2010B8">
        <w:rPr>
          <w:noProof/>
          <w:lang w:val="en-GB" w:eastAsia="en-GB" w:bidi="en-US"/>
        </w:rPr>
        <w:t xml:space="preserve"> </w:t>
      </w:r>
      <w:hyperlink r:id="rId83" w:history="1">
        <w:r w:rsidRPr="00633CE1">
          <w:rPr>
            <w:rStyle w:val="Hyperlink"/>
            <w:i/>
            <w:iCs/>
            <w:noProof/>
            <w:lang w:val="en-GB" w:eastAsia="en-GB" w:bidi="en-US"/>
          </w:rPr>
          <w:t xml:space="preserve">Scientific criteria document for the development of the Canadian water quality guidelines for the protection of aquatic life: </w:t>
        </w:r>
        <w:r w:rsidR="00633CE1">
          <w:rPr>
            <w:rStyle w:val="Hyperlink"/>
            <w:i/>
            <w:iCs/>
            <w:noProof/>
            <w:lang w:val="en-GB" w:eastAsia="en-GB" w:bidi="en-US"/>
          </w:rPr>
          <w:t>z</w:t>
        </w:r>
        <w:r w:rsidRPr="00633CE1">
          <w:rPr>
            <w:rStyle w:val="Hyperlink"/>
            <w:i/>
            <w:iCs/>
            <w:noProof/>
            <w:lang w:val="en-GB" w:eastAsia="en-GB" w:bidi="en-US"/>
          </w:rPr>
          <w:t>inc</w:t>
        </w:r>
      </w:hyperlink>
      <w:r w:rsidR="00633CE1">
        <w:rPr>
          <w:noProof/>
          <w:lang w:val="en-GB" w:eastAsia="en-GB" w:bidi="en-US"/>
        </w:rPr>
        <w:t>,</w:t>
      </w:r>
      <w:r w:rsidRPr="2F2010B8">
        <w:rPr>
          <w:noProof/>
          <w:lang w:val="en-GB" w:eastAsia="en-GB" w:bidi="en-US"/>
        </w:rPr>
        <w:t xml:space="preserve"> </w:t>
      </w:r>
      <w:r w:rsidR="00633CE1">
        <w:rPr>
          <w:noProof/>
          <w:lang w:val="en-GB" w:eastAsia="en-GB" w:bidi="en-US"/>
        </w:rPr>
        <w:t>CCME</w:t>
      </w:r>
      <w:r w:rsidRPr="2F2010B8">
        <w:rPr>
          <w:noProof/>
          <w:lang w:val="en-GB" w:eastAsia="en-GB" w:bidi="en-US"/>
        </w:rPr>
        <w:t>, National Guidelines and Standards Office, Water Policy and Coordination Directorate, Environment Canada</w:t>
      </w:r>
      <w:r w:rsidR="00633CE1">
        <w:rPr>
          <w:noProof/>
          <w:lang w:val="en-GB" w:eastAsia="en-GB" w:bidi="en-US"/>
        </w:rPr>
        <w:t>,</w:t>
      </w:r>
      <w:r w:rsidRPr="2F2010B8">
        <w:rPr>
          <w:noProof/>
          <w:lang w:val="en-GB" w:eastAsia="en-GB" w:bidi="en-US"/>
        </w:rPr>
        <w:t xml:space="preserve"> Winnipeg</w:t>
      </w:r>
      <w:r w:rsidRPr="2F2010B8">
        <w:rPr>
          <w:noProof/>
          <w:lang w:val="en-GB" w:eastAsia="en-GB"/>
        </w:rPr>
        <w:t>.</w:t>
      </w:r>
    </w:p>
    <w:p w14:paraId="0AD58A63" w14:textId="7F1DF9D3" w:rsidR="00D636A6" w:rsidRPr="00A21CD3" w:rsidRDefault="00D636A6" w:rsidP="004D7186">
      <w:r w:rsidRPr="57352DF8">
        <w:t xml:space="preserve">Chapman PM </w:t>
      </w:r>
      <w:r w:rsidR="00633CE1">
        <w:t>(</w:t>
      </w:r>
      <w:r w:rsidRPr="57352DF8">
        <w:t>2015</w:t>
      </w:r>
      <w:r w:rsidR="00633CE1">
        <w:t>)</w:t>
      </w:r>
      <w:r w:rsidRPr="57352DF8">
        <w:t xml:space="preserve"> </w:t>
      </w:r>
      <w:r w:rsidR="00FF165C">
        <w:t>‘</w:t>
      </w:r>
      <w:hyperlink r:id="rId84" w:history="1">
        <w:r w:rsidRPr="00FF165C">
          <w:rPr>
            <w:rStyle w:val="Hyperlink"/>
          </w:rPr>
          <w:t>Including or excluding toxicity test data for development of a geometric mean</w:t>
        </w:r>
      </w:hyperlink>
      <w:r w:rsidR="00FF165C">
        <w:t>’,</w:t>
      </w:r>
      <w:r w:rsidRPr="57352DF8">
        <w:t xml:space="preserve"> </w:t>
      </w:r>
      <w:r w:rsidRPr="57352DF8">
        <w:rPr>
          <w:i/>
          <w:iCs/>
        </w:rPr>
        <w:t>Environ</w:t>
      </w:r>
      <w:r w:rsidR="00FF165C">
        <w:rPr>
          <w:i/>
          <w:iCs/>
        </w:rPr>
        <w:t>mental</w:t>
      </w:r>
      <w:r w:rsidRPr="57352DF8">
        <w:rPr>
          <w:i/>
          <w:iCs/>
        </w:rPr>
        <w:t xml:space="preserve"> Toxicol</w:t>
      </w:r>
      <w:r w:rsidR="00FF165C">
        <w:rPr>
          <w:i/>
          <w:iCs/>
        </w:rPr>
        <w:t>ogy and</w:t>
      </w:r>
      <w:r w:rsidRPr="57352DF8">
        <w:rPr>
          <w:i/>
          <w:iCs/>
        </w:rPr>
        <w:t xml:space="preserve"> Chem</w:t>
      </w:r>
      <w:r w:rsidR="00FF165C" w:rsidRPr="00FF165C">
        <w:rPr>
          <w:i/>
          <w:iCs/>
        </w:rPr>
        <w:t>istry</w:t>
      </w:r>
      <w:r w:rsidRPr="57352DF8">
        <w:t>, 34</w:t>
      </w:r>
      <w:r w:rsidR="00FF165C">
        <w:t>:</w:t>
      </w:r>
      <w:r w:rsidRPr="57352DF8">
        <w:t>1691–1692</w:t>
      </w:r>
      <w:r w:rsidR="00FF165C">
        <w:t>, doi:</w:t>
      </w:r>
      <w:r w:rsidR="00FF165C" w:rsidRPr="00FF165C">
        <w:t>10.1002/etc.3012</w:t>
      </w:r>
      <w:r w:rsidRPr="57352DF8">
        <w:t>.</w:t>
      </w:r>
    </w:p>
    <w:p w14:paraId="3D2AACCA" w14:textId="746815B7" w:rsidR="00D636A6" w:rsidRDefault="00D636A6" w:rsidP="004D7186">
      <w:r w:rsidRPr="57352DF8">
        <w:t>Cormier S</w:t>
      </w:r>
      <w:r w:rsidR="00BF22FA" w:rsidRPr="57352DF8">
        <w:t>M, Paul JF, Spehar RL, Shaw-Allen P, Berry WJ</w:t>
      </w:r>
      <w:r w:rsidRPr="57352DF8">
        <w:t xml:space="preserve"> </w:t>
      </w:r>
      <w:r w:rsidR="00506746" w:rsidRPr="57352DF8">
        <w:t>and</w:t>
      </w:r>
      <w:r w:rsidR="00BF22FA" w:rsidRPr="57352DF8">
        <w:t xml:space="preserve"> Suter GW</w:t>
      </w:r>
      <w:r w:rsidRPr="57352DF8">
        <w:t xml:space="preserve"> </w:t>
      </w:r>
      <w:r w:rsidR="00BA4C3D">
        <w:t>(</w:t>
      </w:r>
      <w:r w:rsidRPr="57352DF8">
        <w:t>2008</w:t>
      </w:r>
      <w:r w:rsidR="00BA4C3D">
        <w:t>)</w:t>
      </w:r>
      <w:r w:rsidRPr="57352DF8">
        <w:t xml:space="preserve"> </w:t>
      </w:r>
      <w:r w:rsidR="00BA4C3D">
        <w:t>‘</w:t>
      </w:r>
      <w:hyperlink r:id="rId85" w:history="1">
        <w:r w:rsidRPr="00547E4F">
          <w:rPr>
            <w:rStyle w:val="Hyperlink"/>
          </w:rPr>
          <w:t>Using field data and weight of evidence to develop water quality criteria</w:t>
        </w:r>
      </w:hyperlink>
      <w:r w:rsidR="00BA4C3D">
        <w:t>’,</w:t>
      </w:r>
      <w:r w:rsidRPr="57352DF8">
        <w:t xml:space="preserve"> </w:t>
      </w:r>
      <w:r w:rsidRPr="57352DF8">
        <w:rPr>
          <w:i/>
          <w:iCs/>
        </w:rPr>
        <w:t>Integr</w:t>
      </w:r>
      <w:r w:rsidR="00547E4F">
        <w:rPr>
          <w:i/>
          <w:iCs/>
        </w:rPr>
        <w:t>ated</w:t>
      </w:r>
      <w:r w:rsidRPr="57352DF8">
        <w:rPr>
          <w:i/>
          <w:iCs/>
        </w:rPr>
        <w:t xml:space="preserve"> Environ</w:t>
      </w:r>
      <w:r w:rsidR="00547E4F">
        <w:rPr>
          <w:i/>
          <w:iCs/>
        </w:rPr>
        <w:t>mental</w:t>
      </w:r>
      <w:r w:rsidRPr="57352DF8">
        <w:rPr>
          <w:i/>
          <w:iCs/>
        </w:rPr>
        <w:t xml:space="preserve"> Assess</w:t>
      </w:r>
      <w:r w:rsidR="00547E4F">
        <w:rPr>
          <w:i/>
          <w:iCs/>
        </w:rPr>
        <w:t>ment and</w:t>
      </w:r>
      <w:r w:rsidRPr="57352DF8">
        <w:rPr>
          <w:i/>
          <w:iCs/>
        </w:rPr>
        <w:t xml:space="preserve"> Manag</w:t>
      </w:r>
      <w:r w:rsidR="00547E4F">
        <w:rPr>
          <w:i/>
          <w:iCs/>
        </w:rPr>
        <w:t>ement</w:t>
      </w:r>
      <w:r w:rsidRPr="57352DF8">
        <w:t>, 4</w:t>
      </w:r>
      <w:r w:rsidR="00BA4C3D">
        <w:t>:</w:t>
      </w:r>
      <w:r w:rsidRPr="57352DF8">
        <w:t>490–504</w:t>
      </w:r>
      <w:r w:rsidR="00547E4F">
        <w:t>, doi:</w:t>
      </w:r>
      <w:r w:rsidR="00547E4F" w:rsidRPr="00547E4F">
        <w:t>10.1897/ieam_2008-018.1</w:t>
      </w:r>
      <w:r w:rsidRPr="57352DF8">
        <w:t>.</w:t>
      </w:r>
    </w:p>
    <w:p w14:paraId="2B3E4248" w14:textId="27FD3F0C" w:rsidR="003C063A" w:rsidRDefault="003C063A" w:rsidP="004D7186">
      <w:pPr>
        <w:rPr>
          <w:lang w:val="en-GB"/>
        </w:rPr>
      </w:pPr>
      <w:r w:rsidRPr="25D8F5DB">
        <w:rPr>
          <w:lang w:val="en-GB"/>
        </w:rPr>
        <w:lastRenderedPageBreak/>
        <w:t xml:space="preserve">Cui L, Li X, Luo Y, Gao X, Wang Y, Lv X, Zhang H and Lei K </w:t>
      </w:r>
      <w:r w:rsidR="003F4C29">
        <w:rPr>
          <w:lang w:val="en-GB"/>
        </w:rPr>
        <w:t>(</w:t>
      </w:r>
      <w:r w:rsidRPr="25D8F5DB">
        <w:rPr>
          <w:lang w:val="en-GB"/>
        </w:rPr>
        <w:t>2023</w:t>
      </w:r>
      <w:r w:rsidR="003F4C29">
        <w:rPr>
          <w:lang w:val="en-GB"/>
        </w:rPr>
        <w:t>)</w:t>
      </w:r>
      <w:r w:rsidRPr="25D8F5DB">
        <w:rPr>
          <w:lang w:val="en-GB"/>
        </w:rPr>
        <w:t xml:space="preserve"> </w:t>
      </w:r>
      <w:r w:rsidR="003F4C29">
        <w:rPr>
          <w:lang w:val="en-GB"/>
        </w:rPr>
        <w:t>‘</w:t>
      </w:r>
      <w:hyperlink r:id="rId86" w:history="1">
        <w:r w:rsidRPr="0049161B">
          <w:rPr>
            <w:rStyle w:val="Hyperlink"/>
            <w:lang w:val="en-GB"/>
          </w:rPr>
          <w:t xml:space="preserve">A comprehensive review of the effects of salinity, dissolved organic carbon, pH, and temperature on copper biotoxicity: </w:t>
        </w:r>
        <w:r w:rsidR="003F4C29" w:rsidRPr="0049161B">
          <w:rPr>
            <w:rStyle w:val="Hyperlink"/>
            <w:lang w:val="en-GB"/>
          </w:rPr>
          <w:t>i</w:t>
        </w:r>
        <w:r w:rsidRPr="0049161B">
          <w:rPr>
            <w:rStyle w:val="Hyperlink"/>
            <w:lang w:val="en-GB"/>
          </w:rPr>
          <w:t>mplications for setting the copper marine water quality criteria</w:t>
        </w:r>
      </w:hyperlink>
      <w:r w:rsidR="003F4C29">
        <w:rPr>
          <w:lang w:val="en-GB"/>
        </w:rPr>
        <w:t>’,</w:t>
      </w:r>
      <w:r w:rsidRPr="25D8F5DB">
        <w:rPr>
          <w:lang w:val="en-GB"/>
        </w:rPr>
        <w:t xml:space="preserve"> </w:t>
      </w:r>
      <w:r w:rsidRPr="25D8F5DB">
        <w:rPr>
          <w:i/>
          <w:iCs/>
          <w:lang w:val="en-GB"/>
        </w:rPr>
        <w:t>Sci</w:t>
      </w:r>
      <w:r w:rsidR="0049161B">
        <w:rPr>
          <w:i/>
          <w:iCs/>
          <w:lang w:val="en-GB"/>
        </w:rPr>
        <w:t>ence of the</w:t>
      </w:r>
      <w:r w:rsidRPr="25D8F5DB">
        <w:rPr>
          <w:i/>
          <w:iCs/>
          <w:lang w:val="en-GB"/>
        </w:rPr>
        <w:t xml:space="preserve"> Tot</w:t>
      </w:r>
      <w:r w:rsidR="5D8675AF" w:rsidRPr="25D8F5DB">
        <w:rPr>
          <w:i/>
          <w:iCs/>
          <w:lang w:val="en-GB"/>
        </w:rPr>
        <w:t>al</w:t>
      </w:r>
      <w:r w:rsidRPr="25D8F5DB">
        <w:rPr>
          <w:i/>
          <w:iCs/>
          <w:lang w:val="en-GB"/>
        </w:rPr>
        <w:t xml:space="preserve"> Environ</w:t>
      </w:r>
      <w:r w:rsidR="0049161B" w:rsidRPr="0049161B">
        <w:rPr>
          <w:i/>
          <w:iCs/>
          <w:lang w:val="en-GB"/>
        </w:rPr>
        <w:t>ment</w:t>
      </w:r>
      <w:r w:rsidRPr="25D8F5DB">
        <w:rPr>
          <w:lang w:val="en-GB"/>
        </w:rPr>
        <w:t>, 912</w:t>
      </w:r>
      <w:r w:rsidR="003F4C29">
        <w:rPr>
          <w:lang w:val="en-GB"/>
        </w:rPr>
        <w:t>:</w:t>
      </w:r>
      <w:r w:rsidRPr="25D8F5DB">
        <w:rPr>
          <w:lang w:val="en-GB"/>
        </w:rPr>
        <w:t>169587</w:t>
      </w:r>
      <w:r w:rsidR="0049161B">
        <w:rPr>
          <w:lang w:val="en-GB"/>
        </w:rPr>
        <w:t>, doi:</w:t>
      </w:r>
      <w:r w:rsidR="0049161B" w:rsidRPr="0049161B">
        <w:rPr>
          <w:lang w:val="en-GB"/>
        </w:rPr>
        <w:t>10.1016/j.scitotenv.2023.169587</w:t>
      </w:r>
      <w:r w:rsidRPr="25D8F5DB">
        <w:rPr>
          <w:lang w:val="en-GB"/>
        </w:rPr>
        <w:t>.</w:t>
      </w:r>
    </w:p>
    <w:p w14:paraId="0ED50C22" w14:textId="06487723" w:rsidR="00677395" w:rsidRDefault="00677395" w:rsidP="004D7186">
      <w:r>
        <w:t xml:space="preserve">Dalgarno S </w:t>
      </w:r>
      <w:r w:rsidR="001747BE">
        <w:t>(</w:t>
      </w:r>
      <w:r>
        <w:t>2018</w:t>
      </w:r>
      <w:r w:rsidR="001747BE">
        <w:t>)</w:t>
      </w:r>
      <w:r>
        <w:t xml:space="preserve"> </w:t>
      </w:r>
      <w:hyperlink r:id="rId87" w:history="1">
        <w:r w:rsidRPr="001747BE">
          <w:rPr>
            <w:rStyle w:val="Hyperlink"/>
            <w:i/>
            <w:iCs/>
          </w:rPr>
          <w:t>ssdtools: A shiny web app to analyse species sensitivity distributions</w:t>
        </w:r>
      </w:hyperlink>
      <w:r w:rsidR="001747BE">
        <w:t>,</w:t>
      </w:r>
      <w:r>
        <w:t xml:space="preserve"> </w:t>
      </w:r>
      <w:r w:rsidR="001747BE">
        <w:t>p</w:t>
      </w:r>
      <w:r>
        <w:t>repared by Poisson Consulting for the Ministry of the Environment, British Columbia.</w:t>
      </w:r>
    </w:p>
    <w:p w14:paraId="2ABFFFFC" w14:textId="4C6C3158" w:rsidR="00F82985" w:rsidRDefault="00F82985" w:rsidP="004D7186">
      <w:r>
        <w:t xml:space="preserve">ECCC </w:t>
      </w:r>
      <w:r w:rsidR="00692F5F">
        <w:t xml:space="preserve">(Environment and Climate Change Canada) </w:t>
      </w:r>
      <w:r w:rsidR="008F5147">
        <w:t>(</w:t>
      </w:r>
      <w:r>
        <w:t>2020</w:t>
      </w:r>
      <w:r w:rsidR="008F5147">
        <w:t>)</w:t>
      </w:r>
      <w:r>
        <w:t xml:space="preserve"> </w:t>
      </w:r>
      <w:hyperlink r:id="rId88" w:history="1">
        <w:r w:rsidR="006B232D" w:rsidRPr="007C56F7">
          <w:rPr>
            <w:rStyle w:val="Hyperlink"/>
            <w:i/>
            <w:iCs/>
          </w:rPr>
          <w:t xml:space="preserve">Canadian Environmental Protection Act, 1999 – </w:t>
        </w:r>
        <w:r w:rsidRPr="007C56F7">
          <w:rPr>
            <w:rStyle w:val="Hyperlink"/>
            <w:i/>
            <w:iCs/>
          </w:rPr>
          <w:t xml:space="preserve">Federal </w:t>
        </w:r>
        <w:r w:rsidR="00AC196E" w:rsidRPr="007C56F7">
          <w:rPr>
            <w:rStyle w:val="Hyperlink"/>
            <w:i/>
            <w:iCs/>
          </w:rPr>
          <w:t>E</w:t>
        </w:r>
        <w:r w:rsidRPr="007C56F7">
          <w:rPr>
            <w:rStyle w:val="Hyperlink"/>
            <w:i/>
            <w:iCs/>
          </w:rPr>
          <w:t xml:space="preserve">nvironmental </w:t>
        </w:r>
        <w:r w:rsidR="00AC196E" w:rsidRPr="007C56F7">
          <w:rPr>
            <w:rStyle w:val="Hyperlink"/>
            <w:i/>
            <w:iCs/>
          </w:rPr>
          <w:t>Q</w:t>
        </w:r>
        <w:r w:rsidRPr="007C56F7">
          <w:rPr>
            <w:rStyle w:val="Hyperlink"/>
            <w:i/>
            <w:iCs/>
          </w:rPr>
          <w:t xml:space="preserve">uality </w:t>
        </w:r>
        <w:r w:rsidR="00AC196E" w:rsidRPr="007C56F7">
          <w:rPr>
            <w:rStyle w:val="Hyperlink"/>
            <w:i/>
            <w:iCs/>
          </w:rPr>
          <w:t>G</w:t>
        </w:r>
        <w:r w:rsidRPr="007C56F7">
          <w:rPr>
            <w:rStyle w:val="Hyperlink"/>
            <w:i/>
            <w:iCs/>
          </w:rPr>
          <w:t xml:space="preserve">uidelines – </w:t>
        </w:r>
        <w:r w:rsidR="008F5147" w:rsidRPr="007C56F7">
          <w:rPr>
            <w:rStyle w:val="Hyperlink"/>
            <w:i/>
            <w:iCs/>
          </w:rPr>
          <w:t>l</w:t>
        </w:r>
        <w:r w:rsidRPr="007C56F7">
          <w:rPr>
            <w:rStyle w:val="Hyperlink"/>
            <w:i/>
            <w:iCs/>
          </w:rPr>
          <w:t>ead</w:t>
        </w:r>
      </w:hyperlink>
      <w:r w:rsidR="00AD5046">
        <w:t>,</w:t>
      </w:r>
      <w:r>
        <w:t xml:space="preserve"> </w:t>
      </w:r>
      <w:r w:rsidR="00AD5046">
        <w:t>ECCC, Government of Canada, Ottawa</w:t>
      </w:r>
      <w:r w:rsidR="4C1D997D">
        <w:t>.</w:t>
      </w:r>
    </w:p>
    <w:p w14:paraId="70B3EA3E" w14:textId="31C63E55" w:rsidR="005347B7" w:rsidRDefault="005347B7" w:rsidP="004D7186">
      <w:r>
        <w:t xml:space="preserve">ECCC </w:t>
      </w:r>
      <w:r w:rsidR="008F5147">
        <w:t>(</w:t>
      </w:r>
      <w:r>
        <w:t>2022</w:t>
      </w:r>
      <w:r w:rsidR="008F5147">
        <w:t>)</w:t>
      </w:r>
      <w:r>
        <w:t xml:space="preserve"> </w:t>
      </w:r>
      <w:hyperlink r:id="rId89" w:history="1">
        <w:r w:rsidR="006B232D" w:rsidRPr="00A8067E">
          <w:rPr>
            <w:rStyle w:val="Hyperlink"/>
            <w:i/>
            <w:iCs/>
          </w:rPr>
          <w:t xml:space="preserve">Canadian Environmental Protection Act, 1999 – </w:t>
        </w:r>
        <w:r w:rsidRPr="00A8067E">
          <w:rPr>
            <w:rStyle w:val="Hyperlink"/>
            <w:i/>
            <w:iCs/>
          </w:rPr>
          <w:t xml:space="preserve">Federal </w:t>
        </w:r>
        <w:r w:rsidR="00AC196E" w:rsidRPr="00A8067E">
          <w:rPr>
            <w:rStyle w:val="Hyperlink"/>
            <w:i/>
            <w:iCs/>
          </w:rPr>
          <w:t>E</w:t>
        </w:r>
        <w:r w:rsidRPr="00A8067E">
          <w:rPr>
            <w:rStyle w:val="Hyperlink"/>
            <w:i/>
            <w:iCs/>
          </w:rPr>
          <w:t xml:space="preserve">nvironmental </w:t>
        </w:r>
        <w:r w:rsidR="00AC196E" w:rsidRPr="00A8067E">
          <w:rPr>
            <w:rStyle w:val="Hyperlink"/>
            <w:i/>
            <w:iCs/>
          </w:rPr>
          <w:t>Q</w:t>
        </w:r>
        <w:r w:rsidRPr="00A8067E">
          <w:rPr>
            <w:rStyle w:val="Hyperlink"/>
            <w:i/>
            <w:iCs/>
          </w:rPr>
          <w:t xml:space="preserve">uality </w:t>
        </w:r>
        <w:r w:rsidR="00AC196E" w:rsidRPr="00A8067E">
          <w:rPr>
            <w:rStyle w:val="Hyperlink"/>
            <w:i/>
            <w:iCs/>
          </w:rPr>
          <w:t>G</w:t>
        </w:r>
        <w:r w:rsidRPr="00A8067E">
          <w:rPr>
            <w:rStyle w:val="Hyperlink"/>
            <w:i/>
            <w:iCs/>
          </w:rPr>
          <w:t xml:space="preserve">uidelines – </w:t>
        </w:r>
        <w:r w:rsidR="00AD5046" w:rsidRPr="00A8067E">
          <w:rPr>
            <w:rStyle w:val="Hyperlink"/>
            <w:i/>
            <w:iCs/>
          </w:rPr>
          <w:t>a</w:t>
        </w:r>
        <w:r w:rsidRPr="00A8067E">
          <w:rPr>
            <w:rStyle w:val="Hyperlink"/>
            <w:i/>
            <w:iCs/>
          </w:rPr>
          <w:t>luminium</w:t>
        </w:r>
      </w:hyperlink>
      <w:r w:rsidR="00AD5046">
        <w:t>,</w:t>
      </w:r>
      <w:r>
        <w:t xml:space="preserve"> </w:t>
      </w:r>
      <w:r w:rsidR="00AD5046">
        <w:t>ECCC, Government of Canada, Ottawa</w:t>
      </w:r>
      <w:r>
        <w:t>.</w:t>
      </w:r>
    </w:p>
    <w:p w14:paraId="59D97BB3" w14:textId="2F8D25A3" w:rsidR="00692F5F" w:rsidRDefault="00692F5F" w:rsidP="00692F5F">
      <w:r>
        <w:t xml:space="preserve">ECCC (2024) </w:t>
      </w:r>
      <w:hyperlink r:id="rId90" w:history="1">
        <w:r w:rsidRPr="001070C0">
          <w:rPr>
            <w:rStyle w:val="Hyperlink"/>
            <w:i/>
            <w:iCs/>
          </w:rPr>
          <w:t>Canadian Environmental Protection Act, 1999 – Federal Environmental Quality Guidelines – iron</w:t>
        </w:r>
      </w:hyperlink>
      <w:r>
        <w:t>, ECCC, Government of Canada, Ottawa.</w:t>
      </w:r>
    </w:p>
    <w:p w14:paraId="4EF45A88" w14:textId="134A0C2A" w:rsidR="00C27489" w:rsidRDefault="00C27489" w:rsidP="004D7186">
      <w:r>
        <w:t xml:space="preserve">Erickson RJ, Benoit DA and Mattson VR </w:t>
      </w:r>
      <w:r w:rsidR="00AC196E">
        <w:t>(</w:t>
      </w:r>
      <w:r>
        <w:t>1987</w:t>
      </w:r>
      <w:r w:rsidR="00AC196E">
        <w:t>)</w:t>
      </w:r>
      <w:r>
        <w:t xml:space="preserve"> </w:t>
      </w:r>
      <w:r w:rsidR="00834F7E" w:rsidRPr="00B96158">
        <w:rPr>
          <w:i/>
          <w:iCs/>
        </w:rPr>
        <w:t>A prototype toxicity factors model for site-specific copper water quality criteria</w:t>
      </w:r>
      <w:r w:rsidR="00B96158">
        <w:t>,</w:t>
      </w:r>
      <w:r w:rsidR="00834F7E">
        <w:t xml:space="preserve"> United States Environmental Protection Agency, </w:t>
      </w:r>
      <w:r w:rsidR="009948A3">
        <w:t>Environmental Research Laboratory, Duluth.</w:t>
      </w:r>
    </w:p>
    <w:p w14:paraId="29339D65" w14:textId="67D987CE" w:rsidR="00D636A6" w:rsidRDefault="00D636A6" w:rsidP="004D7186">
      <w:r>
        <w:t xml:space="preserve">European Commission </w:t>
      </w:r>
      <w:r w:rsidR="00D6699B">
        <w:t>(</w:t>
      </w:r>
      <w:r>
        <w:t>2010</w:t>
      </w:r>
      <w:r w:rsidR="00D6699B">
        <w:t>)</w:t>
      </w:r>
      <w:r>
        <w:t xml:space="preserve"> </w:t>
      </w:r>
      <w:hyperlink r:id="rId91" w:history="1">
        <w:r w:rsidRPr="005A6243">
          <w:rPr>
            <w:rStyle w:val="Hyperlink"/>
            <w:i/>
            <w:iCs/>
          </w:rPr>
          <w:t>Nickel and its compounds</w:t>
        </w:r>
      </w:hyperlink>
      <w:r w:rsidR="00276C75">
        <w:t>,</w:t>
      </w:r>
      <w:r>
        <w:t xml:space="preserve"> Environmental </w:t>
      </w:r>
      <w:r w:rsidR="005A3F62">
        <w:t>Q</w:t>
      </w:r>
      <w:r>
        <w:t xml:space="preserve">uality </w:t>
      </w:r>
      <w:r w:rsidR="005A3F62">
        <w:t>S</w:t>
      </w:r>
      <w:r>
        <w:t xml:space="preserve">tandards </w:t>
      </w:r>
      <w:r w:rsidR="005A3F62">
        <w:t>S</w:t>
      </w:r>
      <w:r>
        <w:t>heet</w:t>
      </w:r>
      <w:r w:rsidR="00276C75">
        <w:t>, p</w:t>
      </w:r>
      <w:r>
        <w:t>repared by Danish Environmental Protection Agency on behalf of the European Union, Copenhagen.</w:t>
      </w:r>
    </w:p>
    <w:p w14:paraId="51D6FD3E" w14:textId="2B10A6C8" w:rsidR="005A3F62" w:rsidRDefault="005A3F62" w:rsidP="004D7186">
      <w:pPr>
        <w:rPr>
          <w:rFonts w:cs="MyriadPro-Regular"/>
        </w:rPr>
      </w:pPr>
      <w:r>
        <w:t xml:space="preserve">European Commission (2018) </w:t>
      </w:r>
      <w:r w:rsidRPr="002B2E47">
        <w:rPr>
          <w:i/>
          <w:iCs/>
        </w:rPr>
        <w:t>Technical guidance for deriving environmental quality standards</w:t>
      </w:r>
      <w:r w:rsidR="00066FB2" w:rsidRPr="00066FB2">
        <w:t>,</w:t>
      </w:r>
      <w:r w:rsidRPr="002B2E47">
        <w:rPr>
          <w:b/>
          <w:bCs/>
          <w:i/>
          <w:iCs/>
        </w:rPr>
        <w:t xml:space="preserve"> </w:t>
      </w:r>
      <w:r w:rsidRPr="00066FB2">
        <w:t>Guidance Document No</w:t>
      </w:r>
      <w:r w:rsidR="00066FB2">
        <w:t>.</w:t>
      </w:r>
      <w:r w:rsidRPr="00066FB2">
        <w:t xml:space="preserve"> 27, </w:t>
      </w:r>
      <w:r w:rsidR="00066FB2">
        <w:t>u</w:t>
      </w:r>
      <w:r w:rsidRPr="00066FB2">
        <w:t>pdated version 2018</w:t>
      </w:r>
      <w:r w:rsidR="002B2E47" w:rsidRPr="00066FB2">
        <w:t>,</w:t>
      </w:r>
      <w:r w:rsidRPr="2F2010B8">
        <w:rPr>
          <w:b/>
          <w:bCs/>
        </w:rPr>
        <w:t xml:space="preserve"> </w:t>
      </w:r>
      <w:r>
        <w:t>Common Implementation Strategy for the Water Framework Directive, European Commission, Brussels.</w:t>
      </w:r>
    </w:p>
    <w:p w14:paraId="7AF3E7D2" w14:textId="4A303108" w:rsidR="00A578AA" w:rsidRDefault="00A578AA" w:rsidP="004D7186">
      <w:r w:rsidRPr="2F2010B8">
        <w:rPr>
          <w:lang w:val="en-GB"/>
        </w:rPr>
        <w:t xml:space="preserve">European Commission </w:t>
      </w:r>
      <w:r w:rsidR="005A3F62">
        <w:rPr>
          <w:lang w:val="en-GB"/>
        </w:rPr>
        <w:t>(</w:t>
      </w:r>
      <w:r w:rsidRPr="2F2010B8">
        <w:rPr>
          <w:lang w:val="en-GB"/>
        </w:rPr>
        <w:t>2019</w:t>
      </w:r>
      <w:r w:rsidR="005A3F62">
        <w:rPr>
          <w:lang w:val="en-GB"/>
        </w:rPr>
        <w:t>)</w:t>
      </w:r>
      <w:r w:rsidRPr="2F2010B8">
        <w:rPr>
          <w:lang w:val="en-GB"/>
        </w:rPr>
        <w:t xml:space="preserve"> </w:t>
      </w:r>
      <w:hyperlink r:id="rId92" w:history="1">
        <w:r w:rsidRPr="003E1C69">
          <w:rPr>
            <w:rStyle w:val="Hyperlink"/>
            <w:i/>
            <w:iCs/>
            <w:lang w:val="en-GB"/>
          </w:rPr>
          <w:t xml:space="preserve">Technical </w:t>
        </w:r>
        <w:r w:rsidR="00906B32" w:rsidRPr="003E1C69">
          <w:rPr>
            <w:rStyle w:val="Hyperlink"/>
            <w:i/>
            <w:iCs/>
            <w:lang w:val="en-GB"/>
          </w:rPr>
          <w:t>g</w:t>
        </w:r>
        <w:r w:rsidRPr="003E1C69">
          <w:rPr>
            <w:rStyle w:val="Hyperlink"/>
            <w:i/>
            <w:iCs/>
            <w:lang w:val="en-GB"/>
          </w:rPr>
          <w:t>uidance for implementing Environmental Quality Standards (EQS) for metals</w:t>
        </w:r>
        <w:r w:rsidR="00910DE7" w:rsidRPr="003E1C69">
          <w:rPr>
            <w:rStyle w:val="Hyperlink"/>
            <w:i/>
            <w:iCs/>
            <w:lang w:val="en-GB"/>
          </w:rPr>
          <w:t>:</w:t>
        </w:r>
        <w:r w:rsidRPr="003E1C69">
          <w:rPr>
            <w:rStyle w:val="Hyperlink"/>
            <w:i/>
            <w:iCs/>
            <w:lang w:val="en-GB"/>
          </w:rPr>
          <w:t xml:space="preserve"> </w:t>
        </w:r>
        <w:r w:rsidR="0045393E" w:rsidRPr="003E1C69">
          <w:rPr>
            <w:rStyle w:val="Hyperlink"/>
            <w:i/>
            <w:iCs/>
            <w:lang w:val="en-GB"/>
          </w:rPr>
          <w:t>c</w:t>
        </w:r>
        <w:r w:rsidRPr="003E1C69">
          <w:rPr>
            <w:rStyle w:val="Hyperlink"/>
            <w:i/>
            <w:iCs/>
            <w:lang w:val="en-GB"/>
          </w:rPr>
          <w:t>onsideration of metal bioavailability and natural background concentrations in assessing compliance</w:t>
        </w:r>
      </w:hyperlink>
      <w:r w:rsidR="0045393E">
        <w:rPr>
          <w:lang w:val="en-GB"/>
        </w:rPr>
        <w:t>,</w:t>
      </w:r>
      <w:r w:rsidR="00910DE7" w:rsidRPr="2F2010B8">
        <w:rPr>
          <w:lang w:val="en-GB"/>
        </w:rPr>
        <w:t xml:space="preserve"> Guidance Document No. 38. </w:t>
      </w:r>
      <w:r w:rsidR="00910DE7">
        <w:t>Common Implementation Strategy for the Water Framework Directive, European Commission, Brussels</w:t>
      </w:r>
      <w:r w:rsidR="219D4689">
        <w:t>.</w:t>
      </w:r>
    </w:p>
    <w:p w14:paraId="09622AF6" w14:textId="13829353" w:rsidR="00BC3C4B" w:rsidRPr="006164B6" w:rsidRDefault="00225382" w:rsidP="004D7186">
      <w:pPr>
        <w:rPr>
          <w:lang w:eastAsia="en-AU"/>
        </w:rPr>
      </w:pPr>
      <w:r w:rsidRPr="14BE8DC7">
        <w:rPr>
          <w:lang w:eastAsia="en-AU"/>
        </w:rPr>
        <w:t>Fisher R</w:t>
      </w:r>
      <w:r w:rsidR="64E37BC2" w:rsidRPr="14BE8DC7">
        <w:rPr>
          <w:lang w:eastAsia="en-AU"/>
        </w:rPr>
        <w:t xml:space="preserve"> and</w:t>
      </w:r>
      <w:r w:rsidRPr="14BE8DC7">
        <w:rPr>
          <w:lang w:eastAsia="en-AU"/>
        </w:rPr>
        <w:t xml:space="preserve"> Fox DR </w:t>
      </w:r>
      <w:r w:rsidR="005A3F62">
        <w:rPr>
          <w:lang w:eastAsia="en-AU"/>
        </w:rPr>
        <w:t>(</w:t>
      </w:r>
      <w:r w:rsidRPr="14BE8DC7">
        <w:rPr>
          <w:lang w:eastAsia="en-AU"/>
        </w:rPr>
        <w:t>2023</w:t>
      </w:r>
      <w:r w:rsidR="005A3F62">
        <w:rPr>
          <w:lang w:eastAsia="en-AU"/>
        </w:rPr>
        <w:t>)</w:t>
      </w:r>
      <w:r w:rsidRPr="14BE8DC7">
        <w:rPr>
          <w:lang w:eastAsia="en-AU"/>
        </w:rPr>
        <w:t xml:space="preserve"> </w:t>
      </w:r>
      <w:r w:rsidR="0037551C">
        <w:rPr>
          <w:lang w:eastAsia="en-AU"/>
        </w:rPr>
        <w:t>‘</w:t>
      </w:r>
      <w:hyperlink r:id="rId93" w:history="1">
        <w:r w:rsidRPr="006035D3">
          <w:rPr>
            <w:rStyle w:val="Hyperlink"/>
            <w:lang w:eastAsia="en-AU"/>
          </w:rPr>
          <w:t>Introducing the no significant effect concentration</w:t>
        </w:r>
      </w:hyperlink>
      <w:r w:rsidR="0037551C" w:rsidRPr="006035D3">
        <w:rPr>
          <w:lang w:eastAsia="en-AU"/>
        </w:rPr>
        <w:t>’</w:t>
      </w:r>
      <w:r w:rsidR="0037551C" w:rsidRPr="0037551C">
        <w:rPr>
          <w:lang w:eastAsia="en-AU"/>
        </w:rPr>
        <w:t>,</w:t>
      </w:r>
      <w:r w:rsidRPr="0037551C">
        <w:rPr>
          <w:lang w:eastAsia="en-AU"/>
        </w:rPr>
        <w:t xml:space="preserve"> </w:t>
      </w:r>
      <w:r w:rsidR="00AF6481" w:rsidRPr="14BE8DC7">
        <w:rPr>
          <w:i/>
          <w:iCs/>
          <w:lang w:val="en-NZ"/>
        </w:rPr>
        <w:t>Environ</w:t>
      </w:r>
      <w:r w:rsidR="0037551C">
        <w:rPr>
          <w:i/>
          <w:iCs/>
          <w:lang w:val="en-NZ"/>
        </w:rPr>
        <w:t>mental</w:t>
      </w:r>
      <w:r w:rsidR="00AF6481" w:rsidRPr="14BE8DC7">
        <w:rPr>
          <w:i/>
          <w:iCs/>
          <w:lang w:val="en-NZ"/>
        </w:rPr>
        <w:t xml:space="preserve"> Toxicol</w:t>
      </w:r>
      <w:r w:rsidR="0037551C">
        <w:rPr>
          <w:i/>
          <w:iCs/>
          <w:lang w:val="en-NZ"/>
        </w:rPr>
        <w:t>ogy and</w:t>
      </w:r>
      <w:r w:rsidR="00AF6481" w:rsidRPr="14BE8DC7">
        <w:rPr>
          <w:i/>
          <w:iCs/>
          <w:lang w:val="en-NZ"/>
        </w:rPr>
        <w:t xml:space="preserve"> Chem</w:t>
      </w:r>
      <w:r w:rsidR="0037551C">
        <w:rPr>
          <w:i/>
          <w:iCs/>
          <w:lang w:val="en-NZ"/>
        </w:rPr>
        <w:t>istry</w:t>
      </w:r>
      <w:r w:rsidR="00EF2FC4" w:rsidRPr="14BE8DC7">
        <w:rPr>
          <w:i/>
          <w:iCs/>
          <w:lang w:val="en-NZ"/>
        </w:rPr>
        <w:t xml:space="preserve">, </w:t>
      </w:r>
      <w:r w:rsidRPr="14BE8DC7">
        <w:rPr>
          <w:lang w:eastAsia="en-AU"/>
        </w:rPr>
        <w:t>42</w:t>
      </w:r>
      <w:r w:rsidR="0037551C">
        <w:rPr>
          <w:lang w:eastAsia="en-AU"/>
        </w:rPr>
        <w:t>:</w:t>
      </w:r>
      <w:r w:rsidRPr="14BE8DC7">
        <w:rPr>
          <w:lang w:eastAsia="en-AU"/>
        </w:rPr>
        <w:t>2019</w:t>
      </w:r>
      <w:r w:rsidR="0037551C">
        <w:rPr>
          <w:lang w:eastAsia="en-AU"/>
        </w:rPr>
        <w:t>–</w:t>
      </w:r>
      <w:r w:rsidRPr="14BE8DC7">
        <w:rPr>
          <w:lang w:eastAsia="en-AU"/>
        </w:rPr>
        <w:t>2028</w:t>
      </w:r>
      <w:r w:rsidR="00F45CF4">
        <w:rPr>
          <w:lang w:eastAsia="en-AU"/>
        </w:rPr>
        <w:t>, doi:</w:t>
      </w:r>
      <w:r w:rsidR="00F45CF4" w:rsidRPr="00F45CF4">
        <w:rPr>
          <w:lang w:eastAsia="en-AU"/>
        </w:rPr>
        <w:t>10.1002/etc.5610</w:t>
      </w:r>
      <w:r w:rsidR="005D364A" w:rsidRPr="14BE8DC7">
        <w:rPr>
          <w:lang w:eastAsia="en-AU"/>
        </w:rPr>
        <w:t>.</w:t>
      </w:r>
    </w:p>
    <w:p w14:paraId="6DBA23A1" w14:textId="29DA67C0" w:rsidR="002A4C96" w:rsidRPr="00C924B6" w:rsidRDefault="002A4C96" w:rsidP="004D7186">
      <w:pPr>
        <w:rPr>
          <w:rFonts w:cs="MyriadPro-Regular"/>
        </w:rPr>
      </w:pPr>
      <w:r w:rsidRPr="57352DF8">
        <w:rPr>
          <w:lang w:eastAsia="en-AU"/>
        </w:rPr>
        <w:t>Fisher R, Fox DR, Negri AP, Dam J</w:t>
      </w:r>
      <w:r w:rsidR="006164B6" w:rsidRPr="57352DF8">
        <w:rPr>
          <w:lang w:eastAsia="en-AU"/>
        </w:rPr>
        <w:t>V</w:t>
      </w:r>
      <w:r w:rsidRPr="57352DF8">
        <w:rPr>
          <w:lang w:eastAsia="en-AU"/>
        </w:rPr>
        <w:t>, Flores F</w:t>
      </w:r>
      <w:r w:rsidR="005D364A" w:rsidRPr="57352DF8">
        <w:rPr>
          <w:lang w:eastAsia="en-AU"/>
        </w:rPr>
        <w:t xml:space="preserve"> and</w:t>
      </w:r>
      <w:r w:rsidRPr="57352DF8">
        <w:rPr>
          <w:lang w:eastAsia="en-AU"/>
        </w:rPr>
        <w:t xml:space="preserve"> Koppel D </w:t>
      </w:r>
      <w:r w:rsidR="005A3F62">
        <w:rPr>
          <w:lang w:eastAsia="en-AU"/>
        </w:rPr>
        <w:t>(</w:t>
      </w:r>
      <w:r w:rsidRPr="57352DF8">
        <w:rPr>
          <w:lang w:eastAsia="en-AU"/>
        </w:rPr>
        <w:t>2024</w:t>
      </w:r>
      <w:r w:rsidR="005A3F62">
        <w:rPr>
          <w:lang w:eastAsia="en-AU"/>
        </w:rPr>
        <w:t>)</w:t>
      </w:r>
      <w:r w:rsidRPr="57352DF8">
        <w:rPr>
          <w:lang w:eastAsia="en-AU"/>
        </w:rPr>
        <w:t xml:space="preserve"> </w:t>
      </w:r>
      <w:r w:rsidR="00DB5AF4">
        <w:rPr>
          <w:lang w:eastAsia="en-AU"/>
        </w:rPr>
        <w:t>‘</w:t>
      </w:r>
      <w:hyperlink r:id="rId94" w:history="1">
        <w:r w:rsidRPr="00F45CF4">
          <w:rPr>
            <w:rStyle w:val="Hyperlink"/>
            <w:lang w:eastAsia="en-AU"/>
          </w:rPr>
          <w:t>Methods for estimating no effect toxicity concentrations in ecotoxicology</w:t>
        </w:r>
      </w:hyperlink>
      <w:r w:rsidR="0037551C">
        <w:rPr>
          <w:lang w:eastAsia="en-AU"/>
        </w:rPr>
        <w:t>’,</w:t>
      </w:r>
      <w:r w:rsidRPr="57352DF8">
        <w:rPr>
          <w:lang w:eastAsia="en-AU"/>
        </w:rPr>
        <w:t xml:space="preserve"> </w:t>
      </w:r>
      <w:r w:rsidRPr="57352DF8">
        <w:rPr>
          <w:i/>
          <w:iCs/>
          <w:lang w:eastAsia="en-AU"/>
        </w:rPr>
        <w:t>Integr</w:t>
      </w:r>
      <w:r w:rsidR="00DB5AF4">
        <w:rPr>
          <w:i/>
          <w:iCs/>
          <w:lang w:eastAsia="en-AU"/>
        </w:rPr>
        <w:t>ated</w:t>
      </w:r>
      <w:r w:rsidRPr="57352DF8">
        <w:rPr>
          <w:i/>
          <w:iCs/>
          <w:lang w:eastAsia="en-AU"/>
        </w:rPr>
        <w:t xml:space="preserve"> Enviro</w:t>
      </w:r>
      <w:r w:rsidR="003D57E0" w:rsidRPr="57352DF8">
        <w:rPr>
          <w:i/>
          <w:iCs/>
          <w:lang w:eastAsia="en-AU"/>
        </w:rPr>
        <w:t>n</w:t>
      </w:r>
      <w:r w:rsidR="00DB5AF4">
        <w:rPr>
          <w:i/>
          <w:iCs/>
          <w:lang w:eastAsia="en-AU"/>
        </w:rPr>
        <w:t>mental</w:t>
      </w:r>
      <w:r w:rsidRPr="57352DF8">
        <w:rPr>
          <w:i/>
          <w:iCs/>
          <w:lang w:eastAsia="en-AU"/>
        </w:rPr>
        <w:t xml:space="preserve"> Asse</w:t>
      </w:r>
      <w:r w:rsidR="003D57E0" w:rsidRPr="57352DF8">
        <w:rPr>
          <w:i/>
          <w:iCs/>
          <w:lang w:eastAsia="en-AU"/>
        </w:rPr>
        <w:t>ss</w:t>
      </w:r>
      <w:r w:rsidR="00DB5AF4">
        <w:rPr>
          <w:i/>
          <w:iCs/>
          <w:lang w:eastAsia="en-AU"/>
        </w:rPr>
        <w:t>ment and</w:t>
      </w:r>
      <w:r w:rsidRPr="57352DF8">
        <w:rPr>
          <w:i/>
          <w:iCs/>
          <w:lang w:eastAsia="en-AU"/>
        </w:rPr>
        <w:t xml:space="preserve"> Manag</w:t>
      </w:r>
      <w:r w:rsidR="00DB5AF4">
        <w:rPr>
          <w:i/>
          <w:iCs/>
          <w:lang w:eastAsia="en-AU"/>
        </w:rPr>
        <w:t>ement</w:t>
      </w:r>
      <w:r w:rsidR="003D57E0" w:rsidRPr="57352DF8">
        <w:rPr>
          <w:lang w:eastAsia="en-AU"/>
        </w:rPr>
        <w:t>,</w:t>
      </w:r>
      <w:r w:rsidRPr="57352DF8">
        <w:rPr>
          <w:lang w:eastAsia="en-AU"/>
        </w:rPr>
        <w:t xml:space="preserve"> 20</w:t>
      </w:r>
      <w:r w:rsidR="00DB5AF4">
        <w:rPr>
          <w:lang w:eastAsia="en-AU"/>
        </w:rPr>
        <w:t>:</w:t>
      </w:r>
      <w:r w:rsidRPr="57352DF8">
        <w:rPr>
          <w:lang w:eastAsia="en-AU"/>
        </w:rPr>
        <w:t>279</w:t>
      </w:r>
      <w:r w:rsidR="00DB5AF4">
        <w:rPr>
          <w:lang w:eastAsia="en-AU"/>
        </w:rPr>
        <w:t>–</w:t>
      </w:r>
      <w:r w:rsidRPr="57352DF8">
        <w:rPr>
          <w:lang w:eastAsia="en-AU"/>
        </w:rPr>
        <w:t>293</w:t>
      </w:r>
      <w:r w:rsidR="00F45CF4">
        <w:rPr>
          <w:lang w:eastAsia="en-AU"/>
        </w:rPr>
        <w:t>, doi:</w:t>
      </w:r>
      <w:r w:rsidR="00F45CF4" w:rsidRPr="00F45CF4">
        <w:rPr>
          <w:lang w:eastAsia="en-AU"/>
        </w:rPr>
        <w:t>10.1002/ieam.4809</w:t>
      </w:r>
      <w:r w:rsidR="00DB5AF4">
        <w:rPr>
          <w:lang w:eastAsia="en-AU"/>
        </w:rPr>
        <w:t>.</w:t>
      </w:r>
    </w:p>
    <w:p w14:paraId="33738075" w14:textId="00AC9F0F" w:rsidR="00D636A6" w:rsidRDefault="00BF22FA" w:rsidP="004D7186">
      <w:r w:rsidRPr="57352DF8">
        <w:t>Fox DR</w:t>
      </w:r>
      <w:r w:rsidR="00D636A6" w:rsidRPr="57352DF8">
        <w:t xml:space="preserve"> </w:t>
      </w:r>
      <w:r w:rsidR="005A3F62">
        <w:t>(</w:t>
      </w:r>
      <w:r w:rsidR="00D636A6" w:rsidRPr="57352DF8">
        <w:t>2009</w:t>
      </w:r>
      <w:r w:rsidR="005A3F62">
        <w:t>)</w:t>
      </w:r>
      <w:r w:rsidR="00D636A6" w:rsidRPr="57352DF8">
        <w:t xml:space="preserve"> </w:t>
      </w:r>
      <w:r w:rsidR="00DB5AF4">
        <w:t>‘</w:t>
      </w:r>
      <w:hyperlink r:id="rId95" w:history="1">
        <w:r w:rsidR="00D636A6" w:rsidRPr="00D924B4">
          <w:rPr>
            <w:rStyle w:val="Hyperlink"/>
          </w:rPr>
          <w:t>A Bayesian approach for determining the no effect concentration and hazardous concentration in ecotoxicology</w:t>
        </w:r>
      </w:hyperlink>
      <w:r w:rsidR="00DB5AF4">
        <w:t>’,</w:t>
      </w:r>
      <w:r w:rsidR="00D636A6" w:rsidRPr="57352DF8">
        <w:t xml:space="preserve"> </w:t>
      </w:r>
      <w:r w:rsidR="00D636A6" w:rsidRPr="57352DF8">
        <w:rPr>
          <w:i/>
          <w:iCs/>
        </w:rPr>
        <w:t>Ecotox</w:t>
      </w:r>
      <w:r w:rsidR="00D924B4">
        <w:rPr>
          <w:i/>
          <w:iCs/>
        </w:rPr>
        <w:t>icology and</w:t>
      </w:r>
      <w:r w:rsidR="00D636A6" w:rsidRPr="57352DF8">
        <w:rPr>
          <w:i/>
          <w:iCs/>
        </w:rPr>
        <w:t xml:space="preserve"> Environ</w:t>
      </w:r>
      <w:r w:rsidR="00D924B4">
        <w:rPr>
          <w:i/>
          <w:iCs/>
        </w:rPr>
        <w:t>mental</w:t>
      </w:r>
      <w:r w:rsidR="00D636A6" w:rsidRPr="57352DF8">
        <w:rPr>
          <w:i/>
          <w:iCs/>
        </w:rPr>
        <w:t xml:space="preserve"> Saf</w:t>
      </w:r>
      <w:r w:rsidR="00D924B4">
        <w:rPr>
          <w:i/>
          <w:iCs/>
        </w:rPr>
        <w:t>ety</w:t>
      </w:r>
      <w:r w:rsidR="00D636A6" w:rsidRPr="57352DF8">
        <w:rPr>
          <w:i/>
          <w:iCs/>
        </w:rPr>
        <w:t>,</w:t>
      </w:r>
      <w:r w:rsidR="00D636A6" w:rsidRPr="57352DF8">
        <w:t xml:space="preserve"> 73</w:t>
      </w:r>
      <w:r w:rsidR="00DB5AF4">
        <w:t>:</w:t>
      </w:r>
      <w:r w:rsidR="00D636A6" w:rsidRPr="57352DF8">
        <w:t>123–131</w:t>
      </w:r>
      <w:r w:rsidR="00D924B4">
        <w:t>, doi:</w:t>
      </w:r>
      <w:r w:rsidR="00D924B4" w:rsidRPr="00D924B4">
        <w:t>10.1016/j.ecoenv.2009.09.012</w:t>
      </w:r>
      <w:r w:rsidR="00D636A6" w:rsidRPr="57352DF8">
        <w:t>.</w:t>
      </w:r>
    </w:p>
    <w:p w14:paraId="6A1F1726" w14:textId="56735F2B" w:rsidR="00BE364D" w:rsidRPr="00C924B6" w:rsidRDefault="00BE364D" w:rsidP="004D7186">
      <w:r w:rsidRPr="00BE364D">
        <w:rPr>
          <w:lang w:val="en-GB"/>
        </w:rPr>
        <w:t>Fox DR</w:t>
      </w:r>
      <w:r>
        <w:rPr>
          <w:lang w:val="en-GB"/>
        </w:rPr>
        <w:t xml:space="preserve"> and</w:t>
      </w:r>
      <w:r w:rsidRPr="00BE364D">
        <w:rPr>
          <w:lang w:val="en-GB"/>
        </w:rPr>
        <w:t xml:space="preserve"> Batley GE </w:t>
      </w:r>
      <w:r w:rsidR="005A3F62">
        <w:rPr>
          <w:lang w:val="en-GB"/>
        </w:rPr>
        <w:t>(</w:t>
      </w:r>
      <w:r w:rsidRPr="00BE364D">
        <w:rPr>
          <w:lang w:val="en-GB"/>
        </w:rPr>
        <w:t>2022</w:t>
      </w:r>
      <w:r w:rsidR="005A3F62">
        <w:rPr>
          <w:lang w:val="en-GB"/>
        </w:rPr>
        <w:t>)</w:t>
      </w:r>
      <w:r w:rsidRPr="00BE364D">
        <w:rPr>
          <w:lang w:val="en-GB"/>
        </w:rPr>
        <w:t xml:space="preserve"> </w:t>
      </w:r>
      <w:r w:rsidR="00DB5AF4">
        <w:rPr>
          <w:lang w:val="en-GB"/>
        </w:rPr>
        <w:t>‘</w:t>
      </w:r>
      <w:hyperlink r:id="rId96" w:history="1">
        <w:r w:rsidRPr="00A34816">
          <w:rPr>
            <w:rStyle w:val="Hyperlink"/>
            <w:lang w:val="en-GB"/>
          </w:rPr>
          <w:t>Assessment factors in species sensitivity distributions for the derivation of guideline values for aquatic contaminants</w:t>
        </w:r>
      </w:hyperlink>
      <w:r w:rsidR="00DB5AF4">
        <w:rPr>
          <w:lang w:val="en-GB"/>
        </w:rPr>
        <w:t>’,</w:t>
      </w:r>
      <w:r w:rsidRPr="00BE364D">
        <w:rPr>
          <w:lang w:val="en-GB"/>
        </w:rPr>
        <w:t xml:space="preserve"> </w:t>
      </w:r>
      <w:r w:rsidRPr="00BE364D">
        <w:rPr>
          <w:i/>
          <w:iCs/>
          <w:lang w:val="en-GB"/>
        </w:rPr>
        <w:t>Environ</w:t>
      </w:r>
      <w:r w:rsidR="00DB5AF4">
        <w:rPr>
          <w:i/>
          <w:iCs/>
          <w:lang w:val="en-GB"/>
        </w:rPr>
        <w:t>mental</w:t>
      </w:r>
      <w:r w:rsidRPr="00BE364D">
        <w:rPr>
          <w:i/>
          <w:iCs/>
          <w:lang w:val="en-GB"/>
        </w:rPr>
        <w:t xml:space="preserve"> Chem</w:t>
      </w:r>
      <w:r w:rsidR="00DB5AF4">
        <w:rPr>
          <w:i/>
          <w:iCs/>
          <w:lang w:val="en-GB"/>
        </w:rPr>
        <w:t>istry</w:t>
      </w:r>
      <w:r w:rsidRPr="00BE364D">
        <w:rPr>
          <w:lang w:val="en-GB"/>
        </w:rPr>
        <w:t>, 19</w:t>
      </w:r>
      <w:r w:rsidR="00DB5AF4">
        <w:rPr>
          <w:lang w:val="en-GB"/>
        </w:rPr>
        <w:t>:</w:t>
      </w:r>
      <w:r w:rsidRPr="00BE364D">
        <w:rPr>
          <w:lang w:val="en-GB"/>
        </w:rPr>
        <w:t>201</w:t>
      </w:r>
      <w:r w:rsidRPr="00C924B6">
        <w:t>–</w:t>
      </w:r>
      <w:r w:rsidRPr="00BE364D">
        <w:rPr>
          <w:lang w:val="en-GB"/>
        </w:rPr>
        <w:t>209</w:t>
      </w:r>
      <w:r w:rsidR="00A34816">
        <w:rPr>
          <w:lang w:val="en-GB"/>
        </w:rPr>
        <w:t>, doi:</w:t>
      </w:r>
      <w:r w:rsidR="00A34816" w:rsidRPr="00A34816">
        <w:rPr>
          <w:lang w:val="en-GB"/>
        </w:rPr>
        <w:t>10.1071/EN22061</w:t>
      </w:r>
      <w:r w:rsidRPr="00BE364D">
        <w:rPr>
          <w:lang w:val="en-GB"/>
        </w:rPr>
        <w:t>.</w:t>
      </w:r>
    </w:p>
    <w:p w14:paraId="7113E197" w14:textId="4370C777" w:rsidR="00D636A6" w:rsidRDefault="00BF22FA" w:rsidP="004D7186">
      <w:r w:rsidRPr="57352DF8">
        <w:t>Fox DR</w:t>
      </w:r>
      <w:r w:rsidR="00D636A6" w:rsidRPr="57352DF8">
        <w:t xml:space="preserve"> </w:t>
      </w:r>
      <w:r w:rsidR="00506746" w:rsidRPr="57352DF8">
        <w:t>and</w:t>
      </w:r>
      <w:r w:rsidR="00D636A6" w:rsidRPr="57352DF8">
        <w:t xml:space="preserve"> Billoir E </w:t>
      </w:r>
      <w:r w:rsidR="00404482">
        <w:t>(</w:t>
      </w:r>
      <w:r w:rsidR="00D636A6" w:rsidRPr="57352DF8">
        <w:t>2011</w:t>
      </w:r>
      <w:r w:rsidR="00404482">
        <w:t>)</w:t>
      </w:r>
      <w:r w:rsidR="005422FC" w:rsidRPr="57352DF8">
        <w:t xml:space="preserve"> </w:t>
      </w:r>
      <w:r w:rsidR="00874026">
        <w:t>‘</w:t>
      </w:r>
      <w:hyperlink r:id="rId97" w:history="1">
        <w:r w:rsidR="00D636A6" w:rsidRPr="00874026">
          <w:rPr>
            <w:rStyle w:val="Hyperlink"/>
          </w:rPr>
          <w:t>Individual versus population effects in concentration-response modelling</w:t>
        </w:r>
      </w:hyperlink>
      <w:r w:rsidR="00874026">
        <w:t>’,</w:t>
      </w:r>
      <w:r w:rsidR="00D636A6" w:rsidRPr="57352DF8">
        <w:t xml:space="preserve"> </w:t>
      </w:r>
      <w:r w:rsidR="00D636A6" w:rsidRPr="57352DF8">
        <w:rPr>
          <w:i/>
          <w:iCs/>
        </w:rPr>
        <w:t>Integr</w:t>
      </w:r>
      <w:r w:rsidR="00404482">
        <w:rPr>
          <w:i/>
          <w:iCs/>
        </w:rPr>
        <w:t>ated</w:t>
      </w:r>
      <w:r w:rsidR="00D636A6" w:rsidRPr="57352DF8">
        <w:rPr>
          <w:i/>
          <w:iCs/>
        </w:rPr>
        <w:t xml:space="preserve"> Environ</w:t>
      </w:r>
      <w:r w:rsidR="00404482">
        <w:rPr>
          <w:i/>
          <w:iCs/>
        </w:rPr>
        <w:t>mental</w:t>
      </w:r>
      <w:r w:rsidR="00D636A6" w:rsidRPr="57352DF8">
        <w:rPr>
          <w:i/>
          <w:iCs/>
        </w:rPr>
        <w:t xml:space="preserve"> Assess</w:t>
      </w:r>
      <w:r w:rsidR="00404482">
        <w:rPr>
          <w:i/>
          <w:iCs/>
        </w:rPr>
        <w:t>ment and</w:t>
      </w:r>
      <w:r w:rsidR="00D636A6" w:rsidRPr="57352DF8">
        <w:rPr>
          <w:i/>
          <w:iCs/>
        </w:rPr>
        <w:t xml:space="preserve"> Manag</w:t>
      </w:r>
      <w:r w:rsidR="00404482">
        <w:rPr>
          <w:i/>
          <w:iCs/>
        </w:rPr>
        <w:t>ement</w:t>
      </w:r>
      <w:r w:rsidR="00D636A6" w:rsidRPr="00805F35">
        <w:t xml:space="preserve">, </w:t>
      </w:r>
      <w:r w:rsidR="00D636A6" w:rsidRPr="57352DF8">
        <w:t>7</w:t>
      </w:r>
      <w:r w:rsidR="00874026">
        <w:t>(3):</w:t>
      </w:r>
      <w:r w:rsidR="00D636A6" w:rsidRPr="57352DF8">
        <w:t>501–502</w:t>
      </w:r>
      <w:r w:rsidR="00874026">
        <w:t>, doi:</w:t>
      </w:r>
      <w:r w:rsidR="00874026" w:rsidRPr="00874026">
        <w:t>10.1002/ieam.199</w:t>
      </w:r>
      <w:r w:rsidR="00D636A6" w:rsidRPr="57352DF8">
        <w:t>.</w:t>
      </w:r>
    </w:p>
    <w:p w14:paraId="6C028E51" w14:textId="7B06EC54" w:rsidR="00DA3D5A" w:rsidRDefault="00DA3D5A" w:rsidP="004D7186">
      <w:r w:rsidRPr="00DA3D5A">
        <w:lastRenderedPageBreak/>
        <w:t>Fox DR</w:t>
      </w:r>
      <w:r>
        <w:t xml:space="preserve"> and</w:t>
      </w:r>
      <w:r w:rsidRPr="00DA3D5A">
        <w:t xml:space="preserve"> Landis WG </w:t>
      </w:r>
      <w:r>
        <w:t>(</w:t>
      </w:r>
      <w:r w:rsidRPr="00DA3D5A">
        <w:t>2016</w:t>
      </w:r>
      <w:r>
        <w:t>)</w:t>
      </w:r>
      <w:r w:rsidRPr="00DA3D5A">
        <w:t xml:space="preserve"> </w:t>
      </w:r>
      <w:r w:rsidR="00250214">
        <w:t>‘</w:t>
      </w:r>
      <w:r w:rsidRPr="00DA3D5A">
        <w:t>Don’t be fooled-a no-observed-effect concentration is no substitute for a poor concentration-response experiment</w:t>
      </w:r>
      <w:r w:rsidR="00250214">
        <w:t>’</w:t>
      </w:r>
      <w:r w:rsidR="0084384C">
        <w:t>,</w:t>
      </w:r>
      <w:r w:rsidRPr="00DA3D5A">
        <w:t xml:space="preserve"> </w:t>
      </w:r>
      <w:r w:rsidR="00250214" w:rsidRPr="14BE8DC7">
        <w:rPr>
          <w:i/>
          <w:iCs/>
          <w:lang w:val="en-NZ"/>
        </w:rPr>
        <w:t>Environ</w:t>
      </w:r>
      <w:r w:rsidR="00250214">
        <w:rPr>
          <w:i/>
          <w:iCs/>
          <w:lang w:val="en-NZ"/>
        </w:rPr>
        <w:t>mental</w:t>
      </w:r>
      <w:r w:rsidR="00250214" w:rsidRPr="14BE8DC7">
        <w:rPr>
          <w:i/>
          <w:iCs/>
          <w:lang w:val="en-NZ"/>
        </w:rPr>
        <w:t xml:space="preserve"> Toxicol</w:t>
      </w:r>
      <w:r w:rsidR="00250214">
        <w:rPr>
          <w:i/>
          <w:iCs/>
          <w:lang w:val="en-NZ"/>
        </w:rPr>
        <w:t>ogy and</w:t>
      </w:r>
      <w:r w:rsidR="00250214" w:rsidRPr="14BE8DC7">
        <w:rPr>
          <w:i/>
          <w:iCs/>
          <w:lang w:val="en-NZ"/>
        </w:rPr>
        <w:t xml:space="preserve"> Chem</w:t>
      </w:r>
      <w:r w:rsidR="00250214">
        <w:rPr>
          <w:i/>
          <w:iCs/>
          <w:lang w:val="en-NZ"/>
        </w:rPr>
        <w:t>istry</w:t>
      </w:r>
      <w:r w:rsidR="00250214">
        <w:rPr>
          <w:lang w:val="en-NZ"/>
        </w:rPr>
        <w:t>,</w:t>
      </w:r>
      <w:r w:rsidRPr="00DA3D5A">
        <w:t xml:space="preserve"> 35:2141–2148</w:t>
      </w:r>
      <w:r w:rsidR="00250214">
        <w:t xml:space="preserve">, </w:t>
      </w:r>
      <w:hyperlink r:id="rId98" w:history="1">
        <w:r w:rsidR="00250214" w:rsidRPr="00250214">
          <w:rPr>
            <w:rStyle w:val="Hyperlink"/>
          </w:rPr>
          <w:t>doi.org/10.1002/etc.3459</w:t>
        </w:r>
      </w:hyperlink>
      <w:r w:rsidR="00250214">
        <w:t>.</w:t>
      </w:r>
    </w:p>
    <w:p w14:paraId="3B478E46" w14:textId="0463FDEB" w:rsidR="004E69D7" w:rsidRDefault="004E69D7" w:rsidP="004D7186">
      <w:r>
        <w:t xml:space="preserve">Fox DR, van Dam RA, Fisher R, Batley GE, Tillmans AR, Thorley J, Schwarz CJ, Spry DJ and McTavish K </w:t>
      </w:r>
      <w:r w:rsidR="005F2432">
        <w:t>(</w:t>
      </w:r>
      <w:r>
        <w:t>2021</w:t>
      </w:r>
      <w:r w:rsidR="005F2432">
        <w:t>)</w:t>
      </w:r>
      <w:r>
        <w:t xml:space="preserve"> </w:t>
      </w:r>
      <w:r w:rsidR="00EE0D05">
        <w:t>‘</w:t>
      </w:r>
      <w:hyperlink r:id="rId99" w:history="1">
        <w:r w:rsidRPr="008D4590">
          <w:rPr>
            <w:rStyle w:val="Hyperlink"/>
          </w:rPr>
          <w:t>Recent developments in species sensitivity distribution modeling</w:t>
        </w:r>
      </w:hyperlink>
      <w:r w:rsidR="00EE0D05">
        <w:t>’,</w:t>
      </w:r>
      <w:r>
        <w:t> </w:t>
      </w:r>
      <w:r w:rsidRPr="2F2010B8">
        <w:rPr>
          <w:i/>
          <w:iCs/>
        </w:rPr>
        <w:t>Environ</w:t>
      </w:r>
      <w:r w:rsidR="00EE0D05">
        <w:rPr>
          <w:i/>
          <w:iCs/>
        </w:rPr>
        <w:t>mental</w:t>
      </w:r>
      <w:r w:rsidRPr="2F2010B8">
        <w:rPr>
          <w:i/>
          <w:iCs/>
        </w:rPr>
        <w:t xml:space="preserve"> Toxicol</w:t>
      </w:r>
      <w:r w:rsidR="00EE0D05">
        <w:rPr>
          <w:i/>
          <w:iCs/>
        </w:rPr>
        <w:t>ology and</w:t>
      </w:r>
      <w:r w:rsidRPr="2F2010B8">
        <w:rPr>
          <w:i/>
          <w:iCs/>
        </w:rPr>
        <w:t xml:space="preserve"> Chem</w:t>
      </w:r>
      <w:r w:rsidR="00EE0D05">
        <w:rPr>
          <w:i/>
          <w:iCs/>
        </w:rPr>
        <w:t>istry</w:t>
      </w:r>
      <w:r w:rsidR="00EE0D05" w:rsidRPr="00EE0D05">
        <w:t>,</w:t>
      </w:r>
      <w:r w:rsidRPr="2F2010B8">
        <w:rPr>
          <w:i/>
          <w:iCs/>
        </w:rPr>
        <w:t xml:space="preserve"> </w:t>
      </w:r>
      <w:r>
        <w:t>40</w:t>
      </w:r>
      <w:r w:rsidR="00EE0D05">
        <w:t>:</w:t>
      </w:r>
      <w:r>
        <w:t>293</w:t>
      </w:r>
      <w:r w:rsidR="00EE0D05">
        <w:t>–</w:t>
      </w:r>
      <w:r>
        <w:t>308</w:t>
      </w:r>
      <w:r w:rsidR="008D4590">
        <w:t>, doi:</w:t>
      </w:r>
      <w:r w:rsidR="008D4590" w:rsidRPr="008D4590">
        <w:t>10.1002/etc.4925</w:t>
      </w:r>
      <w:r>
        <w:t>.</w:t>
      </w:r>
    </w:p>
    <w:p w14:paraId="7571DF41" w14:textId="10E8FB90" w:rsidR="002105F2" w:rsidRDefault="002105F2" w:rsidP="004D7186">
      <w:r>
        <w:t xml:space="preserve">Fox D, van Dam R, Batley G, Fisher R and Thorley J </w:t>
      </w:r>
      <w:r w:rsidR="005F2432">
        <w:t>(</w:t>
      </w:r>
      <w:r>
        <w:t>2023</w:t>
      </w:r>
      <w:r w:rsidR="005F2432">
        <w:t>)</w:t>
      </w:r>
      <w:r>
        <w:t xml:space="preserve"> </w:t>
      </w:r>
      <w:r w:rsidR="00EE0D05">
        <w:t>‘</w:t>
      </w:r>
      <w:hyperlink r:id="rId100" w:history="1">
        <w:r w:rsidRPr="005853EC">
          <w:rPr>
            <w:rStyle w:val="Hyperlink"/>
          </w:rPr>
          <w:t>Improved SSD software coming soon for the ANZG Guidelines</w:t>
        </w:r>
      </w:hyperlink>
      <w:r w:rsidR="00EE0D05">
        <w:t>’,</w:t>
      </w:r>
      <w:r>
        <w:t xml:space="preserve"> </w:t>
      </w:r>
      <w:r w:rsidRPr="2F2010B8">
        <w:rPr>
          <w:i/>
          <w:iCs/>
          <w:lang w:val="en-GB"/>
        </w:rPr>
        <w:t>Australas</w:t>
      </w:r>
      <w:r w:rsidR="00386C8D">
        <w:rPr>
          <w:i/>
          <w:iCs/>
          <w:lang w:val="en-GB"/>
        </w:rPr>
        <w:t>ian</w:t>
      </w:r>
      <w:r w:rsidR="65548C20" w:rsidRPr="2F2010B8">
        <w:rPr>
          <w:i/>
          <w:iCs/>
          <w:lang w:val="en-GB"/>
        </w:rPr>
        <w:t xml:space="preserve"> Bull</w:t>
      </w:r>
      <w:r w:rsidR="00386C8D">
        <w:rPr>
          <w:i/>
          <w:iCs/>
          <w:lang w:val="en-GB"/>
        </w:rPr>
        <w:t>etin of</w:t>
      </w:r>
      <w:r w:rsidR="65548C20" w:rsidRPr="2F2010B8">
        <w:rPr>
          <w:i/>
          <w:iCs/>
          <w:lang w:val="en-GB"/>
        </w:rPr>
        <w:t xml:space="preserve"> Ecotox</w:t>
      </w:r>
      <w:r w:rsidR="00386C8D">
        <w:rPr>
          <w:i/>
          <w:iCs/>
          <w:lang w:val="en-GB"/>
        </w:rPr>
        <w:t>icology and</w:t>
      </w:r>
      <w:r w:rsidR="65548C20" w:rsidRPr="2F2010B8">
        <w:rPr>
          <w:i/>
          <w:iCs/>
          <w:lang w:val="en-GB"/>
        </w:rPr>
        <w:t xml:space="preserve"> Environ</w:t>
      </w:r>
      <w:r w:rsidR="00386C8D">
        <w:rPr>
          <w:i/>
          <w:iCs/>
          <w:lang w:val="en-GB"/>
        </w:rPr>
        <w:t>mental</w:t>
      </w:r>
      <w:r w:rsidR="65548C20" w:rsidRPr="2F2010B8">
        <w:rPr>
          <w:i/>
          <w:iCs/>
          <w:lang w:val="en-GB"/>
        </w:rPr>
        <w:t xml:space="preserve"> Chem</w:t>
      </w:r>
      <w:r w:rsidR="00386C8D">
        <w:rPr>
          <w:i/>
          <w:iCs/>
          <w:lang w:val="en-GB"/>
        </w:rPr>
        <w:t>istry</w:t>
      </w:r>
      <w:r w:rsidR="3A28E89D" w:rsidRPr="2F2010B8">
        <w:rPr>
          <w:i/>
          <w:iCs/>
          <w:lang w:val="en-GB"/>
        </w:rPr>
        <w:t>,</w:t>
      </w:r>
      <w:r w:rsidRPr="2F2010B8">
        <w:rPr>
          <w:lang w:val="en-GB"/>
        </w:rPr>
        <w:t xml:space="preserve"> 9</w:t>
      </w:r>
      <w:r w:rsidR="00EE0D05">
        <w:rPr>
          <w:lang w:val="en-GB"/>
        </w:rPr>
        <w:t>:</w:t>
      </w:r>
      <w:r w:rsidRPr="2F2010B8">
        <w:rPr>
          <w:lang w:val="en-GB"/>
        </w:rPr>
        <w:t>1</w:t>
      </w:r>
      <w:r w:rsidR="00EE0D05">
        <w:rPr>
          <w:lang w:val="en-GB"/>
        </w:rPr>
        <w:t>–</w:t>
      </w:r>
      <w:r w:rsidRPr="2F2010B8">
        <w:rPr>
          <w:lang w:val="en-GB"/>
        </w:rPr>
        <w:t>3.</w:t>
      </w:r>
    </w:p>
    <w:p w14:paraId="216CE9F1" w14:textId="30316726" w:rsidR="004E69D7" w:rsidRDefault="004E69D7" w:rsidP="004D7186">
      <w:r>
        <w:t xml:space="preserve">Fox DR, Fisher R and Thorley JL </w:t>
      </w:r>
      <w:r w:rsidR="005F2432">
        <w:t>(</w:t>
      </w:r>
      <w:r>
        <w:t>2024</w:t>
      </w:r>
      <w:r w:rsidR="000C5035">
        <w:t>a</w:t>
      </w:r>
      <w:r w:rsidR="005F2432">
        <w:t>)</w:t>
      </w:r>
      <w:r>
        <w:t xml:space="preserve"> </w:t>
      </w:r>
      <w:hyperlink r:id="rId101" w:history="1">
        <w:r w:rsidRPr="00B034D9">
          <w:rPr>
            <w:rStyle w:val="Hyperlink"/>
            <w:i/>
            <w:iCs/>
          </w:rPr>
          <w:t>Final report of the joint investigation into SSD modelling and ssdtools implementation for the derivation of toxicant guidelines values in Australia and New Zealand</w:t>
        </w:r>
      </w:hyperlink>
      <w:r w:rsidR="007F1662">
        <w:t>,</w:t>
      </w:r>
      <w:r>
        <w:t xml:space="preserve"> </w:t>
      </w:r>
      <w:r w:rsidR="007F1662">
        <w:t>r</w:t>
      </w:r>
      <w:r>
        <w:t>eport prepared for the Department of Climate Change, Energy, the Environment and Water</w:t>
      </w:r>
      <w:r w:rsidR="009C33CB">
        <w:t>,</w:t>
      </w:r>
      <w:r>
        <w:t xml:space="preserve"> Environmetrics Australia, Beaumaris, and the Australian Institute of Marine Science, Perth,</w:t>
      </w:r>
      <w:r w:rsidR="00AD7B7F">
        <w:t xml:space="preserve"> doi</w:t>
      </w:r>
      <w:r w:rsidR="007F1662">
        <w:t>:</w:t>
      </w:r>
      <w:r w:rsidR="00AD7B7F">
        <w:t>10.25845/xtvt-yc51.</w:t>
      </w:r>
    </w:p>
    <w:p w14:paraId="0525F686" w14:textId="4F2A155F" w:rsidR="000C5035" w:rsidRDefault="000C5035" w:rsidP="004D7186">
      <w:r>
        <w:t xml:space="preserve">Fox DR, Fisher R and Thorley JL </w:t>
      </w:r>
      <w:r w:rsidR="005F2432">
        <w:t>(</w:t>
      </w:r>
      <w:r>
        <w:t>2024b</w:t>
      </w:r>
      <w:r w:rsidR="005F2432">
        <w:t>)</w:t>
      </w:r>
      <w:r>
        <w:t xml:space="preserve"> </w:t>
      </w:r>
      <w:r w:rsidR="00744603" w:rsidRPr="005A378B">
        <w:t xml:space="preserve">Sample size investigations for uni-modal and bi-modal distributions in ssdtools. </w:t>
      </w:r>
      <w:r w:rsidRPr="005A378B">
        <w:t>Addendum</w:t>
      </w:r>
      <w:r w:rsidR="00744603" w:rsidRPr="005A378B">
        <w:t xml:space="preserve"> to</w:t>
      </w:r>
      <w:r w:rsidRPr="005A378B">
        <w:t>: Final report of the joint investigation into SSD modelling and ssdtools implementation for the derivation of toxicant guidelines values in Australia and New Zealand</w:t>
      </w:r>
      <w:r w:rsidR="00FD7850">
        <w:t>,</w:t>
      </w:r>
      <w:r>
        <w:t xml:space="preserve"> </w:t>
      </w:r>
      <w:r w:rsidR="00FD7850">
        <w:t>r</w:t>
      </w:r>
      <w:r>
        <w:t>eport prepared for the Department of Climate Change, Energy, the Environment and Water</w:t>
      </w:r>
      <w:r w:rsidR="005A378B">
        <w:t>,</w:t>
      </w:r>
      <w:r>
        <w:t xml:space="preserve"> Environmetrics Australia, Beaumaris, and the Australian Institute of Marine Science, Perth</w:t>
      </w:r>
      <w:r w:rsidR="7E058C28">
        <w:t>.</w:t>
      </w:r>
    </w:p>
    <w:p w14:paraId="22C25CF0" w14:textId="2FA13C8F" w:rsidR="00D636A6" w:rsidRDefault="00D636A6" w:rsidP="004D7186">
      <w:r>
        <w:t xml:space="preserve">Freeman JB </w:t>
      </w:r>
      <w:r w:rsidR="00506746">
        <w:t>and</w:t>
      </w:r>
      <w:r>
        <w:t xml:space="preserve"> Dale R </w:t>
      </w:r>
      <w:r w:rsidR="005F2432">
        <w:t>(</w:t>
      </w:r>
      <w:r>
        <w:t>2013</w:t>
      </w:r>
      <w:r w:rsidR="005F2432">
        <w:t>)</w:t>
      </w:r>
      <w:r>
        <w:t xml:space="preserve"> </w:t>
      </w:r>
      <w:r w:rsidR="009C33CB">
        <w:t>‘</w:t>
      </w:r>
      <w:hyperlink r:id="rId102" w:history="1">
        <w:r w:rsidRPr="005A378B">
          <w:rPr>
            <w:rStyle w:val="Hyperlink"/>
          </w:rPr>
          <w:t>Assessing bimodality to detect the presence of a dual cognitive process</w:t>
        </w:r>
      </w:hyperlink>
      <w:r w:rsidR="009C33CB">
        <w:t>’,</w:t>
      </w:r>
      <w:r w:rsidR="00AA511F">
        <w:t xml:space="preserve"> </w:t>
      </w:r>
      <w:r w:rsidRPr="2F2010B8">
        <w:rPr>
          <w:i/>
          <w:iCs/>
        </w:rPr>
        <w:t>Behav</w:t>
      </w:r>
      <w:r w:rsidR="00917310">
        <w:rPr>
          <w:i/>
          <w:iCs/>
        </w:rPr>
        <w:t>ior</w:t>
      </w:r>
      <w:r w:rsidRPr="2F2010B8">
        <w:rPr>
          <w:i/>
          <w:iCs/>
        </w:rPr>
        <w:t xml:space="preserve"> Res</w:t>
      </w:r>
      <w:r w:rsidR="00917310">
        <w:rPr>
          <w:i/>
          <w:iCs/>
        </w:rPr>
        <w:t>earch</w:t>
      </w:r>
      <w:r w:rsidRPr="2F2010B8">
        <w:rPr>
          <w:i/>
          <w:iCs/>
        </w:rPr>
        <w:t xml:space="preserve"> Meth</w:t>
      </w:r>
      <w:r w:rsidR="00917310">
        <w:rPr>
          <w:i/>
          <w:iCs/>
        </w:rPr>
        <w:t>ods</w:t>
      </w:r>
      <w:r w:rsidR="7AD53B47" w:rsidRPr="2F2010B8">
        <w:rPr>
          <w:i/>
          <w:iCs/>
        </w:rPr>
        <w:t>,</w:t>
      </w:r>
      <w:r>
        <w:t xml:space="preserve"> 45</w:t>
      </w:r>
      <w:r w:rsidR="009C33CB">
        <w:t>:</w:t>
      </w:r>
      <w:r>
        <w:t>83–97</w:t>
      </w:r>
      <w:r w:rsidR="005A378B">
        <w:t>, doi:</w:t>
      </w:r>
      <w:r w:rsidR="005A378B" w:rsidRPr="005A378B">
        <w:t>10.3758/s13428-012-0225-x</w:t>
      </w:r>
      <w:r>
        <w:t>.</w:t>
      </w:r>
    </w:p>
    <w:p w14:paraId="4A036396" w14:textId="2F211882" w:rsidR="00164D63" w:rsidRDefault="004875E4" w:rsidP="004D7186">
      <w:r>
        <w:t>Gadd JG</w:t>
      </w:r>
      <w:r w:rsidR="00441756">
        <w:t xml:space="preserve">, </w:t>
      </w:r>
      <w:r>
        <w:t xml:space="preserve">Hickey </w:t>
      </w:r>
      <w:r w:rsidR="005A097D">
        <w:t xml:space="preserve">CW </w:t>
      </w:r>
      <w:r w:rsidR="00441756">
        <w:t xml:space="preserve">and Snelder AH </w:t>
      </w:r>
      <w:r w:rsidR="005F2432">
        <w:t>(</w:t>
      </w:r>
      <w:r w:rsidR="005A097D">
        <w:t>2024</w:t>
      </w:r>
      <w:r w:rsidR="005F2432">
        <w:t>)</w:t>
      </w:r>
      <w:r>
        <w:t xml:space="preserve"> </w:t>
      </w:r>
      <w:hyperlink r:id="rId103">
        <w:r w:rsidRPr="009C33CB">
          <w:rPr>
            <w:rStyle w:val="Hyperlink"/>
            <w:i/>
            <w:iCs/>
          </w:rPr>
          <w:t>Acute copper and zinc guidelines for Aotearoa</w:t>
        </w:r>
        <w:r w:rsidR="00783398" w:rsidRPr="009C33CB">
          <w:rPr>
            <w:rStyle w:val="Hyperlink"/>
            <w:i/>
            <w:iCs/>
          </w:rPr>
          <w:t xml:space="preserve">: </w:t>
        </w:r>
        <w:r w:rsidR="00236A30">
          <w:rPr>
            <w:rStyle w:val="Hyperlink"/>
            <w:i/>
            <w:iCs/>
          </w:rPr>
          <w:t>t</w:t>
        </w:r>
        <w:r w:rsidR="00783398" w:rsidRPr="009C33CB">
          <w:rPr>
            <w:rStyle w:val="Hyperlink"/>
            <w:i/>
            <w:iCs/>
          </w:rPr>
          <w:t>echnical report of the derivation including bioavailability model evaluation</w:t>
        </w:r>
      </w:hyperlink>
      <w:r w:rsidR="009C33CB">
        <w:t>,</w:t>
      </w:r>
      <w:r w:rsidR="00783398">
        <w:t xml:space="preserve"> </w:t>
      </w:r>
      <w:r w:rsidR="009C33CB">
        <w:t>r</w:t>
      </w:r>
      <w:r w:rsidR="00783398">
        <w:t xml:space="preserve">eport prepared for Ministry for the Environment, </w:t>
      </w:r>
      <w:r w:rsidR="070D3A1F">
        <w:t>New Zealand</w:t>
      </w:r>
      <w:r w:rsidR="00783398">
        <w:t>.</w:t>
      </w:r>
    </w:p>
    <w:p w14:paraId="3BA2E378" w14:textId="0038B729" w:rsidR="00BE77EF" w:rsidRDefault="00BE77EF" w:rsidP="00BE77EF">
      <w:r>
        <w:t xml:space="preserve">Garman E, Meyer J, Bergeron C, Blewett T, Clements W, Elias M, Farley K, Gissi F and Ryan A (2020) </w:t>
      </w:r>
      <w:r w:rsidR="00765CED">
        <w:t>‘</w:t>
      </w:r>
      <w:hyperlink r:id="rId104" w:history="1">
        <w:r w:rsidRPr="003D2934">
          <w:rPr>
            <w:rStyle w:val="Hyperlink"/>
          </w:rPr>
          <w:t>Validation of bioavailability‐based toxicity models for metals</w:t>
        </w:r>
      </w:hyperlink>
      <w:r w:rsidR="00765CED">
        <w:t>’</w:t>
      </w:r>
      <w:r w:rsidR="0019586C">
        <w:t>,</w:t>
      </w:r>
      <w:r>
        <w:t xml:space="preserve"> </w:t>
      </w:r>
      <w:r w:rsidRPr="57352DF8">
        <w:rPr>
          <w:i/>
          <w:iCs/>
        </w:rPr>
        <w:t>Environ</w:t>
      </w:r>
      <w:r>
        <w:rPr>
          <w:i/>
          <w:iCs/>
        </w:rPr>
        <w:t>mental</w:t>
      </w:r>
      <w:r w:rsidRPr="57352DF8">
        <w:rPr>
          <w:i/>
          <w:iCs/>
        </w:rPr>
        <w:t xml:space="preserve"> Toxicol</w:t>
      </w:r>
      <w:r>
        <w:rPr>
          <w:i/>
          <w:iCs/>
        </w:rPr>
        <w:t>ogy and</w:t>
      </w:r>
      <w:r w:rsidRPr="57352DF8">
        <w:rPr>
          <w:i/>
          <w:iCs/>
        </w:rPr>
        <w:t xml:space="preserve"> Chem</w:t>
      </w:r>
      <w:r>
        <w:rPr>
          <w:i/>
          <w:iCs/>
        </w:rPr>
        <w:t>istry</w:t>
      </w:r>
      <w:r w:rsidRPr="57352DF8">
        <w:t xml:space="preserve">, </w:t>
      </w:r>
      <w:r>
        <w:t>39:101–117</w:t>
      </w:r>
      <w:r w:rsidR="003D2934">
        <w:t>, doi:</w:t>
      </w:r>
      <w:r w:rsidR="003D2934" w:rsidRPr="003D2934">
        <w:t>10.1002/etc.4563</w:t>
      </w:r>
      <w:r>
        <w:t>.</w:t>
      </w:r>
    </w:p>
    <w:p w14:paraId="02FECEF3" w14:textId="0ECF3AA8" w:rsidR="005F7981" w:rsidRDefault="005F7981" w:rsidP="004D7186">
      <w:r w:rsidRPr="57352DF8">
        <w:t xml:space="preserve">Gissi F, Adams MS, King CK and Jolley DF </w:t>
      </w:r>
      <w:r w:rsidR="005F2432">
        <w:t>(</w:t>
      </w:r>
      <w:r w:rsidRPr="57352DF8">
        <w:t>2015</w:t>
      </w:r>
      <w:r w:rsidR="005F2432">
        <w:t>)</w:t>
      </w:r>
      <w:r w:rsidRPr="57352DF8">
        <w:t xml:space="preserve"> </w:t>
      </w:r>
      <w:r w:rsidR="006D66E0">
        <w:t>‘</w:t>
      </w:r>
      <w:hyperlink r:id="rId105" w:history="1">
        <w:r w:rsidRPr="00A24323">
          <w:rPr>
            <w:rStyle w:val="Hyperlink"/>
          </w:rPr>
          <w:t xml:space="preserve">A robust bioassay to assess the toxicity of metals to the Antarctic marine microalga </w:t>
        </w:r>
        <w:r w:rsidRPr="00A24323">
          <w:rPr>
            <w:rStyle w:val="Hyperlink"/>
            <w:i/>
            <w:iCs/>
          </w:rPr>
          <w:t>Phaeocyctis antarctica</w:t>
        </w:r>
      </w:hyperlink>
      <w:r w:rsidR="006D66E0">
        <w:t>’,</w:t>
      </w:r>
      <w:r w:rsidRPr="57352DF8">
        <w:t xml:space="preserve"> </w:t>
      </w:r>
      <w:r w:rsidRPr="57352DF8">
        <w:rPr>
          <w:i/>
          <w:iCs/>
        </w:rPr>
        <w:t>Environ</w:t>
      </w:r>
      <w:r w:rsidR="006D66E0">
        <w:rPr>
          <w:i/>
          <w:iCs/>
        </w:rPr>
        <w:t>mental</w:t>
      </w:r>
      <w:r w:rsidRPr="57352DF8">
        <w:rPr>
          <w:i/>
          <w:iCs/>
        </w:rPr>
        <w:t xml:space="preserve"> Toxicol</w:t>
      </w:r>
      <w:r w:rsidR="006D66E0">
        <w:rPr>
          <w:i/>
          <w:iCs/>
        </w:rPr>
        <w:t>ogy and</w:t>
      </w:r>
      <w:r w:rsidRPr="57352DF8">
        <w:rPr>
          <w:i/>
          <w:iCs/>
        </w:rPr>
        <w:t xml:space="preserve"> Chem</w:t>
      </w:r>
      <w:r w:rsidR="006D66E0">
        <w:rPr>
          <w:i/>
          <w:iCs/>
        </w:rPr>
        <w:t>istry</w:t>
      </w:r>
      <w:r w:rsidRPr="57352DF8">
        <w:t>, 34</w:t>
      </w:r>
      <w:r w:rsidR="006D66E0">
        <w:t>:</w:t>
      </w:r>
      <w:r w:rsidRPr="57352DF8">
        <w:t>1578–1587</w:t>
      </w:r>
      <w:r w:rsidR="00A24323">
        <w:t>, doi:</w:t>
      </w:r>
      <w:r w:rsidR="00A24323" w:rsidRPr="00A24323">
        <w:t>10.1002/etc.2949</w:t>
      </w:r>
      <w:r w:rsidRPr="57352DF8">
        <w:t>.</w:t>
      </w:r>
    </w:p>
    <w:p w14:paraId="00484429" w14:textId="0029749E" w:rsidR="00CF3653" w:rsidRDefault="00CF3653" w:rsidP="004D7186">
      <w:pPr>
        <w:rPr>
          <w:lang w:val="en-GB"/>
        </w:rPr>
      </w:pPr>
      <w:r w:rsidRPr="00CF3653">
        <w:rPr>
          <w:lang w:val="en-GB"/>
        </w:rPr>
        <w:t>Green JW, Springer TA</w:t>
      </w:r>
      <w:r>
        <w:rPr>
          <w:lang w:val="en-GB"/>
        </w:rPr>
        <w:t xml:space="preserve"> and</w:t>
      </w:r>
      <w:r w:rsidRPr="00CF3653">
        <w:rPr>
          <w:lang w:val="en-GB"/>
        </w:rPr>
        <w:t xml:space="preserve"> Holbech H </w:t>
      </w:r>
      <w:r w:rsidR="005F2432">
        <w:rPr>
          <w:lang w:val="en-GB"/>
        </w:rPr>
        <w:t>(</w:t>
      </w:r>
      <w:r w:rsidRPr="00CF3653">
        <w:rPr>
          <w:lang w:val="en-GB"/>
        </w:rPr>
        <w:t>2018</w:t>
      </w:r>
      <w:r w:rsidR="005F2432">
        <w:rPr>
          <w:lang w:val="en-GB"/>
        </w:rPr>
        <w:t>)</w:t>
      </w:r>
      <w:r w:rsidRPr="00CF3653">
        <w:rPr>
          <w:lang w:val="en-GB"/>
        </w:rPr>
        <w:t xml:space="preserve"> </w:t>
      </w:r>
      <w:r w:rsidRPr="006D66E0">
        <w:rPr>
          <w:i/>
          <w:iCs/>
          <w:lang w:val="en-GB"/>
        </w:rPr>
        <w:t xml:space="preserve">Statistical </w:t>
      </w:r>
      <w:r w:rsidR="006D66E0">
        <w:rPr>
          <w:i/>
          <w:iCs/>
          <w:lang w:val="en-GB"/>
        </w:rPr>
        <w:t>a</w:t>
      </w:r>
      <w:r w:rsidRPr="006D66E0">
        <w:rPr>
          <w:i/>
          <w:iCs/>
          <w:lang w:val="en-GB"/>
        </w:rPr>
        <w:t xml:space="preserve">nalysis of </w:t>
      </w:r>
      <w:r w:rsidR="006D66E0">
        <w:rPr>
          <w:i/>
          <w:iCs/>
          <w:lang w:val="en-GB"/>
        </w:rPr>
        <w:t>e</w:t>
      </w:r>
      <w:r w:rsidRPr="006D66E0">
        <w:rPr>
          <w:i/>
          <w:iCs/>
          <w:lang w:val="en-GB"/>
        </w:rPr>
        <w:t xml:space="preserve">cotoxicity </w:t>
      </w:r>
      <w:r w:rsidR="006D66E0">
        <w:rPr>
          <w:i/>
          <w:iCs/>
          <w:lang w:val="en-GB"/>
        </w:rPr>
        <w:t>s</w:t>
      </w:r>
      <w:r w:rsidRPr="006D66E0">
        <w:rPr>
          <w:i/>
          <w:iCs/>
          <w:lang w:val="en-GB"/>
        </w:rPr>
        <w:t>tudies</w:t>
      </w:r>
      <w:r w:rsidR="006D66E0">
        <w:rPr>
          <w:lang w:val="en-GB"/>
        </w:rPr>
        <w:t>,</w:t>
      </w:r>
      <w:r w:rsidRPr="00CF3653">
        <w:rPr>
          <w:lang w:val="en-GB"/>
        </w:rPr>
        <w:t xml:space="preserve"> John Wiley </w:t>
      </w:r>
      <w:r w:rsidR="0070630E">
        <w:rPr>
          <w:lang w:val="en-GB"/>
        </w:rPr>
        <w:t>and</w:t>
      </w:r>
      <w:r w:rsidRPr="00CF3653">
        <w:rPr>
          <w:lang w:val="en-GB"/>
        </w:rPr>
        <w:t xml:space="preserve"> Sons</w:t>
      </w:r>
      <w:r>
        <w:rPr>
          <w:lang w:val="en-GB"/>
        </w:rPr>
        <w:t>.</w:t>
      </w:r>
    </w:p>
    <w:p w14:paraId="50192908" w14:textId="4BF5A559" w:rsidR="00983418" w:rsidRDefault="00983418" w:rsidP="004D7186">
      <w:pPr>
        <w:rPr>
          <w:rFonts w:cs="ArialMT"/>
        </w:rPr>
      </w:pPr>
      <w:r w:rsidRPr="008F58AA">
        <w:t xml:space="preserve">HEPA </w:t>
      </w:r>
      <w:r w:rsidR="00E72EFF">
        <w:t xml:space="preserve">(Heads of EPA Australia and New Zealand) </w:t>
      </w:r>
      <w:r w:rsidR="005F2432">
        <w:t>(</w:t>
      </w:r>
      <w:r w:rsidRPr="008F58AA">
        <w:t>2025</w:t>
      </w:r>
      <w:r w:rsidR="005F2432">
        <w:t>)</w:t>
      </w:r>
      <w:r w:rsidRPr="008F58AA">
        <w:t xml:space="preserve"> </w:t>
      </w:r>
      <w:hyperlink r:id="rId106" w:history="1">
        <w:r w:rsidRPr="0049329C">
          <w:rPr>
            <w:rStyle w:val="Hyperlink"/>
            <w:i/>
            <w:iCs/>
          </w:rPr>
          <w:t>PFAS National Environmental Management Plan Version 3.0</w:t>
        </w:r>
      </w:hyperlink>
      <w:r w:rsidRPr="008F58AA">
        <w:t xml:space="preserve">, </w:t>
      </w:r>
      <w:r w:rsidR="00E72EFF">
        <w:t>HEPA</w:t>
      </w:r>
      <w:r>
        <w:t>, Canberra</w:t>
      </w:r>
      <w:r w:rsidR="00C77EB5">
        <w:t>.</w:t>
      </w:r>
    </w:p>
    <w:p w14:paraId="15741910" w14:textId="642F9625" w:rsidR="00D636A6" w:rsidRPr="00C924B6" w:rsidRDefault="00D636A6" w:rsidP="004D7186">
      <w:pPr>
        <w:rPr>
          <w:lang w:val="nl-NL"/>
        </w:rPr>
      </w:pPr>
      <w:r w:rsidRPr="00C924B6">
        <w:t xml:space="preserve">Hobbs DA, Warne MStJ </w:t>
      </w:r>
      <w:r w:rsidR="00506746">
        <w:t>and</w:t>
      </w:r>
      <w:r w:rsidRPr="00C924B6">
        <w:t xml:space="preserve"> Markich SJ </w:t>
      </w:r>
      <w:r w:rsidR="005F2432">
        <w:t>(</w:t>
      </w:r>
      <w:r w:rsidRPr="00C924B6">
        <w:t>2005</w:t>
      </w:r>
      <w:r w:rsidR="005F2432">
        <w:t>)</w:t>
      </w:r>
      <w:r w:rsidR="005422FC">
        <w:t xml:space="preserve"> </w:t>
      </w:r>
      <w:r w:rsidR="006D66E0">
        <w:t>‘</w:t>
      </w:r>
      <w:hyperlink r:id="rId107" w:history="1">
        <w:r w:rsidRPr="005F4952">
          <w:rPr>
            <w:rStyle w:val="Hyperlink"/>
            <w:rFonts w:cs="ArialMT"/>
          </w:rPr>
          <w:t>Evaluation of criteria used to assess the quality of aquatic toxicity dat</w:t>
        </w:r>
        <w:r w:rsidR="00956F93" w:rsidRPr="005F4952">
          <w:rPr>
            <w:rStyle w:val="Hyperlink"/>
            <w:rFonts w:cs="ArialMT"/>
          </w:rPr>
          <w:t>a</w:t>
        </w:r>
      </w:hyperlink>
      <w:r w:rsidR="006D66E0">
        <w:t>’,</w:t>
      </w:r>
      <w:r w:rsidRPr="00C924B6">
        <w:t xml:space="preserve"> </w:t>
      </w:r>
      <w:r w:rsidRPr="00C924B6">
        <w:rPr>
          <w:rFonts w:cs="Calibri"/>
          <w:i/>
          <w:lang w:val="nl-NL"/>
        </w:rPr>
        <w:t>Integ</w:t>
      </w:r>
      <w:r w:rsidR="006D66E0">
        <w:rPr>
          <w:rFonts w:cs="Calibri"/>
          <w:i/>
          <w:lang w:val="nl-NL"/>
        </w:rPr>
        <w:t>rated</w:t>
      </w:r>
      <w:r w:rsidRPr="00C924B6">
        <w:rPr>
          <w:rFonts w:cs="Calibri"/>
          <w:i/>
          <w:lang w:val="nl-NL"/>
        </w:rPr>
        <w:t xml:space="preserve"> Environ</w:t>
      </w:r>
      <w:r w:rsidR="006D66E0">
        <w:rPr>
          <w:rFonts w:cs="Calibri"/>
          <w:i/>
          <w:lang w:val="nl-NL"/>
        </w:rPr>
        <w:t>mental</w:t>
      </w:r>
      <w:r w:rsidRPr="00C924B6">
        <w:rPr>
          <w:rFonts w:cs="Calibri"/>
          <w:i/>
          <w:lang w:val="nl-NL"/>
        </w:rPr>
        <w:t xml:space="preserve"> Assess</w:t>
      </w:r>
      <w:r w:rsidR="006D66E0">
        <w:rPr>
          <w:rFonts w:cs="Calibri"/>
          <w:i/>
          <w:lang w:val="nl-NL"/>
        </w:rPr>
        <w:t>ment and</w:t>
      </w:r>
      <w:r w:rsidRPr="00C924B6">
        <w:rPr>
          <w:rFonts w:cs="Calibri"/>
          <w:i/>
          <w:lang w:val="nl-NL"/>
        </w:rPr>
        <w:t xml:space="preserve"> Manag</w:t>
      </w:r>
      <w:r w:rsidR="005A19C6">
        <w:rPr>
          <w:rFonts w:cs="Calibri"/>
          <w:i/>
          <w:lang w:val="nl-NL"/>
        </w:rPr>
        <w:t>ement</w:t>
      </w:r>
      <w:r w:rsidRPr="00C924B6">
        <w:rPr>
          <w:rFonts w:cs="Calibri"/>
          <w:lang w:val="nl-NL"/>
        </w:rPr>
        <w:t>,</w:t>
      </w:r>
      <w:r w:rsidR="00AC6695">
        <w:rPr>
          <w:lang w:val="nl-NL"/>
        </w:rPr>
        <w:t xml:space="preserve"> </w:t>
      </w:r>
      <w:r w:rsidRPr="00C924B6">
        <w:rPr>
          <w:lang w:val="nl-NL"/>
        </w:rPr>
        <w:t>1</w:t>
      </w:r>
      <w:r w:rsidR="005A19C6">
        <w:rPr>
          <w:lang w:val="nl-NL"/>
        </w:rPr>
        <w:t>:</w:t>
      </w:r>
      <w:r w:rsidRPr="00C924B6">
        <w:rPr>
          <w:lang w:val="nl-NL"/>
        </w:rPr>
        <w:t>174–180</w:t>
      </w:r>
      <w:r w:rsidR="005F4952">
        <w:rPr>
          <w:lang w:val="nl-NL"/>
        </w:rPr>
        <w:t>, doi:</w:t>
      </w:r>
      <w:r w:rsidR="005F4952" w:rsidRPr="005F4952">
        <w:rPr>
          <w:lang w:val="nl-NL"/>
        </w:rPr>
        <w:t>10.1897/2004-003R.1</w:t>
      </w:r>
      <w:r w:rsidRPr="00C924B6">
        <w:rPr>
          <w:lang w:val="nl-NL"/>
        </w:rPr>
        <w:t>.</w:t>
      </w:r>
    </w:p>
    <w:p w14:paraId="21F2454B" w14:textId="6BDDDD64" w:rsidR="00D636A6" w:rsidRDefault="00D636A6" w:rsidP="004D7186">
      <w:r w:rsidRPr="00C924B6">
        <w:rPr>
          <w:lang w:val="nl-NL"/>
        </w:rPr>
        <w:t xml:space="preserve">Hoekstra JA </w:t>
      </w:r>
      <w:r w:rsidR="00506746">
        <w:rPr>
          <w:lang w:val="nl-NL"/>
        </w:rPr>
        <w:t>and</w:t>
      </w:r>
      <w:r w:rsidR="00BF22FA">
        <w:rPr>
          <w:lang w:val="nl-NL"/>
        </w:rPr>
        <w:t xml:space="preserve"> Van Ewijk P</w:t>
      </w:r>
      <w:r w:rsidRPr="00C924B6">
        <w:rPr>
          <w:lang w:val="nl-NL"/>
        </w:rPr>
        <w:t xml:space="preserve">H </w:t>
      </w:r>
      <w:r w:rsidR="005F2432">
        <w:rPr>
          <w:lang w:val="nl-NL"/>
        </w:rPr>
        <w:t>(</w:t>
      </w:r>
      <w:r w:rsidRPr="00C924B6">
        <w:rPr>
          <w:lang w:val="nl-NL"/>
        </w:rPr>
        <w:t>1993</w:t>
      </w:r>
      <w:r w:rsidR="005F2432">
        <w:rPr>
          <w:lang w:val="nl-NL"/>
        </w:rPr>
        <w:t>)</w:t>
      </w:r>
      <w:r w:rsidRPr="00C924B6">
        <w:rPr>
          <w:lang w:val="nl-NL"/>
        </w:rPr>
        <w:t xml:space="preserve"> </w:t>
      </w:r>
      <w:r w:rsidR="005A19C6">
        <w:rPr>
          <w:lang w:val="nl-NL"/>
        </w:rPr>
        <w:t>‘</w:t>
      </w:r>
      <w:hyperlink r:id="rId108" w:history="1">
        <w:r w:rsidRPr="00F56132">
          <w:rPr>
            <w:rStyle w:val="Hyperlink"/>
          </w:rPr>
          <w:t>The bounded effect concentration as an alternative to the NOEC</w:t>
        </w:r>
      </w:hyperlink>
      <w:r w:rsidR="005A19C6">
        <w:t>’,</w:t>
      </w:r>
      <w:r w:rsidRPr="00C924B6">
        <w:t xml:space="preserve"> </w:t>
      </w:r>
      <w:r w:rsidRPr="00C924B6">
        <w:rPr>
          <w:i/>
          <w:iCs/>
        </w:rPr>
        <w:t>Sci</w:t>
      </w:r>
      <w:r w:rsidR="005A19C6">
        <w:rPr>
          <w:i/>
          <w:iCs/>
        </w:rPr>
        <w:t>ence of the</w:t>
      </w:r>
      <w:r w:rsidRPr="00C924B6">
        <w:rPr>
          <w:i/>
          <w:iCs/>
        </w:rPr>
        <w:t xml:space="preserve"> Total Environ</w:t>
      </w:r>
      <w:r w:rsidR="005A19C6">
        <w:rPr>
          <w:i/>
          <w:iCs/>
        </w:rPr>
        <w:t>ment</w:t>
      </w:r>
      <w:r>
        <w:rPr>
          <w:i/>
          <w:iCs/>
        </w:rPr>
        <w:t>,</w:t>
      </w:r>
      <w:r w:rsidRPr="00C924B6">
        <w:rPr>
          <w:iCs/>
        </w:rPr>
        <w:t xml:space="preserve"> </w:t>
      </w:r>
      <w:r w:rsidRPr="00C924B6">
        <w:rPr>
          <w:bCs/>
        </w:rPr>
        <w:t>134</w:t>
      </w:r>
      <w:r w:rsidR="00D92842">
        <w:rPr>
          <w:bCs/>
        </w:rPr>
        <w:t>(</w:t>
      </w:r>
      <w:r w:rsidRPr="00C924B6">
        <w:t>Supplement 1</w:t>
      </w:r>
      <w:r w:rsidR="00D92842">
        <w:t>):</w:t>
      </w:r>
      <w:r w:rsidRPr="00C924B6">
        <w:t>705–711</w:t>
      </w:r>
      <w:r w:rsidR="00F56132">
        <w:t>, doi:</w:t>
      </w:r>
      <w:r w:rsidR="00F56132" w:rsidRPr="00F56132">
        <w:t>10.1016/S0048-9697(05)80074-9</w:t>
      </w:r>
      <w:r w:rsidRPr="00C924B6">
        <w:t>.</w:t>
      </w:r>
    </w:p>
    <w:p w14:paraId="1E0E29AD" w14:textId="7C9CC540" w:rsidR="004B1642" w:rsidRDefault="004B1642" w:rsidP="004D7186">
      <w:r w:rsidRPr="57352DF8">
        <w:lastRenderedPageBreak/>
        <w:t xml:space="preserve">Huynh T and Hobbs D </w:t>
      </w:r>
      <w:r w:rsidR="00D92842">
        <w:t>(</w:t>
      </w:r>
      <w:r w:rsidRPr="57352DF8">
        <w:t>2019</w:t>
      </w:r>
      <w:r w:rsidR="00D92842">
        <w:t>)</w:t>
      </w:r>
      <w:r w:rsidRPr="57352DF8">
        <w:t xml:space="preserve"> </w:t>
      </w:r>
      <w:hyperlink r:id="rId109" w:history="1">
        <w:r w:rsidRPr="00977520">
          <w:rPr>
            <w:rStyle w:val="Hyperlink"/>
            <w:i/>
            <w:iCs/>
          </w:rPr>
          <w:t>Deriving site-specific guideline values for physico-chemical parameters and toxicants</w:t>
        </w:r>
      </w:hyperlink>
      <w:r w:rsidR="00623453">
        <w:t>,</w:t>
      </w:r>
      <w:r w:rsidRPr="57352DF8">
        <w:t xml:space="preserve"> </w:t>
      </w:r>
      <w:r w:rsidR="00623453">
        <w:t>r</w:t>
      </w:r>
      <w:r w:rsidRPr="57352DF8">
        <w:t xml:space="preserve">eport prepared for the Independent Expert </w:t>
      </w:r>
      <w:r w:rsidR="00E67650" w:rsidRPr="57352DF8">
        <w:t xml:space="preserve">Scientific </w:t>
      </w:r>
      <w:r w:rsidRPr="57352DF8">
        <w:t>Committee</w:t>
      </w:r>
      <w:r w:rsidR="00E67650" w:rsidRPr="57352DF8">
        <w:t xml:space="preserve"> on Coal Seam Gas and Large Coal Mining Development</w:t>
      </w:r>
      <w:r w:rsidR="0B19FAA4" w:rsidRPr="57352DF8">
        <w:t xml:space="preserve">, </w:t>
      </w:r>
      <w:r w:rsidR="00E67650" w:rsidRPr="57352DF8">
        <w:t>Department of the Environment and Energy,</w:t>
      </w:r>
      <w:r w:rsidR="453B59CF" w:rsidRPr="57352DF8">
        <w:t xml:space="preserve"> Canberra</w:t>
      </w:r>
      <w:r w:rsidR="00E67650" w:rsidRPr="57352DF8">
        <w:t>.</w:t>
      </w:r>
    </w:p>
    <w:p w14:paraId="5C3707A5" w14:textId="79F8B80D" w:rsidR="00E047F7" w:rsidRPr="007A5657" w:rsidRDefault="00E047F7" w:rsidP="004D7186">
      <w:r w:rsidRPr="4F27CDBB">
        <w:t xml:space="preserve">King CJ, Wasley J and Richardson J </w:t>
      </w:r>
      <w:r w:rsidR="00D92842">
        <w:t>(</w:t>
      </w:r>
      <w:r w:rsidRPr="4F27CDBB">
        <w:t>2024</w:t>
      </w:r>
      <w:r w:rsidR="00D92842">
        <w:t>)</w:t>
      </w:r>
      <w:r w:rsidRPr="4F27CDBB">
        <w:t xml:space="preserve"> </w:t>
      </w:r>
      <w:r w:rsidR="00623453">
        <w:t>‘</w:t>
      </w:r>
      <w:hyperlink r:id="rId110" w:history="1">
        <w:r w:rsidRPr="007F0604">
          <w:rPr>
            <w:rStyle w:val="Hyperlink"/>
          </w:rPr>
          <w:t>Derivation of site‐specific environmental quality guideline values for fuel‐contaminated soils on sub‐Antarctic Macquarie Island</w:t>
        </w:r>
      </w:hyperlink>
      <w:r w:rsidR="00623453">
        <w:t>’,</w:t>
      </w:r>
      <w:r w:rsidRPr="4F27CDBB">
        <w:t xml:space="preserve"> </w:t>
      </w:r>
      <w:r w:rsidRPr="4F27CDBB">
        <w:rPr>
          <w:i/>
          <w:iCs/>
        </w:rPr>
        <w:t>Integr</w:t>
      </w:r>
      <w:r w:rsidR="00623453">
        <w:rPr>
          <w:i/>
          <w:iCs/>
        </w:rPr>
        <w:t>ated</w:t>
      </w:r>
      <w:r w:rsidRPr="4F27CDBB">
        <w:rPr>
          <w:i/>
          <w:iCs/>
        </w:rPr>
        <w:t xml:space="preserve"> Environ</w:t>
      </w:r>
      <w:r w:rsidR="00623453">
        <w:rPr>
          <w:i/>
          <w:iCs/>
        </w:rPr>
        <w:t>mental</w:t>
      </w:r>
      <w:r w:rsidRPr="4F27CDBB">
        <w:rPr>
          <w:i/>
          <w:iCs/>
        </w:rPr>
        <w:t xml:space="preserve"> Assess</w:t>
      </w:r>
      <w:r w:rsidR="00623453">
        <w:rPr>
          <w:i/>
          <w:iCs/>
        </w:rPr>
        <w:t>ment and</w:t>
      </w:r>
      <w:r w:rsidRPr="4F27CDBB">
        <w:rPr>
          <w:i/>
          <w:iCs/>
        </w:rPr>
        <w:t xml:space="preserve"> Manag</w:t>
      </w:r>
      <w:r w:rsidR="00623453">
        <w:rPr>
          <w:i/>
          <w:iCs/>
        </w:rPr>
        <w:t>ement</w:t>
      </w:r>
      <w:r w:rsidRPr="4F27CDBB">
        <w:rPr>
          <w:i/>
          <w:iCs/>
        </w:rPr>
        <w:t xml:space="preserve">, </w:t>
      </w:r>
      <w:r w:rsidR="007A5657" w:rsidRPr="4F27CDBB">
        <w:t>20</w:t>
      </w:r>
      <w:r w:rsidR="00623453">
        <w:t>:</w:t>
      </w:r>
      <w:r w:rsidR="007A5657" w:rsidRPr="4F27CDBB">
        <w:t>2334–2346</w:t>
      </w:r>
      <w:r w:rsidR="007F0604">
        <w:t>, doi:</w:t>
      </w:r>
      <w:r w:rsidR="007F0604" w:rsidRPr="007F0604">
        <w:t>10.1002/ieam.4989</w:t>
      </w:r>
      <w:r w:rsidR="007A5657" w:rsidRPr="4F27CDBB">
        <w:t>.</w:t>
      </w:r>
    </w:p>
    <w:p w14:paraId="665916D9" w14:textId="174C6CA6" w:rsidR="00D636A6" w:rsidRPr="00801FD8" w:rsidRDefault="00BF22FA" w:rsidP="004D7186">
      <w:pPr>
        <w:rPr>
          <w:lang w:val="sv-SE"/>
        </w:rPr>
      </w:pPr>
      <w:r>
        <w:rPr>
          <w:lang w:val="sv-SE"/>
        </w:rPr>
        <w:t>Langdon K, Warne MStJ</w:t>
      </w:r>
      <w:r w:rsidR="00D636A6" w:rsidRPr="00C924B6">
        <w:rPr>
          <w:lang w:val="sv-SE"/>
        </w:rPr>
        <w:t xml:space="preserve"> </w:t>
      </w:r>
      <w:r w:rsidR="00506746">
        <w:rPr>
          <w:lang w:val="sv-SE"/>
        </w:rPr>
        <w:t>and</w:t>
      </w:r>
      <w:r w:rsidR="00D636A6" w:rsidRPr="00C924B6">
        <w:rPr>
          <w:lang w:val="sv-SE"/>
        </w:rPr>
        <w:t xml:space="preserve"> Sunderam</w:t>
      </w:r>
      <w:r>
        <w:rPr>
          <w:lang w:val="sv-SE"/>
        </w:rPr>
        <w:t xml:space="preserve"> RIM</w:t>
      </w:r>
      <w:r w:rsidR="00D636A6" w:rsidRPr="00C924B6">
        <w:rPr>
          <w:lang w:val="sv-SE"/>
        </w:rPr>
        <w:t xml:space="preserve"> </w:t>
      </w:r>
      <w:r w:rsidR="00D92842">
        <w:rPr>
          <w:lang w:val="sv-SE"/>
        </w:rPr>
        <w:t>(</w:t>
      </w:r>
      <w:r w:rsidR="00D636A6" w:rsidRPr="00C924B6">
        <w:rPr>
          <w:lang w:val="sv-SE"/>
        </w:rPr>
        <w:t>2009</w:t>
      </w:r>
      <w:r w:rsidR="00D92842">
        <w:rPr>
          <w:lang w:val="sv-SE"/>
        </w:rPr>
        <w:t>)</w:t>
      </w:r>
      <w:r w:rsidR="005422FC">
        <w:rPr>
          <w:lang w:val="sv-SE"/>
        </w:rPr>
        <w:t xml:space="preserve"> </w:t>
      </w:r>
      <w:r w:rsidR="00801FD8">
        <w:rPr>
          <w:lang w:val="sv-SE"/>
        </w:rPr>
        <w:t>’</w:t>
      </w:r>
      <w:r w:rsidR="00D636A6" w:rsidRPr="00C924B6">
        <w:t>A compilation of data on the toxicity of chemicals to species in Aust</w:t>
      </w:r>
      <w:r w:rsidR="00D636A6">
        <w:t>ralasia</w:t>
      </w:r>
      <w:r w:rsidR="00AC6695">
        <w:t>,</w:t>
      </w:r>
      <w:r w:rsidR="00D636A6">
        <w:t xml:space="preserve"> Part 4: </w:t>
      </w:r>
      <w:r w:rsidR="00AC6695">
        <w:t xml:space="preserve">metals </w:t>
      </w:r>
      <w:r w:rsidR="00D636A6">
        <w:t>(2002–</w:t>
      </w:r>
      <w:r w:rsidR="00D636A6" w:rsidRPr="00C924B6">
        <w:t>2009)</w:t>
      </w:r>
      <w:r w:rsidR="00801FD8">
        <w:t>’,</w:t>
      </w:r>
      <w:r w:rsidR="00D636A6" w:rsidRPr="00C924B6">
        <w:t xml:space="preserve"> </w:t>
      </w:r>
      <w:r w:rsidR="00D636A6" w:rsidRPr="00C924B6">
        <w:rPr>
          <w:i/>
        </w:rPr>
        <w:t>Australas</w:t>
      </w:r>
      <w:r w:rsidR="00801FD8">
        <w:rPr>
          <w:i/>
        </w:rPr>
        <w:t>ian</w:t>
      </w:r>
      <w:r w:rsidR="00D636A6" w:rsidRPr="00C924B6">
        <w:rPr>
          <w:i/>
        </w:rPr>
        <w:t xml:space="preserve"> J</w:t>
      </w:r>
      <w:r w:rsidR="00801FD8">
        <w:rPr>
          <w:i/>
        </w:rPr>
        <w:t>ournal of</w:t>
      </w:r>
      <w:r w:rsidR="00D636A6" w:rsidRPr="00C924B6">
        <w:rPr>
          <w:i/>
        </w:rPr>
        <w:t xml:space="preserve"> Ecotox</w:t>
      </w:r>
      <w:r w:rsidR="00801FD8" w:rsidRPr="00801FD8">
        <w:rPr>
          <w:i/>
          <w:iCs/>
        </w:rPr>
        <w:t>icology</w:t>
      </w:r>
      <w:r w:rsidR="00D636A6" w:rsidRPr="00C924B6">
        <w:t xml:space="preserve">, </w:t>
      </w:r>
      <w:r w:rsidR="004C4F4E">
        <w:t>15</w:t>
      </w:r>
      <w:r w:rsidR="00801FD8">
        <w:t>:</w:t>
      </w:r>
      <w:r w:rsidR="00D636A6" w:rsidRPr="00C924B6">
        <w:t>51–184.</w:t>
      </w:r>
    </w:p>
    <w:p w14:paraId="02CE836A" w14:textId="4B9246C4" w:rsidR="00D636A6" w:rsidRDefault="00BF22FA" w:rsidP="004D7186">
      <w:r w:rsidRPr="57352DF8">
        <w:t>Markich SJ, Brown PL, Batley GE, Apte SC</w:t>
      </w:r>
      <w:r w:rsidR="00D636A6" w:rsidRPr="57352DF8">
        <w:t xml:space="preserve"> </w:t>
      </w:r>
      <w:r w:rsidR="00506746" w:rsidRPr="57352DF8">
        <w:t>and</w:t>
      </w:r>
      <w:r w:rsidRPr="57352DF8">
        <w:t xml:space="preserve"> Stauber JL</w:t>
      </w:r>
      <w:r w:rsidR="00D636A6" w:rsidRPr="57352DF8">
        <w:t xml:space="preserve"> </w:t>
      </w:r>
      <w:r w:rsidR="00D92842">
        <w:t>(</w:t>
      </w:r>
      <w:r w:rsidR="00D636A6" w:rsidRPr="57352DF8">
        <w:t>2001</w:t>
      </w:r>
      <w:r w:rsidR="00D92842">
        <w:t>)</w:t>
      </w:r>
      <w:r w:rsidR="00D636A6" w:rsidRPr="57352DF8">
        <w:t xml:space="preserve"> </w:t>
      </w:r>
      <w:r w:rsidR="00801FD8">
        <w:t>‘</w:t>
      </w:r>
      <w:r w:rsidR="00D636A6" w:rsidRPr="57352DF8">
        <w:t>Incorporating metal speciation and bioavailability into water quality guidelines for protecting aquatic ecosystems</w:t>
      </w:r>
      <w:r w:rsidR="00801FD8">
        <w:t>’,</w:t>
      </w:r>
      <w:r w:rsidR="00D636A6" w:rsidRPr="57352DF8">
        <w:t xml:space="preserve"> </w:t>
      </w:r>
      <w:r w:rsidR="00D636A6" w:rsidRPr="57352DF8">
        <w:rPr>
          <w:i/>
          <w:iCs/>
        </w:rPr>
        <w:t>Australas</w:t>
      </w:r>
      <w:r w:rsidR="00801FD8">
        <w:rPr>
          <w:i/>
          <w:iCs/>
        </w:rPr>
        <w:t>ian</w:t>
      </w:r>
      <w:r w:rsidR="00D636A6" w:rsidRPr="57352DF8">
        <w:rPr>
          <w:i/>
          <w:iCs/>
        </w:rPr>
        <w:t xml:space="preserve"> J</w:t>
      </w:r>
      <w:r w:rsidR="00801FD8">
        <w:rPr>
          <w:i/>
          <w:iCs/>
        </w:rPr>
        <w:t>ournal of</w:t>
      </w:r>
      <w:r w:rsidR="00D636A6" w:rsidRPr="57352DF8">
        <w:rPr>
          <w:i/>
          <w:iCs/>
        </w:rPr>
        <w:t xml:space="preserve"> Ecotox</w:t>
      </w:r>
      <w:r w:rsidR="00801FD8">
        <w:rPr>
          <w:i/>
          <w:iCs/>
        </w:rPr>
        <w:t>icology</w:t>
      </w:r>
      <w:r w:rsidR="00D636A6" w:rsidRPr="57352DF8">
        <w:t>, 7</w:t>
      </w:r>
      <w:r w:rsidR="00801FD8">
        <w:t>:</w:t>
      </w:r>
      <w:r w:rsidR="00D636A6" w:rsidRPr="57352DF8">
        <w:t>109–122.</w:t>
      </w:r>
    </w:p>
    <w:p w14:paraId="4794214B" w14:textId="24D2632A" w:rsidR="00D636A6" w:rsidRDefault="00D636A6" w:rsidP="004D7186">
      <w:r w:rsidRPr="57352DF8">
        <w:t>Markich S</w:t>
      </w:r>
      <w:r w:rsidR="00BF22FA" w:rsidRPr="57352DF8">
        <w:t>J</w:t>
      </w:r>
      <w:r w:rsidRPr="57352DF8">
        <w:t xml:space="preserve">, </w:t>
      </w:r>
      <w:r w:rsidR="00BF22FA" w:rsidRPr="57352DF8">
        <w:t>Warne MStJ, Westbury A-M</w:t>
      </w:r>
      <w:r w:rsidRPr="57352DF8">
        <w:t xml:space="preserve"> </w:t>
      </w:r>
      <w:r w:rsidR="00506746" w:rsidRPr="57352DF8">
        <w:t>and</w:t>
      </w:r>
      <w:r w:rsidR="00BF22FA" w:rsidRPr="57352DF8">
        <w:t xml:space="preserve"> Roberts CJ</w:t>
      </w:r>
      <w:r w:rsidRPr="57352DF8">
        <w:t xml:space="preserve"> </w:t>
      </w:r>
      <w:r w:rsidR="00ED291E">
        <w:t>(</w:t>
      </w:r>
      <w:r w:rsidRPr="57352DF8">
        <w:t>2002</w:t>
      </w:r>
      <w:r w:rsidR="00ED291E">
        <w:t>)</w:t>
      </w:r>
      <w:r w:rsidRPr="57352DF8">
        <w:t xml:space="preserve"> </w:t>
      </w:r>
      <w:r w:rsidR="00801FD8">
        <w:t>‘</w:t>
      </w:r>
      <w:r w:rsidRPr="57352DF8">
        <w:t>A compilation of toxicity data for chemicals to Au</w:t>
      </w:r>
      <w:r w:rsidR="00BF22FA" w:rsidRPr="57352DF8">
        <w:t xml:space="preserve">stralasian species, Part 3: </w:t>
      </w:r>
      <w:r w:rsidR="7FE4C52B" w:rsidRPr="57352DF8">
        <w:t>m</w:t>
      </w:r>
      <w:r w:rsidR="00BF22FA" w:rsidRPr="57352DF8">
        <w:t xml:space="preserve">etals and </w:t>
      </w:r>
      <w:r w:rsidR="6DFF4A15" w:rsidRPr="57352DF8">
        <w:t>m</w:t>
      </w:r>
      <w:r w:rsidR="00BF22FA" w:rsidRPr="57352DF8">
        <w:t>etalloids</w:t>
      </w:r>
      <w:r w:rsidR="00801FD8">
        <w:t>’</w:t>
      </w:r>
      <w:r w:rsidR="00BF22FA" w:rsidRPr="57352DF8">
        <w:t>,</w:t>
      </w:r>
      <w:r w:rsidRPr="57352DF8">
        <w:t xml:space="preserve"> </w:t>
      </w:r>
      <w:r w:rsidRPr="57352DF8">
        <w:rPr>
          <w:i/>
          <w:iCs/>
        </w:rPr>
        <w:t>Australas</w:t>
      </w:r>
      <w:r w:rsidR="00801FD8">
        <w:rPr>
          <w:i/>
          <w:iCs/>
        </w:rPr>
        <w:t>ian</w:t>
      </w:r>
      <w:r w:rsidRPr="57352DF8">
        <w:rPr>
          <w:i/>
          <w:iCs/>
        </w:rPr>
        <w:t xml:space="preserve"> J</w:t>
      </w:r>
      <w:r w:rsidR="00801FD8">
        <w:rPr>
          <w:i/>
          <w:iCs/>
        </w:rPr>
        <w:t>ournal of</w:t>
      </w:r>
      <w:r w:rsidRPr="57352DF8">
        <w:rPr>
          <w:i/>
          <w:iCs/>
        </w:rPr>
        <w:t xml:space="preserve"> Ecotox</w:t>
      </w:r>
      <w:r w:rsidR="00801FD8" w:rsidRPr="00801FD8">
        <w:rPr>
          <w:i/>
          <w:iCs/>
        </w:rPr>
        <w:t>ico</w:t>
      </w:r>
      <w:r w:rsidR="00801FD8">
        <w:rPr>
          <w:i/>
          <w:iCs/>
        </w:rPr>
        <w:t>l</w:t>
      </w:r>
      <w:r w:rsidR="00801FD8" w:rsidRPr="00801FD8">
        <w:rPr>
          <w:i/>
          <w:iCs/>
        </w:rPr>
        <w:t>ogy</w:t>
      </w:r>
      <w:r w:rsidRPr="57352DF8">
        <w:t>, 8</w:t>
      </w:r>
      <w:r w:rsidR="00801FD8">
        <w:t>:</w:t>
      </w:r>
      <w:r w:rsidRPr="57352DF8">
        <w:t>1–137.</w:t>
      </w:r>
    </w:p>
    <w:p w14:paraId="18CE2566" w14:textId="168545DA" w:rsidR="00D636A6" w:rsidRDefault="00BF22FA" w:rsidP="004D7186">
      <w:r w:rsidRPr="57352DF8">
        <w:t>Markich SJ, Batley GE, Stauber JL</w:t>
      </w:r>
      <w:r w:rsidR="00D636A6" w:rsidRPr="57352DF8">
        <w:t xml:space="preserve">, Rogers NJ, Apte SC, Hyne RV, Bowles KC </w:t>
      </w:r>
      <w:r w:rsidR="00ED291E">
        <w:t>(</w:t>
      </w:r>
      <w:r w:rsidR="00D636A6" w:rsidRPr="57352DF8">
        <w:t>2005</w:t>
      </w:r>
      <w:r w:rsidR="00ED291E">
        <w:t>)</w:t>
      </w:r>
      <w:r w:rsidR="00944156" w:rsidRPr="57352DF8">
        <w:t xml:space="preserve"> </w:t>
      </w:r>
      <w:r w:rsidR="005D08F6">
        <w:t>‘</w:t>
      </w:r>
      <w:hyperlink r:id="rId111" w:history="1">
        <w:r w:rsidR="00D636A6" w:rsidRPr="002B5886">
          <w:rPr>
            <w:rStyle w:val="Hyperlink"/>
            <w:rFonts w:cs="Arial"/>
          </w:rPr>
          <w:t>Hardness corrections for copper are inappropriate for protecting sensitive freshwater biota</w:t>
        </w:r>
      </w:hyperlink>
      <w:r w:rsidR="005D08F6">
        <w:t>’,</w:t>
      </w:r>
      <w:r w:rsidR="00D636A6" w:rsidRPr="57352DF8">
        <w:t xml:space="preserve"> </w:t>
      </w:r>
      <w:r w:rsidR="00D636A6" w:rsidRPr="57352DF8">
        <w:rPr>
          <w:i/>
          <w:iCs/>
        </w:rPr>
        <w:t>Chemosphere</w:t>
      </w:r>
      <w:r w:rsidR="00AC6695" w:rsidRPr="57352DF8">
        <w:rPr>
          <w:i/>
          <w:iCs/>
        </w:rPr>
        <w:t>,</w:t>
      </w:r>
      <w:r w:rsidR="00AC6695" w:rsidRPr="57352DF8">
        <w:t xml:space="preserve"> </w:t>
      </w:r>
      <w:r w:rsidR="00D636A6" w:rsidRPr="57352DF8">
        <w:t>60</w:t>
      </w:r>
      <w:r w:rsidR="005D08F6">
        <w:t>:</w:t>
      </w:r>
      <w:r w:rsidR="00D636A6" w:rsidRPr="57352DF8">
        <w:t>1–8</w:t>
      </w:r>
      <w:r w:rsidR="002B5886">
        <w:t>, doi:</w:t>
      </w:r>
      <w:r w:rsidR="002B5886" w:rsidRPr="002B5886">
        <w:t>10.1016/j.chemosphere.2004.12.005</w:t>
      </w:r>
      <w:r w:rsidR="00D636A6" w:rsidRPr="57352DF8">
        <w:t>.</w:t>
      </w:r>
    </w:p>
    <w:p w14:paraId="09898585" w14:textId="207766C3" w:rsidR="009F57D9" w:rsidRDefault="009F57D9" w:rsidP="004D7186">
      <w:pPr>
        <w:rPr>
          <w:color w:val="000000"/>
        </w:rPr>
      </w:pPr>
      <w:r w:rsidRPr="57352DF8">
        <w:t xml:space="preserve">Moermond C, Kase R, Korkaric M and Ågerstrand M </w:t>
      </w:r>
      <w:r w:rsidR="00ED291E">
        <w:t>(</w:t>
      </w:r>
      <w:r w:rsidRPr="57352DF8">
        <w:t>2016</w:t>
      </w:r>
      <w:r w:rsidR="00ED291E">
        <w:t>)</w:t>
      </w:r>
      <w:r w:rsidRPr="57352DF8">
        <w:t xml:space="preserve"> </w:t>
      </w:r>
      <w:r w:rsidR="005D08F6">
        <w:t>‘</w:t>
      </w:r>
      <w:hyperlink r:id="rId112" w:history="1">
        <w:r w:rsidRPr="005F7F3B">
          <w:rPr>
            <w:rStyle w:val="Hyperlink"/>
          </w:rPr>
          <w:t>CRED</w:t>
        </w:r>
        <w:r w:rsidR="005F7F3B">
          <w:rPr>
            <w:rStyle w:val="Hyperlink"/>
          </w:rPr>
          <w:t>: c</w:t>
        </w:r>
        <w:r w:rsidRPr="005F7F3B">
          <w:rPr>
            <w:rStyle w:val="Hyperlink"/>
          </w:rPr>
          <w:t>riteria for reporting and evaluating ecotoxicity data</w:t>
        </w:r>
      </w:hyperlink>
      <w:r w:rsidR="005D08F6">
        <w:t>’,</w:t>
      </w:r>
      <w:r w:rsidRPr="57352DF8">
        <w:t xml:space="preserve"> </w:t>
      </w:r>
      <w:r w:rsidRPr="57352DF8">
        <w:rPr>
          <w:i/>
          <w:iCs/>
        </w:rPr>
        <w:t>Environ</w:t>
      </w:r>
      <w:r w:rsidR="005D08F6">
        <w:rPr>
          <w:i/>
          <w:iCs/>
        </w:rPr>
        <w:t>mental</w:t>
      </w:r>
      <w:r w:rsidRPr="57352DF8">
        <w:rPr>
          <w:i/>
          <w:iCs/>
        </w:rPr>
        <w:t xml:space="preserve"> Toxicol</w:t>
      </w:r>
      <w:r w:rsidR="005D08F6">
        <w:rPr>
          <w:i/>
          <w:iCs/>
        </w:rPr>
        <w:t>ogy and</w:t>
      </w:r>
      <w:r w:rsidRPr="57352DF8">
        <w:rPr>
          <w:i/>
          <w:iCs/>
        </w:rPr>
        <w:t xml:space="preserve"> Chem</w:t>
      </w:r>
      <w:r w:rsidR="005D08F6">
        <w:rPr>
          <w:i/>
          <w:iCs/>
        </w:rPr>
        <w:t>istry</w:t>
      </w:r>
      <w:r w:rsidRPr="57352DF8">
        <w:rPr>
          <w:i/>
          <w:iCs/>
        </w:rPr>
        <w:t xml:space="preserve">, </w:t>
      </w:r>
      <w:r w:rsidRPr="57352DF8">
        <w:t>35</w:t>
      </w:r>
      <w:r w:rsidR="005D08F6">
        <w:t>:</w:t>
      </w:r>
      <w:r w:rsidRPr="57352DF8">
        <w:t>1297–1309</w:t>
      </w:r>
      <w:r w:rsidR="005F7F3B">
        <w:t>, doi:</w:t>
      </w:r>
      <w:r w:rsidR="005F7F3B" w:rsidRPr="005F7F3B">
        <w:t>10.1002/etc.3259</w:t>
      </w:r>
      <w:r w:rsidRPr="57352DF8">
        <w:t>.</w:t>
      </w:r>
    </w:p>
    <w:p w14:paraId="377D7ACB" w14:textId="02E6F1D3" w:rsidR="00D636A6" w:rsidRPr="00033C24" w:rsidRDefault="00BF22FA" w:rsidP="004D7186">
      <w:pPr>
        <w:rPr>
          <w:color w:val="000000"/>
        </w:rPr>
      </w:pPr>
      <w:r w:rsidRPr="57352DF8">
        <w:t>Moore DRJ, Greer CD, Manning G</w:t>
      </w:r>
      <w:r w:rsidR="00D636A6" w:rsidRPr="57352DF8">
        <w:t xml:space="preserve">, Woodling </w:t>
      </w:r>
      <w:r w:rsidRPr="57352DF8">
        <w:t>K, Beckett KJ, Brain A</w:t>
      </w:r>
      <w:r w:rsidR="00D636A6" w:rsidRPr="57352DF8">
        <w:t xml:space="preserve"> </w:t>
      </w:r>
      <w:r w:rsidR="00506746" w:rsidRPr="57352DF8">
        <w:t>and</w:t>
      </w:r>
      <w:r w:rsidRPr="57352DF8">
        <w:t xml:space="preserve"> Marshall G</w:t>
      </w:r>
      <w:r w:rsidR="00D636A6" w:rsidRPr="57352DF8">
        <w:t xml:space="preserve"> </w:t>
      </w:r>
      <w:r w:rsidR="00ED291E">
        <w:t>(</w:t>
      </w:r>
      <w:r w:rsidR="00D636A6" w:rsidRPr="57352DF8">
        <w:t>2017</w:t>
      </w:r>
      <w:r w:rsidR="00ED291E">
        <w:t>)</w:t>
      </w:r>
      <w:r w:rsidR="00944156" w:rsidRPr="57352DF8">
        <w:t xml:space="preserve"> </w:t>
      </w:r>
      <w:r w:rsidR="00E038F4">
        <w:t>‘</w:t>
      </w:r>
      <w:hyperlink r:id="rId113" w:history="1">
        <w:r w:rsidR="00D636A6" w:rsidRPr="007B06F5">
          <w:rPr>
            <w:rStyle w:val="Hyperlink"/>
            <w:rFonts w:cs="Arial"/>
          </w:rPr>
          <w:t>A weight-of-evidence approach to deriving a level of concern for atrazine that is protective of aquatic plant communities</w:t>
        </w:r>
      </w:hyperlink>
      <w:r w:rsidR="00E038F4">
        <w:t>’,</w:t>
      </w:r>
      <w:r w:rsidR="00D636A6" w:rsidRPr="57352DF8">
        <w:t xml:space="preserve"> </w:t>
      </w:r>
      <w:r w:rsidR="00D636A6" w:rsidRPr="57352DF8">
        <w:rPr>
          <w:i/>
          <w:iCs/>
        </w:rPr>
        <w:t>Integr</w:t>
      </w:r>
      <w:r w:rsidR="00E038F4">
        <w:rPr>
          <w:i/>
          <w:iCs/>
        </w:rPr>
        <w:t>ated</w:t>
      </w:r>
      <w:r w:rsidR="00D636A6" w:rsidRPr="57352DF8">
        <w:rPr>
          <w:i/>
          <w:iCs/>
        </w:rPr>
        <w:t xml:space="preserve"> Environ</w:t>
      </w:r>
      <w:r w:rsidR="00E038F4">
        <w:rPr>
          <w:i/>
          <w:iCs/>
        </w:rPr>
        <w:t>mental</w:t>
      </w:r>
      <w:r w:rsidR="00D636A6" w:rsidRPr="57352DF8">
        <w:rPr>
          <w:i/>
          <w:iCs/>
        </w:rPr>
        <w:t xml:space="preserve"> Assess</w:t>
      </w:r>
      <w:r w:rsidR="00E038F4">
        <w:rPr>
          <w:i/>
          <w:iCs/>
        </w:rPr>
        <w:t>ment and</w:t>
      </w:r>
      <w:r w:rsidR="00D636A6" w:rsidRPr="57352DF8">
        <w:rPr>
          <w:i/>
          <w:iCs/>
        </w:rPr>
        <w:t xml:space="preserve"> Manag</w:t>
      </w:r>
      <w:r w:rsidR="00E038F4">
        <w:rPr>
          <w:i/>
          <w:iCs/>
        </w:rPr>
        <w:t>e</w:t>
      </w:r>
      <w:r w:rsidR="00E038F4" w:rsidRPr="00E038F4">
        <w:rPr>
          <w:i/>
          <w:iCs/>
        </w:rPr>
        <w:t>ment</w:t>
      </w:r>
      <w:r w:rsidR="00D636A6" w:rsidRPr="57352DF8">
        <w:t>, 13</w:t>
      </w:r>
      <w:r w:rsidR="00E038F4">
        <w:t>:</w:t>
      </w:r>
      <w:r w:rsidR="00D636A6" w:rsidRPr="57352DF8">
        <w:t>686–701</w:t>
      </w:r>
      <w:r w:rsidR="007B06F5">
        <w:t>, doi:</w:t>
      </w:r>
      <w:r w:rsidR="007B06F5" w:rsidRPr="007B06F5">
        <w:t>10.1002/ieam.1865</w:t>
      </w:r>
      <w:r w:rsidR="00D636A6" w:rsidRPr="57352DF8">
        <w:t>.</w:t>
      </w:r>
    </w:p>
    <w:p w14:paraId="63DC9530" w14:textId="48B93FA8" w:rsidR="00D636A6" w:rsidRDefault="00BF22FA" w:rsidP="004D7186">
      <w:pPr>
        <w:rPr>
          <w:rStyle w:val="Hyperlink"/>
          <w:rFonts w:cs="Arial"/>
        </w:rPr>
      </w:pPr>
      <w:r w:rsidRPr="57352DF8">
        <w:t>NEPC</w:t>
      </w:r>
      <w:r w:rsidR="00D636A6" w:rsidRPr="57352DF8">
        <w:t xml:space="preserve"> </w:t>
      </w:r>
      <w:r w:rsidR="00E038F4">
        <w:t xml:space="preserve">(National Environment Protection Council) </w:t>
      </w:r>
      <w:r w:rsidR="00ED291E">
        <w:t>(</w:t>
      </w:r>
      <w:r w:rsidR="00D636A6" w:rsidRPr="57352DF8">
        <w:t>2013</w:t>
      </w:r>
      <w:r w:rsidR="00ED291E">
        <w:t>)</w:t>
      </w:r>
      <w:r w:rsidR="00D636A6" w:rsidRPr="57352DF8">
        <w:t xml:space="preserve"> </w:t>
      </w:r>
      <w:hyperlink r:id="rId114" w:history="1">
        <w:r w:rsidR="00D636A6" w:rsidRPr="008F72DA">
          <w:rPr>
            <w:rStyle w:val="Hyperlink"/>
            <w:i/>
            <w:iCs/>
          </w:rPr>
          <w:t>National Environment Protection (Assessment of Site Contamination) Measure</w:t>
        </w:r>
        <w:r w:rsidR="00DE335E" w:rsidRPr="008F72DA">
          <w:rPr>
            <w:rStyle w:val="Hyperlink"/>
            <w:i/>
            <w:iCs/>
          </w:rPr>
          <w:t>,</w:t>
        </w:r>
        <w:r w:rsidR="00D636A6" w:rsidRPr="008F72DA">
          <w:rPr>
            <w:rStyle w:val="Hyperlink"/>
            <w:i/>
            <w:iCs/>
          </w:rPr>
          <w:t xml:space="preserve"> Schedule B5c – </w:t>
        </w:r>
        <w:r w:rsidR="008F72DA" w:rsidRPr="008F72DA">
          <w:rPr>
            <w:rStyle w:val="Hyperlink"/>
            <w:i/>
            <w:iCs/>
          </w:rPr>
          <w:t xml:space="preserve">Guideline on </w:t>
        </w:r>
        <w:r w:rsidR="009F0C5B">
          <w:rPr>
            <w:rStyle w:val="Hyperlink"/>
            <w:i/>
            <w:iCs/>
          </w:rPr>
          <w:t>s</w:t>
        </w:r>
        <w:r w:rsidR="008F72DA" w:rsidRPr="008F72DA">
          <w:rPr>
            <w:rStyle w:val="Hyperlink"/>
            <w:i/>
            <w:iCs/>
          </w:rPr>
          <w:t xml:space="preserve">oil </w:t>
        </w:r>
        <w:r w:rsidR="009F0C5B">
          <w:rPr>
            <w:rStyle w:val="Hyperlink"/>
            <w:i/>
            <w:iCs/>
          </w:rPr>
          <w:t>q</w:t>
        </w:r>
        <w:r w:rsidR="008F72DA" w:rsidRPr="008F72DA">
          <w:rPr>
            <w:rStyle w:val="Hyperlink"/>
            <w:i/>
            <w:iCs/>
          </w:rPr>
          <w:t xml:space="preserve">uality </w:t>
        </w:r>
        <w:r w:rsidR="009F0C5B">
          <w:rPr>
            <w:rStyle w:val="Hyperlink"/>
            <w:i/>
            <w:iCs/>
          </w:rPr>
          <w:t>g</w:t>
        </w:r>
        <w:r w:rsidR="008F72DA" w:rsidRPr="008F72DA">
          <w:rPr>
            <w:rStyle w:val="Hyperlink"/>
            <w:i/>
            <w:iCs/>
          </w:rPr>
          <w:t>uidelines for arsenic, chromium III, copper, DDT, lead, naphthalene, nickel and zinc</w:t>
        </w:r>
      </w:hyperlink>
      <w:r w:rsidR="00975360" w:rsidRPr="57352DF8">
        <w:t>,</w:t>
      </w:r>
      <w:r w:rsidR="00D636A6" w:rsidRPr="57352DF8">
        <w:t xml:space="preserve"> </w:t>
      </w:r>
      <w:r w:rsidR="00E038F4">
        <w:t>NEPC</w:t>
      </w:r>
      <w:r w:rsidR="7E9D99BF" w:rsidRPr="57352DF8">
        <w:t>,</w:t>
      </w:r>
      <w:r w:rsidR="00975360" w:rsidRPr="57352DF8">
        <w:t xml:space="preserve"> Adelaide,</w:t>
      </w:r>
      <w:r w:rsidR="00D636A6" w:rsidRPr="57352DF8">
        <w:t xml:space="preserve"> </w:t>
      </w:r>
      <w:r w:rsidR="00DE335E" w:rsidRPr="57352DF8">
        <w:t>a</w:t>
      </w:r>
      <w:r w:rsidR="00D636A6" w:rsidRPr="57352DF8">
        <w:t xml:space="preserve">ccessed </w:t>
      </w:r>
      <w:r w:rsidR="00DE335E" w:rsidRPr="57352DF8">
        <w:t xml:space="preserve">3 </w:t>
      </w:r>
      <w:r w:rsidR="00D636A6" w:rsidRPr="57352DF8">
        <w:t>January 2017.</w:t>
      </w:r>
    </w:p>
    <w:p w14:paraId="580E1325" w14:textId="36E3CB8F" w:rsidR="00D636A6" w:rsidRPr="00C924B6" w:rsidRDefault="00D636A6" w:rsidP="004D7186">
      <w:r>
        <w:t xml:space="preserve">OECD </w:t>
      </w:r>
      <w:r w:rsidR="006D57C0">
        <w:t xml:space="preserve">(Organisation for Economic Co-operation and Development) </w:t>
      </w:r>
      <w:r w:rsidR="00ED291E">
        <w:t>(</w:t>
      </w:r>
      <w:r>
        <w:t>1992</w:t>
      </w:r>
      <w:r w:rsidR="00ED291E">
        <w:t>)</w:t>
      </w:r>
      <w:r>
        <w:t xml:space="preserve"> </w:t>
      </w:r>
      <w:r w:rsidRPr="00D51B94">
        <w:rPr>
          <w:i/>
          <w:iCs/>
        </w:rPr>
        <w:t>Report of the OECD workshop on extrapolation of laboratory aquatic toxici</w:t>
      </w:r>
      <w:r w:rsidR="00975360" w:rsidRPr="00D51B94">
        <w:rPr>
          <w:i/>
          <w:iCs/>
        </w:rPr>
        <w:t>ty data to the real environment</w:t>
      </w:r>
      <w:r w:rsidR="00D51B94">
        <w:t>,</w:t>
      </w:r>
      <w:r>
        <w:t xml:space="preserve"> </w:t>
      </w:r>
      <w:r w:rsidR="006D57C0">
        <w:t>Environment Monograph No. 59, OECD</w:t>
      </w:r>
      <w:r>
        <w:t>, Paris.</w:t>
      </w:r>
    </w:p>
    <w:p w14:paraId="3071EF6C" w14:textId="28F8C237" w:rsidR="00D636A6" w:rsidRDefault="00BF22FA" w:rsidP="004D7186">
      <w:pPr>
        <w:rPr>
          <w:lang w:val="en-NZ"/>
        </w:rPr>
      </w:pPr>
      <w:r w:rsidRPr="14BE8DC7">
        <w:rPr>
          <w:lang w:val="en-NZ"/>
        </w:rPr>
        <w:t>Peters A</w:t>
      </w:r>
      <w:r w:rsidR="00D636A6" w:rsidRPr="14BE8DC7">
        <w:rPr>
          <w:lang w:val="en-NZ"/>
        </w:rPr>
        <w:t xml:space="preserve">, </w:t>
      </w:r>
      <w:r w:rsidRPr="14BE8DC7">
        <w:rPr>
          <w:lang w:val="en-NZ"/>
        </w:rPr>
        <w:t xml:space="preserve">Merrington G, Schlekat C, De Schamphelaere K, Stauber JL, Batley GE, Harford A, </w:t>
      </w:r>
      <w:r w:rsidR="00ED291E">
        <w:rPr>
          <w:lang w:val="en-NZ"/>
        </w:rPr>
        <w:t>v</w:t>
      </w:r>
      <w:r w:rsidRPr="14BE8DC7">
        <w:rPr>
          <w:lang w:val="en-NZ"/>
        </w:rPr>
        <w:t xml:space="preserve">an Dam R, </w:t>
      </w:r>
      <w:r w:rsidR="00C531D6">
        <w:rPr>
          <w:lang w:val="en-NZ"/>
        </w:rPr>
        <w:t>Pease</w:t>
      </w:r>
      <w:r w:rsidRPr="14BE8DC7">
        <w:rPr>
          <w:lang w:val="en-NZ"/>
        </w:rPr>
        <w:t xml:space="preserve"> </w:t>
      </w:r>
      <w:r w:rsidR="00C531D6">
        <w:rPr>
          <w:lang w:val="en-NZ"/>
        </w:rPr>
        <w:t>C</w:t>
      </w:r>
      <w:r w:rsidRPr="14BE8DC7">
        <w:rPr>
          <w:lang w:val="en-NZ"/>
        </w:rPr>
        <w:t>, Mooney T, Warne MStJ, Hickey C, Glazebrook P, Chapman JC, Smith R</w:t>
      </w:r>
      <w:r w:rsidR="00D636A6" w:rsidRPr="14BE8DC7">
        <w:rPr>
          <w:lang w:val="en-NZ"/>
        </w:rPr>
        <w:t xml:space="preserve"> </w:t>
      </w:r>
      <w:r w:rsidR="00506746" w:rsidRPr="14BE8DC7">
        <w:rPr>
          <w:lang w:val="en-NZ"/>
        </w:rPr>
        <w:t>and</w:t>
      </w:r>
      <w:r w:rsidRPr="14BE8DC7">
        <w:rPr>
          <w:lang w:val="en-NZ"/>
        </w:rPr>
        <w:t xml:space="preserve"> Krassoi F </w:t>
      </w:r>
      <w:r w:rsidR="00ED291E">
        <w:rPr>
          <w:lang w:val="en-NZ"/>
        </w:rPr>
        <w:t>(</w:t>
      </w:r>
      <w:r w:rsidR="00AA511F" w:rsidRPr="14BE8DC7">
        <w:rPr>
          <w:lang w:val="en-NZ"/>
        </w:rPr>
        <w:t>2018</w:t>
      </w:r>
      <w:r w:rsidR="00ED291E">
        <w:rPr>
          <w:lang w:val="en-NZ"/>
        </w:rPr>
        <w:t>)</w:t>
      </w:r>
      <w:r w:rsidR="00D636A6" w:rsidRPr="14BE8DC7">
        <w:rPr>
          <w:lang w:val="en-NZ"/>
        </w:rPr>
        <w:t xml:space="preserve"> </w:t>
      </w:r>
      <w:r w:rsidR="00D51B94">
        <w:rPr>
          <w:lang w:val="en-NZ"/>
        </w:rPr>
        <w:t>‘</w:t>
      </w:r>
      <w:hyperlink r:id="rId115" w:history="1">
        <w:r w:rsidR="00D636A6" w:rsidRPr="00857DB6">
          <w:rPr>
            <w:rStyle w:val="Hyperlink"/>
            <w:lang w:val="en-NZ"/>
          </w:rPr>
          <w:t>Validation of the nickel ligand model for locally relevant sp</w:t>
        </w:r>
        <w:r w:rsidRPr="00857DB6">
          <w:rPr>
            <w:rStyle w:val="Hyperlink"/>
            <w:lang w:val="en-NZ"/>
          </w:rPr>
          <w:t>ecies in Australian freshwaters</w:t>
        </w:r>
      </w:hyperlink>
      <w:r w:rsidR="00D51B94">
        <w:rPr>
          <w:lang w:val="en-NZ"/>
        </w:rPr>
        <w:t>’,</w:t>
      </w:r>
      <w:r w:rsidR="00975360" w:rsidRPr="14BE8DC7">
        <w:rPr>
          <w:lang w:val="en-NZ"/>
        </w:rPr>
        <w:t xml:space="preserve"> </w:t>
      </w:r>
      <w:r w:rsidR="00D636A6" w:rsidRPr="14BE8DC7">
        <w:rPr>
          <w:i/>
          <w:iCs/>
          <w:lang w:val="en-NZ"/>
        </w:rPr>
        <w:t>Environ</w:t>
      </w:r>
      <w:r w:rsidR="00D51B94">
        <w:rPr>
          <w:i/>
          <w:iCs/>
          <w:lang w:val="en-NZ"/>
        </w:rPr>
        <w:t>mental</w:t>
      </w:r>
      <w:r w:rsidR="00D636A6" w:rsidRPr="14BE8DC7">
        <w:rPr>
          <w:i/>
          <w:iCs/>
          <w:lang w:val="en-NZ"/>
        </w:rPr>
        <w:t xml:space="preserve"> Toxicol</w:t>
      </w:r>
      <w:r w:rsidR="00D51B94">
        <w:rPr>
          <w:i/>
          <w:iCs/>
          <w:lang w:val="en-NZ"/>
        </w:rPr>
        <w:t>ogy and</w:t>
      </w:r>
      <w:r w:rsidR="00D636A6" w:rsidRPr="14BE8DC7">
        <w:rPr>
          <w:i/>
          <w:iCs/>
          <w:lang w:val="en-NZ"/>
        </w:rPr>
        <w:t xml:space="preserve"> Chem</w:t>
      </w:r>
      <w:r w:rsidR="00D51B94">
        <w:rPr>
          <w:i/>
          <w:iCs/>
          <w:lang w:val="en-NZ"/>
        </w:rPr>
        <w:t>istry</w:t>
      </w:r>
      <w:r w:rsidR="09799BFB" w:rsidRPr="14BE8DC7">
        <w:rPr>
          <w:i/>
          <w:iCs/>
          <w:lang w:val="en-NZ"/>
        </w:rPr>
        <w:t>,</w:t>
      </w:r>
      <w:r w:rsidR="00734470" w:rsidRPr="14BE8DC7">
        <w:rPr>
          <w:lang w:val="en-NZ"/>
        </w:rPr>
        <w:t xml:space="preserve"> </w:t>
      </w:r>
      <w:r w:rsidR="1C8A4E35" w:rsidRPr="14BE8DC7">
        <w:rPr>
          <w:lang w:val="en-NZ"/>
        </w:rPr>
        <w:t>37</w:t>
      </w:r>
      <w:r w:rsidR="00857DB6">
        <w:rPr>
          <w:lang w:val="en-NZ"/>
        </w:rPr>
        <w:t>(10)</w:t>
      </w:r>
      <w:r w:rsidR="00D51B94">
        <w:rPr>
          <w:lang w:val="en-NZ"/>
        </w:rPr>
        <w:t>:</w:t>
      </w:r>
      <w:r w:rsidR="1C8A4E35" w:rsidRPr="14BE8DC7">
        <w:rPr>
          <w:lang w:val="en-NZ"/>
        </w:rPr>
        <w:t>2566</w:t>
      </w:r>
      <w:r w:rsidR="00D51B94">
        <w:rPr>
          <w:lang w:val="en-NZ"/>
        </w:rPr>
        <w:t>–</w:t>
      </w:r>
      <w:r w:rsidR="1C8A4E35" w:rsidRPr="14BE8DC7">
        <w:rPr>
          <w:lang w:val="en-NZ"/>
        </w:rPr>
        <w:t>2574</w:t>
      </w:r>
      <w:r w:rsidR="00857DB6">
        <w:rPr>
          <w:lang w:val="en-NZ"/>
        </w:rPr>
        <w:t>, doi:</w:t>
      </w:r>
      <w:r w:rsidR="00857DB6" w:rsidRPr="00857DB6">
        <w:rPr>
          <w:lang w:val="en-NZ"/>
        </w:rPr>
        <w:t>10.1002/etc.4213</w:t>
      </w:r>
      <w:r w:rsidR="1C8A4E35" w:rsidRPr="14BE8DC7">
        <w:rPr>
          <w:lang w:val="en-NZ"/>
        </w:rPr>
        <w:t>.</w:t>
      </w:r>
    </w:p>
    <w:p w14:paraId="620E7E59" w14:textId="50025DF4" w:rsidR="00D636A6" w:rsidRDefault="00D636A6" w:rsidP="004D7186">
      <w:pPr>
        <w:rPr>
          <w:lang w:val="en-NZ"/>
        </w:rPr>
      </w:pPr>
      <w:r w:rsidRPr="14BE8DC7">
        <w:rPr>
          <w:lang w:val="en-NZ"/>
        </w:rPr>
        <w:t xml:space="preserve">Pfister R, Schwarz KA, Janczyk M, Dale R </w:t>
      </w:r>
      <w:r w:rsidR="00506746" w:rsidRPr="14BE8DC7">
        <w:rPr>
          <w:lang w:val="en-NZ"/>
        </w:rPr>
        <w:t>and</w:t>
      </w:r>
      <w:r w:rsidRPr="14BE8DC7">
        <w:rPr>
          <w:lang w:val="en-NZ"/>
        </w:rPr>
        <w:t xml:space="preserve"> Freeman JB </w:t>
      </w:r>
      <w:r w:rsidR="006A6B6D">
        <w:rPr>
          <w:lang w:val="en-NZ"/>
        </w:rPr>
        <w:t>(</w:t>
      </w:r>
      <w:r w:rsidRPr="14BE8DC7">
        <w:rPr>
          <w:lang w:val="en-NZ"/>
        </w:rPr>
        <w:t>2013</w:t>
      </w:r>
      <w:r w:rsidR="006A6B6D">
        <w:rPr>
          <w:lang w:val="en-NZ"/>
        </w:rPr>
        <w:t>)</w:t>
      </w:r>
      <w:r w:rsidRPr="14BE8DC7">
        <w:rPr>
          <w:lang w:val="en-NZ"/>
        </w:rPr>
        <w:t xml:space="preserve"> </w:t>
      </w:r>
      <w:r w:rsidR="006A6B6D">
        <w:rPr>
          <w:lang w:val="en-NZ"/>
        </w:rPr>
        <w:t>‘</w:t>
      </w:r>
      <w:hyperlink r:id="rId116" w:history="1">
        <w:r w:rsidRPr="00FF4C55">
          <w:rPr>
            <w:rStyle w:val="Hyperlink"/>
            <w:lang w:val="en-NZ"/>
          </w:rPr>
          <w:t>Good things peak in pairs: a note on the bimodality coefficient</w:t>
        </w:r>
      </w:hyperlink>
      <w:r w:rsidR="001B2BE7">
        <w:rPr>
          <w:lang w:val="en-NZ"/>
        </w:rPr>
        <w:t>’,</w:t>
      </w:r>
      <w:r w:rsidRPr="14BE8DC7">
        <w:rPr>
          <w:lang w:val="en-NZ"/>
        </w:rPr>
        <w:t xml:space="preserve"> </w:t>
      </w:r>
      <w:r w:rsidRPr="14BE8DC7">
        <w:rPr>
          <w:i/>
          <w:iCs/>
          <w:lang w:val="en-NZ"/>
        </w:rPr>
        <w:t>Front</w:t>
      </w:r>
      <w:r w:rsidR="00DA7669">
        <w:rPr>
          <w:i/>
          <w:iCs/>
          <w:lang w:val="en-NZ"/>
        </w:rPr>
        <w:t>iers in</w:t>
      </w:r>
      <w:r w:rsidRPr="14BE8DC7">
        <w:rPr>
          <w:i/>
          <w:iCs/>
          <w:lang w:val="en-NZ"/>
        </w:rPr>
        <w:t xml:space="preserve"> Psychol</w:t>
      </w:r>
      <w:r w:rsidR="00DA7669" w:rsidRPr="00DA7669">
        <w:rPr>
          <w:i/>
          <w:iCs/>
          <w:lang w:val="en-NZ"/>
        </w:rPr>
        <w:t>ogy</w:t>
      </w:r>
      <w:r w:rsidRPr="14BE8DC7">
        <w:rPr>
          <w:lang w:val="en-NZ"/>
        </w:rPr>
        <w:t>, 4</w:t>
      </w:r>
      <w:r w:rsidR="001B2BE7">
        <w:rPr>
          <w:lang w:val="en-NZ"/>
        </w:rPr>
        <w:t>:</w:t>
      </w:r>
      <w:r w:rsidRPr="14BE8DC7">
        <w:rPr>
          <w:lang w:val="en-NZ"/>
        </w:rPr>
        <w:t>700</w:t>
      </w:r>
      <w:r w:rsidR="00FF4C55">
        <w:rPr>
          <w:lang w:val="en-NZ"/>
        </w:rPr>
        <w:t>, doi:</w:t>
      </w:r>
      <w:r w:rsidR="00FF4C55" w:rsidRPr="00FF4C55">
        <w:rPr>
          <w:lang w:val="en-NZ"/>
        </w:rPr>
        <w:t>10.3389/fpsyg.2013.00700</w:t>
      </w:r>
      <w:r w:rsidRPr="14BE8DC7">
        <w:rPr>
          <w:lang w:val="en-NZ"/>
        </w:rPr>
        <w:t>.</w:t>
      </w:r>
    </w:p>
    <w:p w14:paraId="611215DD" w14:textId="732DF06D" w:rsidR="00D636A6" w:rsidRDefault="00BF22FA" w:rsidP="004D7186">
      <w:pPr>
        <w:rPr>
          <w:lang w:val="en-NZ"/>
        </w:rPr>
      </w:pPr>
      <w:r w:rsidRPr="36A60666">
        <w:rPr>
          <w:lang w:val="en-NZ"/>
        </w:rPr>
        <w:lastRenderedPageBreak/>
        <w:t>RIVM</w:t>
      </w:r>
      <w:r w:rsidR="001C13C8">
        <w:rPr>
          <w:lang w:val="en-NZ"/>
        </w:rPr>
        <w:t xml:space="preserve"> (</w:t>
      </w:r>
      <w:r w:rsidR="001C13C8" w:rsidRPr="36A60666">
        <w:rPr>
          <w:lang w:val="en-NZ"/>
        </w:rPr>
        <w:t>National Institute for Public Health and the Environment</w:t>
      </w:r>
      <w:r w:rsidR="001C13C8">
        <w:rPr>
          <w:lang w:val="en-NZ"/>
        </w:rPr>
        <w:t>)</w:t>
      </w:r>
      <w:r w:rsidRPr="36A60666">
        <w:rPr>
          <w:lang w:val="en-NZ"/>
        </w:rPr>
        <w:t xml:space="preserve"> </w:t>
      </w:r>
      <w:r w:rsidR="001B2BE7">
        <w:rPr>
          <w:lang w:val="en-NZ"/>
        </w:rPr>
        <w:t>(</w:t>
      </w:r>
      <w:r w:rsidR="00D636A6" w:rsidRPr="36A60666">
        <w:rPr>
          <w:lang w:val="en-NZ"/>
        </w:rPr>
        <w:t>2004</w:t>
      </w:r>
      <w:r w:rsidR="001B2BE7">
        <w:rPr>
          <w:lang w:val="en-NZ"/>
        </w:rPr>
        <w:t>)</w:t>
      </w:r>
      <w:r w:rsidR="00D636A6" w:rsidRPr="36A60666">
        <w:rPr>
          <w:lang w:val="en-NZ"/>
        </w:rPr>
        <w:t xml:space="preserve"> </w:t>
      </w:r>
      <w:r w:rsidR="00D636A6" w:rsidRPr="001C13C8">
        <w:rPr>
          <w:lang w:val="en-NZ"/>
        </w:rPr>
        <w:t>European Union risk assessment report on zinc metal, zinc (II) chloride, zinc sulphate, zinc distearate, zinc oxi</w:t>
      </w:r>
      <w:r w:rsidRPr="001C13C8">
        <w:rPr>
          <w:lang w:val="en-NZ"/>
        </w:rPr>
        <w:t>de, trizinc bis(orthophosphate)</w:t>
      </w:r>
      <w:r w:rsidR="001C13C8">
        <w:rPr>
          <w:lang w:val="en-NZ"/>
        </w:rPr>
        <w:t>,</w:t>
      </w:r>
      <w:r w:rsidR="003A317B" w:rsidRPr="36A60666">
        <w:rPr>
          <w:lang w:val="en-NZ"/>
        </w:rPr>
        <w:t xml:space="preserve"> r</w:t>
      </w:r>
      <w:r w:rsidR="00D636A6" w:rsidRPr="36A60666">
        <w:rPr>
          <w:lang w:val="en-NZ"/>
        </w:rPr>
        <w:t xml:space="preserve">eport prepared by </w:t>
      </w:r>
      <w:r w:rsidR="4244553D" w:rsidRPr="36A60666">
        <w:rPr>
          <w:lang w:val="en-NZ"/>
        </w:rPr>
        <w:t>RIVM</w:t>
      </w:r>
      <w:r w:rsidR="00D636A6" w:rsidRPr="36A60666">
        <w:rPr>
          <w:lang w:val="en-NZ"/>
        </w:rPr>
        <w:t xml:space="preserve">, </w:t>
      </w:r>
      <w:r w:rsidR="348C06D1" w:rsidRPr="36A60666">
        <w:rPr>
          <w:lang w:val="en-NZ"/>
        </w:rPr>
        <w:t>Bilthoven</w:t>
      </w:r>
      <w:r w:rsidR="00D636A6" w:rsidRPr="36A60666">
        <w:rPr>
          <w:lang w:val="en-NZ"/>
        </w:rPr>
        <w:t>.</w:t>
      </w:r>
    </w:p>
    <w:p w14:paraId="69543640" w14:textId="643336BE" w:rsidR="00EC18C7" w:rsidRDefault="00EC18C7" w:rsidP="004D7186">
      <w:pPr>
        <w:rPr>
          <w:lang w:val="en-NZ"/>
        </w:rPr>
      </w:pPr>
      <w:r w:rsidRPr="00EC18C7">
        <w:rPr>
          <w:lang w:val="en-NZ"/>
        </w:rPr>
        <w:t>Schwarz CJ</w:t>
      </w:r>
      <w:r>
        <w:rPr>
          <w:lang w:val="en-NZ"/>
        </w:rPr>
        <w:t xml:space="preserve"> and</w:t>
      </w:r>
      <w:r w:rsidRPr="00EC18C7">
        <w:rPr>
          <w:lang w:val="en-NZ"/>
        </w:rPr>
        <w:t xml:space="preserve"> Tillmanns AR </w:t>
      </w:r>
      <w:r w:rsidR="001C13C8">
        <w:rPr>
          <w:lang w:val="en-NZ"/>
        </w:rPr>
        <w:t>(</w:t>
      </w:r>
      <w:r w:rsidRPr="00EC18C7">
        <w:rPr>
          <w:lang w:val="en-NZ"/>
        </w:rPr>
        <w:t>2019</w:t>
      </w:r>
      <w:r w:rsidR="001C13C8">
        <w:rPr>
          <w:lang w:val="en-NZ"/>
        </w:rPr>
        <w:t>)</w:t>
      </w:r>
      <w:r w:rsidRPr="00EC18C7">
        <w:rPr>
          <w:lang w:val="en-NZ"/>
        </w:rPr>
        <w:t xml:space="preserve"> </w:t>
      </w:r>
      <w:hyperlink r:id="rId117" w:history="1">
        <w:r w:rsidRPr="00862A31">
          <w:rPr>
            <w:rStyle w:val="Hyperlink"/>
            <w:i/>
            <w:iCs/>
            <w:lang w:val="en-NZ"/>
          </w:rPr>
          <w:t>Improving statistical methods to derive species sensitivity distributions</w:t>
        </w:r>
      </w:hyperlink>
      <w:r w:rsidR="005B0CA1">
        <w:rPr>
          <w:lang w:val="en-NZ"/>
        </w:rPr>
        <w:t>,</w:t>
      </w:r>
      <w:r w:rsidRPr="00EC18C7">
        <w:rPr>
          <w:lang w:val="en-NZ"/>
        </w:rPr>
        <w:t xml:space="preserve"> Water Science Series, WSS2019‐07,</w:t>
      </w:r>
      <w:r>
        <w:rPr>
          <w:lang w:val="en-NZ"/>
        </w:rPr>
        <w:t xml:space="preserve"> </w:t>
      </w:r>
      <w:r w:rsidRPr="00EC18C7">
        <w:rPr>
          <w:lang w:val="en-NZ"/>
        </w:rPr>
        <w:t>Province of British Columbia, Victoria.</w:t>
      </w:r>
    </w:p>
    <w:p w14:paraId="0DDDB0F4" w14:textId="628AF3D5" w:rsidR="00D636A6" w:rsidRDefault="00BF22FA" w:rsidP="004D7186">
      <w:pPr>
        <w:rPr>
          <w:lang w:val="en-NZ"/>
        </w:rPr>
      </w:pPr>
      <w:r>
        <w:rPr>
          <w:lang w:val="en-NZ"/>
        </w:rPr>
        <w:t>Shao Q</w:t>
      </w:r>
      <w:r w:rsidR="00D636A6">
        <w:rPr>
          <w:lang w:val="en-NZ"/>
        </w:rPr>
        <w:t xml:space="preserve"> </w:t>
      </w:r>
      <w:r w:rsidR="00C06FD5">
        <w:rPr>
          <w:lang w:val="en-NZ"/>
        </w:rPr>
        <w:t>(</w:t>
      </w:r>
      <w:r w:rsidR="00D636A6">
        <w:rPr>
          <w:lang w:val="en-NZ"/>
        </w:rPr>
        <w:t>2000</w:t>
      </w:r>
      <w:r w:rsidR="00C06FD5">
        <w:rPr>
          <w:lang w:val="en-NZ"/>
        </w:rPr>
        <w:t>)</w:t>
      </w:r>
      <w:r w:rsidR="00D636A6">
        <w:rPr>
          <w:lang w:val="en-NZ"/>
        </w:rPr>
        <w:t xml:space="preserve"> </w:t>
      </w:r>
      <w:r w:rsidR="00C06FD5">
        <w:rPr>
          <w:lang w:val="en-NZ"/>
        </w:rPr>
        <w:t>‘</w:t>
      </w:r>
      <w:hyperlink r:id="rId118" w:history="1">
        <w:r w:rsidR="00D636A6" w:rsidRPr="0013666E">
          <w:rPr>
            <w:rStyle w:val="Hyperlink"/>
            <w:lang w:val="en-NZ"/>
          </w:rPr>
          <w:t xml:space="preserve">Estimation for hazardous concentrations based on NOEC toxicity data: </w:t>
        </w:r>
        <w:r w:rsidR="00C06FD5" w:rsidRPr="0013666E">
          <w:rPr>
            <w:rStyle w:val="Hyperlink"/>
            <w:lang w:val="en-NZ"/>
          </w:rPr>
          <w:t>a</w:t>
        </w:r>
        <w:r w:rsidR="00D636A6" w:rsidRPr="0013666E">
          <w:rPr>
            <w:rStyle w:val="Hyperlink"/>
            <w:lang w:val="en-NZ"/>
          </w:rPr>
          <w:t>n alternative approach</w:t>
        </w:r>
      </w:hyperlink>
      <w:r w:rsidR="00C06FD5">
        <w:rPr>
          <w:lang w:val="en-NZ"/>
        </w:rPr>
        <w:t>’,</w:t>
      </w:r>
      <w:r w:rsidR="00D636A6">
        <w:rPr>
          <w:lang w:val="en-NZ"/>
        </w:rPr>
        <w:t xml:space="preserve"> </w:t>
      </w:r>
      <w:r w:rsidR="00D636A6" w:rsidRPr="00C74516">
        <w:rPr>
          <w:i/>
          <w:lang w:val="en-NZ"/>
        </w:rPr>
        <w:t>Environmetrics</w:t>
      </w:r>
      <w:r w:rsidR="00975360">
        <w:rPr>
          <w:i/>
          <w:lang w:val="en-NZ"/>
        </w:rPr>
        <w:t>,</w:t>
      </w:r>
      <w:r w:rsidR="00D636A6">
        <w:rPr>
          <w:lang w:val="en-NZ"/>
        </w:rPr>
        <w:t xml:space="preserve"> 11</w:t>
      </w:r>
      <w:r w:rsidR="00C06FD5">
        <w:rPr>
          <w:lang w:val="en-NZ"/>
        </w:rPr>
        <w:t>:</w:t>
      </w:r>
      <w:r w:rsidR="00D636A6">
        <w:rPr>
          <w:lang w:val="en-NZ"/>
        </w:rPr>
        <w:t>583–595</w:t>
      </w:r>
      <w:r w:rsidR="0013666E">
        <w:rPr>
          <w:lang w:val="en-NZ"/>
        </w:rPr>
        <w:t>, doi:</w:t>
      </w:r>
      <w:r w:rsidR="0013666E" w:rsidRPr="0013666E">
        <w:rPr>
          <w:lang w:val="en-NZ"/>
        </w:rPr>
        <w:t>10.1002/1099-095X(200009/10)11:5&lt;583::AID-ENV456&gt;3.0.CO;2-X</w:t>
      </w:r>
      <w:r w:rsidR="00D636A6">
        <w:rPr>
          <w:lang w:val="en-NZ"/>
        </w:rPr>
        <w:t>.</w:t>
      </w:r>
    </w:p>
    <w:p w14:paraId="776BE9A1" w14:textId="13AAC3A9" w:rsidR="00F369E6" w:rsidRDefault="00F369E6" w:rsidP="004D7186">
      <w:r>
        <w:t xml:space="preserve">Standards Australia </w:t>
      </w:r>
      <w:r w:rsidR="00B63A4F">
        <w:t>(</w:t>
      </w:r>
      <w:r>
        <w:t>2003</w:t>
      </w:r>
      <w:r w:rsidR="00B63A4F">
        <w:t>)</w:t>
      </w:r>
      <w:r>
        <w:t xml:space="preserve"> </w:t>
      </w:r>
      <w:hyperlink r:id="rId119" w:history="1">
        <w:r w:rsidRPr="00EE4BAE">
          <w:rPr>
            <w:rStyle w:val="Hyperlink"/>
            <w:rFonts w:cstheme="minorHAnsi"/>
            <w:i/>
            <w:iCs/>
          </w:rPr>
          <w:t xml:space="preserve">Numerical values </w:t>
        </w:r>
        <w:r w:rsidR="00B63A4F" w:rsidRPr="00EE4BAE">
          <w:rPr>
            <w:rStyle w:val="Hyperlink"/>
            <w:rFonts w:cstheme="minorHAnsi"/>
            <w:i/>
            <w:iCs/>
          </w:rPr>
          <w:t>–</w:t>
        </w:r>
        <w:r w:rsidRPr="00EE4BAE">
          <w:rPr>
            <w:rStyle w:val="Hyperlink"/>
            <w:rFonts w:cstheme="minorHAnsi"/>
            <w:i/>
            <w:iCs/>
          </w:rPr>
          <w:t xml:space="preserve"> </w:t>
        </w:r>
        <w:r w:rsidR="00B63A4F" w:rsidRPr="00EE4BAE">
          <w:rPr>
            <w:rStyle w:val="Hyperlink"/>
            <w:rFonts w:cstheme="minorHAnsi"/>
            <w:i/>
            <w:iCs/>
          </w:rPr>
          <w:t>r</w:t>
        </w:r>
        <w:r w:rsidRPr="00EE4BAE">
          <w:rPr>
            <w:rStyle w:val="Hyperlink"/>
            <w:rFonts w:cstheme="minorHAnsi"/>
            <w:i/>
            <w:iCs/>
          </w:rPr>
          <w:t>ounding and interpretation of limiting values (</w:t>
        </w:r>
        <w:r w:rsidR="00B63A4F" w:rsidRPr="00EE4BAE">
          <w:rPr>
            <w:rStyle w:val="Hyperlink"/>
            <w:rFonts w:cstheme="minorHAnsi"/>
            <w:i/>
            <w:iCs/>
          </w:rPr>
          <w:t>r</w:t>
        </w:r>
        <w:r w:rsidRPr="00EE4BAE">
          <w:rPr>
            <w:rStyle w:val="Hyperlink"/>
            <w:rFonts w:cstheme="minorHAnsi"/>
            <w:i/>
            <w:iCs/>
          </w:rPr>
          <w:t>econfirmed 2018)</w:t>
        </w:r>
      </w:hyperlink>
      <w:r w:rsidR="00B63A4F">
        <w:t>,</w:t>
      </w:r>
      <w:r>
        <w:t xml:space="preserve"> AS 2706-2003</w:t>
      </w:r>
      <w:r w:rsidR="00B63A4F">
        <w:t>,</w:t>
      </w:r>
      <w:r>
        <w:t xml:space="preserve"> Standards Australia.</w:t>
      </w:r>
    </w:p>
    <w:p w14:paraId="05878602" w14:textId="4A37B9EE" w:rsidR="006C4A03" w:rsidRDefault="006C4A03" w:rsidP="004D7186">
      <w:pPr>
        <w:rPr>
          <w:lang w:val="en-NZ"/>
        </w:rPr>
      </w:pPr>
      <w:r w:rsidRPr="36A60666">
        <w:rPr>
          <w:lang w:val="en-GB"/>
        </w:rPr>
        <w:t xml:space="preserve">Stauber JL, Golding L, Peters A, Merrington G, Adams MS, Binet MT, Batley GE, Gissi F, McKnight K, Garman E, Middleton E, Gadd J and Schlekat C </w:t>
      </w:r>
      <w:r w:rsidR="0033363A">
        <w:rPr>
          <w:lang w:val="en-GB"/>
        </w:rPr>
        <w:t>(</w:t>
      </w:r>
      <w:r w:rsidRPr="36A60666">
        <w:rPr>
          <w:lang w:val="en-GB"/>
        </w:rPr>
        <w:t>2021</w:t>
      </w:r>
      <w:r w:rsidR="0033363A">
        <w:rPr>
          <w:lang w:val="en-GB"/>
        </w:rPr>
        <w:t>)</w:t>
      </w:r>
      <w:r w:rsidRPr="36A60666">
        <w:rPr>
          <w:lang w:val="en-GB"/>
        </w:rPr>
        <w:t xml:space="preserve"> </w:t>
      </w:r>
      <w:r w:rsidR="0033363A">
        <w:rPr>
          <w:lang w:val="en-GB"/>
        </w:rPr>
        <w:t>‘</w:t>
      </w:r>
      <w:hyperlink r:id="rId120" w:history="1">
        <w:r w:rsidRPr="00BC38C1">
          <w:rPr>
            <w:rStyle w:val="Hyperlink"/>
            <w:lang w:val="en-GB"/>
          </w:rPr>
          <w:t>Application of bioavailability models to derive guideline values for nickel in freshwaters of Australia and New Zealand</w:t>
        </w:r>
      </w:hyperlink>
      <w:r w:rsidR="0033363A">
        <w:rPr>
          <w:lang w:val="en-GB"/>
        </w:rPr>
        <w:t>’,</w:t>
      </w:r>
      <w:r w:rsidRPr="36A60666">
        <w:rPr>
          <w:lang w:val="en-GB"/>
        </w:rPr>
        <w:t xml:space="preserve"> </w:t>
      </w:r>
      <w:r w:rsidRPr="36A60666">
        <w:rPr>
          <w:i/>
          <w:iCs/>
          <w:lang w:val="en-GB"/>
        </w:rPr>
        <w:t>Environ</w:t>
      </w:r>
      <w:r w:rsidR="00BD4EDB">
        <w:rPr>
          <w:i/>
          <w:iCs/>
          <w:lang w:val="en-GB"/>
        </w:rPr>
        <w:t>mental</w:t>
      </w:r>
      <w:r w:rsidRPr="36A60666">
        <w:rPr>
          <w:i/>
          <w:iCs/>
          <w:lang w:val="en-GB"/>
        </w:rPr>
        <w:t xml:space="preserve"> Toxicol</w:t>
      </w:r>
      <w:r w:rsidR="00BD4EDB">
        <w:rPr>
          <w:i/>
          <w:iCs/>
          <w:lang w:val="en-GB"/>
        </w:rPr>
        <w:t>ogy and</w:t>
      </w:r>
      <w:r w:rsidR="417A6C02" w:rsidRPr="36A60666">
        <w:rPr>
          <w:i/>
          <w:iCs/>
          <w:lang w:val="en-GB"/>
        </w:rPr>
        <w:t xml:space="preserve"> </w:t>
      </w:r>
      <w:r w:rsidRPr="36A60666">
        <w:rPr>
          <w:i/>
          <w:iCs/>
          <w:lang w:val="en-GB"/>
        </w:rPr>
        <w:t>Chem</w:t>
      </w:r>
      <w:r w:rsidR="00BD4EDB">
        <w:rPr>
          <w:i/>
          <w:iCs/>
          <w:lang w:val="en-GB"/>
        </w:rPr>
        <w:t>istry</w:t>
      </w:r>
      <w:r w:rsidRPr="36A60666">
        <w:rPr>
          <w:lang w:val="en-GB"/>
        </w:rPr>
        <w:t>, 40</w:t>
      </w:r>
      <w:r w:rsidR="00A35CF2">
        <w:rPr>
          <w:lang w:val="en-GB"/>
        </w:rPr>
        <w:t>:</w:t>
      </w:r>
      <w:r w:rsidRPr="36A60666">
        <w:rPr>
          <w:lang w:val="en-GB"/>
        </w:rPr>
        <w:t>100–112</w:t>
      </w:r>
      <w:r w:rsidR="00BC38C1">
        <w:rPr>
          <w:lang w:val="en-GB"/>
        </w:rPr>
        <w:t>, doi:</w:t>
      </w:r>
      <w:r w:rsidR="00BC38C1" w:rsidRPr="00BC38C1">
        <w:rPr>
          <w:lang w:val="en-GB"/>
        </w:rPr>
        <w:t>10.1002/etc.4885</w:t>
      </w:r>
      <w:r w:rsidRPr="36A60666">
        <w:rPr>
          <w:lang w:val="en-GB"/>
        </w:rPr>
        <w:t>.</w:t>
      </w:r>
    </w:p>
    <w:p w14:paraId="359F63BE" w14:textId="6D6F3737" w:rsidR="00AF1FDA" w:rsidRDefault="00AF1FDA" w:rsidP="004D7186">
      <w:r>
        <w:t xml:space="preserve">Stauber J, Price G, Evans A, Gadd J, Holland A, Albert A, Batley G, Binet M, Golding L, Hickey C, Harford A, Jolley D, Koppel D, McKnight K, Mosin M, Morais L, Ryan A, Thompson K, Van Genderen E, van Dam R and Warne M </w:t>
      </w:r>
      <w:r w:rsidR="00F669FB">
        <w:t>(</w:t>
      </w:r>
      <w:r>
        <w:t>2022</w:t>
      </w:r>
      <w:r w:rsidR="00F669FB">
        <w:t>)</w:t>
      </w:r>
      <w:r>
        <w:t xml:space="preserve"> </w:t>
      </w:r>
      <w:hyperlink r:id="rId121" w:history="1">
        <w:r w:rsidRPr="00293937">
          <w:rPr>
            <w:rStyle w:val="Hyperlink"/>
            <w:i/>
            <w:iCs/>
          </w:rPr>
          <w:t>Towards bioavailability-based guideline values for zinc in Australian and New Zealand natural waters</w:t>
        </w:r>
      </w:hyperlink>
      <w:r w:rsidR="006A6B6D">
        <w:t>,</w:t>
      </w:r>
      <w:r>
        <w:t xml:space="preserve"> </w:t>
      </w:r>
      <w:r w:rsidR="006A6B6D">
        <w:t>r</w:t>
      </w:r>
      <w:r>
        <w:t>eport to the International Zinc Association</w:t>
      </w:r>
      <w:r w:rsidR="006A6B6D">
        <w:t>,</w:t>
      </w:r>
      <w:r>
        <w:t xml:space="preserve"> </w:t>
      </w:r>
      <w:r w:rsidRPr="00AA149F">
        <w:t>CSIRO</w:t>
      </w:r>
      <w:r w:rsidR="5CC296EB" w:rsidRPr="00AA149F">
        <w:t xml:space="preserve"> Land and Water</w:t>
      </w:r>
      <w:r w:rsidRPr="00AA149F">
        <w:t xml:space="preserve"> Report </w:t>
      </w:r>
      <w:r w:rsidR="211BF82A" w:rsidRPr="00AA149F">
        <w:t xml:space="preserve">No. </w:t>
      </w:r>
      <w:r w:rsidRPr="00AA149F">
        <w:t>EP2022-0801</w:t>
      </w:r>
      <w:r w:rsidR="006A6B6D">
        <w:t>,</w:t>
      </w:r>
      <w:r w:rsidRPr="14BE8DC7">
        <w:t xml:space="preserve"> </w:t>
      </w:r>
      <w:r w:rsidR="2FCC0EDE">
        <w:t>Lucas Heights</w:t>
      </w:r>
      <w:r>
        <w:t>.</w:t>
      </w:r>
    </w:p>
    <w:p w14:paraId="3D4AAEC1" w14:textId="296C3863" w:rsidR="00677395" w:rsidRDefault="00677395" w:rsidP="004D7186">
      <w:pPr>
        <w:rPr>
          <w:lang w:val="en-NZ"/>
        </w:rPr>
      </w:pPr>
      <w:r>
        <w:t xml:space="preserve">Thorley J and Schwarz C </w:t>
      </w:r>
      <w:r w:rsidR="00F669FB">
        <w:t>(</w:t>
      </w:r>
      <w:r>
        <w:t>2018</w:t>
      </w:r>
      <w:r w:rsidR="00F669FB">
        <w:t>)</w:t>
      </w:r>
      <w:r>
        <w:t xml:space="preserve"> </w:t>
      </w:r>
      <w:r w:rsidR="00F669FB">
        <w:t>‘</w:t>
      </w:r>
      <w:hyperlink r:id="rId122" w:history="1">
        <w:r w:rsidR="008D1254" w:rsidRPr="00BD4EDB">
          <w:rPr>
            <w:rStyle w:val="Hyperlink"/>
          </w:rPr>
          <w:t>S</w:t>
        </w:r>
        <w:r w:rsidRPr="00BD4EDB">
          <w:rPr>
            <w:rStyle w:val="Hyperlink"/>
          </w:rPr>
          <w:t xml:space="preserve">sdtools: </w:t>
        </w:r>
        <w:r w:rsidR="00BD4EDB" w:rsidRPr="00BD4EDB">
          <w:rPr>
            <w:rStyle w:val="Hyperlink"/>
          </w:rPr>
          <w:t>a</w:t>
        </w:r>
        <w:r w:rsidRPr="00BD4EDB">
          <w:rPr>
            <w:rStyle w:val="Hyperlink"/>
          </w:rPr>
          <w:t>n R package to fit Species Sensitivity Distribution</w:t>
        </w:r>
      </w:hyperlink>
      <w:r w:rsidR="00F669FB">
        <w:t>’,</w:t>
      </w:r>
      <w:r w:rsidRPr="00AA149F">
        <w:rPr>
          <w:i/>
          <w:iCs/>
        </w:rPr>
        <w:t xml:space="preserve"> J</w:t>
      </w:r>
      <w:r w:rsidR="00BD4EDB">
        <w:rPr>
          <w:i/>
          <w:iCs/>
        </w:rPr>
        <w:t>ournal of</w:t>
      </w:r>
      <w:r w:rsidRPr="00AA149F">
        <w:rPr>
          <w:i/>
          <w:iCs/>
        </w:rPr>
        <w:t xml:space="preserve"> Open Source Softw</w:t>
      </w:r>
      <w:r w:rsidR="00BD4EDB">
        <w:rPr>
          <w:i/>
          <w:iCs/>
        </w:rPr>
        <w:t>are</w:t>
      </w:r>
      <w:r>
        <w:t>, 3(31)</w:t>
      </w:r>
      <w:r w:rsidR="00F669FB">
        <w:t>:</w:t>
      </w:r>
      <w:r>
        <w:t>1082</w:t>
      </w:r>
      <w:r w:rsidR="00BD4EDB">
        <w:t>,</w:t>
      </w:r>
      <w:r>
        <w:t> </w:t>
      </w:r>
      <w:r w:rsidR="00BD4EDB">
        <w:t>d</w:t>
      </w:r>
      <w:r w:rsidR="00BD4EDB" w:rsidRPr="00BD4EDB">
        <w:t>oi</w:t>
      </w:r>
      <w:r w:rsidR="00BD4EDB">
        <w:t>:</w:t>
      </w:r>
      <w:r w:rsidR="00BD4EDB" w:rsidRPr="00BD4EDB">
        <w:t>10.21105/joss.01082</w:t>
      </w:r>
      <w:r w:rsidRPr="14BE8DC7">
        <w:rPr>
          <w:lang w:val="en-NZ"/>
        </w:rPr>
        <w:t>.</w:t>
      </w:r>
    </w:p>
    <w:p w14:paraId="1B03E2AC" w14:textId="26D5B2FE" w:rsidR="003A2BF5" w:rsidRPr="003A2BF5" w:rsidRDefault="003A2BF5" w:rsidP="004D7186">
      <w:pPr>
        <w:rPr>
          <w:lang w:val="en-NZ"/>
        </w:rPr>
      </w:pPr>
      <w:r>
        <w:t xml:space="preserve">Thorley J, Fisher R, Fox,D and Schwarz C </w:t>
      </w:r>
      <w:r w:rsidR="004F23A5">
        <w:t>(</w:t>
      </w:r>
      <w:r>
        <w:t>2025</w:t>
      </w:r>
      <w:r w:rsidR="004F23A5">
        <w:t>)</w:t>
      </w:r>
      <w:r>
        <w:t xml:space="preserve"> </w:t>
      </w:r>
      <w:r w:rsidR="00F669FB">
        <w:t>‘</w:t>
      </w:r>
      <w:hyperlink r:id="rId123" w:history="1">
        <w:r w:rsidRPr="00293937">
          <w:rPr>
            <w:rStyle w:val="Hyperlink"/>
          </w:rPr>
          <w:t>Ssdtools v2: An R package to fit Species Sensitivity Distribution</w:t>
        </w:r>
      </w:hyperlink>
      <w:r w:rsidR="00F669FB">
        <w:t>’,</w:t>
      </w:r>
      <w:r w:rsidRPr="00AA149F">
        <w:rPr>
          <w:i/>
          <w:iCs/>
        </w:rPr>
        <w:t xml:space="preserve"> J</w:t>
      </w:r>
      <w:r w:rsidR="00293937">
        <w:rPr>
          <w:i/>
          <w:iCs/>
        </w:rPr>
        <w:t>ournal of</w:t>
      </w:r>
      <w:r w:rsidRPr="00AA149F">
        <w:rPr>
          <w:i/>
          <w:iCs/>
        </w:rPr>
        <w:t xml:space="preserve"> Open Source Softw</w:t>
      </w:r>
      <w:r w:rsidR="00293937">
        <w:rPr>
          <w:i/>
          <w:iCs/>
        </w:rPr>
        <w:t>are</w:t>
      </w:r>
      <w:r>
        <w:t>, 10(105)</w:t>
      </w:r>
      <w:r w:rsidR="00F669FB">
        <w:t>:</w:t>
      </w:r>
      <w:r>
        <w:t>7492</w:t>
      </w:r>
      <w:r w:rsidR="00293937">
        <w:t>,</w:t>
      </w:r>
      <w:r>
        <w:t> </w:t>
      </w:r>
      <w:r w:rsidRPr="00494195">
        <w:t>doi</w:t>
      </w:r>
      <w:r w:rsidR="00293937">
        <w:t>:</w:t>
      </w:r>
      <w:r w:rsidRPr="00494195">
        <w:t>10.21105/joss.07492</w:t>
      </w:r>
      <w:r w:rsidRPr="14BE8DC7">
        <w:rPr>
          <w:lang w:val="en-NZ"/>
        </w:rPr>
        <w:t>.</w:t>
      </w:r>
    </w:p>
    <w:p w14:paraId="2852721E" w14:textId="03604C8D" w:rsidR="008459E0" w:rsidRPr="008459E0" w:rsidRDefault="008459E0" w:rsidP="004D7186">
      <w:r>
        <w:t xml:space="preserve">Trenfield MA, Pease CJ, Walker SL, Mooney T, Tybell L, Humphrey C, van Dam RA and Harford AJ </w:t>
      </w:r>
      <w:r w:rsidR="000A49D3">
        <w:t>(</w:t>
      </w:r>
      <w:r>
        <w:t>2020</w:t>
      </w:r>
      <w:r w:rsidR="000A49D3">
        <w:t>)</w:t>
      </w:r>
      <w:r>
        <w:t xml:space="preserve"> </w:t>
      </w:r>
      <w:r w:rsidR="004F23A5">
        <w:t>‘</w:t>
      </w:r>
      <w:hyperlink r:id="rId124" w:history="1">
        <w:r w:rsidRPr="000A0C75">
          <w:rPr>
            <w:rStyle w:val="Hyperlink"/>
          </w:rPr>
          <w:t>Standardised chronic toxicity test protocols and culturing methods for a suite of tropical freshwater species</w:t>
        </w:r>
      </w:hyperlink>
      <w:r w:rsidR="004F23A5">
        <w:t>’,</w:t>
      </w:r>
      <w:r>
        <w:t xml:space="preserve"> </w:t>
      </w:r>
      <w:r w:rsidRPr="2F2010B8">
        <w:rPr>
          <w:i/>
          <w:iCs/>
        </w:rPr>
        <w:t>Australas</w:t>
      </w:r>
      <w:r w:rsidR="00BD4EDB">
        <w:rPr>
          <w:i/>
          <w:iCs/>
        </w:rPr>
        <w:t>ian</w:t>
      </w:r>
      <w:r w:rsidR="33E2FBF6" w:rsidRPr="2F2010B8">
        <w:rPr>
          <w:i/>
          <w:iCs/>
        </w:rPr>
        <w:t xml:space="preserve"> Bull</w:t>
      </w:r>
      <w:r w:rsidR="00BD4EDB">
        <w:rPr>
          <w:i/>
          <w:iCs/>
        </w:rPr>
        <w:t>etin of</w:t>
      </w:r>
      <w:r w:rsidR="33E2FBF6" w:rsidRPr="2F2010B8">
        <w:rPr>
          <w:i/>
          <w:iCs/>
        </w:rPr>
        <w:t xml:space="preserve"> Ecotox</w:t>
      </w:r>
      <w:r w:rsidR="00BD4EDB">
        <w:rPr>
          <w:i/>
          <w:iCs/>
        </w:rPr>
        <w:t>icology and</w:t>
      </w:r>
      <w:r w:rsidR="33E2FBF6" w:rsidRPr="2F2010B8">
        <w:rPr>
          <w:i/>
          <w:iCs/>
        </w:rPr>
        <w:t xml:space="preserve"> Environ</w:t>
      </w:r>
      <w:r w:rsidR="00BD4EDB">
        <w:rPr>
          <w:i/>
          <w:iCs/>
        </w:rPr>
        <w:t>mental</w:t>
      </w:r>
      <w:r w:rsidR="33E2FBF6" w:rsidRPr="2F2010B8">
        <w:rPr>
          <w:i/>
          <w:iCs/>
        </w:rPr>
        <w:t xml:space="preserve"> Chem</w:t>
      </w:r>
      <w:r w:rsidR="00BD4EDB">
        <w:rPr>
          <w:i/>
          <w:iCs/>
        </w:rPr>
        <w:t>istry</w:t>
      </w:r>
      <w:r w:rsidR="33E2FBF6" w:rsidRPr="2F2010B8">
        <w:rPr>
          <w:i/>
          <w:iCs/>
        </w:rPr>
        <w:t>,</w:t>
      </w:r>
      <w:r>
        <w:t xml:space="preserve"> 6</w:t>
      </w:r>
      <w:r w:rsidR="004F23A5">
        <w:t>:</w:t>
      </w:r>
      <w:r>
        <w:t>1</w:t>
      </w:r>
      <w:r w:rsidR="004F23A5">
        <w:t>–</w:t>
      </w:r>
      <w:r>
        <w:t>80.</w:t>
      </w:r>
    </w:p>
    <w:p w14:paraId="04D420AE" w14:textId="60E71091" w:rsidR="00DB0AF2" w:rsidRPr="00DB0AF2" w:rsidRDefault="00DB0AF2" w:rsidP="004D7186">
      <w:pPr>
        <w:rPr>
          <w:lang w:val="en-NZ"/>
        </w:rPr>
      </w:pPr>
      <w:r w:rsidRPr="00DB0AF2">
        <w:rPr>
          <w:lang w:val="en-GB"/>
        </w:rPr>
        <w:t>US</w:t>
      </w:r>
      <w:r w:rsidR="008F16CC">
        <w:rPr>
          <w:lang w:val="en-GB"/>
        </w:rPr>
        <w:t xml:space="preserve"> </w:t>
      </w:r>
      <w:r w:rsidRPr="00DB0AF2">
        <w:rPr>
          <w:lang w:val="en-GB"/>
        </w:rPr>
        <w:t>EPA</w:t>
      </w:r>
      <w:r w:rsidR="008F16CC">
        <w:rPr>
          <w:lang w:val="en-GB"/>
        </w:rPr>
        <w:t xml:space="preserve"> (United States Environmental Protection Agency)</w:t>
      </w:r>
      <w:r w:rsidRPr="00DB0AF2">
        <w:rPr>
          <w:lang w:val="en-GB"/>
        </w:rPr>
        <w:t xml:space="preserve"> </w:t>
      </w:r>
      <w:r w:rsidR="008F16CC">
        <w:rPr>
          <w:lang w:val="en-GB"/>
        </w:rPr>
        <w:t>(</w:t>
      </w:r>
      <w:r w:rsidRPr="00DB0AF2">
        <w:rPr>
          <w:lang w:val="en-GB"/>
        </w:rPr>
        <w:t>1986</w:t>
      </w:r>
      <w:r w:rsidR="008F16CC">
        <w:rPr>
          <w:lang w:val="en-GB"/>
        </w:rPr>
        <w:t>)</w:t>
      </w:r>
      <w:r w:rsidRPr="00DB0AF2">
        <w:rPr>
          <w:lang w:val="en-GB"/>
        </w:rPr>
        <w:t xml:space="preserve"> </w:t>
      </w:r>
      <w:hyperlink r:id="rId125" w:history="1">
        <w:r w:rsidRPr="00900DF7">
          <w:rPr>
            <w:rStyle w:val="Hyperlink"/>
            <w:i/>
            <w:iCs/>
            <w:lang w:val="en-GB"/>
          </w:rPr>
          <w:t>Quality criteria for water</w:t>
        </w:r>
      </w:hyperlink>
      <w:r w:rsidR="008F16CC">
        <w:rPr>
          <w:lang w:val="en-GB"/>
        </w:rPr>
        <w:t>,</w:t>
      </w:r>
      <w:r w:rsidRPr="00DB0AF2">
        <w:rPr>
          <w:lang w:val="en-GB"/>
        </w:rPr>
        <w:t xml:space="preserve"> US Department of Commerce, National Technical Information Service, </w:t>
      </w:r>
      <w:r w:rsidR="008F16CC">
        <w:rPr>
          <w:lang w:val="en-GB"/>
        </w:rPr>
        <w:t>US EPA</w:t>
      </w:r>
      <w:r w:rsidRPr="00DB0AF2">
        <w:rPr>
          <w:lang w:val="en-GB"/>
        </w:rPr>
        <w:t>, PB87-226759, EPA 440/5 86-001</w:t>
      </w:r>
      <w:r>
        <w:rPr>
          <w:lang w:val="en-GB"/>
        </w:rPr>
        <w:t xml:space="preserve">, </w:t>
      </w:r>
      <w:r w:rsidRPr="00DB0AF2">
        <w:rPr>
          <w:lang w:val="en-GB"/>
        </w:rPr>
        <w:t>Springfield</w:t>
      </w:r>
      <w:r w:rsidR="008F16CC">
        <w:rPr>
          <w:lang w:val="en-GB"/>
        </w:rPr>
        <w:t>.</w:t>
      </w:r>
    </w:p>
    <w:p w14:paraId="0CDA492D" w14:textId="22593B89" w:rsidR="00D636A6" w:rsidRPr="001062C0" w:rsidRDefault="00BF22FA" w:rsidP="004D7186">
      <w:pPr>
        <w:rPr>
          <w:lang w:val="en-NZ"/>
        </w:rPr>
      </w:pPr>
      <w:r w:rsidRPr="36A60666">
        <w:rPr>
          <w:lang w:val="en-NZ"/>
        </w:rPr>
        <w:t>US</w:t>
      </w:r>
      <w:r w:rsidR="00C2532C">
        <w:rPr>
          <w:lang w:val="en-NZ"/>
        </w:rPr>
        <w:t xml:space="preserve"> </w:t>
      </w:r>
      <w:r w:rsidRPr="36A60666">
        <w:rPr>
          <w:lang w:val="en-NZ"/>
        </w:rPr>
        <w:t xml:space="preserve">EPA </w:t>
      </w:r>
      <w:r w:rsidR="00C2532C">
        <w:rPr>
          <w:lang w:val="en-NZ"/>
        </w:rPr>
        <w:t>(</w:t>
      </w:r>
      <w:r w:rsidR="00D636A6" w:rsidRPr="36A60666">
        <w:rPr>
          <w:lang w:val="en-NZ"/>
        </w:rPr>
        <w:t>1994</w:t>
      </w:r>
      <w:r w:rsidR="00C2532C">
        <w:rPr>
          <w:lang w:val="en-NZ"/>
        </w:rPr>
        <w:t>)</w:t>
      </w:r>
      <w:r w:rsidR="00D636A6" w:rsidRPr="36A60666">
        <w:rPr>
          <w:lang w:val="en-NZ"/>
        </w:rPr>
        <w:t xml:space="preserve"> </w:t>
      </w:r>
      <w:r w:rsidR="00D636A6" w:rsidRPr="00C2532C">
        <w:rPr>
          <w:i/>
          <w:iCs/>
          <w:lang w:val="en-NZ"/>
        </w:rPr>
        <w:t>AQUIRE (Aquatic toxicity information retrieval)</w:t>
      </w:r>
      <w:r w:rsidR="00975360" w:rsidRPr="36A60666">
        <w:rPr>
          <w:lang w:val="en-NZ"/>
        </w:rPr>
        <w:t>,</w:t>
      </w:r>
      <w:r w:rsidR="00D636A6" w:rsidRPr="36A60666">
        <w:rPr>
          <w:lang w:val="en-NZ"/>
        </w:rPr>
        <w:t xml:space="preserve"> </w:t>
      </w:r>
      <w:r w:rsidR="00C2532C">
        <w:rPr>
          <w:lang w:val="en-NZ"/>
        </w:rPr>
        <w:t>US EPA</w:t>
      </w:r>
      <w:r w:rsidR="7D702452" w:rsidRPr="36A60666">
        <w:rPr>
          <w:lang w:val="en-NZ"/>
        </w:rPr>
        <w:t>,</w:t>
      </w:r>
      <w:r w:rsidR="00D636A6" w:rsidRPr="36A60666">
        <w:rPr>
          <w:lang w:val="en-NZ"/>
        </w:rPr>
        <w:t xml:space="preserve"> Office of Research and Development, Duluth.</w:t>
      </w:r>
    </w:p>
    <w:p w14:paraId="2D35F03B" w14:textId="4B9F7399" w:rsidR="00D636A6" w:rsidRPr="0028016A" w:rsidRDefault="00D636A6" w:rsidP="004D7186">
      <w:r w:rsidRPr="0028016A">
        <w:t>US</w:t>
      </w:r>
      <w:r w:rsidR="00C2532C">
        <w:t xml:space="preserve"> </w:t>
      </w:r>
      <w:r w:rsidRPr="0028016A">
        <w:t>EPA</w:t>
      </w:r>
      <w:r w:rsidR="00BF22FA">
        <w:t xml:space="preserve"> </w:t>
      </w:r>
      <w:r w:rsidR="00C2532C">
        <w:t>(</w:t>
      </w:r>
      <w:r w:rsidRPr="00506DCA">
        <w:t>199</w:t>
      </w:r>
      <w:r>
        <w:t>6</w:t>
      </w:r>
      <w:r w:rsidR="00C2532C">
        <w:t>)</w:t>
      </w:r>
      <w:r w:rsidRPr="00506DCA">
        <w:t xml:space="preserve"> </w:t>
      </w:r>
      <w:hyperlink r:id="rId126" w:history="1">
        <w:r w:rsidRPr="00B01B96">
          <w:rPr>
            <w:rStyle w:val="Hyperlink"/>
            <w:i/>
            <w:iCs/>
          </w:rPr>
          <w:t xml:space="preserve">Updates: </w:t>
        </w:r>
        <w:r w:rsidR="001D07C6" w:rsidRPr="00B01B96">
          <w:rPr>
            <w:rStyle w:val="Hyperlink"/>
            <w:i/>
            <w:iCs/>
          </w:rPr>
          <w:t>w</w:t>
        </w:r>
        <w:r w:rsidRPr="00B01B96">
          <w:rPr>
            <w:rStyle w:val="Hyperlink"/>
            <w:i/>
            <w:iCs/>
          </w:rPr>
          <w:t>ater quality criteria documents for the protection of aquatic life in ambient water</w:t>
        </w:r>
      </w:hyperlink>
      <w:r w:rsidR="00975360">
        <w:t>,</w:t>
      </w:r>
      <w:r w:rsidRPr="00506DCA">
        <w:t xml:space="preserve"> </w:t>
      </w:r>
      <w:r w:rsidR="00C2532C">
        <w:t>US EPA</w:t>
      </w:r>
      <w:r w:rsidRPr="0028016A">
        <w:t>, Office of Water</w:t>
      </w:r>
      <w:r>
        <w:t xml:space="preserve"> Report No. </w:t>
      </w:r>
      <w:r w:rsidRPr="0028016A">
        <w:t>EPA 820-B96-001</w:t>
      </w:r>
      <w:r>
        <w:t>,</w:t>
      </w:r>
      <w:r w:rsidRPr="0028016A">
        <w:t xml:space="preserve"> Washington DC.</w:t>
      </w:r>
    </w:p>
    <w:p w14:paraId="094DD9B5" w14:textId="45ED6F1A" w:rsidR="00D636A6" w:rsidRDefault="00D636A6" w:rsidP="004D7186">
      <w:r>
        <w:t>US</w:t>
      </w:r>
      <w:r w:rsidR="001D07C6">
        <w:t xml:space="preserve"> </w:t>
      </w:r>
      <w:r>
        <w:t>EPA</w:t>
      </w:r>
      <w:r w:rsidRPr="00C73F99">
        <w:t xml:space="preserve"> </w:t>
      </w:r>
      <w:r w:rsidR="001D07C6">
        <w:t>(</w:t>
      </w:r>
      <w:r w:rsidRPr="00C73F99">
        <w:t>2016</w:t>
      </w:r>
      <w:r w:rsidR="001D07C6">
        <w:t>)</w:t>
      </w:r>
      <w:r w:rsidRPr="00C73F99">
        <w:t xml:space="preserve"> </w:t>
      </w:r>
      <w:hyperlink r:id="rId127" w:history="1">
        <w:r w:rsidRPr="00C3661B">
          <w:rPr>
            <w:rStyle w:val="Hyperlink"/>
            <w:rFonts w:cs="AdvTT3713a231"/>
            <w:bCs/>
            <w:i/>
            <w:iCs/>
            <w:szCs w:val="17"/>
          </w:rPr>
          <w:t>Weight of evidence in ecological assessment</w:t>
        </w:r>
      </w:hyperlink>
      <w:r w:rsidR="00975360">
        <w:t>,</w:t>
      </w:r>
      <w:r w:rsidRPr="00C73F99">
        <w:t xml:space="preserve"> Risk Assessment Forum, </w:t>
      </w:r>
      <w:r w:rsidR="000A49D3">
        <w:t>US EPA</w:t>
      </w:r>
      <w:r w:rsidRPr="00C73F99">
        <w:t>, Office of Research and Development Report No. EPA/100/R16/001, Washington DC.</w:t>
      </w:r>
    </w:p>
    <w:p w14:paraId="59B2F363" w14:textId="3E14FE3A" w:rsidR="007E645F" w:rsidRDefault="007E645F" w:rsidP="004D7186">
      <w:r>
        <w:t>US</w:t>
      </w:r>
      <w:r w:rsidR="008657C3">
        <w:t xml:space="preserve"> </w:t>
      </w:r>
      <w:r>
        <w:t xml:space="preserve">EPA </w:t>
      </w:r>
      <w:r w:rsidR="008657C3">
        <w:t>(</w:t>
      </w:r>
      <w:r>
        <w:t>2018</w:t>
      </w:r>
      <w:r w:rsidR="008657C3">
        <w:t>)</w:t>
      </w:r>
      <w:r>
        <w:t xml:space="preserve"> </w:t>
      </w:r>
      <w:hyperlink r:id="rId128" w:history="1">
        <w:r w:rsidRPr="00776F11">
          <w:rPr>
            <w:rStyle w:val="Hyperlink"/>
            <w:rFonts w:cs="Calibri"/>
            <w:i/>
            <w:iCs/>
          </w:rPr>
          <w:t>Final aquatic life ambient water quality criteria for aluminum</w:t>
        </w:r>
      </w:hyperlink>
      <w:r w:rsidR="008657C3">
        <w:t>,</w:t>
      </w:r>
      <w:r>
        <w:t xml:space="preserve"> </w:t>
      </w:r>
      <w:r w:rsidR="00BC154F">
        <w:t>US EPA</w:t>
      </w:r>
      <w:r w:rsidRPr="007E645F">
        <w:t>, Office of Water Report No. EPA 82</w:t>
      </w:r>
      <w:r>
        <w:t>2</w:t>
      </w:r>
      <w:r w:rsidRPr="007E645F">
        <w:t>-</w:t>
      </w:r>
      <w:r>
        <w:t xml:space="preserve">R-18-001, </w:t>
      </w:r>
      <w:r w:rsidRPr="00C73F99">
        <w:rPr>
          <w:rFonts w:cs="AdvTT3713a231"/>
          <w:color w:val="131413"/>
          <w:szCs w:val="17"/>
        </w:rPr>
        <w:t>Washington DC.</w:t>
      </w:r>
    </w:p>
    <w:p w14:paraId="0AA5B92B" w14:textId="00B190EB" w:rsidR="00D636A6" w:rsidRPr="003730C4" w:rsidRDefault="00ED291E" w:rsidP="004D7186">
      <w:r>
        <w:t>V</w:t>
      </w:r>
      <w:r w:rsidR="00D636A6" w:rsidRPr="57352DF8">
        <w:t xml:space="preserve">an Dam R, Harford A </w:t>
      </w:r>
      <w:r w:rsidR="00506746" w:rsidRPr="57352DF8">
        <w:t>and</w:t>
      </w:r>
      <w:r w:rsidR="00D636A6" w:rsidRPr="57352DF8">
        <w:t xml:space="preserve"> Warne MSt</w:t>
      </w:r>
      <w:r w:rsidR="00DE335E" w:rsidRPr="57352DF8">
        <w:t>J</w:t>
      </w:r>
      <w:r w:rsidR="00D636A6" w:rsidRPr="57352DF8">
        <w:t xml:space="preserve"> </w:t>
      </w:r>
      <w:r w:rsidR="000A0872">
        <w:t>(</w:t>
      </w:r>
      <w:r w:rsidR="00D636A6" w:rsidRPr="57352DF8">
        <w:t>2012a</w:t>
      </w:r>
      <w:r w:rsidR="000A0872">
        <w:t>)</w:t>
      </w:r>
      <w:r w:rsidR="00D636A6" w:rsidRPr="57352DF8">
        <w:t xml:space="preserve"> </w:t>
      </w:r>
      <w:r w:rsidR="000A0872">
        <w:t>‘</w:t>
      </w:r>
      <w:hyperlink r:id="rId129" w:history="1">
        <w:r w:rsidR="00D636A6" w:rsidRPr="004E7530">
          <w:rPr>
            <w:rStyle w:val="Hyperlink"/>
            <w:rFonts w:cs="Calibri"/>
          </w:rPr>
          <w:t xml:space="preserve">Time to get off the fence: </w:t>
        </w:r>
        <w:r w:rsidR="000A0872" w:rsidRPr="004E7530">
          <w:rPr>
            <w:rStyle w:val="Hyperlink"/>
            <w:rFonts w:cs="Calibri"/>
          </w:rPr>
          <w:t>t</w:t>
        </w:r>
        <w:r w:rsidR="00D636A6" w:rsidRPr="004E7530">
          <w:rPr>
            <w:rStyle w:val="Hyperlink"/>
            <w:rFonts w:cs="Calibri"/>
          </w:rPr>
          <w:t>he need for definitive international guidance for statistical analysis of ecotoxicity data</w:t>
        </w:r>
      </w:hyperlink>
      <w:r w:rsidR="008657C3">
        <w:t>’,</w:t>
      </w:r>
      <w:r w:rsidR="00D636A6" w:rsidRPr="57352DF8">
        <w:t xml:space="preserve"> </w:t>
      </w:r>
      <w:r w:rsidR="00D636A6" w:rsidRPr="57352DF8">
        <w:rPr>
          <w:i/>
          <w:iCs/>
        </w:rPr>
        <w:t>Integr</w:t>
      </w:r>
      <w:r w:rsidR="00BD4EDB">
        <w:rPr>
          <w:i/>
          <w:iCs/>
        </w:rPr>
        <w:t>ated</w:t>
      </w:r>
      <w:r w:rsidR="00D636A6" w:rsidRPr="57352DF8">
        <w:rPr>
          <w:i/>
          <w:iCs/>
        </w:rPr>
        <w:t xml:space="preserve"> Environ</w:t>
      </w:r>
      <w:r w:rsidR="00BD4EDB">
        <w:rPr>
          <w:i/>
          <w:iCs/>
        </w:rPr>
        <w:t>mental</w:t>
      </w:r>
      <w:r w:rsidR="00D636A6" w:rsidRPr="57352DF8">
        <w:rPr>
          <w:i/>
          <w:iCs/>
        </w:rPr>
        <w:t xml:space="preserve"> Assess</w:t>
      </w:r>
      <w:r w:rsidR="00BD4EDB">
        <w:rPr>
          <w:i/>
          <w:iCs/>
        </w:rPr>
        <w:t>ment and</w:t>
      </w:r>
      <w:r w:rsidR="00D636A6" w:rsidRPr="57352DF8">
        <w:rPr>
          <w:i/>
          <w:iCs/>
        </w:rPr>
        <w:t xml:space="preserve"> Manag</w:t>
      </w:r>
      <w:r w:rsidR="00BD4EDB" w:rsidRPr="00BD4EDB">
        <w:rPr>
          <w:i/>
          <w:iCs/>
        </w:rPr>
        <w:t>ement</w:t>
      </w:r>
      <w:r w:rsidR="00D636A6" w:rsidRPr="57352DF8">
        <w:rPr>
          <w:i/>
          <w:iCs/>
        </w:rPr>
        <w:t xml:space="preserve">, </w:t>
      </w:r>
      <w:r w:rsidR="00D636A6" w:rsidRPr="57352DF8">
        <w:t>8</w:t>
      </w:r>
      <w:r w:rsidR="008657C3">
        <w:t>:</w:t>
      </w:r>
      <w:r w:rsidR="00D636A6" w:rsidRPr="57352DF8">
        <w:t>242–245</w:t>
      </w:r>
      <w:r w:rsidR="004E7530">
        <w:t>, doi:</w:t>
      </w:r>
      <w:r w:rsidR="004E7530" w:rsidRPr="004E7530">
        <w:t>10.1002/ieam.1296</w:t>
      </w:r>
      <w:r w:rsidR="00D636A6" w:rsidRPr="57352DF8">
        <w:t>.</w:t>
      </w:r>
    </w:p>
    <w:p w14:paraId="12BD53E2" w14:textId="4E47A7A5" w:rsidR="00D636A6" w:rsidRDefault="00ED291E" w:rsidP="004D7186">
      <w:r>
        <w:lastRenderedPageBreak/>
        <w:t>V</w:t>
      </w:r>
      <w:r w:rsidR="00392DA1" w:rsidRPr="57352DF8">
        <w:t>an Dam R, Harford A and Warne MStJ</w:t>
      </w:r>
      <w:r w:rsidR="00AB3628" w:rsidRPr="57352DF8">
        <w:t xml:space="preserve"> </w:t>
      </w:r>
      <w:r w:rsidR="000A0872">
        <w:t>(</w:t>
      </w:r>
      <w:r w:rsidR="00D636A6" w:rsidRPr="57352DF8">
        <w:t>2012b</w:t>
      </w:r>
      <w:r w:rsidR="000A0872">
        <w:t>)</w:t>
      </w:r>
      <w:r w:rsidR="00D636A6" w:rsidRPr="57352DF8">
        <w:t xml:space="preserve"> </w:t>
      </w:r>
      <w:r w:rsidR="000A0872">
        <w:t>‘</w:t>
      </w:r>
      <w:hyperlink r:id="rId130" w:history="1">
        <w:r w:rsidR="00D636A6" w:rsidRPr="00822697">
          <w:rPr>
            <w:rStyle w:val="Hyperlink"/>
            <w:rFonts w:cs="Calibri"/>
          </w:rPr>
          <w:t xml:space="preserve">Canada showing the lead, however, we still have a NOEC problem: </w:t>
        </w:r>
        <w:r w:rsidR="000A0872" w:rsidRPr="00822697">
          <w:rPr>
            <w:rStyle w:val="Hyperlink"/>
            <w:rFonts w:cs="Calibri"/>
          </w:rPr>
          <w:t>r</w:t>
        </w:r>
        <w:r w:rsidR="00D636A6" w:rsidRPr="00822697">
          <w:rPr>
            <w:rStyle w:val="Hyperlink"/>
            <w:rFonts w:cs="Calibri"/>
          </w:rPr>
          <w:t>esponse to Van der Vliet et al</w:t>
        </w:r>
      </w:hyperlink>
      <w:r w:rsidR="000A0872" w:rsidRPr="000A0872">
        <w:t>’,</w:t>
      </w:r>
      <w:r w:rsidR="00D636A6" w:rsidRPr="57352DF8">
        <w:t xml:space="preserve"> </w:t>
      </w:r>
      <w:r w:rsidR="00BD4EDB" w:rsidRPr="57352DF8">
        <w:rPr>
          <w:i/>
          <w:iCs/>
        </w:rPr>
        <w:t>Integr</w:t>
      </w:r>
      <w:r w:rsidR="00BD4EDB">
        <w:rPr>
          <w:i/>
          <w:iCs/>
        </w:rPr>
        <w:t>ated</w:t>
      </w:r>
      <w:r w:rsidR="00BD4EDB" w:rsidRPr="57352DF8">
        <w:rPr>
          <w:i/>
          <w:iCs/>
        </w:rPr>
        <w:t xml:space="preserve"> Environ</w:t>
      </w:r>
      <w:r w:rsidR="00BD4EDB">
        <w:rPr>
          <w:i/>
          <w:iCs/>
        </w:rPr>
        <w:t>mental</w:t>
      </w:r>
      <w:r w:rsidR="00BD4EDB" w:rsidRPr="57352DF8">
        <w:rPr>
          <w:i/>
          <w:iCs/>
        </w:rPr>
        <w:t xml:space="preserve"> Assess</w:t>
      </w:r>
      <w:r w:rsidR="00BD4EDB">
        <w:rPr>
          <w:i/>
          <w:iCs/>
        </w:rPr>
        <w:t>ment and</w:t>
      </w:r>
      <w:r w:rsidR="00BD4EDB" w:rsidRPr="57352DF8">
        <w:rPr>
          <w:i/>
          <w:iCs/>
        </w:rPr>
        <w:t xml:space="preserve"> Manag</w:t>
      </w:r>
      <w:r w:rsidR="00BD4EDB" w:rsidRPr="00BD4EDB">
        <w:rPr>
          <w:i/>
          <w:iCs/>
        </w:rPr>
        <w:t>ement</w:t>
      </w:r>
      <w:r w:rsidR="00D636A6" w:rsidRPr="57352DF8">
        <w:t>, 8</w:t>
      </w:r>
      <w:r w:rsidR="000A0872">
        <w:t>:</w:t>
      </w:r>
      <w:r w:rsidR="00D636A6" w:rsidRPr="57352DF8">
        <w:t>399–400</w:t>
      </w:r>
      <w:r w:rsidR="00822697">
        <w:t>, doi:</w:t>
      </w:r>
      <w:r w:rsidR="00822697" w:rsidRPr="00822697">
        <w:t>10.1002/ieam.1307</w:t>
      </w:r>
      <w:r w:rsidR="00D636A6" w:rsidRPr="57352DF8">
        <w:t>.</w:t>
      </w:r>
    </w:p>
    <w:p w14:paraId="0447AD7E" w14:textId="685FAD73" w:rsidR="00D636A6" w:rsidRPr="006F4579" w:rsidRDefault="00ED291E" w:rsidP="004D7186">
      <w:r>
        <w:t>V</w:t>
      </w:r>
      <w:r w:rsidR="00DE335E" w:rsidRPr="57352DF8">
        <w:t>an Dam RA, Humphrey CL, Harford AJ, Sinclair A, Jones DR, Davies S</w:t>
      </w:r>
      <w:r w:rsidR="00D636A6" w:rsidRPr="57352DF8">
        <w:t xml:space="preserve"> </w:t>
      </w:r>
      <w:r w:rsidR="00506746" w:rsidRPr="57352DF8">
        <w:t>and</w:t>
      </w:r>
      <w:r w:rsidR="00D636A6" w:rsidRPr="57352DF8">
        <w:t xml:space="preserve"> S</w:t>
      </w:r>
      <w:r w:rsidR="00DE335E" w:rsidRPr="57352DF8">
        <w:t>torey AW</w:t>
      </w:r>
      <w:r w:rsidR="00D636A6" w:rsidRPr="57352DF8">
        <w:t xml:space="preserve"> </w:t>
      </w:r>
      <w:r w:rsidR="000A0872">
        <w:t>(</w:t>
      </w:r>
      <w:r w:rsidR="00D636A6" w:rsidRPr="57352DF8">
        <w:t>2014</w:t>
      </w:r>
      <w:r w:rsidR="000A0872">
        <w:t>)</w:t>
      </w:r>
      <w:r w:rsidR="00D636A6" w:rsidRPr="57352DF8">
        <w:t xml:space="preserve"> </w:t>
      </w:r>
      <w:r w:rsidR="000A0872">
        <w:t>‘</w:t>
      </w:r>
      <w:hyperlink r:id="rId131" w:history="1">
        <w:r w:rsidR="00D636A6" w:rsidRPr="00EA6EAF">
          <w:rPr>
            <w:rStyle w:val="Hyperlink"/>
            <w:rFonts w:cs="Calibri"/>
          </w:rPr>
          <w:t>Site-specific water quality guidelines: 1. Derivation approaches based on physicochemical, ecotoxicological and ecological data</w:t>
        </w:r>
      </w:hyperlink>
      <w:r w:rsidR="000A0872">
        <w:t>’,</w:t>
      </w:r>
      <w:r w:rsidR="00D636A6" w:rsidRPr="57352DF8">
        <w:t xml:space="preserve"> </w:t>
      </w:r>
      <w:r w:rsidR="00D636A6" w:rsidRPr="57352DF8">
        <w:rPr>
          <w:i/>
          <w:iCs/>
        </w:rPr>
        <w:t>Environ</w:t>
      </w:r>
      <w:r w:rsidR="0045728D">
        <w:rPr>
          <w:i/>
          <w:iCs/>
        </w:rPr>
        <w:t>mental</w:t>
      </w:r>
      <w:r w:rsidR="00D636A6" w:rsidRPr="57352DF8">
        <w:rPr>
          <w:i/>
          <w:iCs/>
        </w:rPr>
        <w:t xml:space="preserve"> Sci</w:t>
      </w:r>
      <w:r w:rsidR="0045728D">
        <w:rPr>
          <w:i/>
          <w:iCs/>
        </w:rPr>
        <w:t>ence and</w:t>
      </w:r>
      <w:r w:rsidR="00D636A6" w:rsidRPr="57352DF8">
        <w:rPr>
          <w:i/>
          <w:iCs/>
        </w:rPr>
        <w:t xml:space="preserve"> Pollut</w:t>
      </w:r>
      <w:r w:rsidR="0045728D">
        <w:rPr>
          <w:i/>
          <w:iCs/>
        </w:rPr>
        <w:t>ion</w:t>
      </w:r>
      <w:r w:rsidR="00D636A6" w:rsidRPr="57352DF8">
        <w:rPr>
          <w:i/>
          <w:iCs/>
        </w:rPr>
        <w:t xml:space="preserve"> Res</w:t>
      </w:r>
      <w:r w:rsidR="0045728D">
        <w:rPr>
          <w:i/>
          <w:iCs/>
        </w:rPr>
        <w:t>earch</w:t>
      </w:r>
      <w:r w:rsidR="00D636A6" w:rsidRPr="57352DF8">
        <w:t>, 21</w:t>
      </w:r>
      <w:r w:rsidR="000A0872">
        <w:t>:</w:t>
      </w:r>
      <w:r w:rsidR="00D636A6" w:rsidRPr="57352DF8">
        <w:t>118–130</w:t>
      </w:r>
      <w:r w:rsidR="00EA6EAF">
        <w:t>, doi:</w:t>
      </w:r>
      <w:r w:rsidR="00EA6EAF" w:rsidRPr="00EA6EAF">
        <w:t>10.1007/s11356-013-1780-0</w:t>
      </w:r>
      <w:r w:rsidR="00D636A6" w:rsidRPr="57352DF8">
        <w:t>.</w:t>
      </w:r>
    </w:p>
    <w:p w14:paraId="11AA6DA6" w14:textId="3F1CEA8C" w:rsidR="006A6B05" w:rsidRPr="006A6B05" w:rsidRDefault="00ED291E" w:rsidP="004D7186">
      <w:r>
        <w:t>V</w:t>
      </w:r>
      <w:r w:rsidR="006A6B05" w:rsidRPr="57352DF8">
        <w:t xml:space="preserve">an Dam RA, Hogan AC, Humphrey CL </w:t>
      </w:r>
      <w:r w:rsidR="000445FA" w:rsidRPr="57352DF8">
        <w:t>and</w:t>
      </w:r>
      <w:r w:rsidR="006A6B05" w:rsidRPr="57352DF8">
        <w:t xml:space="preserve"> Harford AJ </w:t>
      </w:r>
      <w:r w:rsidR="000A0872">
        <w:t>(</w:t>
      </w:r>
      <w:r w:rsidR="006A6B05" w:rsidRPr="57352DF8">
        <w:t>2019</w:t>
      </w:r>
      <w:r w:rsidR="000A0872">
        <w:t>)</w:t>
      </w:r>
      <w:r w:rsidR="006A6B05" w:rsidRPr="57352DF8">
        <w:t xml:space="preserve"> </w:t>
      </w:r>
      <w:r w:rsidR="000A0872">
        <w:t>‘</w:t>
      </w:r>
      <w:hyperlink r:id="rId132" w:history="1">
        <w:r w:rsidR="006A6B05" w:rsidRPr="00A43CCC">
          <w:rPr>
            <w:rStyle w:val="Hyperlink"/>
          </w:rPr>
          <w:t>How specific is site-specific? A review and guidance for selecting and evaluating approaches for deriving local water quality benchmarks</w:t>
        </w:r>
      </w:hyperlink>
      <w:r w:rsidR="000A0872">
        <w:t>’,</w:t>
      </w:r>
      <w:r w:rsidR="006A6B05" w:rsidRPr="57352DF8">
        <w:t xml:space="preserve"> </w:t>
      </w:r>
      <w:r w:rsidR="00BD4EDB" w:rsidRPr="57352DF8">
        <w:rPr>
          <w:rFonts w:cs="Calibri"/>
          <w:i/>
          <w:iCs/>
        </w:rPr>
        <w:t>Integr</w:t>
      </w:r>
      <w:r w:rsidR="00BD4EDB">
        <w:rPr>
          <w:rFonts w:cs="Calibri"/>
          <w:i/>
          <w:iCs/>
        </w:rPr>
        <w:t>ated</w:t>
      </w:r>
      <w:r w:rsidR="00BD4EDB" w:rsidRPr="57352DF8">
        <w:rPr>
          <w:rFonts w:cs="Calibri"/>
          <w:i/>
          <w:iCs/>
        </w:rPr>
        <w:t xml:space="preserve"> Environ</w:t>
      </w:r>
      <w:r w:rsidR="00BD4EDB">
        <w:rPr>
          <w:rFonts w:cs="Calibri"/>
          <w:i/>
          <w:iCs/>
        </w:rPr>
        <w:t>mental</w:t>
      </w:r>
      <w:r w:rsidR="00BD4EDB" w:rsidRPr="57352DF8">
        <w:rPr>
          <w:rFonts w:cs="Calibri"/>
          <w:i/>
          <w:iCs/>
        </w:rPr>
        <w:t xml:space="preserve"> Assess</w:t>
      </w:r>
      <w:r w:rsidR="00BD4EDB">
        <w:rPr>
          <w:rFonts w:cs="Calibri"/>
          <w:i/>
          <w:iCs/>
        </w:rPr>
        <w:t>ment and</w:t>
      </w:r>
      <w:r w:rsidR="00BD4EDB" w:rsidRPr="57352DF8">
        <w:rPr>
          <w:rFonts w:cs="Calibri"/>
          <w:i/>
          <w:iCs/>
        </w:rPr>
        <w:t xml:space="preserve"> Manag</w:t>
      </w:r>
      <w:r w:rsidR="00BD4EDB" w:rsidRPr="00BD4EDB">
        <w:rPr>
          <w:rFonts w:cs="Calibri"/>
          <w:i/>
          <w:iCs/>
        </w:rPr>
        <w:t>ement</w:t>
      </w:r>
      <w:r w:rsidR="006A6B05" w:rsidRPr="57352DF8">
        <w:rPr>
          <w:i/>
          <w:iCs/>
        </w:rPr>
        <w:t>,</w:t>
      </w:r>
      <w:r w:rsidR="006A6B05" w:rsidRPr="57352DF8">
        <w:t xml:space="preserve"> 15</w:t>
      </w:r>
      <w:r w:rsidR="000A0872">
        <w:t>:</w:t>
      </w:r>
      <w:r w:rsidR="006A6B05" w:rsidRPr="57352DF8">
        <w:t>683–702</w:t>
      </w:r>
      <w:r w:rsidR="00A43CCC">
        <w:t>, doi:</w:t>
      </w:r>
      <w:r w:rsidR="00A43CCC" w:rsidRPr="00A43CCC">
        <w:t>10.1002/ieam.4181</w:t>
      </w:r>
      <w:r w:rsidR="006A6B05" w:rsidRPr="57352DF8">
        <w:t>.</w:t>
      </w:r>
    </w:p>
    <w:p w14:paraId="4CD76A94" w14:textId="32740AF2" w:rsidR="00D636A6" w:rsidRPr="00286ABB" w:rsidRDefault="00ED291E" w:rsidP="004D7186">
      <w:r>
        <w:t>V</w:t>
      </w:r>
      <w:r w:rsidR="00D636A6" w:rsidRPr="57352DF8">
        <w:t xml:space="preserve">an der Hoeven N, Noppert F </w:t>
      </w:r>
      <w:r w:rsidR="00506746" w:rsidRPr="57352DF8">
        <w:t>and</w:t>
      </w:r>
      <w:r w:rsidR="00D636A6" w:rsidRPr="57352DF8">
        <w:t xml:space="preserve"> Leopold A </w:t>
      </w:r>
      <w:r w:rsidR="00A3174C">
        <w:t>(</w:t>
      </w:r>
      <w:r w:rsidR="00D636A6" w:rsidRPr="57352DF8">
        <w:t>1997</w:t>
      </w:r>
      <w:r w:rsidR="00A3174C">
        <w:t>)</w:t>
      </w:r>
      <w:r w:rsidR="00D636A6" w:rsidRPr="57352DF8">
        <w:t xml:space="preserve"> </w:t>
      </w:r>
      <w:r w:rsidR="00A3174C">
        <w:t>‘</w:t>
      </w:r>
      <w:hyperlink r:id="rId133" w:history="1">
        <w:r w:rsidR="00D636A6" w:rsidRPr="006A16FF">
          <w:rPr>
            <w:rStyle w:val="Hyperlink"/>
          </w:rPr>
          <w:t xml:space="preserve">How to measure no effect. Part I: </w:t>
        </w:r>
        <w:r w:rsidR="00A3174C" w:rsidRPr="006A16FF">
          <w:rPr>
            <w:rStyle w:val="Hyperlink"/>
          </w:rPr>
          <w:t>t</w:t>
        </w:r>
        <w:r w:rsidR="00D636A6" w:rsidRPr="006A16FF">
          <w:rPr>
            <w:rStyle w:val="Hyperlink"/>
          </w:rPr>
          <w:t>owards a new measure of ch</w:t>
        </w:r>
        <w:r w:rsidR="00975360" w:rsidRPr="006A16FF">
          <w:rPr>
            <w:rStyle w:val="Hyperlink"/>
          </w:rPr>
          <w:t>ronic toxicity in ecotoxicology,</w:t>
        </w:r>
        <w:r w:rsidR="00D636A6" w:rsidRPr="006A16FF">
          <w:rPr>
            <w:rStyle w:val="Hyperlink"/>
          </w:rPr>
          <w:t xml:space="preserve"> </w:t>
        </w:r>
        <w:r w:rsidR="000A0872" w:rsidRPr="006A16FF">
          <w:rPr>
            <w:rStyle w:val="Hyperlink"/>
          </w:rPr>
          <w:t>i</w:t>
        </w:r>
        <w:r w:rsidR="00D636A6" w:rsidRPr="006A16FF">
          <w:rPr>
            <w:rStyle w:val="Hyperlink"/>
          </w:rPr>
          <w:t>ntroduction and workshop results</w:t>
        </w:r>
      </w:hyperlink>
      <w:r w:rsidR="00A3174C">
        <w:t>’,</w:t>
      </w:r>
      <w:r w:rsidR="00D636A6" w:rsidRPr="57352DF8">
        <w:t xml:space="preserve"> </w:t>
      </w:r>
      <w:r w:rsidR="00D636A6" w:rsidRPr="57352DF8">
        <w:rPr>
          <w:i/>
          <w:iCs/>
        </w:rPr>
        <w:t>Environmetrics,</w:t>
      </w:r>
      <w:r w:rsidR="00D636A6" w:rsidRPr="57352DF8">
        <w:t xml:space="preserve"> 8</w:t>
      </w:r>
      <w:r w:rsidR="00A3174C">
        <w:t>:</w:t>
      </w:r>
      <w:r w:rsidR="00D636A6" w:rsidRPr="57352DF8">
        <w:t>241–248</w:t>
      </w:r>
      <w:r w:rsidR="006A16FF">
        <w:t>, doi:</w:t>
      </w:r>
      <w:r w:rsidR="006A16FF" w:rsidRPr="006A16FF">
        <w:t>10.1002/(SICI)1099-095X(199705)8:3%3C241::AID-ENV244%3E3.0.CO;2-7</w:t>
      </w:r>
      <w:r w:rsidR="00D636A6" w:rsidRPr="57352DF8">
        <w:t>.</w:t>
      </w:r>
    </w:p>
    <w:p w14:paraId="7F208541" w14:textId="294B3857" w:rsidR="00D636A6" w:rsidRDefault="00D636A6" w:rsidP="004D7186">
      <w:r>
        <w:t xml:space="preserve">Wang W </w:t>
      </w:r>
      <w:r w:rsidR="00A3174C">
        <w:t>(</w:t>
      </w:r>
      <w:r>
        <w:t>1987</w:t>
      </w:r>
      <w:r w:rsidR="00A3174C">
        <w:t>)</w:t>
      </w:r>
      <w:r>
        <w:t xml:space="preserve"> </w:t>
      </w:r>
      <w:r w:rsidR="00A3174C">
        <w:t>‘</w:t>
      </w:r>
      <w:hyperlink r:id="rId134" w:history="1">
        <w:r w:rsidRPr="00E17619">
          <w:rPr>
            <w:rStyle w:val="Hyperlink"/>
            <w:rFonts w:cstheme="minorHAnsi"/>
            <w:bCs/>
          </w:rPr>
          <w:t>Factors affecting metal toxicity to (and accumulation by) aquatic organisms</w:t>
        </w:r>
        <w:r w:rsidR="00E17619" w:rsidRPr="00E17619">
          <w:rPr>
            <w:rStyle w:val="Hyperlink"/>
            <w:rFonts w:cstheme="minorHAnsi"/>
            <w:bCs/>
          </w:rPr>
          <w:t xml:space="preserve"> – overview</w:t>
        </w:r>
      </w:hyperlink>
      <w:r w:rsidR="00A3174C">
        <w:t>’,</w:t>
      </w:r>
      <w:r>
        <w:t xml:space="preserve"> </w:t>
      </w:r>
      <w:r w:rsidRPr="00FA16C8">
        <w:rPr>
          <w:i/>
        </w:rPr>
        <w:t>Environ</w:t>
      </w:r>
      <w:r w:rsidR="00020D4D">
        <w:rPr>
          <w:i/>
        </w:rPr>
        <w:t>ment</w:t>
      </w:r>
      <w:r w:rsidRPr="00FA16C8">
        <w:rPr>
          <w:i/>
        </w:rPr>
        <w:t xml:space="preserve"> Int</w:t>
      </w:r>
      <w:r w:rsidR="00020D4D">
        <w:rPr>
          <w:i/>
        </w:rPr>
        <w:t>ernational</w:t>
      </w:r>
      <w:r>
        <w:t>, 13</w:t>
      </w:r>
      <w:r w:rsidR="00A3174C">
        <w:t>:</w:t>
      </w:r>
      <w:r>
        <w:t>437–457</w:t>
      </w:r>
      <w:r w:rsidR="00E17619">
        <w:t>, doi:</w:t>
      </w:r>
      <w:r w:rsidR="00E17619" w:rsidRPr="00E17619">
        <w:t>10.1016/0160-4120(87)90006-7</w:t>
      </w:r>
      <w:r>
        <w:t>.</w:t>
      </w:r>
    </w:p>
    <w:p w14:paraId="1DA5187C" w14:textId="4F53E491" w:rsidR="003E3FC2" w:rsidRDefault="003E3FC2" w:rsidP="004D7186">
      <w:r>
        <w:t xml:space="preserve">Ware GW </w:t>
      </w:r>
      <w:r w:rsidR="00561900">
        <w:t>(</w:t>
      </w:r>
      <w:r>
        <w:t>1994</w:t>
      </w:r>
      <w:r w:rsidR="00561900">
        <w:t>)</w:t>
      </w:r>
      <w:r>
        <w:t xml:space="preserve"> </w:t>
      </w:r>
      <w:r w:rsidRPr="00975360">
        <w:rPr>
          <w:i/>
        </w:rPr>
        <w:t xml:space="preserve">The </w:t>
      </w:r>
      <w:r w:rsidR="00975360" w:rsidRPr="00975360">
        <w:rPr>
          <w:i/>
        </w:rPr>
        <w:t>pesticide book</w:t>
      </w:r>
      <w:r w:rsidR="00975360">
        <w:t>,</w:t>
      </w:r>
      <w:r>
        <w:t xml:space="preserve"> 4</w:t>
      </w:r>
      <w:r w:rsidRPr="00975360">
        <w:t>th</w:t>
      </w:r>
      <w:r w:rsidR="00975360">
        <w:t xml:space="preserve"> e</w:t>
      </w:r>
      <w:r>
        <w:t>d</w:t>
      </w:r>
      <w:r w:rsidR="00A84F81">
        <w:t>itio</w:t>
      </w:r>
      <w:r>
        <w:t>n, WH Freeman, Fresno.</w:t>
      </w:r>
    </w:p>
    <w:p w14:paraId="61A908EA" w14:textId="467C931B" w:rsidR="00D636A6" w:rsidRDefault="00D636A6" w:rsidP="004D7186">
      <w:r w:rsidRPr="57352DF8">
        <w:t xml:space="preserve">Warne MStJ </w:t>
      </w:r>
      <w:r w:rsidR="00561900">
        <w:t>(</w:t>
      </w:r>
      <w:r w:rsidRPr="57352DF8">
        <w:t>1998</w:t>
      </w:r>
      <w:r w:rsidR="00561900">
        <w:t>)</w:t>
      </w:r>
      <w:r w:rsidRPr="57352DF8">
        <w:t xml:space="preserve"> </w:t>
      </w:r>
      <w:hyperlink r:id="rId135">
        <w:r w:rsidRPr="00561900">
          <w:rPr>
            <w:rStyle w:val="Hyperlink"/>
            <w:i/>
            <w:iCs/>
          </w:rPr>
          <w:t>Critical review of methods to derive water quality guidelines for toxicants and a proposal for a new framework</w:t>
        </w:r>
      </w:hyperlink>
      <w:r w:rsidR="00975360" w:rsidRPr="57352DF8">
        <w:t>,</w:t>
      </w:r>
      <w:r w:rsidRPr="57352DF8">
        <w:t xml:space="preserve"> Supervising Scientist Report 135, Supervising Scie</w:t>
      </w:r>
      <w:r w:rsidR="00975360" w:rsidRPr="57352DF8">
        <w:t>ntist, Canberra</w:t>
      </w:r>
      <w:r w:rsidRPr="57352DF8">
        <w:t>.</w:t>
      </w:r>
    </w:p>
    <w:p w14:paraId="2CC7D7DE" w14:textId="69E2547A" w:rsidR="00D636A6" w:rsidRPr="007C67F1" w:rsidRDefault="00D636A6" w:rsidP="004D7186">
      <w:r w:rsidRPr="57352DF8">
        <w:t>Warne MSt</w:t>
      </w:r>
      <w:r w:rsidR="00DE335E" w:rsidRPr="57352DF8">
        <w:t>J</w:t>
      </w:r>
      <w:r w:rsidRPr="57352DF8">
        <w:t xml:space="preserve"> </w:t>
      </w:r>
      <w:r w:rsidR="00561900">
        <w:t>(</w:t>
      </w:r>
      <w:r w:rsidRPr="57352DF8">
        <w:t>2001</w:t>
      </w:r>
      <w:r w:rsidR="00561900">
        <w:t>)</w:t>
      </w:r>
      <w:r w:rsidR="00944156" w:rsidRPr="57352DF8">
        <w:t xml:space="preserve"> </w:t>
      </w:r>
      <w:r w:rsidR="00561900">
        <w:t>‘</w:t>
      </w:r>
      <w:r w:rsidRPr="57352DF8">
        <w:t>Derivation of the ANZECC and ARMCANZ water quality guidelines for toxicants</w:t>
      </w:r>
      <w:r w:rsidR="00561900">
        <w:t>’,</w:t>
      </w:r>
      <w:r w:rsidR="00944156" w:rsidRPr="57352DF8">
        <w:t xml:space="preserve"> </w:t>
      </w:r>
      <w:r w:rsidRPr="57352DF8">
        <w:rPr>
          <w:i/>
          <w:iCs/>
        </w:rPr>
        <w:t>Australas</w:t>
      </w:r>
      <w:r w:rsidR="00020D4D">
        <w:rPr>
          <w:i/>
          <w:iCs/>
        </w:rPr>
        <w:t>ian</w:t>
      </w:r>
      <w:r w:rsidRPr="57352DF8">
        <w:rPr>
          <w:i/>
          <w:iCs/>
        </w:rPr>
        <w:t xml:space="preserve"> J</w:t>
      </w:r>
      <w:r w:rsidR="00020D4D">
        <w:rPr>
          <w:i/>
          <w:iCs/>
        </w:rPr>
        <w:t>ournal of</w:t>
      </w:r>
      <w:r w:rsidRPr="57352DF8">
        <w:rPr>
          <w:i/>
          <w:iCs/>
        </w:rPr>
        <w:t xml:space="preserve"> Ecotox</w:t>
      </w:r>
      <w:r w:rsidR="00020D4D">
        <w:rPr>
          <w:i/>
          <w:iCs/>
        </w:rPr>
        <w:t>icology</w:t>
      </w:r>
      <w:r w:rsidRPr="57352DF8">
        <w:t>, 7</w:t>
      </w:r>
      <w:r w:rsidR="00561900">
        <w:t>:</w:t>
      </w:r>
      <w:r w:rsidRPr="57352DF8">
        <w:t>123–136.</w:t>
      </w:r>
    </w:p>
    <w:p w14:paraId="09B137D8" w14:textId="6CC8F3C0" w:rsidR="00D636A6" w:rsidRPr="003730C4" w:rsidRDefault="00DE335E" w:rsidP="004D7186">
      <w:r w:rsidRPr="57352DF8">
        <w:t>Warne M</w:t>
      </w:r>
      <w:r w:rsidR="00D636A6" w:rsidRPr="57352DF8">
        <w:t>St</w:t>
      </w:r>
      <w:r w:rsidRPr="57352DF8">
        <w:t>J</w:t>
      </w:r>
      <w:r w:rsidR="00D636A6" w:rsidRPr="57352DF8">
        <w:t xml:space="preserve"> </w:t>
      </w:r>
      <w:r w:rsidR="00506746" w:rsidRPr="57352DF8">
        <w:t>and</w:t>
      </w:r>
      <w:r w:rsidR="00D636A6" w:rsidRPr="57352DF8">
        <w:t xml:space="preserve"> van </w:t>
      </w:r>
      <w:r w:rsidRPr="57352DF8">
        <w:t>Dam R</w:t>
      </w:r>
      <w:r w:rsidR="00D636A6" w:rsidRPr="57352DF8">
        <w:t xml:space="preserve"> </w:t>
      </w:r>
      <w:r w:rsidR="00F345A4">
        <w:t>(</w:t>
      </w:r>
      <w:r w:rsidR="00D636A6" w:rsidRPr="57352DF8">
        <w:t>2008</w:t>
      </w:r>
      <w:r w:rsidR="00F345A4">
        <w:t>)</w:t>
      </w:r>
      <w:r w:rsidR="00D636A6" w:rsidRPr="57352DF8">
        <w:t xml:space="preserve"> </w:t>
      </w:r>
      <w:r w:rsidR="00F345A4">
        <w:t>‘</w:t>
      </w:r>
      <w:r w:rsidR="00D636A6" w:rsidRPr="57352DF8">
        <w:t>NOEC and LOEC data should no longer be generated or used</w:t>
      </w:r>
      <w:r w:rsidR="00F345A4">
        <w:t>’,</w:t>
      </w:r>
      <w:r w:rsidR="00D636A6" w:rsidRPr="57352DF8">
        <w:t xml:space="preserve"> </w:t>
      </w:r>
      <w:r w:rsidR="00020D4D" w:rsidRPr="57352DF8">
        <w:rPr>
          <w:i/>
          <w:iCs/>
        </w:rPr>
        <w:t>Australas</w:t>
      </w:r>
      <w:r w:rsidR="00020D4D">
        <w:rPr>
          <w:i/>
          <w:iCs/>
        </w:rPr>
        <w:t>ian</w:t>
      </w:r>
      <w:r w:rsidR="00020D4D" w:rsidRPr="57352DF8">
        <w:rPr>
          <w:i/>
          <w:iCs/>
        </w:rPr>
        <w:t xml:space="preserve"> J</w:t>
      </w:r>
      <w:r w:rsidR="00020D4D">
        <w:rPr>
          <w:i/>
          <w:iCs/>
        </w:rPr>
        <w:t>ournal of</w:t>
      </w:r>
      <w:r w:rsidR="00020D4D" w:rsidRPr="57352DF8">
        <w:rPr>
          <w:i/>
          <w:iCs/>
        </w:rPr>
        <w:t xml:space="preserve"> Ecotox</w:t>
      </w:r>
      <w:r w:rsidR="00020D4D">
        <w:rPr>
          <w:i/>
          <w:iCs/>
        </w:rPr>
        <w:t>icology</w:t>
      </w:r>
      <w:r w:rsidR="00D636A6" w:rsidRPr="57352DF8">
        <w:rPr>
          <w:i/>
          <w:iCs/>
        </w:rPr>
        <w:t>,</w:t>
      </w:r>
      <w:r w:rsidR="00D636A6" w:rsidRPr="00020D4D">
        <w:t xml:space="preserve"> </w:t>
      </w:r>
      <w:r w:rsidR="00D636A6" w:rsidRPr="57352DF8">
        <w:t>14</w:t>
      </w:r>
      <w:r w:rsidR="00F345A4">
        <w:t>:</w:t>
      </w:r>
      <w:r w:rsidR="00D636A6" w:rsidRPr="57352DF8">
        <w:t>1–5.</w:t>
      </w:r>
    </w:p>
    <w:p w14:paraId="6EB804ED" w14:textId="2661578D" w:rsidR="00D636A6" w:rsidRPr="007C67F1" w:rsidRDefault="00D636A6" w:rsidP="004D7186">
      <w:r w:rsidRPr="57352DF8">
        <w:t xml:space="preserve">Warne MStJ </w:t>
      </w:r>
      <w:r w:rsidR="00506746" w:rsidRPr="57352DF8">
        <w:t>and</w:t>
      </w:r>
      <w:r w:rsidRPr="57352DF8">
        <w:t xml:space="preserve"> Westbury A-M </w:t>
      </w:r>
      <w:r w:rsidR="00F345A4">
        <w:t>(</w:t>
      </w:r>
      <w:r w:rsidRPr="57352DF8">
        <w:t>1999</w:t>
      </w:r>
      <w:r w:rsidR="00F345A4">
        <w:t>)</w:t>
      </w:r>
      <w:r w:rsidRPr="57352DF8">
        <w:t xml:space="preserve"> </w:t>
      </w:r>
      <w:r w:rsidR="00F345A4">
        <w:t>‘</w:t>
      </w:r>
      <w:r w:rsidRPr="57352DF8">
        <w:t>A compilation of data on the toxicity of chemicals to Australasian species</w:t>
      </w:r>
      <w:r w:rsidR="00975360" w:rsidRPr="57352DF8">
        <w:t>,</w:t>
      </w:r>
      <w:r w:rsidRPr="57352DF8">
        <w:t xml:space="preserve"> Part 2: </w:t>
      </w:r>
      <w:r w:rsidR="00F345A4">
        <w:t>o</w:t>
      </w:r>
      <w:r w:rsidRPr="57352DF8">
        <w:t>rganic chemicals</w:t>
      </w:r>
      <w:r w:rsidR="00F345A4">
        <w:t>’,</w:t>
      </w:r>
      <w:r w:rsidRPr="57352DF8">
        <w:t xml:space="preserve"> </w:t>
      </w:r>
      <w:r w:rsidR="00020D4D" w:rsidRPr="57352DF8">
        <w:rPr>
          <w:i/>
          <w:iCs/>
        </w:rPr>
        <w:t>Australas</w:t>
      </w:r>
      <w:r w:rsidR="00020D4D">
        <w:rPr>
          <w:i/>
          <w:iCs/>
        </w:rPr>
        <w:t>ian</w:t>
      </w:r>
      <w:r w:rsidR="00020D4D" w:rsidRPr="57352DF8">
        <w:rPr>
          <w:i/>
          <w:iCs/>
        </w:rPr>
        <w:t xml:space="preserve"> J</w:t>
      </w:r>
      <w:r w:rsidR="00020D4D">
        <w:rPr>
          <w:i/>
          <w:iCs/>
        </w:rPr>
        <w:t>ournal of</w:t>
      </w:r>
      <w:r w:rsidR="00020D4D" w:rsidRPr="57352DF8">
        <w:rPr>
          <w:i/>
          <w:iCs/>
        </w:rPr>
        <w:t xml:space="preserve"> Ecotox</w:t>
      </w:r>
      <w:r w:rsidR="00020D4D">
        <w:rPr>
          <w:i/>
          <w:iCs/>
        </w:rPr>
        <w:t>icology</w:t>
      </w:r>
      <w:r w:rsidRPr="57352DF8">
        <w:t>, 5</w:t>
      </w:r>
      <w:r w:rsidR="00F345A4">
        <w:t>:</w:t>
      </w:r>
      <w:r w:rsidRPr="57352DF8">
        <w:t>21–86.</w:t>
      </w:r>
    </w:p>
    <w:p w14:paraId="24A1DF6D" w14:textId="7AD89DF2" w:rsidR="00D636A6" w:rsidRDefault="00D636A6" w:rsidP="004D7186">
      <w:r w:rsidRPr="57352DF8">
        <w:t xml:space="preserve">Warne MStJ, Westbury A-M </w:t>
      </w:r>
      <w:r w:rsidR="00506746" w:rsidRPr="57352DF8">
        <w:t>and</w:t>
      </w:r>
      <w:r w:rsidRPr="57352DF8">
        <w:t xml:space="preserve"> Sunderam RI</w:t>
      </w:r>
      <w:r w:rsidR="00DE335E" w:rsidRPr="57352DF8">
        <w:t>M</w:t>
      </w:r>
      <w:r w:rsidRPr="57352DF8">
        <w:t xml:space="preserve"> </w:t>
      </w:r>
      <w:r w:rsidR="00090348">
        <w:t>(</w:t>
      </w:r>
      <w:r w:rsidRPr="57352DF8">
        <w:t>1998</w:t>
      </w:r>
      <w:r w:rsidR="00090348">
        <w:t>)</w:t>
      </w:r>
      <w:r w:rsidR="00944156" w:rsidRPr="57352DF8">
        <w:t xml:space="preserve"> </w:t>
      </w:r>
      <w:r w:rsidR="00090348">
        <w:t>‘</w:t>
      </w:r>
      <w:r w:rsidRPr="57352DF8">
        <w:t>A compilation of data on the toxicity of ch</w:t>
      </w:r>
      <w:r w:rsidR="00975360" w:rsidRPr="57352DF8">
        <w:t>emicals to Australasian species,</w:t>
      </w:r>
      <w:r w:rsidRPr="57352DF8">
        <w:t xml:space="preserve"> Part 1: </w:t>
      </w:r>
      <w:r w:rsidR="00F345A4">
        <w:t>p</w:t>
      </w:r>
      <w:r w:rsidRPr="57352DF8">
        <w:t>esticides</w:t>
      </w:r>
      <w:r w:rsidR="00090348">
        <w:t>’,</w:t>
      </w:r>
      <w:r w:rsidRPr="57352DF8">
        <w:t xml:space="preserve"> </w:t>
      </w:r>
      <w:r w:rsidR="00020D4D" w:rsidRPr="57352DF8">
        <w:rPr>
          <w:i/>
          <w:iCs/>
        </w:rPr>
        <w:t>Australas</w:t>
      </w:r>
      <w:r w:rsidR="00020D4D">
        <w:rPr>
          <w:i/>
          <w:iCs/>
        </w:rPr>
        <w:t>ian</w:t>
      </w:r>
      <w:r w:rsidR="00020D4D" w:rsidRPr="57352DF8">
        <w:rPr>
          <w:i/>
          <w:iCs/>
        </w:rPr>
        <w:t xml:space="preserve"> J</w:t>
      </w:r>
      <w:r w:rsidR="00020D4D">
        <w:rPr>
          <w:i/>
          <w:iCs/>
        </w:rPr>
        <w:t>ournal of</w:t>
      </w:r>
      <w:r w:rsidR="00020D4D" w:rsidRPr="57352DF8">
        <w:rPr>
          <w:i/>
          <w:iCs/>
        </w:rPr>
        <w:t xml:space="preserve"> Ecotox</w:t>
      </w:r>
      <w:r w:rsidR="00020D4D">
        <w:rPr>
          <w:i/>
          <w:iCs/>
        </w:rPr>
        <w:t>icology</w:t>
      </w:r>
      <w:r w:rsidRPr="57352DF8">
        <w:t>, 4</w:t>
      </w:r>
      <w:r w:rsidR="00F345A4">
        <w:t>:</w:t>
      </w:r>
      <w:r w:rsidRPr="57352DF8">
        <w:t>93–144.</w:t>
      </w:r>
      <w:bookmarkEnd w:id="33"/>
      <w:bookmarkEnd w:id="34"/>
    </w:p>
    <w:p w14:paraId="441A5D8A" w14:textId="24245F19" w:rsidR="00720AFD" w:rsidRDefault="00720AFD" w:rsidP="004D7186">
      <w:r w:rsidRPr="00720AFD">
        <w:rPr>
          <w:lang w:val="en-GB"/>
        </w:rPr>
        <w:t xml:space="preserve">Warne MStJ, Batley GE, van Dam RA, Chapman JC, Fox DR, Hickey CW and Stauber JL </w:t>
      </w:r>
      <w:r w:rsidR="00764B50">
        <w:rPr>
          <w:lang w:val="en-GB"/>
        </w:rPr>
        <w:t>(</w:t>
      </w:r>
      <w:r w:rsidRPr="00720AFD">
        <w:rPr>
          <w:lang w:val="en-GB"/>
        </w:rPr>
        <w:t>2015</w:t>
      </w:r>
      <w:r w:rsidR="00764B50">
        <w:rPr>
          <w:lang w:val="en-GB"/>
        </w:rPr>
        <w:t>)</w:t>
      </w:r>
      <w:r w:rsidRPr="00720AFD">
        <w:rPr>
          <w:lang w:val="en-GB"/>
        </w:rPr>
        <w:t xml:space="preserve"> </w:t>
      </w:r>
      <w:hyperlink r:id="rId136" w:history="1">
        <w:r w:rsidRPr="00C07D71">
          <w:rPr>
            <w:rStyle w:val="Hyperlink"/>
            <w:i/>
            <w:iCs/>
            <w:lang w:val="en-GB"/>
          </w:rPr>
          <w:t xml:space="preserve">Revised </w:t>
        </w:r>
        <w:r w:rsidR="00A25444" w:rsidRPr="00C07D71">
          <w:rPr>
            <w:rStyle w:val="Hyperlink"/>
            <w:i/>
            <w:iCs/>
            <w:lang w:val="en-GB"/>
          </w:rPr>
          <w:t>m</w:t>
        </w:r>
        <w:r w:rsidRPr="00C07D71">
          <w:rPr>
            <w:rStyle w:val="Hyperlink"/>
            <w:i/>
            <w:iCs/>
            <w:lang w:val="en-GB"/>
          </w:rPr>
          <w:t xml:space="preserve">ethod for </w:t>
        </w:r>
        <w:r w:rsidR="00A25444" w:rsidRPr="00C07D71">
          <w:rPr>
            <w:rStyle w:val="Hyperlink"/>
            <w:i/>
            <w:iCs/>
            <w:lang w:val="en-GB"/>
          </w:rPr>
          <w:t>d</w:t>
        </w:r>
        <w:r w:rsidRPr="00C07D71">
          <w:rPr>
            <w:rStyle w:val="Hyperlink"/>
            <w:i/>
            <w:iCs/>
            <w:lang w:val="en-GB"/>
          </w:rPr>
          <w:t xml:space="preserve">eriving Australian and New Zealand </w:t>
        </w:r>
        <w:r w:rsidR="00C07D71">
          <w:rPr>
            <w:rStyle w:val="Hyperlink"/>
            <w:i/>
            <w:iCs/>
            <w:lang w:val="en-GB"/>
          </w:rPr>
          <w:t>w</w:t>
        </w:r>
        <w:r w:rsidRPr="00C07D71">
          <w:rPr>
            <w:rStyle w:val="Hyperlink"/>
            <w:i/>
            <w:iCs/>
            <w:lang w:val="en-GB"/>
          </w:rPr>
          <w:t xml:space="preserve">ater </w:t>
        </w:r>
        <w:r w:rsidR="00C07D71">
          <w:rPr>
            <w:rStyle w:val="Hyperlink"/>
            <w:i/>
            <w:iCs/>
            <w:lang w:val="en-GB"/>
          </w:rPr>
          <w:t>q</w:t>
        </w:r>
        <w:r w:rsidRPr="00C07D71">
          <w:rPr>
            <w:rStyle w:val="Hyperlink"/>
            <w:i/>
            <w:iCs/>
            <w:lang w:val="en-GB"/>
          </w:rPr>
          <w:t xml:space="preserve">uality </w:t>
        </w:r>
        <w:r w:rsidR="00C07D71">
          <w:rPr>
            <w:rStyle w:val="Hyperlink"/>
            <w:i/>
            <w:iCs/>
            <w:lang w:val="en-GB"/>
          </w:rPr>
          <w:t>g</w:t>
        </w:r>
        <w:r w:rsidRPr="00C07D71">
          <w:rPr>
            <w:rStyle w:val="Hyperlink"/>
            <w:i/>
            <w:iCs/>
            <w:lang w:val="en-GB"/>
          </w:rPr>
          <w:t xml:space="preserve">uideline </w:t>
        </w:r>
        <w:r w:rsidR="00A25444" w:rsidRPr="00C07D71">
          <w:rPr>
            <w:rStyle w:val="Hyperlink"/>
            <w:i/>
            <w:iCs/>
            <w:lang w:val="en-GB"/>
          </w:rPr>
          <w:t>v</w:t>
        </w:r>
        <w:r w:rsidRPr="00C07D71">
          <w:rPr>
            <w:rStyle w:val="Hyperlink"/>
            <w:i/>
            <w:iCs/>
            <w:lang w:val="en-GB"/>
          </w:rPr>
          <w:t xml:space="preserve">alues for </w:t>
        </w:r>
        <w:r w:rsidR="00A25444" w:rsidRPr="00C07D71">
          <w:rPr>
            <w:rStyle w:val="Hyperlink"/>
            <w:i/>
            <w:iCs/>
            <w:lang w:val="en-GB"/>
          </w:rPr>
          <w:t>t</w:t>
        </w:r>
        <w:r w:rsidRPr="00C07D71">
          <w:rPr>
            <w:rStyle w:val="Hyperlink"/>
            <w:i/>
            <w:iCs/>
            <w:lang w:val="en-GB"/>
          </w:rPr>
          <w:t>oxicants</w:t>
        </w:r>
      </w:hyperlink>
      <w:r w:rsidR="00A25444">
        <w:rPr>
          <w:lang w:val="en-GB"/>
        </w:rPr>
        <w:t>, p</w:t>
      </w:r>
      <w:r w:rsidRPr="00720AFD">
        <w:rPr>
          <w:lang w:val="en-GB"/>
        </w:rPr>
        <w:t>repared for the Council of Australian Government’s Standing Council on Environment and Water</w:t>
      </w:r>
      <w:r w:rsidR="00470FA4">
        <w:rPr>
          <w:lang w:val="en-GB"/>
        </w:rPr>
        <w:t>,</w:t>
      </w:r>
      <w:r w:rsidRPr="00720AFD">
        <w:rPr>
          <w:lang w:val="en-GB"/>
        </w:rPr>
        <w:t xml:space="preserve"> Department of Science, Information Technology and Innovation, </w:t>
      </w:r>
      <w:r w:rsidR="00470FA4">
        <w:rPr>
          <w:lang w:val="en-GB"/>
        </w:rPr>
        <w:t xml:space="preserve">Queensland Government, </w:t>
      </w:r>
      <w:r w:rsidRPr="00720AFD">
        <w:rPr>
          <w:lang w:val="en-GB"/>
        </w:rPr>
        <w:t>Brisbane.</w:t>
      </w:r>
    </w:p>
    <w:p w14:paraId="6C0A68ED" w14:textId="6D4B1F70" w:rsidR="00764B50" w:rsidRPr="007C67F1" w:rsidRDefault="00720AFD" w:rsidP="004D7186">
      <w:r w:rsidRPr="00720AFD">
        <w:rPr>
          <w:lang w:val="en-GB"/>
        </w:rPr>
        <w:t xml:space="preserve">Warne MStJ, Batley GE, van Dam RA, Chapman JC, Fox DR, Hickey CW &amp; Stauber JL </w:t>
      </w:r>
      <w:r w:rsidR="00764B50">
        <w:rPr>
          <w:lang w:val="en-GB"/>
        </w:rPr>
        <w:t>(</w:t>
      </w:r>
      <w:r w:rsidRPr="00720AFD">
        <w:rPr>
          <w:lang w:val="en-GB"/>
        </w:rPr>
        <w:t>2018</w:t>
      </w:r>
      <w:r w:rsidR="00764B50">
        <w:rPr>
          <w:lang w:val="en-GB"/>
        </w:rPr>
        <w:t>)</w:t>
      </w:r>
      <w:r w:rsidRPr="00720AFD">
        <w:rPr>
          <w:lang w:val="en-GB"/>
        </w:rPr>
        <w:t xml:space="preserve"> </w:t>
      </w:r>
      <w:hyperlink r:id="rId137" w:history="1">
        <w:r w:rsidRPr="00B8163D">
          <w:rPr>
            <w:rStyle w:val="Hyperlink"/>
            <w:i/>
            <w:iCs/>
            <w:lang w:val="en-GB"/>
          </w:rPr>
          <w:t xml:space="preserve">Revised </w:t>
        </w:r>
        <w:r w:rsidR="00A25444" w:rsidRPr="00B8163D">
          <w:rPr>
            <w:rStyle w:val="Hyperlink"/>
            <w:i/>
            <w:iCs/>
            <w:lang w:val="en-GB"/>
          </w:rPr>
          <w:t>m</w:t>
        </w:r>
        <w:r w:rsidRPr="00B8163D">
          <w:rPr>
            <w:rStyle w:val="Hyperlink"/>
            <w:i/>
            <w:iCs/>
            <w:lang w:val="en-GB"/>
          </w:rPr>
          <w:t xml:space="preserve">ethod for </w:t>
        </w:r>
        <w:r w:rsidR="00A25444" w:rsidRPr="00B8163D">
          <w:rPr>
            <w:rStyle w:val="Hyperlink"/>
            <w:i/>
            <w:iCs/>
            <w:lang w:val="en-GB"/>
          </w:rPr>
          <w:t>d</w:t>
        </w:r>
        <w:r w:rsidRPr="00B8163D">
          <w:rPr>
            <w:rStyle w:val="Hyperlink"/>
            <w:i/>
            <w:iCs/>
            <w:lang w:val="en-GB"/>
          </w:rPr>
          <w:t xml:space="preserve">eriving Australian and New Zealand </w:t>
        </w:r>
        <w:r w:rsidR="00C07D71">
          <w:rPr>
            <w:rStyle w:val="Hyperlink"/>
            <w:i/>
            <w:iCs/>
            <w:lang w:val="en-GB"/>
          </w:rPr>
          <w:t>w</w:t>
        </w:r>
        <w:r w:rsidRPr="00B8163D">
          <w:rPr>
            <w:rStyle w:val="Hyperlink"/>
            <w:i/>
            <w:iCs/>
            <w:lang w:val="en-GB"/>
          </w:rPr>
          <w:t xml:space="preserve">ater </w:t>
        </w:r>
        <w:r w:rsidR="00C07D71">
          <w:rPr>
            <w:rStyle w:val="Hyperlink"/>
            <w:i/>
            <w:iCs/>
            <w:lang w:val="en-GB"/>
          </w:rPr>
          <w:t>q</w:t>
        </w:r>
        <w:r w:rsidRPr="00B8163D">
          <w:rPr>
            <w:rStyle w:val="Hyperlink"/>
            <w:i/>
            <w:iCs/>
            <w:lang w:val="en-GB"/>
          </w:rPr>
          <w:t xml:space="preserve">uality </w:t>
        </w:r>
        <w:r w:rsidR="00C07D71">
          <w:rPr>
            <w:rStyle w:val="Hyperlink"/>
            <w:i/>
            <w:iCs/>
            <w:lang w:val="en-GB"/>
          </w:rPr>
          <w:t>g</w:t>
        </w:r>
        <w:r w:rsidRPr="00B8163D">
          <w:rPr>
            <w:rStyle w:val="Hyperlink"/>
            <w:i/>
            <w:iCs/>
            <w:lang w:val="en-GB"/>
          </w:rPr>
          <w:t xml:space="preserve">uideline </w:t>
        </w:r>
        <w:r w:rsidR="00A25444" w:rsidRPr="00B8163D">
          <w:rPr>
            <w:rStyle w:val="Hyperlink"/>
            <w:i/>
            <w:iCs/>
            <w:lang w:val="en-GB"/>
          </w:rPr>
          <w:t>v</w:t>
        </w:r>
        <w:r w:rsidRPr="00B8163D">
          <w:rPr>
            <w:rStyle w:val="Hyperlink"/>
            <w:i/>
            <w:iCs/>
            <w:lang w:val="en-GB"/>
          </w:rPr>
          <w:t xml:space="preserve">alues for </w:t>
        </w:r>
        <w:r w:rsidR="00A25444" w:rsidRPr="00B8163D">
          <w:rPr>
            <w:rStyle w:val="Hyperlink"/>
            <w:i/>
            <w:iCs/>
            <w:lang w:val="en-GB"/>
          </w:rPr>
          <w:t>t</w:t>
        </w:r>
        <w:r w:rsidRPr="00B8163D">
          <w:rPr>
            <w:rStyle w:val="Hyperlink"/>
            <w:i/>
            <w:iCs/>
            <w:lang w:val="en-GB"/>
          </w:rPr>
          <w:t>oxicants – update of 2015 version</w:t>
        </w:r>
      </w:hyperlink>
      <w:r w:rsidR="00A25444" w:rsidRPr="00A25444">
        <w:rPr>
          <w:lang w:val="en-GB"/>
        </w:rPr>
        <w:t>, p</w:t>
      </w:r>
      <w:r w:rsidRPr="00720AFD">
        <w:rPr>
          <w:lang w:val="en-GB"/>
        </w:rPr>
        <w:t>repared for the revision of the Australian and New Zealand Guidelines for Fresh and Marine Water Quality</w:t>
      </w:r>
      <w:r w:rsidR="00F17F27">
        <w:rPr>
          <w:lang w:val="en-GB"/>
        </w:rPr>
        <w:t>,</w:t>
      </w:r>
      <w:r w:rsidRPr="00720AFD">
        <w:rPr>
          <w:lang w:val="en-GB"/>
        </w:rPr>
        <w:t xml:space="preserve"> Australian and New Zealand </w:t>
      </w:r>
      <w:r w:rsidR="00F17F27">
        <w:rPr>
          <w:lang w:val="en-GB"/>
        </w:rPr>
        <w:t>g</w:t>
      </w:r>
      <w:r w:rsidRPr="00720AFD">
        <w:rPr>
          <w:lang w:val="en-GB"/>
        </w:rPr>
        <w:t>overnments and Australian state and territory governments, Canberra.</w:t>
      </w:r>
    </w:p>
    <w:sectPr w:rsidR="00764B50" w:rsidRPr="007C67F1" w:rsidSect="00A0171A">
      <w:headerReference w:type="even" r:id="rId138"/>
      <w:headerReference w:type="default" r:id="rId139"/>
      <w:footerReference w:type="default" r:id="rId140"/>
      <w:headerReference w:type="first" r:id="rId141"/>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80085" w14:textId="77777777" w:rsidR="00D814B6" w:rsidRDefault="00D814B6" w:rsidP="004D7186">
      <w:r>
        <w:separator/>
      </w:r>
    </w:p>
  </w:endnote>
  <w:endnote w:type="continuationSeparator" w:id="0">
    <w:p w14:paraId="5862D677" w14:textId="77777777" w:rsidR="00D814B6" w:rsidRDefault="00D814B6" w:rsidP="004D7186">
      <w:r>
        <w:continuationSeparator/>
      </w:r>
    </w:p>
  </w:endnote>
  <w:endnote w:type="continuationNotice" w:id="1">
    <w:p w14:paraId="0B7F14F0" w14:textId="77777777" w:rsidR="00D814B6" w:rsidRDefault="00D814B6" w:rsidP="00B71737">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MyriadPro-Regular">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dvTT3713a231">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60F8C" w14:textId="54173652" w:rsidR="00FE2F92" w:rsidRDefault="00FA4FD0">
    <w:pPr>
      <w:pStyle w:val="Footer"/>
    </w:pPr>
    <w:r>
      <w:rPr>
        <w:noProof/>
      </w:rPr>
      <mc:AlternateContent>
        <mc:Choice Requires="wps">
          <w:drawing>
            <wp:anchor distT="0" distB="0" distL="0" distR="0" simplePos="0" relativeHeight="251658250" behindDoc="0" locked="0" layoutInCell="1" allowOverlap="1" wp14:anchorId="198BC53A" wp14:editId="67FA392A">
              <wp:simplePos x="635" y="635"/>
              <wp:positionH relativeFrom="page">
                <wp:align>center</wp:align>
              </wp:positionH>
              <wp:positionV relativeFrom="page">
                <wp:align>bottom</wp:align>
              </wp:positionV>
              <wp:extent cx="551815" cy="480695"/>
              <wp:effectExtent l="0" t="0" r="635" b="0"/>
              <wp:wrapNone/>
              <wp:docPr id="116335366"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72FD57A" w14:textId="111D8BDB"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8BC53A" id="_x0000_t202" coordsize="21600,21600" o:spt="202" path="m,l,21600r21600,l21600,xe">
              <v:stroke joinstyle="miter"/>
              <v:path gradientshapeok="t" o:connecttype="rect"/>
            </v:shapetype>
            <v:shape id="Text Box 14" o:spid="_x0000_s1027" type="#_x0000_t202" alt="OFFICIAL" style="position:absolute;margin-left:0;margin-top:0;width:43.45pt;height:37.8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k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bG7r+O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6LZ+QPAgAA&#10;HQQAAA4AAAAAAAAAAAAAAAAALgIAAGRycy9lMm9Eb2MueG1sUEsBAi0AFAAGAAgAAAAhAFRLWxbb&#10;AAAAAwEAAA8AAAAAAAAAAAAAAAAAaQQAAGRycy9kb3ducmV2LnhtbFBLBQYAAAAABAAEAPMAAABx&#10;BQAAAAA=&#10;" filled="f" stroked="f">
              <v:fill o:detectmouseclick="t"/>
              <v:textbox style="mso-fit-shape-to-text:t" inset="0,0,0,15pt">
                <w:txbxContent>
                  <w:p w14:paraId="472FD57A" w14:textId="111D8BDB"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8CC3" w14:textId="26A2C493" w:rsidR="002B69F2" w:rsidRDefault="002B69F2" w:rsidP="00B71737">
    <w:pPr>
      <w:pStyle w:val="Footer"/>
    </w:pPr>
    <w:r>
      <w:t xml:space="preserve">Australian </w:t>
    </w:r>
    <w:r w:rsidRPr="00B71737">
      <w:t>and</w:t>
    </w:r>
    <w:r>
      <w:t xml:space="preserve"> New Zealand Guidelines for Fresh and Marine Water Quality</w:t>
    </w:r>
    <w:r>
      <w:tab/>
    </w:r>
    <w:r>
      <w:fldChar w:fldCharType="begin"/>
    </w:r>
    <w:r>
      <w:instrText xml:space="preserve"> PAGE   \* MERGEFORMAT </w:instrText>
    </w:r>
    <w:r>
      <w:fldChar w:fldCharType="separate"/>
    </w:r>
    <w:r>
      <w:rPr>
        <w:noProof/>
      </w:rPr>
      <w:t>vi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D7B5" w14:textId="04DA9F18" w:rsidR="002B69F2" w:rsidRDefault="00FA4FD0" w:rsidP="00B71737">
    <w:pPr>
      <w:pStyle w:val="Footer"/>
    </w:pPr>
    <w:r>
      <w:rPr>
        <w:noProof/>
      </w:rPr>
      <mc:AlternateContent>
        <mc:Choice Requires="wps">
          <w:drawing>
            <wp:anchor distT="0" distB="0" distL="0" distR="0" simplePos="0" relativeHeight="251658251" behindDoc="0" locked="0" layoutInCell="1" allowOverlap="1" wp14:anchorId="521601B5" wp14:editId="2BB1673E">
              <wp:simplePos x="635" y="635"/>
              <wp:positionH relativeFrom="page">
                <wp:align>center</wp:align>
              </wp:positionH>
              <wp:positionV relativeFrom="page">
                <wp:align>bottom</wp:align>
              </wp:positionV>
              <wp:extent cx="551815" cy="480695"/>
              <wp:effectExtent l="0" t="0" r="635" b="0"/>
              <wp:wrapNone/>
              <wp:docPr id="1254596889"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9083314" w14:textId="0A9C661A"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1601B5" id="_x0000_t202" coordsize="21600,21600" o:spt="202" path="m,l,21600r21600,l21600,xe">
              <v:stroke joinstyle="miter"/>
              <v:path gradientshapeok="t" o:connecttype="rect"/>
            </v:shapetype>
            <v:shape id="Text Box 16" o:spid="_x0000_s1030" type="#_x0000_t202" alt="OFFICIAL" style="position:absolute;margin-left:0;margin-top:0;width:43.45pt;height:37.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hp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bUfSocXVuojzQVwmnh3slVS7XXwocXgbRhGoRU&#10;G57p0Ab6isPZ4qwB/PE3f8wn4inKWU+KqbglSXNmvllaSBTXaOBobJNR3OXTnOJ23z0A6bCgJ+Fk&#10;MsmLwYymRujeSM/LWIhCwkoqV/HtaD6Ek3TpPUi1XKYk0pETYW03TkboyFck83V4E+jOjAda1ROM&#10;chLlO+JPufGmd8t9IPrTVq5EniknDaa9nt9LFPmv/ynr+qoXPwE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QCMhpDQIAAB0E&#10;AAAOAAAAAAAAAAAAAAAAAC4CAABkcnMvZTJvRG9jLnhtbFBLAQItABQABgAIAAAAIQBUS1sW2wAA&#10;AAMBAAAPAAAAAAAAAAAAAAAAAGcEAABkcnMvZG93bnJldi54bWxQSwUGAAAAAAQABADzAAAAbwUA&#10;AAAA&#10;" filled="f" stroked="f">
              <v:fill o:detectmouseclick="t"/>
              <v:textbox style="mso-fit-shape-to-text:t" inset="0,0,0,15pt">
                <w:txbxContent>
                  <w:p w14:paraId="39083314" w14:textId="0A9C661A"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v:textbox>
              <w10:wrap anchorx="page" anchory="page"/>
            </v:shape>
          </w:pict>
        </mc:Fallback>
      </mc:AlternateContent>
    </w:r>
    <w:r w:rsidR="002B69F2">
      <w:t>Australian and New Zealand Guidelines for Fresh and Marine Water Quality</w:t>
    </w:r>
    <w:r w:rsidR="002B69F2">
      <w:tab/>
    </w:r>
    <w:r w:rsidR="002B69F2">
      <w:fldChar w:fldCharType="begin"/>
    </w:r>
    <w:r w:rsidR="002B69F2">
      <w:instrText xml:space="preserve"> PAGE   \* MERGEFORMAT </w:instrText>
    </w:r>
    <w:r w:rsidR="002B69F2">
      <w:fldChar w:fldCharType="separate"/>
    </w:r>
    <w:r w:rsidR="002B69F2">
      <w:rPr>
        <w:noProof/>
      </w:rPr>
      <w:t>7</w:t>
    </w:r>
    <w:r w:rsidR="002B69F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0E8FC" w14:textId="77777777" w:rsidR="00A0171A" w:rsidRDefault="00A0171A" w:rsidP="00513854">
    <w:pPr>
      <w:pStyle w:val="Footer"/>
      <w:tabs>
        <w:tab w:val="clear" w:pos="8931"/>
        <w:tab w:val="right" w:pos="13892"/>
      </w:tabs>
    </w:pPr>
    <w:r>
      <w:t>Australian and New Zealand Guidelines for Fresh and Marine Water Quality</w:t>
    </w:r>
    <w:r>
      <w:tab/>
    </w:r>
    <w:r>
      <w:fldChar w:fldCharType="begin"/>
    </w:r>
    <w:r>
      <w:instrText xml:space="preserve"> PAGE   \* MERGEFORMAT </w:instrText>
    </w:r>
    <w:r>
      <w:fldChar w:fldCharType="separate"/>
    </w:r>
    <w:r>
      <w:rPr>
        <w:noProof/>
      </w:rPr>
      <w:t>vi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3875F" w14:textId="77777777" w:rsidR="001C2312" w:rsidRDefault="001C2312" w:rsidP="00B71737">
    <w:pPr>
      <w:pStyle w:val="Footer"/>
    </w:pPr>
    <w:r>
      <w:t>Australian and New Zealand Guidelines for Fresh and Marine Water Quality</w:t>
    </w:r>
    <w:r>
      <w:tab/>
    </w:r>
    <w:r>
      <w:fldChar w:fldCharType="begin"/>
    </w:r>
    <w:r>
      <w:instrText xml:space="preserve"> PAGE   \* MERGEFORMAT </w:instrText>
    </w:r>
    <w:r>
      <w:fldChar w:fldCharType="separate"/>
    </w:r>
    <w:r>
      <w:rPr>
        <w:noProof/>
      </w:rPr>
      <w:t>vi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36A5A" w14:textId="77777777" w:rsidR="00D814B6" w:rsidRDefault="00D814B6" w:rsidP="004D7186">
      <w:r>
        <w:separator/>
      </w:r>
    </w:p>
  </w:footnote>
  <w:footnote w:type="continuationSeparator" w:id="0">
    <w:p w14:paraId="624E8F00" w14:textId="77777777" w:rsidR="00D814B6" w:rsidRDefault="00D814B6" w:rsidP="004D7186">
      <w:r>
        <w:continuationSeparator/>
      </w:r>
    </w:p>
  </w:footnote>
  <w:footnote w:type="continuationNotice" w:id="1">
    <w:p w14:paraId="38071D80" w14:textId="77777777" w:rsidR="00D814B6" w:rsidRDefault="00D814B6" w:rsidP="00B71737">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198" w14:textId="59DC09C4" w:rsidR="002B69F2" w:rsidRDefault="00FA4FD0" w:rsidP="00B71737">
    <w:pPr>
      <w:pStyle w:val="Header"/>
    </w:pPr>
    <w:r>
      <w:rPr>
        <w:noProof/>
      </w:rPr>
      <mc:AlternateContent>
        <mc:Choice Requires="wps">
          <w:drawing>
            <wp:anchor distT="0" distB="0" distL="0" distR="0" simplePos="0" relativeHeight="251658243" behindDoc="0" locked="0" layoutInCell="1" allowOverlap="1" wp14:anchorId="696F7EA4" wp14:editId="601702E5">
              <wp:simplePos x="635" y="635"/>
              <wp:positionH relativeFrom="page">
                <wp:align>center</wp:align>
              </wp:positionH>
              <wp:positionV relativeFrom="page">
                <wp:align>top</wp:align>
              </wp:positionV>
              <wp:extent cx="551815" cy="480695"/>
              <wp:effectExtent l="0" t="0" r="635" b="14605"/>
              <wp:wrapNone/>
              <wp:docPr id="6992779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146CB84" w14:textId="13FA3D81"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6F7EA4"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fill o:detectmouseclick="t"/>
              <v:textbox style="mso-fit-shape-to-text:t" inset="0,15pt,0,0">
                <w:txbxContent>
                  <w:p w14:paraId="0146CB84" w14:textId="13FA3D81"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v:textbox>
              <w10:wrap anchorx="page" anchory="page"/>
            </v:shape>
          </w:pict>
        </mc:Fallback>
      </mc:AlternateContent>
    </w:r>
    <w:r w:rsidR="006C5761">
      <w:rPr>
        <w:noProof/>
      </w:rPr>
      <w:pict w14:anchorId="61F9E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522.9pt;height:116.2pt;rotation:315;z-index:-251658239;mso-wrap-edited:f;mso-width-percent:0;mso-height-percent:0;mso-position-horizontal:center;mso-position-horizontal-relative:margin;mso-position-vertical:center;mso-position-vertical-relative:margin;mso-width-percent:0;mso-height-percent:0" o:allowincell="f" fillcolor="#f2f2f2 [3052]" stroked="f">
          <v:textpath style="font-family:&quot;Calibri&quot;;font-size:1pt" string="FINAL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4604E" w14:textId="07F2F305" w:rsidR="00FE2F92" w:rsidRDefault="00FA4FD0">
    <w:pPr>
      <w:pStyle w:val="Header"/>
    </w:pPr>
    <w:r>
      <w:rPr>
        <w:noProof/>
      </w:rPr>
      <mc:AlternateContent>
        <mc:Choice Requires="wps">
          <w:drawing>
            <wp:anchor distT="0" distB="0" distL="0" distR="0" simplePos="0" relativeHeight="251658249" behindDoc="0" locked="0" layoutInCell="1" allowOverlap="1" wp14:anchorId="0E61AD7C" wp14:editId="10C9708E">
              <wp:simplePos x="635" y="635"/>
              <wp:positionH relativeFrom="page">
                <wp:align>center</wp:align>
              </wp:positionH>
              <wp:positionV relativeFrom="page">
                <wp:align>top</wp:align>
              </wp:positionV>
              <wp:extent cx="551815" cy="480695"/>
              <wp:effectExtent l="0" t="0" r="635" b="14605"/>
              <wp:wrapNone/>
              <wp:docPr id="18696325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377E464" w14:textId="3981B6D5"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61AD7C" id="_x0000_t202" coordsize="21600,21600" o:spt="202" path="m,l,21600r21600,l21600,xe">
              <v:stroke joinstyle="miter"/>
              <v:path gradientshapeok="t" o:connecttype="rect"/>
            </v:shapetype>
            <v:shape id="Text Box 11" o:spid="_x0000_s1033" type="#_x0000_t202" alt="OFFICIAL" style="position:absolute;margin-left:0;margin-top:0;width:43.45pt;height:37.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fill o:detectmouseclick="t"/>
              <v:textbox style="mso-fit-shape-to-text:t" inset="0,15pt,0,0">
                <w:txbxContent>
                  <w:p w14:paraId="5377E464" w14:textId="3981B6D5"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03217" w14:textId="77777777" w:rsidR="00FE2F92" w:rsidRDefault="00FE2F9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F30A" w14:textId="42A762C6" w:rsidR="00FE2F92" w:rsidRDefault="00FA4FD0">
    <w:pPr>
      <w:pStyle w:val="Header"/>
    </w:pPr>
    <w:r>
      <w:rPr>
        <w:noProof/>
      </w:rPr>
      <mc:AlternateContent>
        <mc:Choice Requires="wps">
          <w:drawing>
            <wp:anchor distT="0" distB="0" distL="0" distR="0" simplePos="0" relativeHeight="251658248" behindDoc="0" locked="0" layoutInCell="1" allowOverlap="1" wp14:anchorId="2A851F9F" wp14:editId="0BF69FA1">
              <wp:simplePos x="635" y="635"/>
              <wp:positionH relativeFrom="page">
                <wp:align>center</wp:align>
              </wp:positionH>
              <wp:positionV relativeFrom="page">
                <wp:align>top</wp:align>
              </wp:positionV>
              <wp:extent cx="551815" cy="480695"/>
              <wp:effectExtent l="0" t="0" r="635" b="14605"/>
              <wp:wrapNone/>
              <wp:docPr id="228310105"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5F220C" w14:textId="2CA9D2CB"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851F9F" id="_x0000_t202" coordsize="21600,21600" o:spt="202" path="m,l,21600r21600,l21600,xe">
              <v:stroke joinstyle="miter"/>
              <v:path gradientshapeok="t" o:connecttype="rect"/>
            </v:shapetype>
            <v:shape id="Text Box 10" o:spid="_x0000_s1034" type="#_x0000_t202" alt="OFFICIAL" style="position:absolute;margin-left:0;margin-top:0;width:43.45pt;height:37.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56DgIAABw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0rOh+730F9wqEcDPv2lq9bLL1hPrwwhwvGOVC0&#10;4RkPqaCrKJwtShpwP//lj/nIO0Yp6VAwFTWoaErUd4P7iNpKRjHP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S1w56DgIAABwE&#10;AAAOAAAAAAAAAAAAAAAAAC4CAABkcnMvZTJvRG9jLnhtbFBLAQItABQABgAIAAAAIQC3uIep2gAA&#10;AAMBAAAPAAAAAAAAAAAAAAAAAGgEAABkcnMvZG93bnJldi54bWxQSwUGAAAAAAQABADzAAAAbwUA&#10;AAAA&#10;" filled="f" stroked="f">
              <v:fill o:detectmouseclick="t"/>
              <v:textbox style="mso-fit-shape-to-text:t" inset="0,15pt,0,0">
                <w:txbxContent>
                  <w:p w14:paraId="105F220C" w14:textId="2CA9D2CB"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BAB2D" w14:textId="196C3671" w:rsidR="002B69F2" w:rsidRDefault="002B69F2" w:rsidP="00B71737">
    <w:pPr>
      <w:pStyle w:val="Header"/>
    </w:pPr>
    <w:r>
      <w:t xml:space="preserve">Revised </w:t>
    </w:r>
    <w:r w:rsidR="00626531">
      <w:t>m</w:t>
    </w:r>
    <w:r>
      <w:t xml:space="preserve">ethod for </w:t>
    </w:r>
    <w:r w:rsidR="00626531">
      <w:t>d</w:t>
    </w:r>
    <w:r>
      <w:t xml:space="preserve">eriving Australian and New </w:t>
    </w:r>
    <w:r w:rsidRPr="00B71737">
      <w:t>Zealand</w:t>
    </w:r>
    <w:r>
      <w:t xml:space="preserve"> </w:t>
    </w:r>
    <w:r w:rsidR="0016189C">
      <w:t>w</w:t>
    </w:r>
    <w:r>
      <w:t xml:space="preserve">ater </w:t>
    </w:r>
    <w:r w:rsidR="0016189C">
      <w:t>q</w:t>
    </w:r>
    <w:r>
      <w:t xml:space="preserve">uality </w:t>
    </w:r>
    <w:r w:rsidR="0016189C">
      <w:t>g</w:t>
    </w:r>
    <w:r>
      <w:t xml:space="preserve">uideline </w:t>
    </w:r>
    <w:r w:rsidR="00626531">
      <w:t>v</w:t>
    </w:r>
    <w:r>
      <w:t xml:space="preserve">alues for </w:t>
    </w:r>
    <w:r w:rsidR="00626531">
      <w:t>t</w:t>
    </w:r>
    <w:r>
      <w:t>oxicants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95F14" w14:textId="147D4A91" w:rsidR="002B69F2" w:rsidRDefault="002B69F2" w:rsidP="00B71737">
    <w:pPr>
      <w:pStyle w:val="Header"/>
    </w:pPr>
    <w:r>
      <w:rPr>
        <w:noProof/>
        <w:lang w:eastAsia="en-AU"/>
      </w:rPr>
      <w:drawing>
        <wp:anchor distT="0" distB="0" distL="114300" distR="114300" simplePos="0" relativeHeight="251658240" behindDoc="1" locked="0" layoutInCell="1" allowOverlap="1" wp14:anchorId="7AE20C34" wp14:editId="4CFB2EA9">
          <wp:simplePos x="0" y="0"/>
          <wp:positionH relativeFrom="column">
            <wp:posOffset>-895406</wp:posOffset>
          </wp:positionH>
          <wp:positionV relativeFrom="paragraph">
            <wp:posOffset>-355021</wp:posOffset>
          </wp:positionV>
          <wp:extent cx="7556361" cy="10687529"/>
          <wp:effectExtent l="0" t="0" r="6985" b="0"/>
          <wp:wrapNone/>
          <wp:docPr id="860161562" name="Picture 860161562" descr="Water Quality Guidelines is a joint initiative of the Australian and New Zealand governments, in partnership with the Australian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2834_1216_Water Quality guidelines-blank-We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472" cy="107103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D99EC" w14:textId="64FA2570" w:rsidR="002B69F2" w:rsidRDefault="00FA4FD0" w:rsidP="00B71737">
    <w:pPr>
      <w:pStyle w:val="Header"/>
    </w:pPr>
    <w:r>
      <w:rPr>
        <w:noProof/>
      </w:rPr>
      <mc:AlternateContent>
        <mc:Choice Requires="wps">
          <w:drawing>
            <wp:anchor distT="0" distB="0" distL="0" distR="0" simplePos="0" relativeHeight="251658245" behindDoc="0" locked="0" layoutInCell="1" allowOverlap="1" wp14:anchorId="6B7B1E8A" wp14:editId="4B5BD812">
              <wp:simplePos x="635" y="635"/>
              <wp:positionH relativeFrom="page">
                <wp:align>center</wp:align>
              </wp:positionH>
              <wp:positionV relativeFrom="page">
                <wp:align>top</wp:align>
              </wp:positionV>
              <wp:extent cx="551815" cy="480695"/>
              <wp:effectExtent l="0" t="0" r="635" b="14605"/>
              <wp:wrapNone/>
              <wp:docPr id="46948821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7F002FD" w14:textId="7DAF85EA"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7B1E8A" id="_x0000_t202" coordsize="21600,21600" o:spt="202" path="m,l,21600r21600,l21600,xe">
              <v:stroke joinstyle="miter"/>
              <v:path gradientshapeok="t" o:connecttype="rect"/>
            </v:shapetype>
            <v:shape id="Text Box 5" o:spid="_x0000_s1028"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fill o:detectmouseclick="t"/>
              <v:textbox style="mso-fit-shape-to-text:t" inset="0,15pt,0,0">
                <w:txbxContent>
                  <w:p w14:paraId="67F002FD" w14:textId="7DAF85EA"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v:textbox>
              <w10:wrap anchorx="page" anchory="page"/>
            </v:shape>
          </w:pict>
        </mc:Fallback>
      </mc:AlternateContent>
    </w:r>
    <w:r w:rsidR="006C5761">
      <w:rPr>
        <w:noProof/>
      </w:rPr>
      <w:pict w14:anchorId="3E44A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522.9pt;height:116.2pt;rotation:315;z-index:-251658238;mso-wrap-edited:f;mso-width-percent:0;mso-height-percent:0;mso-position-horizontal:center;mso-position-horizontal-relative:margin;mso-position-vertical:center;mso-position-vertical-relative:margin;mso-width-percent:0;mso-height-percent:0" o:allowincell="f" fillcolor="#f2f2f2 [3052]" stroked="f">
          <v:textpath style="font-family:&quot;Calibri&quot;;font-size:1pt" string="FINAL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7D061" w14:textId="77777777" w:rsidR="00FE2F92" w:rsidRDefault="00FE2F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C0916" w14:textId="5989DF6B" w:rsidR="00FE2F92" w:rsidRDefault="00FA4FD0">
    <w:pPr>
      <w:pStyle w:val="Header"/>
    </w:pPr>
    <w:r>
      <w:rPr>
        <w:noProof/>
      </w:rPr>
      <mc:AlternateContent>
        <mc:Choice Requires="wps">
          <w:drawing>
            <wp:anchor distT="0" distB="0" distL="0" distR="0" simplePos="0" relativeHeight="251658244" behindDoc="0" locked="0" layoutInCell="1" allowOverlap="1" wp14:anchorId="194CFED0" wp14:editId="057ABD8C">
              <wp:simplePos x="635" y="635"/>
              <wp:positionH relativeFrom="page">
                <wp:align>center</wp:align>
              </wp:positionH>
              <wp:positionV relativeFrom="page">
                <wp:align>top</wp:align>
              </wp:positionV>
              <wp:extent cx="551815" cy="480695"/>
              <wp:effectExtent l="0" t="0" r="635" b="14605"/>
              <wp:wrapNone/>
              <wp:docPr id="155506648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602DC16" w14:textId="06C1E6E7"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4CFED0" id="_x0000_t202" coordsize="21600,21600" o:spt="202" path="m,l,21600r21600,l21600,xe">
              <v:stroke joinstyle="miter"/>
              <v:path gradientshapeok="t" o:connecttype="rect"/>
            </v:shapetype>
            <v:shape id="Text Box 4" o:spid="_x0000_s1029"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83DgIAABw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hVI83DgIAABwE&#10;AAAOAAAAAAAAAAAAAAAAAC4CAABkcnMvZTJvRG9jLnhtbFBLAQItABQABgAIAAAAIQC3uIep2gAA&#10;AAMBAAAPAAAAAAAAAAAAAAAAAGgEAABkcnMvZG93bnJldi54bWxQSwUGAAAAAAQABADzAAAAbwUA&#10;AAAA&#10;" filled="f" stroked="f">
              <v:fill o:detectmouseclick="t"/>
              <v:textbox style="mso-fit-shape-to-text:t" inset="0,15pt,0,0">
                <w:txbxContent>
                  <w:p w14:paraId="1602DC16" w14:textId="06C1E6E7"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568B3" w14:textId="2CE1335C" w:rsidR="00FE2F92" w:rsidRDefault="00FA4FD0">
    <w:pPr>
      <w:pStyle w:val="Header"/>
    </w:pPr>
    <w:r>
      <w:rPr>
        <w:noProof/>
      </w:rPr>
      <mc:AlternateContent>
        <mc:Choice Requires="wps">
          <w:drawing>
            <wp:anchor distT="0" distB="0" distL="0" distR="0" simplePos="0" relativeHeight="251658247" behindDoc="0" locked="0" layoutInCell="1" allowOverlap="1" wp14:anchorId="567C1CEC" wp14:editId="37D7C2E4">
              <wp:simplePos x="635" y="635"/>
              <wp:positionH relativeFrom="page">
                <wp:align>center</wp:align>
              </wp:positionH>
              <wp:positionV relativeFrom="page">
                <wp:align>top</wp:align>
              </wp:positionV>
              <wp:extent cx="551815" cy="480695"/>
              <wp:effectExtent l="0" t="0" r="635" b="14605"/>
              <wp:wrapNone/>
              <wp:docPr id="20670609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5C7A2E4" w14:textId="46C0E496"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C1CEC" id="_x0000_t202" coordsize="21600,21600" o:spt="202" path="m,l,21600r21600,l21600,xe">
              <v:stroke joinstyle="miter"/>
              <v:path gradientshapeok="t" o:connecttype="rect"/>
            </v:shapetype>
            <v:shape id="Text Box 8" o:spid="_x0000_s1031"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VqUXBDgIAABwE&#10;AAAOAAAAAAAAAAAAAAAAAC4CAABkcnMvZTJvRG9jLnhtbFBLAQItABQABgAIAAAAIQC3uIep2gAA&#10;AAMBAAAPAAAAAAAAAAAAAAAAAGgEAABkcnMvZG93bnJldi54bWxQSwUGAAAAAAQABADzAAAAbwUA&#10;AAAA&#10;" filled="f" stroked="f">
              <v:fill o:detectmouseclick="t"/>
              <v:textbox style="mso-fit-shape-to-text:t" inset="0,15pt,0,0">
                <w:txbxContent>
                  <w:p w14:paraId="35C7A2E4" w14:textId="46C0E496"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9A10D" w14:textId="77777777" w:rsidR="00FE2F92" w:rsidRDefault="00FE2F9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8BB0E" w14:textId="69BFEA7C" w:rsidR="00FE2F92" w:rsidRDefault="00FA4FD0">
    <w:pPr>
      <w:pStyle w:val="Header"/>
    </w:pPr>
    <w:r>
      <w:rPr>
        <w:noProof/>
      </w:rPr>
      <mc:AlternateContent>
        <mc:Choice Requires="wps">
          <w:drawing>
            <wp:anchor distT="0" distB="0" distL="0" distR="0" simplePos="0" relativeHeight="251658246" behindDoc="0" locked="0" layoutInCell="1" allowOverlap="1" wp14:anchorId="029378D5" wp14:editId="6A1B4AFC">
              <wp:simplePos x="635" y="635"/>
              <wp:positionH relativeFrom="page">
                <wp:align>center</wp:align>
              </wp:positionH>
              <wp:positionV relativeFrom="page">
                <wp:align>top</wp:align>
              </wp:positionV>
              <wp:extent cx="551815" cy="480695"/>
              <wp:effectExtent l="0" t="0" r="635" b="14605"/>
              <wp:wrapNone/>
              <wp:docPr id="102673359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FF21488" w14:textId="250A726F"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9378D5" id="_x0000_t202" coordsize="21600,21600" o:spt="202" path="m,l,21600r21600,l21600,xe">
              <v:stroke joinstyle="miter"/>
              <v:path gradientshapeok="t" o:connecttype="rect"/>
            </v:shapetype>
            <v:shape id="Text Box 7" o:spid="_x0000_s1032"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fill o:detectmouseclick="t"/>
              <v:textbox style="mso-fit-shape-to-text:t" inset="0,15pt,0,0">
                <w:txbxContent>
                  <w:p w14:paraId="1FF21488" w14:textId="250A726F" w:rsidR="00FA4FD0" w:rsidRPr="00FA4FD0" w:rsidRDefault="00FA4FD0" w:rsidP="00FA4FD0">
                    <w:pPr>
                      <w:spacing w:after="0"/>
                      <w:rPr>
                        <w:rFonts w:ascii="Calibri" w:eastAsia="Calibri" w:hAnsi="Calibri" w:cs="Calibri"/>
                        <w:noProof/>
                        <w:color w:val="FF0000"/>
                        <w:sz w:val="24"/>
                        <w:szCs w:val="24"/>
                      </w:rPr>
                    </w:pPr>
                    <w:r w:rsidRPr="00FA4FD0">
                      <w:rPr>
                        <w:rFonts w:ascii="Calibri" w:eastAsia="Calibri" w:hAnsi="Calibri" w:cs="Calibri"/>
                        <w:noProof/>
                        <w:color w:val="FF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09B8"/>
    <w:multiLevelType w:val="multilevel"/>
    <w:tmpl w:val="C4AE0262"/>
    <w:styleLink w:val="CurrentList6"/>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1" w15:restartNumberingAfterBreak="0">
    <w:nsid w:val="06203311"/>
    <w:multiLevelType w:val="hybridMultilevel"/>
    <w:tmpl w:val="A08EF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3" w15:restartNumberingAfterBreak="0">
    <w:nsid w:val="0B420E97"/>
    <w:multiLevelType w:val="hybridMultilevel"/>
    <w:tmpl w:val="B718C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A545A"/>
    <w:multiLevelType w:val="multilevel"/>
    <w:tmpl w:val="3B661942"/>
    <w:styleLink w:val="CurrentList4"/>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2.%3.%4"/>
      <w:lvlJc w:val="left"/>
      <w:pPr>
        <w:ind w:left="648" w:hanging="648"/>
      </w:pPr>
      <w:rPr>
        <w:rFonts w:hint="default"/>
      </w:rPr>
    </w:lvl>
    <w:lvl w:ilvl="4">
      <w:start w:val="1"/>
      <w:numFmt w:val="decimal"/>
      <w:lvlText w:val="%1.%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upperLetter"/>
      <w:lvlText w:val="Appendix %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5" w15:restartNumberingAfterBreak="0">
    <w:nsid w:val="0FF73C7F"/>
    <w:multiLevelType w:val="multilevel"/>
    <w:tmpl w:val="757ED760"/>
    <w:styleLink w:val="Style1"/>
    <w:lvl w:ilvl="0">
      <w:start w:val="1"/>
      <w:numFmt w:val="decimal"/>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6" w15:restartNumberingAfterBreak="0">
    <w:nsid w:val="139B585E"/>
    <w:multiLevelType w:val="hybridMultilevel"/>
    <w:tmpl w:val="B3EC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52794"/>
    <w:multiLevelType w:val="multilevel"/>
    <w:tmpl w:val="E3500844"/>
    <w:styleLink w:val="CurrentList8"/>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8" w15:restartNumberingAfterBreak="0">
    <w:nsid w:val="17820268"/>
    <w:multiLevelType w:val="multilevel"/>
    <w:tmpl w:val="F4D43494"/>
    <w:styleLink w:val="CurrentList12"/>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3.%2.%4"/>
      <w:lvlJc w:val="left"/>
      <w:pPr>
        <w:ind w:left="648" w:hanging="648"/>
      </w:pPr>
      <w:rPr>
        <w:rFonts w:hint="default"/>
      </w:rPr>
    </w:lvl>
    <w:lvl w:ilvl="4">
      <w:start w:val="1"/>
      <w:numFmt w:val="decimal"/>
      <w:lvlText w:val="%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9" w15:restartNumberingAfterBreak="0">
    <w:nsid w:val="196B606F"/>
    <w:multiLevelType w:val="hybridMultilevel"/>
    <w:tmpl w:val="45728A62"/>
    <w:lvl w:ilvl="0" w:tplc="3EB29D1A">
      <w:start w:val="1"/>
      <w:numFmt w:val="bullet"/>
      <w:pStyle w:val="Table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0B257F"/>
    <w:multiLevelType w:val="multilevel"/>
    <w:tmpl w:val="DBBC70EA"/>
    <w:lvl w:ilvl="0">
      <w:start w:val="1"/>
      <w:numFmt w:val="decimal"/>
      <w:lvlText w:val="%1."/>
      <w:lvlJc w:val="left"/>
      <w:pPr>
        <w:ind w:left="-720" w:hanging="360"/>
      </w:pPr>
      <w:rPr>
        <w:rFonts w:hint="default"/>
      </w:rPr>
    </w:lvl>
    <w:lvl w:ilvl="1">
      <w:start w:val="1"/>
      <w:numFmt w:val="decimal"/>
      <w:pStyle w:val="Heading2"/>
      <w:lvlText w:val="%2"/>
      <w:lvlJc w:val="left"/>
      <w:pPr>
        <w:ind w:left="-288" w:hanging="432"/>
      </w:pPr>
      <w:rPr>
        <w:rFonts w:hint="default"/>
      </w:rPr>
    </w:lvl>
    <w:lvl w:ilvl="2">
      <w:start w:val="1"/>
      <w:numFmt w:val="decimal"/>
      <w:pStyle w:val="Heading3"/>
      <w:lvlText w:val="%2.%3"/>
      <w:lvlJc w:val="left"/>
      <w:pPr>
        <w:ind w:left="144" w:hanging="504"/>
      </w:pPr>
      <w:rPr>
        <w:rFonts w:hint="default"/>
      </w:rPr>
    </w:lvl>
    <w:lvl w:ilvl="3">
      <w:start w:val="1"/>
      <w:numFmt w:val="decimal"/>
      <w:pStyle w:val="Heading4"/>
      <w:lvlText w:val="%2.%3.%4"/>
      <w:lvlJc w:val="left"/>
      <w:pPr>
        <w:ind w:left="648" w:hanging="648"/>
      </w:pPr>
      <w:rPr>
        <w:rFonts w:hint="default"/>
      </w:rPr>
    </w:lvl>
    <w:lvl w:ilvl="4">
      <w:start w:val="1"/>
      <w:numFmt w:val="decimal"/>
      <w:pStyle w:val="Heading5"/>
      <w:lvlText w:val="%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11" w15:restartNumberingAfterBreak="0">
    <w:nsid w:val="23A056E1"/>
    <w:multiLevelType w:val="multilevel"/>
    <w:tmpl w:val="ABCC567C"/>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pStyle w:val="Heading7"/>
      <w:suff w:val="space"/>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12" w15:restartNumberingAfterBreak="0">
    <w:nsid w:val="28092854"/>
    <w:multiLevelType w:val="multilevel"/>
    <w:tmpl w:val="1C9AA798"/>
    <w:styleLink w:val="CurrentList7"/>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13"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2D595B46"/>
    <w:multiLevelType w:val="multilevel"/>
    <w:tmpl w:val="C32AB9AA"/>
    <w:numStyleLink w:val="ListNumber1"/>
  </w:abstractNum>
  <w:abstractNum w:abstractNumId="15"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6" w15:restartNumberingAfterBreak="0">
    <w:nsid w:val="35291747"/>
    <w:multiLevelType w:val="multilevel"/>
    <w:tmpl w:val="F274F8BA"/>
    <w:styleLink w:val="CurrentList10"/>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3%2..%4"/>
      <w:lvlJc w:val="left"/>
      <w:pPr>
        <w:ind w:left="648" w:hanging="648"/>
      </w:pPr>
      <w:rPr>
        <w:rFonts w:hint="default"/>
      </w:rPr>
    </w:lvl>
    <w:lvl w:ilvl="4">
      <w:start w:val="1"/>
      <w:numFmt w:val="decimal"/>
      <w:lvlText w:val="%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17" w15:restartNumberingAfterBreak="0">
    <w:nsid w:val="37C8219A"/>
    <w:multiLevelType w:val="hybridMultilevel"/>
    <w:tmpl w:val="8F7882B4"/>
    <w:lvl w:ilvl="0" w:tplc="8E6EBBB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9" w15:restartNumberingAfterBreak="0">
    <w:nsid w:val="4265682E"/>
    <w:multiLevelType w:val="multilevel"/>
    <w:tmpl w:val="D9CAA11C"/>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0" w15:restartNumberingAfterBreak="0">
    <w:nsid w:val="459E7D0A"/>
    <w:multiLevelType w:val="multilevel"/>
    <w:tmpl w:val="D4D68FCC"/>
    <w:lvl w:ilvl="0">
      <w:start w:val="1"/>
      <w:numFmt w:val="decimal"/>
      <w:pStyle w:val="NumberedHeading1"/>
      <w:lvlText w:val="%1"/>
      <w:lvlJc w:val="left"/>
      <w:pPr>
        <w:tabs>
          <w:tab w:val="num" w:pos="432"/>
        </w:tabs>
        <w:ind w:left="432" w:hanging="432"/>
      </w:pPr>
      <w:rPr>
        <w:rFonts w:hint="default"/>
      </w:rPr>
    </w:lvl>
    <w:lvl w:ilvl="1">
      <w:start w:val="1"/>
      <w:numFmt w:val="decimal"/>
      <w:pStyle w:val="NumberedHeading2"/>
      <w:lvlText w:val="%1.%2"/>
      <w:lvlJc w:val="left"/>
      <w:pPr>
        <w:tabs>
          <w:tab w:val="num" w:pos="576"/>
        </w:tabs>
        <w:ind w:left="576" w:hanging="576"/>
      </w:pPr>
      <w:rPr>
        <w:rFonts w:hint="default"/>
      </w:rPr>
    </w:lvl>
    <w:lvl w:ilvl="2">
      <w:start w:val="1"/>
      <w:numFmt w:val="decimal"/>
      <w:pStyle w:val="NumberedHeading3"/>
      <w:lvlText w:val="%1.%2.%3"/>
      <w:lvlJc w:val="left"/>
      <w:pPr>
        <w:tabs>
          <w:tab w:val="num" w:pos="720"/>
        </w:tabs>
        <w:ind w:left="720" w:hanging="72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5AD4D5D"/>
    <w:multiLevelType w:val="multilevel"/>
    <w:tmpl w:val="5F3E2E62"/>
    <w:styleLink w:val="CurrentList9"/>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2.%3.%4"/>
      <w:lvlJc w:val="left"/>
      <w:pPr>
        <w:ind w:left="648" w:hanging="648"/>
      </w:pPr>
      <w:rPr>
        <w:rFonts w:hint="default"/>
      </w:rPr>
    </w:lvl>
    <w:lvl w:ilvl="4">
      <w:start w:val="1"/>
      <w:numFmt w:val="decimal"/>
      <w:lvlText w:val="%1.%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2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160339"/>
    <w:multiLevelType w:val="multilevel"/>
    <w:tmpl w:val="D71AB3E2"/>
    <w:styleLink w:val="CurrentList2"/>
    <w:lvl w:ilvl="0">
      <w:start w:val="1"/>
      <w:numFmt w:val="decimal"/>
      <w:lvlText w:val="%1."/>
      <w:lvlJc w:val="left"/>
      <w:pPr>
        <w:ind w:left="0" w:hanging="360"/>
      </w:pPr>
      <w:rPr>
        <w:rFonts w:hint="default"/>
      </w:rPr>
    </w:lvl>
    <w:lvl w:ilvl="1">
      <w:start w:val="1"/>
      <w:numFmt w:val="decimal"/>
      <w:lvlText w:val="%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4" w15:restartNumberingAfterBreak="0">
    <w:nsid w:val="4B6A7669"/>
    <w:multiLevelType w:val="hybridMultilevel"/>
    <w:tmpl w:val="FBE66462"/>
    <w:lvl w:ilvl="0" w:tplc="0809000F">
      <w:start w:val="1"/>
      <w:numFmt w:val="decimal"/>
      <w:lvlText w:val="%1."/>
      <w:lvlJc w:val="left"/>
      <w:pPr>
        <w:ind w:left="720" w:hanging="360"/>
      </w:pPr>
      <w:rPr>
        <w:rFonts w:hint="default"/>
      </w:rPr>
    </w:lvl>
    <w:lvl w:ilvl="1" w:tplc="8C60B88A">
      <w:start w:val="1"/>
      <w:numFmt w:val="bullet"/>
      <w:lvlText w:val=""/>
      <w:lvlJc w:val="left"/>
      <w:pPr>
        <w:ind w:left="1440" w:hanging="360"/>
      </w:pPr>
      <w:rPr>
        <w:rFonts w:ascii="Symbol" w:hAnsi="Symbol"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6" w15:restartNumberingAfterBreak="0">
    <w:nsid w:val="4BB5157A"/>
    <w:multiLevelType w:val="hybridMultilevel"/>
    <w:tmpl w:val="2ABCC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E015FA"/>
    <w:multiLevelType w:val="hybridMultilevel"/>
    <w:tmpl w:val="B59C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AD020E"/>
    <w:multiLevelType w:val="multilevel"/>
    <w:tmpl w:val="47A8846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8782F9B"/>
    <w:multiLevelType w:val="multilevel"/>
    <w:tmpl w:val="AA86557E"/>
    <w:styleLink w:val="CurrentList5"/>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30" w15:restartNumberingAfterBreak="0">
    <w:nsid w:val="593A4D91"/>
    <w:multiLevelType w:val="hybridMultilevel"/>
    <w:tmpl w:val="E0E691AC"/>
    <w:lvl w:ilvl="0" w:tplc="FFFFFFFF">
      <w:start w:val="1"/>
      <w:numFmt w:val="bullet"/>
      <w:pStyle w:val="BodyBullet"/>
      <w:lvlText w:val=""/>
      <w:lvlJc w:val="left"/>
      <w:pPr>
        <w:tabs>
          <w:tab w:val="num" w:pos="360"/>
        </w:tabs>
        <w:ind w:left="284" w:hanging="284"/>
      </w:pPr>
      <w:rPr>
        <w:rFonts w:ascii="Wingdings 2" w:hAnsi="Wingdings 2" w:hint="default"/>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2" w15:restartNumberingAfterBreak="0">
    <w:nsid w:val="5CAA3D45"/>
    <w:multiLevelType w:val="hybridMultilevel"/>
    <w:tmpl w:val="8D08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73650A"/>
    <w:multiLevelType w:val="multilevel"/>
    <w:tmpl w:val="6046EACC"/>
    <w:styleLink w:val="CurrentList3"/>
    <w:lvl w:ilvl="0">
      <w:start w:val="1"/>
      <w:numFmt w:val="decimal"/>
      <w:lvlText w:val="%1."/>
      <w:lvlJc w:val="left"/>
      <w:pPr>
        <w:ind w:left="0" w:hanging="360"/>
      </w:pPr>
      <w:rPr>
        <w:rFonts w:hint="default"/>
      </w:rPr>
    </w:lvl>
    <w:lvl w:ilvl="1">
      <w:start w:val="1"/>
      <w:numFmt w:val="decimal"/>
      <w:lvlText w:val="%2"/>
      <w:lvlJc w:val="left"/>
      <w:pPr>
        <w:ind w:left="432" w:hanging="432"/>
      </w:pPr>
      <w:rPr>
        <w:rFonts w:hint="default"/>
      </w:rPr>
    </w:lvl>
    <w:lvl w:ilvl="2">
      <w:start w:val="1"/>
      <w:numFmt w:val="decimal"/>
      <w:lvlText w:val="%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4" w15:restartNumberingAfterBreak="0">
    <w:nsid w:val="6BB133DE"/>
    <w:multiLevelType w:val="hybridMultilevel"/>
    <w:tmpl w:val="6694C292"/>
    <w:lvl w:ilvl="0" w:tplc="094E5B9E">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6643F6"/>
    <w:multiLevelType w:val="multilevel"/>
    <w:tmpl w:val="40820C4E"/>
    <w:styleLink w:val="CurrentList11"/>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3.%2.%4"/>
      <w:lvlJc w:val="left"/>
      <w:pPr>
        <w:ind w:left="648" w:hanging="648"/>
      </w:pPr>
      <w:rPr>
        <w:rFonts w:hint="default"/>
      </w:rPr>
    </w:lvl>
    <w:lvl w:ilvl="4">
      <w:start w:val="1"/>
      <w:numFmt w:val="decimal"/>
      <w:lvlText w:val="%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36" w15:restartNumberingAfterBreak="0">
    <w:nsid w:val="6C7F0702"/>
    <w:multiLevelType w:val="hybridMultilevel"/>
    <w:tmpl w:val="1E646700"/>
    <w:lvl w:ilvl="0" w:tplc="6FE2CA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36387C"/>
    <w:multiLevelType w:val="multilevel"/>
    <w:tmpl w:val="BF349E24"/>
    <w:lvl w:ilvl="0">
      <w:start w:val="1"/>
      <w:numFmt w:val="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8" w15:restartNumberingAfterBreak="0">
    <w:nsid w:val="789E29C9"/>
    <w:multiLevelType w:val="multilevel"/>
    <w:tmpl w:val="0809001D"/>
    <w:styleLink w:val="Recommendation"/>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13091085">
    <w:abstractNumId w:val="22"/>
  </w:num>
  <w:num w:numId="2" w16cid:durableId="976758563">
    <w:abstractNumId w:val="9"/>
  </w:num>
  <w:num w:numId="3" w16cid:durableId="897740745">
    <w:abstractNumId w:val="31"/>
  </w:num>
  <w:num w:numId="4" w16cid:durableId="1401170796">
    <w:abstractNumId w:val="13"/>
  </w:num>
  <w:num w:numId="5" w16cid:durableId="1061251578">
    <w:abstractNumId w:val="15"/>
  </w:num>
  <w:num w:numId="6" w16cid:durableId="20058627">
    <w:abstractNumId w:val="25"/>
  </w:num>
  <w:num w:numId="7" w16cid:durableId="1276248429">
    <w:abstractNumId w:val="37"/>
  </w:num>
  <w:num w:numId="8" w16cid:durableId="1460687697">
    <w:abstractNumId w:val="18"/>
  </w:num>
  <w:num w:numId="9" w16cid:durableId="61876942">
    <w:abstractNumId w:val="14"/>
    <w:lvlOverride w:ilvl="0">
      <w:lvl w:ilvl="0">
        <w:start w:val="1"/>
        <w:numFmt w:val="decimal"/>
        <w:pStyle w:val="ListNumber"/>
        <w:lvlText w:val="%1)"/>
        <w:lvlJc w:val="left"/>
        <w:pPr>
          <w:tabs>
            <w:tab w:val="num" w:pos="397"/>
          </w:tabs>
          <w:ind w:left="397" w:hanging="397"/>
        </w:pPr>
        <w:rPr>
          <w:rFonts w:hint="default"/>
          <w:color w:val="auto"/>
        </w:rPr>
      </w:lvl>
    </w:lvlOverride>
    <w:lvlOverride w:ilvl="1">
      <w:lvl w:ilvl="1">
        <w:start w:val="1"/>
        <w:numFmt w:val="lowerLetter"/>
        <w:pStyle w:val="ListNumber2"/>
        <w:lvlText w:val="%2)"/>
        <w:lvlJc w:val="left"/>
        <w:pPr>
          <w:tabs>
            <w:tab w:val="num" w:pos="794"/>
          </w:tabs>
          <w:ind w:left="794" w:hanging="397"/>
        </w:pPr>
        <w:rPr>
          <w:rFonts w:hint="default"/>
        </w:rPr>
      </w:lvl>
    </w:lvlOverride>
    <w:lvlOverride w:ilvl="2">
      <w:lvl w:ilvl="2">
        <w:start w:val="1"/>
        <w:numFmt w:val="lowerRoman"/>
        <w:pStyle w:val="ListNumber3"/>
        <w:lvlText w:val="%3."/>
        <w:lvlJc w:val="right"/>
        <w:pPr>
          <w:tabs>
            <w:tab w:val="num" w:pos="1191"/>
          </w:tabs>
          <w:ind w:left="1191" w:hanging="284"/>
        </w:pPr>
        <w:rPr>
          <w:rFonts w:hint="default"/>
        </w:rPr>
      </w:lvl>
    </w:lvlOverride>
    <w:lvlOverride w:ilvl="3">
      <w:lvl w:ilvl="3">
        <w:start w:val="1"/>
        <w:numFmt w:val="decimal"/>
        <w:lvlText w:val="%4."/>
        <w:lvlJc w:val="left"/>
        <w:pPr>
          <w:tabs>
            <w:tab w:val="num" w:pos="397"/>
          </w:tabs>
          <w:ind w:left="397" w:hanging="397"/>
        </w:pPr>
        <w:rPr>
          <w:rFonts w:hint="default"/>
        </w:rPr>
      </w:lvl>
    </w:lvlOverride>
    <w:lvlOverride w:ilvl="4">
      <w:lvl w:ilvl="4">
        <w:start w:val="1"/>
        <w:numFmt w:val="lowerLetter"/>
        <w:lvlText w:val="%5."/>
        <w:lvlJc w:val="left"/>
        <w:pPr>
          <w:tabs>
            <w:tab w:val="num" w:pos="397"/>
          </w:tabs>
          <w:ind w:left="397" w:hanging="397"/>
        </w:pPr>
        <w:rPr>
          <w:rFonts w:hint="default"/>
        </w:rPr>
      </w:lvl>
    </w:lvlOverride>
    <w:lvlOverride w:ilvl="5">
      <w:lvl w:ilvl="5">
        <w:start w:val="1"/>
        <w:numFmt w:val="lowerRoman"/>
        <w:lvlText w:val="%6."/>
        <w:lvlJc w:val="right"/>
        <w:pPr>
          <w:tabs>
            <w:tab w:val="num" w:pos="397"/>
          </w:tabs>
          <w:ind w:left="397" w:hanging="397"/>
        </w:pPr>
        <w:rPr>
          <w:rFonts w:hint="default"/>
        </w:rPr>
      </w:lvl>
    </w:lvlOverride>
    <w:lvlOverride w:ilvl="6">
      <w:lvl w:ilvl="6">
        <w:start w:val="1"/>
        <w:numFmt w:val="decimal"/>
        <w:lvlText w:val="%7."/>
        <w:lvlJc w:val="left"/>
        <w:pPr>
          <w:tabs>
            <w:tab w:val="num" w:pos="397"/>
          </w:tabs>
          <w:ind w:left="397" w:hanging="397"/>
        </w:pPr>
        <w:rPr>
          <w:rFonts w:hint="default"/>
        </w:rPr>
      </w:lvl>
    </w:lvlOverride>
    <w:lvlOverride w:ilvl="7">
      <w:lvl w:ilvl="7">
        <w:start w:val="1"/>
        <w:numFmt w:val="lowerLetter"/>
        <w:lvlText w:val="%8."/>
        <w:lvlJc w:val="left"/>
        <w:pPr>
          <w:tabs>
            <w:tab w:val="num" w:pos="397"/>
          </w:tabs>
          <w:ind w:left="397" w:hanging="397"/>
        </w:pPr>
        <w:rPr>
          <w:rFonts w:hint="default"/>
        </w:rPr>
      </w:lvl>
    </w:lvlOverride>
    <w:lvlOverride w:ilvl="8">
      <w:lvl w:ilvl="8">
        <w:start w:val="1"/>
        <w:numFmt w:val="lowerRoman"/>
        <w:lvlText w:val="%9."/>
        <w:lvlJc w:val="right"/>
        <w:pPr>
          <w:tabs>
            <w:tab w:val="num" w:pos="397"/>
          </w:tabs>
          <w:ind w:left="397" w:hanging="397"/>
        </w:pPr>
        <w:rPr>
          <w:rFonts w:hint="default"/>
        </w:rPr>
      </w:lvl>
    </w:lvlOverride>
  </w:num>
  <w:num w:numId="10" w16cid:durableId="1965230372">
    <w:abstractNumId w:val="2"/>
  </w:num>
  <w:num w:numId="11" w16cid:durableId="159083367">
    <w:abstractNumId w:val="5"/>
  </w:num>
  <w:num w:numId="12" w16cid:durableId="432747134">
    <w:abstractNumId w:val="19"/>
  </w:num>
  <w:num w:numId="13" w16cid:durableId="405152079">
    <w:abstractNumId w:val="30"/>
  </w:num>
  <w:num w:numId="14" w16cid:durableId="625893336">
    <w:abstractNumId w:val="20"/>
  </w:num>
  <w:num w:numId="15" w16cid:durableId="1947075210">
    <w:abstractNumId w:val="24"/>
  </w:num>
  <w:num w:numId="16" w16cid:durableId="316305191">
    <w:abstractNumId w:val="3"/>
  </w:num>
  <w:num w:numId="17" w16cid:durableId="916012449">
    <w:abstractNumId w:val="1"/>
  </w:num>
  <w:num w:numId="18" w16cid:durableId="1481266583">
    <w:abstractNumId w:val="36"/>
  </w:num>
  <w:num w:numId="19" w16cid:durableId="1570768047">
    <w:abstractNumId w:val="34"/>
  </w:num>
  <w:num w:numId="20" w16cid:durableId="300311085">
    <w:abstractNumId w:val="6"/>
  </w:num>
  <w:num w:numId="21" w16cid:durableId="983659726">
    <w:abstractNumId w:val="26"/>
  </w:num>
  <w:num w:numId="22" w16cid:durableId="2063553453">
    <w:abstractNumId w:val="32"/>
  </w:num>
  <w:num w:numId="23" w16cid:durableId="1569683285">
    <w:abstractNumId w:val="17"/>
  </w:num>
  <w:num w:numId="24" w16cid:durableId="568921463">
    <w:abstractNumId w:val="38"/>
  </w:num>
  <w:num w:numId="25" w16cid:durableId="1499692305">
    <w:abstractNumId w:val="27"/>
  </w:num>
  <w:num w:numId="26" w16cid:durableId="269436826">
    <w:abstractNumId w:val="28"/>
  </w:num>
  <w:num w:numId="27" w16cid:durableId="1118794973">
    <w:abstractNumId w:val="23"/>
  </w:num>
  <w:num w:numId="28" w16cid:durableId="269433176">
    <w:abstractNumId w:val="33"/>
  </w:num>
  <w:num w:numId="29" w16cid:durableId="1863786895">
    <w:abstractNumId w:val="11"/>
  </w:num>
  <w:num w:numId="30" w16cid:durableId="1263566174">
    <w:abstractNumId w:val="4"/>
  </w:num>
  <w:num w:numId="31" w16cid:durableId="484973476">
    <w:abstractNumId w:val="29"/>
  </w:num>
  <w:num w:numId="32" w16cid:durableId="2093118696">
    <w:abstractNumId w:val="0"/>
  </w:num>
  <w:num w:numId="33" w16cid:durableId="1474983035">
    <w:abstractNumId w:val="12"/>
  </w:num>
  <w:num w:numId="34" w16cid:durableId="571425401">
    <w:abstractNumId w:val="7"/>
  </w:num>
  <w:num w:numId="35" w16cid:durableId="726953232">
    <w:abstractNumId w:val="21"/>
  </w:num>
  <w:num w:numId="36" w16cid:durableId="195432365">
    <w:abstractNumId w:val="10"/>
  </w:num>
  <w:num w:numId="37" w16cid:durableId="1003699845">
    <w:abstractNumId w:val="16"/>
  </w:num>
  <w:num w:numId="38" w16cid:durableId="2090929230">
    <w:abstractNumId w:val="35"/>
  </w:num>
  <w:num w:numId="39" w16cid:durableId="1914705289">
    <w:abstractNumId w:val="8"/>
  </w:num>
  <w:num w:numId="40" w16cid:durableId="208035808">
    <w:abstractNumId w:val="9"/>
    <w:lvlOverride w:ilvl="0">
      <w:startOverride w:val="1"/>
    </w:lvlOverride>
  </w:num>
  <w:num w:numId="41" w16cid:durableId="962426075">
    <w:abstractNumId w:val="14"/>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 w:numId="42" w16cid:durableId="1920169510">
    <w:abstractNumId w:val="14"/>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1C0D1C"/>
    <w:rsid w:val="0000056F"/>
    <w:rsid w:val="000005C1"/>
    <w:rsid w:val="000005E0"/>
    <w:rsid w:val="00001226"/>
    <w:rsid w:val="00001296"/>
    <w:rsid w:val="000013AF"/>
    <w:rsid w:val="00001487"/>
    <w:rsid w:val="0000164E"/>
    <w:rsid w:val="00001C38"/>
    <w:rsid w:val="00002524"/>
    <w:rsid w:val="00003122"/>
    <w:rsid w:val="000036A8"/>
    <w:rsid w:val="00003827"/>
    <w:rsid w:val="00003AF1"/>
    <w:rsid w:val="00004C11"/>
    <w:rsid w:val="00006AEC"/>
    <w:rsid w:val="00006D57"/>
    <w:rsid w:val="00006EAE"/>
    <w:rsid w:val="00007A6E"/>
    <w:rsid w:val="00010AEE"/>
    <w:rsid w:val="00010BDE"/>
    <w:rsid w:val="00011A7C"/>
    <w:rsid w:val="0001286C"/>
    <w:rsid w:val="00012BB1"/>
    <w:rsid w:val="00012CA1"/>
    <w:rsid w:val="000131CA"/>
    <w:rsid w:val="000145B0"/>
    <w:rsid w:val="00014B0F"/>
    <w:rsid w:val="000154D3"/>
    <w:rsid w:val="000163C4"/>
    <w:rsid w:val="00017768"/>
    <w:rsid w:val="00017A96"/>
    <w:rsid w:val="000209C7"/>
    <w:rsid w:val="00020D4D"/>
    <w:rsid w:val="00021865"/>
    <w:rsid w:val="00021AB7"/>
    <w:rsid w:val="000223F8"/>
    <w:rsid w:val="0002244D"/>
    <w:rsid w:val="000227C3"/>
    <w:rsid w:val="000238D3"/>
    <w:rsid w:val="00023BD4"/>
    <w:rsid w:val="000245CC"/>
    <w:rsid w:val="00024757"/>
    <w:rsid w:val="00024767"/>
    <w:rsid w:val="00025815"/>
    <w:rsid w:val="0002598F"/>
    <w:rsid w:val="00025A3F"/>
    <w:rsid w:val="00026377"/>
    <w:rsid w:val="00026DC0"/>
    <w:rsid w:val="00027419"/>
    <w:rsid w:val="000274E1"/>
    <w:rsid w:val="0002753D"/>
    <w:rsid w:val="00027ACD"/>
    <w:rsid w:val="00027BE9"/>
    <w:rsid w:val="00027E41"/>
    <w:rsid w:val="00027FBD"/>
    <w:rsid w:val="00031B68"/>
    <w:rsid w:val="00032B24"/>
    <w:rsid w:val="00032D56"/>
    <w:rsid w:val="00032EB2"/>
    <w:rsid w:val="0003418B"/>
    <w:rsid w:val="00034B18"/>
    <w:rsid w:val="00035513"/>
    <w:rsid w:val="00035734"/>
    <w:rsid w:val="00035A63"/>
    <w:rsid w:val="0003728A"/>
    <w:rsid w:val="00037853"/>
    <w:rsid w:val="00040140"/>
    <w:rsid w:val="0004105B"/>
    <w:rsid w:val="0004121B"/>
    <w:rsid w:val="00041635"/>
    <w:rsid w:val="00041CBF"/>
    <w:rsid w:val="00042643"/>
    <w:rsid w:val="0004290C"/>
    <w:rsid w:val="00042940"/>
    <w:rsid w:val="00042FF8"/>
    <w:rsid w:val="000438C5"/>
    <w:rsid w:val="0004437F"/>
    <w:rsid w:val="000445FA"/>
    <w:rsid w:val="00044664"/>
    <w:rsid w:val="0004475C"/>
    <w:rsid w:val="0004511F"/>
    <w:rsid w:val="00045CFE"/>
    <w:rsid w:val="000462BB"/>
    <w:rsid w:val="00046563"/>
    <w:rsid w:val="000472AA"/>
    <w:rsid w:val="00047C22"/>
    <w:rsid w:val="00047D3E"/>
    <w:rsid w:val="0005068F"/>
    <w:rsid w:val="00050752"/>
    <w:rsid w:val="00051766"/>
    <w:rsid w:val="00051B44"/>
    <w:rsid w:val="00051D9D"/>
    <w:rsid w:val="00053D6D"/>
    <w:rsid w:val="00054790"/>
    <w:rsid w:val="000552CF"/>
    <w:rsid w:val="00055D55"/>
    <w:rsid w:val="000570E2"/>
    <w:rsid w:val="0005798E"/>
    <w:rsid w:val="000607F4"/>
    <w:rsid w:val="00060E9E"/>
    <w:rsid w:val="00061ABE"/>
    <w:rsid w:val="0006255E"/>
    <w:rsid w:val="00062B6C"/>
    <w:rsid w:val="00063B4C"/>
    <w:rsid w:val="00064149"/>
    <w:rsid w:val="00064344"/>
    <w:rsid w:val="000643F5"/>
    <w:rsid w:val="000649CC"/>
    <w:rsid w:val="000649E9"/>
    <w:rsid w:val="00065DFA"/>
    <w:rsid w:val="00066259"/>
    <w:rsid w:val="00066CED"/>
    <w:rsid w:val="00066F51"/>
    <w:rsid w:val="00066FB2"/>
    <w:rsid w:val="000677F4"/>
    <w:rsid w:val="00070340"/>
    <w:rsid w:val="000705F1"/>
    <w:rsid w:val="000709C8"/>
    <w:rsid w:val="00070D23"/>
    <w:rsid w:val="000710D4"/>
    <w:rsid w:val="0007205F"/>
    <w:rsid w:val="00073EFF"/>
    <w:rsid w:val="00075929"/>
    <w:rsid w:val="00075956"/>
    <w:rsid w:val="00075DD1"/>
    <w:rsid w:val="0007628E"/>
    <w:rsid w:val="00076B09"/>
    <w:rsid w:val="00077653"/>
    <w:rsid w:val="00080730"/>
    <w:rsid w:val="000809B1"/>
    <w:rsid w:val="00080EFD"/>
    <w:rsid w:val="0008110C"/>
    <w:rsid w:val="00081513"/>
    <w:rsid w:val="000819AC"/>
    <w:rsid w:val="00082010"/>
    <w:rsid w:val="0008221B"/>
    <w:rsid w:val="00082588"/>
    <w:rsid w:val="00082705"/>
    <w:rsid w:val="00082D07"/>
    <w:rsid w:val="00082F4E"/>
    <w:rsid w:val="0008342C"/>
    <w:rsid w:val="0008375F"/>
    <w:rsid w:val="00083822"/>
    <w:rsid w:val="0008425D"/>
    <w:rsid w:val="00084359"/>
    <w:rsid w:val="000845EC"/>
    <w:rsid w:val="00084C35"/>
    <w:rsid w:val="00084C74"/>
    <w:rsid w:val="00086298"/>
    <w:rsid w:val="00086510"/>
    <w:rsid w:val="0008654B"/>
    <w:rsid w:val="000866D8"/>
    <w:rsid w:val="00090348"/>
    <w:rsid w:val="00090BA6"/>
    <w:rsid w:val="00090D7E"/>
    <w:rsid w:val="00090D92"/>
    <w:rsid w:val="00091343"/>
    <w:rsid w:val="000919D5"/>
    <w:rsid w:val="00091B3E"/>
    <w:rsid w:val="00091EBE"/>
    <w:rsid w:val="000934E5"/>
    <w:rsid w:val="000939E6"/>
    <w:rsid w:val="00093BE5"/>
    <w:rsid w:val="000944B5"/>
    <w:rsid w:val="00094AEB"/>
    <w:rsid w:val="0009519F"/>
    <w:rsid w:val="00095598"/>
    <w:rsid w:val="00095AC8"/>
    <w:rsid w:val="00095EBB"/>
    <w:rsid w:val="00096A17"/>
    <w:rsid w:val="00096B48"/>
    <w:rsid w:val="00097588"/>
    <w:rsid w:val="00097674"/>
    <w:rsid w:val="000A0051"/>
    <w:rsid w:val="000A0872"/>
    <w:rsid w:val="000A0C75"/>
    <w:rsid w:val="000A20E8"/>
    <w:rsid w:val="000A2149"/>
    <w:rsid w:val="000A2676"/>
    <w:rsid w:val="000A30F7"/>
    <w:rsid w:val="000A3455"/>
    <w:rsid w:val="000A3532"/>
    <w:rsid w:val="000A482C"/>
    <w:rsid w:val="000A49D3"/>
    <w:rsid w:val="000A4A26"/>
    <w:rsid w:val="000A582D"/>
    <w:rsid w:val="000A5871"/>
    <w:rsid w:val="000A6520"/>
    <w:rsid w:val="000A6608"/>
    <w:rsid w:val="000A6851"/>
    <w:rsid w:val="000A7E3E"/>
    <w:rsid w:val="000B074E"/>
    <w:rsid w:val="000B0906"/>
    <w:rsid w:val="000B093C"/>
    <w:rsid w:val="000B0F2B"/>
    <w:rsid w:val="000B160B"/>
    <w:rsid w:val="000B22D8"/>
    <w:rsid w:val="000B2A73"/>
    <w:rsid w:val="000B2CEA"/>
    <w:rsid w:val="000B56C6"/>
    <w:rsid w:val="000B633B"/>
    <w:rsid w:val="000B65F5"/>
    <w:rsid w:val="000B666A"/>
    <w:rsid w:val="000B6F3C"/>
    <w:rsid w:val="000B7429"/>
    <w:rsid w:val="000B760C"/>
    <w:rsid w:val="000B7842"/>
    <w:rsid w:val="000C01DB"/>
    <w:rsid w:val="000C0B04"/>
    <w:rsid w:val="000C0DBD"/>
    <w:rsid w:val="000C107A"/>
    <w:rsid w:val="000C12CA"/>
    <w:rsid w:val="000C17E5"/>
    <w:rsid w:val="000C1FD8"/>
    <w:rsid w:val="000C2224"/>
    <w:rsid w:val="000C246F"/>
    <w:rsid w:val="000C2576"/>
    <w:rsid w:val="000C2845"/>
    <w:rsid w:val="000C37D4"/>
    <w:rsid w:val="000C450D"/>
    <w:rsid w:val="000C466E"/>
    <w:rsid w:val="000C5035"/>
    <w:rsid w:val="000C5D6B"/>
    <w:rsid w:val="000C5F37"/>
    <w:rsid w:val="000C6456"/>
    <w:rsid w:val="000C64FC"/>
    <w:rsid w:val="000C6909"/>
    <w:rsid w:val="000C6B14"/>
    <w:rsid w:val="000C6C66"/>
    <w:rsid w:val="000C6CC4"/>
    <w:rsid w:val="000D0005"/>
    <w:rsid w:val="000D04CB"/>
    <w:rsid w:val="000D0B6E"/>
    <w:rsid w:val="000D1428"/>
    <w:rsid w:val="000D1662"/>
    <w:rsid w:val="000D20E5"/>
    <w:rsid w:val="000D2A9D"/>
    <w:rsid w:val="000D2BB9"/>
    <w:rsid w:val="000D336B"/>
    <w:rsid w:val="000D3699"/>
    <w:rsid w:val="000D3ADC"/>
    <w:rsid w:val="000D40F9"/>
    <w:rsid w:val="000D4A47"/>
    <w:rsid w:val="000D5EAE"/>
    <w:rsid w:val="000D6C51"/>
    <w:rsid w:val="000D748B"/>
    <w:rsid w:val="000E070F"/>
    <w:rsid w:val="000E10B2"/>
    <w:rsid w:val="000E16BE"/>
    <w:rsid w:val="000E175C"/>
    <w:rsid w:val="000E1E38"/>
    <w:rsid w:val="000E2F68"/>
    <w:rsid w:val="000E30F4"/>
    <w:rsid w:val="000E3254"/>
    <w:rsid w:val="000E3394"/>
    <w:rsid w:val="000E43EE"/>
    <w:rsid w:val="000E5DE2"/>
    <w:rsid w:val="000E5E8D"/>
    <w:rsid w:val="000E690F"/>
    <w:rsid w:val="000E6D56"/>
    <w:rsid w:val="000E6EC8"/>
    <w:rsid w:val="000E7620"/>
    <w:rsid w:val="000E7C5E"/>
    <w:rsid w:val="000E7C8B"/>
    <w:rsid w:val="000F032A"/>
    <w:rsid w:val="000F0502"/>
    <w:rsid w:val="000F0FB7"/>
    <w:rsid w:val="000F0FE4"/>
    <w:rsid w:val="000F18C0"/>
    <w:rsid w:val="000F19C4"/>
    <w:rsid w:val="000F2086"/>
    <w:rsid w:val="000F2745"/>
    <w:rsid w:val="000F2A68"/>
    <w:rsid w:val="000F2DF5"/>
    <w:rsid w:val="000F32AC"/>
    <w:rsid w:val="000F34D9"/>
    <w:rsid w:val="000F3534"/>
    <w:rsid w:val="000F4887"/>
    <w:rsid w:val="000F5712"/>
    <w:rsid w:val="000F5E76"/>
    <w:rsid w:val="000F62D3"/>
    <w:rsid w:val="000F64A2"/>
    <w:rsid w:val="000F65F6"/>
    <w:rsid w:val="000F67CA"/>
    <w:rsid w:val="000F76E9"/>
    <w:rsid w:val="000F7D5A"/>
    <w:rsid w:val="00100522"/>
    <w:rsid w:val="00100951"/>
    <w:rsid w:val="00101955"/>
    <w:rsid w:val="00102733"/>
    <w:rsid w:val="00102D26"/>
    <w:rsid w:val="001034BB"/>
    <w:rsid w:val="00103F67"/>
    <w:rsid w:val="00104344"/>
    <w:rsid w:val="001047B3"/>
    <w:rsid w:val="00105437"/>
    <w:rsid w:val="001059B3"/>
    <w:rsid w:val="001070C0"/>
    <w:rsid w:val="00107D2E"/>
    <w:rsid w:val="00110D7C"/>
    <w:rsid w:val="00113383"/>
    <w:rsid w:val="00114CF8"/>
    <w:rsid w:val="0011565B"/>
    <w:rsid w:val="00115B00"/>
    <w:rsid w:val="00116066"/>
    <w:rsid w:val="001171E6"/>
    <w:rsid w:val="0011730D"/>
    <w:rsid w:val="00120342"/>
    <w:rsid w:val="0012042E"/>
    <w:rsid w:val="00121B6C"/>
    <w:rsid w:val="001220EF"/>
    <w:rsid w:val="001222C3"/>
    <w:rsid w:val="00122A56"/>
    <w:rsid w:val="00122E82"/>
    <w:rsid w:val="00123560"/>
    <w:rsid w:val="00123B40"/>
    <w:rsid w:val="00124BFE"/>
    <w:rsid w:val="001258C6"/>
    <w:rsid w:val="00125D88"/>
    <w:rsid w:val="00126328"/>
    <w:rsid w:val="00126F4B"/>
    <w:rsid w:val="001276DB"/>
    <w:rsid w:val="00130569"/>
    <w:rsid w:val="001305F2"/>
    <w:rsid w:val="0013078B"/>
    <w:rsid w:val="00130D3A"/>
    <w:rsid w:val="001315AE"/>
    <w:rsid w:val="00134B50"/>
    <w:rsid w:val="00135A4C"/>
    <w:rsid w:val="00135DA4"/>
    <w:rsid w:val="0013666E"/>
    <w:rsid w:val="00140049"/>
    <w:rsid w:val="00140B60"/>
    <w:rsid w:val="00140C82"/>
    <w:rsid w:val="00140EA5"/>
    <w:rsid w:val="0014123D"/>
    <w:rsid w:val="00141492"/>
    <w:rsid w:val="001417B3"/>
    <w:rsid w:val="00141A63"/>
    <w:rsid w:val="00141BF7"/>
    <w:rsid w:val="00141CDD"/>
    <w:rsid w:val="00142662"/>
    <w:rsid w:val="00142871"/>
    <w:rsid w:val="00142A0B"/>
    <w:rsid w:val="00143EC5"/>
    <w:rsid w:val="00144FBD"/>
    <w:rsid w:val="0014563E"/>
    <w:rsid w:val="00145845"/>
    <w:rsid w:val="00145FC6"/>
    <w:rsid w:val="001465BE"/>
    <w:rsid w:val="001465C2"/>
    <w:rsid w:val="00146878"/>
    <w:rsid w:val="00147573"/>
    <w:rsid w:val="00147A3F"/>
    <w:rsid w:val="00147B34"/>
    <w:rsid w:val="00147C7E"/>
    <w:rsid w:val="00147F48"/>
    <w:rsid w:val="00150343"/>
    <w:rsid w:val="00150880"/>
    <w:rsid w:val="00151670"/>
    <w:rsid w:val="001520CE"/>
    <w:rsid w:val="00152318"/>
    <w:rsid w:val="001524D8"/>
    <w:rsid w:val="00152AE6"/>
    <w:rsid w:val="0015387D"/>
    <w:rsid w:val="001541B1"/>
    <w:rsid w:val="00154626"/>
    <w:rsid w:val="00155200"/>
    <w:rsid w:val="001561D2"/>
    <w:rsid w:val="001570D4"/>
    <w:rsid w:val="001573A2"/>
    <w:rsid w:val="0015769C"/>
    <w:rsid w:val="001600C2"/>
    <w:rsid w:val="0016044B"/>
    <w:rsid w:val="0016140D"/>
    <w:rsid w:val="0016189C"/>
    <w:rsid w:val="001623AC"/>
    <w:rsid w:val="00162A4C"/>
    <w:rsid w:val="00163136"/>
    <w:rsid w:val="00163A61"/>
    <w:rsid w:val="00163AB4"/>
    <w:rsid w:val="001645E7"/>
    <w:rsid w:val="00164D63"/>
    <w:rsid w:val="00165032"/>
    <w:rsid w:val="001650FE"/>
    <w:rsid w:val="001655AF"/>
    <w:rsid w:val="00165B54"/>
    <w:rsid w:val="00166A94"/>
    <w:rsid w:val="0016705E"/>
    <w:rsid w:val="001678AA"/>
    <w:rsid w:val="00170944"/>
    <w:rsid w:val="00170B06"/>
    <w:rsid w:val="0017216E"/>
    <w:rsid w:val="001726EE"/>
    <w:rsid w:val="00173861"/>
    <w:rsid w:val="00173E30"/>
    <w:rsid w:val="001740DE"/>
    <w:rsid w:val="001747BE"/>
    <w:rsid w:val="00175EB5"/>
    <w:rsid w:val="00175F62"/>
    <w:rsid w:val="0017619A"/>
    <w:rsid w:val="00176383"/>
    <w:rsid w:val="001769A4"/>
    <w:rsid w:val="00176C0F"/>
    <w:rsid w:val="001771D3"/>
    <w:rsid w:val="0017729E"/>
    <w:rsid w:val="001772B5"/>
    <w:rsid w:val="00177AFB"/>
    <w:rsid w:val="00181AA0"/>
    <w:rsid w:val="00181ED1"/>
    <w:rsid w:val="001821BA"/>
    <w:rsid w:val="001832EE"/>
    <w:rsid w:val="00183C4D"/>
    <w:rsid w:val="001840E8"/>
    <w:rsid w:val="00184D20"/>
    <w:rsid w:val="00185D41"/>
    <w:rsid w:val="00186CD0"/>
    <w:rsid w:val="00186E81"/>
    <w:rsid w:val="00187A1A"/>
    <w:rsid w:val="00187E80"/>
    <w:rsid w:val="00190182"/>
    <w:rsid w:val="0019093F"/>
    <w:rsid w:val="0019181E"/>
    <w:rsid w:val="001921E6"/>
    <w:rsid w:val="00192689"/>
    <w:rsid w:val="00193083"/>
    <w:rsid w:val="001936FC"/>
    <w:rsid w:val="00194107"/>
    <w:rsid w:val="001941B5"/>
    <w:rsid w:val="001946D0"/>
    <w:rsid w:val="00194BD5"/>
    <w:rsid w:val="0019539C"/>
    <w:rsid w:val="001954C4"/>
    <w:rsid w:val="0019586C"/>
    <w:rsid w:val="001963CA"/>
    <w:rsid w:val="001967E2"/>
    <w:rsid w:val="001971E8"/>
    <w:rsid w:val="001A1B44"/>
    <w:rsid w:val="001A1F10"/>
    <w:rsid w:val="001A2E5F"/>
    <w:rsid w:val="001A38DB"/>
    <w:rsid w:val="001A3D02"/>
    <w:rsid w:val="001A45AD"/>
    <w:rsid w:val="001A489C"/>
    <w:rsid w:val="001A5B5F"/>
    <w:rsid w:val="001A6BF4"/>
    <w:rsid w:val="001A6DE3"/>
    <w:rsid w:val="001A6E87"/>
    <w:rsid w:val="001A7703"/>
    <w:rsid w:val="001B0203"/>
    <w:rsid w:val="001B0BFF"/>
    <w:rsid w:val="001B1509"/>
    <w:rsid w:val="001B23A6"/>
    <w:rsid w:val="001B2542"/>
    <w:rsid w:val="001B2549"/>
    <w:rsid w:val="001B267A"/>
    <w:rsid w:val="001B2B0F"/>
    <w:rsid w:val="001B2BE7"/>
    <w:rsid w:val="001B47FB"/>
    <w:rsid w:val="001B4B84"/>
    <w:rsid w:val="001B4C18"/>
    <w:rsid w:val="001B509A"/>
    <w:rsid w:val="001B56BB"/>
    <w:rsid w:val="001B5D32"/>
    <w:rsid w:val="001B5DE3"/>
    <w:rsid w:val="001B62F9"/>
    <w:rsid w:val="001C006C"/>
    <w:rsid w:val="001C0D1C"/>
    <w:rsid w:val="001C12FA"/>
    <w:rsid w:val="001C13C8"/>
    <w:rsid w:val="001C2312"/>
    <w:rsid w:val="001C285E"/>
    <w:rsid w:val="001C3089"/>
    <w:rsid w:val="001C329E"/>
    <w:rsid w:val="001C343F"/>
    <w:rsid w:val="001C34C7"/>
    <w:rsid w:val="001C3935"/>
    <w:rsid w:val="001C3A53"/>
    <w:rsid w:val="001C3C22"/>
    <w:rsid w:val="001C3DFC"/>
    <w:rsid w:val="001C3E4E"/>
    <w:rsid w:val="001C41C1"/>
    <w:rsid w:val="001C4CD1"/>
    <w:rsid w:val="001C52D3"/>
    <w:rsid w:val="001C5F20"/>
    <w:rsid w:val="001C7E65"/>
    <w:rsid w:val="001D0190"/>
    <w:rsid w:val="001D04BF"/>
    <w:rsid w:val="001D07C6"/>
    <w:rsid w:val="001D14DC"/>
    <w:rsid w:val="001D19A9"/>
    <w:rsid w:val="001D2002"/>
    <w:rsid w:val="001D35ED"/>
    <w:rsid w:val="001D59C2"/>
    <w:rsid w:val="001D5CF4"/>
    <w:rsid w:val="001D70B7"/>
    <w:rsid w:val="001E1389"/>
    <w:rsid w:val="001E2458"/>
    <w:rsid w:val="001E26E4"/>
    <w:rsid w:val="001E306E"/>
    <w:rsid w:val="001E3CA2"/>
    <w:rsid w:val="001E4338"/>
    <w:rsid w:val="001E4B51"/>
    <w:rsid w:val="001E51A4"/>
    <w:rsid w:val="001E5A6F"/>
    <w:rsid w:val="001E6978"/>
    <w:rsid w:val="001E6DAB"/>
    <w:rsid w:val="001E7337"/>
    <w:rsid w:val="001E738C"/>
    <w:rsid w:val="001E7A36"/>
    <w:rsid w:val="001E7D5C"/>
    <w:rsid w:val="001E7FC6"/>
    <w:rsid w:val="001F07FF"/>
    <w:rsid w:val="001F1BBB"/>
    <w:rsid w:val="001F2C6A"/>
    <w:rsid w:val="001F343E"/>
    <w:rsid w:val="001F35A8"/>
    <w:rsid w:val="001F3A46"/>
    <w:rsid w:val="001F438E"/>
    <w:rsid w:val="001F44CF"/>
    <w:rsid w:val="001F46B5"/>
    <w:rsid w:val="001F54F3"/>
    <w:rsid w:val="001F57FB"/>
    <w:rsid w:val="001F590F"/>
    <w:rsid w:val="001F5B2A"/>
    <w:rsid w:val="001F7055"/>
    <w:rsid w:val="001F71DD"/>
    <w:rsid w:val="001F7D62"/>
    <w:rsid w:val="0020019E"/>
    <w:rsid w:val="002001E1"/>
    <w:rsid w:val="002004F7"/>
    <w:rsid w:val="00200BE9"/>
    <w:rsid w:val="00200F9C"/>
    <w:rsid w:val="00201E20"/>
    <w:rsid w:val="0020231C"/>
    <w:rsid w:val="0020306C"/>
    <w:rsid w:val="002031AF"/>
    <w:rsid w:val="0020326A"/>
    <w:rsid w:val="00203374"/>
    <w:rsid w:val="00206438"/>
    <w:rsid w:val="00206804"/>
    <w:rsid w:val="00206E3F"/>
    <w:rsid w:val="00206E73"/>
    <w:rsid w:val="0020C089"/>
    <w:rsid w:val="002100F6"/>
    <w:rsid w:val="00210112"/>
    <w:rsid w:val="002105F2"/>
    <w:rsid w:val="0021094E"/>
    <w:rsid w:val="00211A4F"/>
    <w:rsid w:val="00211EDF"/>
    <w:rsid w:val="002131C5"/>
    <w:rsid w:val="002132FF"/>
    <w:rsid w:val="00213FB8"/>
    <w:rsid w:val="0021485D"/>
    <w:rsid w:val="00215624"/>
    <w:rsid w:val="002169FF"/>
    <w:rsid w:val="002171FA"/>
    <w:rsid w:val="0021742C"/>
    <w:rsid w:val="00217AC6"/>
    <w:rsid w:val="002201BE"/>
    <w:rsid w:val="002203C4"/>
    <w:rsid w:val="002208E5"/>
    <w:rsid w:val="002209FB"/>
    <w:rsid w:val="00220DDE"/>
    <w:rsid w:val="002220E9"/>
    <w:rsid w:val="00222229"/>
    <w:rsid w:val="00222ADA"/>
    <w:rsid w:val="00222E44"/>
    <w:rsid w:val="00223619"/>
    <w:rsid w:val="00223E4A"/>
    <w:rsid w:val="00225382"/>
    <w:rsid w:val="00227454"/>
    <w:rsid w:val="00227EC7"/>
    <w:rsid w:val="00231961"/>
    <w:rsid w:val="00231C4A"/>
    <w:rsid w:val="0023221E"/>
    <w:rsid w:val="00232261"/>
    <w:rsid w:val="0023230D"/>
    <w:rsid w:val="00232FD8"/>
    <w:rsid w:val="002335DF"/>
    <w:rsid w:val="00233B62"/>
    <w:rsid w:val="00233DBC"/>
    <w:rsid w:val="00233F93"/>
    <w:rsid w:val="002347AF"/>
    <w:rsid w:val="0023535E"/>
    <w:rsid w:val="00236A30"/>
    <w:rsid w:val="00236FD0"/>
    <w:rsid w:val="00237B6E"/>
    <w:rsid w:val="0024133F"/>
    <w:rsid w:val="00241955"/>
    <w:rsid w:val="00241CDD"/>
    <w:rsid w:val="00241F24"/>
    <w:rsid w:val="00242606"/>
    <w:rsid w:val="00243976"/>
    <w:rsid w:val="002449DC"/>
    <w:rsid w:val="00246FF4"/>
    <w:rsid w:val="0024798C"/>
    <w:rsid w:val="00247A6A"/>
    <w:rsid w:val="00247C8A"/>
    <w:rsid w:val="00250214"/>
    <w:rsid w:val="0025076E"/>
    <w:rsid w:val="00250804"/>
    <w:rsid w:val="00250B4A"/>
    <w:rsid w:val="00251876"/>
    <w:rsid w:val="002521CF"/>
    <w:rsid w:val="002526FD"/>
    <w:rsid w:val="00253144"/>
    <w:rsid w:val="00253272"/>
    <w:rsid w:val="00254506"/>
    <w:rsid w:val="0025506D"/>
    <w:rsid w:val="0025661D"/>
    <w:rsid w:val="00256D20"/>
    <w:rsid w:val="00257A8C"/>
    <w:rsid w:val="00257A96"/>
    <w:rsid w:val="00257C4B"/>
    <w:rsid w:val="00257CA0"/>
    <w:rsid w:val="00260279"/>
    <w:rsid w:val="002607FA"/>
    <w:rsid w:val="00260B57"/>
    <w:rsid w:val="0026139D"/>
    <w:rsid w:val="00264415"/>
    <w:rsid w:val="00265169"/>
    <w:rsid w:val="00265283"/>
    <w:rsid w:val="00265AC7"/>
    <w:rsid w:val="0026617C"/>
    <w:rsid w:val="002676A6"/>
    <w:rsid w:val="002679CE"/>
    <w:rsid w:val="002700C7"/>
    <w:rsid w:val="00270265"/>
    <w:rsid w:val="00270814"/>
    <w:rsid w:val="00270CDD"/>
    <w:rsid w:val="00270ECB"/>
    <w:rsid w:val="00271258"/>
    <w:rsid w:val="002717CF"/>
    <w:rsid w:val="002721DA"/>
    <w:rsid w:val="0027248F"/>
    <w:rsid w:val="0027292D"/>
    <w:rsid w:val="00272D13"/>
    <w:rsid w:val="002739A7"/>
    <w:rsid w:val="00273B61"/>
    <w:rsid w:val="00274757"/>
    <w:rsid w:val="00274B9F"/>
    <w:rsid w:val="00274D67"/>
    <w:rsid w:val="00274F62"/>
    <w:rsid w:val="00275AE7"/>
    <w:rsid w:val="00275B2B"/>
    <w:rsid w:val="00275CC0"/>
    <w:rsid w:val="00276C75"/>
    <w:rsid w:val="00277B6E"/>
    <w:rsid w:val="002803B5"/>
    <w:rsid w:val="00280FD8"/>
    <w:rsid w:val="00281549"/>
    <w:rsid w:val="00281695"/>
    <w:rsid w:val="00281AB6"/>
    <w:rsid w:val="002832CD"/>
    <w:rsid w:val="0028419C"/>
    <w:rsid w:val="00284511"/>
    <w:rsid w:val="00284643"/>
    <w:rsid w:val="00285AA1"/>
    <w:rsid w:val="002873A9"/>
    <w:rsid w:val="0028755C"/>
    <w:rsid w:val="0028762D"/>
    <w:rsid w:val="00287FEE"/>
    <w:rsid w:val="002910C6"/>
    <w:rsid w:val="00292030"/>
    <w:rsid w:val="00292FA1"/>
    <w:rsid w:val="0029342B"/>
    <w:rsid w:val="00293937"/>
    <w:rsid w:val="00293B69"/>
    <w:rsid w:val="00294528"/>
    <w:rsid w:val="0029560A"/>
    <w:rsid w:val="00295846"/>
    <w:rsid w:val="00296925"/>
    <w:rsid w:val="002974F3"/>
    <w:rsid w:val="00297549"/>
    <w:rsid w:val="002A0827"/>
    <w:rsid w:val="002A0A5F"/>
    <w:rsid w:val="002A1C56"/>
    <w:rsid w:val="002A1D3E"/>
    <w:rsid w:val="002A3013"/>
    <w:rsid w:val="002A3564"/>
    <w:rsid w:val="002A3655"/>
    <w:rsid w:val="002A3C51"/>
    <w:rsid w:val="002A45BA"/>
    <w:rsid w:val="002A4C96"/>
    <w:rsid w:val="002A50CE"/>
    <w:rsid w:val="002A66EA"/>
    <w:rsid w:val="002A7D10"/>
    <w:rsid w:val="002A7E44"/>
    <w:rsid w:val="002B0021"/>
    <w:rsid w:val="002B0884"/>
    <w:rsid w:val="002B0AFD"/>
    <w:rsid w:val="002B170F"/>
    <w:rsid w:val="002B2193"/>
    <w:rsid w:val="002B2A86"/>
    <w:rsid w:val="002B2E47"/>
    <w:rsid w:val="002B2EA5"/>
    <w:rsid w:val="002B2FF9"/>
    <w:rsid w:val="002B30C9"/>
    <w:rsid w:val="002B3263"/>
    <w:rsid w:val="002B4614"/>
    <w:rsid w:val="002B4AB6"/>
    <w:rsid w:val="002B53E6"/>
    <w:rsid w:val="002B5886"/>
    <w:rsid w:val="002B5962"/>
    <w:rsid w:val="002B5C66"/>
    <w:rsid w:val="002B69F2"/>
    <w:rsid w:val="002B6EAE"/>
    <w:rsid w:val="002C03DA"/>
    <w:rsid w:val="002C063C"/>
    <w:rsid w:val="002C1E59"/>
    <w:rsid w:val="002C30E1"/>
    <w:rsid w:val="002C3138"/>
    <w:rsid w:val="002C3D2F"/>
    <w:rsid w:val="002C4073"/>
    <w:rsid w:val="002C4E0B"/>
    <w:rsid w:val="002C68BE"/>
    <w:rsid w:val="002C6EE5"/>
    <w:rsid w:val="002C7B88"/>
    <w:rsid w:val="002D0565"/>
    <w:rsid w:val="002D11DC"/>
    <w:rsid w:val="002D16DF"/>
    <w:rsid w:val="002D1782"/>
    <w:rsid w:val="002D218C"/>
    <w:rsid w:val="002D2422"/>
    <w:rsid w:val="002D2A9C"/>
    <w:rsid w:val="002D3843"/>
    <w:rsid w:val="002D4419"/>
    <w:rsid w:val="002D46B0"/>
    <w:rsid w:val="002D4D82"/>
    <w:rsid w:val="002D4F7A"/>
    <w:rsid w:val="002D5A0E"/>
    <w:rsid w:val="002D71D7"/>
    <w:rsid w:val="002D7D56"/>
    <w:rsid w:val="002E0045"/>
    <w:rsid w:val="002E115F"/>
    <w:rsid w:val="002E120E"/>
    <w:rsid w:val="002E1CA2"/>
    <w:rsid w:val="002E2284"/>
    <w:rsid w:val="002E25DD"/>
    <w:rsid w:val="002E2DDB"/>
    <w:rsid w:val="002E401A"/>
    <w:rsid w:val="002E401B"/>
    <w:rsid w:val="002E50AB"/>
    <w:rsid w:val="002E51BD"/>
    <w:rsid w:val="002E6403"/>
    <w:rsid w:val="002E66F4"/>
    <w:rsid w:val="002E71F5"/>
    <w:rsid w:val="002E7971"/>
    <w:rsid w:val="002E79C3"/>
    <w:rsid w:val="002E7A92"/>
    <w:rsid w:val="002F0202"/>
    <w:rsid w:val="002F020F"/>
    <w:rsid w:val="002F05CA"/>
    <w:rsid w:val="002F15E3"/>
    <w:rsid w:val="002F18FC"/>
    <w:rsid w:val="002F1A82"/>
    <w:rsid w:val="002F27DF"/>
    <w:rsid w:val="002F3C63"/>
    <w:rsid w:val="002F442C"/>
    <w:rsid w:val="002F456A"/>
    <w:rsid w:val="002F4640"/>
    <w:rsid w:val="002F47A1"/>
    <w:rsid w:val="002F6245"/>
    <w:rsid w:val="002F6491"/>
    <w:rsid w:val="002F65DF"/>
    <w:rsid w:val="002F6B5D"/>
    <w:rsid w:val="002F6D01"/>
    <w:rsid w:val="002F72AC"/>
    <w:rsid w:val="002F76CC"/>
    <w:rsid w:val="002F7E70"/>
    <w:rsid w:val="003001AA"/>
    <w:rsid w:val="003006CF"/>
    <w:rsid w:val="00300F15"/>
    <w:rsid w:val="00302C03"/>
    <w:rsid w:val="00303EA9"/>
    <w:rsid w:val="0030477D"/>
    <w:rsid w:val="00304BAF"/>
    <w:rsid w:val="00305525"/>
    <w:rsid w:val="00305AC0"/>
    <w:rsid w:val="00306248"/>
    <w:rsid w:val="00306698"/>
    <w:rsid w:val="003070C7"/>
    <w:rsid w:val="00307965"/>
    <w:rsid w:val="00311728"/>
    <w:rsid w:val="00311BE5"/>
    <w:rsid w:val="003121F7"/>
    <w:rsid w:val="003126A7"/>
    <w:rsid w:val="00312D61"/>
    <w:rsid w:val="003135DD"/>
    <w:rsid w:val="003136BF"/>
    <w:rsid w:val="00313E14"/>
    <w:rsid w:val="00313FCA"/>
    <w:rsid w:val="0031477E"/>
    <w:rsid w:val="00314F63"/>
    <w:rsid w:val="00314FF2"/>
    <w:rsid w:val="003157D8"/>
    <w:rsid w:val="00315C80"/>
    <w:rsid w:val="00315D55"/>
    <w:rsid w:val="00315DDC"/>
    <w:rsid w:val="0031635D"/>
    <w:rsid w:val="0031733D"/>
    <w:rsid w:val="00317B0E"/>
    <w:rsid w:val="00320625"/>
    <w:rsid w:val="00320DF7"/>
    <w:rsid w:val="003213CD"/>
    <w:rsid w:val="00321883"/>
    <w:rsid w:val="00321AC0"/>
    <w:rsid w:val="00321C43"/>
    <w:rsid w:val="0032222A"/>
    <w:rsid w:val="0032233E"/>
    <w:rsid w:val="00322678"/>
    <w:rsid w:val="003228D1"/>
    <w:rsid w:val="00322C24"/>
    <w:rsid w:val="00324DB6"/>
    <w:rsid w:val="003254A5"/>
    <w:rsid w:val="00326329"/>
    <w:rsid w:val="00326CFC"/>
    <w:rsid w:val="0032706E"/>
    <w:rsid w:val="00327249"/>
    <w:rsid w:val="00327483"/>
    <w:rsid w:val="00330383"/>
    <w:rsid w:val="003303D5"/>
    <w:rsid w:val="00330919"/>
    <w:rsid w:val="00330C14"/>
    <w:rsid w:val="00331601"/>
    <w:rsid w:val="00332018"/>
    <w:rsid w:val="003322C0"/>
    <w:rsid w:val="00332CFB"/>
    <w:rsid w:val="0033312F"/>
    <w:rsid w:val="003334D2"/>
    <w:rsid w:val="00333531"/>
    <w:rsid w:val="0033363A"/>
    <w:rsid w:val="003338F3"/>
    <w:rsid w:val="0033390B"/>
    <w:rsid w:val="00334B0C"/>
    <w:rsid w:val="003350E0"/>
    <w:rsid w:val="00335711"/>
    <w:rsid w:val="003358FC"/>
    <w:rsid w:val="00335C04"/>
    <w:rsid w:val="00337648"/>
    <w:rsid w:val="00337CD7"/>
    <w:rsid w:val="00340D42"/>
    <w:rsid w:val="003425EE"/>
    <w:rsid w:val="0034346E"/>
    <w:rsid w:val="00344BD9"/>
    <w:rsid w:val="00344D0B"/>
    <w:rsid w:val="00344DD5"/>
    <w:rsid w:val="0034524E"/>
    <w:rsid w:val="00350230"/>
    <w:rsid w:val="003519BF"/>
    <w:rsid w:val="003519EC"/>
    <w:rsid w:val="00352441"/>
    <w:rsid w:val="0035249E"/>
    <w:rsid w:val="003526E1"/>
    <w:rsid w:val="003528E2"/>
    <w:rsid w:val="00352B78"/>
    <w:rsid w:val="003537CB"/>
    <w:rsid w:val="00353D94"/>
    <w:rsid w:val="00354559"/>
    <w:rsid w:val="00354ADF"/>
    <w:rsid w:val="00355111"/>
    <w:rsid w:val="00356C5D"/>
    <w:rsid w:val="003576CB"/>
    <w:rsid w:val="00360878"/>
    <w:rsid w:val="00360BAC"/>
    <w:rsid w:val="00361503"/>
    <w:rsid w:val="00362BB3"/>
    <w:rsid w:val="00363156"/>
    <w:rsid w:val="00363E4B"/>
    <w:rsid w:val="0036478B"/>
    <w:rsid w:val="003649E2"/>
    <w:rsid w:val="003654D8"/>
    <w:rsid w:val="00365705"/>
    <w:rsid w:val="00365FE6"/>
    <w:rsid w:val="00366125"/>
    <w:rsid w:val="00366B9D"/>
    <w:rsid w:val="00367163"/>
    <w:rsid w:val="0037020E"/>
    <w:rsid w:val="00371EB5"/>
    <w:rsid w:val="00372AB8"/>
    <w:rsid w:val="00374B7A"/>
    <w:rsid w:val="0037533E"/>
    <w:rsid w:val="0037551C"/>
    <w:rsid w:val="003762AA"/>
    <w:rsid w:val="003765BF"/>
    <w:rsid w:val="003768AF"/>
    <w:rsid w:val="00376A12"/>
    <w:rsid w:val="00376F8A"/>
    <w:rsid w:val="003777C7"/>
    <w:rsid w:val="00380447"/>
    <w:rsid w:val="003813CD"/>
    <w:rsid w:val="003817F9"/>
    <w:rsid w:val="00381DBB"/>
    <w:rsid w:val="003822F6"/>
    <w:rsid w:val="0038291A"/>
    <w:rsid w:val="0038330A"/>
    <w:rsid w:val="003836F8"/>
    <w:rsid w:val="00383EA6"/>
    <w:rsid w:val="00384E9F"/>
    <w:rsid w:val="00385295"/>
    <w:rsid w:val="0038540D"/>
    <w:rsid w:val="003855D5"/>
    <w:rsid w:val="0038563A"/>
    <w:rsid w:val="00386C8D"/>
    <w:rsid w:val="00387F70"/>
    <w:rsid w:val="003905CD"/>
    <w:rsid w:val="0039141A"/>
    <w:rsid w:val="00392DA1"/>
    <w:rsid w:val="003934BA"/>
    <w:rsid w:val="00393950"/>
    <w:rsid w:val="00393FC7"/>
    <w:rsid w:val="00394390"/>
    <w:rsid w:val="0039442F"/>
    <w:rsid w:val="00395638"/>
    <w:rsid w:val="003958F5"/>
    <w:rsid w:val="00395FFA"/>
    <w:rsid w:val="003964BF"/>
    <w:rsid w:val="003967BE"/>
    <w:rsid w:val="00396891"/>
    <w:rsid w:val="00396DB7"/>
    <w:rsid w:val="00396E73"/>
    <w:rsid w:val="00396E9B"/>
    <w:rsid w:val="00397912"/>
    <w:rsid w:val="003A0884"/>
    <w:rsid w:val="003A0EDB"/>
    <w:rsid w:val="003A10DD"/>
    <w:rsid w:val="003A1219"/>
    <w:rsid w:val="003A1317"/>
    <w:rsid w:val="003A1AD2"/>
    <w:rsid w:val="003A1C28"/>
    <w:rsid w:val="003A1CF7"/>
    <w:rsid w:val="003A213C"/>
    <w:rsid w:val="003A23BA"/>
    <w:rsid w:val="003A254A"/>
    <w:rsid w:val="003A29CD"/>
    <w:rsid w:val="003A2BF5"/>
    <w:rsid w:val="003A317B"/>
    <w:rsid w:val="003A31ED"/>
    <w:rsid w:val="003A3590"/>
    <w:rsid w:val="003A39D7"/>
    <w:rsid w:val="003A3EBE"/>
    <w:rsid w:val="003A4120"/>
    <w:rsid w:val="003A4707"/>
    <w:rsid w:val="003A4CEF"/>
    <w:rsid w:val="003A4FF9"/>
    <w:rsid w:val="003A50FA"/>
    <w:rsid w:val="003A51C3"/>
    <w:rsid w:val="003A5538"/>
    <w:rsid w:val="003A57C7"/>
    <w:rsid w:val="003A5E12"/>
    <w:rsid w:val="003A6519"/>
    <w:rsid w:val="003A6892"/>
    <w:rsid w:val="003A7451"/>
    <w:rsid w:val="003B1451"/>
    <w:rsid w:val="003B2924"/>
    <w:rsid w:val="003B29F2"/>
    <w:rsid w:val="003B5857"/>
    <w:rsid w:val="003B5B8D"/>
    <w:rsid w:val="003B68FE"/>
    <w:rsid w:val="003B6B2D"/>
    <w:rsid w:val="003B6E3B"/>
    <w:rsid w:val="003B6E67"/>
    <w:rsid w:val="003B702F"/>
    <w:rsid w:val="003B7170"/>
    <w:rsid w:val="003B7296"/>
    <w:rsid w:val="003C00FD"/>
    <w:rsid w:val="003C0425"/>
    <w:rsid w:val="003C063A"/>
    <w:rsid w:val="003C1189"/>
    <w:rsid w:val="003C1E7B"/>
    <w:rsid w:val="003C2329"/>
    <w:rsid w:val="003C2A49"/>
    <w:rsid w:val="003C2E68"/>
    <w:rsid w:val="003C36A2"/>
    <w:rsid w:val="003C44D1"/>
    <w:rsid w:val="003C4A97"/>
    <w:rsid w:val="003C4F35"/>
    <w:rsid w:val="003C6469"/>
    <w:rsid w:val="003C688E"/>
    <w:rsid w:val="003C6F5A"/>
    <w:rsid w:val="003C6FA5"/>
    <w:rsid w:val="003C700E"/>
    <w:rsid w:val="003C73E6"/>
    <w:rsid w:val="003C74B8"/>
    <w:rsid w:val="003C777C"/>
    <w:rsid w:val="003D0305"/>
    <w:rsid w:val="003D03D1"/>
    <w:rsid w:val="003D1044"/>
    <w:rsid w:val="003D14A5"/>
    <w:rsid w:val="003D15E3"/>
    <w:rsid w:val="003D19B4"/>
    <w:rsid w:val="003D1D47"/>
    <w:rsid w:val="003D2934"/>
    <w:rsid w:val="003D2FB4"/>
    <w:rsid w:val="003D3137"/>
    <w:rsid w:val="003D3929"/>
    <w:rsid w:val="003D3FEC"/>
    <w:rsid w:val="003D3FFD"/>
    <w:rsid w:val="003D40DF"/>
    <w:rsid w:val="003D4892"/>
    <w:rsid w:val="003D4D55"/>
    <w:rsid w:val="003D57E0"/>
    <w:rsid w:val="003D5EE3"/>
    <w:rsid w:val="003D6CB0"/>
    <w:rsid w:val="003D711E"/>
    <w:rsid w:val="003D734B"/>
    <w:rsid w:val="003D7430"/>
    <w:rsid w:val="003D76B6"/>
    <w:rsid w:val="003D7F8A"/>
    <w:rsid w:val="003E1037"/>
    <w:rsid w:val="003E18E6"/>
    <w:rsid w:val="003E199F"/>
    <w:rsid w:val="003E1C69"/>
    <w:rsid w:val="003E20A8"/>
    <w:rsid w:val="003E3D3C"/>
    <w:rsid w:val="003E3F4C"/>
    <w:rsid w:val="003E3F5C"/>
    <w:rsid w:val="003E3F79"/>
    <w:rsid w:val="003E3FC2"/>
    <w:rsid w:val="003E461E"/>
    <w:rsid w:val="003E488C"/>
    <w:rsid w:val="003E4EA9"/>
    <w:rsid w:val="003E565F"/>
    <w:rsid w:val="003E5C10"/>
    <w:rsid w:val="003E5DD6"/>
    <w:rsid w:val="003E6FC0"/>
    <w:rsid w:val="003E7021"/>
    <w:rsid w:val="003E7424"/>
    <w:rsid w:val="003E76A2"/>
    <w:rsid w:val="003E7A9E"/>
    <w:rsid w:val="003F0236"/>
    <w:rsid w:val="003F0A39"/>
    <w:rsid w:val="003F13AC"/>
    <w:rsid w:val="003F1951"/>
    <w:rsid w:val="003F1B42"/>
    <w:rsid w:val="003F1BBA"/>
    <w:rsid w:val="003F253A"/>
    <w:rsid w:val="003F2A9F"/>
    <w:rsid w:val="003F2FE0"/>
    <w:rsid w:val="003F3699"/>
    <w:rsid w:val="003F3798"/>
    <w:rsid w:val="003F3A1D"/>
    <w:rsid w:val="003F3C11"/>
    <w:rsid w:val="003F3CC8"/>
    <w:rsid w:val="003F3EC5"/>
    <w:rsid w:val="003F4876"/>
    <w:rsid w:val="003F4C29"/>
    <w:rsid w:val="003F5373"/>
    <w:rsid w:val="003F542D"/>
    <w:rsid w:val="003F5740"/>
    <w:rsid w:val="003F662C"/>
    <w:rsid w:val="003F6EB0"/>
    <w:rsid w:val="003F735D"/>
    <w:rsid w:val="003F79D3"/>
    <w:rsid w:val="003F7A42"/>
    <w:rsid w:val="003F7B76"/>
    <w:rsid w:val="003F7FDF"/>
    <w:rsid w:val="00400098"/>
    <w:rsid w:val="00400BA9"/>
    <w:rsid w:val="00401880"/>
    <w:rsid w:val="00402663"/>
    <w:rsid w:val="00403ECD"/>
    <w:rsid w:val="004043B9"/>
    <w:rsid w:val="004043CA"/>
    <w:rsid w:val="00404482"/>
    <w:rsid w:val="00405B44"/>
    <w:rsid w:val="00405C94"/>
    <w:rsid w:val="00406737"/>
    <w:rsid w:val="00406DE0"/>
    <w:rsid w:val="00407663"/>
    <w:rsid w:val="00407724"/>
    <w:rsid w:val="0040788B"/>
    <w:rsid w:val="00407AD0"/>
    <w:rsid w:val="00410A92"/>
    <w:rsid w:val="00410C30"/>
    <w:rsid w:val="00410F70"/>
    <w:rsid w:val="00411C12"/>
    <w:rsid w:val="0041255F"/>
    <w:rsid w:val="00412B63"/>
    <w:rsid w:val="004136EB"/>
    <w:rsid w:val="0041392C"/>
    <w:rsid w:val="00413E5F"/>
    <w:rsid w:val="0041501A"/>
    <w:rsid w:val="004156C4"/>
    <w:rsid w:val="00415DEF"/>
    <w:rsid w:val="00416964"/>
    <w:rsid w:val="004171EF"/>
    <w:rsid w:val="00417476"/>
    <w:rsid w:val="0041754E"/>
    <w:rsid w:val="00417F6D"/>
    <w:rsid w:val="00420F77"/>
    <w:rsid w:val="0042159B"/>
    <w:rsid w:val="0042334E"/>
    <w:rsid w:val="0042349F"/>
    <w:rsid w:val="004236A1"/>
    <w:rsid w:val="0042432F"/>
    <w:rsid w:val="0042443D"/>
    <w:rsid w:val="004249A6"/>
    <w:rsid w:val="0042527C"/>
    <w:rsid w:val="004255CE"/>
    <w:rsid w:val="0042682E"/>
    <w:rsid w:val="00427045"/>
    <w:rsid w:val="0043000F"/>
    <w:rsid w:val="00430D5B"/>
    <w:rsid w:val="0043194E"/>
    <w:rsid w:val="00432572"/>
    <w:rsid w:val="004328DD"/>
    <w:rsid w:val="004331B3"/>
    <w:rsid w:val="00433278"/>
    <w:rsid w:val="004345E8"/>
    <w:rsid w:val="004351B9"/>
    <w:rsid w:val="0043538B"/>
    <w:rsid w:val="00436148"/>
    <w:rsid w:val="004364A2"/>
    <w:rsid w:val="00437DBF"/>
    <w:rsid w:val="00441756"/>
    <w:rsid w:val="00441F11"/>
    <w:rsid w:val="0044218F"/>
    <w:rsid w:val="0044384A"/>
    <w:rsid w:val="00444817"/>
    <w:rsid w:val="00444FB4"/>
    <w:rsid w:val="00445314"/>
    <w:rsid w:val="00445BCF"/>
    <w:rsid w:val="00446E99"/>
    <w:rsid w:val="0044738B"/>
    <w:rsid w:val="00447B12"/>
    <w:rsid w:val="00447B40"/>
    <w:rsid w:val="004504B3"/>
    <w:rsid w:val="0045074A"/>
    <w:rsid w:val="00450CC4"/>
    <w:rsid w:val="00451C21"/>
    <w:rsid w:val="00451F7D"/>
    <w:rsid w:val="0045393E"/>
    <w:rsid w:val="0045423A"/>
    <w:rsid w:val="0045497A"/>
    <w:rsid w:val="00455823"/>
    <w:rsid w:val="00455D98"/>
    <w:rsid w:val="0045641A"/>
    <w:rsid w:val="004569BA"/>
    <w:rsid w:val="0045728D"/>
    <w:rsid w:val="00457AD0"/>
    <w:rsid w:val="00457B27"/>
    <w:rsid w:val="00461063"/>
    <w:rsid w:val="00461A2F"/>
    <w:rsid w:val="004620AD"/>
    <w:rsid w:val="00462639"/>
    <w:rsid w:val="00462682"/>
    <w:rsid w:val="00462B05"/>
    <w:rsid w:val="00462C5C"/>
    <w:rsid w:val="00462D5E"/>
    <w:rsid w:val="00462EC8"/>
    <w:rsid w:val="00463077"/>
    <w:rsid w:val="004630EB"/>
    <w:rsid w:val="004638B5"/>
    <w:rsid w:val="00464519"/>
    <w:rsid w:val="004656DC"/>
    <w:rsid w:val="0046576D"/>
    <w:rsid w:val="00466181"/>
    <w:rsid w:val="0046630C"/>
    <w:rsid w:val="00466927"/>
    <w:rsid w:val="00470151"/>
    <w:rsid w:val="004702B0"/>
    <w:rsid w:val="00470FA4"/>
    <w:rsid w:val="00471C87"/>
    <w:rsid w:val="00472795"/>
    <w:rsid w:val="00472B39"/>
    <w:rsid w:val="00473E53"/>
    <w:rsid w:val="004744E1"/>
    <w:rsid w:val="00474964"/>
    <w:rsid w:val="00474B69"/>
    <w:rsid w:val="0047548B"/>
    <w:rsid w:val="00475C60"/>
    <w:rsid w:val="004760E7"/>
    <w:rsid w:val="00476AE8"/>
    <w:rsid w:val="0047749D"/>
    <w:rsid w:val="00477721"/>
    <w:rsid w:val="00477834"/>
    <w:rsid w:val="00477BB2"/>
    <w:rsid w:val="0048032D"/>
    <w:rsid w:val="00480466"/>
    <w:rsid w:val="00480564"/>
    <w:rsid w:val="00480DC1"/>
    <w:rsid w:val="0048255D"/>
    <w:rsid w:val="00482941"/>
    <w:rsid w:val="00483CB6"/>
    <w:rsid w:val="00483CC6"/>
    <w:rsid w:val="00483EF5"/>
    <w:rsid w:val="00483F4E"/>
    <w:rsid w:val="00484022"/>
    <w:rsid w:val="00484170"/>
    <w:rsid w:val="0048446A"/>
    <w:rsid w:val="004853A4"/>
    <w:rsid w:val="0048688D"/>
    <w:rsid w:val="004875E4"/>
    <w:rsid w:val="00487878"/>
    <w:rsid w:val="004901AB"/>
    <w:rsid w:val="004903D4"/>
    <w:rsid w:val="004911CF"/>
    <w:rsid w:val="0049161B"/>
    <w:rsid w:val="00491BAC"/>
    <w:rsid w:val="00492690"/>
    <w:rsid w:val="004927D3"/>
    <w:rsid w:val="0049300C"/>
    <w:rsid w:val="0049329C"/>
    <w:rsid w:val="004936FC"/>
    <w:rsid w:val="00493C34"/>
    <w:rsid w:val="00494195"/>
    <w:rsid w:val="004948F8"/>
    <w:rsid w:val="00494C8C"/>
    <w:rsid w:val="00494F07"/>
    <w:rsid w:val="0049542A"/>
    <w:rsid w:val="004964A4"/>
    <w:rsid w:val="00496677"/>
    <w:rsid w:val="004968D8"/>
    <w:rsid w:val="004973F6"/>
    <w:rsid w:val="004A038D"/>
    <w:rsid w:val="004A0DA1"/>
    <w:rsid w:val="004A1AA9"/>
    <w:rsid w:val="004A2378"/>
    <w:rsid w:val="004A24FC"/>
    <w:rsid w:val="004A2546"/>
    <w:rsid w:val="004A3005"/>
    <w:rsid w:val="004A3365"/>
    <w:rsid w:val="004A3DCA"/>
    <w:rsid w:val="004A5F18"/>
    <w:rsid w:val="004A71F4"/>
    <w:rsid w:val="004A7595"/>
    <w:rsid w:val="004B01F4"/>
    <w:rsid w:val="004B0F1D"/>
    <w:rsid w:val="004B11CC"/>
    <w:rsid w:val="004B1642"/>
    <w:rsid w:val="004B22CB"/>
    <w:rsid w:val="004B2431"/>
    <w:rsid w:val="004B2A9A"/>
    <w:rsid w:val="004B5056"/>
    <w:rsid w:val="004B6144"/>
    <w:rsid w:val="004B6AE1"/>
    <w:rsid w:val="004B77E8"/>
    <w:rsid w:val="004B786A"/>
    <w:rsid w:val="004C0853"/>
    <w:rsid w:val="004C0AE9"/>
    <w:rsid w:val="004C0F08"/>
    <w:rsid w:val="004C1075"/>
    <w:rsid w:val="004C11F9"/>
    <w:rsid w:val="004C225B"/>
    <w:rsid w:val="004C272A"/>
    <w:rsid w:val="004C3161"/>
    <w:rsid w:val="004C3C4F"/>
    <w:rsid w:val="004C42A7"/>
    <w:rsid w:val="004C43F9"/>
    <w:rsid w:val="004C4BD7"/>
    <w:rsid w:val="004C4F4E"/>
    <w:rsid w:val="004C6241"/>
    <w:rsid w:val="004C645D"/>
    <w:rsid w:val="004C7447"/>
    <w:rsid w:val="004C7E82"/>
    <w:rsid w:val="004D2DB0"/>
    <w:rsid w:val="004D2EA0"/>
    <w:rsid w:val="004D3DDB"/>
    <w:rsid w:val="004D47E6"/>
    <w:rsid w:val="004D492F"/>
    <w:rsid w:val="004D4C18"/>
    <w:rsid w:val="004D5EC9"/>
    <w:rsid w:val="004D61E3"/>
    <w:rsid w:val="004D66F5"/>
    <w:rsid w:val="004D673E"/>
    <w:rsid w:val="004D6EE3"/>
    <w:rsid w:val="004D7186"/>
    <w:rsid w:val="004D719A"/>
    <w:rsid w:val="004D7362"/>
    <w:rsid w:val="004D7476"/>
    <w:rsid w:val="004D7850"/>
    <w:rsid w:val="004D7F1E"/>
    <w:rsid w:val="004E0317"/>
    <w:rsid w:val="004E083C"/>
    <w:rsid w:val="004E08C9"/>
    <w:rsid w:val="004E14B3"/>
    <w:rsid w:val="004E2B06"/>
    <w:rsid w:val="004E2C54"/>
    <w:rsid w:val="004E3129"/>
    <w:rsid w:val="004E3747"/>
    <w:rsid w:val="004E38E8"/>
    <w:rsid w:val="004E41C5"/>
    <w:rsid w:val="004E4CB4"/>
    <w:rsid w:val="004E5BB6"/>
    <w:rsid w:val="004E5DF8"/>
    <w:rsid w:val="004E6859"/>
    <w:rsid w:val="004E69D7"/>
    <w:rsid w:val="004E6B3B"/>
    <w:rsid w:val="004E7530"/>
    <w:rsid w:val="004E7587"/>
    <w:rsid w:val="004E7712"/>
    <w:rsid w:val="004E77C8"/>
    <w:rsid w:val="004F022D"/>
    <w:rsid w:val="004F06D3"/>
    <w:rsid w:val="004F0B88"/>
    <w:rsid w:val="004F23A5"/>
    <w:rsid w:val="004F3088"/>
    <w:rsid w:val="004F3A89"/>
    <w:rsid w:val="004F3DAB"/>
    <w:rsid w:val="004F499F"/>
    <w:rsid w:val="004F5C45"/>
    <w:rsid w:val="004F5EA2"/>
    <w:rsid w:val="004F6307"/>
    <w:rsid w:val="004F6C72"/>
    <w:rsid w:val="004F6C8E"/>
    <w:rsid w:val="004F756D"/>
    <w:rsid w:val="004F77F2"/>
    <w:rsid w:val="004F7A62"/>
    <w:rsid w:val="00500520"/>
    <w:rsid w:val="005026A6"/>
    <w:rsid w:val="00502814"/>
    <w:rsid w:val="0050282F"/>
    <w:rsid w:val="00502E21"/>
    <w:rsid w:val="005032F8"/>
    <w:rsid w:val="005038A4"/>
    <w:rsid w:val="0050507B"/>
    <w:rsid w:val="005057AF"/>
    <w:rsid w:val="0050649A"/>
    <w:rsid w:val="005066C4"/>
    <w:rsid w:val="005066FC"/>
    <w:rsid w:val="00506746"/>
    <w:rsid w:val="00506A6C"/>
    <w:rsid w:val="00506F01"/>
    <w:rsid w:val="00507165"/>
    <w:rsid w:val="00507203"/>
    <w:rsid w:val="00507D1F"/>
    <w:rsid w:val="005106DC"/>
    <w:rsid w:val="005110DE"/>
    <w:rsid w:val="005113F4"/>
    <w:rsid w:val="00512327"/>
    <w:rsid w:val="00513126"/>
    <w:rsid w:val="00513854"/>
    <w:rsid w:val="005138AB"/>
    <w:rsid w:val="00513D84"/>
    <w:rsid w:val="005149CF"/>
    <w:rsid w:val="00515175"/>
    <w:rsid w:val="005159F5"/>
    <w:rsid w:val="00515ECF"/>
    <w:rsid w:val="0051691A"/>
    <w:rsid w:val="00516949"/>
    <w:rsid w:val="00517378"/>
    <w:rsid w:val="0052189A"/>
    <w:rsid w:val="00522925"/>
    <w:rsid w:val="00522D6C"/>
    <w:rsid w:val="005239A8"/>
    <w:rsid w:val="00523C26"/>
    <w:rsid w:val="00523C59"/>
    <w:rsid w:val="00523F5E"/>
    <w:rsid w:val="00525B60"/>
    <w:rsid w:val="00526F15"/>
    <w:rsid w:val="00527199"/>
    <w:rsid w:val="0052727F"/>
    <w:rsid w:val="005273D6"/>
    <w:rsid w:val="00527BEB"/>
    <w:rsid w:val="00527CED"/>
    <w:rsid w:val="00530621"/>
    <w:rsid w:val="0053161E"/>
    <w:rsid w:val="00531AA0"/>
    <w:rsid w:val="00531B6A"/>
    <w:rsid w:val="00532482"/>
    <w:rsid w:val="00532878"/>
    <w:rsid w:val="00532999"/>
    <w:rsid w:val="0053380A"/>
    <w:rsid w:val="00533E0F"/>
    <w:rsid w:val="005341B9"/>
    <w:rsid w:val="00534464"/>
    <w:rsid w:val="005347B7"/>
    <w:rsid w:val="00534BE3"/>
    <w:rsid w:val="005351DD"/>
    <w:rsid w:val="00537336"/>
    <w:rsid w:val="00540B0A"/>
    <w:rsid w:val="00540CC6"/>
    <w:rsid w:val="00541839"/>
    <w:rsid w:val="00541B98"/>
    <w:rsid w:val="00541F95"/>
    <w:rsid w:val="005422FC"/>
    <w:rsid w:val="00542B5D"/>
    <w:rsid w:val="00542D1C"/>
    <w:rsid w:val="00543457"/>
    <w:rsid w:val="00543941"/>
    <w:rsid w:val="00544359"/>
    <w:rsid w:val="0054498C"/>
    <w:rsid w:val="00544C92"/>
    <w:rsid w:val="00544F00"/>
    <w:rsid w:val="00545B18"/>
    <w:rsid w:val="0054625A"/>
    <w:rsid w:val="00547E4F"/>
    <w:rsid w:val="00550186"/>
    <w:rsid w:val="005503DF"/>
    <w:rsid w:val="005508F0"/>
    <w:rsid w:val="00551301"/>
    <w:rsid w:val="0055234E"/>
    <w:rsid w:val="00553051"/>
    <w:rsid w:val="005540AF"/>
    <w:rsid w:val="0055452F"/>
    <w:rsid w:val="005552B3"/>
    <w:rsid w:val="00555B03"/>
    <w:rsid w:val="005561AE"/>
    <w:rsid w:val="00556595"/>
    <w:rsid w:val="005569CA"/>
    <w:rsid w:val="00556EBF"/>
    <w:rsid w:val="005574FD"/>
    <w:rsid w:val="005603AC"/>
    <w:rsid w:val="00561540"/>
    <w:rsid w:val="00561900"/>
    <w:rsid w:val="00561B4B"/>
    <w:rsid w:val="00561CCB"/>
    <w:rsid w:val="005622AD"/>
    <w:rsid w:val="0056260F"/>
    <w:rsid w:val="00562DF1"/>
    <w:rsid w:val="005633D7"/>
    <w:rsid w:val="005634AA"/>
    <w:rsid w:val="005637A9"/>
    <w:rsid w:val="005639C1"/>
    <w:rsid w:val="00564E1C"/>
    <w:rsid w:val="00566E86"/>
    <w:rsid w:val="00567463"/>
    <w:rsid w:val="005676CF"/>
    <w:rsid w:val="00567E39"/>
    <w:rsid w:val="00570201"/>
    <w:rsid w:val="00570299"/>
    <w:rsid w:val="00570F9C"/>
    <w:rsid w:val="00571001"/>
    <w:rsid w:val="0057102C"/>
    <w:rsid w:val="00572799"/>
    <w:rsid w:val="00572C23"/>
    <w:rsid w:val="0057327E"/>
    <w:rsid w:val="00573F08"/>
    <w:rsid w:val="005742E9"/>
    <w:rsid w:val="005746DF"/>
    <w:rsid w:val="005746FE"/>
    <w:rsid w:val="005747E9"/>
    <w:rsid w:val="0057480C"/>
    <w:rsid w:val="00575E1F"/>
    <w:rsid w:val="005762ED"/>
    <w:rsid w:val="00576542"/>
    <w:rsid w:val="005768E9"/>
    <w:rsid w:val="00576AD9"/>
    <w:rsid w:val="00576CBC"/>
    <w:rsid w:val="00576F2A"/>
    <w:rsid w:val="00577147"/>
    <w:rsid w:val="00577198"/>
    <w:rsid w:val="00577768"/>
    <w:rsid w:val="00577B08"/>
    <w:rsid w:val="00577EE8"/>
    <w:rsid w:val="00580021"/>
    <w:rsid w:val="005809F4"/>
    <w:rsid w:val="005823D6"/>
    <w:rsid w:val="00582E08"/>
    <w:rsid w:val="00583469"/>
    <w:rsid w:val="00583697"/>
    <w:rsid w:val="00583B57"/>
    <w:rsid w:val="00584050"/>
    <w:rsid w:val="005853EC"/>
    <w:rsid w:val="0058555C"/>
    <w:rsid w:val="00586193"/>
    <w:rsid w:val="0058652D"/>
    <w:rsid w:val="00586743"/>
    <w:rsid w:val="00586B49"/>
    <w:rsid w:val="00586E1C"/>
    <w:rsid w:val="00587E24"/>
    <w:rsid w:val="00587E61"/>
    <w:rsid w:val="00590293"/>
    <w:rsid w:val="0059053F"/>
    <w:rsid w:val="00590AD8"/>
    <w:rsid w:val="0059143A"/>
    <w:rsid w:val="00591640"/>
    <w:rsid w:val="00591779"/>
    <w:rsid w:val="00591DD6"/>
    <w:rsid w:val="005926C3"/>
    <w:rsid w:val="00592A00"/>
    <w:rsid w:val="00592E96"/>
    <w:rsid w:val="00593D41"/>
    <w:rsid w:val="005942BD"/>
    <w:rsid w:val="00594933"/>
    <w:rsid w:val="00594F1C"/>
    <w:rsid w:val="005955F6"/>
    <w:rsid w:val="005963F9"/>
    <w:rsid w:val="00596444"/>
    <w:rsid w:val="0059660F"/>
    <w:rsid w:val="005970BB"/>
    <w:rsid w:val="005974A1"/>
    <w:rsid w:val="005974FA"/>
    <w:rsid w:val="005978EA"/>
    <w:rsid w:val="005A02CA"/>
    <w:rsid w:val="005A069E"/>
    <w:rsid w:val="005A0930"/>
    <w:rsid w:val="005A097D"/>
    <w:rsid w:val="005A12E4"/>
    <w:rsid w:val="005A19C6"/>
    <w:rsid w:val="005A3104"/>
    <w:rsid w:val="005A31A5"/>
    <w:rsid w:val="005A378B"/>
    <w:rsid w:val="005A384C"/>
    <w:rsid w:val="005A3F62"/>
    <w:rsid w:val="005A40F1"/>
    <w:rsid w:val="005A4BD8"/>
    <w:rsid w:val="005A5D2E"/>
    <w:rsid w:val="005A6243"/>
    <w:rsid w:val="005A62FC"/>
    <w:rsid w:val="005A7401"/>
    <w:rsid w:val="005B051B"/>
    <w:rsid w:val="005B0CA1"/>
    <w:rsid w:val="005B10F4"/>
    <w:rsid w:val="005B1724"/>
    <w:rsid w:val="005B17EE"/>
    <w:rsid w:val="005B1E90"/>
    <w:rsid w:val="005B1FD7"/>
    <w:rsid w:val="005B51C8"/>
    <w:rsid w:val="005B5D03"/>
    <w:rsid w:val="005B5D51"/>
    <w:rsid w:val="005B7469"/>
    <w:rsid w:val="005B7973"/>
    <w:rsid w:val="005C08CA"/>
    <w:rsid w:val="005C09F0"/>
    <w:rsid w:val="005C22FF"/>
    <w:rsid w:val="005C2B7E"/>
    <w:rsid w:val="005C3840"/>
    <w:rsid w:val="005C3FA6"/>
    <w:rsid w:val="005C4640"/>
    <w:rsid w:val="005C560F"/>
    <w:rsid w:val="005C5A4F"/>
    <w:rsid w:val="005C6105"/>
    <w:rsid w:val="005C6B57"/>
    <w:rsid w:val="005C6DD7"/>
    <w:rsid w:val="005C6F1E"/>
    <w:rsid w:val="005C714A"/>
    <w:rsid w:val="005C78D7"/>
    <w:rsid w:val="005C7A24"/>
    <w:rsid w:val="005D029E"/>
    <w:rsid w:val="005D04EA"/>
    <w:rsid w:val="005D05E6"/>
    <w:rsid w:val="005D08F6"/>
    <w:rsid w:val="005D0938"/>
    <w:rsid w:val="005D0C6C"/>
    <w:rsid w:val="005D127D"/>
    <w:rsid w:val="005D1F1D"/>
    <w:rsid w:val="005D2640"/>
    <w:rsid w:val="005D283C"/>
    <w:rsid w:val="005D3014"/>
    <w:rsid w:val="005D364A"/>
    <w:rsid w:val="005D3D33"/>
    <w:rsid w:val="005D42DC"/>
    <w:rsid w:val="005D548B"/>
    <w:rsid w:val="005D6E18"/>
    <w:rsid w:val="005D6F76"/>
    <w:rsid w:val="005D7BB9"/>
    <w:rsid w:val="005E171D"/>
    <w:rsid w:val="005E183C"/>
    <w:rsid w:val="005E1A39"/>
    <w:rsid w:val="005E1E97"/>
    <w:rsid w:val="005E2097"/>
    <w:rsid w:val="005E26A2"/>
    <w:rsid w:val="005E2BAB"/>
    <w:rsid w:val="005E2E82"/>
    <w:rsid w:val="005E3777"/>
    <w:rsid w:val="005E489E"/>
    <w:rsid w:val="005E4D49"/>
    <w:rsid w:val="005E5927"/>
    <w:rsid w:val="005E5C2F"/>
    <w:rsid w:val="005E5E05"/>
    <w:rsid w:val="005E6766"/>
    <w:rsid w:val="005E6ACF"/>
    <w:rsid w:val="005F02C6"/>
    <w:rsid w:val="005F07D2"/>
    <w:rsid w:val="005F082B"/>
    <w:rsid w:val="005F0C2F"/>
    <w:rsid w:val="005F0FA1"/>
    <w:rsid w:val="005F1145"/>
    <w:rsid w:val="005F1197"/>
    <w:rsid w:val="005F187C"/>
    <w:rsid w:val="005F2432"/>
    <w:rsid w:val="005F2C99"/>
    <w:rsid w:val="005F3E3B"/>
    <w:rsid w:val="005F4492"/>
    <w:rsid w:val="005F4952"/>
    <w:rsid w:val="005F4E7A"/>
    <w:rsid w:val="005F5063"/>
    <w:rsid w:val="005F5724"/>
    <w:rsid w:val="005F5760"/>
    <w:rsid w:val="005F5B1F"/>
    <w:rsid w:val="005F672C"/>
    <w:rsid w:val="005F6866"/>
    <w:rsid w:val="005F6C09"/>
    <w:rsid w:val="005F7981"/>
    <w:rsid w:val="005F7C7A"/>
    <w:rsid w:val="005F7D08"/>
    <w:rsid w:val="005F7F3B"/>
    <w:rsid w:val="0060005B"/>
    <w:rsid w:val="006009F9"/>
    <w:rsid w:val="006010D8"/>
    <w:rsid w:val="00601CED"/>
    <w:rsid w:val="00601D87"/>
    <w:rsid w:val="00601DC6"/>
    <w:rsid w:val="00602B80"/>
    <w:rsid w:val="00603043"/>
    <w:rsid w:val="006035D3"/>
    <w:rsid w:val="006036B7"/>
    <w:rsid w:val="006036CB"/>
    <w:rsid w:val="00603EA5"/>
    <w:rsid w:val="00604010"/>
    <w:rsid w:val="00604159"/>
    <w:rsid w:val="006043AF"/>
    <w:rsid w:val="0060443E"/>
    <w:rsid w:val="00604A62"/>
    <w:rsid w:val="00604E49"/>
    <w:rsid w:val="00605356"/>
    <w:rsid w:val="0060566F"/>
    <w:rsid w:val="0060576D"/>
    <w:rsid w:val="006061BE"/>
    <w:rsid w:val="00606393"/>
    <w:rsid w:val="0060690A"/>
    <w:rsid w:val="00606EE7"/>
    <w:rsid w:val="00611292"/>
    <w:rsid w:val="00611349"/>
    <w:rsid w:val="00611A6D"/>
    <w:rsid w:val="006139BB"/>
    <w:rsid w:val="006152DC"/>
    <w:rsid w:val="00615985"/>
    <w:rsid w:val="006164B6"/>
    <w:rsid w:val="006168C6"/>
    <w:rsid w:val="00616B5C"/>
    <w:rsid w:val="00621D2D"/>
    <w:rsid w:val="00622115"/>
    <w:rsid w:val="00622397"/>
    <w:rsid w:val="00623453"/>
    <w:rsid w:val="006234B8"/>
    <w:rsid w:val="00623F46"/>
    <w:rsid w:val="006240C4"/>
    <w:rsid w:val="006246B8"/>
    <w:rsid w:val="006248E9"/>
    <w:rsid w:val="00624B5A"/>
    <w:rsid w:val="00624CCC"/>
    <w:rsid w:val="00624F23"/>
    <w:rsid w:val="0062507A"/>
    <w:rsid w:val="0062542E"/>
    <w:rsid w:val="006255EC"/>
    <w:rsid w:val="00626531"/>
    <w:rsid w:val="00626731"/>
    <w:rsid w:val="00626DF0"/>
    <w:rsid w:val="0062746E"/>
    <w:rsid w:val="00627C12"/>
    <w:rsid w:val="00627C6F"/>
    <w:rsid w:val="00630114"/>
    <w:rsid w:val="006319C0"/>
    <w:rsid w:val="00633AF9"/>
    <w:rsid w:val="00633CE1"/>
    <w:rsid w:val="00633CFA"/>
    <w:rsid w:val="00634B27"/>
    <w:rsid w:val="00635FB3"/>
    <w:rsid w:val="00636E6E"/>
    <w:rsid w:val="00636FB8"/>
    <w:rsid w:val="0063758A"/>
    <w:rsid w:val="0063783A"/>
    <w:rsid w:val="0064015E"/>
    <w:rsid w:val="00640BC1"/>
    <w:rsid w:val="00640C28"/>
    <w:rsid w:val="00641641"/>
    <w:rsid w:val="006418E8"/>
    <w:rsid w:val="00641C58"/>
    <w:rsid w:val="0064236A"/>
    <w:rsid w:val="00642707"/>
    <w:rsid w:val="00642D08"/>
    <w:rsid w:val="0064312B"/>
    <w:rsid w:val="00643334"/>
    <w:rsid w:val="00643D27"/>
    <w:rsid w:val="00643E12"/>
    <w:rsid w:val="00644760"/>
    <w:rsid w:val="00644D94"/>
    <w:rsid w:val="00645690"/>
    <w:rsid w:val="00645B0E"/>
    <w:rsid w:val="0064672C"/>
    <w:rsid w:val="006470D9"/>
    <w:rsid w:val="00647CCC"/>
    <w:rsid w:val="0065003C"/>
    <w:rsid w:val="00650197"/>
    <w:rsid w:val="0065064F"/>
    <w:rsid w:val="00650939"/>
    <w:rsid w:val="0065094E"/>
    <w:rsid w:val="00651AD4"/>
    <w:rsid w:val="00651FCC"/>
    <w:rsid w:val="00652001"/>
    <w:rsid w:val="00652A3D"/>
    <w:rsid w:val="006538E6"/>
    <w:rsid w:val="00653B4E"/>
    <w:rsid w:val="00653EDB"/>
    <w:rsid w:val="006541AD"/>
    <w:rsid w:val="00654F10"/>
    <w:rsid w:val="00655333"/>
    <w:rsid w:val="00655751"/>
    <w:rsid w:val="00655D47"/>
    <w:rsid w:val="00657832"/>
    <w:rsid w:val="00657D83"/>
    <w:rsid w:val="00657EE0"/>
    <w:rsid w:val="00660232"/>
    <w:rsid w:val="00660EE7"/>
    <w:rsid w:val="006612B0"/>
    <w:rsid w:val="006613C7"/>
    <w:rsid w:val="00662251"/>
    <w:rsid w:val="0066263A"/>
    <w:rsid w:val="006638CA"/>
    <w:rsid w:val="00664810"/>
    <w:rsid w:val="006648B4"/>
    <w:rsid w:val="00664D9E"/>
    <w:rsid w:val="00664E12"/>
    <w:rsid w:val="006656E7"/>
    <w:rsid w:val="00665AC1"/>
    <w:rsid w:val="00665D20"/>
    <w:rsid w:val="00665E0B"/>
    <w:rsid w:val="00666AA0"/>
    <w:rsid w:val="00666E63"/>
    <w:rsid w:val="00667CB5"/>
    <w:rsid w:val="00671111"/>
    <w:rsid w:val="0067123F"/>
    <w:rsid w:val="006713F6"/>
    <w:rsid w:val="00672AA0"/>
    <w:rsid w:val="00672BCD"/>
    <w:rsid w:val="0067337F"/>
    <w:rsid w:val="0067354D"/>
    <w:rsid w:val="00673F9B"/>
    <w:rsid w:val="0067486C"/>
    <w:rsid w:val="00675C39"/>
    <w:rsid w:val="00676543"/>
    <w:rsid w:val="00676D14"/>
    <w:rsid w:val="00676D2F"/>
    <w:rsid w:val="00676E10"/>
    <w:rsid w:val="00677395"/>
    <w:rsid w:val="006803F1"/>
    <w:rsid w:val="0068131C"/>
    <w:rsid w:val="0068198A"/>
    <w:rsid w:val="00681F61"/>
    <w:rsid w:val="00682007"/>
    <w:rsid w:val="00682465"/>
    <w:rsid w:val="00683CEF"/>
    <w:rsid w:val="0068406E"/>
    <w:rsid w:val="0068441F"/>
    <w:rsid w:val="00684EA4"/>
    <w:rsid w:val="00684F61"/>
    <w:rsid w:val="0068517A"/>
    <w:rsid w:val="006860B0"/>
    <w:rsid w:val="006863A8"/>
    <w:rsid w:val="00686469"/>
    <w:rsid w:val="00686B41"/>
    <w:rsid w:val="0068717A"/>
    <w:rsid w:val="006879F5"/>
    <w:rsid w:val="00687FC7"/>
    <w:rsid w:val="006905E9"/>
    <w:rsid w:val="00691507"/>
    <w:rsid w:val="0069185A"/>
    <w:rsid w:val="006926E0"/>
    <w:rsid w:val="00692F5F"/>
    <w:rsid w:val="006938A7"/>
    <w:rsid w:val="00693E3E"/>
    <w:rsid w:val="00693E7F"/>
    <w:rsid w:val="0069441A"/>
    <w:rsid w:val="00694B12"/>
    <w:rsid w:val="00694D7B"/>
    <w:rsid w:val="0069526F"/>
    <w:rsid w:val="006954FF"/>
    <w:rsid w:val="0069575F"/>
    <w:rsid w:val="006958C0"/>
    <w:rsid w:val="006963AD"/>
    <w:rsid w:val="00696425"/>
    <w:rsid w:val="0069763C"/>
    <w:rsid w:val="0069786C"/>
    <w:rsid w:val="00697A1D"/>
    <w:rsid w:val="006A0055"/>
    <w:rsid w:val="006A01B6"/>
    <w:rsid w:val="006A0D8E"/>
    <w:rsid w:val="006A11A4"/>
    <w:rsid w:val="006A16FF"/>
    <w:rsid w:val="006A17C6"/>
    <w:rsid w:val="006A1CAC"/>
    <w:rsid w:val="006A1DF6"/>
    <w:rsid w:val="006A21E8"/>
    <w:rsid w:val="006A3070"/>
    <w:rsid w:val="006A332E"/>
    <w:rsid w:val="006A3CE9"/>
    <w:rsid w:val="006A44EE"/>
    <w:rsid w:val="006A4CDB"/>
    <w:rsid w:val="006A5399"/>
    <w:rsid w:val="006A6071"/>
    <w:rsid w:val="006A6B05"/>
    <w:rsid w:val="006A6B6D"/>
    <w:rsid w:val="006A6D07"/>
    <w:rsid w:val="006A706E"/>
    <w:rsid w:val="006A7F3B"/>
    <w:rsid w:val="006B030F"/>
    <w:rsid w:val="006B1156"/>
    <w:rsid w:val="006B1B0E"/>
    <w:rsid w:val="006B232D"/>
    <w:rsid w:val="006B24F5"/>
    <w:rsid w:val="006B2C88"/>
    <w:rsid w:val="006B307B"/>
    <w:rsid w:val="006B3176"/>
    <w:rsid w:val="006B3473"/>
    <w:rsid w:val="006B4C16"/>
    <w:rsid w:val="006B5095"/>
    <w:rsid w:val="006B5181"/>
    <w:rsid w:val="006B5418"/>
    <w:rsid w:val="006B6439"/>
    <w:rsid w:val="006B68D5"/>
    <w:rsid w:val="006B69CE"/>
    <w:rsid w:val="006B6E67"/>
    <w:rsid w:val="006B74A7"/>
    <w:rsid w:val="006C047F"/>
    <w:rsid w:val="006C04CF"/>
    <w:rsid w:val="006C0C18"/>
    <w:rsid w:val="006C1336"/>
    <w:rsid w:val="006C135D"/>
    <w:rsid w:val="006C138A"/>
    <w:rsid w:val="006C1481"/>
    <w:rsid w:val="006C15AD"/>
    <w:rsid w:val="006C2029"/>
    <w:rsid w:val="006C2CBB"/>
    <w:rsid w:val="006C2CDF"/>
    <w:rsid w:val="006C34E1"/>
    <w:rsid w:val="006C3730"/>
    <w:rsid w:val="006C3AB8"/>
    <w:rsid w:val="006C4183"/>
    <w:rsid w:val="006C4936"/>
    <w:rsid w:val="006C4A03"/>
    <w:rsid w:val="006C4A2D"/>
    <w:rsid w:val="006C4E02"/>
    <w:rsid w:val="006C53D0"/>
    <w:rsid w:val="006C551F"/>
    <w:rsid w:val="006C5761"/>
    <w:rsid w:val="006C59A5"/>
    <w:rsid w:val="006C5BF1"/>
    <w:rsid w:val="006C5FBC"/>
    <w:rsid w:val="006C6194"/>
    <w:rsid w:val="006C6732"/>
    <w:rsid w:val="006C7184"/>
    <w:rsid w:val="006C743A"/>
    <w:rsid w:val="006C7AB8"/>
    <w:rsid w:val="006C7C16"/>
    <w:rsid w:val="006C7D9C"/>
    <w:rsid w:val="006C7F6D"/>
    <w:rsid w:val="006D0522"/>
    <w:rsid w:val="006D16B3"/>
    <w:rsid w:val="006D1F79"/>
    <w:rsid w:val="006D2107"/>
    <w:rsid w:val="006D26A4"/>
    <w:rsid w:val="006D27DA"/>
    <w:rsid w:val="006D2953"/>
    <w:rsid w:val="006D34E9"/>
    <w:rsid w:val="006D3950"/>
    <w:rsid w:val="006D3C5C"/>
    <w:rsid w:val="006D3DB5"/>
    <w:rsid w:val="006D4D0B"/>
    <w:rsid w:val="006D57C0"/>
    <w:rsid w:val="006D58AE"/>
    <w:rsid w:val="006D6568"/>
    <w:rsid w:val="006D66E0"/>
    <w:rsid w:val="006D6FAB"/>
    <w:rsid w:val="006D7073"/>
    <w:rsid w:val="006D71C1"/>
    <w:rsid w:val="006D75BF"/>
    <w:rsid w:val="006D764C"/>
    <w:rsid w:val="006D7E46"/>
    <w:rsid w:val="006D7E4E"/>
    <w:rsid w:val="006E028C"/>
    <w:rsid w:val="006E1471"/>
    <w:rsid w:val="006E29C6"/>
    <w:rsid w:val="006E2F19"/>
    <w:rsid w:val="006E34C8"/>
    <w:rsid w:val="006E3B4E"/>
    <w:rsid w:val="006E4693"/>
    <w:rsid w:val="006E5237"/>
    <w:rsid w:val="006E563D"/>
    <w:rsid w:val="006E5BC7"/>
    <w:rsid w:val="006E5C83"/>
    <w:rsid w:val="006E6988"/>
    <w:rsid w:val="006E70A4"/>
    <w:rsid w:val="006E7DCF"/>
    <w:rsid w:val="006F03BA"/>
    <w:rsid w:val="006F1DEB"/>
    <w:rsid w:val="006F2502"/>
    <w:rsid w:val="006F2553"/>
    <w:rsid w:val="006F2B04"/>
    <w:rsid w:val="006F3D4E"/>
    <w:rsid w:val="006F42BD"/>
    <w:rsid w:val="006F5541"/>
    <w:rsid w:val="006F5B3A"/>
    <w:rsid w:val="006F6AD8"/>
    <w:rsid w:val="006F6EE0"/>
    <w:rsid w:val="006F7251"/>
    <w:rsid w:val="006F7709"/>
    <w:rsid w:val="007004A5"/>
    <w:rsid w:val="00700834"/>
    <w:rsid w:val="007012F6"/>
    <w:rsid w:val="0070275C"/>
    <w:rsid w:val="00702FF1"/>
    <w:rsid w:val="007030D8"/>
    <w:rsid w:val="0070381D"/>
    <w:rsid w:val="0070383D"/>
    <w:rsid w:val="00703FF0"/>
    <w:rsid w:val="00704012"/>
    <w:rsid w:val="00704552"/>
    <w:rsid w:val="00704FA4"/>
    <w:rsid w:val="007050E6"/>
    <w:rsid w:val="007057FC"/>
    <w:rsid w:val="0070630E"/>
    <w:rsid w:val="0070722E"/>
    <w:rsid w:val="007074AB"/>
    <w:rsid w:val="00707B7E"/>
    <w:rsid w:val="00710218"/>
    <w:rsid w:val="007105F8"/>
    <w:rsid w:val="00710C58"/>
    <w:rsid w:val="00710F34"/>
    <w:rsid w:val="007119A0"/>
    <w:rsid w:val="00712439"/>
    <w:rsid w:val="0071298E"/>
    <w:rsid w:val="00712A91"/>
    <w:rsid w:val="00712FA5"/>
    <w:rsid w:val="00713468"/>
    <w:rsid w:val="007136F3"/>
    <w:rsid w:val="00714AB9"/>
    <w:rsid w:val="007157A3"/>
    <w:rsid w:val="00715F0E"/>
    <w:rsid w:val="00716473"/>
    <w:rsid w:val="007165F7"/>
    <w:rsid w:val="00716CCE"/>
    <w:rsid w:val="00716DC5"/>
    <w:rsid w:val="007177A1"/>
    <w:rsid w:val="00720061"/>
    <w:rsid w:val="00720AFD"/>
    <w:rsid w:val="00720D07"/>
    <w:rsid w:val="007216B7"/>
    <w:rsid w:val="00721C45"/>
    <w:rsid w:val="00722977"/>
    <w:rsid w:val="007229E8"/>
    <w:rsid w:val="0072354F"/>
    <w:rsid w:val="0072452B"/>
    <w:rsid w:val="007246F0"/>
    <w:rsid w:val="007249AE"/>
    <w:rsid w:val="00724AD0"/>
    <w:rsid w:val="00724BD8"/>
    <w:rsid w:val="00725183"/>
    <w:rsid w:val="007251FB"/>
    <w:rsid w:val="00725353"/>
    <w:rsid w:val="00725360"/>
    <w:rsid w:val="00725475"/>
    <w:rsid w:val="00725DEB"/>
    <w:rsid w:val="00725EEE"/>
    <w:rsid w:val="00726322"/>
    <w:rsid w:val="007266F1"/>
    <w:rsid w:val="00726989"/>
    <w:rsid w:val="007272B0"/>
    <w:rsid w:val="0072732F"/>
    <w:rsid w:val="0072742C"/>
    <w:rsid w:val="007276F2"/>
    <w:rsid w:val="007300B6"/>
    <w:rsid w:val="007313B8"/>
    <w:rsid w:val="0073173E"/>
    <w:rsid w:val="00731D97"/>
    <w:rsid w:val="00732771"/>
    <w:rsid w:val="00733937"/>
    <w:rsid w:val="00733F60"/>
    <w:rsid w:val="007342FF"/>
    <w:rsid w:val="00734470"/>
    <w:rsid w:val="00734F72"/>
    <w:rsid w:val="00735749"/>
    <w:rsid w:val="007357FF"/>
    <w:rsid w:val="00736CB4"/>
    <w:rsid w:val="00736CCE"/>
    <w:rsid w:val="007374DE"/>
    <w:rsid w:val="00737C28"/>
    <w:rsid w:val="00740624"/>
    <w:rsid w:val="0074062F"/>
    <w:rsid w:val="00741863"/>
    <w:rsid w:val="00741A57"/>
    <w:rsid w:val="00741FE7"/>
    <w:rsid w:val="007423B5"/>
    <w:rsid w:val="00742C20"/>
    <w:rsid w:val="00742E8D"/>
    <w:rsid w:val="0074316F"/>
    <w:rsid w:val="00744603"/>
    <w:rsid w:val="007458CC"/>
    <w:rsid w:val="0074596B"/>
    <w:rsid w:val="007465D2"/>
    <w:rsid w:val="00746744"/>
    <w:rsid w:val="0074691A"/>
    <w:rsid w:val="00746A20"/>
    <w:rsid w:val="00747227"/>
    <w:rsid w:val="00747302"/>
    <w:rsid w:val="0074766F"/>
    <w:rsid w:val="0075182C"/>
    <w:rsid w:val="00751A05"/>
    <w:rsid w:val="00753B45"/>
    <w:rsid w:val="00753DA0"/>
    <w:rsid w:val="0075488E"/>
    <w:rsid w:val="00754B3B"/>
    <w:rsid w:val="00754CBE"/>
    <w:rsid w:val="007555E7"/>
    <w:rsid w:val="00755BD7"/>
    <w:rsid w:val="00755F74"/>
    <w:rsid w:val="00756D65"/>
    <w:rsid w:val="0075726F"/>
    <w:rsid w:val="007575A4"/>
    <w:rsid w:val="00757D7F"/>
    <w:rsid w:val="007600F8"/>
    <w:rsid w:val="007602BB"/>
    <w:rsid w:val="007604A5"/>
    <w:rsid w:val="007618A8"/>
    <w:rsid w:val="00761CBD"/>
    <w:rsid w:val="00762049"/>
    <w:rsid w:val="007625FB"/>
    <w:rsid w:val="00762817"/>
    <w:rsid w:val="00762A26"/>
    <w:rsid w:val="00762D74"/>
    <w:rsid w:val="00764026"/>
    <w:rsid w:val="007648A7"/>
    <w:rsid w:val="00764B50"/>
    <w:rsid w:val="00764D77"/>
    <w:rsid w:val="00764FD7"/>
    <w:rsid w:val="007653F7"/>
    <w:rsid w:val="00765622"/>
    <w:rsid w:val="007656F3"/>
    <w:rsid w:val="00765CED"/>
    <w:rsid w:val="007671DF"/>
    <w:rsid w:val="007705B4"/>
    <w:rsid w:val="00771345"/>
    <w:rsid w:val="00771E65"/>
    <w:rsid w:val="00772104"/>
    <w:rsid w:val="00772D00"/>
    <w:rsid w:val="007732C9"/>
    <w:rsid w:val="00773ADF"/>
    <w:rsid w:val="00773D0C"/>
    <w:rsid w:val="00774A9B"/>
    <w:rsid w:val="00774F5E"/>
    <w:rsid w:val="00775545"/>
    <w:rsid w:val="00775A87"/>
    <w:rsid w:val="00775BD4"/>
    <w:rsid w:val="00775D65"/>
    <w:rsid w:val="00775EA2"/>
    <w:rsid w:val="0077620A"/>
    <w:rsid w:val="00776632"/>
    <w:rsid w:val="00776F11"/>
    <w:rsid w:val="00777313"/>
    <w:rsid w:val="00777742"/>
    <w:rsid w:val="00777C30"/>
    <w:rsid w:val="0078026E"/>
    <w:rsid w:val="007809FD"/>
    <w:rsid w:val="00780CD1"/>
    <w:rsid w:val="00781376"/>
    <w:rsid w:val="00781EC8"/>
    <w:rsid w:val="00781F1F"/>
    <w:rsid w:val="00782C30"/>
    <w:rsid w:val="00783024"/>
    <w:rsid w:val="0078312F"/>
    <w:rsid w:val="00783398"/>
    <w:rsid w:val="00783486"/>
    <w:rsid w:val="007837C4"/>
    <w:rsid w:val="00784055"/>
    <w:rsid w:val="00784C4D"/>
    <w:rsid w:val="0078533D"/>
    <w:rsid w:val="0078602D"/>
    <w:rsid w:val="0078611C"/>
    <w:rsid w:val="00786FDC"/>
    <w:rsid w:val="00787072"/>
    <w:rsid w:val="0078EA8D"/>
    <w:rsid w:val="0079096E"/>
    <w:rsid w:val="007909E3"/>
    <w:rsid w:val="00791B38"/>
    <w:rsid w:val="0079358C"/>
    <w:rsid w:val="0079373E"/>
    <w:rsid w:val="00793FDC"/>
    <w:rsid w:val="007942BB"/>
    <w:rsid w:val="00794889"/>
    <w:rsid w:val="00794EAB"/>
    <w:rsid w:val="007955B8"/>
    <w:rsid w:val="0079582B"/>
    <w:rsid w:val="0079663E"/>
    <w:rsid w:val="00797110"/>
    <w:rsid w:val="0079714B"/>
    <w:rsid w:val="00797268"/>
    <w:rsid w:val="0079770F"/>
    <w:rsid w:val="00797892"/>
    <w:rsid w:val="007A075B"/>
    <w:rsid w:val="007A09E9"/>
    <w:rsid w:val="007A145B"/>
    <w:rsid w:val="007A209F"/>
    <w:rsid w:val="007A4B8B"/>
    <w:rsid w:val="007A4C31"/>
    <w:rsid w:val="007A5503"/>
    <w:rsid w:val="007A5657"/>
    <w:rsid w:val="007A6180"/>
    <w:rsid w:val="007A6490"/>
    <w:rsid w:val="007A6556"/>
    <w:rsid w:val="007A69DE"/>
    <w:rsid w:val="007A6E93"/>
    <w:rsid w:val="007A6FA8"/>
    <w:rsid w:val="007A74F4"/>
    <w:rsid w:val="007A7599"/>
    <w:rsid w:val="007A774E"/>
    <w:rsid w:val="007B06F5"/>
    <w:rsid w:val="007B085F"/>
    <w:rsid w:val="007B092D"/>
    <w:rsid w:val="007B1184"/>
    <w:rsid w:val="007B130D"/>
    <w:rsid w:val="007B13C8"/>
    <w:rsid w:val="007B1748"/>
    <w:rsid w:val="007B2AC1"/>
    <w:rsid w:val="007B2F62"/>
    <w:rsid w:val="007B3805"/>
    <w:rsid w:val="007B5849"/>
    <w:rsid w:val="007B5896"/>
    <w:rsid w:val="007B5B31"/>
    <w:rsid w:val="007B5C5D"/>
    <w:rsid w:val="007B5D7C"/>
    <w:rsid w:val="007B6430"/>
    <w:rsid w:val="007B6F95"/>
    <w:rsid w:val="007B78BA"/>
    <w:rsid w:val="007C1AEF"/>
    <w:rsid w:val="007C1E7C"/>
    <w:rsid w:val="007C273C"/>
    <w:rsid w:val="007C3740"/>
    <w:rsid w:val="007C4009"/>
    <w:rsid w:val="007C40F7"/>
    <w:rsid w:val="007C4B0A"/>
    <w:rsid w:val="007C4BA5"/>
    <w:rsid w:val="007C5050"/>
    <w:rsid w:val="007C52D5"/>
    <w:rsid w:val="007C56F7"/>
    <w:rsid w:val="007C587D"/>
    <w:rsid w:val="007C5EA6"/>
    <w:rsid w:val="007C60D4"/>
    <w:rsid w:val="007C6FF9"/>
    <w:rsid w:val="007C76A8"/>
    <w:rsid w:val="007C7CA0"/>
    <w:rsid w:val="007D0334"/>
    <w:rsid w:val="007D03DE"/>
    <w:rsid w:val="007D0B22"/>
    <w:rsid w:val="007D271C"/>
    <w:rsid w:val="007D2879"/>
    <w:rsid w:val="007D29E9"/>
    <w:rsid w:val="007D2A06"/>
    <w:rsid w:val="007D58E1"/>
    <w:rsid w:val="007D62A5"/>
    <w:rsid w:val="007D64DD"/>
    <w:rsid w:val="007D6B87"/>
    <w:rsid w:val="007D769C"/>
    <w:rsid w:val="007E14F6"/>
    <w:rsid w:val="007E180A"/>
    <w:rsid w:val="007E1943"/>
    <w:rsid w:val="007E1DB8"/>
    <w:rsid w:val="007E2341"/>
    <w:rsid w:val="007E2EED"/>
    <w:rsid w:val="007E322B"/>
    <w:rsid w:val="007E3B79"/>
    <w:rsid w:val="007E4194"/>
    <w:rsid w:val="007E4815"/>
    <w:rsid w:val="007E4C51"/>
    <w:rsid w:val="007E4F40"/>
    <w:rsid w:val="007E5467"/>
    <w:rsid w:val="007E5C94"/>
    <w:rsid w:val="007E645F"/>
    <w:rsid w:val="007E6937"/>
    <w:rsid w:val="007E6B51"/>
    <w:rsid w:val="007E794F"/>
    <w:rsid w:val="007E7C0B"/>
    <w:rsid w:val="007F00DB"/>
    <w:rsid w:val="007F0604"/>
    <w:rsid w:val="007F08B4"/>
    <w:rsid w:val="007F10FE"/>
    <w:rsid w:val="007F1540"/>
    <w:rsid w:val="007F1662"/>
    <w:rsid w:val="007F1C9A"/>
    <w:rsid w:val="007F2206"/>
    <w:rsid w:val="007F3297"/>
    <w:rsid w:val="007F3CBB"/>
    <w:rsid w:val="007F3DFB"/>
    <w:rsid w:val="007F425D"/>
    <w:rsid w:val="007F4C21"/>
    <w:rsid w:val="007F4DC9"/>
    <w:rsid w:val="007F53BC"/>
    <w:rsid w:val="007F58B1"/>
    <w:rsid w:val="007F5F51"/>
    <w:rsid w:val="007F613E"/>
    <w:rsid w:val="007F689B"/>
    <w:rsid w:val="007F6C80"/>
    <w:rsid w:val="007F7265"/>
    <w:rsid w:val="007F73CD"/>
    <w:rsid w:val="007F74AC"/>
    <w:rsid w:val="00801750"/>
    <w:rsid w:val="00801EDE"/>
    <w:rsid w:val="00801FD8"/>
    <w:rsid w:val="0080222D"/>
    <w:rsid w:val="00802553"/>
    <w:rsid w:val="008028A6"/>
    <w:rsid w:val="00802A4F"/>
    <w:rsid w:val="008032E1"/>
    <w:rsid w:val="008036B6"/>
    <w:rsid w:val="00803791"/>
    <w:rsid w:val="00803E79"/>
    <w:rsid w:val="00804CC0"/>
    <w:rsid w:val="00804E01"/>
    <w:rsid w:val="008050BC"/>
    <w:rsid w:val="00805F35"/>
    <w:rsid w:val="00806FC9"/>
    <w:rsid w:val="00807097"/>
    <w:rsid w:val="008100A7"/>
    <w:rsid w:val="008107BC"/>
    <w:rsid w:val="00810FCC"/>
    <w:rsid w:val="008115E3"/>
    <w:rsid w:val="00811FCD"/>
    <w:rsid w:val="00812499"/>
    <w:rsid w:val="00812BEA"/>
    <w:rsid w:val="00813A26"/>
    <w:rsid w:val="00813BDC"/>
    <w:rsid w:val="00814468"/>
    <w:rsid w:val="0081452F"/>
    <w:rsid w:val="008145D8"/>
    <w:rsid w:val="008146D7"/>
    <w:rsid w:val="0081475F"/>
    <w:rsid w:val="00814999"/>
    <w:rsid w:val="00814FFF"/>
    <w:rsid w:val="0081552A"/>
    <w:rsid w:val="00816D3E"/>
    <w:rsid w:val="00820583"/>
    <w:rsid w:val="00821492"/>
    <w:rsid w:val="008219BE"/>
    <w:rsid w:val="0082243C"/>
    <w:rsid w:val="00822697"/>
    <w:rsid w:val="00823955"/>
    <w:rsid w:val="00823FD6"/>
    <w:rsid w:val="00824850"/>
    <w:rsid w:val="008248B0"/>
    <w:rsid w:val="00824B49"/>
    <w:rsid w:val="00824D2F"/>
    <w:rsid w:val="00825015"/>
    <w:rsid w:val="0082642A"/>
    <w:rsid w:val="0082659B"/>
    <w:rsid w:val="008270DD"/>
    <w:rsid w:val="008279B8"/>
    <w:rsid w:val="00830D54"/>
    <w:rsid w:val="00830DDB"/>
    <w:rsid w:val="008319ED"/>
    <w:rsid w:val="00831AA5"/>
    <w:rsid w:val="00831E76"/>
    <w:rsid w:val="008321E6"/>
    <w:rsid w:val="0083255B"/>
    <w:rsid w:val="0083272B"/>
    <w:rsid w:val="00832765"/>
    <w:rsid w:val="00832CFE"/>
    <w:rsid w:val="00833318"/>
    <w:rsid w:val="00833BCD"/>
    <w:rsid w:val="00834275"/>
    <w:rsid w:val="00834F7E"/>
    <w:rsid w:val="00835355"/>
    <w:rsid w:val="00835A2F"/>
    <w:rsid w:val="00835B1A"/>
    <w:rsid w:val="00835E16"/>
    <w:rsid w:val="0083614A"/>
    <w:rsid w:val="008361CF"/>
    <w:rsid w:val="00836FEC"/>
    <w:rsid w:val="008372D1"/>
    <w:rsid w:val="008373B3"/>
    <w:rsid w:val="0083742D"/>
    <w:rsid w:val="00837986"/>
    <w:rsid w:val="0084050B"/>
    <w:rsid w:val="00840CB1"/>
    <w:rsid w:val="00841C07"/>
    <w:rsid w:val="008431C6"/>
    <w:rsid w:val="0084384C"/>
    <w:rsid w:val="008441FD"/>
    <w:rsid w:val="008443FC"/>
    <w:rsid w:val="00844851"/>
    <w:rsid w:val="00844CB3"/>
    <w:rsid w:val="008459E0"/>
    <w:rsid w:val="00847FC4"/>
    <w:rsid w:val="00850000"/>
    <w:rsid w:val="00850B8E"/>
    <w:rsid w:val="00851228"/>
    <w:rsid w:val="0085159F"/>
    <w:rsid w:val="00851D15"/>
    <w:rsid w:val="00852322"/>
    <w:rsid w:val="008525E8"/>
    <w:rsid w:val="00852C8C"/>
    <w:rsid w:val="00854044"/>
    <w:rsid w:val="00854961"/>
    <w:rsid w:val="00855701"/>
    <w:rsid w:val="00856499"/>
    <w:rsid w:val="00856540"/>
    <w:rsid w:val="00857196"/>
    <w:rsid w:val="008574CA"/>
    <w:rsid w:val="008576AB"/>
    <w:rsid w:val="00857B6C"/>
    <w:rsid w:val="00857B7B"/>
    <w:rsid w:val="00857DB6"/>
    <w:rsid w:val="00857F28"/>
    <w:rsid w:val="00860194"/>
    <w:rsid w:val="008609CD"/>
    <w:rsid w:val="00861365"/>
    <w:rsid w:val="00861999"/>
    <w:rsid w:val="00861C71"/>
    <w:rsid w:val="008626F3"/>
    <w:rsid w:val="00862A31"/>
    <w:rsid w:val="00862F45"/>
    <w:rsid w:val="0086334E"/>
    <w:rsid w:val="00863438"/>
    <w:rsid w:val="00863D23"/>
    <w:rsid w:val="008640E1"/>
    <w:rsid w:val="008657C3"/>
    <w:rsid w:val="00866AAC"/>
    <w:rsid w:val="00867388"/>
    <w:rsid w:val="008716B8"/>
    <w:rsid w:val="0087238E"/>
    <w:rsid w:val="00872DEA"/>
    <w:rsid w:val="00873273"/>
    <w:rsid w:val="00873508"/>
    <w:rsid w:val="00873CF0"/>
    <w:rsid w:val="00874026"/>
    <w:rsid w:val="0087462F"/>
    <w:rsid w:val="00874FF7"/>
    <w:rsid w:val="008750DE"/>
    <w:rsid w:val="008761D5"/>
    <w:rsid w:val="00877021"/>
    <w:rsid w:val="008804AB"/>
    <w:rsid w:val="00880A5F"/>
    <w:rsid w:val="00880C39"/>
    <w:rsid w:val="00881169"/>
    <w:rsid w:val="00881478"/>
    <w:rsid w:val="00882127"/>
    <w:rsid w:val="008830C9"/>
    <w:rsid w:val="008832C1"/>
    <w:rsid w:val="008836C2"/>
    <w:rsid w:val="0088460E"/>
    <w:rsid w:val="00884D82"/>
    <w:rsid w:val="00885B62"/>
    <w:rsid w:val="008867A5"/>
    <w:rsid w:val="00886854"/>
    <w:rsid w:val="00887437"/>
    <w:rsid w:val="00890C3F"/>
    <w:rsid w:val="008928C8"/>
    <w:rsid w:val="00892F59"/>
    <w:rsid w:val="00893D4D"/>
    <w:rsid w:val="0089425D"/>
    <w:rsid w:val="008957B7"/>
    <w:rsid w:val="00895F85"/>
    <w:rsid w:val="00896254"/>
    <w:rsid w:val="00896382"/>
    <w:rsid w:val="008A07D8"/>
    <w:rsid w:val="008A11A2"/>
    <w:rsid w:val="008A152B"/>
    <w:rsid w:val="008A189B"/>
    <w:rsid w:val="008A1BCC"/>
    <w:rsid w:val="008A2194"/>
    <w:rsid w:val="008A25DF"/>
    <w:rsid w:val="008A3BEA"/>
    <w:rsid w:val="008A3E12"/>
    <w:rsid w:val="008A3F22"/>
    <w:rsid w:val="008A4201"/>
    <w:rsid w:val="008A42CF"/>
    <w:rsid w:val="008A4F09"/>
    <w:rsid w:val="008A54C3"/>
    <w:rsid w:val="008A55C3"/>
    <w:rsid w:val="008A5FF0"/>
    <w:rsid w:val="008A6D51"/>
    <w:rsid w:val="008A6DA9"/>
    <w:rsid w:val="008A7530"/>
    <w:rsid w:val="008A7E04"/>
    <w:rsid w:val="008B1DA7"/>
    <w:rsid w:val="008B20EF"/>
    <w:rsid w:val="008B450D"/>
    <w:rsid w:val="008B4BF9"/>
    <w:rsid w:val="008B5043"/>
    <w:rsid w:val="008B6CCD"/>
    <w:rsid w:val="008B7B8C"/>
    <w:rsid w:val="008C037D"/>
    <w:rsid w:val="008C0602"/>
    <w:rsid w:val="008C0A73"/>
    <w:rsid w:val="008C0DE7"/>
    <w:rsid w:val="008C11DF"/>
    <w:rsid w:val="008C199B"/>
    <w:rsid w:val="008C1C2C"/>
    <w:rsid w:val="008C3DDF"/>
    <w:rsid w:val="008C3EA0"/>
    <w:rsid w:val="008C3ECE"/>
    <w:rsid w:val="008C4227"/>
    <w:rsid w:val="008C42AF"/>
    <w:rsid w:val="008C5037"/>
    <w:rsid w:val="008C564E"/>
    <w:rsid w:val="008C5BCA"/>
    <w:rsid w:val="008C5C06"/>
    <w:rsid w:val="008C66BB"/>
    <w:rsid w:val="008C729F"/>
    <w:rsid w:val="008C7636"/>
    <w:rsid w:val="008C767D"/>
    <w:rsid w:val="008C7C3E"/>
    <w:rsid w:val="008C7CA9"/>
    <w:rsid w:val="008D03D4"/>
    <w:rsid w:val="008D04FC"/>
    <w:rsid w:val="008D0C8C"/>
    <w:rsid w:val="008D1152"/>
    <w:rsid w:val="008D1254"/>
    <w:rsid w:val="008D29DC"/>
    <w:rsid w:val="008D2AA8"/>
    <w:rsid w:val="008D3A79"/>
    <w:rsid w:val="008D42C4"/>
    <w:rsid w:val="008D4590"/>
    <w:rsid w:val="008D4BD4"/>
    <w:rsid w:val="008D5A97"/>
    <w:rsid w:val="008D5DE3"/>
    <w:rsid w:val="008D5EEF"/>
    <w:rsid w:val="008D66FB"/>
    <w:rsid w:val="008D6EAD"/>
    <w:rsid w:val="008D7020"/>
    <w:rsid w:val="008D72EA"/>
    <w:rsid w:val="008D73F9"/>
    <w:rsid w:val="008E08DB"/>
    <w:rsid w:val="008E1286"/>
    <w:rsid w:val="008E1BCC"/>
    <w:rsid w:val="008E221A"/>
    <w:rsid w:val="008E2308"/>
    <w:rsid w:val="008E3151"/>
    <w:rsid w:val="008E3993"/>
    <w:rsid w:val="008E3CFC"/>
    <w:rsid w:val="008E400C"/>
    <w:rsid w:val="008E43F3"/>
    <w:rsid w:val="008E4A5D"/>
    <w:rsid w:val="008E4C8E"/>
    <w:rsid w:val="008E57C9"/>
    <w:rsid w:val="008E6376"/>
    <w:rsid w:val="008E6557"/>
    <w:rsid w:val="008E67B3"/>
    <w:rsid w:val="008E6A87"/>
    <w:rsid w:val="008E7123"/>
    <w:rsid w:val="008E77DF"/>
    <w:rsid w:val="008E7A82"/>
    <w:rsid w:val="008E7D86"/>
    <w:rsid w:val="008E7F48"/>
    <w:rsid w:val="008F01D1"/>
    <w:rsid w:val="008F0409"/>
    <w:rsid w:val="008F0A61"/>
    <w:rsid w:val="008F1358"/>
    <w:rsid w:val="008F16CC"/>
    <w:rsid w:val="008F2065"/>
    <w:rsid w:val="008F2359"/>
    <w:rsid w:val="008F238C"/>
    <w:rsid w:val="008F24C2"/>
    <w:rsid w:val="008F44B5"/>
    <w:rsid w:val="008F4F9D"/>
    <w:rsid w:val="008F5147"/>
    <w:rsid w:val="008F59E1"/>
    <w:rsid w:val="008F5B58"/>
    <w:rsid w:val="008F5F21"/>
    <w:rsid w:val="008F6313"/>
    <w:rsid w:val="008F67B4"/>
    <w:rsid w:val="008F7219"/>
    <w:rsid w:val="008F72DA"/>
    <w:rsid w:val="008F7AF4"/>
    <w:rsid w:val="00900235"/>
    <w:rsid w:val="00900DF7"/>
    <w:rsid w:val="00901C58"/>
    <w:rsid w:val="00901CB5"/>
    <w:rsid w:val="00901E3F"/>
    <w:rsid w:val="00901F97"/>
    <w:rsid w:val="00902022"/>
    <w:rsid w:val="009025B6"/>
    <w:rsid w:val="00903B5B"/>
    <w:rsid w:val="0090448D"/>
    <w:rsid w:val="00904E35"/>
    <w:rsid w:val="00906B32"/>
    <w:rsid w:val="00910DE7"/>
    <w:rsid w:val="00910EDA"/>
    <w:rsid w:val="00911082"/>
    <w:rsid w:val="00911085"/>
    <w:rsid w:val="0091164D"/>
    <w:rsid w:val="00911CF0"/>
    <w:rsid w:val="0091211C"/>
    <w:rsid w:val="00912D80"/>
    <w:rsid w:val="00912FF7"/>
    <w:rsid w:val="00914656"/>
    <w:rsid w:val="00914813"/>
    <w:rsid w:val="00914B45"/>
    <w:rsid w:val="00914FF0"/>
    <w:rsid w:val="00917310"/>
    <w:rsid w:val="0092108A"/>
    <w:rsid w:val="009210CF"/>
    <w:rsid w:val="009221EE"/>
    <w:rsid w:val="009222A2"/>
    <w:rsid w:val="0092235D"/>
    <w:rsid w:val="00922B67"/>
    <w:rsid w:val="00922C07"/>
    <w:rsid w:val="009233BD"/>
    <w:rsid w:val="00924576"/>
    <w:rsid w:val="009248D5"/>
    <w:rsid w:val="00924A09"/>
    <w:rsid w:val="009255E6"/>
    <w:rsid w:val="00925792"/>
    <w:rsid w:val="00925C6A"/>
    <w:rsid w:val="0092615C"/>
    <w:rsid w:val="00926257"/>
    <w:rsid w:val="00926C74"/>
    <w:rsid w:val="009308D7"/>
    <w:rsid w:val="009310EB"/>
    <w:rsid w:val="009311B3"/>
    <w:rsid w:val="00931799"/>
    <w:rsid w:val="00931E44"/>
    <w:rsid w:val="0093206F"/>
    <w:rsid w:val="0093233C"/>
    <w:rsid w:val="0093284C"/>
    <w:rsid w:val="009351AA"/>
    <w:rsid w:val="009358C0"/>
    <w:rsid w:val="0093591F"/>
    <w:rsid w:val="009368EE"/>
    <w:rsid w:val="00936936"/>
    <w:rsid w:val="00936DF5"/>
    <w:rsid w:val="0093788C"/>
    <w:rsid w:val="00937B11"/>
    <w:rsid w:val="00940509"/>
    <w:rsid w:val="00940ADB"/>
    <w:rsid w:val="009414C1"/>
    <w:rsid w:val="00942611"/>
    <w:rsid w:val="00943777"/>
    <w:rsid w:val="00943F2F"/>
    <w:rsid w:val="00944156"/>
    <w:rsid w:val="00944351"/>
    <w:rsid w:val="00945FDE"/>
    <w:rsid w:val="0094618B"/>
    <w:rsid w:val="00946261"/>
    <w:rsid w:val="009463F9"/>
    <w:rsid w:val="00947324"/>
    <w:rsid w:val="009473F5"/>
    <w:rsid w:val="009479C0"/>
    <w:rsid w:val="00950424"/>
    <w:rsid w:val="0095066A"/>
    <w:rsid w:val="009514F0"/>
    <w:rsid w:val="0095168C"/>
    <w:rsid w:val="00951A4D"/>
    <w:rsid w:val="00953362"/>
    <w:rsid w:val="009541B0"/>
    <w:rsid w:val="009543E0"/>
    <w:rsid w:val="009553A9"/>
    <w:rsid w:val="009556DF"/>
    <w:rsid w:val="00955C56"/>
    <w:rsid w:val="009568AB"/>
    <w:rsid w:val="00956F93"/>
    <w:rsid w:val="00957307"/>
    <w:rsid w:val="00957DB0"/>
    <w:rsid w:val="0096008B"/>
    <w:rsid w:val="00960160"/>
    <w:rsid w:val="00960AF5"/>
    <w:rsid w:val="00960FF7"/>
    <w:rsid w:val="00961673"/>
    <w:rsid w:val="00961B60"/>
    <w:rsid w:val="00961E95"/>
    <w:rsid w:val="00962769"/>
    <w:rsid w:val="009630DE"/>
    <w:rsid w:val="00963250"/>
    <w:rsid w:val="009639DB"/>
    <w:rsid w:val="009653A4"/>
    <w:rsid w:val="009654BE"/>
    <w:rsid w:val="00965E1B"/>
    <w:rsid w:val="00965F62"/>
    <w:rsid w:val="00967793"/>
    <w:rsid w:val="00967868"/>
    <w:rsid w:val="00967B54"/>
    <w:rsid w:val="0097087D"/>
    <w:rsid w:val="00972000"/>
    <w:rsid w:val="009730A8"/>
    <w:rsid w:val="00973495"/>
    <w:rsid w:val="00974293"/>
    <w:rsid w:val="00975356"/>
    <w:rsid w:val="00975360"/>
    <w:rsid w:val="0097557A"/>
    <w:rsid w:val="00975803"/>
    <w:rsid w:val="009758FF"/>
    <w:rsid w:val="00975AB7"/>
    <w:rsid w:val="00975D61"/>
    <w:rsid w:val="00975EB8"/>
    <w:rsid w:val="00976156"/>
    <w:rsid w:val="00976420"/>
    <w:rsid w:val="0097710B"/>
    <w:rsid w:val="00977520"/>
    <w:rsid w:val="009775C8"/>
    <w:rsid w:val="0097768A"/>
    <w:rsid w:val="009779E1"/>
    <w:rsid w:val="009813E8"/>
    <w:rsid w:val="00981CBB"/>
    <w:rsid w:val="00981FD4"/>
    <w:rsid w:val="00982CCC"/>
    <w:rsid w:val="00983418"/>
    <w:rsid w:val="00983662"/>
    <w:rsid w:val="00984495"/>
    <w:rsid w:val="00984839"/>
    <w:rsid w:val="009859A1"/>
    <w:rsid w:val="00985E3F"/>
    <w:rsid w:val="0098729A"/>
    <w:rsid w:val="00987546"/>
    <w:rsid w:val="00987C2E"/>
    <w:rsid w:val="00987D23"/>
    <w:rsid w:val="0099007E"/>
    <w:rsid w:val="0099103D"/>
    <w:rsid w:val="009918B2"/>
    <w:rsid w:val="00991D20"/>
    <w:rsid w:val="0099283A"/>
    <w:rsid w:val="009928EB"/>
    <w:rsid w:val="00992B3B"/>
    <w:rsid w:val="009937F1"/>
    <w:rsid w:val="00993E97"/>
    <w:rsid w:val="009948A3"/>
    <w:rsid w:val="009954E2"/>
    <w:rsid w:val="0099576B"/>
    <w:rsid w:val="00995936"/>
    <w:rsid w:val="009A0B89"/>
    <w:rsid w:val="009A1869"/>
    <w:rsid w:val="009A1E70"/>
    <w:rsid w:val="009A28BB"/>
    <w:rsid w:val="009A3195"/>
    <w:rsid w:val="009A3263"/>
    <w:rsid w:val="009A32CF"/>
    <w:rsid w:val="009A4D73"/>
    <w:rsid w:val="009A5090"/>
    <w:rsid w:val="009A52AA"/>
    <w:rsid w:val="009A5E8E"/>
    <w:rsid w:val="009A657B"/>
    <w:rsid w:val="009A665D"/>
    <w:rsid w:val="009A6982"/>
    <w:rsid w:val="009A6B3D"/>
    <w:rsid w:val="009A78C1"/>
    <w:rsid w:val="009B036B"/>
    <w:rsid w:val="009B09F1"/>
    <w:rsid w:val="009B2083"/>
    <w:rsid w:val="009B2335"/>
    <w:rsid w:val="009B24BE"/>
    <w:rsid w:val="009B26EF"/>
    <w:rsid w:val="009B2C2E"/>
    <w:rsid w:val="009B2E59"/>
    <w:rsid w:val="009B455F"/>
    <w:rsid w:val="009B67EC"/>
    <w:rsid w:val="009B6AAB"/>
    <w:rsid w:val="009B6EFE"/>
    <w:rsid w:val="009B72DC"/>
    <w:rsid w:val="009B72F8"/>
    <w:rsid w:val="009B7DC0"/>
    <w:rsid w:val="009B7E97"/>
    <w:rsid w:val="009C0836"/>
    <w:rsid w:val="009C0F0A"/>
    <w:rsid w:val="009C1122"/>
    <w:rsid w:val="009C1EEC"/>
    <w:rsid w:val="009C242E"/>
    <w:rsid w:val="009C2EAB"/>
    <w:rsid w:val="009C3084"/>
    <w:rsid w:val="009C33CB"/>
    <w:rsid w:val="009C392F"/>
    <w:rsid w:val="009C3DFA"/>
    <w:rsid w:val="009C3EC5"/>
    <w:rsid w:val="009C45E1"/>
    <w:rsid w:val="009C47AD"/>
    <w:rsid w:val="009C5247"/>
    <w:rsid w:val="009C557F"/>
    <w:rsid w:val="009C65BD"/>
    <w:rsid w:val="009C6B44"/>
    <w:rsid w:val="009C7365"/>
    <w:rsid w:val="009C7765"/>
    <w:rsid w:val="009C7FB1"/>
    <w:rsid w:val="009D057B"/>
    <w:rsid w:val="009D0A29"/>
    <w:rsid w:val="009D0A3E"/>
    <w:rsid w:val="009D133B"/>
    <w:rsid w:val="009D1CE2"/>
    <w:rsid w:val="009D2087"/>
    <w:rsid w:val="009D211F"/>
    <w:rsid w:val="009D31C4"/>
    <w:rsid w:val="009D35C3"/>
    <w:rsid w:val="009D3DBE"/>
    <w:rsid w:val="009D4364"/>
    <w:rsid w:val="009D442F"/>
    <w:rsid w:val="009D4800"/>
    <w:rsid w:val="009D522B"/>
    <w:rsid w:val="009D5290"/>
    <w:rsid w:val="009D6B45"/>
    <w:rsid w:val="009D6B76"/>
    <w:rsid w:val="009D6F20"/>
    <w:rsid w:val="009D7221"/>
    <w:rsid w:val="009D7D6C"/>
    <w:rsid w:val="009E12C2"/>
    <w:rsid w:val="009E18BD"/>
    <w:rsid w:val="009E1F1D"/>
    <w:rsid w:val="009E2196"/>
    <w:rsid w:val="009E2566"/>
    <w:rsid w:val="009E26E5"/>
    <w:rsid w:val="009E2FB1"/>
    <w:rsid w:val="009E3507"/>
    <w:rsid w:val="009E36E5"/>
    <w:rsid w:val="009E380F"/>
    <w:rsid w:val="009E3888"/>
    <w:rsid w:val="009E3897"/>
    <w:rsid w:val="009E3A6C"/>
    <w:rsid w:val="009E3D13"/>
    <w:rsid w:val="009E4FE4"/>
    <w:rsid w:val="009E78D6"/>
    <w:rsid w:val="009E7C82"/>
    <w:rsid w:val="009E7CA7"/>
    <w:rsid w:val="009E7F0B"/>
    <w:rsid w:val="009F0C5B"/>
    <w:rsid w:val="009F2734"/>
    <w:rsid w:val="009F3C65"/>
    <w:rsid w:val="009F3FB7"/>
    <w:rsid w:val="009F48D5"/>
    <w:rsid w:val="009F57D9"/>
    <w:rsid w:val="009F5ADE"/>
    <w:rsid w:val="009F633D"/>
    <w:rsid w:val="009F6F9B"/>
    <w:rsid w:val="009F70AE"/>
    <w:rsid w:val="009F7407"/>
    <w:rsid w:val="009F782D"/>
    <w:rsid w:val="00A0011B"/>
    <w:rsid w:val="00A00481"/>
    <w:rsid w:val="00A005A4"/>
    <w:rsid w:val="00A00694"/>
    <w:rsid w:val="00A0078E"/>
    <w:rsid w:val="00A00906"/>
    <w:rsid w:val="00A01098"/>
    <w:rsid w:val="00A0171A"/>
    <w:rsid w:val="00A02FFD"/>
    <w:rsid w:val="00A031D5"/>
    <w:rsid w:val="00A035E7"/>
    <w:rsid w:val="00A0375B"/>
    <w:rsid w:val="00A0440F"/>
    <w:rsid w:val="00A0477C"/>
    <w:rsid w:val="00A049BE"/>
    <w:rsid w:val="00A04A41"/>
    <w:rsid w:val="00A04B86"/>
    <w:rsid w:val="00A04E93"/>
    <w:rsid w:val="00A05F12"/>
    <w:rsid w:val="00A071A4"/>
    <w:rsid w:val="00A10B7A"/>
    <w:rsid w:val="00A115F7"/>
    <w:rsid w:val="00A122A0"/>
    <w:rsid w:val="00A13EA2"/>
    <w:rsid w:val="00A145E7"/>
    <w:rsid w:val="00A147F6"/>
    <w:rsid w:val="00A15471"/>
    <w:rsid w:val="00A155FF"/>
    <w:rsid w:val="00A20030"/>
    <w:rsid w:val="00A22980"/>
    <w:rsid w:val="00A23B34"/>
    <w:rsid w:val="00A23C0B"/>
    <w:rsid w:val="00A23E2B"/>
    <w:rsid w:val="00A24323"/>
    <w:rsid w:val="00A24B56"/>
    <w:rsid w:val="00A24C7B"/>
    <w:rsid w:val="00A24C8D"/>
    <w:rsid w:val="00A2525B"/>
    <w:rsid w:val="00A25444"/>
    <w:rsid w:val="00A25CCC"/>
    <w:rsid w:val="00A25E6F"/>
    <w:rsid w:val="00A278F6"/>
    <w:rsid w:val="00A30172"/>
    <w:rsid w:val="00A30525"/>
    <w:rsid w:val="00A309E1"/>
    <w:rsid w:val="00A30A45"/>
    <w:rsid w:val="00A31448"/>
    <w:rsid w:val="00A315D2"/>
    <w:rsid w:val="00A3172B"/>
    <w:rsid w:val="00A3174C"/>
    <w:rsid w:val="00A3216C"/>
    <w:rsid w:val="00A321BB"/>
    <w:rsid w:val="00A323A4"/>
    <w:rsid w:val="00A3248D"/>
    <w:rsid w:val="00A3259C"/>
    <w:rsid w:val="00A3265A"/>
    <w:rsid w:val="00A329AF"/>
    <w:rsid w:val="00A32A16"/>
    <w:rsid w:val="00A33F37"/>
    <w:rsid w:val="00A34288"/>
    <w:rsid w:val="00A344E0"/>
    <w:rsid w:val="00A34816"/>
    <w:rsid w:val="00A34A78"/>
    <w:rsid w:val="00A34F0E"/>
    <w:rsid w:val="00A35259"/>
    <w:rsid w:val="00A352C1"/>
    <w:rsid w:val="00A35B7E"/>
    <w:rsid w:val="00A35CF2"/>
    <w:rsid w:val="00A36322"/>
    <w:rsid w:val="00A375CA"/>
    <w:rsid w:val="00A37A27"/>
    <w:rsid w:val="00A4104D"/>
    <w:rsid w:val="00A41A85"/>
    <w:rsid w:val="00A41AEF"/>
    <w:rsid w:val="00A4224C"/>
    <w:rsid w:val="00A42B1C"/>
    <w:rsid w:val="00A42E01"/>
    <w:rsid w:val="00A42F19"/>
    <w:rsid w:val="00A43A52"/>
    <w:rsid w:val="00A43CCC"/>
    <w:rsid w:val="00A43E50"/>
    <w:rsid w:val="00A44372"/>
    <w:rsid w:val="00A4486E"/>
    <w:rsid w:val="00A4528C"/>
    <w:rsid w:val="00A456FF"/>
    <w:rsid w:val="00A4593F"/>
    <w:rsid w:val="00A46906"/>
    <w:rsid w:val="00A4697D"/>
    <w:rsid w:val="00A4716B"/>
    <w:rsid w:val="00A47B35"/>
    <w:rsid w:val="00A47DBD"/>
    <w:rsid w:val="00A50A4B"/>
    <w:rsid w:val="00A51537"/>
    <w:rsid w:val="00A51CB8"/>
    <w:rsid w:val="00A524EB"/>
    <w:rsid w:val="00A52CBE"/>
    <w:rsid w:val="00A52DC8"/>
    <w:rsid w:val="00A539F2"/>
    <w:rsid w:val="00A540AE"/>
    <w:rsid w:val="00A5438C"/>
    <w:rsid w:val="00A543CE"/>
    <w:rsid w:val="00A54ECE"/>
    <w:rsid w:val="00A55DE4"/>
    <w:rsid w:val="00A55ED2"/>
    <w:rsid w:val="00A5682F"/>
    <w:rsid w:val="00A5692C"/>
    <w:rsid w:val="00A569F4"/>
    <w:rsid w:val="00A57122"/>
    <w:rsid w:val="00A5749B"/>
    <w:rsid w:val="00A578AA"/>
    <w:rsid w:val="00A578F6"/>
    <w:rsid w:val="00A57A92"/>
    <w:rsid w:val="00A57CCD"/>
    <w:rsid w:val="00A57E38"/>
    <w:rsid w:val="00A602D1"/>
    <w:rsid w:val="00A609F3"/>
    <w:rsid w:val="00A611AD"/>
    <w:rsid w:val="00A62197"/>
    <w:rsid w:val="00A62F30"/>
    <w:rsid w:val="00A63A89"/>
    <w:rsid w:val="00A64233"/>
    <w:rsid w:val="00A6497F"/>
    <w:rsid w:val="00A64D7A"/>
    <w:rsid w:val="00A64E0B"/>
    <w:rsid w:val="00A652B2"/>
    <w:rsid w:val="00A659A7"/>
    <w:rsid w:val="00A6675F"/>
    <w:rsid w:val="00A66C6F"/>
    <w:rsid w:val="00A670EB"/>
    <w:rsid w:val="00A71A7B"/>
    <w:rsid w:val="00A71F55"/>
    <w:rsid w:val="00A71FB3"/>
    <w:rsid w:val="00A72106"/>
    <w:rsid w:val="00A731D7"/>
    <w:rsid w:val="00A73242"/>
    <w:rsid w:val="00A73D58"/>
    <w:rsid w:val="00A74A17"/>
    <w:rsid w:val="00A75106"/>
    <w:rsid w:val="00A75306"/>
    <w:rsid w:val="00A75471"/>
    <w:rsid w:val="00A7610C"/>
    <w:rsid w:val="00A76217"/>
    <w:rsid w:val="00A785C9"/>
    <w:rsid w:val="00A8067E"/>
    <w:rsid w:val="00A80777"/>
    <w:rsid w:val="00A80EB7"/>
    <w:rsid w:val="00A81096"/>
    <w:rsid w:val="00A8202A"/>
    <w:rsid w:val="00A837F9"/>
    <w:rsid w:val="00A83DE9"/>
    <w:rsid w:val="00A83F83"/>
    <w:rsid w:val="00A844C5"/>
    <w:rsid w:val="00A846FA"/>
    <w:rsid w:val="00A848C5"/>
    <w:rsid w:val="00A849B6"/>
    <w:rsid w:val="00A84F81"/>
    <w:rsid w:val="00A85A0B"/>
    <w:rsid w:val="00A8779F"/>
    <w:rsid w:val="00A87B22"/>
    <w:rsid w:val="00A87C35"/>
    <w:rsid w:val="00A900AE"/>
    <w:rsid w:val="00A904D5"/>
    <w:rsid w:val="00A90D82"/>
    <w:rsid w:val="00A91460"/>
    <w:rsid w:val="00A91A65"/>
    <w:rsid w:val="00A91AA3"/>
    <w:rsid w:val="00A91E1D"/>
    <w:rsid w:val="00A91F7D"/>
    <w:rsid w:val="00A91FA7"/>
    <w:rsid w:val="00A92090"/>
    <w:rsid w:val="00A9343F"/>
    <w:rsid w:val="00A9376D"/>
    <w:rsid w:val="00A9377E"/>
    <w:rsid w:val="00A93ED0"/>
    <w:rsid w:val="00A94618"/>
    <w:rsid w:val="00A948D5"/>
    <w:rsid w:val="00A9572B"/>
    <w:rsid w:val="00A9618A"/>
    <w:rsid w:val="00A964D9"/>
    <w:rsid w:val="00A965E0"/>
    <w:rsid w:val="00AA04D4"/>
    <w:rsid w:val="00AA0879"/>
    <w:rsid w:val="00AA09C5"/>
    <w:rsid w:val="00AA0A1B"/>
    <w:rsid w:val="00AA0EFC"/>
    <w:rsid w:val="00AA149F"/>
    <w:rsid w:val="00AA1774"/>
    <w:rsid w:val="00AA2A00"/>
    <w:rsid w:val="00AA2B64"/>
    <w:rsid w:val="00AA3405"/>
    <w:rsid w:val="00AA3C3D"/>
    <w:rsid w:val="00AA3F2A"/>
    <w:rsid w:val="00AA3F72"/>
    <w:rsid w:val="00AA40D6"/>
    <w:rsid w:val="00AA4733"/>
    <w:rsid w:val="00AA511F"/>
    <w:rsid w:val="00AA53F8"/>
    <w:rsid w:val="00AA5C75"/>
    <w:rsid w:val="00AA6195"/>
    <w:rsid w:val="00AA6628"/>
    <w:rsid w:val="00AA705A"/>
    <w:rsid w:val="00AA712B"/>
    <w:rsid w:val="00AA7509"/>
    <w:rsid w:val="00AA77D2"/>
    <w:rsid w:val="00AA78F5"/>
    <w:rsid w:val="00AA7AF7"/>
    <w:rsid w:val="00AA7E51"/>
    <w:rsid w:val="00AB14B2"/>
    <w:rsid w:val="00AB1AAA"/>
    <w:rsid w:val="00AB1DE3"/>
    <w:rsid w:val="00AB30E3"/>
    <w:rsid w:val="00AB333D"/>
    <w:rsid w:val="00AB3628"/>
    <w:rsid w:val="00AB3BBE"/>
    <w:rsid w:val="00AB3EDD"/>
    <w:rsid w:val="00AB539A"/>
    <w:rsid w:val="00AB568B"/>
    <w:rsid w:val="00AB5B79"/>
    <w:rsid w:val="00AB60CC"/>
    <w:rsid w:val="00AB611B"/>
    <w:rsid w:val="00AB61F8"/>
    <w:rsid w:val="00AB65C4"/>
    <w:rsid w:val="00AB6850"/>
    <w:rsid w:val="00AB7297"/>
    <w:rsid w:val="00AB7949"/>
    <w:rsid w:val="00AC196E"/>
    <w:rsid w:val="00AC2506"/>
    <w:rsid w:val="00AC286D"/>
    <w:rsid w:val="00AC2B1F"/>
    <w:rsid w:val="00AC314B"/>
    <w:rsid w:val="00AC32DA"/>
    <w:rsid w:val="00AC5260"/>
    <w:rsid w:val="00AC6058"/>
    <w:rsid w:val="00AC6695"/>
    <w:rsid w:val="00AC7379"/>
    <w:rsid w:val="00AC7916"/>
    <w:rsid w:val="00AC7947"/>
    <w:rsid w:val="00AC7953"/>
    <w:rsid w:val="00AD0735"/>
    <w:rsid w:val="00AD0BE9"/>
    <w:rsid w:val="00AD12AF"/>
    <w:rsid w:val="00AD165B"/>
    <w:rsid w:val="00AD1B7E"/>
    <w:rsid w:val="00AD1D73"/>
    <w:rsid w:val="00AD1FEB"/>
    <w:rsid w:val="00AD2455"/>
    <w:rsid w:val="00AD2AEF"/>
    <w:rsid w:val="00AD338B"/>
    <w:rsid w:val="00AD3479"/>
    <w:rsid w:val="00AD3E88"/>
    <w:rsid w:val="00AD3FD3"/>
    <w:rsid w:val="00AD4443"/>
    <w:rsid w:val="00AD5046"/>
    <w:rsid w:val="00AD50D2"/>
    <w:rsid w:val="00AD50EB"/>
    <w:rsid w:val="00AD59CA"/>
    <w:rsid w:val="00AD5A2C"/>
    <w:rsid w:val="00AD5C3E"/>
    <w:rsid w:val="00AD63D3"/>
    <w:rsid w:val="00AD64EB"/>
    <w:rsid w:val="00AD6AAD"/>
    <w:rsid w:val="00AD7B7F"/>
    <w:rsid w:val="00AE0299"/>
    <w:rsid w:val="00AE15C2"/>
    <w:rsid w:val="00AE2B30"/>
    <w:rsid w:val="00AE2C17"/>
    <w:rsid w:val="00AE3023"/>
    <w:rsid w:val="00AE40FA"/>
    <w:rsid w:val="00AE4AC5"/>
    <w:rsid w:val="00AE5559"/>
    <w:rsid w:val="00AE559A"/>
    <w:rsid w:val="00AE6A72"/>
    <w:rsid w:val="00AE6DA8"/>
    <w:rsid w:val="00AE6F9D"/>
    <w:rsid w:val="00AE7DC6"/>
    <w:rsid w:val="00AF0157"/>
    <w:rsid w:val="00AF0496"/>
    <w:rsid w:val="00AF1409"/>
    <w:rsid w:val="00AF16C5"/>
    <w:rsid w:val="00AF1FDA"/>
    <w:rsid w:val="00AF2611"/>
    <w:rsid w:val="00AF2F00"/>
    <w:rsid w:val="00AF3435"/>
    <w:rsid w:val="00AF6481"/>
    <w:rsid w:val="00AF664E"/>
    <w:rsid w:val="00B003EB"/>
    <w:rsid w:val="00B01A58"/>
    <w:rsid w:val="00B01B96"/>
    <w:rsid w:val="00B022FC"/>
    <w:rsid w:val="00B02642"/>
    <w:rsid w:val="00B02A82"/>
    <w:rsid w:val="00B02BFB"/>
    <w:rsid w:val="00B03077"/>
    <w:rsid w:val="00B034D9"/>
    <w:rsid w:val="00B03503"/>
    <w:rsid w:val="00B03C81"/>
    <w:rsid w:val="00B044D0"/>
    <w:rsid w:val="00B0477C"/>
    <w:rsid w:val="00B054D6"/>
    <w:rsid w:val="00B0567C"/>
    <w:rsid w:val="00B05AC3"/>
    <w:rsid w:val="00B05BC8"/>
    <w:rsid w:val="00B05EC8"/>
    <w:rsid w:val="00B07DF8"/>
    <w:rsid w:val="00B07EAF"/>
    <w:rsid w:val="00B10196"/>
    <w:rsid w:val="00B10633"/>
    <w:rsid w:val="00B12838"/>
    <w:rsid w:val="00B12B7B"/>
    <w:rsid w:val="00B12DE2"/>
    <w:rsid w:val="00B13B8A"/>
    <w:rsid w:val="00B13C32"/>
    <w:rsid w:val="00B13D1E"/>
    <w:rsid w:val="00B13F10"/>
    <w:rsid w:val="00B14751"/>
    <w:rsid w:val="00B14C7E"/>
    <w:rsid w:val="00B1569B"/>
    <w:rsid w:val="00B15C80"/>
    <w:rsid w:val="00B16424"/>
    <w:rsid w:val="00B16956"/>
    <w:rsid w:val="00B171C3"/>
    <w:rsid w:val="00B174E6"/>
    <w:rsid w:val="00B17CA8"/>
    <w:rsid w:val="00B20580"/>
    <w:rsid w:val="00B2082C"/>
    <w:rsid w:val="00B21B46"/>
    <w:rsid w:val="00B21BE6"/>
    <w:rsid w:val="00B21DA6"/>
    <w:rsid w:val="00B23315"/>
    <w:rsid w:val="00B234B6"/>
    <w:rsid w:val="00B24218"/>
    <w:rsid w:val="00B24A1F"/>
    <w:rsid w:val="00B25901"/>
    <w:rsid w:val="00B262E9"/>
    <w:rsid w:val="00B2648D"/>
    <w:rsid w:val="00B27442"/>
    <w:rsid w:val="00B30C6F"/>
    <w:rsid w:val="00B31387"/>
    <w:rsid w:val="00B31B44"/>
    <w:rsid w:val="00B32A24"/>
    <w:rsid w:val="00B34287"/>
    <w:rsid w:val="00B3493E"/>
    <w:rsid w:val="00B35C40"/>
    <w:rsid w:val="00B36FB8"/>
    <w:rsid w:val="00B37C26"/>
    <w:rsid w:val="00B4018A"/>
    <w:rsid w:val="00B40635"/>
    <w:rsid w:val="00B408D7"/>
    <w:rsid w:val="00B40AC1"/>
    <w:rsid w:val="00B40AE1"/>
    <w:rsid w:val="00B40CD0"/>
    <w:rsid w:val="00B40EEA"/>
    <w:rsid w:val="00B41119"/>
    <w:rsid w:val="00B42077"/>
    <w:rsid w:val="00B42583"/>
    <w:rsid w:val="00B42827"/>
    <w:rsid w:val="00B42A90"/>
    <w:rsid w:val="00B431AE"/>
    <w:rsid w:val="00B43224"/>
    <w:rsid w:val="00B43906"/>
    <w:rsid w:val="00B4398F"/>
    <w:rsid w:val="00B439D1"/>
    <w:rsid w:val="00B43C33"/>
    <w:rsid w:val="00B4495C"/>
    <w:rsid w:val="00B459F2"/>
    <w:rsid w:val="00B45ABF"/>
    <w:rsid w:val="00B45E2C"/>
    <w:rsid w:val="00B469D5"/>
    <w:rsid w:val="00B47428"/>
    <w:rsid w:val="00B516CE"/>
    <w:rsid w:val="00B51FDE"/>
    <w:rsid w:val="00B537E3"/>
    <w:rsid w:val="00B5415D"/>
    <w:rsid w:val="00B549F1"/>
    <w:rsid w:val="00B54F9B"/>
    <w:rsid w:val="00B558B9"/>
    <w:rsid w:val="00B55C4B"/>
    <w:rsid w:val="00B562C8"/>
    <w:rsid w:val="00B56A8D"/>
    <w:rsid w:val="00B57789"/>
    <w:rsid w:val="00B579B4"/>
    <w:rsid w:val="00B60019"/>
    <w:rsid w:val="00B603C4"/>
    <w:rsid w:val="00B605D7"/>
    <w:rsid w:val="00B60C7F"/>
    <w:rsid w:val="00B60F68"/>
    <w:rsid w:val="00B625BC"/>
    <w:rsid w:val="00B63A4F"/>
    <w:rsid w:val="00B642B4"/>
    <w:rsid w:val="00B64C8A"/>
    <w:rsid w:val="00B653DA"/>
    <w:rsid w:val="00B65A4F"/>
    <w:rsid w:val="00B66189"/>
    <w:rsid w:val="00B66A7F"/>
    <w:rsid w:val="00B66BE5"/>
    <w:rsid w:val="00B678B5"/>
    <w:rsid w:val="00B679A4"/>
    <w:rsid w:val="00B7033F"/>
    <w:rsid w:val="00B70425"/>
    <w:rsid w:val="00B70B4F"/>
    <w:rsid w:val="00B70DA9"/>
    <w:rsid w:val="00B71737"/>
    <w:rsid w:val="00B7180A"/>
    <w:rsid w:val="00B71868"/>
    <w:rsid w:val="00B73252"/>
    <w:rsid w:val="00B74693"/>
    <w:rsid w:val="00B7486B"/>
    <w:rsid w:val="00B74A49"/>
    <w:rsid w:val="00B7580E"/>
    <w:rsid w:val="00B75F19"/>
    <w:rsid w:val="00B7659E"/>
    <w:rsid w:val="00B77438"/>
    <w:rsid w:val="00B77BCF"/>
    <w:rsid w:val="00B8070E"/>
    <w:rsid w:val="00B8089C"/>
    <w:rsid w:val="00B80FE3"/>
    <w:rsid w:val="00B812D8"/>
    <w:rsid w:val="00B8163D"/>
    <w:rsid w:val="00B816A8"/>
    <w:rsid w:val="00B82BEB"/>
    <w:rsid w:val="00B82C26"/>
    <w:rsid w:val="00B82C6B"/>
    <w:rsid w:val="00B83184"/>
    <w:rsid w:val="00B8429A"/>
    <w:rsid w:val="00B849A3"/>
    <w:rsid w:val="00B85DE9"/>
    <w:rsid w:val="00B86083"/>
    <w:rsid w:val="00B865D9"/>
    <w:rsid w:val="00B87189"/>
    <w:rsid w:val="00B900B4"/>
    <w:rsid w:val="00B914F6"/>
    <w:rsid w:val="00B91E5A"/>
    <w:rsid w:val="00B9235E"/>
    <w:rsid w:val="00B9243D"/>
    <w:rsid w:val="00B92C6A"/>
    <w:rsid w:val="00B9305F"/>
    <w:rsid w:val="00B93EC7"/>
    <w:rsid w:val="00B94A71"/>
    <w:rsid w:val="00B9536E"/>
    <w:rsid w:val="00B95668"/>
    <w:rsid w:val="00B9573E"/>
    <w:rsid w:val="00B95A11"/>
    <w:rsid w:val="00B95E74"/>
    <w:rsid w:val="00B96158"/>
    <w:rsid w:val="00B9677F"/>
    <w:rsid w:val="00B96ADC"/>
    <w:rsid w:val="00B9746D"/>
    <w:rsid w:val="00B9772D"/>
    <w:rsid w:val="00B97BF6"/>
    <w:rsid w:val="00B97C65"/>
    <w:rsid w:val="00BA0672"/>
    <w:rsid w:val="00BA1389"/>
    <w:rsid w:val="00BA1996"/>
    <w:rsid w:val="00BA217C"/>
    <w:rsid w:val="00BA2CBB"/>
    <w:rsid w:val="00BA37DD"/>
    <w:rsid w:val="00BA4557"/>
    <w:rsid w:val="00BA4C3D"/>
    <w:rsid w:val="00BA524A"/>
    <w:rsid w:val="00BA5B20"/>
    <w:rsid w:val="00BA5B80"/>
    <w:rsid w:val="00BA5BDA"/>
    <w:rsid w:val="00BA65E3"/>
    <w:rsid w:val="00BA6DD2"/>
    <w:rsid w:val="00BA7C17"/>
    <w:rsid w:val="00BA7ECA"/>
    <w:rsid w:val="00BB050F"/>
    <w:rsid w:val="00BB0BD1"/>
    <w:rsid w:val="00BB0D23"/>
    <w:rsid w:val="00BB119B"/>
    <w:rsid w:val="00BB1A7A"/>
    <w:rsid w:val="00BB2876"/>
    <w:rsid w:val="00BB2ABF"/>
    <w:rsid w:val="00BB2C6F"/>
    <w:rsid w:val="00BB322F"/>
    <w:rsid w:val="00BB499B"/>
    <w:rsid w:val="00BB4FA4"/>
    <w:rsid w:val="00BB55E4"/>
    <w:rsid w:val="00BB7018"/>
    <w:rsid w:val="00BC06A8"/>
    <w:rsid w:val="00BC1549"/>
    <w:rsid w:val="00BC154F"/>
    <w:rsid w:val="00BC20AE"/>
    <w:rsid w:val="00BC38C1"/>
    <w:rsid w:val="00BC3A4E"/>
    <w:rsid w:val="00BC3B4D"/>
    <w:rsid w:val="00BC3C4B"/>
    <w:rsid w:val="00BC67E4"/>
    <w:rsid w:val="00BC7165"/>
    <w:rsid w:val="00BC7BC0"/>
    <w:rsid w:val="00BC7DB0"/>
    <w:rsid w:val="00BC7EE7"/>
    <w:rsid w:val="00BD04B9"/>
    <w:rsid w:val="00BD06B3"/>
    <w:rsid w:val="00BD0E57"/>
    <w:rsid w:val="00BD12B1"/>
    <w:rsid w:val="00BD1D7B"/>
    <w:rsid w:val="00BD331B"/>
    <w:rsid w:val="00BD41CB"/>
    <w:rsid w:val="00BD48B5"/>
    <w:rsid w:val="00BD4CEC"/>
    <w:rsid w:val="00BD4EDB"/>
    <w:rsid w:val="00BD4FE7"/>
    <w:rsid w:val="00BD547A"/>
    <w:rsid w:val="00BD5752"/>
    <w:rsid w:val="00BD6FF3"/>
    <w:rsid w:val="00BD72F6"/>
    <w:rsid w:val="00BE06F3"/>
    <w:rsid w:val="00BE13FA"/>
    <w:rsid w:val="00BE1AB3"/>
    <w:rsid w:val="00BE2255"/>
    <w:rsid w:val="00BE23D4"/>
    <w:rsid w:val="00BE2574"/>
    <w:rsid w:val="00BE2C0A"/>
    <w:rsid w:val="00BE3151"/>
    <w:rsid w:val="00BE3501"/>
    <w:rsid w:val="00BE364D"/>
    <w:rsid w:val="00BE37EF"/>
    <w:rsid w:val="00BE3A46"/>
    <w:rsid w:val="00BE4B61"/>
    <w:rsid w:val="00BE59D2"/>
    <w:rsid w:val="00BE602D"/>
    <w:rsid w:val="00BE629C"/>
    <w:rsid w:val="00BE75B5"/>
    <w:rsid w:val="00BE77EF"/>
    <w:rsid w:val="00BF03D7"/>
    <w:rsid w:val="00BF09C0"/>
    <w:rsid w:val="00BF109C"/>
    <w:rsid w:val="00BF12A2"/>
    <w:rsid w:val="00BF1D8E"/>
    <w:rsid w:val="00BF22FA"/>
    <w:rsid w:val="00BF27E5"/>
    <w:rsid w:val="00BF28B2"/>
    <w:rsid w:val="00BF35ED"/>
    <w:rsid w:val="00BF378E"/>
    <w:rsid w:val="00BF3D38"/>
    <w:rsid w:val="00BF3F06"/>
    <w:rsid w:val="00BF5978"/>
    <w:rsid w:val="00BF5D1E"/>
    <w:rsid w:val="00BF603C"/>
    <w:rsid w:val="00BF6848"/>
    <w:rsid w:val="00BF78D6"/>
    <w:rsid w:val="00C00C98"/>
    <w:rsid w:val="00C00D3D"/>
    <w:rsid w:val="00C011BC"/>
    <w:rsid w:val="00C015DD"/>
    <w:rsid w:val="00C015F0"/>
    <w:rsid w:val="00C01613"/>
    <w:rsid w:val="00C01C2D"/>
    <w:rsid w:val="00C01F50"/>
    <w:rsid w:val="00C023E7"/>
    <w:rsid w:val="00C024EA"/>
    <w:rsid w:val="00C026B2"/>
    <w:rsid w:val="00C0317B"/>
    <w:rsid w:val="00C0455D"/>
    <w:rsid w:val="00C0488B"/>
    <w:rsid w:val="00C051EE"/>
    <w:rsid w:val="00C06B99"/>
    <w:rsid w:val="00C06FD5"/>
    <w:rsid w:val="00C071FC"/>
    <w:rsid w:val="00C07808"/>
    <w:rsid w:val="00C07B5C"/>
    <w:rsid w:val="00C07D71"/>
    <w:rsid w:val="00C10030"/>
    <w:rsid w:val="00C10232"/>
    <w:rsid w:val="00C106EC"/>
    <w:rsid w:val="00C11AF4"/>
    <w:rsid w:val="00C11F28"/>
    <w:rsid w:val="00C12790"/>
    <w:rsid w:val="00C12AEC"/>
    <w:rsid w:val="00C130FA"/>
    <w:rsid w:val="00C13B28"/>
    <w:rsid w:val="00C152C7"/>
    <w:rsid w:val="00C163F1"/>
    <w:rsid w:val="00C2001F"/>
    <w:rsid w:val="00C202E1"/>
    <w:rsid w:val="00C20882"/>
    <w:rsid w:val="00C20E23"/>
    <w:rsid w:val="00C2107E"/>
    <w:rsid w:val="00C210F8"/>
    <w:rsid w:val="00C211E6"/>
    <w:rsid w:val="00C21519"/>
    <w:rsid w:val="00C22302"/>
    <w:rsid w:val="00C2255B"/>
    <w:rsid w:val="00C226F9"/>
    <w:rsid w:val="00C2294B"/>
    <w:rsid w:val="00C22A9F"/>
    <w:rsid w:val="00C22AC1"/>
    <w:rsid w:val="00C22DFF"/>
    <w:rsid w:val="00C23B69"/>
    <w:rsid w:val="00C2532C"/>
    <w:rsid w:val="00C25836"/>
    <w:rsid w:val="00C258D5"/>
    <w:rsid w:val="00C2733A"/>
    <w:rsid w:val="00C27406"/>
    <w:rsid w:val="00C27489"/>
    <w:rsid w:val="00C276F6"/>
    <w:rsid w:val="00C3089F"/>
    <w:rsid w:val="00C30941"/>
    <w:rsid w:val="00C30C27"/>
    <w:rsid w:val="00C317B6"/>
    <w:rsid w:val="00C3199A"/>
    <w:rsid w:val="00C31AB8"/>
    <w:rsid w:val="00C328D5"/>
    <w:rsid w:val="00C32B9E"/>
    <w:rsid w:val="00C32F2E"/>
    <w:rsid w:val="00C33727"/>
    <w:rsid w:val="00C34150"/>
    <w:rsid w:val="00C347FE"/>
    <w:rsid w:val="00C359F7"/>
    <w:rsid w:val="00C35A81"/>
    <w:rsid w:val="00C35AAA"/>
    <w:rsid w:val="00C35ED5"/>
    <w:rsid w:val="00C3661B"/>
    <w:rsid w:val="00C36E3E"/>
    <w:rsid w:val="00C401C9"/>
    <w:rsid w:val="00C409DB"/>
    <w:rsid w:val="00C40D06"/>
    <w:rsid w:val="00C417CA"/>
    <w:rsid w:val="00C42007"/>
    <w:rsid w:val="00C43099"/>
    <w:rsid w:val="00C43B9E"/>
    <w:rsid w:val="00C43FDB"/>
    <w:rsid w:val="00C44529"/>
    <w:rsid w:val="00C45432"/>
    <w:rsid w:val="00C45769"/>
    <w:rsid w:val="00C463E0"/>
    <w:rsid w:val="00C46934"/>
    <w:rsid w:val="00C46ADC"/>
    <w:rsid w:val="00C46EB7"/>
    <w:rsid w:val="00C47090"/>
    <w:rsid w:val="00C474D5"/>
    <w:rsid w:val="00C47E48"/>
    <w:rsid w:val="00C500CC"/>
    <w:rsid w:val="00C501E9"/>
    <w:rsid w:val="00C50809"/>
    <w:rsid w:val="00C509A3"/>
    <w:rsid w:val="00C526CC"/>
    <w:rsid w:val="00C52854"/>
    <w:rsid w:val="00C531D6"/>
    <w:rsid w:val="00C53830"/>
    <w:rsid w:val="00C545A8"/>
    <w:rsid w:val="00C546BA"/>
    <w:rsid w:val="00C56209"/>
    <w:rsid w:val="00C562C3"/>
    <w:rsid w:val="00C56F18"/>
    <w:rsid w:val="00C60048"/>
    <w:rsid w:val="00C60281"/>
    <w:rsid w:val="00C60827"/>
    <w:rsid w:val="00C610DE"/>
    <w:rsid w:val="00C6156F"/>
    <w:rsid w:val="00C61F08"/>
    <w:rsid w:val="00C62576"/>
    <w:rsid w:val="00C627A9"/>
    <w:rsid w:val="00C62B80"/>
    <w:rsid w:val="00C64289"/>
    <w:rsid w:val="00C64837"/>
    <w:rsid w:val="00C64970"/>
    <w:rsid w:val="00C65648"/>
    <w:rsid w:val="00C65F89"/>
    <w:rsid w:val="00C709A7"/>
    <w:rsid w:val="00C710A0"/>
    <w:rsid w:val="00C7113D"/>
    <w:rsid w:val="00C7126E"/>
    <w:rsid w:val="00C718C5"/>
    <w:rsid w:val="00C720E6"/>
    <w:rsid w:val="00C7270D"/>
    <w:rsid w:val="00C727B4"/>
    <w:rsid w:val="00C7282D"/>
    <w:rsid w:val="00C72C0B"/>
    <w:rsid w:val="00C73353"/>
    <w:rsid w:val="00C73B49"/>
    <w:rsid w:val="00C73FEC"/>
    <w:rsid w:val="00C74194"/>
    <w:rsid w:val="00C74687"/>
    <w:rsid w:val="00C74725"/>
    <w:rsid w:val="00C74F20"/>
    <w:rsid w:val="00C754E4"/>
    <w:rsid w:val="00C75671"/>
    <w:rsid w:val="00C759BD"/>
    <w:rsid w:val="00C763C6"/>
    <w:rsid w:val="00C76C70"/>
    <w:rsid w:val="00C77756"/>
    <w:rsid w:val="00C777ED"/>
    <w:rsid w:val="00C77EB5"/>
    <w:rsid w:val="00C80183"/>
    <w:rsid w:val="00C80732"/>
    <w:rsid w:val="00C8148B"/>
    <w:rsid w:val="00C81712"/>
    <w:rsid w:val="00C81CDF"/>
    <w:rsid w:val="00C83028"/>
    <w:rsid w:val="00C833F4"/>
    <w:rsid w:val="00C836C9"/>
    <w:rsid w:val="00C83878"/>
    <w:rsid w:val="00C838C9"/>
    <w:rsid w:val="00C84B12"/>
    <w:rsid w:val="00C84C25"/>
    <w:rsid w:val="00C84DD1"/>
    <w:rsid w:val="00C856F3"/>
    <w:rsid w:val="00C85797"/>
    <w:rsid w:val="00C85804"/>
    <w:rsid w:val="00C868B0"/>
    <w:rsid w:val="00C90858"/>
    <w:rsid w:val="00C909D8"/>
    <w:rsid w:val="00C90C29"/>
    <w:rsid w:val="00C91AA5"/>
    <w:rsid w:val="00C91AFE"/>
    <w:rsid w:val="00C925FC"/>
    <w:rsid w:val="00C932B8"/>
    <w:rsid w:val="00C93409"/>
    <w:rsid w:val="00C949E5"/>
    <w:rsid w:val="00C95CB9"/>
    <w:rsid w:val="00C962CF"/>
    <w:rsid w:val="00C97261"/>
    <w:rsid w:val="00C972F2"/>
    <w:rsid w:val="00C97475"/>
    <w:rsid w:val="00C9769E"/>
    <w:rsid w:val="00CA02BC"/>
    <w:rsid w:val="00CA02F9"/>
    <w:rsid w:val="00CA0CD8"/>
    <w:rsid w:val="00CA11F1"/>
    <w:rsid w:val="00CA1863"/>
    <w:rsid w:val="00CA1C91"/>
    <w:rsid w:val="00CA1DE0"/>
    <w:rsid w:val="00CA2080"/>
    <w:rsid w:val="00CA26E1"/>
    <w:rsid w:val="00CA2767"/>
    <w:rsid w:val="00CA2E8E"/>
    <w:rsid w:val="00CA4325"/>
    <w:rsid w:val="00CA50D7"/>
    <w:rsid w:val="00CA54E1"/>
    <w:rsid w:val="00CA55B4"/>
    <w:rsid w:val="00CA57EE"/>
    <w:rsid w:val="00CA5E24"/>
    <w:rsid w:val="00CA68B6"/>
    <w:rsid w:val="00CB01A5"/>
    <w:rsid w:val="00CB04CF"/>
    <w:rsid w:val="00CB0AF1"/>
    <w:rsid w:val="00CB0D57"/>
    <w:rsid w:val="00CB0F5B"/>
    <w:rsid w:val="00CB1344"/>
    <w:rsid w:val="00CB16E4"/>
    <w:rsid w:val="00CB2353"/>
    <w:rsid w:val="00CB24B4"/>
    <w:rsid w:val="00CB3D81"/>
    <w:rsid w:val="00CB3F06"/>
    <w:rsid w:val="00CB4283"/>
    <w:rsid w:val="00CB4810"/>
    <w:rsid w:val="00CB4FB5"/>
    <w:rsid w:val="00CB59BC"/>
    <w:rsid w:val="00CB5CC5"/>
    <w:rsid w:val="00CB627A"/>
    <w:rsid w:val="00CB7C58"/>
    <w:rsid w:val="00CC09E6"/>
    <w:rsid w:val="00CC0C68"/>
    <w:rsid w:val="00CC0E9D"/>
    <w:rsid w:val="00CC0FF3"/>
    <w:rsid w:val="00CC18E8"/>
    <w:rsid w:val="00CC194F"/>
    <w:rsid w:val="00CC19F2"/>
    <w:rsid w:val="00CC2387"/>
    <w:rsid w:val="00CC2768"/>
    <w:rsid w:val="00CC3F7A"/>
    <w:rsid w:val="00CC40B9"/>
    <w:rsid w:val="00CC4288"/>
    <w:rsid w:val="00CC4309"/>
    <w:rsid w:val="00CC7090"/>
    <w:rsid w:val="00CC73C1"/>
    <w:rsid w:val="00CD02F6"/>
    <w:rsid w:val="00CD1D02"/>
    <w:rsid w:val="00CD2ADC"/>
    <w:rsid w:val="00CD3721"/>
    <w:rsid w:val="00CD4CF0"/>
    <w:rsid w:val="00CD5123"/>
    <w:rsid w:val="00CD6AD5"/>
    <w:rsid w:val="00CD70A6"/>
    <w:rsid w:val="00CD7609"/>
    <w:rsid w:val="00CD76A7"/>
    <w:rsid w:val="00CE1382"/>
    <w:rsid w:val="00CE189A"/>
    <w:rsid w:val="00CE18A1"/>
    <w:rsid w:val="00CE1A51"/>
    <w:rsid w:val="00CE2033"/>
    <w:rsid w:val="00CE2CCD"/>
    <w:rsid w:val="00CE3186"/>
    <w:rsid w:val="00CE3948"/>
    <w:rsid w:val="00CE3F8A"/>
    <w:rsid w:val="00CE413E"/>
    <w:rsid w:val="00CE45BA"/>
    <w:rsid w:val="00CE5232"/>
    <w:rsid w:val="00CE5418"/>
    <w:rsid w:val="00CE6D42"/>
    <w:rsid w:val="00CF055B"/>
    <w:rsid w:val="00CF1060"/>
    <w:rsid w:val="00CF17B8"/>
    <w:rsid w:val="00CF1902"/>
    <w:rsid w:val="00CF1A17"/>
    <w:rsid w:val="00CF3653"/>
    <w:rsid w:val="00CF3FDD"/>
    <w:rsid w:val="00CF4535"/>
    <w:rsid w:val="00CF469B"/>
    <w:rsid w:val="00CF5824"/>
    <w:rsid w:val="00CF5E86"/>
    <w:rsid w:val="00CF5FC2"/>
    <w:rsid w:val="00CF63B7"/>
    <w:rsid w:val="00CF69CA"/>
    <w:rsid w:val="00CF716C"/>
    <w:rsid w:val="00D011CA"/>
    <w:rsid w:val="00D01A77"/>
    <w:rsid w:val="00D023E6"/>
    <w:rsid w:val="00D02612"/>
    <w:rsid w:val="00D027C4"/>
    <w:rsid w:val="00D02912"/>
    <w:rsid w:val="00D0472A"/>
    <w:rsid w:val="00D054CE"/>
    <w:rsid w:val="00D05891"/>
    <w:rsid w:val="00D05B2F"/>
    <w:rsid w:val="00D07410"/>
    <w:rsid w:val="00D104FA"/>
    <w:rsid w:val="00D10FF2"/>
    <w:rsid w:val="00D11132"/>
    <w:rsid w:val="00D11C72"/>
    <w:rsid w:val="00D12198"/>
    <w:rsid w:val="00D12B17"/>
    <w:rsid w:val="00D12E3F"/>
    <w:rsid w:val="00D144FD"/>
    <w:rsid w:val="00D14F3B"/>
    <w:rsid w:val="00D1521C"/>
    <w:rsid w:val="00D15619"/>
    <w:rsid w:val="00D1598C"/>
    <w:rsid w:val="00D15FEA"/>
    <w:rsid w:val="00D1603C"/>
    <w:rsid w:val="00D165B3"/>
    <w:rsid w:val="00D20909"/>
    <w:rsid w:val="00D20939"/>
    <w:rsid w:val="00D20AA1"/>
    <w:rsid w:val="00D21198"/>
    <w:rsid w:val="00D214ED"/>
    <w:rsid w:val="00D21BAF"/>
    <w:rsid w:val="00D222DD"/>
    <w:rsid w:val="00D22FA1"/>
    <w:rsid w:val="00D25011"/>
    <w:rsid w:val="00D25394"/>
    <w:rsid w:val="00D25A94"/>
    <w:rsid w:val="00D25CB5"/>
    <w:rsid w:val="00D25F7A"/>
    <w:rsid w:val="00D261B9"/>
    <w:rsid w:val="00D26D43"/>
    <w:rsid w:val="00D319E1"/>
    <w:rsid w:val="00D31A63"/>
    <w:rsid w:val="00D320B6"/>
    <w:rsid w:val="00D32107"/>
    <w:rsid w:val="00D3210D"/>
    <w:rsid w:val="00D32E80"/>
    <w:rsid w:val="00D32F54"/>
    <w:rsid w:val="00D33BE0"/>
    <w:rsid w:val="00D34945"/>
    <w:rsid w:val="00D34DDC"/>
    <w:rsid w:val="00D35034"/>
    <w:rsid w:val="00D356E8"/>
    <w:rsid w:val="00D35700"/>
    <w:rsid w:val="00D35B2A"/>
    <w:rsid w:val="00D35EF1"/>
    <w:rsid w:val="00D35EF2"/>
    <w:rsid w:val="00D360BD"/>
    <w:rsid w:val="00D36B62"/>
    <w:rsid w:val="00D37F0B"/>
    <w:rsid w:val="00D40667"/>
    <w:rsid w:val="00D40882"/>
    <w:rsid w:val="00D41B17"/>
    <w:rsid w:val="00D42143"/>
    <w:rsid w:val="00D42CFB"/>
    <w:rsid w:val="00D43090"/>
    <w:rsid w:val="00D435D4"/>
    <w:rsid w:val="00D435E0"/>
    <w:rsid w:val="00D438C0"/>
    <w:rsid w:val="00D43A57"/>
    <w:rsid w:val="00D446ED"/>
    <w:rsid w:val="00D44888"/>
    <w:rsid w:val="00D448C8"/>
    <w:rsid w:val="00D4563C"/>
    <w:rsid w:val="00D4570C"/>
    <w:rsid w:val="00D45D7E"/>
    <w:rsid w:val="00D4603C"/>
    <w:rsid w:val="00D47CE5"/>
    <w:rsid w:val="00D47D39"/>
    <w:rsid w:val="00D50181"/>
    <w:rsid w:val="00D509CE"/>
    <w:rsid w:val="00D50D19"/>
    <w:rsid w:val="00D51999"/>
    <w:rsid w:val="00D51B94"/>
    <w:rsid w:val="00D51D46"/>
    <w:rsid w:val="00D51FDF"/>
    <w:rsid w:val="00D52442"/>
    <w:rsid w:val="00D527AC"/>
    <w:rsid w:val="00D536AB"/>
    <w:rsid w:val="00D5377B"/>
    <w:rsid w:val="00D53933"/>
    <w:rsid w:val="00D5491A"/>
    <w:rsid w:val="00D54C5A"/>
    <w:rsid w:val="00D54CC3"/>
    <w:rsid w:val="00D55A6E"/>
    <w:rsid w:val="00D5691D"/>
    <w:rsid w:val="00D56B3B"/>
    <w:rsid w:val="00D56F29"/>
    <w:rsid w:val="00D57724"/>
    <w:rsid w:val="00D601D3"/>
    <w:rsid w:val="00D60759"/>
    <w:rsid w:val="00D618C4"/>
    <w:rsid w:val="00D61DEB"/>
    <w:rsid w:val="00D627B2"/>
    <w:rsid w:val="00D62C7F"/>
    <w:rsid w:val="00D62EF4"/>
    <w:rsid w:val="00D62F05"/>
    <w:rsid w:val="00D63016"/>
    <w:rsid w:val="00D63684"/>
    <w:rsid w:val="00D636A6"/>
    <w:rsid w:val="00D63793"/>
    <w:rsid w:val="00D63B11"/>
    <w:rsid w:val="00D63CF9"/>
    <w:rsid w:val="00D63FE4"/>
    <w:rsid w:val="00D646C5"/>
    <w:rsid w:val="00D64C79"/>
    <w:rsid w:val="00D64FE1"/>
    <w:rsid w:val="00D659CA"/>
    <w:rsid w:val="00D65D92"/>
    <w:rsid w:val="00D65FB5"/>
    <w:rsid w:val="00D6699B"/>
    <w:rsid w:val="00D66B13"/>
    <w:rsid w:val="00D66B50"/>
    <w:rsid w:val="00D67947"/>
    <w:rsid w:val="00D7015E"/>
    <w:rsid w:val="00D70B15"/>
    <w:rsid w:val="00D73036"/>
    <w:rsid w:val="00D73512"/>
    <w:rsid w:val="00D73A18"/>
    <w:rsid w:val="00D73C81"/>
    <w:rsid w:val="00D73F6C"/>
    <w:rsid w:val="00D75498"/>
    <w:rsid w:val="00D75FE1"/>
    <w:rsid w:val="00D7620A"/>
    <w:rsid w:val="00D765F5"/>
    <w:rsid w:val="00D7687E"/>
    <w:rsid w:val="00D77607"/>
    <w:rsid w:val="00D80575"/>
    <w:rsid w:val="00D80C29"/>
    <w:rsid w:val="00D81399"/>
    <w:rsid w:val="00D814B6"/>
    <w:rsid w:val="00D819CA"/>
    <w:rsid w:val="00D81B93"/>
    <w:rsid w:val="00D82737"/>
    <w:rsid w:val="00D8314C"/>
    <w:rsid w:val="00D83D14"/>
    <w:rsid w:val="00D841E3"/>
    <w:rsid w:val="00D843E4"/>
    <w:rsid w:val="00D8443F"/>
    <w:rsid w:val="00D849B9"/>
    <w:rsid w:val="00D8550F"/>
    <w:rsid w:val="00D8575D"/>
    <w:rsid w:val="00D868A7"/>
    <w:rsid w:val="00D87337"/>
    <w:rsid w:val="00D875E4"/>
    <w:rsid w:val="00D878EE"/>
    <w:rsid w:val="00D90205"/>
    <w:rsid w:val="00D902AD"/>
    <w:rsid w:val="00D924B4"/>
    <w:rsid w:val="00D92842"/>
    <w:rsid w:val="00D939DF"/>
    <w:rsid w:val="00D93BFD"/>
    <w:rsid w:val="00D94020"/>
    <w:rsid w:val="00D94987"/>
    <w:rsid w:val="00D957DF"/>
    <w:rsid w:val="00D95D90"/>
    <w:rsid w:val="00D96473"/>
    <w:rsid w:val="00D96B8D"/>
    <w:rsid w:val="00D96E47"/>
    <w:rsid w:val="00D9715E"/>
    <w:rsid w:val="00D97A34"/>
    <w:rsid w:val="00DA12E1"/>
    <w:rsid w:val="00DA2BF6"/>
    <w:rsid w:val="00DA2CAD"/>
    <w:rsid w:val="00DA3998"/>
    <w:rsid w:val="00DA3D5A"/>
    <w:rsid w:val="00DA4F61"/>
    <w:rsid w:val="00DA5051"/>
    <w:rsid w:val="00DA6629"/>
    <w:rsid w:val="00DA67EF"/>
    <w:rsid w:val="00DA7669"/>
    <w:rsid w:val="00DA7801"/>
    <w:rsid w:val="00DB01AD"/>
    <w:rsid w:val="00DB060B"/>
    <w:rsid w:val="00DB0AF2"/>
    <w:rsid w:val="00DB15C8"/>
    <w:rsid w:val="00DB1F75"/>
    <w:rsid w:val="00DB2BF2"/>
    <w:rsid w:val="00DB2E82"/>
    <w:rsid w:val="00DB3222"/>
    <w:rsid w:val="00DB388B"/>
    <w:rsid w:val="00DB49B7"/>
    <w:rsid w:val="00DB4D51"/>
    <w:rsid w:val="00DB5AF4"/>
    <w:rsid w:val="00DB5E9A"/>
    <w:rsid w:val="00DB7569"/>
    <w:rsid w:val="00DB7647"/>
    <w:rsid w:val="00DB77B9"/>
    <w:rsid w:val="00DC0CB8"/>
    <w:rsid w:val="00DC1495"/>
    <w:rsid w:val="00DC154D"/>
    <w:rsid w:val="00DC29EE"/>
    <w:rsid w:val="00DC2B50"/>
    <w:rsid w:val="00DC306E"/>
    <w:rsid w:val="00DC3100"/>
    <w:rsid w:val="00DC344F"/>
    <w:rsid w:val="00DC34B8"/>
    <w:rsid w:val="00DC403C"/>
    <w:rsid w:val="00DC483E"/>
    <w:rsid w:val="00DC50CD"/>
    <w:rsid w:val="00DC5919"/>
    <w:rsid w:val="00DC5DBE"/>
    <w:rsid w:val="00DC5F3B"/>
    <w:rsid w:val="00DC660B"/>
    <w:rsid w:val="00DC69AA"/>
    <w:rsid w:val="00DC6AB1"/>
    <w:rsid w:val="00DC6B68"/>
    <w:rsid w:val="00DC6FF4"/>
    <w:rsid w:val="00DC734C"/>
    <w:rsid w:val="00DC7812"/>
    <w:rsid w:val="00DD047D"/>
    <w:rsid w:val="00DD059D"/>
    <w:rsid w:val="00DD08D4"/>
    <w:rsid w:val="00DD249C"/>
    <w:rsid w:val="00DD2582"/>
    <w:rsid w:val="00DD268C"/>
    <w:rsid w:val="00DD2859"/>
    <w:rsid w:val="00DD28FD"/>
    <w:rsid w:val="00DD38FD"/>
    <w:rsid w:val="00DD455D"/>
    <w:rsid w:val="00DD4CC3"/>
    <w:rsid w:val="00DD52C7"/>
    <w:rsid w:val="00DD54BA"/>
    <w:rsid w:val="00DD7297"/>
    <w:rsid w:val="00DE0263"/>
    <w:rsid w:val="00DE04B3"/>
    <w:rsid w:val="00DE1004"/>
    <w:rsid w:val="00DE152A"/>
    <w:rsid w:val="00DE16A4"/>
    <w:rsid w:val="00DE3280"/>
    <w:rsid w:val="00DE335E"/>
    <w:rsid w:val="00DE3CED"/>
    <w:rsid w:val="00DE3E5E"/>
    <w:rsid w:val="00DE45AB"/>
    <w:rsid w:val="00DE4DAD"/>
    <w:rsid w:val="00DE5431"/>
    <w:rsid w:val="00DE5E8D"/>
    <w:rsid w:val="00DE5EA0"/>
    <w:rsid w:val="00DE64E5"/>
    <w:rsid w:val="00DE6AF9"/>
    <w:rsid w:val="00DE6BA9"/>
    <w:rsid w:val="00DE6FD0"/>
    <w:rsid w:val="00DE77B1"/>
    <w:rsid w:val="00DF0135"/>
    <w:rsid w:val="00DF09B9"/>
    <w:rsid w:val="00DF1616"/>
    <w:rsid w:val="00DF1801"/>
    <w:rsid w:val="00DF1865"/>
    <w:rsid w:val="00DF2541"/>
    <w:rsid w:val="00DF2AF9"/>
    <w:rsid w:val="00DF2CAE"/>
    <w:rsid w:val="00DF4207"/>
    <w:rsid w:val="00DF5130"/>
    <w:rsid w:val="00DF5FA5"/>
    <w:rsid w:val="00DF63AA"/>
    <w:rsid w:val="00DF6966"/>
    <w:rsid w:val="00DF6B51"/>
    <w:rsid w:val="00E008AE"/>
    <w:rsid w:val="00E01627"/>
    <w:rsid w:val="00E01950"/>
    <w:rsid w:val="00E01EEA"/>
    <w:rsid w:val="00E01FE2"/>
    <w:rsid w:val="00E0209E"/>
    <w:rsid w:val="00E027BC"/>
    <w:rsid w:val="00E02AC4"/>
    <w:rsid w:val="00E037B3"/>
    <w:rsid w:val="00E038F4"/>
    <w:rsid w:val="00E047F7"/>
    <w:rsid w:val="00E04DDA"/>
    <w:rsid w:val="00E058E6"/>
    <w:rsid w:val="00E061C0"/>
    <w:rsid w:val="00E07000"/>
    <w:rsid w:val="00E077AA"/>
    <w:rsid w:val="00E10C68"/>
    <w:rsid w:val="00E11328"/>
    <w:rsid w:val="00E1152E"/>
    <w:rsid w:val="00E1153E"/>
    <w:rsid w:val="00E118AF"/>
    <w:rsid w:val="00E1238E"/>
    <w:rsid w:val="00E1401D"/>
    <w:rsid w:val="00E14C25"/>
    <w:rsid w:val="00E1569B"/>
    <w:rsid w:val="00E15CD3"/>
    <w:rsid w:val="00E15D6F"/>
    <w:rsid w:val="00E16472"/>
    <w:rsid w:val="00E16906"/>
    <w:rsid w:val="00E16ADF"/>
    <w:rsid w:val="00E16C10"/>
    <w:rsid w:val="00E170A7"/>
    <w:rsid w:val="00E1727B"/>
    <w:rsid w:val="00E172F4"/>
    <w:rsid w:val="00E17619"/>
    <w:rsid w:val="00E17890"/>
    <w:rsid w:val="00E17E7D"/>
    <w:rsid w:val="00E2034D"/>
    <w:rsid w:val="00E20486"/>
    <w:rsid w:val="00E207D3"/>
    <w:rsid w:val="00E20DB8"/>
    <w:rsid w:val="00E213D7"/>
    <w:rsid w:val="00E21585"/>
    <w:rsid w:val="00E21DA4"/>
    <w:rsid w:val="00E22771"/>
    <w:rsid w:val="00E235E4"/>
    <w:rsid w:val="00E249F9"/>
    <w:rsid w:val="00E25756"/>
    <w:rsid w:val="00E2590E"/>
    <w:rsid w:val="00E26A41"/>
    <w:rsid w:val="00E270C7"/>
    <w:rsid w:val="00E2725F"/>
    <w:rsid w:val="00E2749F"/>
    <w:rsid w:val="00E27E05"/>
    <w:rsid w:val="00E30248"/>
    <w:rsid w:val="00E304F7"/>
    <w:rsid w:val="00E306EC"/>
    <w:rsid w:val="00E30E62"/>
    <w:rsid w:val="00E31D80"/>
    <w:rsid w:val="00E32923"/>
    <w:rsid w:val="00E32DD0"/>
    <w:rsid w:val="00E32DDB"/>
    <w:rsid w:val="00E33F98"/>
    <w:rsid w:val="00E3416C"/>
    <w:rsid w:val="00E34314"/>
    <w:rsid w:val="00E343B1"/>
    <w:rsid w:val="00E34ADB"/>
    <w:rsid w:val="00E34E32"/>
    <w:rsid w:val="00E359A6"/>
    <w:rsid w:val="00E36C29"/>
    <w:rsid w:val="00E36E1E"/>
    <w:rsid w:val="00E37D8F"/>
    <w:rsid w:val="00E4012C"/>
    <w:rsid w:val="00E40C7F"/>
    <w:rsid w:val="00E41579"/>
    <w:rsid w:val="00E419FE"/>
    <w:rsid w:val="00E425E5"/>
    <w:rsid w:val="00E42F0E"/>
    <w:rsid w:val="00E42F76"/>
    <w:rsid w:val="00E432C7"/>
    <w:rsid w:val="00E445B3"/>
    <w:rsid w:val="00E44D4F"/>
    <w:rsid w:val="00E45517"/>
    <w:rsid w:val="00E45782"/>
    <w:rsid w:val="00E45BB5"/>
    <w:rsid w:val="00E4675E"/>
    <w:rsid w:val="00E468B1"/>
    <w:rsid w:val="00E46AAD"/>
    <w:rsid w:val="00E479AA"/>
    <w:rsid w:val="00E47F0C"/>
    <w:rsid w:val="00E5069F"/>
    <w:rsid w:val="00E50C1D"/>
    <w:rsid w:val="00E50DA6"/>
    <w:rsid w:val="00E5102E"/>
    <w:rsid w:val="00E51128"/>
    <w:rsid w:val="00E5126B"/>
    <w:rsid w:val="00E518A6"/>
    <w:rsid w:val="00E53182"/>
    <w:rsid w:val="00E5335C"/>
    <w:rsid w:val="00E53721"/>
    <w:rsid w:val="00E552DD"/>
    <w:rsid w:val="00E55875"/>
    <w:rsid w:val="00E55B1C"/>
    <w:rsid w:val="00E55B88"/>
    <w:rsid w:val="00E566AD"/>
    <w:rsid w:val="00E566CF"/>
    <w:rsid w:val="00E579EF"/>
    <w:rsid w:val="00E57DDE"/>
    <w:rsid w:val="00E6008F"/>
    <w:rsid w:val="00E607E1"/>
    <w:rsid w:val="00E60DB0"/>
    <w:rsid w:val="00E610FE"/>
    <w:rsid w:val="00E62A8A"/>
    <w:rsid w:val="00E63085"/>
    <w:rsid w:val="00E63346"/>
    <w:rsid w:val="00E63FC2"/>
    <w:rsid w:val="00E6534A"/>
    <w:rsid w:val="00E673BE"/>
    <w:rsid w:val="00E67650"/>
    <w:rsid w:val="00E679AF"/>
    <w:rsid w:val="00E7023D"/>
    <w:rsid w:val="00E7151E"/>
    <w:rsid w:val="00E71640"/>
    <w:rsid w:val="00E716F5"/>
    <w:rsid w:val="00E71B3D"/>
    <w:rsid w:val="00E729C1"/>
    <w:rsid w:val="00E72C0F"/>
    <w:rsid w:val="00E72EFF"/>
    <w:rsid w:val="00E7327F"/>
    <w:rsid w:val="00E742FB"/>
    <w:rsid w:val="00E7486B"/>
    <w:rsid w:val="00E75793"/>
    <w:rsid w:val="00E75B15"/>
    <w:rsid w:val="00E761E2"/>
    <w:rsid w:val="00E76641"/>
    <w:rsid w:val="00E77562"/>
    <w:rsid w:val="00E802E8"/>
    <w:rsid w:val="00E804B8"/>
    <w:rsid w:val="00E80E8A"/>
    <w:rsid w:val="00E81066"/>
    <w:rsid w:val="00E81926"/>
    <w:rsid w:val="00E82B6F"/>
    <w:rsid w:val="00E830BB"/>
    <w:rsid w:val="00E833EA"/>
    <w:rsid w:val="00E8440F"/>
    <w:rsid w:val="00E84493"/>
    <w:rsid w:val="00E84829"/>
    <w:rsid w:val="00E86A05"/>
    <w:rsid w:val="00E871C0"/>
    <w:rsid w:val="00E87604"/>
    <w:rsid w:val="00E90980"/>
    <w:rsid w:val="00E91175"/>
    <w:rsid w:val="00E912E4"/>
    <w:rsid w:val="00E925CE"/>
    <w:rsid w:val="00E92631"/>
    <w:rsid w:val="00E93A24"/>
    <w:rsid w:val="00E94A19"/>
    <w:rsid w:val="00E94F07"/>
    <w:rsid w:val="00E950C0"/>
    <w:rsid w:val="00E95304"/>
    <w:rsid w:val="00E95B6B"/>
    <w:rsid w:val="00E969F5"/>
    <w:rsid w:val="00E96A13"/>
    <w:rsid w:val="00E96C02"/>
    <w:rsid w:val="00E97873"/>
    <w:rsid w:val="00E97B36"/>
    <w:rsid w:val="00EA0836"/>
    <w:rsid w:val="00EA10DF"/>
    <w:rsid w:val="00EA13B3"/>
    <w:rsid w:val="00EA1935"/>
    <w:rsid w:val="00EA19D1"/>
    <w:rsid w:val="00EA21A7"/>
    <w:rsid w:val="00EA2C05"/>
    <w:rsid w:val="00EA2E22"/>
    <w:rsid w:val="00EA304A"/>
    <w:rsid w:val="00EA38F6"/>
    <w:rsid w:val="00EA3973"/>
    <w:rsid w:val="00EA3A2C"/>
    <w:rsid w:val="00EA3E5F"/>
    <w:rsid w:val="00EA471C"/>
    <w:rsid w:val="00EA4AAF"/>
    <w:rsid w:val="00EA4CC2"/>
    <w:rsid w:val="00EA611B"/>
    <w:rsid w:val="00EA683E"/>
    <w:rsid w:val="00EA6EAF"/>
    <w:rsid w:val="00EB02EC"/>
    <w:rsid w:val="00EB1B10"/>
    <w:rsid w:val="00EB39BA"/>
    <w:rsid w:val="00EB3D25"/>
    <w:rsid w:val="00EB3E7E"/>
    <w:rsid w:val="00EB4323"/>
    <w:rsid w:val="00EB4D0B"/>
    <w:rsid w:val="00EB51F3"/>
    <w:rsid w:val="00EB5755"/>
    <w:rsid w:val="00EB579C"/>
    <w:rsid w:val="00EB58C0"/>
    <w:rsid w:val="00EB5B23"/>
    <w:rsid w:val="00EB5C10"/>
    <w:rsid w:val="00EB747F"/>
    <w:rsid w:val="00EB7532"/>
    <w:rsid w:val="00EB7B4C"/>
    <w:rsid w:val="00EC01D0"/>
    <w:rsid w:val="00EC0CCF"/>
    <w:rsid w:val="00EC0D0A"/>
    <w:rsid w:val="00EC137A"/>
    <w:rsid w:val="00EC18C7"/>
    <w:rsid w:val="00EC1A03"/>
    <w:rsid w:val="00EC2335"/>
    <w:rsid w:val="00EC24F5"/>
    <w:rsid w:val="00EC2B8F"/>
    <w:rsid w:val="00EC2ED6"/>
    <w:rsid w:val="00EC39F6"/>
    <w:rsid w:val="00EC3BA9"/>
    <w:rsid w:val="00EC6069"/>
    <w:rsid w:val="00ED06E3"/>
    <w:rsid w:val="00ED10F6"/>
    <w:rsid w:val="00ED1574"/>
    <w:rsid w:val="00ED1610"/>
    <w:rsid w:val="00ED16A8"/>
    <w:rsid w:val="00ED1741"/>
    <w:rsid w:val="00ED1796"/>
    <w:rsid w:val="00ED291E"/>
    <w:rsid w:val="00ED2E46"/>
    <w:rsid w:val="00ED3028"/>
    <w:rsid w:val="00ED30B2"/>
    <w:rsid w:val="00ED37DE"/>
    <w:rsid w:val="00ED3C31"/>
    <w:rsid w:val="00ED408F"/>
    <w:rsid w:val="00ED457A"/>
    <w:rsid w:val="00ED6275"/>
    <w:rsid w:val="00ED7184"/>
    <w:rsid w:val="00ED778F"/>
    <w:rsid w:val="00EE03B7"/>
    <w:rsid w:val="00EE0D05"/>
    <w:rsid w:val="00EE171B"/>
    <w:rsid w:val="00EE1C9A"/>
    <w:rsid w:val="00EE200A"/>
    <w:rsid w:val="00EE2052"/>
    <w:rsid w:val="00EE24EF"/>
    <w:rsid w:val="00EE318A"/>
    <w:rsid w:val="00EE36CD"/>
    <w:rsid w:val="00EE4939"/>
    <w:rsid w:val="00EE4BAE"/>
    <w:rsid w:val="00EE6353"/>
    <w:rsid w:val="00EE7028"/>
    <w:rsid w:val="00EE75C7"/>
    <w:rsid w:val="00EE77B7"/>
    <w:rsid w:val="00EE785A"/>
    <w:rsid w:val="00EF01BC"/>
    <w:rsid w:val="00EF0A96"/>
    <w:rsid w:val="00EF0B5F"/>
    <w:rsid w:val="00EF106E"/>
    <w:rsid w:val="00EF1330"/>
    <w:rsid w:val="00EF144E"/>
    <w:rsid w:val="00EF16C8"/>
    <w:rsid w:val="00EF1884"/>
    <w:rsid w:val="00EF2472"/>
    <w:rsid w:val="00EF2476"/>
    <w:rsid w:val="00EF2A7E"/>
    <w:rsid w:val="00EF2AAB"/>
    <w:rsid w:val="00EF2FC4"/>
    <w:rsid w:val="00EF33EC"/>
    <w:rsid w:val="00EF3B4B"/>
    <w:rsid w:val="00EF48B2"/>
    <w:rsid w:val="00EF68CC"/>
    <w:rsid w:val="00EF6B48"/>
    <w:rsid w:val="00EF6C14"/>
    <w:rsid w:val="00EF72BD"/>
    <w:rsid w:val="00EF7826"/>
    <w:rsid w:val="00EF7D43"/>
    <w:rsid w:val="00F00518"/>
    <w:rsid w:val="00F0091A"/>
    <w:rsid w:val="00F0094D"/>
    <w:rsid w:val="00F009C2"/>
    <w:rsid w:val="00F01274"/>
    <w:rsid w:val="00F01B75"/>
    <w:rsid w:val="00F02B34"/>
    <w:rsid w:val="00F036BA"/>
    <w:rsid w:val="00F0421B"/>
    <w:rsid w:val="00F0479A"/>
    <w:rsid w:val="00F04A29"/>
    <w:rsid w:val="00F04BDB"/>
    <w:rsid w:val="00F0503D"/>
    <w:rsid w:val="00F050A0"/>
    <w:rsid w:val="00F053EF"/>
    <w:rsid w:val="00F05741"/>
    <w:rsid w:val="00F05AA0"/>
    <w:rsid w:val="00F05D38"/>
    <w:rsid w:val="00F05D8A"/>
    <w:rsid w:val="00F05EC6"/>
    <w:rsid w:val="00F06FE5"/>
    <w:rsid w:val="00F07142"/>
    <w:rsid w:val="00F074C3"/>
    <w:rsid w:val="00F10C22"/>
    <w:rsid w:val="00F116C4"/>
    <w:rsid w:val="00F116F5"/>
    <w:rsid w:val="00F11869"/>
    <w:rsid w:val="00F11887"/>
    <w:rsid w:val="00F11981"/>
    <w:rsid w:val="00F11F7C"/>
    <w:rsid w:val="00F12B13"/>
    <w:rsid w:val="00F12E5A"/>
    <w:rsid w:val="00F13009"/>
    <w:rsid w:val="00F13150"/>
    <w:rsid w:val="00F136F2"/>
    <w:rsid w:val="00F14560"/>
    <w:rsid w:val="00F155D8"/>
    <w:rsid w:val="00F1561F"/>
    <w:rsid w:val="00F15990"/>
    <w:rsid w:val="00F15EFF"/>
    <w:rsid w:val="00F16366"/>
    <w:rsid w:val="00F172D2"/>
    <w:rsid w:val="00F17402"/>
    <w:rsid w:val="00F174BC"/>
    <w:rsid w:val="00F17F27"/>
    <w:rsid w:val="00F201B9"/>
    <w:rsid w:val="00F209A5"/>
    <w:rsid w:val="00F20E6B"/>
    <w:rsid w:val="00F2109D"/>
    <w:rsid w:val="00F21249"/>
    <w:rsid w:val="00F21639"/>
    <w:rsid w:val="00F217ED"/>
    <w:rsid w:val="00F21CD9"/>
    <w:rsid w:val="00F23321"/>
    <w:rsid w:val="00F234BF"/>
    <w:rsid w:val="00F24655"/>
    <w:rsid w:val="00F251CC"/>
    <w:rsid w:val="00F25DF7"/>
    <w:rsid w:val="00F26E61"/>
    <w:rsid w:val="00F273FB"/>
    <w:rsid w:val="00F27669"/>
    <w:rsid w:val="00F308F1"/>
    <w:rsid w:val="00F309C0"/>
    <w:rsid w:val="00F30F24"/>
    <w:rsid w:val="00F3130F"/>
    <w:rsid w:val="00F31C49"/>
    <w:rsid w:val="00F320A3"/>
    <w:rsid w:val="00F3216A"/>
    <w:rsid w:val="00F328B9"/>
    <w:rsid w:val="00F34081"/>
    <w:rsid w:val="00F345A4"/>
    <w:rsid w:val="00F345D2"/>
    <w:rsid w:val="00F34C79"/>
    <w:rsid w:val="00F35DFE"/>
    <w:rsid w:val="00F369E6"/>
    <w:rsid w:val="00F36F56"/>
    <w:rsid w:val="00F37AAC"/>
    <w:rsid w:val="00F37C38"/>
    <w:rsid w:val="00F40009"/>
    <w:rsid w:val="00F400DF"/>
    <w:rsid w:val="00F4071C"/>
    <w:rsid w:val="00F4109B"/>
    <w:rsid w:val="00F42E86"/>
    <w:rsid w:val="00F436EE"/>
    <w:rsid w:val="00F43B6A"/>
    <w:rsid w:val="00F45401"/>
    <w:rsid w:val="00F45C65"/>
    <w:rsid w:val="00F45CF4"/>
    <w:rsid w:val="00F45E6F"/>
    <w:rsid w:val="00F4793D"/>
    <w:rsid w:val="00F47A7A"/>
    <w:rsid w:val="00F47B25"/>
    <w:rsid w:val="00F503A6"/>
    <w:rsid w:val="00F505BF"/>
    <w:rsid w:val="00F50883"/>
    <w:rsid w:val="00F50CE7"/>
    <w:rsid w:val="00F51BD9"/>
    <w:rsid w:val="00F51E71"/>
    <w:rsid w:val="00F528FA"/>
    <w:rsid w:val="00F5296C"/>
    <w:rsid w:val="00F52B96"/>
    <w:rsid w:val="00F52C6F"/>
    <w:rsid w:val="00F53301"/>
    <w:rsid w:val="00F54358"/>
    <w:rsid w:val="00F54A4D"/>
    <w:rsid w:val="00F55401"/>
    <w:rsid w:val="00F56132"/>
    <w:rsid w:val="00F57025"/>
    <w:rsid w:val="00F5791C"/>
    <w:rsid w:val="00F579FB"/>
    <w:rsid w:val="00F600F6"/>
    <w:rsid w:val="00F609C4"/>
    <w:rsid w:val="00F614F4"/>
    <w:rsid w:val="00F61530"/>
    <w:rsid w:val="00F61D38"/>
    <w:rsid w:val="00F635FA"/>
    <w:rsid w:val="00F63A8B"/>
    <w:rsid w:val="00F644D7"/>
    <w:rsid w:val="00F647C3"/>
    <w:rsid w:val="00F647CE"/>
    <w:rsid w:val="00F65E0F"/>
    <w:rsid w:val="00F669BE"/>
    <w:rsid w:val="00F669FB"/>
    <w:rsid w:val="00F70271"/>
    <w:rsid w:val="00F709BD"/>
    <w:rsid w:val="00F71276"/>
    <w:rsid w:val="00F7143F"/>
    <w:rsid w:val="00F72338"/>
    <w:rsid w:val="00F74014"/>
    <w:rsid w:val="00F740BD"/>
    <w:rsid w:val="00F741EB"/>
    <w:rsid w:val="00F74CA1"/>
    <w:rsid w:val="00F76B82"/>
    <w:rsid w:val="00F80A65"/>
    <w:rsid w:val="00F81105"/>
    <w:rsid w:val="00F81160"/>
    <w:rsid w:val="00F81A81"/>
    <w:rsid w:val="00F82985"/>
    <w:rsid w:val="00F82AD4"/>
    <w:rsid w:val="00F82D67"/>
    <w:rsid w:val="00F8404F"/>
    <w:rsid w:val="00F84205"/>
    <w:rsid w:val="00F843DE"/>
    <w:rsid w:val="00F849D5"/>
    <w:rsid w:val="00F85857"/>
    <w:rsid w:val="00F86977"/>
    <w:rsid w:val="00F869ED"/>
    <w:rsid w:val="00F86BA5"/>
    <w:rsid w:val="00F87453"/>
    <w:rsid w:val="00F87648"/>
    <w:rsid w:val="00F90AA7"/>
    <w:rsid w:val="00F95BBD"/>
    <w:rsid w:val="00F974FE"/>
    <w:rsid w:val="00F97C4A"/>
    <w:rsid w:val="00FA0997"/>
    <w:rsid w:val="00FA0B9C"/>
    <w:rsid w:val="00FA0DA9"/>
    <w:rsid w:val="00FA177A"/>
    <w:rsid w:val="00FA1E1C"/>
    <w:rsid w:val="00FA2B84"/>
    <w:rsid w:val="00FA309D"/>
    <w:rsid w:val="00FA4187"/>
    <w:rsid w:val="00FA4533"/>
    <w:rsid w:val="00FA4FD0"/>
    <w:rsid w:val="00FA5107"/>
    <w:rsid w:val="00FA52A1"/>
    <w:rsid w:val="00FA53F7"/>
    <w:rsid w:val="00FA5F76"/>
    <w:rsid w:val="00FA63B8"/>
    <w:rsid w:val="00FA680C"/>
    <w:rsid w:val="00FA688B"/>
    <w:rsid w:val="00FA6EFD"/>
    <w:rsid w:val="00FA7EB9"/>
    <w:rsid w:val="00FB04D7"/>
    <w:rsid w:val="00FB0934"/>
    <w:rsid w:val="00FB0A54"/>
    <w:rsid w:val="00FB0CBB"/>
    <w:rsid w:val="00FB1159"/>
    <w:rsid w:val="00FB1CBE"/>
    <w:rsid w:val="00FB2A43"/>
    <w:rsid w:val="00FB31AA"/>
    <w:rsid w:val="00FB4073"/>
    <w:rsid w:val="00FB4AFD"/>
    <w:rsid w:val="00FB4DE2"/>
    <w:rsid w:val="00FB5504"/>
    <w:rsid w:val="00FB718A"/>
    <w:rsid w:val="00FC0E5C"/>
    <w:rsid w:val="00FC14CB"/>
    <w:rsid w:val="00FC1604"/>
    <w:rsid w:val="00FC1C2C"/>
    <w:rsid w:val="00FC24C5"/>
    <w:rsid w:val="00FC28C6"/>
    <w:rsid w:val="00FC3EB3"/>
    <w:rsid w:val="00FC46F6"/>
    <w:rsid w:val="00FC50E9"/>
    <w:rsid w:val="00FC6C11"/>
    <w:rsid w:val="00FC711A"/>
    <w:rsid w:val="00FC79DF"/>
    <w:rsid w:val="00FC7C3D"/>
    <w:rsid w:val="00FD03B2"/>
    <w:rsid w:val="00FD04C0"/>
    <w:rsid w:val="00FD05F3"/>
    <w:rsid w:val="00FD172E"/>
    <w:rsid w:val="00FD2903"/>
    <w:rsid w:val="00FD2A4A"/>
    <w:rsid w:val="00FD2B1B"/>
    <w:rsid w:val="00FD2D86"/>
    <w:rsid w:val="00FD3BD8"/>
    <w:rsid w:val="00FD3E60"/>
    <w:rsid w:val="00FD426D"/>
    <w:rsid w:val="00FD4712"/>
    <w:rsid w:val="00FD4C61"/>
    <w:rsid w:val="00FD4FB2"/>
    <w:rsid w:val="00FD50F5"/>
    <w:rsid w:val="00FD53F5"/>
    <w:rsid w:val="00FD6F19"/>
    <w:rsid w:val="00FD7850"/>
    <w:rsid w:val="00FE0205"/>
    <w:rsid w:val="00FE0570"/>
    <w:rsid w:val="00FE05A8"/>
    <w:rsid w:val="00FE1838"/>
    <w:rsid w:val="00FE20E4"/>
    <w:rsid w:val="00FE2650"/>
    <w:rsid w:val="00FE2D00"/>
    <w:rsid w:val="00FE2F92"/>
    <w:rsid w:val="00FE33EF"/>
    <w:rsid w:val="00FE35EC"/>
    <w:rsid w:val="00FE4465"/>
    <w:rsid w:val="00FE4C90"/>
    <w:rsid w:val="00FE4D7A"/>
    <w:rsid w:val="00FE51E1"/>
    <w:rsid w:val="00FE5E3B"/>
    <w:rsid w:val="00FE62EE"/>
    <w:rsid w:val="00FE6FD3"/>
    <w:rsid w:val="00FE72DD"/>
    <w:rsid w:val="00FE76C8"/>
    <w:rsid w:val="00FE77BC"/>
    <w:rsid w:val="00FE7A2A"/>
    <w:rsid w:val="00FE7C75"/>
    <w:rsid w:val="00FF014E"/>
    <w:rsid w:val="00FF03EA"/>
    <w:rsid w:val="00FF1524"/>
    <w:rsid w:val="00FF165C"/>
    <w:rsid w:val="00FF16BD"/>
    <w:rsid w:val="00FF224E"/>
    <w:rsid w:val="00FF38FA"/>
    <w:rsid w:val="00FF39E2"/>
    <w:rsid w:val="00FF4139"/>
    <w:rsid w:val="00FF42FC"/>
    <w:rsid w:val="00FF46A1"/>
    <w:rsid w:val="00FF47B6"/>
    <w:rsid w:val="00FF4C55"/>
    <w:rsid w:val="00FF501D"/>
    <w:rsid w:val="00FF530E"/>
    <w:rsid w:val="00FF5D39"/>
    <w:rsid w:val="00FF699C"/>
    <w:rsid w:val="01000A22"/>
    <w:rsid w:val="016D328D"/>
    <w:rsid w:val="01D52722"/>
    <w:rsid w:val="01D7E206"/>
    <w:rsid w:val="02043362"/>
    <w:rsid w:val="021C443D"/>
    <w:rsid w:val="025C0E75"/>
    <w:rsid w:val="02A9E6D6"/>
    <w:rsid w:val="02BD1FB5"/>
    <w:rsid w:val="0305D059"/>
    <w:rsid w:val="031BB70D"/>
    <w:rsid w:val="0375DCAD"/>
    <w:rsid w:val="03C421EB"/>
    <w:rsid w:val="045E89CB"/>
    <w:rsid w:val="04935152"/>
    <w:rsid w:val="04DC675A"/>
    <w:rsid w:val="05167F4E"/>
    <w:rsid w:val="05B6F581"/>
    <w:rsid w:val="060E94C8"/>
    <w:rsid w:val="062C3781"/>
    <w:rsid w:val="0673495F"/>
    <w:rsid w:val="070D3A1F"/>
    <w:rsid w:val="070F2E29"/>
    <w:rsid w:val="074D8A94"/>
    <w:rsid w:val="07B63C6E"/>
    <w:rsid w:val="07D87073"/>
    <w:rsid w:val="08003667"/>
    <w:rsid w:val="080FF55F"/>
    <w:rsid w:val="082518FD"/>
    <w:rsid w:val="088FC744"/>
    <w:rsid w:val="08A4C3C3"/>
    <w:rsid w:val="08DFEC7E"/>
    <w:rsid w:val="0907D5B4"/>
    <w:rsid w:val="090981AC"/>
    <w:rsid w:val="09394BA5"/>
    <w:rsid w:val="09799BFB"/>
    <w:rsid w:val="09BB38B1"/>
    <w:rsid w:val="09DF85FD"/>
    <w:rsid w:val="0A24899A"/>
    <w:rsid w:val="0A53F4B7"/>
    <w:rsid w:val="0A9FCBC4"/>
    <w:rsid w:val="0AB616F9"/>
    <w:rsid w:val="0AD270E8"/>
    <w:rsid w:val="0AEB24D0"/>
    <w:rsid w:val="0B19FAA4"/>
    <w:rsid w:val="0B4EA72E"/>
    <w:rsid w:val="0BBFF863"/>
    <w:rsid w:val="0DE00BF7"/>
    <w:rsid w:val="0E1F3289"/>
    <w:rsid w:val="0E6BAF18"/>
    <w:rsid w:val="0F340DB5"/>
    <w:rsid w:val="0F34B97B"/>
    <w:rsid w:val="0FC0F3D3"/>
    <w:rsid w:val="0FEB2529"/>
    <w:rsid w:val="100DD208"/>
    <w:rsid w:val="1016298D"/>
    <w:rsid w:val="10612D23"/>
    <w:rsid w:val="107A18B8"/>
    <w:rsid w:val="1085EAEB"/>
    <w:rsid w:val="108D1485"/>
    <w:rsid w:val="10B6CEDE"/>
    <w:rsid w:val="10C5B426"/>
    <w:rsid w:val="10F83A61"/>
    <w:rsid w:val="11A6D215"/>
    <w:rsid w:val="11FCFD84"/>
    <w:rsid w:val="124E2947"/>
    <w:rsid w:val="12659FA5"/>
    <w:rsid w:val="13090C48"/>
    <w:rsid w:val="13295F86"/>
    <w:rsid w:val="136D827D"/>
    <w:rsid w:val="13AD82FF"/>
    <w:rsid w:val="13E9F9A8"/>
    <w:rsid w:val="13F80C26"/>
    <w:rsid w:val="147E072A"/>
    <w:rsid w:val="14AD8E03"/>
    <w:rsid w:val="14BE8DC7"/>
    <w:rsid w:val="151B75E9"/>
    <w:rsid w:val="1524D2B3"/>
    <w:rsid w:val="153CA5E5"/>
    <w:rsid w:val="1605D5BB"/>
    <w:rsid w:val="175A73D0"/>
    <w:rsid w:val="17931F39"/>
    <w:rsid w:val="17C8C3CB"/>
    <w:rsid w:val="17E5C2A4"/>
    <w:rsid w:val="17E85D22"/>
    <w:rsid w:val="1826256D"/>
    <w:rsid w:val="1872BED1"/>
    <w:rsid w:val="187C7DE6"/>
    <w:rsid w:val="18C3A4F8"/>
    <w:rsid w:val="1A160C29"/>
    <w:rsid w:val="1A2CB07F"/>
    <w:rsid w:val="1A3BAF69"/>
    <w:rsid w:val="1A4F328E"/>
    <w:rsid w:val="1A917668"/>
    <w:rsid w:val="1B177B01"/>
    <w:rsid w:val="1B6292ED"/>
    <w:rsid w:val="1B86EC24"/>
    <w:rsid w:val="1BB512F0"/>
    <w:rsid w:val="1C50D791"/>
    <w:rsid w:val="1C706F99"/>
    <w:rsid w:val="1C8A4E35"/>
    <w:rsid w:val="1C969AF2"/>
    <w:rsid w:val="1CA79739"/>
    <w:rsid w:val="1CC6E16B"/>
    <w:rsid w:val="1CCE89FE"/>
    <w:rsid w:val="1CCE9D4E"/>
    <w:rsid w:val="1CFD7F12"/>
    <w:rsid w:val="1D01E5DB"/>
    <w:rsid w:val="1D67438F"/>
    <w:rsid w:val="1DB85F4A"/>
    <w:rsid w:val="1E62C991"/>
    <w:rsid w:val="1EE4F1FC"/>
    <w:rsid w:val="1EF1143A"/>
    <w:rsid w:val="1F796A36"/>
    <w:rsid w:val="201C97CE"/>
    <w:rsid w:val="206ED0FD"/>
    <w:rsid w:val="20B1E746"/>
    <w:rsid w:val="211BF82A"/>
    <w:rsid w:val="21732567"/>
    <w:rsid w:val="219D4689"/>
    <w:rsid w:val="21FD700D"/>
    <w:rsid w:val="2217E470"/>
    <w:rsid w:val="223CFED4"/>
    <w:rsid w:val="230C367E"/>
    <w:rsid w:val="230F66A0"/>
    <w:rsid w:val="2323F553"/>
    <w:rsid w:val="23343331"/>
    <w:rsid w:val="242F7662"/>
    <w:rsid w:val="25738557"/>
    <w:rsid w:val="25B34578"/>
    <w:rsid w:val="25C00EEE"/>
    <w:rsid w:val="25D6F668"/>
    <w:rsid w:val="25D8F5DB"/>
    <w:rsid w:val="26402C6E"/>
    <w:rsid w:val="2642822A"/>
    <w:rsid w:val="27747041"/>
    <w:rsid w:val="287127FB"/>
    <w:rsid w:val="2936A851"/>
    <w:rsid w:val="2941FB98"/>
    <w:rsid w:val="2B41BA48"/>
    <w:rsid w:val="2B45A9F0"/>
    <w:rsid w:val="2BDE3F76"/>
    <w:rsid w:val="2C0435CB"/>
    <w:rsid w:val="2C05AB57"/>
    <w:rsid w:val="2C39F8A0"/>
    <w:rsid w:val="2C3BD844"/>
    <w:rsid w:val="2C424B02"/>
    <w:rsid w:val="2C724CA5"/>
    <w:rsid w:val="2C905334"/>
    <w:rsid w:val="2C99CF28"/>
    <w:rsid w:val="2CB588E5"/>
    <w:rsid w:val="2CC0D8A1"/>
    <w:rsid w:val="2D2D48D1"/>
    <w:rsid w:val="2DFC2BA9"/>
    <w:rsid w:val="2E13A1EC"/>
    <w:rsid w:val="2E577DAC"/>
    <w:rsid w:val="2EE0697F"/>
    <w:rsid w:val="2F2010B8"/>
    <w:rsid w:val="2FB9FBCC"/>
    <w:rsid w:val="2FCC0EDE"/>
    <w:rsid w:val="2FDCEB5E"/>
    <w:rsid w:val="301FB09F"/>
    <w:rsid w:val="30504100"/>
    <w:rsid w:val="306AACAB"/>
    <w:rsid w:val="30CAFD9B"/>
    <w:rsid w:val="3106EA8E"/>
    <w:rsid w:val="314C0023"/>
    <w:rsid w:val="3185DC08"/>
    <w:rsid w:val="31DE0820"/>
    <w:rsid w:val="32C4623A"/>
    <w:rsid w:val="33E2FBF6"/>
    <w:rsid w:val="3432A5F6"/>
    <w:rsid w:val="348C06D1"/>
    <w:rsid w:val="34A3F65F"/>
    <w:rsid w:val="35337953"/>
    <w:rsid w:val="3608960F"/>
    <w:rsid w:val="361D2E0F"/>
    <w:rsid w:val="36356F33"/>
    <w:rsid w:val="36761550"/>
    <w:rsid w:val="367734EF"/>
    <w:rsid w:val="367CDA7E"/>
    <w:rsid w:val="36A60666"/>
    <w:rsid w:val="375DAFB7"/>
    <w:rsid w:val="37641077"/>
    <w:rsid w:val="3765DB6B"/>
    <w:rsid w:val="37B5B63F"/>
    <w:rsid w:val="37C7FC5C"/>
    <w:rsid w:val="37CFB1B2"/>
    <w:rsid w:val="3898E061"/>
    <w:rsid w:val="38C9250E"/>
    <w:rsid w:val="394441A6"/>
    <w:rsid w:val="396E4CC3"/>
    <w:rsid w:val="39CDA939"/>
    <w:rsid w:val="3A28E89D"/>
    <w:rsid w:val="3A6A9631"/>
    <w:rsid w:val="3AF537A9"/>
    <w:rsid w:val="3B16DF19"/>
    <w:rsid w:val="3B250DD6"/>
    <w:rsid w:val="3B579C43"/>
    <w:rsid w:val="3B66661B"/>
    <w:rsid w:val="3B8E33B7"/>
    <w:rsid w:val="3C5777AA"/>
    <w:rsid w:val="3C6F964C"/>
    <w:rsid w:val="3C975D8A"/>
    <w:rsid w:val="3CF8FF72"/>
    <w:rsid w:val="3DABBB33"/>
    <w:rsid w:val="3DC62402"/>
    <w:rsid w:val="3DDAE7BB"/>
    <w:rsid w:val="3DE7964A"/>
    <w:rsid w:val="3DEFB0AA"/>
    <w:rsid w:val="3E853B68"/>
    <w:rsid w:val="3EDD64EC"/>
    <w:rsid w:val="3F47C56B"/>
    <w:rsid w:val="3F7F63C1"/>
    <w:rsid w:val="3FAC5799"/>
    <w:rsid w:val="3FE87167"/>
    <w:rsid w:val="40075CCD"/>
    <w:rsid w:val="409F8577"/>
    <w:rsid w:val="409FF344"/>
    <w:rsid w:val="40D84393"/>
    <w:rsid w:val="4148D092"/>
    <w:rsid w:val="417A6C02"/>
    <w:rsid w:val="417A78AE"/>
    <w:rsid w:val="4244553D"/>
    <w:rsid w:val="424AD468"/>
    <w:rsid w:val="4259E3D1"/>
    <w:rsid w:val="430887CF"/>
    <w:rsid w:val="43543398"/>
    <w:rsid w:val="43E052A1"/>
    <w:rsid w:val="44203F8E"/>
    <w:rsid w:val="44417E1F"/>
    <w:rsid w:val="44888CC4"/>
    <w:rsid w:val="449B989B"/>
    <w:rsid w:val="44C32357"/>
    <w:rsid w:val="44FCAC84"/>
    <w:rsid w:val="4535D326"/>
    <w:rsid w:val="453B59CF"/>
    <w:rsid w:val="459E70CA"/>
    <w:rsid w:val="45B6EB6A"/>
    <w:rsid w:val="45B9A522"/>
    <w:rsid w:val="45BA7C65"/>
    <w:rsid w:val="463A56AE"/>
    <w:rsid w:val="4646486A"/>
    <w:rsid w:val="468DFB0F"/>
    <w:rsid w:val="46E370CE"/>
    <w:rsid w:val="4754C543"/>
    <w:rsid w:val="4786686B"/>
    <w:rsid w:val="47C8E86D"/>
    <w:rsid w:val="47EB7EE4"/>
    <w:rsid w:val="4815C35D"/>
    <w:rsid w:val="48616A70"/>
    <w:rsid w:val="487A73BA"/>
    <w:rsid w:val="48F616CC"/>
    <w:rsid w:val="494D4446"/>
    <w:rsid w:val="497E4F02"/>
    <w:rsid w:val="49EBB551"/>
    <w:rsid w:val="4B10215F"/>
    <w:rsid w:val="4B4AFBDB"/>
    <w:rsid w:val="4B84BA6B"/>
    <w:rsid w:val="4C1D997D"/>
    <w:rsid w:val="4DFA3B96"/>
    <w:rsid w:val="4EACA4E0"/>
    <w:rsid w:val="4F27CDBB"/>
    <w:rsid w:val="4F36229E"/>
    <w:rsid w:val="4F4D98EA"/>
    <w:rsid w:val="4F6CBB78"/>
    <w:rsid w:val="4F7CB6A3"/>
    <w:rsid w:val="4F85BAEC"/>
    <w:rsid w:val="4FEF6FB9"/>
    <w:rsid w:val="504CECEB"/>
    <w:rsid w:val="50795EF7"/>
    <w:rsid w:val="509952E8"/>
    <w:rsid w:val="50D4E068"/>
    <w:rsid w:val="515300EE"/>
    <w:rsid w:val="51C908E2"/>
    <w:rsid w:val="51D54597"/>
    <w:rsid w:val="52410178"/>
    <w:rsid w:val="5290F041"/>
    <w:rsid w:val="52C77DE0"/>
    <w:rsid w:val="52CB1B94"/>
    <w:rsid w:val="53009A0A"/>
    <w:rsid w:val="530D610C"/>
    <w:rsid w:val="530E2D8C"/>
    <w:rsid w:val="53CF3E31"/>
    <w:rsid w:val="54B18E1A"/>
    <w:rsid w:val="55488EFC"/>
    <w:rsid w:val="55FBDE17"/>
    <w:rsid w:val="563F685D"/>
    <w:rsid w:val="5690E9A4"/>
    <w:rsid w:val="57352DF8"/>
    <w:rsid w:val="57554D6E"/>
    <w:rsid w:val="579C5F7A"/>
    <w:rsid w:val="57EDE46A"/>
    <w:rsid w:val="582223E5"/>
    <w:rsid w:val="58E6E249"/>
    <w:rsid w:val="592C5DAB"/>
    <w:rsid w:val="59499A15"/>
    <w:rsid w:val="597DD9A6"/>
    <w:rsid w:val="59D8B125"/>
    <w:rsid w:val="5A521B25"/>
    <w:rsid w:val="5A7F5021"/>
    <w:rsid w:val="5B7DA469"/>
    <w:rsid w:val="5B8A6E57"/>
    <w:rsid w:val="5C0A276D"/>
    <w:rsid w:val="5C4A1F41"/>
    <w:rsid w:val="5CC296EB"/>
    <w:rsid w:val="5D8675AF"/>
    <w:rsid w:val="5ED18CBD"/>
    <w:rsid w:val="5EF9BBAD"/>
    <w:rsid w:val="5F6AF527"/>
    <w:rsid w:val="5F877723"/>
    <w:rsid w:val="5F88DCC4"/>
    <w:rsid w:val="5F97F25A"/>
    <w:rsid w:val="5FC5F4B5"/>
    <w:rsid w:val="60E3A120"/>
    <w:rsid w:val="6105EE7A"/>
    <w:rsid w:val="6148BA03"/>
    <w:rsid w:val="61AE6A88"/>
    <w:rsid w:val="61BD1406"/>
    <w:rsid w:val="622BD6B1"/>
    <w:rsid w:val="6242058B"/>
    <w:rsid w:val="625E5D41"/>
    <w:rsid w:val="62B3865C"/>
    <w:rsid w:val="62B4E142"/>
    <w:rsid w:val="62C17880"/>
    <w:rsid w:val="62CCA8CD"/>
    <w:rsid w:val="62E7D314"/>
    <w:rsid w:val="633A8C1E"/>
    <w:rsid w:val="63EA5997"/>
    <w:rsid w:val="63EE2410"/>
    <w:rsid w:val="64DE1C47"/>
    <w:rsid w:val="64E37BC2"/>
    <w:rsid w:val="6527D311"/>
    <w:rsid w:val="6534FFD2"/>
    <w:rsid w:val="65548C20"/>
    <w:rsid w:val="6562AD2A"/>
    <w:rsid w:val="6567A503"/>
    <w:rsid w:val="65B0CD69"/>
    <w:rsid w:val="65B3174C"/>
    <w:rsid w:val="65C09DD5"/>
    <w:rsid w:val="65D396F8"/>
    <w:rsid w:val="66107277"/>
    <w:rsid w:val="66498C14"/>
    <w:rsid w:val="6798280E"/>
    <w:rsid w:val="68200657"/>
    <w:rsid w:val="68619AA1"/>
    <w:rsid w:val="68BFB5DC"/>
    <w:rsid w:val="68D1ED05"/>
    <w:rsid w:val="695B1730"/>
    <w:rsid w:val="698AF684"/>
    <w:rsid w:val="69980B74"/>
    <w:rsid w:val="6A1ABA81"/>
    <w:rsid w:val="6A1CD4E9"/>
    <w:rsid w:val="6A6A7266"/>
    <w:rsid w:val="6AC6D7C6"/>
    <w:rsid w:val="6B3ADFB9"/>
    <w:rsid w:val="6B43099D"/>
    <w:rsid w:val="6B84C28A"/>
    <w:rsid w:val="6BA853EB"/>
    <w:rsid w:val="6C1F04F9"/>
    <w:rsid w:val="6CA4E5B0"/>
    <w:rsid w:val="6DB4B1A9"/>
    <w:rsid w:val="6DCB4925"/>
    <w:rsid w:val="6DFF4A15"/>
    <w:rsid w:val="6E411267"/>
    <w:rsid w:val="6E66DED7"/>
    <w:rsid w:val="6EB5B360"/>
    <w:rsid w:val="6ECD9F26"/>
    <w:rsid w:val="6ECEFDC1"/>
    <w:rsid w:val="6EE3B218"/>
    <w:rsid w:val="6EE7D6B9"/>
    <w:rsid w:val="6EEC58DC"/>
    <w:rsid w:val="7009E275"/>
    <w:rsid w:val="700CF659"/>
    <w:rsid w:val="70B765A1"/>
    <w:rsid w:val="712DF6EB"/>
    <w:rsid w:val="7192F9B6"/>
    <w:rsid w:val="7291EBBA"/>
    <w:rsid w:val="72F5649D"/>
    <w:rsid w:val="730BC710"/>
    <w:rsid w:val="7359B17A"/>
    <w:rsid w:val="739B29B6"/>
    <w:rsid w:val="7491EA50"/>
    <w:rsid w:val="75629087"/>
    <w:rsid w:val="75B51BC7"/>
    <w:rsid w:val="76002484"/>
    <w:rsid w:val="76C8F00A"/>
    <w:rsid w:val="772666F8"/>
    <w:rsid w:val="7750D520"/>
    <w:rsid w:val="77EB300F"/>
    <w:rsid w:val="7843F307"/>
    <w:rsid w:val="787B4619"/>
    <w:rsid w:val="788B9D65"/>
    <w:rsid w:val="79341138"/>
    <w:rsid w:val="7AD53B47"/>
    <w:rsid w:val="7B9749CA"/>
    <w:rsid w:val="7C46FFE6"/>
    <w:rsid w:val="7C76743C"/>
    <w:rsid w:val="7C89F9C3"/>
    <w:rsid w:val="7C9D5AE1"/>
    <w:rsid w:val="7CE525F9"/>
    <w:rsid w:val="7D6752F6"/>
    <w:rsid w:val="7D702452"/>
    <w:rsid w:val="7DD8CE1B"/>
    <w:rsid w:val="7E058C28"/>
    <w:rsid w:val="7E49C575"/>
    <w:rsid w:val="7E7356E0"/>
    <w:rsid w:val="7E9D99BF"/>
    <w:rsid w:val="7EBD63B6"/>
    <w:rsid w:val="7EFD705D"/>
    <w:rsid w:val="7F1DFB15"/>
    <w:rsid w:val="7F611965"/>
    <w:rsid w:val="7FE4C52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4007C"/>
  <w15:docId w15:val="{A0E67A40-193A-4B29-9B88-48F19A058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186"/>
    <w:pPr>
      <w:spacing w:before="120"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pPr>
      <w:keepNext/>
      <w:keepLines/>
      <w:spacing w:before="1440" w:after="120"/>
      <w:outlineLvl w:val="0"/>
    </w:pPr>
    <w:rPr>
      <w:rFonts w:ascii="Calibri" w:eastAsiaTheme="majorEastAsia" w:hAnsi="Calibri" w:cstheme="majorBidi"/>
      <w:b/>
      <w:bCs/>
      <w:color w:val="3C4B55"/>
      <w:sz w:val="70"/>
      <w:szCs w:val="28"/>
      <w:lang w:eastAsia="en-US"/>
    </w:rPr>
  </w:style>
  <w:style w:type="paragraph" w:styleId="Heading2">
    <w:name w:val="heading 2"/>
    <w:basedOn w:val="Normal"/>
    <w:next w:val="Normal"/>
    <w:link w:val="Heading2Char"/>
    <w:uiPriority w:val="9"/>
    <w:qFormat/>
    <w:rsid w:val="000705F1"/>
    <w:pPr>
      <w:keepNext/>
      <w:keepLines/>
      <w:pageBreakBefore/>
      <w:numPr>
        <w:ilvl w:val="1"/>
        <w:numId w:val="36"/>
      </w:numPr>
      <w:spacing w:after="240" w:line="240" w:lineRule="auto"/>
      <w:ind w:left="0" w:firstLine="0"/>
      <w:outlineLvl w:val="1"/>
    </w:pPr>
    <w:rPr>
      <w:rFonts w:ascii="Calibri" w:eastAsiaTheme="minorEastAsia" w:hAnsi="Calibri"/>
      <w:bCs/>
      <w:color w:val="427BA1"/>
      <w:sz w:val="56"/>
      <w:szCs w:val="28"/>
      <w:lang w:eastAsia="ja-JP"/>
    </w:rPr>
  </w:style>
  <w:style w:type="paragraph" w:styleId="Heading3">
    <w:name w:val="heading 3"/>
    <w:next w:val="Normal"/>
    <w:link w:val="Heading3Char"/>
    <w:uiPriority w:val="9"/>
    <w:qFormat/>
    <w:rsid w:val="006C1481"/>
    <w:pPr>
      <w:keepNext/>
      <w:keepLines/>
      <w:numPr>
        <w:ilvl w:val="2"/>
        <w:numId w:val="36"/>
      </w:numPr>
      <w:spacing w:before="240" w:after="240"/>
      <w:ind w:left="0" w:firstLine="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9"/>
    <w:qFormat/>
    <w:rsid w:val="00BD4CEC"/>
    <w:pPr>
      <w:keepNext/>
      <w:keepLines/>
      <w:numPr>
        <w:ilvl w:val="3"/>
        <w:numId w:val="36"/>
      </w:numPr>
      <w:spacing w:before="120" w:after="120"/>
      <w:ind w:left="646" w:hanging="646"/>
      <w:outlineLvl w:val="3"/>
    </w:pPr>
    <w:rPr>
      <w:rFonts w:ascii="Calibri" w:eastAsiaTheme="minorHAnsi" w:hAnsi="Calibri" w:cstheme="minorBidi"/>
      <w:b/>
      <w:bCs/>
      <w:iCs/>
      <w:color w:val="427BA1"/>
      <w:sz w:val="24"/>
      <w:szCs w:val="22"/>
      <w:lang w:eastAsia="en-US"/>
    </w:rPr>
  </w:style>
  <w:style w:type="paragraph" w:styleId="Heading5">
    <w:name w:val="heading 5"/>
    <w:next w:val="Normal"/>
    <w:link w:val="Heading5Char"/>
    <w:uiPriority w:val="9"/>
    <w:qFormat/>
    <w:rsid w:val="00BD4CEC"/>
    <w:pPr>
      <w:keepNext/>
      <w:numPr>
        <w:ilvl w:val="4"/>
        <w:numId w:val="36"/>
      </w:numPr>
      <w:ind w:left="0" w:firstLine="0"/>
      <w:outlineLvl w:val="4"/>
    </w:pPr>
    <w:rPr>
      <w:rFonts w:ascii="Calibri" w:eastAsiaTheme="minorHAnsi" w:hAnsi="Calibri" w:cstheme="minorBidi"/>
      <w:b/>
      <w:iCs/>
      <w:color w:val="000000" w:themeColor="text1"/>
      <w:sz w:val="22"/>
      <w:szCs w:val="22"/>
      <w:lang w:eastAsia="en-US"/>
    </w:rPr>
  </w:style>
  <w:style w:type="paragraph" w:styleId="Heading6">
    <w:name w:val="heading 6"/>
    <w:next w:val="Normal"/>
    <w:link w:val="Heading6Char"/>
    <w:uiPriority w:val="9"/>
    <w:qFormat/>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rsid w:val="004C272A"/>
    <w:pPr>
      <w:pageBreakBefore/>
      <w:numPr>
        <w:ilvl w:val="6"/>
        <w:numId w:val="29"/>
      </w:numPr>
      <w:spacing w:after="240"/>
      <w:ind w:left="0" w:firstLine="0"/>
      <w:outlineLvl w:val="6"/>
    </w:pPr>
    <w:rPr>
      <w:rFonts w:asciiTheme="minorHAnsi" w:eastAsiaTheme="majorEastAsia" w:hAnsiTheme="minorHAnsi" w:cstheme="majorBidi"/>
      <w:iCs/>
      <w:color w:val="427BA1"/>
      <w:sz w:val="56"/>
      <w:szCs w:val="56"/>
      <w:lang w:eastAsia="en-US"/>
    </w:rPr>
  </w:style>
  <w:style w:type="paragraph" w:styleId="Heading8">
    <w:name w:val="heading 8"/>
    <w:basedOn w:val="Normal"/>
    <w:next w:val="Normal"/>
    <w:link w:val="Heading8Char"/>
    <w:uiPriority w:val="9"/>
    <w:semiHidden/>
    <w:unhideWhenUsed/>
    <w:qFormat/>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36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uiPriority w:val="99"/>
    <w:rsid w:val="00B71737"/>
    <w:pPr>
      <w:tabs>
        <w:tab w:val="center" w:pos="8505"/>
        <w:tab w:val="center" w:pos="13041"/>
      </w:tabs>
      <w:spacing w:before="0" w:after="200" w:line="360" w:lineRule="auto"/>
    </w:pPr>
    <w:rPr>
      <w:rFonts w:ascii="Calibri" w:hAnsi="Calibri"/>
      <w:sz w:val="20"/>
    </w:rPr>
  </w:style>
  <w:style w:type="character" w:customStyle="1" w:styleId="HeaderChar">
    <w:name w:val="Header Char"/>
    <w:basedOn w:val="DefaultParagraphFont"/>
    <w:link w:val="Header"/>
    <w:uiPriority w:val="99"/>
    <w:rsid w:val="00B71737"/>
    <w:rPr>
      <w:rFonts w:ascii="Calibri" w:eastAsiaTheme="minorHAnsi" w:hAnsi="Calibri" w:cstheme="minorBidi"/>
      <w:szCs w:val="22"/>
      <w:lang w:eastAsia="en-US"/>
    </w:rPr>
  </w:style>
  <w:style w:type="paragraph" w:styleId="Footer">
    <w:name w:val="footer"/>
    <w:basedOn w:val="Normal"/>
    <w:link w:val="FooterChar"/>
    <w:uiPriority w:val="99"/>
    <w:rsid w:val="00B71737"/>
    <w:pPr>
      <w:tabs>
        <w:tab w:val="right" w:pos="8931"/>
      </w:tabs>
      <w:spacing w:before="0" w:line="240" w:lineRule="auto"/>
    </w:pPr>
    <w:rPr>
      <w:rFonts w:ascii="Calibri" w:hAnsi="Calibri"/>
      <w:sz w:val="20"/>
    </w:rPr>
  </w:style>
  <w:style w:type="character" w:customStyle="1" w:styleId="FooterChar">
    <w:name w:val="Footer Char"/>
    <w:basedOn w:val="DefaultParagraphFont"/>
    <w:link w:val="Footer"/>
    <w:uiPriority w:val="99"/>
    <w:rsid w:val="00B7173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color w:val="3C4B55"/>
      <w:sz w:val="70"/>
      <w:szCs w:val="28"/>
      <w:lang w:eastAsia="en-US"/>
    </w:rPr>
  </w:style>
  <w:style w:type="paragraph" w:styleId="ListParagraph">
    <w:name w:val="List Paragraph"/>
    <w:basedOn w:val="Normal"/>
    <w:uiPriority w:val="34"/>
    <w:qFormat/>
    <w:pPr>
      <w:ind w:left="720"/>
    </w:pPr>
  </w:style>
  <w:style w:type="character" w:customStyle="1" w:styleId="Heading2Char">
    <w:name w:val="Heading 2 Char"/>
    <w:basedOn w:val="DefaultParagraphFont"/>
    <w:link w:val="Heading2"/>
    <w:uiPriority w:val="9"/>
    <w:rsid w:val="000705F1"/>
    <w:rPr>
      <w:rFonts w:ascii="Calibri" w:hAnsi="Calibri" w:cstheme="minorBidi"/>
      <w:bCs/>
      <w:color w:val="427BA1"/>
      <w:sz w:val="56"/>
      <w:szCs w:val="28"/>
      <w:lang w:eastAsia="ja-JP"/>
    </w:rPr>
  </w:style>
  <w:style w:type="character" w:customStyle="1" w:styleId="Heading3Char">
    <w:name w:val="Heading 3 Char"/>
    <w:basedOn w:val="DefaultParagraphFont"/>
    <w:link w:val="Heading3"/>
    <w:uiPriority w:val="9"/>
    <w:rsid w:val="006C1481"/>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9"/>
    <w:rsid w:val="00BD4CEC"/>
    <w:rPr>
      <w:rFonts w:ascii="Calibri" w:eastAsiaTheme="minorHAnsi" w:hAnsi="Calibri" w:cstheme="minorBidi"/>
      <w:b/>
      <w:bCs/>
      <w:iCs/>
      <w:color w:val="427BA1"/>
      <w:sz w:val="24"/>
      <w:szCs w:val="22"/>
      <w:lang w:eastAsia="en-US"/>
    </w:rPr>
  </w:style>
  <w:style w:type="character" w:customStyle="1" w:styleId="Heading5Char">
    <w:name w:val="Heading 5 Char"/>
    <w:basedOn w:val="DefaultParagraphFont"/>
    <w:link w:val="Heading5"/>
    <w:uiPriority w:val="9"/>
    <w:rsid w:val="00BD4CEC"/>
    <w:rPr>
      <w:rFonts w:ascii="Calibri" w:eastAsiaTheme="minorHAnsi" w:hAnsi="Calibri" w:cstheme="minorBidi"/>
      <w:b/>
      <w:iCs/>
      <w:color w:val="000000" w:themeColor="text1"/>
      <w:sz w:val="22"/>
      <w:szCs w:val="22"/>
      <w:lang w:eastAsia="en-US"/>
    </w:rPr>
  </w:style>
  <w:style w:type="paragraph" w:styleId="Quote">
    <w:name w:val="Quote"/>
    <w:basedOn w:val="Normal"/>
    <w:next w:val="Normal"/>
    <w:link w:val="QuoteChar"/>
    <w:uiPriority w:val="29"/>
    <w:qFormat/>
    <w:pPr>
      <w:ind w:left="709" w:right="567"/>
    </w:pPr>
    <w:rPr>
      <w:iCs/>
      <w:color w:val="000000"/>
    </w:rPr>
  </w:style>
  <w:style w:type="character" w:customStyle="1" w:styleId="QuoteChar">
    <w:name w:val="Quote Char"/>
    <w:basedOn w:val="DefaultParagraphFont"/>
    <w:link w:val="Quote"/>
    <w:uiPriority w:val="29"/>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pPr>
    <w:rPr>
      <w:sz w:val="20"/>
    </w:rPr>
  </w:style>
  <w:style w:type="paragraph" w:styleId="Caption">
    <w:name w:val="caption"/>
    <w:next w:val="Normal"/>
    <w:link w:val="CaptionChar"/>
    <w:uiPriority w:val="99"/>
    <w:qFormat/>
    <w:rsid w:val="00EA0836"/>
    <w:pPr>
      <w:keepNext/>
      <w:spacing w:after="120"/>
    </w:pPr>
    <w:rPr>
      <w:rFonts w:asciiTheme="minorHAnsi" w:eastAsiaTheme="majorEastAsia" w:hAnsiTheme="minorHAnsi" w:cstheme="majorBidi"/>
      <w:b/>
      <w:bCs/>
      <w:color w:val="000000" w:themeColor="text1"/>
      <w:sz w:val="22"/>
      <w:szCs w:val="18"/>
      <w:lang w:eastAsia="en-US"/>
    </w:rPr>
  </w:style>
  <w:style w:type="paragraph" w:customStyle="1" w:styleId="FigureTableNoteSource">
    <w:name w:val="Figure/Table Note/Source"/>
    <w:basedOn w:val="Normal"/>
    <w:next w:val="Normal"/>
    <w:uiPriority w:val="16"/>
    <w:qFormat/>
    <w:pPr>
      <w:spacing w:line="264" w:lineRule="auto"/>
      <w:contextualSpacing/>
    </w:pPr>
    <w:rPr>
      <w:rFonts w:ascii="Calibri" w:hAnsi="Calibri"/>
      <w:sz w:val="18"/>
    </w:rPr>
  </w:style>
  <w:style w:type="paragraph" w:styleId="TOCHeading">
    <w:name w:val="TOC Heading"/>
    <w:next w:val="Normal"/>
    <w:uiPriority w:val="39"/>
    <w:qFormat/>
    <w:rsid w:val="00623F46"/>
    <w:pPr>
      <w:outlineLvl w:val="1"/>
    </w:pPr>
    <w:rPr>
      <w:rFonts w:ascii="Calibri" w:eastAsiaTheme="majorEastAsia" w:hAnsi="Calibri" w:cstheme="majorBidi"/>
      <w:bCs/>
      <w:color w:val="427BA1"/>
      <w:sz w:val="56"/>
      <w:szCs w:val="28"/>
      <w:lang w:val="en-US" w:eastAsia="en-US"/>
    </w:rPr>
  </w:style>
  <w:style w:type="paragraph" w:styleId="TOC1">
    <w:name w:val="toc 1"/>
    <w:next w:val="Normal"/>
    <w:uiPriority w:val="39"/>
    <w:unhideWhenUsed/>
    <w:rsid w:val="008D42C4"/>
    <w:pPr>
      <w:tabs>
        <w:tab w:val="right" w:leader="dot" w:pos="9070"/>
      </w:tabs>
      <w:spacing w:before="120" w:after="120"/>
      <w:ind w:left="284" w:right="139" w:hanging="284"/>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4E3747"/>
    <w:pPr>
      <w:tabs>
        <w:tab w:val="left" w:pos="993"/>
        <w:tab w:val="right" w:leader="dot" w:pos="9060"/>
      </w:tabs>
      <w:spacing w:line="240" w:lineRule="auto"/>
      <w:ind w:firstLine="425"/>
    </w:pPr>
    <w:rPr>
      <w:noProof/>
    </w:rPr>
  </w:style>
  <w:style w:type="paragraph" w:styleId="TOC3">
    <w:name w:val="toc 3"/>
    <w:basedOn w:val="Normal"/>
    <w:next w:val="Normal"/>
    <w:uiPriority w:val="39"/>
    <w:unhideWhenUsed/>
    <w:pPr>
      <w:tabs>
        <w:tab w:val="right" w:leader="dot" w:pos="9072"/>
      </w:tabs>
      <w:spacing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21865"/>
    <w:pPr>
      <w:numPr>
        <w:numId w:val="19"/>
      </w:numPr>
      <w:spacing w:before="120" w:after="120" w:line="276" w:lineRule="auto"/>
      <w:ind w:left="482" w:hanging="198"/>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pPr>
      <w:spacing w:line="240" w:lineRule="auto"/>
    </w:pPr>
  </w:style>
  <w:style w:type="paragraph" w:styleId="ListBullet2">
    <w:name w:val="List Bullet 2"/>
    <w:uiPriority w:val="8"/>
    <w:qFormat/>
    <w:rsid w:val="00FC28C6"/>
    <w:pPr>
      <w:numPr>
        <w:ilvl w:val="1"/>
        <w:numId w:val="7"/>
      </w:numPr>
      <w:spacing w:before="120" w:after="120"/>
      <w:ind w:left="624" w:hanging="17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rsid w:val="007E5C94"/>
    <w:pPr>
      <w:numPr>
        <w:numId w:val="9"/>
      </w:numPr>
      <w:ind w:left="568" w:hanging="284"/>
    </w:pPr>
    <w:rPr>
      <w:szCs w:val="20"/>
    </w:rPr>
  </w:style>
  <w:style w:type="paragraph" w:styleId="ListNumber2">
    <w:name w:val="List Number 2"/>
    <w:uiPriority w:val="10"/>
    <w:qFormat/>
    <w:pPr>
      <w:numPr>
        <w:ilvl w:val="1"/>
        <w:numId w:val="9"/>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GB"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CA4325"/>
    <w:pPr>
      <w:keepNext/>
    </w:pPr>
    <w:rPr>
      <w:rFonts w:cs="Times New Roman (Body CS)"/>
      <w:b/>
      <w:color w:val="000000" w:themeColor="text1"/>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rsid w:val="00540B0A"/>
    <w:pPr>
      <w:numPr>
        <w:numId w:val="2"/>
      </w:numPr>
      <w:ind w:left="170" w:hanging="170"/>
      <w:contextualSpacing/>
    </w:pPr>
    <w:rPr>
      <w:color w:val="000000" w:themeColor="text1"/>
      <w:lang w:eastAsia="en-AU"/>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styleId="FootnoteReference">
    <w:name w:val="footnote reference"/>
    <w:basedOn w:val="DefaultParagraphFont"/>
    <w:uiPriority w:val="99"/>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rsid w:val="004C272A"/>
    <w:rPr>
      <w:rFonts w:asciiTheme="minorHAnsi" w:eastAsiaTheme="majorEastAsia" w:hAnsiTheme="minorHAnsi" w:cstheme="majorBidi"/>
      <w:iCs/>
      <w:color w:val="427BA1"/>
      <w:sz w:val="56"/>
      <w:szCs w:val="56"/>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99"/>
    <w:rsid w:val="00EA0836"/>
    <w:rPr>
      <w:rFonts w:asciiTheme="minorHAnsi" w:eastAsiaTheme="majorEastAsia" w:hAnsiTheme="minorHAnsi" w:cstheme="majorBidi"/>
      <w:b/>
      <w:bCs/>
      <w:color w:val="000000" w:themeColor="text1"/>
      <w:sz w:val="2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inorHAnsi" w:eastAsiaTheme="majorEastAsia" w:hAnsiTheme="minorHAnsi" w:cstheme="majorBidi"/>
      <w:i/>
      <w:sz w:val="22"/>
      <w:szCs w:val="22"/>
      <w:lang w:eastAsia="en-US"/>
    </w:rPr>
  </w:style>
  <w:style w:type="paragraph" w:styleId="Subtitle">
    <w:name w:val="Subtitle"/>
    <w:basedOn w:val="Heading1"/>
    <w:next w:val="Normal"/>
    <w:link w:val="SubtitleChar"/>
    <w:uiPriority w:val="11"/>
    <w:qFormat/>
    <w:pPr>
      <w:keepNext w:val="0"/>
      <w:keepLines w:val="0"/>
      <w:widowControl w:val="0"/>
      <w:spacing w:before="120" w:after="0"/>
      <w:contextualSpacing/>
    </w:pPr>
    <w:rPr>
      <w:rFonts w:eastAsiaTheme="minorHAnsi" w:cstheme="minorBidi"/>
      <w:b w:val="0"/>
      <w:color w:val="427BA1"/>
      <w:spacing w:val="5"/>
      <w:kern w:val="28"/>
      <w:sz w:val="56"/>
      <w:szCs w:val="56"/>
    </w:rPr>
  </w:style>
  <w:style w:type="character" w:customStyle="1" w:styleId="SubtitleChar">
    <w:name w:val="Subtitle Char"/>
    <w:basedOn w:val="DefaultParagraphFont"/>
    <w:link w:val="Subtitle"/>
    <w:uiPriority w:val="11"/>
    <w:rPr>
      <w:rFonts w:ascii="Calibri" w:eastAsiaTheme="minorHAnsi" w:hAnsi="Calibri" w:cstheme="minorBidi"/>
      <w:bCs/>
      <w:color w:val="427BA1"/>
      <w:spacing w:val="5"/>
      <w:kern w:val="28"/>
      <w:sz w:val="56"/>
      <w:szCs w:val="56"/>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Documenttype">
    <w:name w:val="Document type"/>
    <w:basedOn w:val="Normal"/>
    <w:qFormat/>
    <w:pPr>
      <w:spacing w:before="360" w:after="0"/>
    </w:pPr>
    <w:rPr>
      <w:color w:val="427BA1"/>
      <w:sz w:val="36"/>
    </w:rPr>
  </w:style>
  <w:style w:type="paragraph" w:customStyle="1" w:styleId="Publicationdate">
    <w:name w:val="Publication date"/>
    <w:basedOn w:val="Normal"/>
    <w:qFormat/>
    <w:rPr>
      <w:color w:val="666C60"/>
      <w:sz w:val="28"/>
    </w:rPr>
  </w:style>
  <w:style w:type="paragraph" w:customStyle="1" w:styleId="TOCHeading2">
    <w:name w:val="TOC Heading 2"/>
    <w:next w:val="Normal"/>
    <w:uiPriority w:val="39"/>
    <w:rsid w:val="00FB31AA"/>
    <w:pPr>
      <w:outlineLvl w:val="1"/>
    </w:pPr>
    <w:rPr>
      <w:rFonts w:ascii="Calibri" w:eastAsiaTheme="majorEastAsia" w:hAnsi="Calibri" w:cstheme="majorBidi"/>
      <w:bCs/>
      <w:color w:val="427BA1"/>
      <w:sz w:val="36"/>
      <w:szCs w:val="28"/>
      <w:lang w:val="en-US" w:eastAsia="en-US"/>
    </w:rPr>
  </w:style>
  <w:style w:type="numbering" w:customStyle="1" w:styleId="Style1">
    <w:name w:val="Style1"/>
    <w:uiPriority w:val="99"/>
    <w:pPr>
      <w:numPr>
        <w:numId w:val="11"/>
      </w:numPr>
    </w:pPr>
  </w:style>
  <w:style w:type="character" w:customStyle="1" w:styleId="Heading8Char">
    <w:name w:val="Heading 8 Char"/>
    <w:basedOn w:val="DefaultParagraphFont"/>
    <w:link w:val="Heading8"/>
    <w:uiPriority w:val="9"/>
    <w:semiHidden/>
    <w:rPr>
      <w:rFonts w:asciiTheme="minorHAnsi" w:eastAsiaTheme="majorEastAsia" w:hAnsiTheme="minorHAnsi" w:cstheme="majorBidi"/>
      <w:color w:val="272727" w:themeColor="text1" w:themeTint="D8"/>
      <w:sz w:val="21"/>
      <w:szCs w:val="21"/>
      <w:lang w:eastAsia="en-US"/>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Pr>
      <w:rFonts w:asciiTheme="minorHAnsi" w:eastAsiaTheme="minorHAnsi" w:hAnsiTheme="minorHAnsi" w:cstheme="minorBidi"/>
      <w:i/>
      <w:iCs/>
      <w:color w:val="4F81BD" w:themeColor="accent1"/>
      <w:sz w:val="22"/>
      <w:szCs w:val="22"/>
      <w:lang w:eastAsia="en-US"/>
    </w:rPr>
  </w:style>
  <w:style w:type="paragraph" w:styleId="BodyText">
    <w:name w:val="Body Text"/>
    <w:basedOn w:val="Normal"/>
    <w:link w:val="BodyTextChar"/>
    <w:uiPriority w:val="99"/>
    <w:rsid w:val="00C13B28"/>
    <w:pPr>
      <w:spacing w:line="240" w:lineRule="auto"/>
    </w:pPr>
    <w:rPr>
      <w:rFonts w:ascii="Calibri" w:eastAsia="Calibri" w:hAnsi="Calibri" w:cs="Times New Roman"/>
      <w:color w:val="000000"/>
      <w:lang w:eastAsia="en-AU"/>
    </w:rPr>
  </w:style>
  <w:style w:type="character" w:customStyle="1" w:styleId="BodyTextChar">
    <w:name w:val="Body Text Char"/>
    <w:basedOn w:val="DefaultParagraphFont"/>
    <w:link w:val="BodyText"/>
    <w:uiPriority w:val="99"/>
    <w:rsid w:val="00C13B28"/>
    <w:rPr>
      <w:rFonts w:ascii="Calibri" w:eastAsia="Calibri" w:hAnsi="Calibri"/>
      <w:color w:val="000000"/>
      <w:sz w:val="22"/>
      <w:szCs w:val="22"/>
    </w:rPr>
  </w:style>
  <w:style w:type="paragraph" w:styleId="FootnoteText">
    <w:name w:val="footnote text"/>
    <w:basedOn w:val="Normal"/>
    <w:link w:val="FootnoteTextChar"/>
    <w:uiPriority w:val="99"/>
    <w:rsid w:val="00C13B28"/>
    <w:pPr>
      <w:spacing w:before="40" w:after="40" w:line="264" w:lineRule="auto"/>
    </w:pPr>
    <w:rPr>
      <w:rFonts w:ascii="Arial" w:eastAsia="Times New Roman" w:hAnsi="Arial" w:cs="Times New Roman"/>
      <w:sz w:val="18"/>
      <w:szCs w:val="20"/>
    </w:rPr>
  </w:style>
  <w:style w:type="character" w:customStyle="1" w:styleId="FootnoteTextChar">
    <w:name w:val="Footnote Text Char"/>
    <w:basedOn w:val="DefaultParagraphFont"/>
    <w:link w:val="FootnoteText"/>
    <w:uiPriority w:val="99"/>
    <w:rsid w:val="00C13B28"/>
    <w:rPr>
      <w:rFonts w:ascii="Arial" w:eastAsia="Times New Roman" w:hAnsi="Arial"/>
      <w:sz w:val="18"/>
      <w:lang w:eastAsia="en-US"/>
    </w:rPr>
  </w:style>
  <w:style w:type="numbering" w:customStyle="1" w:styleId="Bullets">
    <w:name w:val="Bullets"/>
    <w:rsid w:val="00742E8D"/>
    <w:pPr>
      <w:numPr>
        <w:numId w:val="12"/>
      </w:numPr>
    </w:pPr>
  </w:style>
  <w:style w:type="paragraph" w:styleId="BodyText3">
    <w:name w:val="Body Text 3"/>
    <w:basedOn w:val="Normal"/>
    <w:link w:val="BodyText3Char"/>
    <w:uiPriority w:val="99"/>
    <w:semiHidden/>
    <w:unhideWhenUsed/>
    <w:rsid w:val="00742E8D"/>
    <w:rPr>
      <w:sz w:val="16"/>
      <w:szCs w:val="16"/>
    </w:rPr>
  </w:style>
  <w:style w:type="character" w:customStyle="1" w:styleId="BodyText3Char">
    <w:name w:val="Body Text 3 Char"/>
    <w:basedOn w:val="DefaultParagraphFont"/>
    <w:link w:val="BodyText3"/>
    <w:uiPriority w:val="99"/>
    <w:semiHidden/>
    <w:rsid w:val="00742E8D"/>
    <w:rPr>
      <w:rFonts w:asciiTheme="minorHAnsi" w:eastAsiaTheme="minorHAnsi" w:hAnsiTheme="minorHAnsi" w:cstheme="minorBidi"/>
      <w:sz w:val="16"/>
      <w:szCs w:val="16"/>
      <w:lang w:eastAsia="en-US"/>
    </w:rPr>
  </w:style>
  <w:style w:type="paragraph" w:customStyle="1" w:styleId="BodyBullet">
    <w:name w:val="BodyBullet"/>
    <w:basedOn w:val="Normal"/>
    <w:uiPriority w:val="99"/>
    <w:rsid w:val="009B09F1"/>
    <w:pPr>
      <w:numPr>
        <w:numId w:val="13"/>
      </w:numPr>
      <w:tabs>
        <w:tab w:val="left" w:pos="284"/>
      </w:tabs>
      <w:spacing w:line="240" w:lineRule="atLeast"/>
    </w:pPr>
    <w:rPr>
      <w:rFonts w:ascii="Arial" w:eastAsia="Times New Roman" w:hAnsi="Arial" w:cs="Times New Roman"/>
      <w:szCs w:val="20"/>
    </w:rPr>
  </w:style>
  <w:style w:type="paragraph" w:customStyle="1" w:styleId="table1">
    <w:name w:val="table 1"/>
    <w:uiPriority w:val="99"/>
    <w:rsid w:val="0093788C"/>
    <w:pPr>
      <w:spacing w:before="60" w:after="60" w:line="200" w:lineRule="atLeast"/>
    </w:pPr>
    <w:rPr>
      <w:rFonts w:ascii="Arial" w:eastAsia="Times New Roman" w:hAnsi="Arial"/>
      <w:sz w:val="16"/>
      <w:lang w:eastAsia="en-US"/>
    </w:rPr>
  </w:style>
  <w:style w:type="paragraph" w:customStyle="1" w:styleId="tablehead">
    <w:name w:val="table head"/>
    <w:basedOn w:val="Normal"/>
    <w:uiPriority w:val="99"/>
    <w:rsid w:val="0093788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pPr>
    <w:rPr>
      <w:rFonts w:ascii="Times New Roman" w:eastAsia="Times New Roman" w:hAnsi="Times New Roman" w:cs="Times New Roman"/>
      <w:b/>
      <w:sz w:val="20"/>
      <w:szCs w:val="20"/>
    </w:rPr>
  </w:style>
  <w:style w:type="character" w:customStyle="1" w:styleId="Heading9Char">
    <w:name w:val="Heading 9 Char"/>
    <w:basedOn w:val="DefaultParagraphFont"/>
    <w:link w:val="Heading9"/>
    <w:uiPriority w:val="9"/>
    <w:rsid w:val="00D636A6"/>
    <w:rPr>
      <w:rFonts w:asciiTheme="majorHAnsi" w:eastAsiaTheme="majorEastAsia" w:hAnsiTheme="majorHAnsi" w:cstheme="majorBidi"/>
      <w:i/>
      <w:iCs/>
      <w:color w:val="272727" w:themeColor="text1" w:themeTint="D8"/>
      <w:sz w:val="21"/>
      <w:szCs w:val="21"/>
      <w:lang w:eastAsia="en-US"/>
    </w:rPr>
  </w:style>
  <w:style w:type="character" w:customStyle="1" w:styleId="st1">
    <w:name w:val="st1"/>
    <w:uiPriority w:val="99"/>
    <w:rsid w:val="00D636A6"/>
    <w:rPr>
      <w:rFonts w:cs="Times New Roman"/>
    </w:rPr>
  </w:style>
  <w:style w:type="paragraph" w:styleId="PlainText">
    <w:name w:val="Plain Text"/>
    <w:basedOn w:val="Normal"/>
    <w:link w:val="PlainTextChar"/>
    <w:uiPriority w:val="99"/>
    <w:semiHidden/>
    <w:unhideWhenUsed/>
    <w:rsid w:val="00F05AA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05AA0"/>
    <w:rPr>
      <w:rFonts w:ascii="Calibri" w:eastAsiaTheme="minorHAnsi" w:hAnsi="Calibri" w:cstheme="minorBidi"/>
      <w:sz w:val="22"/>
      <w:szCs w:val="21"/>
      <w:lang w:eastAsia="en-US"/>
    </w:rPr>
  </w:style>
  <w:style w:type="paragraph" w:styleId="EndnoteText">
    <w:name w:val="endnote text"/>
    <w:basedOn w:val="Normal"/>
    <w:link w:val="EndnoteTextChar"/>
    <w:uiPriority w:val="99"/>
    <w:semiHidden/>
    <w:unhideWhenUsed/>
    <w:rsid w:val="002D4D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4D82"/>
    <w:rPr>
      <w:rFonts w:asciiTheme="minorHAnsi" w:eastAsiaTheme="minorHAnsi" w:hAnsiTheme="minorHAnsi" w:cstheme="minorBidi"/>
      <w:lang w:eastAsia="en-US"/>
    </w:rPr>
  </w:style>
  <w:style w:type="character" w:customStyle="1" w:styleId="current-selection">
    <w:name w:val="current-selection"/>
    <w:basedOn w:val="DefaultParagraphFont"/>
    <w:rsid w:val="00734470"/>
  </w:style>
  <w:style w:type="paragraph" w:customStyle="1" w:styleId="CoverTitle">
    <w:name w:val="CoverTitle"/>
    <w:basedOn w:val="Normal"/>
    <w:uiPriority w:val="99"/>
    <w:rsid w:val="004E2C54"/>
    <w:pPr>
      <w:spacing w:after="170" w:line="1000" w:lineRule="exact"/>
    </w:pPr>
    <w:rPr>
      <w:rFonts w:ascii="Calibri" w:eastAsia="Times New Roman" w:hAnsi="Calibri" w:cs="Times New Roman"/>
      <w:b/>
      <w:color w:val="41B6E6"/>
      <w:spacing w:val="5"/>
      <w:kern w:val="28"/>
      <w:sz w:val="80"/>
      <w:szCs w:val="52"/>
      <w:lang w:eastAsia="en-AU"/>
    </w:rPr>
  </w:style>
  <w:style w:type="character" w:customStyle="1" w:styleId="UnresolvedMention1">
    <w:name w:val="Unresolved Mention1"/>
    <w:basedOn w:val="DefaultParagraphFont"/>
    <w:uiPriority w:val="99"/>
    <w:semiHidden/>
    <w:unhideWhenUsed/>
    <w:rsid w:val="00A43E50"/>
    <w:rPr>
      <w:color w:val="605E5C"/>
      <w:shd w:val="clear" w:color="auto" w:fill="E1DFDD"/>
    </w:rPr>
  </w:style>
  <w:style w:type="paragraph" w:customStyle="1" w:styleId="NumberedHeading1">
    <w:name w:val="Numbered Heading 1"/>
    <w:basedOn w:val="Heading1"/>
    <w:qFormat/>
    <w:rsid w:val="008C037D"/>
    <w:pPr>
      <w:keepNext w:val="0"/>
      <w:keepLines w:val="0"/>
      <w:numPr>
        <w:numId w:val="14"/>
      </w:numPr>
      <w:spacing w:before="360"/>
    </w:pPr>
    <w:rPr>
      <w:rFonts w:ascii="Arial" w:eastAsiaTheme="minorHAnsi" w:hAnsi="Arial" w:cstheme="minorBidi"/>
      <w:bCs w:val="0"/>
      <w:color w:val="auto"/>
      <w:sz w:val="34"/>
      <w:szCs w:val="32"/>
    </w:rPr>
  </w:style>
  <w:style w:type="paragraph" w:customStyle="1" w:styleId="NumberedHeading2">
    <w:name w:val="Numbered Heading 2"/>
    <w:basedOn w:val="Heading2"/>
    <w:qFormat/>
    <w:rsid w:val="008C037D"/>
    <w:pPr>
      <w:keepLines w:val="0"/>
      <w:pageBreakBefore w:val="0"/>
      <w:numPr>
        <w:numId w:val="14"/>
      </w:numPr>
      <w:spacing w:before="300" w:after="120"/>
    </w:pPr>
    <w:rPr>
      <w:rFonts w:ascii="Arial Bold" w:eastAsiaTheme="minorHAnsi" w:hAnsi="Arial Bold"/>
      <w:b/>
      <w:iCs/>
      <w:color w:val="auto"/>
      <w:sz w:val="28"/>
      <w:lang w:eastAsia="en-US"/>
    </w:rPr>
  </w:style>
  <w:style w:type="paragraph" w:customStyle="1" w:styleId="NumberedHeading3">
    <w:name w:val="Numbered Heading 3"/>
    <w:basedOn w:val="Heading3"/>
    <w:qFormat/>
    <w:rsid w:val="008C037D"/>
    <w:pPr>
      <w:keepLines w:val="0"/>
      <w:numPr>
        <w:numId w:val="14"/>
      </w:numPr>
      <w:spacing w:after="120"/>
    </w:pPr>
    <w:rPr>
      <w:rFonts w:ascii="Arial" w:hAnsi="Arial"/>
      <w:sz w:val="24"/>
      <w:szCs w:val="26"/>
    </w:rPr>
  </w:style>
  <w:style w:type="paragraph" w:customStyle="1" w:styleId="NumberedHeading4">
    <w:name w:val="Numbered Heading 4"/>
    <w:basedOn w:val="Heading4"/>
    <w:qFormat/>
    <w:rsid w:val="008C037D"/>
    <w:pPr>
      <w:keepLines w:val="0"/>
      <w:numPr>
        <w:numId w:val="14"/>
      </w:numPr>
      <w:spacing w:before="180"/>
    </w:pPr>
    <w:rPr>
      <w:rFonts w:ascii="Arial" w:hAnsi="Arial"/>
      <w:iCs w:val="0"/>
      <w:color w:val="auto"/>
      <w:sz w:val="20"/>
      <w:szCs w:val="28"/>
    </w:rPr>
  </w:style>
  <w:style w:type="character" w:styleId="UnresolvedMention">
    <w:name w:val="Unresolved Mention"/>
    <w:basedOn w:val="DefaultParagraphFont"/>
    <w:uiPriority w:val="99"/>
    <w:semiHidden/>
    <w:unhideWhenUsed/>
    <w:rsid w:val="002F442C"/>
    <w:rPr>
      <w:color w:val="605E5C"/>
      <w:shd w:val="clear" w:color="auto" w:fill="E1DFDD"/>
    </w:rPr>
  </w:style>
  <w:style w:type="table" w:customStyle="1" w:styleId="TableGrid10">
    <w:name w:val="Table Grid1"/>
    <w:basedOn w:val="TableNormal"/>
    <w:next w:val="TableGrid"/>
    <w:uiPriority w:val="39"/>
    <w:rsid w:val="00A30A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numbering" w:customStyle="1" w:styleId="Recommendation">
    <w:name w:val="Recommendation"/>
    <w:basedOn w:val="NoList"/>
    <w:uiPriority w:val="99"/>
    <w:rsid w:val="005110DE"/>
    <w:pPr>
      <w:numPr>
        <w:numId w:val="24"/>
      </w:numPr>
    </w:pPr>
  </w:style>
  <w:style w:type="paragraph" w:styleId="Title">
    <w:name w:val="Title"/>
    <w:basedOn w:val="Normal"/>
    <w:next w:val="Normal"/>
    <w:link w:val="TitleChar"/>
    <w:uiPriority w:val="10"/>
    <w:qFormat/>
    <w:rsid w:val="005110DE"/>
    <w:pPr>
      <w:spacing w:after="80" w:line="240" w:lineRule="auto"/>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5110DE"/>
    <w:rPr>
      <w:rFonts w:asciiTheme="majorHAnsi" w:eastAsiaTheme="majorEastAsia" w:hAnsiTheme="majorHAnsi" w:cstheme="majorBidi"/>
      <w:spacing w:val="-10"/>
      <w:kern w:val="28"/>
      <w:sz w:val="56"/>
      <w:szCs w:val="56"/>
      <w:lang w:eastAsia="en-GB"/>
    </w:rPr>
  </w:style>
  <w:style w:type="character" w:styleId="IntenseEmphasis">
    <w:name w:val="Intense Emphasis"/>
    <w:basedOn w:val="DefaultParagraphFont"/>
    <w:uiPriority w:val="21"/>
    <w:qFormat/>
    <w:rsid w:val="005110DE"/>
    <w:rPr>
      <w:i/>
      <w:iCs/>
      <w:color w:val="365F91" w:themeColor="accent1" w:themeShade="BF"/>
    </w:rPr>
  </w:style>
  <w:style w:type="character" w:styleId="IntenseReference">
    <w:name w:val="Intense Reference"/>
    <w:basedOn w:val="DefaultParagraphFont"/>
    <w:uiPriority w:val="32"/>
    <w:qFormat/>
    <w:rsid w:val="005110DE"/>
    <w:rPr>
      <w:b/>
      <w:bCs/>
      <w:smallCaps/>
      <w:color w:val="365F91" w:themeColor="accent1" w:themeShade="BF"/>
      <w:spacing w:val="5"/>
    </w:rPr>
  </w:style>
  <w:style w:type="numbering" w:customStyle="1" w:styleId="CurrentList1">
    <w:name w:val="Current List1"/>
    <w:uiPriority w:val="99"/>
    <w:rsid w:val="00077653"/>
    <w:pPr>
      <w:numPr>
        <w:numId w:val="26"/>
      </w:numPr>
    </w:pPr>
  </w:style>
  <w:style w:type="numbering" w:customStyle="1" w:styleId="CurrentList2">
    <w:name w:val="Current List2"/>
    <w:uiPriority w:val="99"/>
    <w:rsid w:val="00142662"/>
    <w:pPr>
      <w:numPr>
        <w:numId w:val="27"/>
      </w:numPr>
    </w:pPr>
  </w:style>
  <w:style w:type="numbering" w:customStyle="1" w:styleId="CurrentList3">
    <w:name w:val="Current List3"/>
    <w:uiPriority w:val="99"/>
    <w:rsid w:val="00DC344F"/>
    <w:pPr>
      <w:numPr>
        <w:numId w:val="28"/>
      </w:numPr>
    </w:pPr>
  </w:style>
  <w:style w:type="numbering" w:customStyle="1" w:styleId="CurrentList4">
    <w:name w:val="Current List4"/>
    <w:uiPriority w:val="99"/>
    <w:rsid w:val="00CC09E6"/>
    <w:pPr>
      <w:numPr>
        <w:numId w:val="30"/>
      </w:numPr>
    </w:pPr>
  </w:style>
  <w:style w:type="numbering" w:customStyle="1" w:styleId="CurrentList5">
    <w:name w:val="Current List5"/>
    <w:uiPriority w:val="99"/>
    <w:rsid w:val="001305F2"/>
    <w:pPr>
      <w:numPr>
        <w:numId w:val="31"/>
      </w:numPr>
    </w:pPr>
  </w:style>
  <w:style w:type="numbering" w:customStyle="1" w:styleId="CurrentList6">
    <w:name w:val="Current List6"/>
    <w:uiPriority w:val="99"/>
    <w:rsid w:val="001305F2"/>
    <w:pPr>
      <w:numPr>
        <w:numId w:val="32"/>
      </w:numPr>
    </w:pPr>
  </w:style>
  <w:style w:type="numbering" w:customStyle="1" w:styleId="CurrentList7">
    <w:name w:val="Current List7"/>
    <w:uiPriority w:val="99"/>
    <w:rsid w:val="001305F2"/>
    <w:pPr>
      <w:numPr>
        <w:numId w:val="33"/>
      </w:numPr>
    </w:pPr>
  </w:style>
  <w:style w:type="numbering" w:customStyle="1" w:styleId="CurrentList8">
    <w:name w:val="Current List8"/>
    <w:uiPriority w:val="99"/>
    <w:rsid w:val="004C272A"/>
    <w:pPr>
      <w:numPr>
        <w:numId w:val="34"/>
      </w:numPr>
    </w:pPr>
  </w:style>
  <w:style w:type="numbering" w:customStyle="1" w:styleId="CurrentList9">
    <w:name w:val="Current List9"/>
    <w:uiPriority w:val="99"/>
    <w:rsid w:val="00824D2F"/>
    <w:pPr>
      <w:numPr>
        <w:numId w:val="35"/>
      </w:numPr>
    </w:pPr>
  </w:style>
  <w:style w:type="numbering" w:customStyle="1" w:styleId="CurrentList10">
    <w:name w:val="Current List10"/>
    <w:uiPriority w:val="99"/>
    <w:rsid w:val="00BD48B5"/>
    <w:pPr>
      <w:numPr>
        <w:numId w:val="37"/>
      </w:numPr>
    </w:pPr>
  </w:style>
  <w:style w:type="numbering" w:customStyle="1" w:styleId="CurrentList11">
    <w:name w:val="Current List11"/>
    <w:uiPriority w:val="99"/>
    <w:rsid w:val="003F0236"/>
    <w:pPr>
      <w:numPr>
        <w:numId w:val="38"/>
      </w:numPr>
    </w:pPr>
  </w:style>
  <w:style w:type="numbering" w:customStyle="1" w:styleId="CurrentList12">
    <w:name w:val="Current List12"/>
    <w:uiPriority w:val="99"/>
    <w:rsid w:val="006879F5"/>
    <w:pPr>
      <w:numPr>
        <w:numId w:val="39"/>
      </w:numPr>
    </w:pPr>
  </w:style>
  <w:style w:type="paragraph" w:customStyle="1" w:styleId="Captionwithnote">
    <w:name w:val="Caption with note"/>
    <w:basedOn w:val="Caption"/>
    <w:next w:val="Captionnote"/>
    <w:qFormat/>
    <w:rsid w:val="0069575F"/>
    <w:pPr>
      <w:spacing w:after="0"/>
    </w:pPr>
  </w:style>
  <w:style w:type="paragraph" w:customStyle="1" w:styleId="Captionnote">
    <w:name w:val="Caption note"/>
    <w:basedOn w:val="FigureTableNoteSource"/>
    <w:qFormat/>
    <w:rsid w:val="0069575F"/>
    <w:pPr>
      <w:spacing w:before="0"/>
    </w:pPr>
  </w:style>
  <w:style w:type="table" w:styleId="GridTable1Light">
    <w:name w:val="Grid Table 1 Light"/>
    <w:basedOn w:val="TableNormal"/>
    <w:uiPriority w:val="46"/>
    <w:rsid w:val="00633CF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Versopagetext">
    <w:name w:val="Verso page text"/>
    <w:basedOn w:val="Normal"/>
    <w:qFormat/>
    <w:rsid w:val="002D4419"/>
    <w:pPr>
      <w:spacing w:before="0" w:after="200"/>
    </w:pPr>
    <w:rPr>
      <w:sz w:val="18"/>
      <w:szCs w:val="18"/>
    </w:rPr>
  </w:style>
  <w:style w:type="paragraph" w:customStyle="1" w:styleId="Versopageheader">
    <w:name w:val="Verso page header"/>
    <w:basedOn w:val="Versopagetext"/>
    <w:qFormat/>
    <w:rsid w:val="002D4419"/>
    <w:pPr>
      <w:spacing w:after="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72845">
      <w:bodyDiv w:val="1"/>
      <w:marLeft w:val="0"/>
      <w:marRight w:val="0"/>
      <w:marTop w:val="0"/>
      <w:marBottom w:val="0"/>
      <w:divBdr>
        <w:top w:val="none" w:sz="0" w:space="0" w:color="auto"/>
        <w:left w:val="none" w:sz="0" w:space="0" w:color="auto"/>
        <w:bottom w:val="none" w:sz="0" w:space="0" w:color="auto"/>
        <w:right w:val="none" w:sz="0" w:space="0" w:color="auto"/>
      </w:divBdr>
      <w:divsChild>
        <w:div w:id="865796166">
          <w:marLeft w:val="0"/>
          <w:marRight w:val="0"/>
          <w:marTop w:val="0"/>
          <w:marBottom w:val="0"/>
          <w:divBdr>
            <w:top w:val="none" w:sz="0" w:space="0" w:color="auto"/>
            <w:left w:val="none" w:sz="0" w:space="0" w:color="auto"/>
            <w:bottom w:val="none" w:sz="0" w:space="0" w:color="auto"/>
            <w:right w:val="none" w:sz="0" w:space="0" w:color="auto"/>
          </w:divBdr>
          <w:divsChild>
            <w:div w:id="666640074">
              <w:marLeft w:val="0"/>
              <w:marRight w:val="0"/>
              <w:marTop w:val="0"/>
              <w:marBottom w:val="0"/>
              <w:divBdr>
                <w:top w:val="none" w:sz="0" w:space="0" w:color="auto"/>
                <w:left w:val="none" w:sz="0" w:space="0" w:color="auto"/>
                <w:bottom w:val="none" w:sz="0" w:space="0" w:color="auto"/>
                <w:right w:val="none" w:sz="0" w:space="0" w:color="auto"/>
              </w:divBdr>
              <w:divsChild>
                <w:div w:id="15066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18250428">
      <w:bodyDiv w:val="1"/>
      <w:marLeft w:val="0"/>
      <w:marRight w:val="0"/>
      <w:marTop w:val="0"/>
      <w:marBottom w:val="0"/>
      <w:divBdr>
        <w:top w:val="none" w:sz="0" w:space="0" w:color="auto"/>
        <w:left w:val="none" w:sz="0" w:space="0" w:color="auto"/>
        <w:bottom w:val="none" w:sz="0" w:space="0" w:color="auto"/>
        <w:right w:val="none" w:sz="0" w:space="0" w:color="auto"/>
      </w:divBdr>
      <w:divsChild>
        <w:div w:id="891504512">
          <w:marLeft w:val="0"/>
          <w:marRight w:val="0"/>
          <w:marTop w:val="0"/>
          <w:marBottom w:val="0"/>
          <w:divBdr>
            <w:top w:val="none" w:sz="0" w:space="0" w:color="auto"/>
            <w:left w:val="none" w:sz="0" w:space="0" w:color="auto"/>
            <w:bottom w:val="none" w:sz="0" w:space="0" w:color="auto"/>
            <w:right w:val="none" w:sz="0" w:space="0" w:color="auto"/>
          </w:divBdr>
          <w:divsChild>
            <w:div w:id="1996491658">
              <w:marLeft w:val="0"/>
              <w:marRight w:val="0"/>
              <w:marTop w:val="0"/>
              <w:marBottom w:val="0"/>
              <w:divBdr>
                <w:top w:val="none" w:sz="0" w:space="0" w:color="auto"/>
                <w:left w:val="none" w:sz="0" w:space="0" w:color="auto"/>
                <w:bottom w:val="none" w:sz="0" w:space="0" w:color="auto"/>
                <w:right w:val="none" w:sz="0" w:space="0" w:color="auto"/>
              </w:divBdr>
              <w:divsChild>
                <w:div w:id="1866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81959">
      <w:bodyDiv w:val="1"/>
      <w:marLeft w:val="0"/>
      <w:marRight w:val="0"/>
      <w:marTop w:val="0"/>
      <w:marBottom w:val="0"/>
      <w:divBdr>
        <w:top w:val="none" w:sz="0" w:space="0" w:color="auto"/>
        <w:left w:val="none" w:sz="0" w:space="0" w:color="auto"/>
        <w:bottom w:val="none" w:sz="0" w:space="0" w:color="auto"/>
        <w:right w:val="none" w:sz="0" w:space="0" w:color="auto"/>
      </w:divBdr>
    </w:div>
    <w:div w:id="23909787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89489">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2940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21476248">
      <w:bodyDiv w:val="1"/>
      <w:marLeft w:val="0"/>
      <w:marRight w:val="0"/>
      <w:marTop w:val="0"/>
      <w:marBottom w:val="0"/>
      <w:divBdr>
        <w:top w:val="none" w:sz="0" w:space="0" w:color="auto"/>
        <w:left w:val="none" w:sz="0" w:space="0" w:color="auto"/>
        <w:bottom w:val="none" w:sz="0" w:space="0" w:color="auto"/>
        <w:right w:val="none" w:sz="0" w:space="0" w:color="auto"/>
      </w:divBdr>
    </w:div>
    <w:div w:id="59225087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081595">
      <w:bodyDiv w:val="1"/>
      <w:marLeft w:val="0"/>
      <w:marRight w:val="0"/>
      <w:marTop w:val="0"/>
      <w:marBottom w:val="0"/>
      <w:divBdr>
        <w:top w:val="none" w:sz="0" w:space="0" w:color="auto"/>
        <w:left w:val="none" w:sz="0" w:space="0" w:color="auto"/>
        <w:bottom w:val="none" w:sz="0" w:space="0" w:color="auto"/>
        <w:right w:val="none" w:sz="0" w:space="0" w:color="auto"/>
      </w:divBdr>
      <w:divsChild>
        <w:div w:id="980384914">
          <w:marLeft w:val="0"/>
          <w:marRight w:val="0"/>
          <w:marTop w:val="0"/>
          <w:marBottom w:val="0"/>
          <w:divBdr>
            <w:top w:val="none" w:sz="0" w:space="0" w:color="auto"/>
            <w:left w:val="none" w:sz="0" w:space="0" w:color="auto"/>
            <w:bottom w:val="none" w:sz="0" w:space="0" w:color="auto"/>
            <w:right w:val="none" w:sz="0" w:space="0" w:color="auto"/>
          </w:divBdr>
          <w:divsChild>
            <w:div w:id="1711879143">
              <w:marLeft w:val="0"/>
              <w:marRight w:val="0"/>
              <w:marTop w:val="0"/>
              <w:marBottom w:val="0"/>
              <w:divBdr>
                <w:top w:val="none" w:sz="0" w:space="0" w:color="auto"/>
                <w:left w:val="none" w:sz="0" w:space="0" w:color="auto"/>
                <w:bottom w:val="none" w:sz="0" w:space="0" w:color="auto"/>
                <w:right w:val="none" w:sz="0" w:space="0" w:color="auto"/>
              </w:divBdr>
              <w:divsChild>
                <w:div w:id="7477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40705">
      <w:bodyDiv w:val="1"/>
      <w:marLeft w:val="0"/>
      <w:marRight w:val="0"/>
      <w:marTop w:val="0"/>
      <w:marBottom w:val="0"/>
      <w:divBdr>
        <w:top w:val="none" w:sz="0" w:space="0" w:color="auto"/>
        <w:left w:val="none" w:sz="0" w:space="0" w:color="auto"/>
        <w:bottom w:val="none" w:sz="0" w:space="0" w:color="auto"/>
        <w:right w:val="none" w:sz="0" w:space="0" w:color="auto"/>
      </w:divBdr>
    </w:div>
    <w:div w:id="708267123">
      <w:bodyDiv w:val="1"/>
      <w:marLeft w:val="0"/>
      <w:marRight w:val="0"/>
      <w:marTop w:val="0"/>
      <w:marBottom w:val="0"/>
      <w:divBdr>
        <w:top w:val="none" w:sz="0" w:space="0" w:color="auto"/>
        <w:left w:val="none" w:sz="0" w:space="0" w:color="auto"/>
        <w:bottom w:val="none" w:sz="0" w:space="0" w:color="auto"/>
        <w:right w:val="none" w:sz="0" w:space="0" w:color="auto"/>
      </w:divBdr>
      <w:divsChild>
        <w:div w:id="649409093">
          <w:marLeft w:val="0"/>
          <w:marRight w:val="0"/>
          <w:marTop w:val="0"/>
          <w:marBottom w:val="0"/>
          <w:divBdr>
            <w:top w:val="none" w:sz="0" w:space="0" w:color="auto"/>
            <w:left w:val="none" w:sz="0" w:space="0" w:color="auto"/>
            <w:bottom w:val="none" w:sz="0" w:space="0" w:color="auto"/>
            <w:right w:val="none" w:sz="0" w:space="0" w:color="auto"/>
          </w:divBdr>
          <w:divsChild>
            <w:div w:id="528420315">
              <w:marLeft w:val="0"/>
              <w:marRight w:val="0"/>
              <w:marTop w:val="0"/>
              <w:marBottom w:val="0"/>
              <w:divBdr>
                <w:top w:val="none" w:sz="0" w:space="0" w:color="auto"/>
                <w:left w:val="none" w:sz="0" w:space="0" w:color="auto"/>
                <w:bottom w:val="none" w:sz="0" w:space="0" w:color="auto"/>
                <w:right w:val="none" w:sz="0" w:space="0" w:color="auto"/>
              </w:divBdr>
              <w:divsChild>
                <w:div w:id="146145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0952027">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538526">
      <w:bodyDiv w:val="1"/>
      <w:marLeft w:val="0"/>
      <w:marRight w:val="0"/>
      <w:marTop w:val="0"/>
      <w:marBottom w:val="0"/>
      <w:divBdr>
        <w:top w:val="none" w:sz="0" w:space="0" w:color="auto"/>
        <w:left w:val="none" w:sz="0" w:space="0" w:color="auto"/>
        <w:bottom w:val="none" w:sz="0" w:space="0" w:color="auto"/>
        <w:right w:val="none" w:sz="0" w:space="0" w:color="auto"/>
      </w:divBdr>
    </w:div>
    <w:div w:id="887567768">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2883947">
      <w:bodyDiv w:val="1"/>
      <w:marLeft w:val="0"/>
      <w:marRight w:val="0"/>
      <w:marTop w:val="0"/>
      <w:marBottom w:val="0"/>
      <w:divBdr>
        <w:top w:val="none" w:sz="0" w:space="0" w:color="auto"/>
        <w:left w:val="none" w:sz="0" w:space="0" w:color="auto"/>
        <w:bottom w:val="none" w:sz="0" w:space="0" w:color="auto"/>
        <w:right w:val="none" w:sz="0" w:space="0" w:color="auto"/>
      </w:divBdr>
      <w:divsChild>
        <w:div w:id="80378423">
          <w:marLeft w:val="0"/>
          <w:marRight w:val="0"/>
          <w:marTop w:val="0"/>
          <w:marBottom w:val="0"/>
          <w:divBdr>
            <w:top w:val="none" w:sz="0" w:space="0" w:color="auto"/>
            <w:left w:val="none" w:sz="0" w:space="0" w:color="auto"/>
            <w:bottom w:val="none" w:sz="0" w:space="0" w:color="auto"/>
            <w:right w:val="none" w:sz="0" w:space="0" w:color="auto"/>
          </w:divBdr>
          <w:divsChild>
            <w:div w:id="2014643267">
              <w:marLeft w:val="0"/>
              <w:marRight w:val="0"/>
              <w:marTop w:val="0"/>
              <w:marBottom w:val="0"/>
              <w:divBdr>
                <w:top w:val="none" w:sz="0" w:space="0" w:color="auto"/>
                <w:left w:val="none" w:sz="0" w:space="0" w:color="auto"/>
                <w:bottom w:val="none" w:sz="0" w:space="0" w:color="auto"/>
                <w:right w:val="none" w:sz="0" w:space="0" w:color="auto"/>
              </w:divBdr>
              <w:divsChild>
                <w:div w:id="6381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759699">
      <w:bodyDiv w:val="1"/>
      <w:marLeft w:val="0"/>
      <w:marRight w:val="0"/>
      <w:marTop w:val="0"/>
      <w:marBottom w:val="0"/>
      <w:divBdr>
        <w:top w:val="none" w:sz="0" w:space="0" w:color="auto"/>
        <w:left w:val="none" w:sz="0" w:space="0" w:color="auto"/>
        <w:bottom w:val="none" w:sz="0" w:space="0" w:color="auto"/>
        <w:right w:val="none" w:sz="0" w:space="0" w:color="auto"/>
      </w:divBdr>
    </w:div>
    <w:div w:id="1097865633">
      <w:bodyDiv w:val="1"/>
      <w:marLeft w:val="0"/>
      <w:marRight w:val="0"/>
      <w:marTop w:val="0"/>
      <w:marBottom w:val="0"/>
      <w:divBdr>
        <w:top w:val="none" w:sz="0" w:space="0" w:color="auto"/>
        <w:left w:val="none" w:sz="0" w:space="0" w:color="auto"/>
        <w:bottom w:val="none" w:sz="0" w:space="0" w:color="auto"/>
        <w:right w:val="none" w:sz="0" w:space="0" w:color="auto"/>
      </w:divBdr>
      <w:divsChild>
        <w:div w:id="785659279">
          <w:marLeft w:val="0"/>
          <w:marRight w:val="0"/>
          <w:marTop w:val="0"/>
          <w:marBottom w:val="0"/>
          <w:divBdr>
            <w:top w:val="none" w:sz="0" w:space="0" w:color="auto"/>
            <w:left w:val="none" w:sz="0" w:space="0" w:color="auto"/>
            <w:bottom w:val="none" w:sz="0" w:space="0" w:color="auto"/>
            <w:right w:val="none" w:sz="0" w:space="0" w:color="auto"/>
          </w:divBdr>
          <w:divsChild>
            <w:div w:id="1136874433">
              <w:marLeft w:val="0"/>
              <w:marRight w:val="0"/>
              <w:marTop w:val="0"/>
              <w:marBottom w:val="0"/>
              <w:divBdr>
                <w:top w:val="none" w:sz="0" w:space="0" w:color="auto"/>
                <w:left w:val="none" w:sz="0" w:space="0" w:color="auto"/>
                <w:bottom w:val="none" w:sz="0" w:space="0" w:color="auto"/>
                <w:right w:val="none" w:sz="0" w:space="0" w:color="auto"/>
              </w:divBdr>
              <w:divsChild>
                <w:div w:id="1468164515">
                  <w:marLeft w:val="0"/>
                  <w:marRight w:val="0"/>
                  <w:marTop w:val="0"/>
                  <w:marBottom w:val="0"/>
                  <w:divBdr>
                    <w:top w:val="none" w:sz="0" w:space="0" w:color="auto"/>
                    <w:left w:val="none" w:sz="0" w:space="0" w:color="auto"/>
                    <w:bottom w:val="none" w:sz="0" w:space="0" w:color="auto"/>
                    <w:right w:val="none" w:sz="0" w:space="0" w:color="auto"/>
                  </w:divBdr>
                  <w:divsChild>
                    <w:div w:id="955600216">
                      <w:marLeft w:val="0"/>
                      <w:marRight w:val="0"/>
                      <w:marTop w:val="0"/>
                      <w:marBottom w:val="0"/>
                      <w:divBdr>
                        <w:top w:val="none" w:sz="0" w:space="0" w:color="auto"/>
                        <w:left w:val="none" w:sz="0" w:space="0" w:color="auto"/>
                        <w:bottom w:val="none" w:sz="0" w:space="0" w:color="auto"/>
                        <w:right w:val="none" w:sz="0" w:space="0" w:color="auto"/>
                      </w:divBdr>
                      <w:divsChild>
                        <w:div w:id="1633363759">
                          <w:marLeft w:val="0"/>
                          <w:marRight w:val="0"/>
                          <w:marTop w:val="0"/>
                          <w:marBottom w:val="0"/>
                          <w:divBdr>
                            <w:top w:val="none" w:sz="0" w:space="0" w:color="auto"/>
                            <w:left w:val="none" w:sz="0" w:space="0" w:color="auto"/>
                            <w:bottom w:val="none" w:sz="0" w:space="0" w:color="auto"/>
                            <w:right w:val="none" w:sz="0" w:space="0" w:color="auto"/>
                          </w:divBdr>
                          <w:divsChild>
                            <w:div w:id="1857039035">
                              <w:marLeft w:val="0"/>
                              <w:marRight w:val="0"/>
                              <w:marTop w:val="0"/>
                              <w:marBottom w:val="0"/>
                              <w:divBdr>
                                <w:top w:val="none" w:sz="0" w:space="0" w:color="auto"/>
                                <w:left w:val="none" w:sz="0" w:space="0" w:color="auto"/>
                                <w:bottom w:val="none" w:sz="0" w:space="0" w:color="auto"/>
                                <w:right w:val="none" w:sz="0" w:space="0" w:color="auto"/>
                              </w:divBdr>
                              <w:divsChild>
                                <w:div w:id="1895315983">
                                  <w:marLeft w:val="0"/>
                                  <w:marRight w:val="0"/>
                                  <w:marTop w:val="0"/>
                                  <w:marBottom w:val="0"/>
                                  <w:divBdr>
                                    <w:top w:val="none" w:sz="0" w:space="0" w:color="auto"/>
                                    <w:left w:val="none" w:sz="0" w:space="0" w:color="auto"/>
                                    <w:bottom w:val="none" w:sz="0" w:space="0" w:color="auto"/>
                                    <w:right w:val="none" w:sz="0" w:space="0" w:color="auto"/>
                                  </w:divBdr>
                                  <w:divsChild>
                                    <w:div w:id="1171872303">
                                      <w:marLeft w:val="0"/>
                                      <w:marRight w:val="0"/>
                                      <w:marTop w:val="0"/>
                                      <w:marBottom w:val="0"/>
                                      <w:divBdr>
                                        <w:top w:val="none" w:sz="0" w:space="0" w:color="auto"/>
                                        <w:left w:val="none" w:sz="0" w:space="0" w:color="auto"/>
                                        <w:bottom w:val="none" w:sz="0" w:space="0" w:color="auto"/>
                                        <w:right w:val="none" w:sz="0" w:space="0" w:color="auto"/>
                                      </w:divBdr>
                                      <w:divsChild>
                                        <w:div w:id="1626428060">
                                          <w:marLeft w:val="0"/>
                                          <w:marRight w:val="0"/>
                                          <w:marTop w:val="0"/>
                                          <w:marBottom w:val="0"/>
                                          <w:divBdr>
                                            <w:top w:val="none" w:sz="0" w:space="0" w:color="auto"/>
                                            <w:left w:val="none" w:sz="0" w:space="0" w:color="auto"/>
                                            <w:bottom w:val="none" w:sz="0" w:space="0" w:color="auto"/>
                                            <w:right w:val="none" w:sz="0" w:space="0" w:color="auto"/>
                                          </w:divBdr>
                                          <w:divsChild>
                                            <w:div w:id="55358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6603989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156117">
      <w:bodyDiv w:val="1"/>
      <w:marLeft w:val="0"/>
      <w:marRight w:val="0"/>
      <w:marTop w:val="0"/>
      <w:marBottom w:val="0"/>
      <w:divBdr>
        <w:top w:val="none" w:sz="0" w:space="0" w:color="auto"/>
        <w:left w:val="none" w:sz="0" w:space="0" w:color="auto"/>
        <w:bottom w:val="none" w:sz="0" w:space="0" w:color="auto"/>
        <w:right w:val="none" w:sz="0" w:space="0" w:color="auto"/>
      </w:divBdr>
      <w:divsChild>
        <w:div w:id="1919290291">
          <w:marLeft w:val="0"/>
          <w:marRight w:val="0"/>
          <w:marTop w:val="0"/>
          <w:marBottom w:val="0"/>
          <w:divBdr>
            <w:top w:val="none" w:sz="0" w:space="0" w:color="auto"/>
            <w:left w:val="none" w:sz="0" w:space="0" w:color="auto"/>
            <w:bottom w:val="none" w:sz="0" w:space="0" w:color="auto"/>
            <w:right w:val="none" w:sz="0" w:space="0" w:color="auto"/>
          </w:divBdr>
          <w:divsChild>
            <w:div w:id="546913474">
              <w:marLeft w:val="0"/>
              <w:marRight w:val="0"/>
              <w:marTop w:val="0"/>
              <w:marBottom w:val="0"/>
              <w:divBdr>
                <w:top w:val="none" w:sz="0" w:space="0" w:color="auto"/>
                <w:left w:val="none" w:sz="0" w:space="0" w:color="auto"/>
                <w:bottom w:val="none" w:sz="0" w:space="0" w:color="auto"/>
                <w:right w:val="none" w:sz="0" w:space="0" w:color="auto"/>
              </w:divBdr>
              <w:divsChild>
                <w:div w:id="7764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2958589">
      <w:bodyDiv w:val="1"/>
      <w:marLeft w:val="0"/>
      <w:marRight w:val="0"/>
      <w:marTop w:val="0"/>
      <w:marBottom w:val="0"/>
      <w:divBdr>
        <w:top w:val="none" w:sz="0" w:space="0" w:color="auto"/>
        <w:left w:val="none" w:sz="0" w:space="0" w:color="auto"/>
        <w:bottom w:val="none" w:sz="0" w:space="0" w:color="auto"/>
        <w:right w:val="none" w:sz="0" w:space="0" w:color="auto"/>
      </w:divBdr>
    </w:div>
    <w:div w:id="1621645880">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30903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095409">
      <w:bodyDiv w:val="1"/>
      <w:marLeft w:val="0"/>
      <w:marRight w:val="0"/>
      <w:marTop w:val="0"/>
      <w:marBottom w:val="0"/>
      <w:divBdr>
        <w:top w:val="none" w:sz="0" w:space="0" w:color="auto"/>
        <w:left w:val="none" w:sz="0" w:space="0" w:color="auto"/>
        <w:bottom w:val="none" w:sz="0" w:space="0" w:color="auto"/>
        <w:right w:val="none" w:sz="0" w:space="0" w:color="auto"/>
      </w:divBdr>
      <w:divsChild>
        <w:div w:id="1216163679">
          <w:marLeft w:val="0"/>
          <w:marRight w:val="0"/>
          <w:marTop w:val="0"/>
          <w:marBottom w:val="0"/>
          <w:divBdr>
            <w:top w:val="none" w:sz="0" w:space="0" w:color="auto"/>
            <w:left w:val="none" w:sz="0" w:space="0" w:color="auto"/>
            <w:bottom w:val="none" w:sz="0" w:space="0" w:color="auto"/>
            <w:right w:val="none" w:sz="0" w:space="0" w:color="auto"/>
          </w:divBdr>
          <w:divsChild>
            <w:div w:id="1417479337">
              <w:marLeft w:val="0"/>
              <w:marRight w:val="0"/>
              <w:marTop w:val="0"/>
              <w:marBottom w:val="0"/>
              <w:divBdr>
                <w:top w:val="none" w:sz="0" w:space="0" w:color="auto"/>
                <w:left w:val="none" w:sz="0" w:space="0" w:color="auto"/>
                <w:bottom w:val="none" w:sz="0" w:space="0" w:color="auto"/>
                <w:right w:val="none" w:sz="0" w:space="0" w:color="auto"/>
              </w:divBdr>
              <w:divsChild>
                <w:div w:id="1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71536">
      <w:bodyDiv w:val="1"/>
      <w:marLeft w:val="0"/>
      <w:marRight w:val="0"/>
      <w:marTop w:val="0"/>
      <w:marBottom w:val="0"/>
      <w:divBdr>
        <w:top w:val="none" w:sz="0" w:space="0" w:color="auto"/>
        <w:left w:val="none" w:sz="0" w:space="0" w:color="auto"/>
        <w:bottom w:val="none" w:sz="0" w:space="0" w:color="auto"/>
        <w:right w:val="none" w:sz="0" w:space="0" w:color="auto"/>
      </w:divBdr>
    </w:div>
    <w:div w:id="202362750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55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100.gov.bc.ca/pub/acat/documents/r57400/2_1568399094009_8398900200.pdf" TargetMode="External"/><Relationship Id="rId21" Type="http://schemas.openxmlformats.org/officeDocument/2006/relationships/footer" Target="footer2.xml"/><Relationship Id="rId42" Type="http://schemas.openxmlformats.org/officeDocument/2006/relationships/hyperlink" Target="http://www.waterquality.gov.au/anz-guidelines/guideline-values/default/draft-dgvs" TargetMode="External"/><Relationship Id="rId63" Type="http://schemas.openxmlformats.org/officeDocument/2006/relationships/image" Target="media/image10.png"/><Relationship Id="rId84" Type="http://schemas.openxmlformats.org/officeDocument/2006/relationships/hyperlink" Target="https://doi.org/10.1002/etc.3012" TargetMode="External"/><Relationship Id="rId138" Type="http://schemas.openxmlformats.org/officeDocument/2006/relationships/header" Target="header10.xml"/><Relationship Id="rId107" Type="http://schemas.openxmlformats.org/officeDocument/2006/relationships/hyperlink" Target="https://doi.org/10.1897/2004-003R.1" TargetMode="External"/><Relationship Id="rId11" Type="http://schemas.openxmlformats.org/officeDocument/2006/relationships/image" Target="media/image1.png"/><Relationship Id="rId32" Type="http://schemas.openxmlformats.org/officeDocument/2006/relationships/hyperlink" Target="https://www.waterquality.gov.au/anz-guidelines/guideline-values/derive/mloe" TargetMode="External"/><Relationship Id="rId37" Type="http://schemas.openxmlformats.org/officeDocument/2006/relationships/hyperlink" Target="http://www.waterquality.gov.au/anz-guidelines/guideline-values/default/draft-dgvs" TargetMode="External"/><Relationship Id="rId53" Type="http://schemas.openxmlformats.org/officeDocument/2006/relationships/hyperlink" Target="https://www.waterquality.gov.au/anz-guidelines/resources/key-concepts/level-of-protection" TargetMode="External"/><Relationship Id="rId58" Type="http://schemas.openxmlformats.org/officeDocument/2006/relationships/header" Target="header9.xml"/><Relationship Id="rId74" Type="http://schemas.openxmlformats.org/officeDocument/2006/relationships/hyperlink" Target="https://www.waterquality.gov.au/anz-guidelines/guideline-values/default/water-quality-toxicants/toxicants/zinc-marine-2021" TargetMode="External"/><Relationship Id="rId79" Type="http://schemas.openxmlformats.org/officeDocument/2006/relationships/hyperlink" Target="https://www.waterquality.gov.au/about/charter" TargetMode="External"/><Relationship Id="rId102" Type="http://schemas.openxmlformats.org/officeDocument/2006/relationships/hyperlink" Target="https://doi.org/10.3758/s13428-012-0225-x" TargetMode="External"/><Relationship Id="rId123" Type="http://schemas.openxmlformats.org/officeDocument/2006/relationships/hyperlink" Target="https://doi.org/10.21105/joss.07492" TargetMode="External"/><Relationship Id="rId128" Type="http://schemas.openxmlformats.org/officeDocument/2006/relationships/hyperlink" Target="https://www.epa.gov/wqc/2018-final-aquatic-life-criteria-aluminum-freshwater" TargetMode="External"/><Relationship Id="rId144" Type="http://schemas.microsoft.com/office/2020/10/relationships/intelligence" Target="intelligence2.xml"/><Relationship Id="rId5" Type="http://schemas.openxmlformats.org/officeDocument/2006/relationships/numbering" Target="numbering.xml"/><Relationship Id="rId90" Type="http://schemas.openxmlformats.org/officeDocument/2006/relationships/hyperlink" Target="https://www.canada.ca/en/environment-climate-change/services/evaluating-existing-substances/federal-environmental-quality-guidelines-iron.html" TargetMode="External"/><Relationship Id="rId95" Type="http://schemas.openxmlformats.org/officeDocument/2006/relationships/hyperlink" Target="https://doi.org/10.1016/j.ecoenv.2009.09.012" TargetMode="External"/><Relationship Id="rId22" Type="http://schemas.openxmlformats.org/officeDocument/2006/relationships/header" Target="header3.xml"/><Relationship Id="rId27" Type="http://schemas.openxmlformats.org/officeDocument/2006/relationships/hyperlink" Target="http://www.waterquality.gov.au/anz-guidelines" TargetMode="External"/><Relationship Id="rId43" Type="http://schemas.openxmlformats.org/officeDocument/2006/relationships/hyperlink" Target="https://www.waterquality.gov.au/anz-guidelines/guideline-values/default/water-quality-toxicants/toxicants" TargetMode="External"/><Relationship Id="rId48" Type="http://schemas.openxmlformats.org/officeDocument/2006/relationships/hyperlink" Target="https://www.waterquality.gov.au/anz-guidelines/guideline-values/default/draft-dgvs" TargetMode="External"/><Relationship Id="rId64" Type="http://schemas.openxmlformats.org/officeDocument/2006/relationships/hyperlink" Target="http://en.wikipedia.org/wiki/Taxonomic_rank" TargetMode="External"/><Relationship Id="rId69" Type="http://schemas.openxmlformats.org/officeDocument/2006/relationships/hyperlink" Target="http://www.waterquality.gov.au/anz-guidelines/resources/previous-guidelines/anzecc-armcanz-2000" TargetMode="External"/><Relationship Id="rId113" Type="http://schemas.openxmlformats.org/officeDocument/2006/relationships/hyperlink" Target="https://doi.org/10.1002/ieam.1865" TargetMode="External"/><Relationship Id="rId118" Type="http://schemas.openxmlformats.org/officeDocument/2006/relationships/hyperlink" Target="https://doi.org/10.1002/1099-095X(200009/10)11:5%3c583::AID-ENV456%3e3.0.CO;2-X" TargetMode="External"/><Relationship Id="rId134" Type="http://schemas.openxmlformats.org/officeDocument/2006/relationships/hyperlink" Target="https://doi.org/10.1016/0160-4120(87)90006-7" TargetMode="External"/><Relationship Id="rId139" Type="http://schemas.openxmlformats.org/officeDocument/2006/relationships/header" Target="header11.xml"/><Relationship Id="rId80" Type="http://schemas.openxmlformats.org/officeDocument/2006/relationships/hyperlink" Target="https://research.csiro.au/software/burrlioz/" TargetMode="External"/><Relationship Id="rId85" Type="http://schemas.openxmlformats.org/officeDocument/2006/relationships/hyperlink" Target="https://doi.org/10.1897/ieam_2008-018.1" TargetMode="External"/><Relationship Id="rId12" Type="http://schemas.openxmlformats.org/officeDocument/2006/relationships/hyperlink" Target="https://creativecommons.org/licenses/by/4.0/" TargetMode="External"/><Relationship Id="rId17" Type="http://schemas.openxmlformats.org/officeDocument/2006/relationships/hyperlink" Target="https://www.waterquality.gov.au/anz-guidelines" TargetMode="External"/><Relationship Id="rId33" Type="http://schemas.openxmlformats.org/officeDocument/2006/relationships/hyperlink" Target="https://www.waterquality.gov.au/anz-guidelines/guideline-values/default/water-quality-toxicants/shinyssdtool" TargetMode="External"/><Relationship Id="rId38" Type="http://schemas.openxmlformats.org/officeDocument/2006/relationships/hyperlink" Target="https://www.waterquality.gov.au/anz-guidelines/guideline-values/default/water-quality-toxicants" TargetMode="External"/><Relationship Id="rId59" Type="http://schemas.openxmlformats.org/officeDocument/2006/relationships/image" Target="media/image6.png"/><Relationship Id="rId103" Type="http://schemas.openxmlformats.org/officeDocument/2006/relationships/hyperlink" Target="https://environment.govt.nz/publications/acute-copper-and-zinc-water-quality-guideline-values-for-aotearoa-technical-report-of-the-derivation-including-bioavailability-model-evaluation/" TargetMode="External"/><Relationship Id="rId108" Type="http://schemas.openxmlformats.org/officeDocument/2006/relationships/hyperlink" Target="https://doi.org/10.1016/S0048-9697(05)80074-9" TargetMode="External"/><Relationship Id="rId124" Type="http://schemas.openxmlformats.org/officeDocument/2006/relationships/hyperlink" Target="https://australasia.setac.org/files/publications/abeec-2020-trenfield-final-print-res-.pdf" TargetMode="External"/><Relationship Id="rId129" Type="http://schemas.openxmlformats.org/officeDocument/2006/relationships/hyperlink" Target="https://doi.org/10.1002/ieam.1296" TargetMode="External"/><Relationship Id="rId54" Type="http://schemas.openxmlformats.org/officeDocument/2006/relationships/hyperlink" Target="https://www.waterquality.gov.au/anz-guidelines/guideline-values/default/water-quality-toxicants/local-conditions" TargetMode="External"/><Relationship Id="rId70" Type="http://schemas.openxmlformats.org/officeDocument/2006/relationships/hyperlink" Target="https://www.waterquality.gov.au/anz-guidelines/resources/previous-guidelines/water-quality-monitoring" TargetMode="External"/><Relationship Id="rId75" Type="http://schemas.openxmlformats.org/officeDocument/2006/relationships/hyperlink" Target="https://www.waterquality.gov.au/anz-guidelines/guideline-values/default/water-quality-toxicants/toxicants/dioxins-fresh-2023" TargetMode="External"/><Relationship Id="rId91" Type="http://schemas.openxmlformats.org/officeDocument/2006/relationships/hyperlink" Target="https://circabc.europa.eu/sd/d/1e2ae66f-25dd-4fd7-828d-9fd5cf91f466/Nickel%20EQS%20dossier%202011.pdf" TargetMode="External"/><Relationship Id="rId96" Type="http://schemas.openxmlformats.org/officeDocument/2006/relationships/hyperlink" Target="https://doi.org/10.1071/EN22061" TargetMode="External"/><Relationship Id="rId14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waterquality.gov.au/anz-guidelines" TargetMode="External"/><Relationship Id="rId28" Type="http://schemas.openxmlformats.org/officeDocument/2006/relationships/image" Target="media/image4.emf"/><Relationship Id="rId49" Type="http://schemas.openxmlformats.org/officeDocument/2006/relationships/hyperlink" Target="https://www.waterquality.gov.au/anz-guidelines" TargetMode="External"/><Relationship Id="rId114" Type="http://schemas.openxmlformats.org/officeDocument/2006/relationships/hyperlink" Target="https://www.nepc.gov.au/sites/default/files/2022-09/schedule-b5c-guideline-soil-quality-guidelines-sep10.pdf" TargetMode="External"/><Relationship Id="rId119" Type="http://schemas.openxmlformats.org/officeDocument/2006/relationships/hyperlink" Target="https://www.intertekinform.com/en-au/standards/as-2706-2003-123906_saig_as_as_260464/?srsltid=AfmBOoqwFlwqFIV2jUSsqvnAEZ8IBGqOVZjfWHi18uYvNuAQ3AziK8_v" TargetMode="External"/><Relationship Id="rId44" Type="http://schemas.openxmlformats.org/officeDocument/2006/relationships/header" Target="header4.xml"/><Relationship Id="rId60" Type="http://schemas.openxmlformats.org/officeDocument/2006/relationships/image" Target="media/image7.png"/><Relationship Id="rId65" Type="http://schemas.openxmlformats.org/officeDocument/2006/relationships/hyperlink" Target="http://en.wikipedia.org/wiki/Kingdom_(biology)" TargetMode="External"/><Relationship Id="rId81" Type="http://schemas.openxmlformats.org/officeDocument/2006/relationships/hyperlink" Target="https://www.waterquality.gov.au/anz-guidelines/guideline-values/derive/batley-method-derive" TargetMode="External"/><Relationship Id="rId86" Type="http://schemas.openxmlformats.org/officeDocument/2006/relationships/hyperlink" Target="https://doi.org/10.1016/j.scitotenv.2023.169587" TargetMode="External"/><Relationship Id="rId130" Type="http://schemas.openxmlformats.org/officeDocument/2006/relationships/hyperlink" Target="http://dx.doi.org/10.1002/ieam.1307" TargetMode="External"/><Relationship Id="rId135" Type="http://schemas.openxmlformats.org/officeDocument/2006/relationships/hyperlink" Target="https://www.environment.gov.au/system/files/resources/aed1c9d2-7115-44e1-a9e5-495e7da24eb5/files/ssr135.pdf" TargetMode="External"/><Relationship Id="rId13" Type="http://schemas.openxmlformats.org/officeDocument/2006/relationships/hyperlink" Target="https://creativecommons.org/licenses/by/4.0/legalcode.en" TargetMode="External"/><Relationship Id="rId18" Type="http://schemas.openxmlformats.org/officeDocument/2006/relationships/header" Target="header1.xml"/><Relationship Id="rId39" Type="http://schemas.openxmlformats.org/officeDocument/2006/relationships/hyperlink" Target="https://www.waterquality.gov.au/anz-guidelines/guideline-values/default/water-quality-toxicants/local-conditions" TargetMode="External"/><Relationship Id="rId109" Type="http://schemas.openxmlformats.org/officeDocument/2006/relationships/hyperlink" Target="https://www.iesc.gov.au/publications/information-guidelines-explanatory-note-deriving-site-specific-guidelines-values" TargetMode="External"/><Relationship Id="rId34" Type="http://schemas.openxmlformats.org/officeDocument/2006/relationships/hyperlink" Target="https://www.waterquality.gov.au/anz-guidelines/resources/key-concepts/level-of-protection" TargetMode="External"/><Relationship Id="rId50" Type="http://schemas.openxmlformats.org/officeDocument/2006/relationships/hyperlink" Target="https://www.waterquality.gov.au/anz-guidelines/guideline-values/default/water-quality-toxicants" TargetMode="External"/><Relationship Id="rId55" Type="http://schemas.openxmlformats.org/officeDocument/2006/relationships/header" Target="header7.xml"/><Relationship Id="rId76" Type="http://schemas.openxmlformats.org/officeDocument/2006/relationships/hyperlink" Target="https://www.waterquality.gov.au/anz-guidelines/guideline-values/default/water-quality-toxicants/toxicants/nitrate-fresh-2025" TargetMode="External"/><Relationship Id="rId97" Type="http://schemas.openxmlformats.org/officeDocument/2006/relationships/hyperlink" Target="https://doi.org/10.1002/ieam.199" TargetMode="External"/><Relationship Id="rId104" Type="http://schemas.openxmlformats.org/officeDocument/2006/relationships/hyperlink" Target="https://doi.org/10.1002/etc.4563" TargetMode="External"/><Relationship Id="rId120" Type="http://schemas.openxmlformats.org/officeDocument/2006/relationships/hyperlink" Target="https://doi.org/10.1002/etc.4885" TargetMode="External"/><Relationship Id="rId125" Type="http://schemas.openxmlformats.org/officeDocument/2006/relationships/hyperlink" Target="https://www.epa.gov/sites/default/files/2018-10/documents/quality-criteria-water-1986.pdf" TargetMode="External"/><Relationship Id="rId141"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hyperlink" Target="https://www.waterquality.gov.au/anz-guidelines/guideline-values/default/water-quality-toxicants/toxicants/sulfides-2000" TargetMode="External"/><Relationship Id="rId92" Type="http://schemas.openxmlformats.org/officeDocument/2006/relationships/hyperlink" Target="https://circabc.europa.eu/sd/a/a705289f-7001-4c7d-ac7c-1cf8140e2117/Guidance%20No%2038%20-%20Technical%20guidance%20for%20EQS%20for%20metals.pdf" TargetMode="External"/><Relationship Id="rId2" Type="http://schemas.openxmlformats.org/officeDocument/2006/relationships/customXml" Target="../customXml/item2.xml"/><Relationship Id="rId29" Type="http://schemas.openxmlformats.org/officeDocument/2006/relationships/hyperlink" Target="https://www.waterquality.gov.au/anz-guidelines/guideline-values/derive/warne-method-derive-2025" TargetMode="External"/><Relationship Id="rId24" Type="http://schemas.openxmlformats.org/officeDocument/2006/relationships/hyperlink" Target="https://www.waterquality.gov.au/anz-guidelines/monitoring/laboratory-analysis" TargetMode="External"/><Relationship Id="rId40" Type="http://schemas.openxmlformats.org/officeDocument/2006/relationships/hyperlink" Target="https://www.waterquality.gov.au/anz-guidelines/guideline-values/default/water-quality-toxicants/local-conditions" TargetMode="External"/><Relationship Id="rId45" Type="http://schemas.openxmlformats.org/officeDocument/2006/relationships/header" Target="header5.xml"/><Relationship Id="rId66" Type="http://schemas.openxmlformats.org/officeDocument/2006/relationships/hyperlink" Target="http://en.wikipedia.org/wiki/Class_(biology)" TargetMode="External"/><Relationship Id="rId87" Type="http://schemas.openxmlformats.org/officeDocument/2006/relationships/hyperlink" Target="https://bcgov-env.shinyapps.io/ssdtools/" TargetMode="External"/><Relationship Id="rId110" Type="http://schemas.openxmlformats.org/officeDocument/2006/relationships/hyperlink" Target="https://doi.org/10.1002/ieam.4989" TargetMode="External"/><Relationship Id="rId115" Type="http://schemas.openxmlformats.org/officeDocument/2006/relationships/hyperlink" Target="https://doi.org/10.1002/etc.4213" TargetMode="External"/><Relationship Id="rId131" Type="http://schemas.openxmlformats.org/officeDocument/2006/relationships/hyperlink" Target="https://doi.org/10.1007/s11356-013-1780-0" TargetMode="External"/><Relationship Id="rId136" Type="http://schemas.openxmlformats.org/officeDocument/2006/relationships/hyperlink" Target="https://www.waterquality.gov.au/anz-guidelines/guideline-values/derive/warne-method-derive" TargetMode="External"/><Relationship Id="rId61" Type="http://schemas.openxmlformats.org/officeDocument/2006/relationships/image" Target="media/image8.png"/><Relationship Id="rId82" Type="http://schemas.openxmlformats.org/officeDocument/2006/relationships/hyperlink" Target="https://doi.org/10.1002/etc.4570" TargetMode="External"/><Relationship Id="rId19" Type="http://schemas.openxmlformats.org/officeDocument/2006/relationships/header" Target="header2.xml"/><Relationship Id="rId14" Type="http://schemas.openxmlformats.org/officeDocument/2006/relationships/hyperlink" Target="mailto:copyright@dcceew.gov.au" TargetMode="External"/><Relationship Id="rId30" Type="http://schemas.openxmlformats.org/officeDocument/2006/relationships/hyperlink" Target="https://www.waterquality.gov.au/anz-guidelines/guideline-values/derive" TargetMode="External"/><Relationship Id="rId35" Type="http://schemas.openxmlformats.org/officeDocument/2006/relationships/hyperlink" Target="https://www.waterquality.gov.au/anz-guidelines/guideline-values/derive/warne-method-derive" TargetMode="External"/><Relationship Id="rId56" Type="http://schemas.openxmlformats.org/officeDocument/2006/relationships/header" Target="header8.xml"/><Relationship Id="rId77" Type="http://schemas.openxmlformats.org/officeDocument/2006/relationships/hyperlink" Target="https://www.waterquality.gov.au/anz-guidelines/guideline-values/default/water-quality-toxicants/toxicants/aluminium-marine-2025" TargetMode="External"/><Relationship Id="rId100" Type="http://schemas.openxmlformats.org/officeDocument/2006/relationships/hyperlink" Target="https://australasia.setac.org/files/publications/abeec-2023-fox-letter-to-editor-final.pdf" TargetMode="External"/><Relationship Id="rId105" Type="http://schemas.openxmlformats.org/officeDocument/2006/relationships/hyperlink" Target="https://doi.org/10.1002/etc.2949" TargetMode="External"/><Relationship Id="rId126" Type="http://schemas.openxmlformats.org/officeDocument/2006/relationships/hyperlink" Target="https://nepis.epa.gov/Exe/ZyNET.exe/20002924.TXT?ZyActionD=ZyDocument&amp;Client=EPA&amp;Index=1995+Thru+1999&amp;Docs=&amp;Query=&amp;Time=&amp;EndTime=&amp;SearchMethod=1&amp;TocRestrict=n&amp;Toc=&amp;TocEntry=&amp;QField=&amp;QFieldYear=&amp;QFieldMonth=&amp;QFieldDay=&amp;IntQFieldOp=0&amp;ExtQFieldOp=0&amp;XmlQuery=&amp;File=D%3A%5Czyfiles%5CIndex%20Data%5C95thru99%5CTxt%5C00000005%5C20002924.txt&amp;User=ANONYMOUS&amp;Password=anonymous&amp;SortMethod=h%7C-&amp;MaximumDocuments=1&amp;FuzzyDegree=0&amp;ImageQuality=r75g8/r75g8/x150y150g16/i425&amp;Display=hpfr&amp;DefSeekPage=x&amp;SearchBack=ZyActionL&amp;Back=ZyActionS&amp;BackDesc=Results%20page&amp;MaximumPages=1&amp;ZyEntry=1&amp;SeekPage=x&amp;ZyPURL" TargetMode="External"/><Relationship Id="rId8" Type="http://schemas.openxmlformats.org/officeDocument/2006/relationships/webSettings" Target="webSettings.xml"/><Relationship Id="rId51" Type="http://schemas.openxmlformats.org/officeDocument/2006/relationships/hyperlink" Target="https://www.waterquality.gov.au/anz-guidelines/guideline-values/default/water-quality-toxicants/local-conditions" TargetMode="External"/><Relationship Id="rId72" Type="http://schemas.openxmlformats.org/officeDocument/2006/relationships/hyperlink" Target="https://www.waterquality.gov.au/anz-guidelines" TargetMode="External"/><Relationship Id="rId93" Type="http://schemas.openxmlformats.org/officeDocument/2006/relationships/hyperlink" Target="https://doi.org/10.1002/etc.5610" TargetMode="External"/><Relationship Id="rId98" Type="http://schemas.openxmlformats.org/officeDocument/2006/relationships/hyperlink" Target="https://doi.org/10.1002/etc.3459" TargetMode="External"/><Relationship Id="rId121" Type="http://schemas.openxmlformats.org/officeDocument/2006/relationships/hyperlink" Target="http://hdl.handle.net/102.100.100/438719?index=1"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waterquality.gov.au/anz-guidelines/guideline-values/default/water-quality-toxicants/shinyssdtool" TargetMode="External"/><Relationship Id="rId46" Type="http://schemas.openxmlformats.org/officeDocument/2006/relationships/header" Target="header6.xml"/><Relationship Id="rId67" Type="http://schemas.openxmlformats.org/officeDocument/2006/relationships/hyperlink" Target="http://www.waterquality.gov.au/anz-guidelines/resources/previous-guidelines/anzecc-armcanz-2000" TargetMode="External"/><Relationship Id="rId116" Type="http://schemas.openxmlformats.org/officeDocument/2006/relationships/hyperlink" Target="https://doi.org/10.3389/fpsyg.2013.00700" TargetMode="External"/><Relationship Id="rId137" Type="http://schemas.openxmlformats.org/officeDocument/2006/relationships/hyperlink" Target="https://www.waterquality.gov.au/anz-guidelines/guideline-values/derive/warne-method-derive" TargetMode="External"/><Relationship Id="rId20" Type="http://schemas.openxmlformats.org/officeDocument/2006/relationships/footer" Target="footer1.xml"/><Relationship Id="rId41" Type="http://schemas.openxmlformats.org/officeDocument/2006/relationships/hyperlink" Target="https://www.waterquality.gov.au/anz-guidelines/guideline-values/derive/reference-data" TargetMode="External"/><Relationship Id="rId62" Type="http://schemas.openxmlformats.org/officeDocument/2006/relationships/image" Target="media/image9.png"/><Relationship Id="rId83" Type="http://schemas.openxmlformats.org/officeDocument/2006/relationships/hyperlink" Target="https://ccme.ca/fr/res/2018-zinc-cwqg-scd-1580-en.pdf" TargetMode="External"/><Relationship Id="rId88" Type="http://schemas.openxmlformats.org/officeDocument/2006/relationships/hyperlink" Target="https://www.canada.ca/en/environment-climate-change/services/evaluating-existing-substances/federal-environmental-quality-guidelines-lead.html" TargetMode="External"/><Relationship Id="rId111" Type="http://schemas.openxmlformats.org/officeDocument/2006/relationships/hyperlink" Target="https://doi.org/10.1016/j.chemosphere.2004.12.005" TargetMode="External"/><Relationship Id="rId132" Type="http://schemas.openxmlformats.org/officeDocument/2006/relationships/hyperlink" Target="https://doi.org/10.1002/ieam.4181" TargetMode="External"/><Relationship Id="rId15" Type="http://schemas.openxmlformats.org/officeDocument/2006/relationships/hyperlink" Target="mailto:waterquality@dcceew.gov.au" TargetMode="External"/><Relationship Id="rId36" Type="http://schemas.openxmlformats.org/officeDocument/2006/relationships/image" Target="media/image5.png"/><Relationship Id="rId57" Type="http://schemas.openxmlformats.org/officeDocument/2006/relationships/footer" Target="footer4.xml"/><Relationship Id="rId106" Type="http://schemas.openxmlformats.org/officeDocument/2006/relationships/hyperlink" Target="https://www.dcceew.gov.au/environment/protection/publications/pfas-nemp-3" TargetMode="External"/><Relationship Id="rId127" Type="http://schemas.openxmlformats.org/officeDocument/2006/relationships/hyperlink" Target="https://nepis.epa.gov/Exe/ZyNET.exe/P100SFXR.TXT?ZyActionD=ZyDocument&amp;Client=EPA&amp;Index=2016+Thru+2020&amp;Docs=&amp;Query=&amp;Time=&amp;EndTime=&amp;SearchMethod=1&amp;TocRestrict=n&amp;Toc=&amp;TocEntry=&amp;QField=&amp;QFieldYear=&amp;QFieldMonth=&amp;QFieldDay=&amp;IntQFieldOp=0&amp;ExtQFieldOp=0&amp;XmlQuery=&amp;File=D%3A%5Czyfiles%5CIndex%20Data%5C16thru20%5CTxt%5C00000000%5CP100SFXR.txt&amp;User=ANONYMOUS&amp;Password=anonymous&amp;SortMethod=h%7C-&amp;MaximumDocuments=1&amp;FuzzyDegree=0&amp;ImageQuality=r75g8/r75g8/x150y150g16/i425&amp;Display=hpfr&amp;DefSeekPage=x&amp;SearchBack=ZyActionL&amp;Back=ZyActionS&amp;BackDesc=Results%20page&amp;MaximumPages=1&amp;ZyEntry=1&amp;SeekPage=x&amp;ZyPURL" TargetMode="External"/><Relationship Id="rId10" Type="http://schemas.openxmlformats.org/officeDocument/2006/relationships/endnotes" Target="endnotes.xml"/><Relationship Id="rId31" Type="http://schemas.openxmlformats.org/officeDocument/2006/relationships/hyperlink" Target="https://www.waterquality.gov.au/anz-guidelines/guideline-values/derive/warne-method-derive-2025" TargetMode="External"/><Relationship Id="rId52" Type="http://schemas.openxmlformats.org/officeDocument/2006/relationships/hyperlink" Target="https://www.waterquality.gov.au/anz-guidelines/guideline-values/default/water-quality-toxicants/local-conditions" TargetMode="External"/><Relationship Id="rId73" Type="http://schemas.openxmlformats.org/officeDocument/2006/relationships/hyperlink" Target="https://www.waterquality.gov.au/anz-guidelines/guideline-values/default/water-quality-toxicants/toxicants/metolachlor-fresh-2020" TargetMode="External"/><Relationship Id="rId78" Type="http://schemas.openxmlformats.org/officeDocument/2006/relationships/hyperlink" Target="https://apvma.gov.au/node/10901" TargetMode="External"/><Relationship Id="rId94" Type="http://schemas.openxmlformats.org/officeDocument/2006/relationships/hyperlink" Target="https://doi.org/10.1002/ieam.4809" TargetMode="External"/><Relationship Id="rId99" Type="http://schemas.openxmlformats.org/officeDocument/2006/relationships/hyperlink" Target="https://doi.org/10.1002/etc.4925" TargetMode="External"/><Relationship Id="rId101" Type="http://schemas.openxmlformats.org/officeDocument/2006/relationships/hyperlink" Target="https://doi.org/10.25845/xtvt-yc51" TargetMode="External"/><Relationship Id="rId122" Type="http://schemas.openxmlformats.org/officeDocument/2006/relationships/hyperlink" Target="https://doi.org/10.21105/joss.01082"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waterquality.gov.au/anz-guidelines/guideline-values/derive" TargetMode="External"/><Relationship Id="rId47" Type="http://schemas.openxmlformats.org/officeDocument/2006/relationships/footer" Target="footer3.xml"/><Relationship Id="rId68" Type="http://schemas.openxmlformats.org/officeDocument/2006/relationships/hyperlink" Target="http://www.waterquality.gov.au/anz-guidelines/resources/previous-guidelines/anzecc-armcanz-2000" TargetMode="External"/><Relationship Id="rId89" Type="http://schemas.openxmlformats.org/officeDocument/2006/relationships/hyperlink" Target="https://www.canada.ca/en/environment-climate-change/services/evaluating-existing-substances/federal-environmental-quality-guidelines-aluminium.html" TargetMode="External"/><Relationship Id="rId112" Type="http://schemas.openxmlformats.org/officeDocument/2006/relationships/hyperlink" Target="https://doi.org/10.1002/etc.3259" TargetMode="External"/><Relationship Id="rId133" Type="http://schemas.openxmlformats.org/officeDocument/2006/relationships/hyperlink" Target="http://dx.doi.org/10.1002/(SICI)1099-095X(199705)8:3%3C241::AID-ENV244%3E3.0.CO;2-7" TargetMode="External"/><Relationship Id="rId16"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axCatchAll xmlns="a95247a4-6a6b-40fb-87b6-0fb2f012c536" xsi:nil="true"/>
    <lcf76f155ced4ddcb4097134ff3c332f xmlns="d81c2681-db7b-4a56-9abd-a3238a78f6b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97C545-597C-423E-8814-397D96F234B2}"/>
</file>

<file path=customXml/itemProps2.xml><?xml version="1.0" encoding="utf-8"?>
<ds:datastoreItem xmlns:ds="http://schemas.openxmlformats.org/officeDocument/2006/customXml" ds:itemID="{A1D323EF-822C-4E4A-9DA5-304476EA7B2B}">
  <ds:schemaRefs>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elements/1.1/"/>
    <ds:schemaRef ds:uri="794f42aa-b6a4-41c2-8ee8-f5b05d5a94ab"/>
    <ds:schemaRef ds:uri="http://purl.org/dc/dcmitype/"/>
    <ds:schemaRef ds:uri="http://purl.org/dc/terms/"/>
    <ds:schemaRef ds:uri="4e758577-fd42-415b-a2e5-f8ecd4714afa"/>
    <ds:schemaRef ds:uri="http://schemas.openxmlformats.org/package/2006/metadata/core-properties"/>
  </ds:schemaRefs>
</ds:datastoreItem>
</file>

<file path=customXml/itemProps3.xml><?xml version="1.0" encoding="utf-8"?>
<ds:datastoreItem xmlns:ds="http://schemas.openxmlformats.org/officeDocument/2006/customXml" ds:itemID="{0D625BC2-59C3-BD46-B249-7C84CFFCAA11}">
  <ds:schemaRefs>
    <ds:schemaRef ds:uri="http://schemas.openxmlformats.org/officeDocument/2006/bibliography"/>
  </ds:schemaRefs>
</ds:datastoreItem>
</file>

<file path=customXml/itemProps4.xml><?xml version="1.0" encoding="utf-8"?>
<ds:datastoreItem xmlns:ds="http://schemas.openxmlformats.org/officeDocument/2006/customXml" ds:itemID="{FDAFF9F2-B553-40B8-AE51-8E46304031DB}">
  <ds:schemaRefs>
    <ds:schemaRef ds:uri="http://schemas.microsoft.com/sharepoint/v3/contenttype/forms"/>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26</TotalTime>
  <Pages>93</Pages>
  <Words>39804</Words>
  <Characters>219104</Characters>
  <Application>Microsoft Office Word</Application>
  <DocSecurity>0</DocSecurity>
  <Lines>4509</Lines>
  <Paragraphs>1945</Paragraphs>
  <ScaleCrop>false</ScaleCrop>
  <HeadingPairs>
    <vt:vector size="2" baseType="variant">
      <vt:variant>
        <vt:lpstr>Title</vt:lpstr>
      </vt:variant>
      <vt:variant>
        <vt:i4>1</vt:i4>
      </vt:variant>
    </vt:vector>
  </HeadingPairs>
  <TitlesOfParts>
    <vt:vector size="1" baseType="lpstr">
      <vt:lpstr>Revised method for Deriving Australian and New Zealand Water Quality Guideline values for toxicants – update of 2018 version</vt:lpstr>
    </vt:vector>
  </TitlesOfParts>
  <Manager/>
  <Company>Department of Climate Change, Energy, the Environment and Water</Company>
  <LinksUpToDate>false</LinksUpToDate>
  <CharactersWithSpaces>257039</CharactersWithSpaces>
  <SharedDoc>false</SharedDoc>
  <HyperlinkBase/>
  <HLinks>
    <vt:vector size="294" baseType="variant">
      <vt:variant>
        <vt:i4>6357037</vt:i4>
      </vt:variant>
      <vt:variant>
        <vt:i4>459</vt:i4>
      </vt:variant>
      <vt:variant>
        <vt:i4>0</vt:i4>
      </vt:variant>
      <vt:variant>
        <vt:i4>5</vt:i4>
      </vt:variant>
      <vt:variant>
        <vt:lpwstr>https://www.environment.gov.au/system/files/resources/aed1c9d2-7115-44e1-a9e5-495e7da24eb5/files/ssr135.pdf</vt:lpwstr>
      </vt:variant>
      <vt:variant>
        <vt:lpwstr/>
      </vt:variant>
      <vt:variant>
        <vt:i4>3473512</vt:i4>
      </vt:variant>
      <vt:variant>
        <vt:i4>456</vt:i4>
      </vt:variant>
      <vt:variant>
        <vt:i4>0</vt:i4>
      </vt:variant>
      <vt:variant>
        <vt:i4>5</vt:i4>
      </vt:variant>
      <vt:variant>
        <vt:lpwstr>https://doi.org/10.21105/joss.01082</vt:lpwstr>
      </vt:variant>
      <vt:variant>
        <vt:lpwstr/>
      </vt:variant>
      <vt:variant>
        <vt:i4>1376277</vt:i4>
      </vt:variant>
      <vt:variant>
        <vt:i4>453</vt:i4>
      </vt:variant>
      <vt:variant>
        <vt:i4>0</vt:i4>
      </vt:variant>
      <vt:variant>
        <vt:i4>5</vt:i4>
      </vt:variant>
      <vt:variant>
        <vt:lpwstr>http://www.comlaw.gov.au/Details/F2013C00288/Download</vt:lpwstr>
      </vt:variant>
      <vt:variant>
        <vt:lpwstr/>
      </vt:variant>
      <vt:variant>
        <vt:i4>4587551</vt:i4>
      </vt:variant>
      <vt:variant>
        <vt:i4>450</vt:i4>
      </vt:variant>
      <vt:variant>
        <vt:i4>0</vt:i4>
      </vt:variant>
      <vt:variant>
        <vt:i4>5</vt:i4>
      </vt:variant>
      <vt:variant>
        <vt:lpwstr>https://environment.govt.nz/publications/acute-copper-and-zinc-water-quality-guideline-values-for-aotearoa-technical-report-of-the-derivation-including-bioavailability-model-evaluation/</vt:lpwstr>
      </vt:variant>
      <vt:variant>
        <vt:lpwstr/>
      </vt:variant>
      <vt:variant>
        <vt:i4>1900573</vt:i4>
      </vt:variant>
      <vt:variant>
        <vt:i4>447</vt:i4>
      </vt:variant>
      <vt:variant>
        <vt:i4>0</vt:i4>
      </vt:variant>
      <vt:variant>
        <vt:i4>5</vt:i4>
      </vt:variant>
      <vt:variant>
        <vt:lpwstr>https://bcgov-env.shinyapps.io/ssdtools/</vt:lpwstr>
      </vt:variant>
      <vt:variant>
        <vt:lpwstr/>
      </vt:variant>
      <vt:variant>
        <vt:i4>5701646</vt:i4>
      </vt:variant>
      <vt:variant>
        <vt:i4>444</vt:i4>
      </vt:variant>
      <vt:variant>
        <vt:i4>0</vt:i4>
      </vt:variant>
      <vt:variant>
        <vt:i4>5</vt:i4>
      </vt:variant>
      <vt:variant>
        <vt:lpwstr>https://ccme.ca/fr/res/2018-zinc-cwqg-scd-1580-en.pdf</vt:lpwstr>
      </vt:variant>
      <vt:variant>
        <vt:lpwstr/>
      </vt:variant>
      <vt:variant>
        <vt:i4>196636</vt:i4>
      </vt:variant>
      <vt:variant>
        <vt:i4>441</vt:i4>
      </vt:variant>
      <vt:variant>
        <vt:i4>0</vt:i4>
      </vt:variant>
      <vt:variant>
        <vt:i4>5</vt:i4>
      </vt:variant>
      <vt:variant>
        <vt:lpwstr>https://research.csiro.au/software/burrlioz/</vt:lpwstr>
      </vt:variant>
      <vt:variant>
        <vt:lpwstr/>
      </vt:variant>
      <vt:variant>
        <vt:i4>5505098</vt:i4>
      </vt:variant>
      <vt:variant>
        <vt:i4>438</vt:i4>
      </vt:variant>
      <vt:variant>
        <vt:i4>0</vt:i4>
      </vt:variant>
      <vt:variant>
        <vt:i4>5</vt:i4>
      </vt:variant>
      <vt:variant>
        <vt:lpwstr>https://www.waterquality.gov.au/about/charter</vt:lpwstr>
      </vt:variant>
      <vt:variant>
        <vt:lpwstr/>
      </vt:variant>
      <vt:variant>
        <vt:i4>3342443</vt:i4>
      </vt:variant>
      <vt:variant>
        <vt:i4>435</vt:i4>
      </vt:variant>
      <vt:variant>
        <vt:i4>0</vt:i4>
      </vt:variant>
      <vt:variant>
        <vt:i4>5</vt:i4>
      </vt:variant>
      <vt:variant>
        <vt:lpwstr>https://apvma.gov.au/node/10901</vt:lpwstr>
      </vt:variant>
      <vt:variant>
        <vt:lpwstr/>
      </vt:variant>
      <vt:variant>
        <vt:i4>7929895</vt:i4>
      </vt:variant>
      <vt:variant>
        <vt:i4>432</vt:i4>
      </vt:variant>
      <vt:variant>
        <vt:i4>0</vt:i4>
      </vt:variant>
      <vt:variant>
        <vt:i4>5</vt:i4>
      </vt:variant>
      <vt:variant>
        <vt:lpwstr>https://www.waterquality.gov.au/anz-guidelines/guideline-values/default/water-quality-toxicants/toxicants/draft-ammonia-fresh-2023</vt:lpwstr>
      </vt:variant>
      <vt:variant>
        <vt:lpwstr/>
      </vt:variant>
      <vt:variant>
        <vt:i4>5308507</vt:i4>
      </vt:variant>
      <vt:variant>
        <vt:i4>429</vt:i4>
      </vt:variant>
      <vt:variant>
        <vt:i4>0</vt:i4>
      </vt:variant>
      <vt:variant>
        <vt:i4>5</vt:i4>
      </vt:variant>
      <vt:variant>
        <vt:lpwstr>http://www.waterquality.gov.au/anz-guidelines</vt:lpwstr>
      </vt:variant>
      <vt:variant>
        <vt:lpwstr/>
      </vt:variant>
      <vt:variant>
        <vt:i4>6357055</vt:i4>
      </vt:variant>
      <vt:variant>
        <vt:i4>426</vt:i4>
      </vt:variant>
      <vt:variant>
        <vt:i4>0</vt:i4>
      </vt:variant>
      <vt:variant>
        <vt:i4>5</vt:i4>
      </vt:variant>
      <vt:variant>
        <vt:lpwstr>http://www.waterquality.gov.au/anz-guidelines/resources/previous-guidelines/anzecc-armcanz-2000</vt:lpwstr>
      </vt:variant>
      <vt:variant>
        <vt:lpwstr/>
      </vt:variant>
      <vt:variant>
        <vt:i4>6357055</vt:i4>
      </vt:variant>
      <vt:variant>
        <vt:i4>423</vt:i4>
      </vt:variant>
      <vt:variant>
        <vt:i4>0</vt:i4>
      </vt:variant>
      <vt:variant>
        <vt:i4>5</vt:i4>
      </vt:variant>
      <vt:variant>
        <vt:lpwstr>http://www.waterquality.gov.au/anz-guidelines/resources/previous-guidelines/anzecc-armcanz-2000</vt:lpwstr>
      </vt:variant>
      <vt:variant>
        <vt:lpwstr/>
      </vt:variant>
      <vt:variant>
        <vt:i4>6357055</vt:i4>
      </vt:variant>
      <vt:variant>
        <vt:i4>420</vt:i4>
      </vt:variant>
      <vt:variant>
        <vt:i4>0</vt:i4>
      </vt:variant>
      <vt:variant>
        <vt:i4>5</vt:i4>
      </vt:variant>
      <vt:variant>
        <vt:lpwstr>http://www.waterquality.gov.au/anz-guidelines/resources/previous-guidelines/anzecc-armcanz-2000</vt:lpwstr>
      </vt:variant>
      <vt:variant>
        <vt:lpwstr/>
      </vt:variant>
      <vt:variant>
        <vt:i4>6357055</vt:i4>
      </vt:variant>
      <vt:variant>
        <vt:i4>417</vt:i4>
      </vt:variant>
      <vt:variant>
        <vt:i4>0</vt:i4>
      </vt:variant>
      <vt:variant>
        <vt:i4>5</vt:i4>
      </vt:variant>
      <vt:variant>
        <vt:lpwstr>http://www.waterquality.gov.au/anz-guidelines/resources/previous-guidelines/anzecc-armcanz-2000</vt:lpwstr>
      </vt:variant>
      <vt:variant>
        <vt:lpwstr/>
      </vt:variant>
      <vt:variant>
        <vt:i4>6357055</vt:i4>
      </vt:variant>
      <vt:variant>
        <vt:i4>414</vt:i4>
      </vt:variant>
      <vt:variant>
        <vt:i4>0</vt:i4>
      </vt:variant>
      <vt:variant>
        <vt:i4>5</vt:i4>
      </vt:variant>
      <vt:variant>
        <vt:lpwstr>http://www.waterquality.gov.au/anz-guidelines/resources/previous-guidelines/anzecc-armcanz-2000</vt:lpwstr>
      </vt:variant>
      <vt:variant>
        <vt:lpwstr/>
      </vt:variant>
      <vt:variant>
        <vt:i4>852078</vt:i4>
      </vt:variant>
      <vt:variant>
        <vt:i4>411</vt:i4>
      </vt:variant>
      <vt:variant>
        <vt:i4>0</vt:i4>
      </vt:variant>
      <vt:variant>
        <vt:i4>5</vt:i4>
      </vt:variant>
      <vt:variant>
        <vt:lpwstr>http://en.wikipedia.org/wiki/Class_(biology)</vt:lpwstr>
      </vt:variant>
      <vt:variant>
        <vt:lpwstr/>
      </vt:variant>
      <vt:variant>
        <vt:i4>7340048</vt:i4>
      </vt:variant>
      <vt:variant>
        <vt:i4>408</vt:i4>
      </vt:variant>
      <vt:variant>
        <vt:i4>0</vt:i4>
      </vt:variant>
      <vt:variant>
        <vt:i4>5</vt:i4>
      </vt:variant>
      <vt:variant>
        <vt:lpwstr>http://en.wikipedia.org/wiki/Kingdom_(biology)</vt:lpwstr>
      </vt:variant>
      <vt:variant>
        <vt:lpwstr/>
      </vt:variant>
      <vt:variant>
        <vt:i4>7274499</vt:i4>
      </vt:variant>
      <vt:variant>
        <vt:i4>405</vt:i4>
      </vt:variant>
      <vt:variant>
        <vt:i4>0</vt:i4>
      </vt:variant>
      <vt:variant>
        <vt:i4>5</vt:i4>
      </vt:variant>
      <vt:variant>
        <vt:lpwstr>http://en.wikipedia.org/wiki/Taxonomic_rank</vt:lpwstr>
      </vt:variant>
      <vt:variant>
        <vt:lpwstr/>
      </vt:variant>
      <vt:variant>
        <vt:i4>2359338</vt:i4>
      </vt:variant>
      <vt:variant>
        <vt:i4>402</vt:i4>
      </vt:variant>
      <vt:variant>
        <vt:i4>0</vt:i4>
      </vt:variant>
      <vt:variant>
        <vt:i4>5</vt:i4>
      </vt:variant>
      <vt:variant>
        <vt:lpwstr>https://www.waterquality.gov.au/anz-guidelines/guideline-values/default/water-quality-toxicants/local-conditions</vt:lpwstr>
      </vt:variant>
      <vt:variant>
        <vt:lpwstr>bioaccumulation</vt:lpwstr>
      </vt:variant>
      <vt:variant>
        <vt:i4>5570641</vt:i4>
      </vt:variant>
      <vt:variant>
        <vt:i4>399</vt:i4>
      </vt:variant>
      <vt:variant>
        <vt:i4>0</vt:i4>
      </vt:variant>
      <vt:variant>
        <vt:i4>5</vt:i4>
      </vt:variant>
      <vt:variant>
        <vt:lpwstr>https://www.waterquality.gov.au/anz-guidelines/resources/key-concepts/level-of-protection</vt:lpwstr>
      </vt:variant>
      <vt:variant>
        <vt:lpwstr>highly-disturbed-systems</vt:lpwstr>
      </vt:variant>
      <vt:variant>
        <vt:i4>1703948</vt:i4>
      </vt:variant>
      <vt:variant>
        <vt:i4>396</vt:i4>
      </vt:variant>
      <vt:variant>
        <vt:i4>0</vt:i4>
      </vt:variant>
      <vt:variant>
        <vt:i4>5</vt:i4>
      </vt:variant>
      <vt:variant>
        <vt:lpwstr>https://www.waterquality.gov.au/anz-guidelines/guideline-values/default/water-quality-toxicants/local-conditions</vt:lpwstr>
      </vt:variant>
      <vt:variant>
        <vt:lpwstr>biotic-ligand-models</vt:lpwstr>
      </vt:variant>
      <vt:variant>
        <vt:i4>458836</vt:i4>
      </vt:variant>
      <vt:variant>
        <vt:i4>393</vt:i4>
      </vt:variant>
      <vt:variant>
        <vt:i4>0</vt:i4>
      </vt:variant>
      <vt:variant>
        <vt:i4>5</vt:i4>
      </vt:variant>
      <vt:variant>
        <vt:lpwstr>https://www.waterquality.gov.au/anz-guidelines/guideline-values/default/water-quality-toxicants/local-conditions</vt:lpwstr>
      </vt:variant>
      <vt:variant>
        <vt:lpwstr>other-toxicity-modifying-factors</vt:lpwstr>
      </vt:variant>
      <vt:variant>
        <vt:i4>7274554</vt:i4>
      </vt:variant>
      <vt:variant>
        <vt:i4>390</vt:i4>
      </vt:variant>
      <vt:variant>
        <vt:i4>0</vt:i4>
      </vt:variant>
      <vt:variant>
        <vt:i4>5</vt:i4>
      </vt:variant>
      <vt:variant>
        <vt:lpwstr>https://www.waterquality.gov.au/anz-guidelines/guideline-values/default/water-quality-toxicants/local-conditions</vt:lpwstr>
      </vt:variant>
      <vt:variant>
        <vt:lpwstr>water-hardness</vt:lpwstr>
      </vt:variant>
      <vt:variant>
        <vt:i4>6160403</vt:i4>
      </vt:variant>
      <vt:variant>
        <vt:i4>387</vt:i4>
      </vt:variant>
      <vt:variant>
        <vt:i4>0</vt:i4>
      </vt:variant>
      <vt:variant>
        <vt:i4>5</vt:i4>
      </vt:variant>
      <vt:variant>
        <vt:lpwstr>https://www.waterquality.gov.au/anz-guidelines/guideline-values/default/water-quality-toxicants/local-conditions</vt:lpwstr>
      </vt:variant>
      <vt:variant>
        <vt:lpwstr>salinity-effects</vt:lpwstr>
      </vt:variant>
      <vt:variant>
        <vt:i4>3801151</vt:i4>
      </vt:variant>
      <vt:variant>
        <vt:i4>384</vt:i4>
      </vt:variant>
      <vt:variant>
        <vt:i4>0</vt:i4>
      </vt:variant>
      <vt:variant>
        <vt:i4>5</vt:i4>
      </vt:variant>
      <vt:variant>
        <vt:lpwstr>https://www.waterquality.gov.au/anz-guidelines/guideline-values/default/water-quality-toxicants</vt:lpwstr>
      </vt:variant>
      <vt:variant>
        <vt:lpwstr/>
      </vt:variant>
      <vt:variant>
        <vt:i4>4259926</vt:i4>
      </vt:variant>
      <vt:variant>
        <vt:i4>381</vt:i4>
      </vt:variant>
      <vt:variant>
        <vt:i4>0</vt:i4>
      </vt:variant>
      <vt:variant>
        <vt:i4>5</vt:i4>
      </vt:variant>
      <vt:variant>
        <vt:lpwstr>https://www.waterquality.gov.au/anz-guidelines/guideline-values/default/draft-dgvs</vt:lpwstr>
      </vt:variant>
      <vt:variant>
        <vt:lpwstr>third-party-process-for-proposing-default-guideline-values</vt:lpwstr>
      </vt:variant>
      <vt:variant>
        <vt:i4>393293</vt:i4>
      </vt:variant>
      <vt:variant>
        <vt:i4>378</vt:i4>
      </vt:variant>
      <vt:variant>
        <vt:i4>0</vt:i4>
      </vt:variant>
      <vt:variant>
        <vt:i4>5</vt:i4>
      </vt:variant>
      <vt:variant>
        <vt:lpwstr>https://www.waterquality.gov.au/anz-guidelines/guideline-values/default/water-quality-toxicants/toxicants</vt:lpwstr>
      </vt:variant>
      <vt:variant>
        <vt:lpwstr/>
      </vt:variant>
      <vt:variant>
        <vt:i4>4653062</vt:i4>
      </vt:variant>
      <vt:variant>
        <vt:i4>372</vt:i4>
      </vt:variant>
      <vt:variant>
        <vt:i4>0</vt:i4>
      </vt:variant>
      <vt:variant>
        <vt:i4>5</vt:i4>
      </vt:variant>
      <vt:variant>
        <vt:lpwstr>http://www.waterquality.gov.au/anz-guidelines/guideline-values/default/draft-dgvs</vt:lpwstr>
      </vt:variant>
      <vt:variant>
        <vt:lpwstr/>
      </vt:variant>
      <vt:variant>
        <vt:i4>5308507</vt:i4>
      </vt:variant>
      <vt:variant>
        <vt:i4>369</vt:i4>
      </vt:variant>
      <vt:variant>
        <vt:i4>0</vt:i4>
      </vt:variant>
      <vt:variant>
        <vt:i4>5</vt:i4>
      </vt:variant>
      <vt:variant>
        <vt:lpwstr>http://www.waterquality.gov.au/anz-guidelines</vt:lpwstr>
      </vt:variant>
      <vt:variant>
        <vt:lpwstr/>
      </vt:variant>
      <vt:variant>
        <vt:i4>1245257</vt:i4>
      </vt:variant>
      <vt:variant>
        <vt:i4>366</vt:i4>
      </vt:variant>
      <vt:variant>
        <vt:i4>0</vt:i4>
      </vt:variant>
      <vt:variant>
        <vt:i4>5</vt:i4>
      </vt:variant>
      <vt:variant>
        <vt:lpwstr>https://www.waterquality.gov.au/anz-guidelines/guideline-values/derive/reference-data</vt:lpwstr>
      </vt:variant>
      <vt:variant>
        <vt:lpwstr/>
      </vt:variant>
      <vt:variant>
        <vt:i4>2359338</vt:i4>
      </vt:variant>
      <vt:variant>
        <vt:i4>363</vt:i4>
      </vt:variant>
      <vt:variant>
        <vt:i4>0</vt:i4>
      </vt:variant>
      <vt:variant>
        <vt:i4>5</vt:i4>
      </vt:variant>
      <vt:variant>
        <vt:lpwstr>https://www.waterquality.gov.au/anz-guidelines/guideline-values/default/water-quality-toxicants/local-conditions</vt:lpwstr>
      </vt:variant>
      <vt:variant>
        <vt:lpwstr>bioaccumulation</vt:lpwstr>
      </vt:variant>
      <vt:variant>
        <vt:i4>2359338</vt:i4>
      </vt:variant>
      <vt:variant>
        <vt:i4>360</vt:i4>
      </vt:variant>
      <vt:variant>
        <vt:i4>0</vt:i4>
      </vt:variant>
      <vt:variant>
        <vt:i4>5</vt:i4>
      </vt:variant>
      <vt:variant>
        <vt:lpwstr>https://www.waterquality.gov.au/anz-guidelines/guideline-values/default/water-quality-toxicants/local-conditions</vt:lpwstr>
      </vt:variant>
      <vt:variant>
        <vt:lpwstr>bioaccumulation</vt:lpwstr>
      </vt:variant>
      <vt:variant>
        <vt:i4>3801151</vt:i4>
      </vt:variant>
      <vt:variant>
        <vt:i4>354</vt:i4>
      </vt:variant>
      <vt:variant>
        <vt:i4>0</vt:i4>
      </vt:variant>
      <vt:variant>
        <vt:i4>5</vt:i4>
      </vt:variant>
      <vt:variant>
        <vt:lpwstr>https://www.waterquality.gov.au/anz-guidelines/guideline-values/default/water-quality-toxicants</vt:lpwstr>
      </vt:variant>
      <vt:variant>
        <vt:lpwstr/>
      </vt:variant>
      <vt:variant>
        <vt:i4>4653062</vt:i4>
      </vt:variant>
      <vt:variant>
        <vt:i4>351</vt:i4>
      </vt:variant>
      <vt:variant>
        <vt:i4>0</vt:i4>
      </vt:variant>
      <vt:variant>
        <vt:i4>5</vt:i4>
      </vt:variant>
      <vt:variant>
        <vt:lpwstr>http://www.waterquality.gov.au/anz-guidelines/guideline-values/default/draft-dgvs</vt:lpwstr>
      </vt:variant>
      <vt:variant>
        <vt:lpwstr/>
      </vt:variant>
      <vt:variant>
        <vt:i4>6226008</vt:i4>
      </vt:variant>
      <vt:variant>
        <vt:i4>339</vt:i4>
      </vt:variant>
      <vt:variant>
        <vt:i4>0</vt:i4>
      </vt:variant>
      <vt:variant>
        <vt:i4>5</vt:i4>
      </vt:variant>
      <vt:variant>
        <vt:lpwstr>https://www.waterquality.gov.au/anz-guidelines/resources/key-concepts/level-of-protection</vt:lpwstr>
      </vt:variant>
      <vt:variant>
        <vt:lpwstr/>
      </vt:variant>
      <vt:variant>
        <vt:i4>7274554</vt:i4>
      </vt:variant>
      <vt:variant>
        <vt:i4>285</vt:i4>
      </vt:variant>
      <vt:variant>
        <vt:i4>0</vt:i4>
      </vt:variant>
      <vt:variant>
        <vt:i4>5</vt:i4>
      </vt:variant>
      <vt:variant>
        <vt:lpwstr>https://www.waterquality.gov.au/anz-guidelines/guideline-values/default/water-quality-toxicants/local-conditions</vt:lpwstr>
      </vt:variant>
      <vt:variant>
        <vt:lpwstr>water-hardness</vt:lpwstr>
      </vt:variant>
      <vt:variant>
        <vt:i4>7077999</vt:i4>
      </vt:variant>
      <vt:variant>
        <vt:i4>276</vt:i4>
      </vt:variant>
      <vt:variant>
        <vt:i4>0</vt:i4>
      </vt:variant>
      <vt:variant>
        <vt:i4>5</vt:i4>
      </vt:variant>
      <vt:variant>
        <vt:lpwstr>https://www.waterquality.gov.au/anz-guidelines/guideline-values/derive/mloe</vt:lpwstr>
      </vt:variant>
      <vt:variant>
        <vt:lpwstr/>
      </vt:variant>
      <vt:variant>
        <vt:i4>7209004</vt:i4>
      </vt:variant>
      <vt:variant>
        <vt:i4>261</vt:i4>
      </vt:variant>
      <vt:variant>
        <vt:i4>0</vt:i4>
      </vt:variant>
      <vt:variant>
        <vt:i4>5</vt:i4>
      </vt:variant>
      <vt:variant>
        <vt:lpwstr>https://www.waterquality.gov.au/anz-guidelines/guideline-values/derive</vt:lpwstr>
      </vt:variant>
      <vt:variant>
        <vt:lpwstr/>
      </vt:variant>
      <vt:variant>
        <vt:i4>262209</vt:i4>
      </vt:variant>
      <vt:variant>
        <vt:i4>237</vt:i4>
      </vt:variant>
      <vt:variant>
        <vt:i4>0</vt:i4>
      </vt:variant>
      <vt:variant>
        <vt:i4>5</vt:i4>
      </vt:variant>
      <vt:variant>
        <vt:lpwstr>https://www.waterquality.gov.au/anz-guidelines/guideline-values/default/water-quality-toxicants</vt:lpwstr>
      </vt:variant>
      <vt:variant>
        <vt:lpwstr>guideline-values-for-other-water-types</vt:lpwstr>
      </vt:variant>
      <vt:variant>
        <vt:i4>5308507</vt:i4>
      </vt:variant>
      <vt:variant>
        <vt:i4>174</vt:i4>
      </vt:variant>
      <vt:variant>
        <vt:i4>0</vt:i4>
      </vt:variant>
      <vt:variant>
        <vt:i4>5</vt:i4>
      </vt:variant>
      <vt:variant>
        <vt:lpwstr>http://www.waterquality.gov.au/anz-guidelines</vt:lpwstr>
      </vt:variant>
      <vt:variant>
        <vt:lpwstr/>
      </vt:variant>
      <vt:variant>
        <vt:i4>7209004</vt:i4>
      </vt:variant>
      <vt:variant>
        <vt:i4>171</vt:i4>
      </vt:variant>
      <vt:variant>
        <vt:i4>0</vt:i4>
      </vt:variant>
      <vt:variant>
        <vt:i4>5</vt:i4>
      </vt:variant>
      <vt:variant>
        <vt:lpwstr>https://www.waterquality.gov.au/anz-guidelines/guideline-values/derive</vt:lpwstr>
      </vt:variant>
      <vt:variant>
        <vt:lpwstr/>
      </vt:variant>
      <vt:variant>
        <vt:i4>1900628</vt:i4>
      </vt:variant>
      <vt:variant>
        <vt:i4>168</vt:i4>
      </vt:variant>
      <vt:variant>
        <vt:i4>0</vt:i4>
      </vt:variant>
      <vt:variant>
        <vt:i4>5</vt:i4>
      </vt:variant>
      <vt:variant>
        <vt:lpwstr>https://www.waterquality.gov.au/anz-guidelines/monitoring/laboratory-analysis</vt:lpwstr>
      </vt:variant>
      <vt:variant>
        <vt:lpwstr/>
      </vt:variant>
      <vt:variant>
        <vt:i4>5308507</vt:i4>
      </vt:variant>
      <vt:variant>
        <vt:i4>159</vt:i4>
      </vt:variant>
      <vt:variant>
        <vt:i4>0</vt:i4>
      </vt:variant>
      <vt:variant>
        <vt:i4>5</vt:i4>
      </vt:variant>
      <vt:variant>
        <vt:lpwstr>http://www.waterquality.gov.au/anz-guidelines</vt:lpwstr>
      </vt:variant>
      <vt:variant>
        <vt:lpwstr/>
      </vt:variant>
      <vt:variant>
        <vt:i4>3145786</vt:i4>
      </vt:variant>
      <vt:variant>
        <vt:i4>156</vt:i4>
      </vt:variant>
      <vt:variant>
        <vt:i4>0</vt:i4>
      </vt:variant>
      <vt:variant>
        <vt:i4>5</vt:i4>
      </vt:variant>
      <vt:variant>
        <vt:lpwstr>https://www.waterquality.gov.au/anz-guidelines</vt:lpwstr>
      </vt:variant>
      <vt:variant>
        <vt:lpwstr/>
      </vt:variant>
      <vt:variant>
        <vt:i4>5832754</vt:i4>
      </vt:variant>
      <vt:variant>
        <vt:i4>9</vt:i4>
      </vt:variant>
      <vt:variant>
        <vt:i4>0</vt:i4>
      </vt:variant>
      <vt:variant>
        <vt:i4>5</vt:i4>
      </vt:variant>
      <vt:variant>
        <vt:lpwstr>mailto:waterquality@agriculture.gov.au</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method for Deriving Australian and New Zealand Water Quality Guideline values for toxicants – update of 2018 version</dc:title>
  <dc:subject/>
  <dc:creator>Australian and New Zealand Guidelines for Fresh and Marine Water Quality</dc:creator>
  <cp:keywords/>
  <dc:description/>
  <cp:lastModifiedBy>Huda ALMAAROFI</cp:lastModifiedBy>
  <cp:revision>23</cp:revision>
  <cp:lastPrinted>2025-08-26T21:25:00Z</cp:lastPrinted>
  <dcterms:created xsi:type="dcterms:W3CDTF">2025-08-18T00:55:00Z</dcterms:created>
  <dcterms:modified xsi:type="dcterms:W3CDTF">2025-08-26T21:25:00Z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ClassificationContentMarkingHeaderShapeIds">
    <vt:lpwstr>171e3d29,42b0375,36388afd,5cb06e74,1bfbd255,358280bf,3d32b619,c5215ab,2dc0627f,d9bbc59,b24d538,599eaa42</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5579210,6ef2306,248e3ece,4ac7a119,9660ada,dd1fdbd</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ies>
</file>