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03E47" w14:textId="77777777" w:rsidR="004040B5" w:rsidRDefault="004040B5" w:rsidP="004040B5"/>
    <w:p w14:paraId="1CEABB65" w14:textId="7423C5B0" w:rsidR="004040B5" w:rsidRDefault="004040B5" w:rsidP="004040B5"/>
    <w:p w14:paraId="5D6E6219" w14:textId="77777777" w:rsidR="004040B5" w:rsidRPr="004040B5" w:rsidRDefault="004040B5" w:rsidP="004040B5"/>
    <w:p w14:paraId="7ED87F39" w14:textId="6951102B" w:rsidR="004040B5" w:rsidRDefault="00BE159E" w:rsidP="004040B5">
      <w:pPr>
        <w:pStyle w:val="Heading1"/>
        <w:rPr>
          <w:rStyle w:val="Emphasis"/>
        </w:rPr>
      </w:pPr>
      <w:r>
        <w:t>Response to public submissions on draft default guideline values for</w:t>
      </w:r>
      <w:r w:rsidR="00B745B2">
        <w:t xml:space="preserve"> </w:t>
      </w:r>
      <w:r w:rsidR="00856532">
        <w:t>zinc</w:t>
      </w:r>
      <w:r>
        <w:t xml:space="preserve"> in </w:t>
      </w:r>
      <w:r w:rsidR="00856532">
        <w:t xml:space="preserve">marine </w:t>
      </w:r>
      <w:r>
        <w:t xml:space="preserve">water </w:t>
      </w:r>
    </w:p>
    <w:p w14:paraId="4AADDF8E" w14:textId="6452EB7F" w:rsidR="004040B5" w:rsidRDefault="00BE159E" w:rsidP="004040B5">
      <w:pPr>
        <w:pStyle w:val="Subtitle"/>
      </w:pPr>
      <w:r>
        <w:t>September</w:t>
      </w:r>
      <w:r w:rsidR="00AD441C">
        <w:t xml:space="preserve"> 2021</w:t>
      </w:r>
    </w:p>
    <w:p w14:paraId="0B66154B" w14:textId="2B0D51E6" w:rsidR="004040B5" w:rsidRDefault="004040B5" w:rsidP="004040B5"/>
    <w:p w14:paraId="224A8B9E" w14:textId="0AB2DE83" w:rsidR="00A60014" w:rsidRPr="00A60014" w:rsidRDefault="00BE159E"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Draft default guideline values (DGVs) for </w:t>
      </w:r>
      <w:r w:rsidR="00856532">
        <w:rPr>
          <w:rFonts w:asciiTheme="minorHAnsi" w:hAnsiTheme="minorHAnsi" w:cstheme="minorHAnsi"/>
          <w:sz w:val="22"/>
          <w:szCs w:val="22"/>
        </w:rPr>
        <w:t>zinc</w:t>
      </w:r>
      <w:r w:rsidRPr="00A60014">
        <w:rPr>
          <w:rFonts w:asciiTheme="minorHAnsi" w:hAnsiTheme="minorHAnsi" w:cstheme="minorHAnsi"/>
          <w:sz w:val="22"/>
          <w:szCs w:val="22"/>
        </w:rPr>
        <w:t xml:space="preserve"> in </w:t>
      </w:r>
      <w:r w:rsidR="00856532">
        <w:rPr>
          <w:rFonts w:asciiTheme="minorHAnsi" w:hAnsiTheme="minorHAnsi" w:cstheme="minorHAnsi"/>
          <w:sz w:val="22"/>
          <w:szCs w:val="22"/>
        </w:rPr>
        <w:t xml:space="preserve">marine </w:t>
      </w:r>
      <w:r w:rsidRPr="00A60014">
        <w:rPr>
          <w:rFonts w:asciiTheme="minorHAnsi" w:hAnsiTheme="minorHAnsi" w:cstheme="minorHAnsi"/>
          <w:sz w:val="22"/>
          <w:szCs w:val="22"/>
        </w:rPr>
        <w:t xml:space="preserve">water were published on the Water Quality Guidelines website for a </w:t>
      </w:r>
      <w:r w:rsidR="00737535">
        <w:rPr>
          <w:rFonts w:asciiTheme="minorHAnsi" w:hAnsiTheme="minorHAnsi" w:cstheme="minorHAnsi"/>
          <w:sz w:val="22"/>
          <w:szCs w:val="22"/>
        </w:rPr>
        <w:t>4</w:t>
      </w:r>
      <w:r w:rsidRPr="00A60014">
        <w:rPr>
          <w:rFonts w:asciiTheme="minorHAnsi" w:hAnsiTheme="minorHAnsi" w:cstheme="minorHAnsi"/>
          <w:sz w:val="22"/>
          <w:szCs w:val="22"/>
        </w:rPr>
        <w:t xml:space="preserve">-month public consultation period. During this period, comments for the draft DGVs for </w:t>
      </w:r>
      <w:r w:rsidR="00737535">
        <w:rPr>
          <w:rFonts w:asciiTheme="minorHAnsi" w:hAnsiTheme="minorHAnsi" w:cstheme="minorHAnsi"/>
          <w:sz w:val="22"/>
          <w:szCs w:val="22"/>
        </w:rPr>
        <w:t>zinc in marine water</w:t>
      </w:r>
      <w:r w:rsidRPr="00A60014">
        <w:rPr>
          <w:rFonts w:asciiTheme="minorHAnsi" w:hAnsiTheme="minorHAnsi" w:cstheme="minorHAnsi"/>
          <w:sz w:val="22"/>
          <w:szCs w:val="22"/>
        </w:rPr>
        <w:t xml:space="preserve"> were received via public submission.</w:t>
      </w:r>
    </w:p>
    <w:p w14:paraId="20DAE379" w14:textId="5EE7A0D6" w:rsidR="00A60014" w:rsidRPr="00A60014" w:rsidRDefault="00BE159E"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Responses to comments and any associated ed</w:t>
      </w:r>
      <w:r w:rsidRPr="00A60014">
        <w:rPr>
          <w:rFonts w:asciiTheme="minorHAnsi" w:hAnsiTheme="minorHAnsi" w:cstheme="minorHAnsi"/>
          <w:sz w:val="22"/>
          <w:szCs w:val="22"/>
        </w:rPr>
        <w:t xml:space="preserve">its to the draft DGV technical brief are outlined in this report, de-identified for public record. The responses and revisions have been approved by the original peer </w:t>
      </w:r>
      <w:r w:rsidRPr="00524363">
        <w:rPr>
          <w:rFonts w:asciiTheme="minorHAnsi" w:hAnsiTheme="minorHAnsi" w:cstheme="minorHAnsi"/>
          <w:sz w:val="22"/>
          <w:szCs w:val="22"/>
        </w:rPr>
        <w:t>reviewers</w:t>
      </w:r>
      <w:r w:rsidR="00524363" w:rsidRPr="00CD2FA9">
        <w:rPr>
          <w:rStyle w:val="CommentReference"/>
          <w:rFonts w:ascii="Calibri" w:eastAsia="Calibri" w:hAnsi="Calibri"/>
          <w:sz w:val="22"/>
          <w:szCs w:val="22"/>
          <w:lang w:eastAsia="en-US"/>
        </w:rPr>
        <w:t xml:space="preserve"> and</w:t>
      </w:r>
      <w:r w:rsidR="00524363">
        <w:rPr>
          <w:rStyle w:val="CommentReference"/>
          <w:rFonts w:ascii="Calibri" w:eastAsia="Calibri" w:hAnsi="Calibri"/>
          <w:lang w:eastAsia="en-US"/>
        </w:rPr>
        <w:t xml:space="preserve"> </w:t>
      </w:r>
      <w:r w:rsidRPr="00A60014">
        <w:rPr>
          <w:rFonts w:asciiTheme="minorHAnsi" w:hAnsiTheme="minorHAnsi" w:cstheme="minorHAnsi"/>
          <w:sz w:val="22"/>
          <w:szCs w:val="22"/>
        </w:rPr>
        <w:t xml:space="preserve">the jurisdictional technical and policy oversight </w:t>
      </w:r>
      <w:proofErr w:type="gramStart"/>
      <w:r w:rsidR="00E277EE" w:rsidRPr="00A60014">
        <w:rPr>
          <w:rFonts w:asciiTheme="minorHAnsi" w:hAnsiTheme="minorHAnsi" w:cstheme="minorHAnsi"/>
          <w:sz w:val="22"/>
          <w:szCs w:val="22"/>
        </w:rPr>
        <w:t>groups</w:t>
      </w:r>
      <w:r w:rsidR="00524363">
        <w:rPr>
          <w:rFonts w:asciiTheme="minorHAnsi" w:hAnsiTheme="minorHAnsi" w:cstheme="minorHAnsi"/>
          <w:sz w:val="22"/>
          <w:szCs w:val="22"/>
        </w:rPr>
        <w:t>,</w:t>
      </w:r>
      <w:r w:rsidR="00E277EE" w:rsidRPr="00A60014">
        <w:rPr>
          <w:rFonts w:asciiTheme="minorHAnsi" w:hAnsiTheme="minorHAnsi" w:cstheme="minorHAnsi"/>
          <w:sz w:val="22"/>
          <w:szCs w:val="22"/>
        </w:rPr>
        <w:t xml:space="preserve"> and</w:t>
      </w:r>
      <w:proofErr w:type="gramEnd"/>
      <w:r w:rsidRPr="00A60014">
        <w:rPr>
          <w:rFonts w:asciiTheme="minorHAnsi" w:hAnsiTheme="minorHAnsi" w:cstheme="minorHAnsi"/>
          <w:sz w:val="22"/>
          <w:szCs w:val="22"/>
        </w:rPr>
        <w:t xml:space="preserve"> noted by the </w:t>
      </w:r>
      <w:r w:rsidRPr="00A60014">
        <w:rPr>
          <w:rFonts w:asciiTheme="minorHAnsi" w:hAnsiTheme="minorHAnsi" w:cstheme="minorHAnsi"/>
          <w:sz w:val="22"/>
          <w:szCs w:val="22"/>
        </w:rPr>
        <w:t xml:space="preserve">National Water Reform Committee. </w:t>
      </w:r>
    </w:p>
    <w:p w14:paraId="08555FD8" w14:textId="5323F3CA" w:rsidR="00A60014" w:rsidRPr="00A60014" w:rsidRDefault="00BE159E"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 xml:space="preserve">The default guideline values for </w:t>
      </w:r>
      <w:r w:rsidR="00737535">
        <w:rPr>
          <w:rFonts w:asciiTheme="minorHAnsi" w:hAnsiTheme="minorHAnsi" w:cstheme="minorHAnsi"/>
          <w:sz w:val="22"/>
          <w:szCs w:val="22"/>
        </w:rPr>
        <w:t>zinc in marine water</w:t>
      </w:r>
      <w:r w:rsidRPr="00A60014">
        <w:rPr>
          <w:rFonts w:asciiTheme="minorHAnsi" w:hAnsiTheme="minorHAnsi" w:cstheme="minorHAnsi"/>
          <w:sz w:val="22"/>
          <w:szCs w:val="22"/>
        </w:rPr>
        <w:t xml:space="preserve"> are now published as final. For additional information on the publication process, please refer to the pathway for toxicant default guideline value publication.</w:t>
      </w:r>
    </w:p>
    <w:p w14:paraId="4E4A8E80" w14:textId="77777777" w:rsidR="00A60014" w:rsidRPr="00A60014" w:rsidRDefault="00BE159E" w:rsidP="00A60014">
      <w:pPr>
        <w:pStyle w:val="NormalWeb"/>
        <w:spacing w:before="120" w:beforeAutospacing="0" w:after="120" w:afterAutospacing="0" w:line="276" w:lineRule="auto"/>
        <w:rPr>
          <w:rFonts w:asciiTheme="minorHAnsi" w:hAnsiTheme="minorHAnsi" w:cstheme="minorHAnsi"/>
          <w:sz w:val="22"/>
          <w:szCs w:val="22"/>
        </w:rPr>
      </w:pPr>
      <w:r w:rsidRPr="00A60014">
        <w:rPr>
          <w:rFonts w:asciiTheme="minorHAnsi" w:hAnsiTheme="minorHAnsi" w:cstheme="minorHAnsi"/>
          <w:sz w:val="22"/>
          <w:szCs w:val="22"/>
        </w:rPr>
        <w:t>The Water Quality Guidelines Improvement Program thanks all submissions for their valuable con</w:t>
      </w:r>
      <w:r w:rsidRPr="00A60014">
        <w:rPr>
          <w:rFonts w:asciiTheme="minorHAnsi" w:hAnsiTheme="minorHAnsi" w:cstheme="minorHAnsi"/>
          <w:sz w:val="22"/>
          <w:szCs w:val="22"/>
        </w:rPr>
        <w:t>tribution to the development of default guideline values for the protection of aquatic ecosystems.</w:t>
      </w:r>
    </w:p>
    <w:p w14:paraId="5A03AC9C" w14:textId="77777777" w:rsidR="00A60014" w:rsidRDefault="00A60014" w:rsidP="004040B5"/>
    <w:p w14:paraId="415C806C" w14:textId="30AA22C2" w:rsidR="00EE431E" w:rsidRDefault="00EE431E" w:rsidP="004040B5"/>
    <w:p w14:paraId="0A043D07" w14:textId="5FA5F322" w:rsidR="00B2382D" w:rsidRDefault="00B2382D" w:rsidP="004040B5"/>
    <w:p w14:paraId="7C6D4507" w14:textId="06FE0A0B" w:rsidR="00B2382D" w:rsidRDefault="00B2382D" w:rsidP="004040B5"/>
    <w:p w14:paraId="5AD3FC12" w14:textId="117A2199" w:rsidR="00B2382D" w:rsidRDefault="00B2382D" w:rsidP="004040B5"/>
    <w:p w14:paraId="36B9DCDB" w14:textId="77777777" w:rsidR="00F4111F" w:rsidRDefault="00F4111F" w:rsidP="00B745B2">
      <w:pPr>
        <w:tabs>
          <w:tab w:val="left" w:pos="7520"/>
        </w:tabs>
      </w:pPr>
    </w:p>
    <w:p w14:paraId="11E29E99" w14:textId="77777777" w:rsidR="00F4111F" w:rsidRDefault="00F4111F" w:rsidP="00B745B2">
      <w:pPr>
        <w:tabs>
          <w:tab w:val="left" w:pos="7520"/>
        </w:tabs>
      </w:pPr>
    </w:p>
    <w:p w14:paraId="7C18E084" w14:textId="77777777" w:rsidR="00F4111F" w:rsidRDefault="00F4111F" w:rsidP="00B745B2">
      <w:pPr>
        <w:tabs>
          <w:tab w:val="left" w:pos="7520"/>
        </w:tabs>
      </w:pPr>
    </w:p>
    <w:p w14:paraId="3E827013" w14:textId="77777777" w:rsidR="00F4111F" w:rsidRDefault="00F4111F" w:rsidP="00B745B2">
      <w:pPr>
        <w:tabs>
          <w:tab w:val="left" w:pos="7520"/>
        </w:tabs>
      </w:pPr>
    </w:p>
    <w:p w14:paraId="350408F7" w14:textId="77777777" w:rsidR="00F4111F" w:rsidRDefault="00F4111F" w:rsidP="00B745B2">
      <w:pPr>
        <w:tabs>
          <w:tab w:val="left" w:pos="7520"/>
        </w:tabs>
      </w:pPr>
    </w:p>
    <w:p w14:paraId="7271429E" w14:textId="77777777" w:rsidR="00F4111F" w:rsidRDefault="00F4111F" w:rsidP="00B745B2">
      <w:pPr>
        <w:tabs>
          <w:tab w:val="left" w:pos="7520"/>
        </w:tabs>
      </w:pPr>
    </w:p>
    <w:p w14:paraId="1B90BE5D" w14:textId="7C3585FD" w:rsidR="00B2382D" w:rsidRDefault="00BE159E" w:rsidP="00B745B2">
      <w:pPr>
        <w:tabs>
          <w:tab w:val="left" w:pos="7520"/>
        </w:tabs>
        <w:sectPr w:rsidR="00B2382D" w:rsidSect="00B2382D">
          <w:footerReference w:type="default" r:id="rId8"/>
          <w:headerReference w:type="first" r:id="rId9"/>
          <w:footerReference w:type="first" r:id="rId10"/>
          <w:pgSz w:w="11906" w:h="16838"/>
          <w:pgMar w:top="1440" w:right="1440" w:bottom="1440" w:left="1440" w:header="708" w:footer="708" w:gutter="0"/>
          <w:cols w:space="708"/>
          <w:titlePg/>
          <w:docGrid w:linePitch="360"/>
        </w:sectPr>
      </w:pPr>
      <w:r>
        <w:tab/>
      </w:r>
    </w:p>
    <w:p w14:paraId="35D7F5F4" w14:textId="3C515A43" w:rsidR="00F4111F" w:rsidRDefault="00BE159E" w:rsidP="00603DB9">
      <w:pPr>
        <w:pStyle w:val="Heading2"/>
        <w:spacing w:after="240"/>
      </w:pPr>
      <w:r>
        <w:lastRenderedPageBreak/>
        <w:t xml:space="preserve">Table 1. </w:t>
      </w:r>
      <w:r w:rsidR="00401BF1">
        <w:t>Public comments and technical brief revisions</w:t>
      </w:r>
    </w:p>
    <w:tbl>
      <w:tblPr>
        <w:tblStyle w:val="TableGrid"/>
        <w:tblW w:w="0" w:type="auto"/>
        <w:tblLook w:val="04A0" w:firstRow="1" w:lastRow="0" w:firstColumn="1" w:lastColumn="0" w:noHBand="0" w:noVBand="1"/>
      </w:tblPr>
      <w:tblGrid>
        <w:gridCol w:w="5524"/>
        <w:gridCol w:w="5528"/>
        <w:gridCol w:w="2835"/>
      </w:tblGrid>
      <w:tr w:rsidR="007B69DA" w14:paraId="2C041AEC" w14:textId="77777777" w:rsidTr="00824E16">
        <w:tc>
          <w:tcPr>
            <w:tcW w:w="5524" w:type="dxa"/>
          </w:tcPr>
          <w:p w14:paraId="5EEE650A" w14:textId="77777777" w:rsidR="009747AF" w:rsidRPr="009747AF" w:rsidRDefault="00BE159E" w:rsidP="00824E16">
            <w:pPr>
              <w:spacing w:before="60" w:after="60" w:line="280" w:lineRule="atLeast"/>
              <w:rPr>
                <w:rFonts w:asciiTheme="minorHAnsi" w:hAnsiTheme="minorHAnsi" w:cstheme="minorHAnsi"/>
                <w:b/>
                <w:bCs/>
                <w:sz w:val="18"/>
                <w:szCs w:val="18"/>
              </w:rPr>
            </w:pPr>
            <w:r w:rsidRPr="009747AF">
              <w:rPr>
                <w:rFonts w:asciiTheme="minorHAnsi" w:hAnsiTheme="minorHAnsi" w:cstheme="minorHAnsi"/>
                <w:b/>
                <w:bCs/>
                <w:sz w:val="18"/>
                <w:szCs w:val="18"/>
              </w:rPr>
              <w:t>Comment</w:t>
            </w:r>
          </w:p>
        </w:tc>
        <w:tc>
          <w:tcPr>
            <w:tcW w:w="5528" w:type="dxa"/>
          </w:tcPr>
          <w:p w14:paraId="7AA72B70" w14:textId="77777777" w:rsidR="009747AF" w:rsidRPr="009747AF" w:rsidRDefault="00BE159E" w:rsidP="00824E16">
            <w:pPr>
              <w:spacing w:before="60" w:after="60" w:line="280" w:lineRule="atLeast"/>
              <w:rPr>
                <w:rFonts w:asciiTheme="minorHAnsi" w:hAnsiTheme="minorHAnsi" w:cstheme="minorHAnsi"/>
                <w:b/>
                <w:bCs/>
                <w:sz w:val="18"/>
                <w:szCs w:val="18"/>
              </w:rPr>
            </w:pPr>
            <w:r w:rsidRPr="009747AF">
              <w:rPr>
                <w:rFonts w:asciiTheme="minorHAnsi" w:hAnsiTheme="minorHAnsi" w:cstheme="minorHAnsi"/>
                <w:b/>
                <w:bCs/>
                <w:sz w:val="18"/>
                <w:szCs w:val="18"/>
              </w:rPr>
              <w:t>Response</w:t>
            </w:r>
          </w:p>
        </w:tc>
        <w:tc>
          <w:tcPr>
            <w:tcW w:w="2835" w:type="dxa"/>
          </w:tcPr>
          <w:p w14:paraId="7A3A5CB9" w14:textId="77777777" w:rsidR="009747AF" w:rsidRPr="009747AF" w:rsidRDefault="00BE159E" w:rsidP="00824E16">
            <w:pPr>
              <w:spacing w:before="60" w:after="60" w:line="280" w:lineRule="atLeast"/>
              <w:rPr>
                <w:rFonts w:asciiTheme="minorHAnsi" w:hAnsiTheme="minorHAnsi" w:cstheme="minorHAnsi"/>
                <w:b/>
                <w:bCs/>
                <w:sz w:val="18"/>
                <w:szCs w:val="18"/>
              </w:rPr>
            </w:pPr>
            <w:r w:rsidRPr="009747AF">
              <w:rPr>
                <w:rFonts w:asciiTheme="minorHAnsi" w:hAnsiTheme="minorHAnsi" w:cstheme="minorHAnsi"/>
                <w:b/>
                <w:bCs/>
                <w:sz w:val="18"/>
                <w:szCs w:val="18"/>
              </w:rPr>
              <w:t>Action taken</w:t>
            </w:r>
          </w:p>
        </w:tc>
      </w:tr>
      <w:tr w:rsidR="007B69DA" w14:paraId="6B3A2CC8" w14:textId="77777777" w:rsidTr="00824E16">
        <w:tc>
          <w:tcPr>
            <w:tcW w:w="5524" w:type="dxa"/>
          </w:tcPr>
          <w:p w14:paraId="348990FF" w14:textId="77777777" w:rsidR="009747AF" w:rsidRPr="009747AF" w:rsidRDefault="00BE159E" w:rsidP="00824E16">
            <w:pPr>
              <w:spacing w:before="60" w:after="60" w:line="280" w:lineRule="atLeast"/>
              <w:ind w:left="25"/>
              <w:rPr>
                <w:rFonts w:asciiTheme="minorHAnsi" w:hAnsiTheme="minorHAnsi" w:cstheme="minorHAnsi"/>
                <w:b/>
                <w:bCs/>
                <w:iCs/>
                <w:sz w:val="18"/>
                <w:szCs w:val="18"/>
                <w:lang w:val="en-GB"/>
              </w:rPr>
            </w:pPr>
            <w:r w:rsidRPr="009747AF">
              <w:rPr>
                <w:rFonts w:asciiTheme="minorHAnsi" w:hAnsiTheme="minorHAnsi" w:cstheme="minorHAnsi"/>
                <w:b/>
                <w:bCs/>
                <w:iCs/>
                <w:sz w:val="18"/>
                <w:szCs w:val="18"/>
                <w:lang w:val="en-GB"/>
              </w:rPr>
              <w:t>Transparency</w:t>
            </w:r>
          </w:p>
          <w:p w14:paraId="1C8C687F" w14:textId="77777777" w:rsidR="009747AF" w:rsidRPr="009747AF" w:rsidRDefault="00BE159E" w:rsidP="00824E16">
            <w:pPr>
              <w:spacing w:before="60" w:after="60" w:line="280" w:lineRule="atLeast"/>
              <w:ind w:left="25"/>
              <w:rPr>
                <w:rFonts w:asciiTheme="minorHAnsi" w:hAnsiTheme="minorHAnsi" w:cstheme="minorHAnsi"/>
                <w:iCs/>
                <w:sz w:val="18"/>
                <w:szCs w:val="18"/>
                <w:lang w:val="en-GB"/>
              </w:rPr>
            </w:pPr>
            <w:r w:rsidRPr="009747AF">
              <w:rPr>
                <w:rFonts w:asciiTheme="minorHAnsi" w:hAnsiTheme="minorHAnsi" w:cstheme="minorHAnsi"/>
                <w:iCs/>
                <w:sz w:val="18"/>
                <w:szCs w:val="18"/>
                <w:lang w:val="en-GB"/>
              </w:rPr>
              <w:t>We would first like to commend the DGV development team on their compilation of a comprehensive marine ecotoxicological database. It is apparent that the process used to assemble such a database was rigorous and that individual studies were reviewed for th</w:t>
            </w:r>
            <w:r w:rsidRPr="009747AF">
              <w:rPr>
                <w:rFonts w:asciiTheme="minorHAnsi" w:hAnsiTheme="minorHAnsi" w:cstheme="minorHAnsi"/>
                <w:iCs/>
                <w:sz w:val="18"/>
                <w:szCs w:val="18"/>
                <w:lang w:val="en-GB"/>
              </w:rPr>
              <w:t>e appropriate technical information. However, given the comprehensive nature of the ecotoxicological database, there is one flaw that hampers the review process. The lack of citation or reference information for each line of data makes it exceedingly diffi</w:t>
            </w:r>
            <w:r w:rsidRPr="009747AF">
              <w:rPr>
                <w:rFonts w:asciiTheme="minorHAnsi" w:hAnsiTheme="minorHAnsi" w:cstheme="minorHAnsi"/>
                <w:iCs/>
                <w:sz w:val="18"/>
                <w:szCs w:val="18"/>
                <w:lang w:val="en-GB"/>
              </w:rPr>
              <w:t xml:space="preserve">cult to critically review data or studies not included in DGV derivation. </w:t>
            </w:r>
            <w:proofErr w:type="gramStart"/>
            <w:r w:rsidRPr="009747AF">
              <w:rPr>
                <w:rFonts w:asciiTheme="minorHAnsi" w:hAnsiTheme="minorHAnsi" w:cstheme="minorHAnsi"/>
                <w:iCs/>
                <w:sz w:val="18"/>
                <w:szCs w:val="18"/>
                <w:lang w:val="en-GB"/>
              </w:rPr>
              <w:t>As a consequence</w:t>
            </w:r>
            <w:proofErr w:type="gramEnd"/>
            <w:r w:rsidRPr="009747AF">
              <w:rPr>
                <w:rFonts w:asciiTheme="minorHAnsi" w:hAnsiTheme="minorHAnsi" w:cstheme="minorHAnsi"/>
                <w:iCs/>
                <w:sz w:val="18"/>
                <w:szCs w:val="18"/>
                <w:lang w:val="en-GB"/>
              </w:rPr>
              <w:t>, it is difficult to cross-reference studies or data that have been included in derivation of guidelines for other jurisdictions. Additionally, it is difficult to ind</w:t>
            </w:r>
            <w:r w:rsidRPr="009747AF">
              <w:rPr>
                <w:rFonts w:asciiTheme="minorHAnsi" w:hAnsiTheme="minorHAnsi" w:cstheme="minorHAnsi"/>
                <w:iCs/>
                <w:sz w:val="18"/>
                <w:szCs w:val="18"/>
                <w:lang w:val="en-GB"/>
              </w:rPr>
              <w:t xml:space="preserve">ependently evaluate if the majority of the ecotoxicological data should be excluded based on the selection criteria described in the technical brief. </w:t>
            </w:r>
            <w:r w:rsidRPr="009747AF">
              <w:rPr>
                <w:rFonts w:asciiTheme="minorHAnsi" w:hAnsiTheme="minorHAnsi" w:cstheme="minorHAnsi"/>
                <w:b/>
                <w:bCs/>
                <w:iCs/>
                <w:sz w:val="18"/>
                <w:szCs w:val="18"/>
                <w:u w:val="single"/>
                <w:lang w:val="en-GB"/>
              </w:rPr>
              <w:t>We strongly recommend that each data line be cited appropriately, and that full reference information be m</w:t>
            </w:r>
            <w:r w:rsidRPr="009747AF">
              <w:rPr>
                <w:rFonts w:asciiTheme="minorHAnsi" w:hAnsiTheme="minorHAnsi" w:cstheme="minorHAnsi"/>
                <w:b/>
                <w:bCs/>
                <w:iCs/>
                <w:sz w:val="18"/>
                <w:szCs w:val="18"/>
                <w:u w:val="single"/>
                <w:lang w:val="en-GB"/>
              </w:rPr>
              <w:t>ade available with the data file.</w:t>
            </w:r>
          </w:p>
          <w:p w14:paraId="51918C27" w14:textId="5311789B" w:rsidR="009747AF" w:rsidRPr="009747AF" w:rsidRDefault="00BE159E" w:rsidP="00824E16">
            <w:pPr>
              <w:spacing w:before="60" w:after="60" w:line="280" w:lineRule="atLeast"/>
              <w:ind w:left="25"/>
              <w:rPr>
                <w:rFonts w:asciiTheme="minorHAnsi" w:hAnsiTheme="minorHAnsi" w:cstheme="minorHAnsi"/>
                <w:iCs/>
                <w:sz w:val="18"/>
                <w:szCs w:val="18"/>
                <w:lang w:val="en-GB"/>
              </w:rPr>
            </w:pPr>
            <w:r w:rsidRPr="009747AF">
              <w:rPr>
                <w:rFonts w:asciiTheme="minorHAnsi" w:hAnsiTheme="minorHAnsi" w:cstheme="minorHAnsi"/>
                <w:iCs/>
                <w:sz w:val="18"/>
                <w:szCs w:val="18"/>
                <w:lang w:val="en-GB"/>
              </w:rPr>
              <w:t>Alternatively, a key to the appropriate document codes (</w:t>
            </w:r>
            <w:r w:rsidR="00841EF7">
              <w:rPr>
                <w:rFonts w:asciiTheme="minorHAnsi" w:hAnsiTheme="minorHAnsi" w:cstheme="minorHAnsi"/>
                <w:iCs/>
                <w:sz w:val="18"/>
                <w:szCs w:val="18"/>
                <w:lang w:val="en-GB"/>
              </w:rPr>
              <w:t>i.e.,</w:t>
            </w:r>
            <w:r w:rsidRPr="009747AF">
              <w:rPr>
                <w:rFonts w:asciiTheme="minorHAnsi" w:hAnsiTheme="minorHAnsi" w:cstheme="minorHAnsi"/>
                <w:iCs/>
                <w:sz w:val="18"/>
                <w:szCs w:val="18"/>
                <w:lang w:val="en-GB"/>
              </w:rPr>
              <w:t xml:space="preserve"> “Paper ID” or “Reference ID number”) could be provided. We acknowledge that references can be provided upon request, but it would be preferable to include the c</w:t>
            </w:r>
            <w:r w:rsidRPr="009747AF">
              <w:rPr>
                <w:rFonts w:asciiTheme="minorHAnsi" w:hAnsiTheme="minorHAnsi" w:cstheme="minorHAnsi"/>
                <w:iCs/>
                <w:sz w:val="18"/>
                <w:szCs w:val="18"/>
                <w:lang w:val="en-GB"/>
              </w:rPr>
              <w:t>omplete reference information as part of the data file associated with the technical brief.</w:t>
            </w:r>
          </w:p>
        </w:tc>
        <w:tc>
          <w:tcPr>
            <w:tcW w:w="5528" w:type="dxa"/>
          </w:tcPr>
          <w:p w14:paraId="57BAA0F6" w14:textId="77777777" w:rsidR="009747AF" w:rsidRPr="009747AF" w:rsidRDefault="00BE159E" w:rsidP="00824E16">
            <w:pPr>
              <w:spacing w:before="60" w:after="60" w:line="280" w:lineRule="atLeast"/>
              <w:rPr>
                <w:rFonts w:asciiTheme="minorHAnsi" w:hAnsiTheme="minorHAnsi" w:cstheme="minorHAnsi"/>
                <w:bCs/>
                <w:sz w:val="18"/>
                <w:szCs w:val="18"/>
              </w:rPr>
            </w:pPr>
            <w:r w:rsidRPr="009747AF">
              <w:rPr>
                <w:rFonts w:asciiTheme="minorHAnsi" w:hAnsiTheme="minorHAnsi" w:cstheme="minorHAnsi"/>
                <w:bCs/>
                <w:sz w:val="18"/>
                <w:szCs w:val="18"/>
              </w:rPr>
              <w:t xml:space="preserve">Although reference details were provided for data that were used in the final derivation, it is acknowledged that it was not possible to locate the full </w:t>
            </w:r>
            <w:r w:rsidRPr="009747AF">
              <w:rPr>
                <w:rFonts w:asciiTheme="minorHAnsi" w:hAnsiTheme="minorHAnsi" w:cstheme="minorHAnsi"/>
                <w:bCs/>
                <w:sz w:val="18"/>
                <w:szCs w:val="18"/>
              </w:rPr>
              <w:t xml:space="preserve">reference details for </w:t>
            </w:r>
            <w:proofErr w:type="gramStart"/>
            <w:r w:rsidRPr="009747AF">
              <w:rPr>
                <w:rFonts w:asciiTheme="minorHAnsi" w:hAnsiTheme="minorHAnsi" w:cstheme="minorHAnsi"/>
                <w:bCs/>
                <w:sz w:val="18"/>
                <w:szCs w:val="18"/>
              </w:rPr>
              <w:t>all of</w:t>
            </w:r>
            <w:proofErr w:type="gramEnd"/>
            <w:r w:rsidRPr="009747AF">
              <w:rPr>
                <w:rFonts w:asciiTheme="minorHAnsi" w:hAnsiTheme="minorHAnsi" w:cstheme="minorHAnsi"/>
                <w:bCs/>
                <w:sz w:val="18"/>
                <w:szCs w:val="18"/>
              </w:rPr>
              <w:t xml:space="preserve"> the line items. This has now been rectified, and full reference details for every line item have been provided, cross-linked to the “Data source ID” number.</w:t>
            </w:r>
          </w:p>
        </w:tc>
        <w:tc>
          <w:tcPr>
            <w:tcW w:w="2835" w:type="dxa"/>
          </w:tcPr>
          <w:p w14:paraId="2DBDF3AE"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 xml:space="preserve">The Data entry spreadsheet has been updated to include a full list of </w:t>
            </w:r>
            <w:r w:rsidRPr="009747AF">
              <w:rPr>
                <w:rFonts w:asciiTheme="minorHAnsi" w:hAnsiTheme="minorHAnsi" w:cstheme="minorHAnsi"/>
                <w:sz w:val="18"/>
                <w:szCs w:val="18"/>
              </w:rPr>
              <w:t>source references in the “Source reference details” worksheet. The full citations are cross-linked to the Data source ID number, so that line items of toxicity data can be readily linked to the source reference.</w:t>
            </w:r>
          </w:p>
        </w:tc>
      </w:tr>
      <w:tr w:rsidR="007B69DA" w14:paraId="378806A9" w14:textId="77777777" w:rsidTr="00824E16">
        <w:tc>
          <w:tcPr>
            <w:tcW w:w="5524" w:type="dxa"/>
          </w:tcPr>
          <w:p w14:paraId="31D4D4F1" w14:textId="77777777" w:rsidR="009747AF" w:rsidRPr="009747AF" w:rsidRDefault="00BE159E" w:rsidP="00824E16">
            <w:pPr>
              <w:spacing w:before="60" w:after="60" w:line="280" w:lineRule="atLeast"/>
              <w:rPr>
                <w:rFonts w:asciiTheme="minorHAnsi" w:hAnsiTheme="minorHAnsi" w:cstheme="minorHAnsi"/>
                <w:b/>
                <w:bCs/>
                <w:sz w:val="18"/>
                <w:szCs w:val="18"/>
                <w:lang w:val="en-GB"/>
              </w:rPr>
            </w:pPr>
            <w:r w:rsidRPr="009747AF">
              <w:rPr>
                <w:rFonts w:asciiTheme="minorHAnsi" w:hAnsiTheme="minorHAnsi" w:cstheme="minorHAnsi"/>
                <w:b/>
                <w:bCs/>
                <w:sz w:val="18"/>
                <w:szCs w:val="18"/>
                <w:lang w:val="en-GB"/>
              </w:rPr>
              <w:t>Inconsistency with recommendation from Warn</w:t>
            </w:r>
            <w:r w:rsidRPr="009747AF">
              <w:rPr>
                <w:rFonts w:asciiTheme="minorHAnsi" w:hAnsiTheme="minorHAnsi" w:cstheme="minorHAnsi"/>
                <w:b/>
                <w:bCs/>
                <w:sz w:val="18"/>
                <w:szCs w:val="18"/>
                <w:lang w:val="en-GB"/>
              </w:rPr>
              <w:t xml:space="preserve">e et al. (2018) and concern with use of data from </w:t>
            </w:r>
            <w:proofErr w:type="spellStart"/>
            <w:r w:rsidRPr="009747AF">
              <w:rPr>
                <w:rFonts w:asciiTheme="minorHAnsi" w:hAnsiTheme="minorHAnsi" w:cstheme="minorHAnsi"/>
                <w:b/>
                <w:bCs/>
                <w:sz w:val="18"/>
                <w:szCs w:val="18"/>
                <w:lang w:val="en-GB"/>
              </w:rPr>
              <w:t>Reichelt-Brushett</w:t>
            </w:r>
            <w:proofErr w:type="spellEnd"/>
            <w:r w:rsidRPr="009747AF">
              <w:rPr>
                <w:rFonts w:asciiTheme="minorHAnsi" w:hAnsiTheme="minorHAnsi" w:cstheme="minorHAnsi"/>
                <w:b/>
                <w:bCs/>
                <w:sz w:val="18"/>
                <w:szCs w:val="18"/>
                <w:lang w:val="en-GB"/>
              </w:rPr>
              <w:t xml:space="preserve"> and Harrison (2005) </w:t>
            </w:r>
          </w:p>
          <w:p w14:paraId="4CF9E4C3" w14:textId="77777777" w:rsidR="009747AF" w:rsidRPr="009747AF" w:rsidRDefault="00BE159E" w:rsidP="009747AF">
            <w:pPr>
              <w:pStyle w:val="ListParagraph"/>
              <w:numPr>
                <w:ilvl w:val="0"/>
                <w:numId w:val="8"/>
              </w:numPr>
              <w:spacing w:before="60" w:after="60" w:line="280" w:lineRule="atLeast"/>
              <w:ind w:left="317" w:hanging="317"/>
              <w:rPr>
                <w:rFonts w:cstheme="minorHAnsi"/>
                <w:sz w:val="18"/>
                <w:szCs w:val="18"/>
                <w:lang w:val="en-GB"/>
              </w:rPr>
            </w:pPr>
            <w:r w:rsidRPr="009747AF">
              <w:rPr>
                <w:rFonts w:cstheme="minorHAnsi"/>
                <w:sz w:val="18"/>
                <w:szCs w:val="18"/>
                <w:lang w:val="en-GB"/>
              </w:rPr>
              <w:t xml:space="preserve">The most sensitive species in the final species sensitivity distribution (SSD) is the coral </w:t>
            </w:r>
            <w:r w:rsidRPr="009747AF">
              <w:rPr>
                <w:rFonts w:cstheme="minorHAnsi"/>
                <w:i/>
                <w:iCs/>
                <w:sz w:val="18"/>
                <w:szCs w:val="18"/>
                <w:lang w:val="en-GB"/>
              </w:rPr>
              <w:t>Acropora tenuis</w:t>
            </w:r>
            <w:r w:rsidRPr="009747AF">
              <w:rPr>
                <w:rFonts w:cstheme="minorHAnsi"/>
                <w:sz w:val="18"/>
                <w:szCs w:val="18"/>
                <w:lang w:val="en-GB"/>
              </w:rPr>
              <w:t xml:space="preserve">, with a converted </w:t>
            </w:r>
            <w:r w:rsidRPr="009747AF">
              <w:rPr>
                <w:rFonts w:cstheme="minorHAnsi"/>
                <w:sz w:val="18"/>
                <w:szCs w:val="18"/>
                <w:lang w:val="en-GB"/>
              </w:rPr>
              <w:lastRenderedPageBreak/>
              <w:t xml:space="preserve">NOEC of 4 </w:t>
            </w:r>
            <w:proofErr w:type="spellStart"/>
            <w:r w:rsidRPr="009747AF">
              <w:rPr>
                <w:rFonts w:cstheme="minorHAnsi"/>
                <w:sz w:val="18"/>
                <w:szCs w:val="18"/>
                <w:lang w:val="en-GB"/>
              </w:rPr>
              <w:t>μg</w:t>
            </w:r>
            <w:proofErr w:type="spellEnd"/>
            <w:r w:rsidRPr="009747AF">
              <w:rPr>
                <w:rFonts w:cstheme="minorHAnsi"/>
                <w:sz w:val="18"/>
                <w:szCs w:val="18"/>
                <w:lang w:val="en-GB"/>
              </w:rPr>
              <w:t>/L. This species was not amon</w:t>
            </w:r>
            <w:r w:rsidRPr="009747AF">
              <w:rPr>
                <w:rFonts w:cstheme="minorHAnsi"/>
                <w:sz w:val="18"/>
                <w:szCs w:val="18"/>
                <w:lang w:val="en-GB"/>
              </w:rPr>
              <w:t>g the organisms included in the original “preferred” SSD, but it was included as supplemental data when the fit of the Burr III model to the original SSD was deemed to be poor. As such, this study was deemed to be of lower quality than the data from the or</w:t>
            </w:r>
            <w:r w:rsidRPr="009747AF">
              <w:rPr>
                <w:rFonts w:cstheme="minorHAnsi"/>
                <w:sz w:val="18"/>
                <w:szCs w:val="18"/>
                <w:lang w:val="en-GB"/>
              </w:rPr>
              <w:t xml:space="preserve">iginal “preferred” SSD. </w:t>
            </w:r>
          </w:p>
          <w:p w14:paraId="29C9E40F" w14:textId="3C12912D" w:rsidR="009747AF" w:rsidRPr="009747AF" w:rsidRDefault="00BE159E" w:rsidP="009747AF">
            <w:pPr>
              <w:pStyle w:val="ListParagraph"/>
              <w:numPr>
                <w:ilvl w:val="0"/>
                <w:numId w:val="8"/>
              </w:numPr>
              <w:spacing w:before="60" w:after="60" w:line="280" w:lineRule="atLeast"/>
              <w:ind w:left="317" w:hanging="317"/>
              <w:rPr>
                <w:rFonts w:cstheme="minorHAnsi"/>
                <w:sz w:val="18"/>
                <w:szCs w:val="18"/>
                <w:lang w:val="en-GB"/>
              </w:rPr>
            </w:pPr>
            <w:r w:rsidRPr="009747AF">
              <w:rPr>
                <w:rFonts w:cstheme="minorHAnsi"/>
                <w:sz w:val="18"/>
                <w:szCs w:val="18"/>
                <w:lang w:val="en-GB"/>
              </w:rPr>
              <w:t xml:space="preserve">The NOEC from </w:t>
            </w:r>
            <w:proofErr w:type="spellStart"/>
            <w:r w:rsidRPr="009747AF">
              <w:rPr>
                <w:rFonts w:cstheme="minorHAnsi"/>
                <w:sz w:val="18"/>
                <w:szCs w:val="18"/>
                <w:lang w:val="en-GB"/>
              </w:rPr>
              <w:t>Reichelt-Brushett</w:t>
            </w:r>
            <w:proofErr w:type="spellEnd"/>
            <w:r w:rsidRPr="009747AF">
              <w:rPr>
                <w:rFonts w:cstheme="minorHAnsi"/>
                <w:sz w:val="18"/>
                <w:szCs w:val="18"/>
                <w:lang w:val="en-GB"/>
              </w:rPr>
              <w:t xml:space="preserve"> and Harrison (2005) was reported as &lt;10 </w:t>
            </w:r>
            <w:proofErr w:type="spellStart"/>
            <w:r w:rsidRPr="009747AF">
              <w:rPr>
                <w:rFonts w:cstheme="minorHAnsi"/>
                <w:sz w:val="18"/>
                <w:szCs w:val="18"/>
                <w:lang w:val="en-GB"/>
              </w:rPr>
              <w:t>μg</w:t>
            </w:r>
            <w:proofErr w:type="spellEnd"/>
            <w:r w:rsidRPr="009747AF">
              <w:rPr>
                <w:rFonts w:cstheme="minorHAnsi"/>
                <w:sz w:val="18"/>
                <w:szCs w:val="18"/>
                <w:lang w:val="en-GB"/>
              </w:rPr>
              <w:t xml:space="preserve">/L, but it was decided that for conservatism, the LOEC of 10 </w:t>
            </w:r>
            <w:proofErr w:type="spellStart"/>
            <w:r w:rsidRPr="009747AF">
              <w:rPr>
                <w:rFonts w:cstheme="minorHAnsi"/>
                <w:sz w:val="18"/>
                <w:szCs w:val="18"/>
                <w:lang w:val="en-GB"/>
              </w:rPr>
              <w:t>μg</w:t>
            </w:r>
            <w:proofErr w:type="spellEnd"/>
            <w:r w:rsidRPr="009747AF">
              <w:rPr>
                <w:rFonts w:cstheme="minorHAnsi"/>
                <w:sz w:val="18"/>
                <w:szCs w:val="18"/>
                <w:lang w:val="en-GB"/>
              </w:rPr>
              <w:t>/L would be converted to a NOEC by dividing by 2.5. As indicated directly in the text, this is</w:t>
            </w:r>
            <w:r w:rsidRPr="009747AF">
              <w:rPr>
                <w:rFonts w:cstheme="minorHAnsi"/>
                <w:sz w:val="18"/>
                <w:szCs w:val="18"/>
                <w:lang w:val="en-GB"/>
              </w:rPr>
              <w:t xml:space="preserve"> contradictory to the recommendations of Warne et al. (2018). The specific recommendation of Warne et al. (2018) is: “When using ≥, &gt;, ≤, and &lt; values in calculating a GV, the actual value should be used (</w:t>
            </w:r>
            <w:r w:rsidR="00841EF7">
              <w:rPr>
                <w:rFonts w:cstheme="minorHAnsi"/>
                <w:sz w:val="18"/>
                <w:szCs w:val="18"/>
                <w:lang w:val="en-GB"/>
              </w:rPr>
              <w:t xml:space="preserve">e.g., </w:t>
            </w:r>
            <w:r w:rsidRPr="009747AF">
              <w:rPr>
                <w:rFonts w:cstheme="minorHAnsi"/>
                <w:sz w:val="18"/>
                <w:szCs w:val="18"/>
                <w:lang w:val="en-GB"/>
              </w:rPr>
              <w:t xml:space="preserve">a value of &gt;20 </w:t>
            </w:r>
            <w:proofErr w:type="spellStart"/>
            <w:r w:rsidRPr="009747AF">
              <w:rPr>
                <w:rFonts w:cstheme="minorHAnsi"/>
                <w:sz w:val="18"/>
                <w:szCs w:val="18"/>
                <w:lang w:val="en-GB"/>
              </w:rPr>
              <w:t>μg</w:t>
            </w:r>
            <w:proofErr w:type="spellEnd"/>
            <w:r w:rsidRPr="009747AF">
              <w:rPr>
                <w:rFonts w:cstheme="minorHAnsi"/>
                <w:sz w:val="18"/>
                <w:szCs w:val="18"/>
                <w:lang w:val="en-GB"/>
              </w:rPr>
              <w:t xml:space="preserve">/L would, for the purposes of deriving a GV, be used as 20 </w:t>
            </w:r>
            <w:proofErr w:type="spellStart"/>
            <w:r w:rsidRPr="009747AF">
              <w:rPr>
                <w:rFonts w:cstheme="minorHAnsi"/>
                <w:sz w:val="18"/>
                <w:szCs w:val="18"/>
                <w:lang w:val="en-GB"/>
              </w:rPr>
              <w:t>μg</w:t>
            </w:r>
            <w:proofErr w:type="spellEnd"/>
            <w:r w:rsidRPr="009747AF">
              <w:rPr>
                <w:rFonts w:cstheme="minorHAnsi"/>
                <w:sz w:val="18"/>
                <w:szCs w:val="18"/>
                <w:lang w:val="en-GB"/>
              </w:rPr>
              <w:t xml:space="preserve">/L).” Therefore, use of 10 </w:t>
            </w:r>
            <w:proofErr w:type="spellStart"/>
            <w:r w:rsidRPr="009747AF">
              <w:rPr>
                <w:rFonts w:cstheme="minorHAnsi"/>
                <w:sz w:val="18"/>
                <w:szCs w:val="18"/>
                <w:lang w:val="en-GB"/>
              </w:rPr>
              <w:t>μg</w:t>
            </w:r>
            <w:proofErr w:type="spellEnd"/>
            <w:r w:rsidRPr="009747AF">
              <w:rPr>
                <w:rFonts w:cstheme="minorHAnsi"/>
                <w:sz w:val="18"/>
                <w:szCs w:val="18"/>
                <w:lang w:val="en-GB"/>
              </w:rPr>
              <w:t xml:space="preserve">/L for </w:t>
            </w:r>
            <w:r w:rsidRPr="009747AF">
              <w:rPr>
                <w:rFonts w:cstheme="minorHAnsi"/>
                <w:i/>
                <w:iCs/>
                <w:sz w:val="18"/>
                <w:szCs w:val="18"/>
                <w:lang w:val="en-GB"/>
              </w:rPr>
              <w:t>A. tenuis</w:t>
            </w:r>
            <w:r w:rsidRPr="009747AF">
              <w:rPr>
                <w:rFonts w:cstheme="minorHAnsi"/>
                <w:sz w:val="18"/>
                <w:szCs w:val="18"/>
                <w:lang w:val="en-GB"/>
              </w:rPr>
              <w:t xml:space="preserve"> would be appropriate, and consistent with established methods.</w:t>
            </w:r>
          </w:p>
          <w:p w14:paraId="413ED769" w14:textId="21D9B110" w:rsidR="009747AF" w:rsidRPr="009747AF" w:rsidRDefault="00BE159E" w:rsidP="009747AF">
            <w:pPr>
              <w:pStyle w:val="ListParagraph"/>
              <w:numPr>
                <w:ilvl w:val="0"/>
                <w:numId w:val="8"/>
              </w:numPr>
              <w:spacing w:before="60" w:after="60" w:line="280" w:lineRule="atLeast"/>
              <w:ind w:left="317" w:hanging="317"/>
              <w:rPr>
                <w:rFonts w:cstheme="minorHAnsi"/>
                <w:sz w:val="18"/>
                <w:szCs w:val="18"/>
                <w:lang w:val="en-GB"/>
              </w:rPr>
            </w:pPr>
            <w:r w:rsidRPr="009747AF">
              <w:rPr>
                <w:rFonts w:cstheme="minorHAnsi"/>
                <w:sz w:val="18"/>
                <w:szCs w:val="18"/>
                <w:lang w:val="en-GB"/>
              </w:rPr>
              <w:t>However, because of uncertainties in exposure conditions and ambiguit</w:t>
            </w:r>
            <w:r w:rsidRPr="009747AF">
              <w:rPr>
                <w:rFonts w:cstheme="minorHAnsi"/>
                <w:sz w:val="18"/>
                <w:szCs w:val="18"/>
                <w:lang w:val="en-GB"/>
              </w:rPr>
              <w:t>y related to the measurement basis of zinc (</w:t>
            </w:r>
            <w:r w:rsidR="00841EF7">
              <w:rPr>
                <w:rFonts w:cstheme="minorHAnsi"/>
                <w:sz w:val="18"/>
                <w:szCs w:val="18"/>
                <w:lang w:val="en-GB"/>
              </w:rPr>
              <w:t>i.e.</w:t>
            </w:r>
            <w:r w:rsidRPr="009747AF">
              <w:rPr>
                <w:rFonts w:cstheme="minorHAnsi"/>
                <w:sz w:val="18"/>
                <w:szCs w:val="18"/>
                <w:lang w:val="en-GB"/>
              </w:rPr>
              <w:t xml:space="preserve">, measured vs. nominal concentrations reported in </w:t>
            </w:r>
            <w:proofErr w:type="spellStart"/>
            <w:r w:rsidRPr="009747AF">
              <w:rPr>
                <w:rFonts w:cstheme="minorHAnsi"/>
                <w:sz w:val="18"/>
                <w:szCs w:val="18"/>
                <w:lang w:val="en-GB"/>
              </w:rPr>
              <w:t>Reichelt-Brushett</w:t>
            </w:r>
            <w:proofErr w:type="spellEnd"/>
            <w:r w:rsidRPr="009747AF">
              <w:rPr>
                <w:rFonts w:cstheme="minorHAnsi"/>
                <w:sz w:val="18"/>
                <w:szCs w:val="18"/>
                <w:lang w:val="en-GB"/>
              </w:rPr>
              <w:t xml:space="preserve"> and Harrison (2005)), we believe the </w:t>
            </w:r>
            <w:r w:rsidRPr="009747AF">
              <w:rPr>
                <w:rFonts w:cstheme="minorHAnsi"/>
                <w:i/>
                <w:iCs/>
                <w:sz w:val="18"/>
                <w:szCs w:val="18"/>
                <w:lang w:val="en-GB"/>
              </w:rPr>
              <w:t>A. tenuis</w:t>
            </w:r>
            <w:r w:rsidRPr="009747AF">
              <w:rPr>
                <w:rFonts w:cstheme="minorHAnsi"/>
                <w:sz w:val="18"/>
                <w:szCs w:val="18"/>
                <w:lang w:val="en-GB"/>
              </w:rPr>
              <w:t xml:space="preserve"> data from </w:t>
            </w:r>
            <w:proofErr w:type="spellStart"/>
            <w:r w:rsidRPr="009747AF">
              <w:rPr>
                <w:rFonts w:cstheme="minorHAnsi"/>
                <w:sz w:val="18"/>
                <w:szCs w:val="18"/>
                <w:lang w:val="en-GB"/>
              </w:rPr>
              <w:t>Reichelt-</w:t>
            </w:r>
            <w:proofErr w:type="gramStart"/>
            <w:r w:rsidRPr="009747AF">
              <w:rPr>
                <w:rFonts w:cstheme="minorHAnsi"/>
                <w:sz w:val="18"/>
                <w:szCs w:val="18"/>
                <w:lang w:val="en-GB"/>
              </w:rPr>
              <w:t>Brushett</w:t>
            </w:r>
            <w:proofErr w:type="spellEnd"/>
            <w:proofErr w:type="gramEnd"/>
            <w:r w:rsidRPr="009747AF">
              <w:rPr>
                <w:rFonts w:cstheme="minorHAnsi"/>
                <w:sz w:val="18"/>
                <w:szCs w:val="18"/>
                <w:lang w:val="en-GB"/>
              </w:rPr>
              <w:t xml:space="preserve"> and Harrison (2005) should be excluded from the SSD. Specifically</w:t>
            </w:r>
            <w:r w:rsidRPr="009747AF">
              <w:rPr>
                <w:rFonts w:cstheme="minorHAnsi"/>
                <w:sz w:val="18"/>
                <w:szCs w:val="18"/>
                <w:lang w:val="en-GB"/>
              </w:rPr>
              <w:t xml:space="preserve">, most of the figures in </w:t>
            </w:r>
            <w:proofErr w:type="spellStart"/>
            <w:r w:rsidRPr="009747AF">
              <w:rPr>
                <w:rFonts w:cstheme="minorHAnsi"/>
                <w:sz w:val="18"/>
                <w:szCs w:val="18"/>
                <w:lang w:val="en-GB"/>
              </w:rPr>
              <w:t>Reichelt-Brushett</w:t>
            </w:r>
            <w:proofErr w:type="spellEnd"/>
            <w:r w:rsidRPr="009747AF">
              <w:rPr>
                <w:rFonts w:cstheme="minorHAnsi"/>
                <w:sz w:val="18"/>
                <w:szCs w:val="18"/>
                <w:lang w:val="en-GB"/>
              </w:rPr>
              <w:t xml:space="preserve"> and Harrison (2005) include (*) for data representing measured concentrations. The (*) is not included in the zinc figure for </w:t>
            </w:r>
            <w:r w:rsidRPr="009747AF">
              <w:rPr>
                <w:rFonts w:cstheme="minorHAnsi"/>
                <w:i/>
                <w:iCs/>
                <w:sz w:val="18"/>
                <w:szCs w:val="18"/>
                <w:lang w:val="en-GB"/>
              </w:rPr>
              <w:t>A. tenuis</w:t>
            </w:r>
            <w:r w:rsidRPr="009747AF">
              <w:rPr>
                <w:rFonts w:cstheme="minorHAnsi"/>
                <w:sz w:val="18"/>
                <w:szCs w:val="18"/>
                <w:lang w:val="en-GB"/>
              </w:rPr>
              <w:t xml:space="preserve">, introducing some ambiguity. Although it is stated in </w:t>
            </w:r>
            <w:proofErr w:type="spellStart"/>
            <w:r w:rsidRPr="009747AF">
              <w:rPr>
                <w:rFonts w:cstheme="minorHAnsi"/>
                <w:sz w:val="18"/>
                <w:szCs w:val="18"/>
                <w:lang w:val="en-GB"/>
              </w:rPr>
              <w:t>Reichelt-Brushett</w:t>
            </w:r>
            <w:proofErr w:type="spellEnd"/>
            <w:r w:rsidRPr="009747AF">
              <w:rPr>
                <w:rFonts w:cstheme="minorHAnsi"/>
                <w:sz w:val="18"/>
                <w:szCs w:val="18"/>
                <w:lang w:val="en-GB"/>
              </w:rPr>
              <w:t xml:space="preserve"> and H</w:t>
            </w:r>
            <w:r w:rsidRPr="009747AF">
              <w:rPr>
                <w:rFonts w:cstheme="minorHAnsi"/>
                <w:sz w:val="18"/>
                <w:szCs w:val="18"/>
                <w:lang w:val="en-GB"/>
              </w:rPr>
              <w:t>arrison (2005) that all metal concentrations in tests from 1996 were measured, the concentrations reported for zinc, appear to be nominal and the test appears to have been a range-finder toxicity test (</w:t>
            </w:r>
            <w:r w:rsidR="00841EF7">
              <w:rPr>
                <w:rFonts w:cstheme="minorHAnsi"/>
                <w:sz w:val="18"/>
                <w:szCs w:val="18"/>
                <w:lang w:val="en-GB"/>
              </w:rPr>
              <w:t>i.e.,</w:t>
            </w:r>
            <w:r w:rsidRPr="009747AF">
              <w:rPr>
                <w:rFonts w:cstheme="minorHAnsi"/>
                <w:sz w:val="18"/>
                <w:szCs w:val="18"/>
                <w:lang w:val="en-GB"/>
              </w:rPr>
              <w:t xml:space="preserve"> widely spaced treatment levels). For this </w:t>
            </w:r>
            <w:proofErr w:type="gramStart"/>
            <w:r w:rsidRPr="009747AF">
              <w:rPr>
                <w:rFonts w:cstheme="minorHAnsi"/>
                <w:sz w:val="18"/>
                <w:szCs w:val="18"/>
                <w:lang w:val="en-GB"/>
              </w:rPr>
              <w:t>partic</w:t>
            </w:r>
            <w:r w:rsidRPr="009747AF">
              <w:rPr>
                <w:rFonts w:cstheme="minorHAnsi"/>
                <w:sz w:val="18"/>
                <w:szCs w:val="18"/>
                <w:lang w:val="en-GB"/>
              </w:rPr>
              <w:t>ular study</w:t>
            </w:r>
            <w:proofErr w:type="gramEnd"/>
            <w:r w:rsidRPr="009747AF">
              <w:rPr>
                <w:rFonts w:cstheme="minorHAnsi"/>
                <w:sz w:val="18"/>
                <w:szCs w:val="18"/>
                <w:lang w:val="en-GB"/>
              </w:rPr>
              <w:t xml:space="preserve">, NOECs were considered </w:t>
            </w:r>
            <w:r w:rsidR="00CD2FA9" w:rsidRPr="009747AF">
              <w:rPr>
                <w:rFonts w:cstheme="minorHAnsi"/>
                <w:sz w:val="18"/>
                <w:szCs w:val="18"/>
                <w:lang w:val="en-GB"/>
              </w:rPr>
              <w:t>preliminary,</w:t>
            </w:r>
            <w:r w:rsidRPr="009747AF">
              <w:rPr>
                <w:rFonts w:cstheme="minorHAnsi"/>
                <w:sz w:val="18"/>
                <w:szCs w:val="18"/>
                <w:lang w:val="en-GB"/>
              </w:rPr>
              <w:t xml:space="preserve"> and it was indicated that additional study is necessary. This is an especially valid concern, </w:t>
            </w:r>
            <w:r w:rsidRPr="009747AF">
              <w:rPr>
                <w:rFonts w:cstheme="minorHAnsi"/>
                <w:sz w:val="18"/>
                <w:szCs w:val="18"/>
                <w:lang w:val="en-GB"/>
              </w:rPr>
              <w:lastRenderedPageBreak/>
              <w:t xml:space="preserve">given that the NOECs for other corals described in Table 3 (of </w:t>
            </w:r>
            <w:proofErr w:type="spellStart"/>
            <w:r w:rsidRPr="009747AF">
              <w:rPr>
                <w:rFonts w:cstheme="minorHAnsi"/>
                <w:sz w:val="18"/>
                <w:szCs w:val="18"/>
                <w:lang w:val="en-GB"/>
              </w:rPr>
              <w:t>Reichelt-Brushett</w:t>
            </w:r>
            <w:proofErr w:type="spellEnd"/>
            <w:r w:rsidRPr="009747AF">
              <w:rPr>
                <w:rFonts w:cstheme="minorHAnsi"/>
                <w:sz w:val="18"/>
                <w:szCs w:val="18"/>
                <w:lang w:val="en-GB"/>
              </w:rPr>
              <w:t xml:space="preserve"> and Harrison (2005)) are at least </w:t>
            </w:r>
            <w:r w:rsidRPr="009747AF">
              <w:rPr>
                <w:rFonts w:cstheme="minorHAnsi"/>
                <w:sz w:val="18"/>
                <w:szCs w:val="18"/>
                <w:lang w:val="en-GB"/>
              </w:rPr>
              <w:t>50-fold higher.</w:t>
            </w:r>
          </w:p>
          <w:p w14:paraId="22DAA752" w14:textId="77777777" w:rsidR="009747AF" w:rsidRPr="009747AF" w:rsidRDefault="00BE159E" w:rsidP="009747AF">
            <w:pPr>
              <w:pStyle w:val="ListParagraph"/>
              <w:numPr>
                <w:ilvl w:val="0"/>
                <w:numId w:val="8"/>
              </w:numPr>
              <w:spacing w:before="60" w:after="60" w:line="280" w:lineRule="atLeast"/>
              <w:ind w:left="317" w:hanging="284"/>
              <w:rPr>
                <w:rFonts w:cstheme="minorHAnsi"/>
                <w:sz w:val="18"/>
                <w:szCs w:val="18"/>
                <w:lang w:val="en-GB"/>
              </w:rPr>
            </w:pPr>
            <w:r w:rsidRPr="009747AF">
              <w:rPr>
                <w:rFonts w:cstheme="minorHAnsi"/>
                <w:sz w:val="18"/>
                <w:szCs w:val="18"/>
                <w:lang w:val="en-GB"/>
              </w:rPr>
              <w:t xml:space="preserve">Additionally, upon review of the database, and original publication, the </w:t>
            </w:r>
            <w:proofErr w:type="spellStart"/>
            <w:r w:rsidRPr="009747AF">
              <w:rPr>
                <w:rFonts w:cstheme="minorHAnsi"/>
                <w:sz w:val="18"/>
                <w:szCs w:val="18"/>
                <w:lang w:val="en-GB"/>
              </w:rPr>
              <w:t>Reichelt-Brushett</w:t>
            </w:r>
            <w:proofErr w:type="spellEnd"/>
            <w:r w:rsidRPr="009747AF">
              <w:rPr>
                <w:rFonts w:cstheme="minorHAnsi"/>
                <w:sz w:val="18"/>
                <w:szCs w:val="18"/>
                <w:lang w:val="en-GB"/>
              </w:rPr>
              <w:t xml:space="preserve"> and Harrison (2005) study does not report any </w:t>
            </w:r>
            <w:proofErr w:type="spellStart"/>
            <w:r w:rsidRPr="009747AF">
              <w:rPr>
                <w:rFonts w:cstheme="minorHAnsi"/>
                <w:sz w:val="18"/>
                <w:szCs w:val="18"/>
                <w:lang w:val="en-GB"/>
              </w:rPr>
              <w:t>physico</w:t>
            </w:r>
            <w:proofErr w:type="spellEnd"/>
            <w:r w:rsidRPr="009747AF">
              <w:rPr>
                <w:rFonts w:cstheme="minorHAnsi"/>
                <w:sz w:val="18"/>
                <w:szCs w:val="18"/>
                <w:lang w:val="en-GB"/>
              </w:rPr>
              <w:t>-chemistry data, including pH, salinity, temperature, or dissolved oxygen. Exposures were performed in “sperm fr</w:t>
            </w:r>
            <w:r w:rsidRPr="009747AF">
              <w:rPr>
                <w:rFonts w:cstheme="minorHAnsi"/>
                <w:sz w:val="18"/>
                <w:szCs w:val="18"/>
                <w:lang w:val="en-GB"/>
              </w:rPr>
              <w:t xml:space="preserve">ee seawater”, but the source or details related to the exposure chemistry were not provided. Therefore, it is not possible to determine if the study satisfies the salinity criterion, without assumption. Based on the stated concerns, we recommend that this </w:t>
            </w:r>
            <w:r w:rsidRPr="009747AF">
              <w:rPr>
                <w:rFonts w:cstheme="minorHAnsi"/>
                <w:sz w:val="18"/>
                <w:szCs w:val="18"/>
                <w:lang w:val="en-GB"/>
              </w:rPr>
              <w:t xml:space="preserve">study be excluded from the DGV derivation, or that additional rationale be provided for its use. </w:t>
            </w:r>
          </w:p>
        </w:tc>
        <w:tc>
          <w:tcPr>
            <w:tcW w:w="5528" w:type="dxa"/>
          </w:tcPr>
          <w:p w14:paraId="3951B5E7" w14:textId="77777777" w:rsidR="009747AF" w:rsidRPr="009747AF" w:rsidRDefault="00BE159E" w:rsidP="00824E16">
            <w:pPr>
              <w:spacing w:before="60" w:after="60" w:line="280" w:lineRule="atLeast"/>
              <w:rPr>
                <w:rFonts w:asciiTheme="minorHAnsi" w:hAnsiTheme="minorHAnsi" w:cstheme="minorHAnsi"/>
                <w:iCs/>
                <w:sz w:val="18"/>
                <w:szCs w:val="18"/>
              </w:rPr>
            </w:pPr>
            <w:r w:rsidRPr="009747AF">
              <w:rPr>
                <w:rFonts w:asciiTheme="minorHAnsi" w:hAnsiTheme="minorHAnsi" w:cstheme="minorHAnsi"/>
                <w:iCs/>
                <w:sz w:val="18"/>
                <w:szCs w:val="18"/>
              </w:rPr>
              <w:lastRenderedPageBreak/>
              <w:t xml:space="preserve">Queries over the reliability and treatment of the </w:t>
            </w:r>
            <w:r w:rsidRPr="009747AF">
              <w:rPr>
                <w:rFonts w:asciiTheme="minorHAnsi" w:hAnsiTheme="minorHAnsi" w:cstheme="minorHAnsi"/>
                <w:i/>
                <w:sz w:val="18"/>
                <w:szCs w:val="18"/>
              </w:rPr>
              <w:t>Acropora tenuis</w:t>
            </w:r>
            <w:r w:rsidRPr="009747AF">
              <w:rPr>
                <w:rFonts w:asciiTheme="minorHAnsi" w:hAnsiTheme="minorHAnsi" w:cstheme="minorHAnsi"/>
                <w:iCs/>
                <w:sz w:val="18"/>
                <w:szCs w:val="18"/>
              </w:rPr>
              <w:t xml:space="preserve"> toxicity value are noted, and dealt with below:</w:t>
            </w:r>
          </w:p>
          <w:p w14:paraId="0EBC32D7" w14:textId="77777777" w:rsidR="009747AF" w:rsidRPr="009747AF" w:rsidRDefault="00BE159E" w:rsidP="009747AF">
            <w:pPr>
              <w:pStyle w:val="ListParagraph"/>
              <w:numPr>
                <w:ilvl w:val="0"/>
                <w:numId w:val="7"/>
              </w:numPr>
              <w:spacing w:before="60" w:after="60" w:line="280" w:lineRule="atLeast"/>
              <w:ind w:left="285" w:hanging="283"/>
              <w:rPr>
                <w:rFonts w:cstheme="minorHAnsi"/>
                <w:iCs/>
                <w:sz w:val="18"/>
                <w:szCs w:val="18"/>
              </w:rPr>
            </w:pPr>
            <w:r w:rsidRPr="009747AF">
              <w:rPr>
                <w:rFonts w:cstheme="minorHAnsi"/>
                <w:iCs/>
                <w:sz w:val="18"/>
                <w:szCs w:val="18"/>
              </w:rPr>
              <w:t xml:space="preserve">As the value of 10 µg/L represented a LOEC, </w:t>
            </w:r>
            <w:r w:rsidRPr="009747AF">
              <w:rPr>
                <w:rFonts w:cstheme="minorHAnsi"/>
                <w:iCs/>
                <w:sz w:val="18"/>
                <w:szCs w:val="18"/>
              </w:rPr>
              <w:t xml:space="preserve">it does not represent any of the more preferred toxicity estimates of NEC, EC10, NOEC. </w:t>
            </w:r>
            <w:r w:rsidRPr="009747AF">
              <w:rPr>
                <w:rFonts w:cstheme="minorHAnsi"/>
                <w:iCs/>
                <w:sz w:val="18"/>
                <w:szCs w:val="18"/>
              </w:rPr>
              <w:lastRenderedPageBreak/>
              <w:t>However, values representing LOECs or EC50s can be used where there are insufficient preferred values to enable the derivation of the GVs or where the fit of the SSD mod</w:t>
            </w:r>
            <w:r w:rsidRPr="009747AF">
              <w:rPr>
                <w:rFonts w:cstheme="minorHAnsi"/>
                <w:iCs/>
                <w:sz w:val="18"/>
                <w:szCs w:val="18"/>
              </w:rPr>
              <w:t>el is poor and the inclusion of (converted) LOEC or EC50 data will improve the model fit. This was the case for the zinc marine DGVs, where an additional nine LOEC/EC50 values were added to the dataset of eight EC/LC10, EC20 and NOEC values.</w:t>
            </w:r>
          </w:p>
          <w:p w14:paraId="64F7265D" w14:textId="1E010659" w:rsidR="009747AF" w:rsidRPr="009747AF" w:rsidRDefault="00BE159E" w:rsidP="009747AF">
            <w:pPr>
              <w:pStyle w:val="ListParagraph"/>
              <w:numPr>
                <w:ilvl w:val="0"/>
                <w:numId w:val="7"/>
              </w:numPr>
              <w:spacing w:before="60" w:after="60" w:line="280" w:lineRule="atLeast"/>
              <w:ind w:left="285" w:hanging="283"/>
              <w:rPr>
                <w:rFonts w:cstheme="minorHAnsi"/>
                <w:iCs/>
                <w:sz w:val="18"/>
                <w:szCs w:val="18"/>
              </w:rPr>
            </w:pPr>
            <w:r w:rsidRPr="009747AF">
              <w:rPr>
                <w:rFonts w:cstheme="minorHAnsi"/>
                <w:iCs/>
                <w:sz w:val="18"/>
                <w:szCs w:val="18"/>
              </w:rPr>
              <w:t xml:space="preserve">It is </w:t>
            </w:r>
            <w:r w:rsidRPr="009747AF">
              <w:rPr>
                <w:rFonts w:cstheme="minorHAnsi"/>
                <w:iCs/>
                <w:sz w:val="18"/>
                <w:szCs w:val="18"/>
              </w:rPr>
              <w:t>acknowledged that the decision to treat the value as a LOEC is contradictory to the guidance in Warne et al. (2018). However, the guidance in Warne et al. (2018) on how to treat &lt;/≤ and &gt;/≥ values does not appropriately capture the specific details of, and</w:t>
            </w:r>
            <w:r w:rsidRPr="009747AF">
              <w:rPr>
                <w:rFonts w:cstheme="minorHAnsi"/>
                <w:iCs/>
                <w:sz w:val="18"/>
                <w:szCs w:val="18"/>
              </w:rPr>
              <w:t xml:space="preserve"> differences between, &lt;/≤ and &gt;/≥ values, and will be corrected in the next update to the method. “&lt;” values are typically reported where there is a statistically significant effect relative to the controls at the lowest concentration tested. As such, they</w:t>
            </w:r>
            <w:r w:rsidRPr="009747AF">
              <w:rPr>
                <w:rFonts w:cstheme="minorHAnsi"/>
                <w:iCs/>
                <w:sz w:val="18"/>
                <w:szCs w:val="18"/>
              </w:rPr>
              <w:t xml:space="preserve"> do not represent NOECs and should not be automatically used as reported (noting that </w:t>
            </w:r>
            <w:proofErr w:type="spellStart"/>
            <w:r w:rsidRPr="009747AF">
              <w:rPr>
                <w:rFonts w:cstheme="minorHAnsi"/>
                <w:iCs/>
                <w:sz w:val="18"/>
                <w:szCs w:val="18"/>
              </w:rPr>
              <w:t>Burrlioz</w:t>
            </w:r>
            <w:proofErr w:type="spellEnd"/>
            <w:r w:rsidRPr="009747AF">
              <w:rPr>
                <w:rFonts w:cstheme="minorHAnsi"/>
                <w:iCs/>
                <w:sz w:val="18"/>
                <w:szCs w:val="18"/>
              </w:rPr>
              <w:t xml:space="preserve"> 2.0 does not have the ability to handle censored data, so rules on how to treat such data are required). It is more appropriate to judge “&lt;” values on a case-by-</w:t>
            </w:r>
            <w:r w:rsidRPr="009747AF">
              <w:rPr>
                <w:rFonts w:cstheme="minorHAnsi"/>
                <w:iCs/>
                <w:sz w:val="18"/>
                <w:szCs w:val="18"/>
              </w:rPr>
              <w:t>case basis to determine whether they should be treated equivalent to a NOEC or a LOEC (</w:t>
            </w:r>
            <w:r w:rsidR="00841EF7">
              <w:rPr>
                <w:rFonts w:cstheme="minorHAnsi"/>
                <w:iCs/>
                <w:sz w:val="18"/>
                <w:szCs w:val="18"/>
              </w:rPr>
              <w:t>i.e.,</w:t>
            </w:r>
            <w:r w:rsidRPr="009747AF">
              <w:rPr>
                <w:rFonts w:cstheme="minorHAnsi"/>
                <w:iCs/>
                <w:sz w:val="18"/>
                <w:szCs w:val="18"/>
              </w:rPr>
              <w:t xml:space="preserve"> </w:t>
            </w:r>
            <w:proofErr w:type="gramStart"/>
            <w:r w:rsidRPr="009747AF">
              <w:rPr>
                <w:rFonts w:cstheme="minorHAnsi"/>
                <w:iCs/>
                <w:sz w:val="18"/>
                <w:szCs w:val="18"/>
              </w:rPr>
              <w:t>whether or not</w:t>
            </w:r>
            <w:proofErr w:type="gramEnd"/>
            <w:r w:rsidRPr="009747AF">
              <w:rPr>
                <w:rFonts w:cstheme="minorHAnsi"/>
                <w:iCs/>
                <w:sz w:val="18"/>
                <w:szCs w:val="18"/>
              </w:rPr>
              <w:t xml:space="preserve"> a conversion factor should be applied to the value). This can be done by considering the measured effect size at this concentration. In the case of </w:t>
            </w:r>
            <w:r w:rsidRPr="009747AF">
              <w:rPr>
                <w:rFonts w:cstheme="minorHAnsi"/>
                <w:i/>
                <w:sz w:val="18"/>
                <w:szCs w:val="18"/>
              </w:rPr>
              <w:t>A. tenuis</w:t>
            </w:r>
            <w:r w:rsidRPr="009747AF">
              <w:rPr>
                <w:rFonts w:cstheme="minorHAnsi"/>
                <w:iCs/>
                <w:sz w:val="18"/>
                <w:szCs w:val="18"/>
              </w:rPr>
              <w:t>, the effect size was ~25%. As Warne et al. (2018) prefers the use of negligible effect (</w:t>
            </w:r>
            <w:r w:rsidR="00841EF7">
              <w:rPr>
                <w:rFonts w:cstheme="minorHAnsi"/>
                <w:iCs/>
                <w:sz w:val="18"/>
                <w:szCs w:val="18"/>
              </w:rPr>
              <w:t>i.e.,</w:t>
            </w:r>
            <w:r w:rsidRPr="009747AF">
              <w:rPr>
                <w:rFonts w:cstheme="minorHAnsi"/>
                <w:iCs/>
                <w:sz w:val="18"/>
                <w:szCs w:val="18"/>
              </w:rPr>
              <w:t xml:space="preserve"> no effect or ≤10% effect) data for GV derivation, it is reasonable to conclude that a “&lt;” value with an effect size of ~25% should be converted to a neg</w:t>
            </w:r>
            <w:r w:rsidRPr="009747AF">
              <w:rPr>
                <w:rFonts w:cstheme="minorHAnsi"/>
                <w:iCs/>
                <w:sz w:val="18"/>
                <w:szCs w:val="18"/>
              </w:rPr>
              <w:t>ligible effect (</w:t>
            </w:r>
            <w:r w:rsidR="00841EF7">
              <w:rPr>
                <w:rFonts w:cstheme="minorHAnsi"/>
                <w:iCs/>
                <w:sz w:val="18"/>
                <w:szCs w:val="18"/>
              </w:rPr>
              <w:t>i.e.,</w:t>
            </w:r>
            <w:r w:rsidRPr="009747AF">
              <w:rPr>
                <w:rFonts w:cstheme="minorHAnsi"/>
                <w:iCs/>
                <w:sz w:val="18"/>
                <w:szCs w:val="18"/>
              </w:rPr>
              <w:t xml:space="preserve"> EC10/NOEC) equivalent. In doing so, it is reasonable to use the LOEC to NOEC/EC10 default conversion factor of 2.5. Such a conservative approach is consistent with the purpose of DGVs to help protect aquatic ecosystems.</w:t>
            </w:r>
          </w:p>
          <w:p w14:paraId="7887A9D4" w14:textId="77777777" w:rsidR="009747AF" w:rsidRPr="009747AF" w:rsidRDefault="00BE159E" w:rsidP="009747AF">
            <w:pPr>
              <w:pStyle w:val="ListParagraph"/>
              <w:numPr>
                <w:ilvl w:val="0"/>
                <w:numId w:val="7"/>
              </w:numPr>
              <w:spacing w:before="60" w:after="60" w:line="280" w:lineRule="atLeast"/>
              <w:ind w:left="285" w:hanging="283"/>
              <w:rPr>
                <w:rFonts w:cstheme="minorHAnsi"/>
                <w:sz w:val="18"/>
                <w:szCs w:val="18"/>
                <w:lang w:val="en-GB"/>
              </w:rPr>
            </w:pPr>
            <w:r w:rsidRPr="009747AF">
              <w:rPr>
                <w:rFonts w:cstheme="minorHAnsi"/>
                <w:iCs/>
                <w:sz w:val="18"/>
                <w:szCs w:val="18"/>
              </w:rPr>
              <w:lastRenderedPageBreak/>
              <w:t>It is acknowle</w:t>
            </w:r>
            <w:r w:rsidRPr="009747AF">
              <w:rPr>
                <w:rFonts w:cstheme="minorHAnsi"/>
                <w:iCs/>
                <w:sz w:val="18"/>
                <w:szCs w:val="18"/>
              </w:rPr>
              <w:t xml:space="preserve">dged that the test in question used </w:t>
            </w:r>
            <w:proofErr w:type="gramStart"/>
            <w:r w:rsidRPr="009747AF">
              <w:rPr>
                <w:rFonts w:cstheme="minorHAnsi"/>
                <w:iCs/>
                <w:sz w:val="18"/>
                <w:szCs w:val="18"/>
              </w:rPr>
              <w:t>widely-spaced</w:t>
            </w:r>
            <w:proofErr w:type="gramEnd"/>
            <w:r w:rsidRPr="009747AF">
              <w:rPr>
                <w:rFonts w:cstheme="minorHAnsi"/>
                <w:iCs/>
                <w:sz w:val="18"/>
                <w:szCs w:val="18"/>
              </w:rPr>
              <w:t xml:space="preserve"> concentrations. However, the recommendations provided in Warne et al. (2018) on how to deal with such data were appropriately followed. </w:t>
            </w:r>
            <w:r w:rsidRPr="009747AF">
              <w:rPr>
                <w:rFonts w:cstheme="minorHAnsi"/>
                <w:sz w:val="18"/>
                <w:szCs w:val="18"/>
                <w:lang w:val="en-GB"/>
              </w:rPr>
              <w:t xml:space="preserve">It is also acknowledged that </w:t>
            </w:r>
            <w:proofErr w:type="spellStart"/>
            <w:r w:rsidRPr="009747AF">
              <w:rPr>
                <w:rFonts w:cstheme="minorHAnsi"/>
                <w:sz w:val="18"/>
                <w:szCs w:val="18"/>
                <w:lang w:val="en-GB"/>
              </w:rPr>
              <w:t>Reichelt-Brushett</w:t>
            </w:r>
            <w:proofErr w:type="spellEnd"/>
            <w:r w:rsidRPr="009747AF">
              <w:rPr>
                <w:rFonts w:cstheme="minorHAnsi"/>
                <w:sz w:val="18"/>
                <w:szCs w:val="18"/>
                <w:lang w:val="en-GB"/>
              </w:rPr>
              <w:t xml:space="preserve"> and Harrison (2005) sta</w:t>
            </w:r>
            <w:r w:rsidRPr="009747AF">
              <w:rPr>
                <w:rFonts w:cstheme="minorHAnsi"/>
                <w:sz w:val="18"/>
                <w:szCs w:val="18"/>
                <w:lang w:val="en-GB"/>
              </w:rPr>
              <w:t>ted that the NOEC values for zinc and other metals “…are preliminary and further experiments should be done to verify these values.” and also that, given the apparently variable responses of different coral species to zinc exposure, “…further experiments s</w:t>
            </w:r>
            <w:r w:rsidRPr="009747AF">
              <w:rPr>
                <w:rFonts w:cstheme="minorHAnsi"/>
                <w:sz w:val="18"/>
                <w:szCs w:val="18"/>
                <w:lang w:val="en-GB"/>
              </w:rPr>
              <w:t xml:space="preserve">hould be done to assess the variability in the effects of zinc on fertilization success.” These are appropriate statements given the nature of the data; however, they do not necessarily render the data inappropriate for use in the DGV derivation. </w:t>
            </w:r>
          </w:p>
          <w:p w14:paraId="078B2760" w14:textId="77777777" w:rsidR="009747AF" w:rsidRPr="009747AF" w:rsidRDefault="00BE159E" w:rsidP="00824E16">
            <w:pPr>
              <w:spacing w:before="60" w:after="60" w:line="280" w:lineRule="atLeast"/>
              <w:ind w:left="285"/>
              <w:rPr>
                <w:rFonts w:asciiTheme="minorHAnsi" w:hAnsiTheme="minorHAnsi" w:cstheme="minorHAnsi"/>
                <w:sz w:val="18"/>
                <w:szCs w:val="18"/>
                <w:lang w:val="en-GB"/>
              </w:rPr>
            </w:pPr>
            <w:r w:rsidRPr="009747AF">
              <w:rPr>
                <w:rFonts w:asciiTheme="minorHAnsi" w:hAnsiTheme="minorHAnsi" w:cstheme="minorHAnsi"/>
                <w:sz w:val="18"/>
                <w:szCs w:val="18"/>
                <w:lang w:val="en-GB"/>
              </w:rPr>
              <w:t>The zinc</w:t>
            </w:r>
            <w:r w:rsidRPr="009747AF">
              <w:rPr>
                <w:rFonts w:asciiTheme="minorHAnsi" w:hAnsiTheme="minorHAnsi" w:cstheme="minorHAnsi"/>
                <w:sz w:val="18"/>
                <w:szCs w:val="18"/>
                <w:lang w:val="en-GB"/>
              </w:rPr>
              <w:t xml:space="preserve"> toxicity value for </w:t>
            </w:r>
            <w:r w:rsidRPr="009747AF">
              <w:rPr>
                <w:rFonts w:asciiTheme="minorHAnsi" w:hAnsiTheme="minorHAnsi" w:cstheme="minorHAnsi"/>
                <w:i/>
                <w:iCs/>
                <w:sz w:val="18"/>
                <w:szCs w:val="18"/>
                <w:lang w:val="en-GB"/>
              </w:rPr>
              <w:t>A. tenuis</w:t>
            </w:r>
            <w:r w:rsidRPr="009747AF">
              <w:rPr>
                <w:rFonts w:asciiTheme="minorHAnsi" w:hAnsiTheme="minorHAnsi" w:cstheme="minorHAnsi"/>
                <w:sz w:val="18"/>
                <w:szCs w:val="18"/>
                <w:lang w:val="en-GB"/>
              </w:rPr>
              <w:t xml:space="preserve"> was extracted from the Australasian Ecotoxicity Database (Langdon et al. 2009), which quality assessed the data based on the scoring method developed by Hobbs et al. (2005), and which is </w:t>
            </w:r>
            <w:proofErr w:type="gramStart"/>
            <w:r w:rsidRPr="009747AF">
              <w:rPr>
                <w:rFonts w:asciiTheme="minorHAnsi" w:hAnsiTheme="minorHAnsi" w:cstheme="minorHAnsi"/>
                <w:sz w:val="18"/>
                <w:szCs w:val="18"/>
                <w:lang w:val="en-GB"/>
              </w:rPr>
              <w:t>similar to</w:t>
            </w:r>
            <w:proofErr w:type="gramEnd"/>
            <w:r w:rsidRPr="009747AF">
              <w:rPr>
                <w:rFonts w:asciiTheme="minorHAnsi" w:hAnsiTheme="minorHAnsi" w:cstheme="minorHAnsi"/>
                <w:sz w:val="18"/>
                <w:szCs w:val="18"/>
                <w:lang w:val="en-GB"/>
              </w:rPr>
              <w:t xml:space="preserve"> that used by Warne et al. (2</w:t>
            </w:r>
            <w:r w:rsidRPr="009747AF">
              <w:rPr>
                <w:rFonts w:asciiTheme="minorHAnsi" w:hAnsiTheme="minorHAnsi" w:cstheme="minorHAnsi"/>
                <w:sz w:val="18"/>
                <w:szCs w:val="18"/>
                <w:lang w:val="en-GB"/>
              </w:rPr>
              <w:t xml:space="preserve">018), where a score of &gt;50% indicates the data are acceptable to use for DGV derivation (unless major flaws indicate otherwise). Langdon et al. (2009) reported a quality score of 71% for this test. To check this, the ANZG Technical Manager scored the test </w:t>
            </w:r>
            <w:r w:rsidRPr="009747AF">
              <w:rPr>
                <w:rFonts w:asciiTheme="minorHAnsi" w:hAnsiTheme="minorHAnsi" w:cstheme="minorHAnsi"/>
                <w:sz w:val="18"/>
                <w:szCs w:val="18"/>
                <w:lang w:val="en-GB"/>
              </w:rPr>
              <w:t xml:space="preserve">using the Warne et al. (2018) scoring method, which yielded a score of 60%. Whilst </w:t>
            </w:r>
            <w:proofErr w:type="gramStart"/>
            <w:r w:rsidRPr="009747AF">
              <w:rPr>
                <w:rFonts w:asciiTheme="minorHAnsi" w:hAnsiTheme="minorHAnsi" w:cstheme="minorHAnsi"/>
                <w:sz w:val="18"/>
                <w:szCs w:val="18"/>
                <w:lang w:val="en-GB"/>
              </w:rPr>
              <w:t>both of these</w:t>
            </w:r>
            <w:proofErr w:type="gramEnd"/>
            <w:r w:rsidRPr="009747AF">
              <w:rPr>
                <w:rFonts w:asciiTheme="minorHAnsi" w:hAnsiTheme="minorHAnsi" w:cstheme="minorHAnsi"/>
                <w:sz w:val="18"/>
                <w:szCs w:val="18"/>
                <w:lang w:val="en-GB"/>
              </w:rPr>
              <w:t xml:space="preserve"> scores are on the lower end of acceptability, the data are still deemed acceptable for use in derivation of DGVs. </w:t>
            </w:r>
          </w:p>
          <w:p w14:paraId="00723D02" w14:textId="77777777" w:rsidR="009747AF" w:rsidRPr="009747AF" w:rsidRDefault="00BE159E" w:rsidP="009747AF">
            <w:pPr>
              <w:pStyle w:val="ListParagraph"/>
              <w:numPr>
                <w:ilvl w:val="0"/>
                <w:numId w:val="7"/>
              </w:numPr>
              <w:spacing w:before="60" w:after="60" w:line="280" w:lineRule="atLeast"/>
              <w:ind w:left="285" w:hanging="283"/>
              <w:rPr>
                <w:rFonts w:cstheme="minorHAnsi"/>
                <w:sz w:val="18"/>
                <w:szCs w:val="18"/>
              </w:rPr>
            </w:pPr>
            <w:r w:rsidRPr="009747AF">
              <w:rPr>
                <w:rFonts w:cstheme="minorHAnsi"/>
                <w:sz w:val="18"/>
                <w:szCs w:val="18"/>
                <w:lang w:val="en-GB"/>
              </w:rPr>
              <w:t>The primary author was contacted for clarifi</w:t>
            </w:r>
            <w:r w:rsidRPr="009747AF">
              <w:rPr>
                <w:rFonts w:cstheme="minorHAnsi"/>
                <w:sz w:val="18"/>
                <w:szCs w:val="18"/>
                <w:lang w:val="en-GB"/>
              </w:rPr>
              <w:t>cation on the measurement of zinc concentrations. The primary author confirmed that the zinc concentrations were in fact not measured. Notably, no data based on nominal concentrations were used for the DGVs derivation. Warne et al. (2018) states that “</w:t>
            </w:r>
            <w:r w:rsidRPr="009747AF">
              <w:rPr>
                <w:rFonts w:cstheme="minorHAnsi"/>
                <w:sz w:val="18"/>
                <w:szCs w:val="18"/>
              </w:rPr>
              <w:t>Norm</w:t>
            </w:r>
            <w:r w:rsidRPr="009747AF">
              <w:rPr>
                <w:rFonts w:cstheme="minorHAnsi"/>
                <w:sz w:val="18"/>
                <w:szCs w:val="18"/>
              </w:rPr>
              <w:t xml:space="preserve">ally, toxicity data calculated using nominal concentration data would not be used to derive GVs; however, professional judgement can be used to include such data provided a justification for their use is provided…”. The </w:t>
            </w:r>
            <w:r w:rsidRPr="009747AF">
              <w:rPr>
                <w:rFonts w:cstheme="minorHAnsi"/>
                <w:i/>
                <w:iCs/>
                <w:sz w:val="18"/>
                <w:szCs w:val="18"/>
              </w:rPr>
              <w:t xml:space="preserve">A. </w:t>
            </w:r>
            <w:r w:rsidRPr="009747AF">
              <w:rPr>
                <w:rFonts w:cstheme="minorHAnsi"/>
                <w:i/>
                <w:iCs/>
                <w:sz w:val="18"/>
                <w:szCs w:val="18"/>
              </w:rPr>
              <w:lastRenderedPageBreak/>
              <w:t>tenuis</w:t>
            </w:r>
            <w:r w:rsidRPr="009747AF">
              <w:rPr>
                <w:rFonts w:cstheme="minorHAnsi"/>
                <w:sz w:val="18"/>
                <w:szCs w:val="18"/>
              </w:rPr>
              <w:t xml:space="preserve"> nominal value is, upon conversion to a negligible effect concentration, the lowest value in the dataset, by a small margin (just below the NOEC value of 5 µg/L for the scallop, </w:t>
            </w:r>
            <w:proofErr w:type="spellStart"/>
            <w:r w:rsidRPr="009747AF">
              <w:rPr>
                <w:rFonts w:cstheme="minorHAnsi"/>
                <w:i/>
                <w:iCs/>
                <w:sz w:val="18"/>
                <w:szCs w:val="18"/>
                <w:lang w:val="en-GB"/>
              </w:rPr>
              <w:t>Mimachlamys</w:t>
            </w:r>
            <w:proofErr w:type="spellEnd"/>
            <w:r w:rsidRPr="009747AF">
              <w:rPr>
                <w:rFonts w:cstheme="minorHAnsi"/>
                <w:i/>
                <w:iCs/>
                <w:sz w:val="18"/>
                <w:szCs w:val="18"/>
                <w:lang w:val="en-GB"/>
              </w:rPr>
              <w:t xml:space="preserve"> </w:t>
            </w:r>
            <w:proofErr w:type="spellStart"/>
            <w:r w:rsidRPr="009747AF">
              <w:rPr>
                <w:rFonts w:cstheme="minorHAnsi"/>
                <w:i/>
                <w:iCs/>
                <w:sz w:val="18"/>
                <w:szCs w:val="18"/>
                <w:lang w:val="en-GB"/>
              </w:rPr>
              <w:t>asperrima</w:t>
            </w:r>
            <w:proofErr w:type="spellEnd"/>
            <w:r w:rsidRPr="009747AF">
              <w:rPr>
                <w:rFonts w:cstheme="minorHAnsi"/>
                <w:sz w:val="18"/>
                <w:szCs w:val="18"/>
                <w:lang w:val="en-GB"/>
              </w:rPr>
              <w:t>). Without conversion, it would be the 3</w:t>
            </w:r>
            <w:r w:rsidRPr="009747AF">
              <w:rPr>
                <w:rFonts w:cstheme="minorHAnsi"/>
                <w:sz w:val="18"/>
                <w:szCs w:val="18"/>
                <w:vertAlign w:val="superscript"/>
                <w:lang w:val="en-GB"/>
              </w:rPr>
              <w:t>rd</w:t>
            </w:r>
            <w:r w:rsidRPr="009747AF">
              <w:rPr>
                <w:rFonts w:cstheme="minorHAnsi"/>
                <w:sz w:val="18"/>
                <w:szCs w:val="18"/>
                <w:lang w:val="en-GB"/>
              </w:rPr>
              <w:t xml:space="preserve"> lowest value i</w:t>
            </w:r>
            <w:r w:rsidRPr="009747AF">
              <w:rPr>
                <w:rFonts w:cstheme="minorHAnsi"/>
                <w:sz w:val="18"/>
                <w:szCs w:val="18"/>
                <w:lang w:val="en-GB"/>
              </w:rPr>
              <w:t>n the dataset.</w:t>
            </w:r>
          </w:p>
          <w:p w14:paraId="399B32DE" w14:textId="661B8E5C" w:rsidR="009747AF" w:rsidRPr="009747AF" w:rsidRDefault="00BE159E" w:rsidP="00824E16">
            <w:pPr>
              <w:spacing w:before="60" w:after="60" w:line="280" w:lineRule="atLeast"/>
              <w:ind w:left="285"/>
              <w:rPr>
                <w:rFonts w:asciiTheme="minorHAnsi" w:hAnsiTheme="minorHAnsi" w:cstheme="minorHAnsi"/>
                <w:sz w:val="18"/>
                <w:szCs w:val="18"/>
              </w:rPr>
            </w:pPr>
            <w:r w:rsidRPr="009747AF">
              <w:rPr>
                <w:rFonts w:asciiTheme="minorHAnsi" w:hAnsiTheme="minorHAnsi" w:cstheme="minorHAnsi"/>
                <w:sz w:val="18"/>
                <w:szCs w:val="18"/>
              </w:rPr>
              <w:t xml:space="preserve">To be consistent with the exclusion of all other data based on nominal </w:t>
            </w:r>
            <w:proofErr w:type="gramStart"/>
            <w:r w:rsidRPr="009747AF">
              <w:rPr>
                <w:rFonts w:asciiTheme="minorHAnsi" w:hAnsiTheme="minorHAnsi" w:cstheme="minorHAnsi"/>
                <w:sz w:val="18"/>
                <w:szCs w:val="18"/>
              </w:rPr>
              <w:t>concentrations, and</w:t>
            </w:r>
            <w:proofErr w:type="gramEnd"/>
            <w:r w:rsidRPr="009747AF">
              <w:rPr>
                <w:rFonts w:asciiTheme="minorHAnsi" w:hAnsiTheme="minorHAnsi" w:cstheme="minorHAnsi"/>
                <w:sz w:val="18"/>
                <w:szCs w:val="18"/>
              </w:rPr>
              <w:t xml:space="preserve"> noting the various other limitations of the </w:t>
            </w:r>
            <w:r w:rsidRPr="009747AF">
              <w:rPr>
                <w:rFonts w:asciiTheme="minorHAnsi" w:hAnsiTheme="minorHAnsi" w:cstheme="minorHAnsi"/>
                <w:i/>
                <w:iCs/>
                <w:sz w:val="18"/>
                <w:szCs w:val="18"/>
              </w:rPr>
              <w:t>A. tenuis</w:t>
            </w:r>
            <w:r w:rsidRPr="009747AF">
              <w:rPr>
                <w:rFonts w:asciiTheme="minorHAnsi" w:hAnsiTheme="minorHAnsi" w:cstheme="minorHAnsi"/>
                <w:sz w:val="18"/>
                <w:szCs w:val="18"/>
              </w:rPr>
              <w:t xml:space="preserve"> experiment (noted above and in responder’s comment) it is agreed that this value should be exclu</w:t>
            </w:r>
            <w:r w:rsidRPr="009747AF">
              <w:rPr>
                <w:rFonts w:asciiTheme="minorHAnsi" w:hAnsiTheme="minorHAnsi" w:cstheme="minorHAnsi"/>
                <w:sz w:val="18"/>
                <w:szCs w:val="18"/>
              </w:rPr>
              <w:t xml:space="preserve">ded from the dataset. It is noteworthy that the re-derived 95% species protection value of 8 µg/L is still lower than the original LOEC for </w:t>
            </w:r>
            <w:r w:rsidRPr="009747AF">
              <w:rPr>
                <w:rFonts w:asciiTheme="minorHAnsi" w:hAnsiTheme="minorHAnsi" w:cstheme="minorHAnsi"/>
                <w:i/>
                <w:iCs/>
                <w:sz w:val="18"/>
                <w:szCs w:val="18"/>
              </w:rPr>
              <w:t>A. tenuis</w:t>
            </w:r>
            <w:r w:rsidRPr="009747AF">
              <w:rPr>
                <w:rFonts w:asciiTheme="minorHAnsi" w:hAnsiTheme="minorHAnsi" w:cstheme="minorHAnsi"/>
                <w:sz w:val="18"/>
                <w:szCs w:val="18"/>
              </w:rPr>
              <w:t xml:space="preserve"> of 10 µg/L. Text has been added to the technical brief recognising the </w:t>
            </w:r>
            <w:r w:rsidRPr="009747AF">
              <w:rPr>
                <w:rFonts w:asciiTheme="minorHAnsi" w:hAnsiTheme="minorHAnsi" w:cstheme="minorHAnsi"/>
                <w:i/>
                <w:iCs/>
                <w:sz w:val="18"/>
                <w:szCs w:val="18"/>
              </w:rPr>
              <w:t>A. tenuis</w:t>
            </w:r>
            <w:r w:rsidRPr="009747AF">
              <w:rPr>
                <w:rFonts w:asciiTheme="minorHAnsi" w:hAnsiTheme="minorHAnsi" w:cstheme="minorHAnsi"/>
                <w:sz w:val="18"/>
                <w:szCs w:val="18"/>
              </w:rPr>
              <w:t xml:space="preserve"> value </w:t>
            </w:r>
            <w:proofErr w:type="gramStart"/>
            <w:r w:rsidRPr="009747AF">
              <w:rPr>
                <w:rFonts w:asciiTheme="minorHAnsi" w:hAnsiTheme="minorHAnsi" w:cstheme="minorHAnsi"/>
                <w:sz w:val="18"/>
                <w:szCs w:val="18"/>
              </w:rPr>
              <w:t>and also</w:t>
            </w:r>
            <w:proofErr w:type="gramEnd"/>
            <w:r w:rsidRPr="009747AF">
              <w:rPr>
                <w:rFonts w:asciiTheme="minorHAnsi" w:hAnsiTheme="minorHAnsi" w:cstheme="minorHAnsi"/>
                <w:sz w:val="18"/>
                <w:szCs w:val="18"/>
              </w:rPr>
              <w:t xml:space="preserve"> other valu</w:t>
            </w:r>
            <w:r w:rsidRPr="009747AF">
              <w:rPr>
                <w:rFonts w:asciiTheme="minorHAnsi" w:hAnsiTheme="minorHAnsi" w:cstheme="minorHAnsi"/>
                <w:sz w:val="18"/>
                <w:szCs w:val="18"/>
              </w:rPr>
              <w:t>es for corals (</w:t>
            </w:r>
            <w:r w:rsidR="00841EF7">
              <w:rPr>
                <w:rFonts w:asciiTheme="minorHAnsi" w:hAnsiTheme="minorHAnsi" w:cstheme="minorHAnsi"/>
                <w:sz w:val="18"/>
                <w:szCs w:val="18"/>
              </w:rPr>
              <w:t xml:space="preserve">e.g., </w:t>
            </w:r>
            <w:r w:rsidRPr="009747AF">
              <w:rPr>
                <w:rFonts w:asciiTheme="minorHAnsi" w:hAnsiTheme="minorHAnsi" w:cstheme="minorHAnsi"/>
                <w:sz w:val="18"/>
                <w:szCs w:val="18"/>
              </w:rPr>
              <w:t>from Heyward 1988), and the need for more definitive zinc toxicity data for corals.</w:t>
            </w:r>
          </w:p>
          <w:p w14:paraId="11FB50E2" w14:textId="77777777" w:rsidR="009747AF" w:rsidRPr="009747AF" w:rsidRDefault="00BE159E" w:rsidP="009747AF">
            <w:pPr>
              <w:pStyle w:val="ListParagraph"/>
              <w:numPr>
                <w:ilvl w:val="0"/>
                <w:numId w:val="7"/>
              </w:numPr>
              <w:spacing w:before="60" w:after="60" w:line="280" w:lineRule="atLeast"/>
              <w:ind w:left="285" w:hanging="283"/>
              <w:rPr>
                <w:rFonts w:cstheme="minorHAnsi"/>
                <w:sz w:val="18"/>
                <w:szCs w:val="18"/>
                <w:lang w:val="en-GB"/>
              </w:rPr>
            </w:pPr>
            <w:r w:rsidRPr="009747AF">
              <w:rPr>
                <w:rFonts w:cstheme="minorHAnsi"/>
                <w:sz w:val="18"/>
                <w:szCs w:val="18"/>
                <w:lang w:val="en-GB"/>
              </w:rPr>
              <w:t xml:space="preserve">Regarding the water </w:t>
            </w:r>
            <w:proofErr w:type="spellStart"/>
            <w:r w:rsidRPr="009747AF">
              <w:rPr>
                <w:rFonts w:cstheme="minorHAnsi"/>
                <w:sz w:val="18"/>
                <w:szCs w:val="18"/>
                <w:lang w:val="en-GB"/>
              </w:rPr>
              <w:t>physico</w:t>
            </w:r>
            <w:proofErr w:type="spellEnd"/>
            <w:r w:rsidRPr="009747AF">
              <w:rPr>
                <w:rFonts w:cstheme="minorHAnsi"/>
                <w:sz w:val="18"/>
                <w:szCs w:val="18"/>
                <w:lang w:val="en-GB"/>
              </w:rPr>
              <w:t xml:space="preserve">-chemistry, the primary author confirmed that the chemistry was acceptable; however, the issue is redundant given the </w:t>
            </w:r>
            <w:r w:rsidRPr="009747AF">
              <w:rPr>
                <w:rFonts w:cstheme="minorHAnsi"/>
                <w:sz w:val="18"/>
                <w:szCs w:val="18"/>
                <w:lang w:val="en-GB"/>
              </w:rPr>
              <w:t>zinc concentrations in the test were not measured.</w:t>
            </w:r>
          </w:p>
        </w:tc>
        <w:tc>
          <w:tcPr>
            <w:tcW w:w="2835" w:type="dxa"/>
          </w:tcPr>
          <w:p w14:paraId="715AB20F"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lastRenderedPageBreak/>
              <w:t xml:space="preserve">The toxicity value for the coral </w:t>
            </w:r>
            <w:r w:rsidRPr="009747AF">
              <w:rPr>
                <w:rFonts w:asciiTheme="minorHAnsi" w:hAnsiTheme="minorHAnsi" w:cstheme="minorHAnsi"/>
                <w:i/>
                <w:iCs/>
                <w:sz w:val="18"/>
                <w:szCs w:val="18"/>
              </w:rPr>
              <w:t>Acropora tenuis</w:t>
            </w:r>
            <w:r w:rsidRPr="009747AF">
              <w:rPr>
                <w:rFonts w:asciiTheme="minorHAnsi" w:hAnsiTheme="minorHAnsi" w:cstheme="minorHAnsi"/>
                <w:sz w:val="18"/>
                <w:szCs w:val="18"/>
              </w:rPr>
              <w:t xml:space="preserve"> has been removed from the derivation on the basis that it was not based on measured zinc concentrations. The technical </w:t>
            </w:r>
            <w:r w:rsidRPr="009747AF">
              <w:rPr>
                <w:rFonts w:asciiTheme="minorHAnsi" w:hAnsiTheme="minorHAnsi" w:cstheme="minorHAnsi"/>
                <w:sz w:val="18"/>
                <w:szCs w:val="18"/>
              </w:rPr>
              <w:lastRenderedPageBreak/>
              <w:t>brief text, SSD and DGVs have been up</w:t>
            </w:r>
            <w:r w:rsidRPr="009747AF">
              <w:rPr>
                <w:rFonts w:asciiTheme="minorHAnsi" w:hAnsiTheme="minorHAnsi" w:cstheme="minorHAnsi"/>
                <w:sz w:val="18"/>
                <w:szCs w:val="18"/>
              </w:rPr>
              <w:t>dated accordingly. The revised DGVs are now slightly higher than when the coral value was included, as follows:</w:t>
            </w:r>
          </w:p>
          <w:p w14:paraId="3F6DDFFC" w14:textId="77777777" w:rsidR="009747AF" w:rsidRPr="009747AF" w:rsidRDefault="009747AF" w:rsidP="00824E16">
            <w:pPr>
              <w:spacing w:before="60" w:after="60" w:line="280" w:lineRule="atLeast"/>
              <w:rPr>
                <w:rFonts w:asciiTheme="minorHAnsi" w:hAnsiTheme="minorHAnsi" w:cstheme="minorHAnsi"/>
                <w:sz w:val="18"/>
                <w:szCs w:val="18"/>
              </w:rPr>
            </w:pPr>
          </w:p>
          <w:tbl>
            <w:tblPr>
              <w:tblStyle w:val="TableGrid"/>
              <w:tblW w:w="0" w:type="auto"/>
              <w:tblLook w:val="04A0" w:firstRow="1" w:lastRow="0" w:firstColumn="1" w:lastColumn="0" w:noHBand="0" w:noVBand="1"/>
            </w:tblPr>
            <w:tblGrid>
              <w:gridCol w:w="756"/>
              <w:gridCol w:w="806"/>
              <w:gridCol w:w="797"/>
            </w:tblGrid>
            <w:tr w:rsidR="007B69DA" w14:paraId="02041A97" w14:textId="77777777" w:rsidTr="00824E16">
              <w:tc>
                <w:tcPr>
                  <w:tcW w:w="749" w:type="dxa"/>
                </w:tcPr>
                <w:p w14:paraId="7536AE2B" w14:textId="77777777" w:rsidR="009747AF" w:rsidRPr="009747AF" w:rsidRDefault="00BE159E" w:rsidP="00824E16">
                  <w:pPr>
                    <w:spacing w:before="20" w:after="20"/>
                    <w:rPr>
                      <w:rFonts w:asciiTheme="minorHAnsi" w:hAnsiTheme="minorHAnsi" w:cstheme="minorHAnsi"/>
                      <w:b/>
                      <w:bCs/>
                      <w:sz w:val="18"/>
                      <w:szCs w:val="18"/>
                    </w:rPr>
                  </w:pPr>
                  <w:r w:rsidRPr="009747AF">
                    <w:rPr>
                      <w:rFonts w:asciiTheme="minorHAnsi" w:hAnsiTheme="minorHAnsi" w:cstheme="minorHAnsi"/>
                      <w:b/>
                      <w:bCs/>
                      <w:sz w:val="18"/>
                      <w:szCs w:val="18"/>
                    </w:rPr>
                    <w:t>Protec-</w:t>
                  </w:r>
                  <w:proofErr w:type="spellStart"/>
                  <w:r w:rsidRPr="009747AF">
                    <w:rPr>
                      <w:rFonts w:asciiTheme="minorHAnsi" w:hAnsiTheme="minorHAnsi" w:cstheme="minorHAnsi"/>
                      <w:b/>
                      <w:bCs/>
                      <w:sz w:val="18"/>
                      <w:szCs w:val="18"/>
                    </w:rPr>
                    <w:t>tion</w:t>
                  </w:r>
                  <w:proofErr w:type="spellEnd"/>
                  <w:r w:rsidRPr="009747AF">
                    <w:rPr>
                      <w:rFonts w:asciiTheme="minorHAnsi" w:hAnsiTheme="minorHAnsi" w:cstheme="minorHAnsi"/>
                      <w:b/>
                      <w:bCs/>
                      <w:sz w:val="18"/>
                      <w:szCs w:val="18"/>
                    </w:rPr>
                    <w:t xml:space="preserve"> level</w:t>
                  </w:r>
                </w:p>
              </w:tc>
              <w:tc>
                <w:tcPr>
                  <w:tcW w:w="749" w:type="dxa"/>
                </w:tcPr>
                <w:p w14:paraId="4DC4AFD7" w14:textId="77777777" w:rsidR="009747AF" w:rsidRPr="009747AF" w:rsidRDefault="00BE159E" w:rsidP="00824E16">
                  <w:pPr>
                    <w:spacing w:before="20" w:after="20"/>
                    <w:rPr>
                      <w:rFonts w:asciiTheme="minorHAnsi" w:hAnsiTheme="minorHAnsi" w:cstheme="minorHAnsi"/>
                      <w:b/>
                      <w:bCs/>
                      <w:sz w:val="18"/>
                      <w:szCs w:val="18"/>
                    </w:rPr>
                  </w:pPr>
                  <w:r w:rsidRPr="009747AF">
                    <w:rPr>
                      <w:rFonts w:asciiTheme="minorHAnsi" w:hAnsiTheme="minorHAnsi" w:cstheme="minorHAnsi"/>
                      <w:b/>
                      <w:bCs/>
                      <w:sz w:val="18"/>
                      <w:szCs w:val="18"/>
                    </w:rPr>
                    <w:t>Original DGV (µg/L)</w:t>
                  </w:r>
                </w:p>
              </w:tc>
              <w:tc>
                <w:tcPr>
                  <w:tcW w:w="749" w:type="dxa"/>
                </w:tcPr>
                <w:p w14:paraId="0D9AADA4" w14:textId="77777777" w:rsidR="009747AF" w:rsidRPr="009747AF" w:rsidRDefault="00BE159E" w:rsidP="00824E16">
                  <w:pPr>
                    <w:spacing w:before="20" w:after="20"/>
                    <w:rPr>
                      <w:rFonts w:asciiTheme="minorHAnsi" w:hAnsiTheme="minorHAnsi" w:cstheme="minorHAnsi"/>
                      <w:b/>
                      <w:bCs/>
                      <w:sz w:val="18"/>
                      <w:szCs w:val="18"/>
                    </w:rPr>
                  </w:pPr>
                  <w:r w:rsidRPr="009747AF">
                    <w:rPr>
                      <w:rFonts w:asciiTheme="minorHAnsi" w:hAnsiTheme="minorHAnsi" w:cstheme="minorHAnsi"/>
                      <w:b/>
                      <w:bCs/>
                      <w:sz w:val="18"/>
                      <w:szCs w:val="18"/>
                    </w:rPr>
                    <w:t>Revised DGV (µg/L)</w:t>
                  </w:r>
                </w:p>
              </w:tc>
            </w:tr>
            <w:tr w:rsidR="007B69DA" w14:paraId="66F00A5B" w14:textId="77777777" w:rsidTr="00824E16">
              <w:tc>
                <w:tcPr>
                  <w:tcW w:w="749" w:type="dxa"/>
                </w:tcPr>
                <w:p w14:paraId="727CB432"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99%</w:t>
                  </w:r>
                </w:p>
              </w:tc>
              <w:tc>
                <w:tcPr>
                  <w:tcW w:w="749" w:type="dxa"/>
                </w:tcPr>
                <w:p w14:paraId="3519DBDA"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1.8</w:t>
                  </w:r>
                </w:p>
              </w:tc>
              <w:tc>
                <w:tcPr>
                  <w:tcW w:w="749" w:type="dxa"/>
                </w:tcPr>
                <w:p w14:paraId="3C140426"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3.3</w:t>
                  </w:r>
                </w:p>
              </w:tc>
            </w:tr>
            <w:tr w:rsidR="007B69DA" w14:paraId="2D17B52C" w14:textId="77777777" w:rsidTr="00824E16">
              <w:tc>
                <w:tcPr>
                  <w:tcW w:w="749" w:type="dxa"/>
                </w:tcPr>
                <w:p w14:paraId="21CA3C1F"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95%</w:t>
                  </w:r>
                </w:p>
              </w:tc>
              <w:tc>
                <w:tcPr>
                  <w:tcW w:w="749" w:type="dxa"/>
                </w:tcPr>
                <w:p w14:paraId="66713CCA"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5.2</w:t>
                  </w:r>
                </w:p>
              </w:tc>
              <w:tc>
                <w:tcPr>
                  <w:tcW w:w="749" w:type="dxa"/>
                </w:tcPr>
                <w:p w14:paraId="2135EED2"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8.0</w:t>
                  </w:r>
                </w:p>
              </w:tc>
            </w:tr>
            <w:tr w:rsidR="007B69DA" w14:paraId="21EF2BC0" w14:textId="77777777" w:rsidTr="00824E16">
              <w:tc>
                <w:tcPr>
                  <w:tcW w:w="749" w:type="dxa"/>
                </w:tcPr>
                <w:p w14:paraId="018E2C62"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90%</w:t>
                  </w:r>
                </w:p>
              </w:tc>
              <w:tc>
                <w:tcPr>
                  <w:tcW w:w="749" w:type="dxa"/>
                </w:tcPr>
                <w:p w14:paraId="46496572"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8.9</w:t>
                  </w:r>
                </w:p>
              </w:tc>
              <w:tc>
                <w:tcPr>
                  <w:tcW w:w="749" w:type="dxa"/>
                </w:tcPr>
                <w:p w14:paraId="08C5A8F3"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12</w:t>
                  </w:r>
                </w:p>
              </w:tc>
            </w:tr>
            <w:tr w:rsidR="007B69DA" w14:paraId="4FA8F5BB" w14:textId="77777777" w:rsidTr="00824E16">
              <w:tc>
                <w:tcPr>
                  <w:tcW w:w="749" w:type="dxa"/>
                </w:tcPr>
                <w:p w14:paraId="6F6E2470"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80%</w:t>
                  </w:r>
                </w:p>
              </w:tc>
              <w:tc>
                <w:tcPr>
                  <w:tcW w:w="749" w:type="dxa"/>
                </w:tcPr>
                <w:p w14:paraId="6F78C5A9"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16</w:t>
                  </w:r>
                </w:p>
              </w:tc>
              <w:tc>
                <w:tcPr>
                  <w:tcW w:w="749" w:type="dxa"/>
                </w:tcPr>
                <w:p w14:paraId="0743D0AB"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21</w:t>
                  </w:r>
                </w:p>
              </w:tc>
            </w:tr>
          </w:tbl>
          <w:p w14:paraId="1FE7D6F6" w14:textId="77777777" w:rsidR="009747AF" w:rsidRPr="009747AF" w:rsidRDefault="009747AF" w:rsidP="00824E16">
            <w:pPr>
              <w:spacing w:before="60" w:after="60" w:line="280" w:lineRule="atLeast"/>
              <w:rPr>
                <w:rFonts w:asciiTheme="minorHAnsi" w:hAnsiTheme="minorHAnsi" w:cstheme="minorHAnsi"/>
                <w:sz w:val="18"/>
                <w:szCs w:val="18"/>
              </w:rPr>
            </w:pPr>
          </w:p>
          <w:p w14:paraId="1C2E4E8C"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 xml:space="preserve">A paragraph has been added in </w:t>
            </w:r>
            <w:r w:rsidRPr="009747AF">
              <w:rPr>
                <w:rFonts w:asciiTheme="minorHAnsi" w:hAnsiTheme="minorHAnsi" w:cstheme="minorHAnsi"/>
                <w:sz w:val="18"/>
                <w:szCs w:val="18"/>
              </w:rPr>
              <w:t>section 2.2 summarising toxicity data for corals and recommending further research.</w:t>
            </w:r>
          </w:p>
        </w:tc>
      </w:tr>
      <w:tr w:rsidR="007B69DA" w14:paraId="7D63E23D" w14:textId="77777777" w:rsidTr="00824E16">
        <w:tc>
          <w:tcPr>
            <w:tcW w:w="5524" w:type="dxa"/>
          </w:tcPr>
          <w:p w14:paraId="787444E7" w14:textId="3B98E1D1" w:rsidR="009747AF" w:rsidRPr="009747AF" w:rsidRDefault="00BE159E" w:rsidP="00824E16">
            <w:pPr>
              <w:spacing w:before="60" w:after="60" w:line="280" w:lineRule="atLeast"/>
              <w:ind w:left="25"/>
              <w:rPr>
                <w:rFonts w:asciiTheme="minorHAnsi" w:hAnsiTheme="minorHAnsi" w:cstheme="minorHAnsi"/>
                <w:b/>
                <w:bCs/>
                <w:sz w:val="18"/>
                <w:szCs w:val="18"/>
                <w:lang w:val="en-GB"/>
              </w:rPr>
            </w:pPr>
            <w:r w:rsidRPr="009747AF">
              <w:rPr>
                <w:rFonts w:asciiTheme="minorHAnsi" w:hAnsiTheme="minorHAnsi" w:cstheme="minorHAnsi"/>
                <w:sz w:val="18"/>
                <w:szCs w:val="18"/>
                <w:lang w:val="en-GB"/>
              </w:rPr>
              <w:lastRenderedPageBreak/>
              <w:t>Also note that insufficient chemistry data (</w:t>
            </w:r>
            <w:r w:rsidR="00841EF7">
              <w:rPr>
                <w:rFonts w:asciiTheme="minorHAnsi" w:hAnsiTheme="minorHAnsi" w:cstheme="minorHAnsi"/>
                <w:sz w:val="18"/>
                <w:szCs w:val="18"/>
                <w:lang w:val="en-GB"/>
              </w:rPr>
              <w:t>i.e.</w:t>
            </w:r>
            <w:r w:rsidRPr="009747AF">
              <w:rPr>
                <w:rFonts w:asciiTheme="minorHAnsi" w:hAnsiTheme="minorHAnsi" w:cstheme="minorHAnsi"/>
                <w:sz w:val="18"/>
                <w:szCs w:val="18"/>
                <w:lang w:val="en-GB"/>
              </w:rPr>
              <w:t>, lack of reported salinity) is also a potential issue for three additional species (</w:t>
            </w:r>
            <w:r w:rsidRPr="009747AF">
              <w:rPr>
                <w:rFonts w:asciiTheme="minorHAnsi" w:hAnsiTheme="minorHAnsi" w:cstheme="minorHAnsi"/>
                <w:i/>
                <w:iCs/>
                <w:sz w:val="18"/>
                <w:szCs w:val="18"/>
                <w:lang w:val="en-GB"/>
              </w:rPr>
              <w:t xml:space="preserve">Ulva </w:t>
            </w:r>
            <w:proofErr w:type="spellStart"/>
            <w:r w:rsidRPr="009747AF">
              <w:rPr>
                <w:rFonts w:asciiTheme="minorHAnsi" w:hAnsiTheme="minorHAnsi" w:cstheme="minorHAnsi"/>
                <w:i/>
                <w:iCs/>
                <w:sz w:val="18"/>
                <w:szCs w:val="18"/>
                <w:lang w:val="en-GB"/>
              </w:rPr>
              <w:t>fasciata</w:t>
            </w:r>
            <w:proofErr w:type="spellEnd"/>
            <w:r w:rsidRPr="009747AF">
              <w:rPr>
                <w:rFonts w:asciiTheme="minorHAnsi" w:hAnsiTheme="minorHAnsi" w:cstheme="minorHAnsi"/>
                <w:sz w:val="18"/>
                <w:szCs w:val="18"/>
                <w:lang w:val="en-GB"/>
              </w:rPr>
              <w:t xml:space="preserve">, </w:t>
            </w:r>
            <w:proofErr w:type="spellStart"/>
            <w:r w:rsidRPr="009747AF">
              <w:rPr>
                <w:rFonts w:asciiTheme="minorHAnsi" w:hAnsiTheme="minorHAnsi" w:cstheme="minorHAnsi"/>
                <w:i/>
                <w:iCs/>
                <w:sz w:val="18"/>
                <w:szCs w:val="18"/>
                <w:lang w:val="en-GB"/>
              </w:rPr>
              <w:t>Aiptasia</w:t>
            </w:r>
            <w:proofErr w:type="spellEnd"/>
            <w:r w:rsidRPr="009747AF">
              <w:rPr>
                <w:rFonts w:asciiTheme="minorHAnsi" w:hAnsiTheme="minorHAnsi" w:cstheme="minorHAnsi"/>
                <w:i/>
                <w:iCs/>
                <w:sz w:val="18"/>
                <w:szCs w:val="18"/>
                <w:lang w:val="en-GB"/>
              </w:rPr>
              <w:t xml:space="preserve"> </w:t>
            </w:r>
            <w:proofErr w:type="spellStart"/>
            <w:r w:rsidRPr="009747AF">
              <w:rPr>
                <w:rFonts w:asciiTheme="minorHAnsi" w:hAnsiTheme="minorHAnsi" w:cstheme="minorHAnsi"/>
                <w:i/>
                <w:iCs/>
                <w:sz w:val="18"/>
                <w:szCs w:val="18"/>
                <w:lang w:val="en-GB"/>
              </w:rPr>
              <w:t>pulchella</w:t>
            </w:r>
            <w:proofErr w:type="spellEnd"/>
            <w:r w:rsidRPr="009747AF">
              <w:rPr>
                <w:rFonts w:asciiTheme="minorHAnsi" w:hAnsiTheme="minorHAnsi" w:cstheme="minorHAnsi"/>
                <w:sz w:val="18"/>
                <w:szCs w:val="18"/>
                <w:lang w:val="en-GB"/>
              </w:rPr>
              <w:t xml:space="preserve">, and </w:t>
            </w:r>
            <w:r w:rsidRPr="009747AF">
              <w:rPr>
                <w:rFonts w:asciiTheme="minorHAnsi" w:hAnsiTheme="minorHAnsi" w:cstheme="minorHAnsi"/>
                <w:i/>
                <w:iCs/>
                <w:sz w:val="18"/>
                <w:szCs w:val="18"/>
                <w:lang w:val="en-GB"/>
              </w:rPr>
              <w:t xml:space="preserve">Mytilus </w:t>
            </w:r>
            <w:proofErr w:type="spellStart"/>
            <w:r w:rsidRPr="009747AF">
              <w:rPr>
                <w:rFonts w:asciiTheme="minorHAnsi" w:hAnsiTheme="minorHAnsi" w:cstheme="minorHAnsi"/>
                <w:i/>
                <w:iCs/>
                <w:sz w:val="18"/>
                <w:szCs w:val="18"/>
                <w:lang w:val="en-GB"/>
              </w:rPr>
              <w:t>trossulus</w:t>
            </w:r>
            <w:proofErr w:type="spellEnd"/>
            <w:r w:rsidRPr="009747AF">
              <w:rPr>
                <w:rFonts w:asciiTheme="minorHAnsi" w:hAnsiTheme="minorHAnsi" w:cstheme="minorHAnsi"/>
                <w:sz w:val="18"/>
                <w:szCs w:val="18"/>
                <w:lang w:val="en-GB"/>
              </w:rPr>
              <w:t>). These three species were included in the preferred SSD (Appendix D) and the final SSD used to derive the DGV.</w:t>
            </w:r>
          </w:p>
        </w:tc>
        <w:tc>
          <w:tcPr>
            <w:tcW w:w="5528" w:type="dxa"/>
          </w:tcPr>
          <w:p w14:paraId="1F844503" w14:textId="77777777" w:rsidR="009747AF" w:rsidRPr="009747AF" w:rsidRDefault="00BE159E" w:rsidP="00824E16">
            <w:pPr>
              <w:spacing w:before="60" w:after="60" w:line="280" w:lineRule="atLeast"/>
              <w:rPr>
                <w:rFonts w:asciiTheme="minorHAnsi" w:hAnsiTheme="minorHAnsi" w:cstheme="minorHAnsi"/>
                <w:iCs/>
                <w:sz w:val="18"/>
                <w:szCs w:val="18"/>
                <w:lang w:val="en-GB"/>
              </w:rPr>
            </w:pPr>
            <w:r w:rsidRPr="009747AF">
              <w:rPr>
                <w:rFonts w:asciiTheme="minorHAnsi" w:hAnsiTheme="minorHAnsi" w:cstheme="minorHAnsi"/>
                <w:iCs/>
                <w:sz w:val="18"/>
                <w:szCs w:val="18"/>
                <w:lang w:val="en-GB"/>
              </w:rPr>
              <w:t>It is noted that salinity is not reported for these three experiments. This was captured in the quality assessm</w:t>
            </w:r>
            <w:r w:rsidRPr="009747AF">
              <w:rPr>
                <w:rFonts w:asciiTheme="minorHAnsi" w:hAnsiTheme="minorHAnsi" w:cstheme="minorHAnsi"/>
                <w:iCs/>
                <w:sz w:val="18"/>
                <w:szCs w:val="18"/>
                <w:lang w:val="en-GB"/>
              </w:rPr>
              <w:t>ent. However, the data still passed the quality assessment and were used accordingly. There are often uncertainties in data that require some professional judgement. Some comments for each of these studies are provided below:</w:t>
            </w:r>
          </w:p>
          <w:p w14:paraId="30583791" w14:textId="77777777" w:rsidR="009747AF" w:rsidRPr="009747AF" w:rsidRDefault="00BE159E" w:rsidP="009747AF">
            <w:pPr>
              <w:pStyle w:val="ListParagraph"/>
              <w:numPr>
                <w:ilvl w:val="0"/>
                <w:numId w:val="7"/>
              </w:numPr>
              <w:spacing w:before="60" w:after="60" w:line="280" w:lineRule="atLeast"/>
              <w:ind w:left="285" w:hanging="283"/>
              <w:rPr>
                <w:rFonts w:cstheme="minorHAnsi"/>
                <w:sz w:val="18"/>
                <w:szCs w:val="18"/>
              </w:rPr>
            </w:pPr>
            <w:r w:rsidRPr="009747AF">
              <w:rPr>
                <w:rFonts w:cstheme="minorHAnsi"/>
                <w:i/>
                <w:iCs/>
                <w:sz w:val="18"/>
                <w:szCs w:val="18"/>
                <w:lang w:val="en-GB"/>
              </w:rPr>
              <w:t xml:space="preserve">Ulva </w:t>
            </w:r>
            <w:proofErr w:type="spellStart"/>
            <w:r w:rsidRPr="009747AF">
              <w:rPr>
                <w:rFonts w:cstheme="minorHAnsi"/>
                <w:i/>
                <w:iCs/>
                <w:sz w:val="18"/>
                <w:szCs w:val="18"/>
                <w:lang w:val="en-GB"/>
              </w:rPr>
              <w:t>fasciata</w:t>
            </w:r>
            <w:proofErr w:type="spellEnd"/>
            <w:r w:rsidRPr="009747AF">
              <w:rPr>
                <w:rFonts w:cstheme="minorHAnsi"/>
                <w:i/>
                <w:iCs/>
                <w:sz w:val="18"/>
                <w:szCs w:val="18"/>
                <w:lang w:val="en-GB"/>
              </w:rPr>
              <w:t xml:space="preserve"> </w:t>
            </w:r>
            <w:r w:rsidRPr="009747AF">
              <w:rPr>
                <w:rFonts w:cstheme="minorHAnsi"/>
                <w:sz w:val="18"/>
                <w:szCs w:val="18"/>
                <w:lang w:val="en-GB"/>
              </w:rPr>
              <w:t xml:space="preserve">– the tests </w:t>
            </w:r>
            <w:r w:rsidRPr="009747AF">
              <w:rPr>
                <w:rFonts w:cstheme="minorHAnsi"/>
                <w:sz w:val="18"/>
                <w:szCs w:val="18"/>
                <w:lang w:val="en-GB"/>
              </w:rPr>
              <w:t xml:space="preserve">were carried out in </w:t>
            </w:r>
            <w:proofErr w:type="gramStart"/>
            <w:r w:rsidRPr="009747AF">
              <w:rPr>
                <w:rFonts w:cstheme="minorHAnsi"/>
                <w:sz w:val="18"/>
                <w:szCs w:val="18"/>
                <w:lang w:val="en-GB"/>
              </w:rPr>
              <w:t>a</w:t>
            </w:r>
            <w:proofErr w:type="gramEnd"/>
            <w:r w:rsidRPr="009747AF">
              <w:rPr>
                <w:rFonts w:cstheme="minorHAnsi"/>
                <w:sz w:val="18"/>
                <w:szCs w:val="18"/>
                <w:lang w:val="en-GB"/>
              </w:rPr>
              <w:t xml:space="preserve"> 85:15 ratio of seawater to pore water. the paper stated that “</w:t>
            </w:r>
            <w:r w:rsidRPr="009747AF">
              <w:rPr>
                <w:rFonts w:cstheme="minorHAnsi"/>
                <w:sz w:val="18"/>
                <w:szCs w:val="18"/>
              </w:rPr>
              <w:t>Salinity of the pore-water samples was adjusted, when necessary, to 30 ± 1 parts per thousand (ppt)…”. Given the porewater was salinity adjusted to 30 ppt, it is considered</w:t>
            </w:r>
            <w:r w:rsidRPr="009747AF">
              <w:rPr>
                <w:rFonts w:cstheme="minorHAnsi"/>
                <w:sz w:val="18"/>
                <w:szCs w:val="18"/>
              </w:rPr>
              <w:t xml:space="preserve"> unlikely that the filtered seawater would have been below the salinity cut-off for marine water of 25 ppt.</w:t>
            </w:r>
          </w:p>
          <w:p w14:paraId="43588759" w14:textId="77777777" w:rsidR="009747AF" w:rsidRPr="009747AF" w:rsidRDefault="00BE159E" w:rsidP="009747AF">
            <w:pPr>
              <w:pStyle w:val="ListParagraph"/>
              <w:numPr>
                <w:ilvl w:val="0"/>
                <w:numId w:val="7"/>
              </w:numPr>
              <w:spacing w:before="60" w:after="60" w:line="280" w:lineRule="atLeast"/>
              <w:ind w:left="285" w:hanging="283"/>
              <w:rPr>
                <w:rFonts w:cstheme="minorHAnsi"/>
                <w:iCs/>
                <w:sz w:val="18"/>
                <w:szCs w:val="18"/>
                <w:lang w:val="en-GB"/>
              </w:rPr>
            </w:pPr>
            <w:proofErr w:type="spellStart"/>
            <w:r w:rsidRPr="009747AF">
              <w:rPr>
                <w:rFonts w:cstheme="minorHAnsi"/>
                <w:i/>
                <w:iCs/>
                <w:sz w:val="18"/>
                <w:szCs w:val="18"/>
                <w:lang w:val="en-GB"/>
              </w:rPr>
              <w:lastRenderedPageBreak/>
              <w:t>Aiptasia</w:t>
            </w:r>
            <w:proofErr w:type="spellEnd"/>
            <w:r w:rsidRPr="009747AF">
              <w:rPr>
                <w:rFonts w:cstheme="minorHAnsi"/>
                <w:i/>
                <w:iCs/>
                <w:sz w:val="18"/>
                <w:szCs w:val="18"/>
                <w:lang w:val="en-GB"/>
              </w:rPr>
              <w:t xml:space="preserve"> </w:t>
            </w:r>
            <w:proofErr w:type="spellStart"/>
            <w:r w:rsidRPr="009747AF">
              <w:rPr>
                <w:rFonts w:cstheme="minorHAnsi"/>
                <w:i/>
                <w:iCs/>
                <w:sz w:val="18"/>
                <w:szCs w:val="18"/>
                <w:lang w:val="en-GB"/>
              </w:rPr>
              <w:t>pulchella</w:t>
            </w:r>
            <w:proofErr w:type="spellEnd"/>
            <w:r w:rsidRPr="009747AF">
              <w:rPr>
                <w:rFonts w:cstheme="minorHAnsi"/>
                <w:i/>
                <w:iCs/>
                <w:sz w:val="18"/>
                <w:szCs w:val="18"/>
                <w:lang w:val="en-GB"/>
              </w:rPr>
              <w:t xml:space="preserve"> </w:t>
            </w:r>
            <w:r w:rsidRPr="009747AF">
              <w:rPr>
                <w:rFonts w:cstheme="minorHAnsi"/>
                <w:sz w:val="18"/>
                <w:szCs w:val="18"/>
                <w:lang w:val="en-GB"/>
              </w:rPr>
              <w:t>– the paper stated that natural seawater was used for the tests. Other data supplied by one of the co-authors (</w:t>
            </w:r>
            <w:proofErr w:type="spellStart"/>
            <w:r w:rsidRPr="009747AF">
              <w:rPr>
                <w:rFonts w:cstheme="minorHAnsi"/>
                <w:sz w:val="18"/>
                <w:szCs w:val="18"/>
                <w:lang w:val="en-GB"/>
              </w:rPr>
              <w:t>Reichelt-Brushett</w:t>
            </w:r>
            <w:proofErr w:type="spellEnd"/>
            <w:r w:rsidRPr="009747AF">
              <w:rPr>
                <w:rFonts w:cstheme="minorHAnsi"/>
                <w:sz w:val="18"/>
                <w:szCs w:val="18"/>
                <w:lang w:val="en-GB"/>
              </w:rPr>
              <w:t>)</w:t>
            </w:r>
            <w:r w:rsidRPr="009747AF">
              <w:rPr>
                <w:rFonts w:cstheme="minorHAnsi"/>
                <w:sz w:val="18"/>
                <w:szCs w:val="18"/>
                <w:lang w:val="en-GB"/>
              </w:rPr>
              <w:t xml:space="preserve"> has shown that this collection site is always of appropriate salinity.</w:t>
            </w:r>
          </w:p>
          <w:p w14:paraId="364D3AB9" w14:textId="77777777" w:rsidR="009747AF" w:rsidRPr="009747AF" w:rsidRDefault="00BE159E" w:rsidP="009747AF">
            <w:pPr>
              <w:pStyle w:val="ListParagraph"/>
              <w:numPr>
                <w:ilvl w:val="0"/>
                <w:numId w:val="7"/>
              </w:numPr>
              <w:spacing w:before="60" w:after="60" w:line="280" w:lineRule="atLeast"/>
              <w:ind w:left="285" w:hanging="283"/>
              <w:rPr>
                <w:rFonts w:cstheme="minorHAnsi"/>
                <w:iCs/>
                <w:sz w:val="18"/>
                <w:szCs w:val="18"/>
                <w:lang w:val="en-GB"/>
              </w:rPr>
            </w:pPr>
            <w:r w:rsidRPr="009747AF">
              <w:rPr>
                <w:rFonts w:cstheme="minorHAnsi"/>
                <w:i/>
                <w:iCs/>
                <w:sz w:val="18"/>
                <w:szCs w:val="18"/>
                <w:lang w:val="en-GB"/>
              </w:rPr>
              <w:t xml:space="preserve">Mytilus </w:t>
            </w:r>
            <w:proofErr w:type="spellStart"/>
            <w:r w:rsidRPr="009747AF">
              <w:rPr>
                <w:rFonts w:cstheme="minorHAnsi"/>
                <w:i/>
                <w:iCs/>
                <w:sz w:val="18"/>
                <w:szCs w:val="18"/>
                <w:lang w:val="en-GB"/>
              </w:rPr>
              <w:t>trossulus</w:t>
            </w:r>
            <w:proofErr w:type="spellEnd"/>
            <w:r w:rsidRPr="009747AF">
              <w:rPr>
                <w:rFonts w:cstheme="minorHAnsi"/>
                <w:i/>
                <w:iCs/>
                <w:sz w:val="18"/>
                <w:szCs w:val="18"/>
                <w:lang w:val="en-GB"/>
              </w:rPr>
              <w:t xml:space="preserve"> </w:t>
            </w:r>
            <w:r w:rsidRPr="009747AF">
              <w:rPr>
                <w:rFonts w:cstheme="minorHAnsi"/>
                <w:sz w:val="18"/>
                <w:szCs w:val="18"/>
                <w:lang w:val="en-GB"/>
              </w:rPr>
              <w:t xml:space="preserve">– Although not reporting salinity </w:t>
            </w:r>
            <w:r w:rsidRPr="009747AF">
              <w:rPr>
                <w:rFonts w:cstheme="minorHAnsi"/>
                <w:i/>
                <w:iCs/>
                <w:sz w:val="18"/>
                <w:szCs w:val="18"/>
                <w:lang w:val="en-GB"/>
              </w:rPr>
              <w:t>per se</w:t>
            </w:r>
            <w:r w:rsidRPr="009747AF">
              <w:rPr>
                <w:rFonts w:cstheme="minorHAnsi"/>
                <w:sz w:val="18"/>
                <w:szCs w:val="18"/>
                <w:lang w:val="en-GB"/>
              </w:rPr>
              <w:t>, this study did report Na and Cl concentrations in the test water</w:t>
            </w:r>
            <w:r w:rsidRPr="009747AF">
              <w:rPr>
                <w:rFonts w:cstheme="minorHAnsi"/>
                <w:i/>
                <w:iCs/>
                <w:sz w:val="18"/>
                <w:szCs w:val="18"/>
                <w:lang w:val="en-GB"/>
              </w:rPr>
              <w:t xml:space="preserve"> </w:t>
            </w:r>
            <w:r w:rsidRPr="009747AF">
              <w:rPr>
                <w:rFonts w:cstheme="minorHAnsi"/>
                <w:sz w:val="18"/>
                <w:szCs w:val="18"/>
                <w:lang w:val="en-GB"/>
              </w:rPr>
              <w:t xml:space="preserve">(in mM units). When converted to mass units, the estimated </w:t>
            </w:r>
            <w:r w:rsidRPr="009747AF">
              <w:rPr>
                <w:rFonts w:cstheme="minorHAnsi"/>
                <w:sz w:val="18"/>
                <w:szCs w:val="18"/>
                <w:lang w:val="en-GB"/>
              </w:rPr>
              <w:t>salinity was ~30 ppt. This is well within the salinity cut-off for marine water of 25 ppt.</w:t>
            </w:r>
          </w:p>
          <w:p w14:paraId="4BD2996F" w14:textId="77777777" w:rsidR="009747AF" w:rsidRPr="009747AF" w:rsidRDefault="00BE159E" w:rsidP="00824E16">
            <w:pPr>
              <w:spacing w:before="60" w:after="60" w:line="280" w:lineRule="atLeast"/>
              <w:rPr>
                <w:rFonts w:asciiTheme="minorHAnsi" w:hAnsiTheme="minorHAnsi" w:cstheme="minorHAnsi"/>
                <w:iCs/>
                <w:sz w:val="18"/>
                <w:szCs w:val="18"/>
                <w:lang w:val="en-GB"/>
              </w:rPr>
            </w:pPr>
            <w:r w:rsidRPr="009747AF">
              <w:rPr>
                <w:rFonts w:asciiTheme="minorHAnsi" w:hAnsiTheme="minorHAnsi" w:cstheme="minorHAnsi"/>
                <w:iCs/>
                <w:sz w:val="18"/>
                <w:szCs w:val="18"/>
                <w:lang w:val="en-GB"/>
              </w:rPr>
              <w:t>Thus, it is appropriate for these three species to be retained in the zinc dataset used to derive the DGVs.</w:t>
            </w:r>
          </w:p>
        </w:tc>
        <w:tc>
          <w:tcPr>
            <w:tcW w:w="2835" w:type="dxa"/>
          </w:tcPr>
          <w:p w14:paraId="69550313"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lastRenderedPageBreak/>
              <w:t>No action taken for DGVs technical brief.</w:t>
            </w:r>
          </w:p>
        </w:tc>
      </w:tr>
      <w:tr w:rsidR="007B69DA" w14:paraId="201AF02C" w14:textId="77777777" w:rsidTr="00824E16">
        <w:tc>
          <w:tcPr>
            <w:tcW w:w="5524" w:type="dxa"/>
          </w:tcPr>
          <w:p w14:paraId="7BEB4567" w14:textId="77777777" w:rsidR="009747AF" w:rsidRPr="009747AF" w:rsidRDefault="00BE159E" w:rsidP="00824E16">
            <w:pPr>
              <w:spacing w:before="60" w:after="60" w:line="280" w:lineRule="atLeast"/>
              <w:ind w:left="25"/>
              <w:rPr>
                <w:rFonts w:asciiTheme="minorHAnsi" w:hAnsiTheme="minorHAnsi" w:cstheme="minorHAnsi"/>
                <w:b/>
                <w:bCs/>
                <w:sz w:val="18"/>
                <w:szCs w:val="18"/>
                <w:lang w:val="en-GB"/>
              </w:rPr>
            </w:pPr>
            <w:r w:rsidRPr="009747AF">
              <w:rPr>
                <w:rFonts w:asciiTheme="minorHAnsi" w:hAnsiTheme="minorHAnsi" w:cstheme="minorHAnsi"/>
                <w:b/>
                <w:bCs/>
                <w:sz w:val="18"/>
                <w:szCs w:val="18"/>
                <w:lang w:val="en-GB"/>
              </w:rPr>
              <w:t>Decision schem</w:t>
            </w:r>
            <w:r w:rsidRPr="009747AF">
              <w:rPr>
                <w:rFonts w:asciiTheme="minorHAnsi" w:hAnsiTheme="minorHAnsi" w:cstheme="minorHAnsi"/>
                <w:b/>
                <w:bCs/>
                <w:sz w:val="18"/>
                <w:szCs w:val="18"/>
                <w:lang w:val="en-GB"/>
              </w:rPr>
              <w:t xml:space="preserve">e for evaluating monitoring data against DGVs </w:t>
            </w:r>
          </w:p>
          <w:p w14:paraId="0BD27B61" w14:textId="77777777" w:rsidR="009747AF" w:rsidRPr="009747AF" w:rsidRDefault="00BE159E" w:rsidP="00824E16">
            <w:pPr>
              <w:spacing w:before="60" w:after="60" w:line="280" w:lineRule="atLeast"/>
              <w:ind w:left="23"/>
              <w:rPr>
                <w:rFonts w:asciiTheme="minorHAnsi" w:hAnsiTheme="minorHAnsi" w:cstheme="minorHAnsi"/>
                <w:sz w:val="18"/>
                <w:szCs w:val="18"/>
                <w:lang w:val="en-GB"/>
              </w:rPr>
            </w:pPr>
            <w:r w:rsidRPr="009747AF">
              <w:rPr>
                <w:rFonts w:asciiTheme="minorHAnsi" w:hAnsiTheme="minorHAnsi" w:cstheme="minorHAnsi"/>
                <w:sz w:val="18"/>
                <w:szCs w:val="18"/>
                <w:lang w:val="en-GB"/>
              </w:rPr>
              <w:t xml:space="preserve">As described in the Technical Brief, the marine zinc DGV is based on dissolved zinc. Given that, the first tier in the scheme presented in Appendix A must represent a screening evaluation, the second tier </w:t>
            </w:r>
            <w:r w:rsidRPr="009747AF">
              <w:rPr>
                <w:rFonts w:asciiTheme="minorHAnsi" w:hAnsiTheme="minorHAnsi" w:cstheme="minorHAnsi"/>
                <w:sz w:val="18"/>
                <w:szCs w:val="18"/>
                <w:lang w:val="en-GB"/>
              </w:rPr>
              <w:t>appears to represent the actual comparison of monitoring data to the DGV. However, it is not clear what is meant by “new guideline value” in the second and third tiers. The third tier of the scheme considers metal speciation. For a metal such as zinc, spec</w:t>
            </w:r>
            <w:r w:rsidRPr="009747AF">
              <w:rPr>
                <w:rFonts w:asciiTheme="minorHAnsi" w:hAnsiTheme="minorHAnsi" w:cstheme="minorHAnsi"/>
                <w:sz w:val="18"/>
                <w:szCs w:val="18"/>
                <w:lang w:val="en-GB"/>
              </w:rPr>
              <w:t xml:space="preserve">iation modelling would likely be applicable. Therefore, it would be appropriate to define ‘bioavailable’ zinc. Would this apply to Zn2+, Zn2+ + </w:t>
            </w:r>
            <w:proofErr w:type="spellStart"/>
            <w:r w:rsidRPr="009747AF">
              <w:rPr>
                <w:rFonts w:asciiTheme="minorHAnsi" w:hAnsiTheme="minorHAnsi" w:cstheme="minorHAnsi"/>
                <w:sz w:val="18"/>
                <w:szCs w:val="18"/>
                <w:lang w:val="en-GB"/>
              </w:rPr>
              <w:t>ZnOH</w:t>
            </w:r>
            <w:proofErr w:type="spellEnd"/>
            <w:r w:rsidRPr="009747AF">
              <w:rPr>
                <w:rFonts w:asciiTheme="minorHAnsi" w:hAnsiTheme="minorHAnsi" w:cstheme="minorHAnsi"/>
                <w:sz w:val="18"/>
                <w:szCs w:val="18"/>
                <w:lang w:val="en-GB"/>
              </w:rPr>
              <w:t>+, or all positively charged zinc species? Based on these comments, we recommended that some clarifying text</w:t>
            </w:r>
            <w:r w:rsidRPr="009747AF">
              <w:rPr>
                <w:rFonts w:asciiTheme="minorHAnsi" w:hAnsiTheme="minorHAnsi" w:cstheme="minorHAnsi"/>
                <w:sz w:val="18"/>
                <w:szCs w:val="18"/>
                <w:lang w:val="en-GB"/>
              </w:rPr>
              <w:t xml:space="preserve"> be provided </w:t>
            </w:r>
            <w:proofErr w:type="gramStart"/>
            <w:r w:rsidRPr="009747AF">
              <w:rPr>
                <w:rFonts w:asciiTheme="minorHAnsi" w:hAnsiTheme="minorHAnsi" w:cstheme="minorHAnsi"/>
                <w:sz w:val="18"/>
                <w:szCs w:val="18"/>
                <w:lang w:val="en-GB"/>
              </w:rPr>
              <w:t>with regard to</w:t>
            </w:r>
            <w:proofErr w:type="gramEnd"/>
            <w:r w:rsidRPr="009747AF">
              <w:rPr>
                <w:rFonts w:asciiTheme="minorHAnsi" w:hAnsiTheme="minorHAnsi" w:cstheme="minorHAnsi"/>
                <w:sz w:val="18"/>
                <w:szCs w:val="18"/>
                <w:lang w:val="en-GB"/>
              </w:rPr>
              <w:t xml:space="preserve"> application of the decision scheme for comparison of monitoring data to the DGV.</w:t>
            </w:r>
          </w:p>
        </w:tc>
        <w:tc>
          <w:tcPr>
            <w:tcW w:w="5528" w:type="dxa"/>
          </w:tcPr>
          <w:p w14:paraId="24D3EE90" w14:textId="77777777" w:rsidR="009747AF" w:rsidRPr="009747AF" w:rsidRDefault="00BE159E" w:rsidP="00824E16">
            <w:pPr>
              <w:spacing w:before="60" w:after="60" w:line="280" w:lineRule="atLeast"/>
              <w:rPr>
                <w:rFonts w:asciiTheme="minorHAnsi" w:hAnsiTheme="minorHAnsi" w:cstheme="minorHAnsi"/>
                <w:iCs/>
                <w:sz w:val="18"/>
                <w:szCs w:val="18"/>
                <w:lang w:val="en-GB"/>
              </w:rPr>
            </w:pPr>
            <w:r w:rsidRPr="009747AF">
              <w:rPr>
                <w:rFonts w:asciiTheme="minorHAnsi" w:hAnsiTheme="minorHAnsi" w:cstheme="minorHAnsi"/>
                <w:iCs/>
                <w:sz w:val="18"/>
                <w:szCs w:val="18"/>
                <w:lang w:val="en-GB"/>
              </w:rPr>
              <w:t xml:space="preserve">The term “new” is an error and has been corrected. It is a relic from the 2000 Guidelines decision scheme for metals, where one would first </w:t>
            </w:r>
            <w:r w:rsidRPr="009747AF">
              <w:rPr>
                <w:rFonts w:asciiTheme="minorHAnsi" w:hAnsiTheme="minorHAnsi" w:cstheme="minorHAnsi"/>
                <w:iCs/>
                <w:sz w:val="18"/>
                <w:szCs w:val="18"/>
                <w:lang w:val="en-GB"/>
              </w:rPr>
              <w:t>correct a GV for hardness where applicable. However, this is not applicable for zinc in marine waters. As a user works through the decision scheme the original guideline value is retained and used. There is no new guideline value associated with the decisi</w:t>
            </w:r>
            <w:r w:rsidRPr="009747AF">
              <w:rPr>
                <w:rFonts w:asciiTheme="minorHAnsi" w:hAnsiTheme="minorHAnsi" w:cstheme="minorHAnsi"/>
                <w:iCs/>
                <w:sz w:val="18"/>
                <w:szCs w:val="18"/>
                <w:lang w:val="en-GB"/>
              </w:rPr>
              <w:t>on scheme for zinc in marine water.</w:t>
            </w:r>
          </w:p>
          <w:p w14:paraId="7173D83C" w14:textId="77777777" w:rsidR="009747AF" w:rsidRPr="009747AF" w:rsidRDefault="00BE159E" w:rsidP="00824E16">
            <w:pPr>
              <w:spacing w:before="60" w:after="60" w:line="280" w:lineRule="atLeast"/>
              <w:rPr>
                <w:rFonts w:asciiTheme="minorHAnsi" w:hAnsiTheme="minorHAnsi" w:cstheme="minorHAnsi"/>
                <w:iCs/>
                <w:sz w:val="18"/>
                <w:szCs w:val="18"/>
                <w:lang w:val="en-GB"/>
              </w:rPr>
            </w:pPr>
            <w:r w:rsidRPr="009747AF">
              <w:rPr>
                <w:rFonts w:asciiTheme="minorHAnsi" w:hAnsiTheme="minorHAnsi" w:cstheme="minorHAnsi"/>
                <w:iCs/>
                <w:sz w:val="18"/>
                <w:szCs w:val="18"/>
                <w:lang w:val="en-GB"/>
              </w:rPr>
              <w:t xml:space="preserve">Regarding modelling of bioavailable zinc, this would refer to </w:t>
            </w:r>
            <w:r w:rsidRPr="009747AF">
              <w:rPr>
                <w:rFonts w:asciiTheme="minorHAnsi" w:hAnsiTheme="minorHAnsi" w:cstheme="minorHAnsi"/>
                <w:iCs/>
                <w:sz w:val="18"/>
                <w:szCs w:val="18"/>
              </w:rPr>
              <w:t>simple ionic complexes, although there needs to be recognition that there are colloidal forms and weak ionic complexes that can dissociate and cross biologica</w:t>
            </w:r>
            <w:r w:rsidRPr="009747AF">
              <w:rPr>
                <w:rFonts w:asciiTheme="minorHAnsi" w:hAnsiTheme="minorHAnsi" w:cstheme="minorHAnsi"/>
                <w:iCs/>
                <w:sz w:val="18"/>
                <w:szCs w:val="18"/>
              </w:rPr>
              <w:t>l membranes</w:t>
            </w:r>
            <w:r w:rsidRPr="009747AF">
              <w:rPr>
                <w:rFonts w:asciiTheme="minorHAnsi" w:hAnsiTheme="minorHAnsi" w:cstheme="minorHAnsi"/>
                <w:iCs/>
                <w:sz w:val="18"/>
                <w:szCs w:val="18"/>
                <w:lang w:val="en-GB"/>
              </w:rPr>
              <w:t xml:space="preserve">. Regarding measurement of bioavailable zinc, this involves </w:t>
            </w:r>
            <w:r w:rsidRPr="009747AF">
              <w:rPr>
                <w:rFonts w:asciiTheme="minorHAnsi" w:hAnsiTheme="minorHAnsi" w:cstheme="minorHAnsi"/>
                <w:iCs/>
                <w:sz w:val="18"/>
                <w:szCs w:val="18"/>
              </w:rPr>
              <w:t>a range of techniques designed to measure the ‘labile’ fraction of metals that has been shown to correlate with the fraction that is biologically available.</w:t>
            </w:r>
            <w:r w:rsidRPr="009747AF">
              <w:rPr>
                <w:rFonts w:asciiTheme="minorHAnsi" w:hAnsiTheme="minorHAnsi" w:cstheme="minorHAnsi"/>
                <w:iCs/>
                <w:sz w:val="18"/>
                <w:szCs w:val="18"/>
                <w:lang w:val="en-GB"/>
              </w:rPr>
              <w:t xml:space="preserve"> Clarification of this has be</w:t>
            </w:r>
            <w:r w:rsidRPr="009747AF">
              <w:rPr>
                <w:rFonts w:asciiTheme="minorHAnsi" w:hAnsiTheme="minorHAnsi" w:cstheme="minorHAnsi"/>
                <w:iCs/>
                <w:sz w:val="18"/>
                <w:szCs w:val="18"/>
                <w:lang w:val="en-GB"/>
              </w:rPr>
              <w:t>en added to the text of Appendix A.</w:t>
            </w:r>
          </w:p>
        </w:tc>
        <w:tc>
          <w:tcPr>
            <w:tcW w:w="2835" w:type="dxa"/>
          </w:tcPr>
          <w:p w14:paraId="043B7268"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Figure A 1 has been updated, and minor edits have been made to the text of Appendix A.</w:t>
            </w:r>
            <w:r w:rsidRPr="009747AF">
              <w:rPr>
                <w:rFonts w:asciiTheme="minorHAnsi" w:hAnsiTheme="minorHAnsi" w:cstheme="minorHAnsi"/>
                <w:sz w:val="18"/>
                <w:szCs w:val="18"/>
              </w:rPr>
              <w:br/>
            </w:r>
            <w:r w:rsidRPr="009747AF">
              <w:rPr>
                <w:rFonts w:asciiTheme="minorHAnsi" w:hAnsiTheme="minorHAnsi" w:cstheme="minorHAnsi"/>
                <w:sz w:val="18"/>
                <w:szCs w:val="18"/>
              </w:rPr>
              <w:br/>
            </w:r>
            <w:r w:rsidRPr="009747AF">
              <w:rPr>
                <w:rFonts w:asciiTheme="minorHAnsi" w:hAnsiTheme="minorHAnsi" w:cstheme="minorHAnsi"/>
                <w:sz w:val="18"/>
                <w:szCs w:val="18"/>
              </w:rPr>
              <w:br/>
            </w:r>
          </w:p>
          <w:p w14:paraId="77A0B5F4"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Brief details around modelling and measurement of bioavailable zinc have been added to Appendix A.</w:t>
            </w:r>
          </w:p>
          <w:p w14:paraId="6B7137FE" w14:textId="77777777" w:rsidR="009747AF" w:rsidRPr="009747AF" w:rsidRDefault="009747AF" w:rsidP="00824E16">
            <w:pPr>
              <w:spacing w:before="60" w:after="60" w:line="280" w:lineRule="atLeast"/>
              <w:rPr>
                <w:rFonts w:asciiTheme="minorHAnsi" w:hAnsiTheme="minorHAnsi" w:cstheme="minorHAnsi"/>
                <w:sz w:val="18"/>
                <w:szCs w:val="18"/>
              </w:rPr>
            </w:pPr>
          </w:p>
          <w:p w14:paraId="717DE9E8" w14:textId="77777777" w:rsidR="009747AF" w:rsidRPr="009747AF" w:rsidRDefault="009747AF" w:rsidP="00824E16">
            <w:pPr>
              <w:spacing w:before="60" w:after="60" w:line="280" w:lineRule="atLeast"/>
              <w:rPr>
                <w:rFonts w:asciiTheme="minorHAnsi" w:hAnsiTheme="minorHAnsi" w:cstheme="minorHAnsi"/>
                <w:sz w:val="18"/>
                <w:szCs w:val="18"/>
              </w:rPr>
            </w:pPr>
          </w:p>
          <w:p w14:paraId="06835302" w14:textId="77777777" w:rsidR="009747AF" w:rsidRPr="009747AF" w:rsidRDefault="009747AF" w:rsidP="00824E16">
            <w:pPr>
              <w:spacing w:before="60" w:after="60" w:line="280" w:lineRule="atLeast"/>
              <w:rPr>
                <w:rFonts w:asciiTheme="minorHAnsi" w:hAnsiTheme="minorHAnsi" w:cstheme="minorHAnsi"/>
                <w:sz w:val="18"/>
                <w:szCs w:val="18"/>
              </w:rPr>
            </w:pPr>
          </w:p>
          <w:p w14:paraId="77143297" w14:textId="77777777" w:rsidR="009747AF" w:rsidRPr="009747AF" w:rsidRDefault="009747AF" w:rsidP="00824E16">
            <w:pPr>
              <w:spacing w:before="60" w:after="60" w:line="280" w:lineRule="atLeast"/>
              <w:rPr>
                <w:rFonts w:asciiTheme="minorHAnsi" w:hAnsiTheme="minorHAnsi" w:cstheme="minorHAnsi"/>
                <w:sz w:val="18"/>
                <w:szCs w:val="18"/>
              </w:rPr>
            </w:pPr>
          </w:p>
          <w:p w14:paraId="5CE5B3E7" w14:textId="77777777" w:rsidR="009747AF" w:rsidRPr="009747AF" w:rsidRDefault="009747AF" w:rsidP="00824E16">
            <w:pPr>
              <w:spacing w:before="60" w:after="60" w:line="280" w:lineRule="atLeast"/>
              <w:rPr>
                <w:rFonts w:asciiTheme="minorHAnsi" w:hAnsiTheme="minorHAnsi" w:cstheme="minorHAnsi"/>
                <w:sz w:val="18"/>
                <w:szCs w:val="18"/>
              </w:rPr>
            </w:pPr>
          </w:p>
          <w:p w14:paraId="7333983B" w14:textId="77777777" w:rsidR="009747AF" w:rsidRPr="009747AF" w:rsidRDefault="009747AF" w:rsidP="00824E16">
            <w:pPr>
              <w:spacing w:before="60" w:after="60" w:line="280" w:lineRule="atLeast"/>
              <w:rPr>
                <w:rFonts w:asciiTheme="minorHAnsi" w:hAnsiTheme="minorHAnsi" w:cstheme="minorHAnsi"/>
                <w:sz w:val="18"/>
                <w:szCs w:val="18"/>
              </w:rPr>
            </w:pPr>
          </w:p>
          <w:p w14:paraId="1D63FE2E" w14:textId="77777777" w:rsidR="009747AF" w:rsidRPr="009747AF" w:rsidRDefault="009747AF" w:rsidP="00824E16">
            <w:pPr>
              <w:spacing w:before="60" w:after="60" w:line="280" w:lineRule="atLeast"/>
              <w:rPr>
                <w:rFonts w:asciiTheme="minorHAnsi" w:hAnsiTheme="minorHAnsi" w:cstheme="minorHAnsi"/>
                <w:sz w:val="18"/>
                <w:szCs w:val="18"/>
              </w:rPr>
            </w:pPr>
          </w:p>
        </w:tc>
      </w:tr>
      <w:tr w:rsidR="007B69DA" w14:paraId="279353FA" w14:textId="77777777" w:rsidTr="00824E16">
        <w:tc>
          <w:tcPr>
            <w:tcW w:w="5524" w:type="dxa"/>
          </w:tcPr>
          <w:p w14:paraId="5101A71D" w14:textId="77777777" w:rsidR="009747AF" w:rsidRPr="00E03C5E" w:rsidRDefault="00BE159E" w:rsidP="00824E16">
            <w:pPr>
              <w:spacing w:before="60" w:after="60" w:line="280" w:lineRule="atLeast"/>
              <w:ind w:left="25"/>
              <w:rPr>
                <w:b/>
                <w:bCs/>
                <w:iCs/>
                <w:sz w:val="18"/>
                <w:szCs w:val="18"/>
                <w:lang w:val="en-US"/>
              </w:rPr>
            </w:pPr>
            <w:r w:rsidRPr="00E03C5E">
              <w:rPr>
                <w:b/>
                <w:bCs/>
                <w:iCs/>
                <w:sz w:val="18"/>
                <w:szCs w:val="18"/>
                <w:lang w:val="en-US"/>
              </w:rPr>
              <w:t>Sensitive Species Inclu</w:t>
            </w:r>
            <w:r w:rsidRPr="00E03C5E">
              <w:rPr>
                <w:b/>
                <w:bCs/>
                <w:iCs/>
                <w:sz w:val="18"/>
                <w:szCs w:val="18"/>
                <w:lang w:val="en-US"/>
              </w:rPr>
              <w:t>sion</w:t>
            </w:r>
          </w:p>
          <w:p w14:paraId="4774E6AA" w14:textId="77777777" w:rsidR="009747AF" w:rsidRPr="00E03C5E" w:rsidRDefault="00BE159E" w:rsidP="00824E16">
            <w:pPr>
              <w:spacing w:before="60" w:after="60" w:line="280" w:lineRule="atLeast"/>
              <w:ind w:left="25"/>
              <w:rPr>
                <w:i/>
                <w:iCs/>
                <w:sz w:val="18"/>
                <w:szCs w:val="18"/>
                <w:lang w:val="en-US"/>
              </w:rPr>
            </w:pPr>
            <w:r w:rsidRPr="00E03C5E">
              <w:rPr>
                <w:i/>
                <w:iCs/>
                <w:sz w:val="18"/>
                <w:szCs w:val="18"/>
                <w:lang w:val="en-US"/>
              </w:rPr>
              <w:t>Issue</w:t>
            </w:r>
          </w:p>
          <w:p w14:paraId="6AC1ED82" w14:textId="77777777" w:rsidR="009747AF" w:rsidRPr="00E03C5E" w:rsidRDefault="00BE159E" w:rsidP="00824E16">
            <w:pPr>
              <w:spacing w:before="60" w:after="60" w:line="280" w:lineRule="atLeast"/>
              <w:ind w:left="25"/>
              <w:rPr>
                <w:iCs/>
                <w:sz w:val="18"/>
                <w:szCs w:val="18"/>
                <w:lang w:val="en-US"/>
              </w:rPr>
            </w:pPr>
            <w:r>
              <w:rPr>
                <w:iCs/>
                <w:sz w:val="18"/>
                <w:szCs w:val="18"/>
                <w:lang w:val="en-US"/>
              </w:rPr>
              <w:lastRenderedPageBreak/>
              <w:t>We</w:t>
            </w:r>
            <w:r w:rsidRPr="00E03C5E">
              <w:rPr>
                <w:iCs/>
                <w:sz w:val="18"/>
                <w:szCs w:val="18"/>
                <w:lang w:val="en-US"/>
              </w:rPr>
              <w:t xml:space="preserve"> note that the proposed guidelines are lower than the existing guidelines in part due to the inclusion of more sensitive species in the analysis, including a species of coral - a taxonomic group which is well-known to be extremely sensitive to environmenta</w:t>
            </w:r>
            <w:r w:rsidRPr="00E03C5E">
              <w:rPr>
                <w:iCs/>
                <w:sz w:val="18"/>
                <w:szCs w:val="18"/>
                <w:lang w:val="en-US"/>
              </w:rPr>
              <w:t>l perturbation. As most inshore waters in the north of New Zealand are largely absent of corals, we consider that the resulting levels of species protection may be overly conservative for many environments in this country.</w:t>
            </w:r>
          </w:p>
          <w:p w14:paraId="2CC187B1" w14:textId="1D18229E" w:rsidR="009747AF" w:rsidRPr="00E03C5E" w:rsidRDefault="00BE159E" w:rsidP="00824E16">
            <w:pPr>
              <w:spacing w:before="60" w:after="60" w:line="280" w:lineRule="atLeast"/>
              <w:ind w:left="25"/>
              <w:rPr>
                <w:iCs/>
                <w:sz w:val="18"/>
                <w:szCs w:val="18"/>
                <w:lang w:val="en-US"/>
              </w:rPr>
            </w:pPr>
            <w:r w:rsidRPr="00E03C5E">
              <w:rPr>
                <w:iCs/>
                <w:sz w:val="18"/>
                <w:szCs w:val="18"/>
                <w:lang w:val="en-US"/>
              </w:rPr>
              <w:t xml:space="preserve">Further, </w:t>
            </w:r>
            <w:r>
              <w:rPr>
                <w:iCs/>
                <w:sz w:val="18"/>
                <w:szCs w:val="18"/>
                <w:lang w:val="en-US"/>
              </w:rPr>
              <w:t>we are</w:t>
            </w:r>
            <w:r w:rsidRPr="00E03C5E">
              <w:rPr>
                <w:iCs/>
                <w:sz w:val="18"/>
                <w:szCs w:val="18"/>
                <w:lang w:val="en-US"/>
              </w:rPr>
              <w:t xml:space="preserve"> concerned that mo</w:t>
            </w:r>
            <w:r w:rsidRPr="00E03C5E">
              <w:rPr>
                <w:iCs/>
                <w:sz w:val="18"/>
                <w:szCs w:val="18"/>
                <w:lang w:val="en-US"/>
              </w:rPr>
              <w:t xml:space="preserve">re 'resilient' species may not be as regularly evaluated by researchers compared to more sensitive species </w:t>
            </w:r>
            <w:r w:rsidR="00841EF7">
              <w:rPr>
                <w:iCs/>
                <w:sz w:val="18"/>
                <w:szCs w:val="18"/>
                <w:lang w:val="en-US"/>
              </w:rPr>
              <w:t>i.e.,</w:t>
            </w:r>
            <w:r w:rsidRPr="00E03C5E">
              <w:rPr>
                <w:iCs/>
                <w:sz w:val="18"/>
                <w:szCs w:val="18"/>
                <w:lang w:val="en-US"/>
              </w:rPr>
              <w:t xml:space="preserve"> a selection bias may exist whereby researchers don't consider that more resilient species require evaluation - bringing into question whether a</w:t>
            </w:r>
            <w:r w:rsidRPr="00E03C5E">
              <w:rPr>
                <w:iCs/>
                <w:sz w:val="18"/>
                <w:szCs w:val="18"/>
                <w:lang w:val="en-US"/>
              </w:rPr>
              <w:t xml:space="preserve"> 'percent species protection value' </w:t>
            </w:r>
            <w:proofErr w:type="gramStart"/>
            <w:r w:rsidRPr="00E03C5E">
              <w:rPr>
                <w:iCs/>
                <w:sz w:val="18"/>
                <w:szCs w:val="18"/>
                <w:lang w:val="en-US"/>
              </w:rPr>
              <w:t>actually incorporates</w:t>
            </w:r>
            <w:proofErr w:type="gramEnd"/>
            <w:r w:rsidRPr="00E03C5E">
              <w:rPr>
                <w:iCs/>
                <w:sz w:val="18"/>
                <w:szCs w:val="18"/>
                <w:lang w:val="en-US"/>
              </w:rPr>
              <w:t xml:space="preserve"> the full spectrum of species types and sensitivities.</w:t>
            </w:r>
          </w:p>
          <w:p w14:paraId="177F679F" w14:textId="77777777" w:rsidR="009747AF" w:rsidRPr="00E03C5E" w:rsidRDefault="00BE159E" w:rsidP="00824E16">
            <w:pPr>
              <w:spacing w:before="60" w:after="60" w:line="280" w:lineRule="atLeast"/>
              <w:ind w:left="25"/>
              <w:rPr>
                <w:i/>
                <w:iCs/>
                <w:sz w:val="18"/>
                <w:szCs w:val="18"/>
                <w:lang w:val="en-US"/>
              </w:rPr>
            </w:pPr>
            <w:r w:rsidRPr="00E03C5E">
              <w:rPr>
                <w:i/>
                <w:iCs/>
                <w:sz w:val="18"/>
                <w:szCs w:val="18"/>
                <w:lang w:val="en-US"/>
              </w:rPr>
              <w:t>Relief sought</w:t>
            </w:r>
          </w:p>
          <w:p w14:paraId="0DB6FBD5" w14:textId="526C346F" w:rsidR="009747AF" w:rsidRPr="00E03C5E" w:rsidRDefault="00BE159E" w:rsidP="00824E16">
            <w:pPr>
              <w:spacing w:before="60" w:after="60" w:line="280" w:lineRule="atLeast"/>
              <w:ind w:left="25"/>
              <w:rPr>
                <w:iCs/>
                <w:sz w:val="18"/>
                <w:szCs w:val="18"/>
                <w:lang w:val="en-US"/>
              </w:rPr>
            </w:pPr>
            <w:r>
              <w:rPr>
                <w:iCs/>
                <w:sz w:val="18"/>
                <w:szCs w:val="18"/>
                <w:lang w:val="en-US"/>
              </w:rPr>
              <w:t>We</w:t>
            </w:r>
            <w:r w:rsidRPr="00E03C5E">
              <w:rPr>
                <w:iCs/>
                <w:sz w:val="18"/>
                <w:szCs w:val="18"/>
                <w:lang w:val="en-US"/>
              </w:rPr>
              <w:t xml:space="preserve"> fully appreciate that the DVGs are intended to be applied with respect to local conditions. However, </w:t>
            </w:r>
            <w:r>
              <w:rPr>
                <w:iCs/>
                <w:sz w:val="18"/>
                <w:szCs w:val="18"/>
                <w:lang w:val="en-US"/>
              </w:rPr>
              <w:t>we</w:t>
            </w:r>
            <w:r w:rsidRPr="00E03C5E">
              <w:rPr>
                <w:iCs/>
                <w:sz w:val="18"/>
                <w:szCs w:val="18"/>
                <w:lang w:val="en-US"/>
              </w:rPr>
              <w:t xml:space="preserve"> ask that further guidan</w:t>
            </w:r>
            <w:r w:rsidRPr="00E03C5E">
              <w:rPr>
                <w:iCs/>
                <w:sz w:val="18"/>
                <w:szCs w:val="18"/>
                <w:lang w:val="en-US"/>
              </w:rPr>
              <w:t xml:space="preserve">ce </w:t>
            </w:r>
            <w:r w:rsidR="00841EF7">
              <w:rPr>
                <w:iCs/>
                <w:sz w:val="18"/>
                <w:szCs w:val="18"/>
                <w:lang w:val="en-US"/>
              </w:rPr>
              <w:t>is</w:t>
            </w:r>
            <w:r w:rsidRPr="00E03C5E">
              <w:rPr>
                <w:iCs/>
                <w:sz w:val="18"/>
                <w:szCs w:val="18"/>
                <w:lang w:val="en-US"/>
              </w:rPr>
              <w:t xml:space="preserve"> given to regulators, to assist with the application of the proposed guidelines, particularly how they should be considered in the context of the local presence or absence of key species or phyla.</w:t>
            </w:r>
          </w:p>
          <w:p w14:paraId="3FE7CF47" w14:textId="77777777" w:rsidR="009747AF" w:rsidRPr="008B4A9D" w:rsidRDefault="00BE159E" w:rsidP="00824E16">
            <w:pPr>
              <w:spacing w:before="60" w:after="60" w:line="280" w:lineRule="atLeast"/>
              <w:ind w:left="25"/>
              <w:rPr>
                <w:iCs/>
                <w:sz w:val="18"/>
                <w:szCs w:val="18"/>
                <w:lang w:val="en-GB"/>
              </w:rPr>
            </w:pPr>
            <w:r w:rsidRPr="00E03C5E">
              <w:rPr>
                <w:iCs/>
                <w:sz w:val="18"/>
                <w:szCs w:val="18"/>
                <w:lang w:val="en-US"/>
              </w:rPr>
              <w:t xml:space="preserve">Further, </w:t>
            </w:r>
            <w:r>
              <w:rPr>
                <w:iCs/>
                <w:sz w:val="18"/>
                <w:szCs w:val="18"/>
                <w:lang w:val="en-US"/>
              </w:rPr>
              <w:t>we</w:t>
            </w:r>
            <w:r w:rsidRPr="00E03C5E">
              <w:rPr>
                <w:iCs/>
                <w:sz w:val="18"/>
                <w:szCs w:val="18"/>
                <w:lang w:val="en-US"/>
              </w:rPr>
              <w:t xml:space="preserve"> request clarification about whether the toxicity data used in the development of the DGV could be skewed toward more sensitive species.</w:t>
            </w:r>
          </w:p>
        </w:tc>
        <w:tc>
          <w:tcPr>
            <w:tcW w:w="5528" w:type="dxa"/>
          </w:tcPr>
          <w:p w14:paraId="3B07B9C6" w14:textId="1999726E" w:rsidR="009747AF" w:rsidRPr="001579F6" w:rsidRDefault="00BE159E" w:rsidP="00824E16">
            <w:pPr>
              <w:spacing w:before="60" w:after="60" w:line="280" w:lineRule="atLeast"/>
              <w:rPr>
                <w:color w:val="000000" w:themeColor="text1"/>
                <w:sz w:val="18"/>
                <w:szCs w:val="18"/>
              </w:rPr>
            </w:pPr>
            <w:r>
              <w:rPr>
                <w:bCs/>
                <w:color w:val="000000" w:themeColor="text1"/>
                <w:sz w:val="18"/>
                <w:szCs w:val="18"/>
              </w:rPr>
              <w:lastRenderedPageBreak/>
              <w:t xml:space="preserve">Based on other public comments received, the toxicity value for the coral species, </w:t>
            </w:r>
            <w:r w:rsidRPr="001579F6">
              <w:rPr>
                <w:bCs/>
                <w:i/>
                <w:iCs/>
                <w:color w:val="000000" w:themeColor="text1"/>
                <w:sz w:val="18"/>
                <w:szCs w:val="18"/>
              </w:rPr>
              <w:t>Acropora tenuis</w:t>
            </w:r>
            <w:r>
              <w:rPr>
                <w:bCs/>
                <w:color w:val="000000" w:themeColor="text1"/>
                <w:sz w:val="18"/>
                <w:szCs w:val="18"/>
              </w:rPr>
              <w:t xml:space="preserve">, has been removed from the dataset because it was identified as not being based on measured </w:t>
            </w:r>
            <w:r>
              <w:rPr>
                <w:bCs/>
                <w:color w:val="000000" w:themeColor="text1"/>
                <w:sz w:val="18"/>
                <w:szCs w:val="18"/>
              </w:rPr>
              <w:lastRenderedPageBreak/>
              <w:t xml:space="preserve">concentrations. Thus, the re-derived DGVs have increased from those in the draft </w:t>
            </w:r>
            <w:r w:rsidR="00841EF7">
              <w:rPr>
                <w:bCs/>
                <w:color w:val="000000" w:themeColor="text1"/>
                <w:sz w:val="18"/>
                <w:szCs w:val="18"/>
              </w:rPr>
              <w:t>version but</w:t>
            </w:r>
            <w:r>
              <w:rPr>
                <w:bCs/>
                <w:color w:val="000000" w:themeColor="text1"/>
                <w:sz w:val="18"/>
                <w:szCs w:val="18"/>
              </w:rPr>
              <w:t xml:space="preserve"> are still about half of that of the corresponding ANZECC/ARMCANZ (2000</w:t>
            </w:r>
            <w:r>
              <w:rPr>
                <w:bCs/>
                <w:color w:val="000000" w:themeColor="text1"/>
                <w:sz w:val="18"/>
                <w:szCs w:val="18"/>
              </w:rPr>
              <w:t xml:space="preserve">) DGVs. It is noteworthy that the dataset used to derive the current draft DGVs </w:t>
            </w:r>
            <w:proofErr w:type="gramStart"/>
            <w:r>
              <w:rPr>
                <w:bCs/>
                <w:color w:val="000000" w:themeColor="text1"/>
                <w:sz w:val="18"/>
                <w:szCs w:val="18"/>
              </w:rPr>
              <w:t>is considered to be</w:t>
            </w:r>
            <w:proofErr w:type="gramEnd"/>
            <w:r>
              <w:rPr>
                <w:bCs/>
                <w:color w:val="000000" w:themeColor="text1"/>
                <w:sz w:val="18"/>
                <w:szCs w:val="18"/>
              </w:rPr>
              <w:t xml:space="preserve"> more reliable than the dataset used to derive the ANZECC/ARMCANZ (2000) DGVs, as summarised in section 4.1 of the draft technical brief.</w:t>
            </w:r>
          </w:p>
          <w:p w14:paraId="326EB8BF" w14:textId="22D83580" w:rsidR="009747AF" w:rsidRDefault="00BE159E" w:rsidP="00824E16">
            <w:pPr>
              <w:tabs>
                <w:tab w:val="left" w:pos="2053"/>
              </w:tabs>
              <w:spacing w:before="60" w:after="60" w:line="280" w:lineRule="atLeast"/>
              <w:rPr>
                <w:sz w:val="18"/>
                <w:szCs w:val="18"/>
              </w:rPr>
            </w:pPr>
            <w:r>
              <w:rPr>
                <w:sz w:val="18"/>
                <w:szCs w:val="18"/>
              </w:rPr>
              <w:t>One of the assumpti</w:t>
            </w:r>
            <w:r>
              <w:rPr>
                <w:sz w:val="18"/>
                <w:szCs w:val="18"/>
              </w:rPr>
              <w:t xml:space="preserve">ons of using the species sensitivity </w:t>
            </w:r>
            <w:r w:rsidR="00841EF7">
              <w:rPr>
                <w:sz w:val="18"/>
                <w:szCs w:val="18"/>
              </w:rPr>
              <w:t>distribution approach</w:t>
            </w:r>
            <w:r>
              <w:rPr>
                <w:sz w:val="18"/>
                <w:szCs w:val="18"/>
              </w:rPr>
              <w:t xml:space="preserve"> is that the dataset represents a random sample of the species in the environment and, therefore, that it is representative of the range of sensitivities of species in the environment. The zinc chro</w:t>
            </w:r>
            <w:r>
              <w:rPr>
                <w:sz w:val="18"/>
                <w:szCs w:val="18"/>
              </w:rPr>
              <w:t xml:space="preserve">nic toxicity dataset used to derive the draft DGVs spans 3 orders of </w:t>
            </w:r>
            <w:proofErr w:type="gramStart"/>
            <w:r>
              <w:rPr>
                <w:sz w:val="18"/>
                <w:szCs w:val="18"/>
              </w:rPr>
              <w:t>magnitude, and</w:t>
            </w:r>
            <w:proofErr w:type="gramEnd"/>
            <w:r>
              <w:rPr>
                <w:sz w:val="18"/>
                <w:szCs w:val="18"/>
              </w:rPr>
              <w:t xml:space="preserve"> includes a small number of species that are either highly sensitive to zinc (</w:t>
            </w:r>
            <w:r w:rsidR="00841EF7">
              <w:rPr>
                <w:sz w:val="18"/>
                <w:szCs w:val="18"/>
              </w:rPr>
              <w:t xml:space="preserve">e.g., </w:t>
            </w:r>
            <w:r>
              <w:rPr>
                <w:sz w:val="18"/>
                <w:szCs w:val="18"/>
              </w:rPr>
              <w:t xml:space="preserve">toxicity values &lt;10 </w:t>
            </w:r>
            <w:r>
              <w:rPr>
                <w:rFonts w:cs="Calibri"/>
                <w:sz w:val="18"/>
                <w:szCs w:val="18"/>
              </w:rPr>
              <w:t>µ</w:t>
            </w:r>
            <w:r>
              <w:rPr>
                <w:sz w:val="18"/>
                <w:szCs w:val="18"/>
              </w:rPr>
              <w:t>g/L) or highly tolerant to zinc (</w:t>
            </w:r>
            <w:r w:rsidR="00841EF7">
              <w:rPr>
                <w:sz w:val="18"/>
                <w:szCs w:val="18"/>
              </w:rPr>
              <w:t xml:space="preserve">e.g., </w:t>
            </w:r>
            <w:r>
              <w:rPr>
                <w:sz w:val="18"/>
                <w:szCs w:val="18"/>
              </w:rPr>
              <w:t xml:space="preserve">toxicity values &gt;1000 </w:t>
            </w:r>
            <w:r>
              <w:rPr>
                <w:rFonts w:cs="Calibri"/>
                <w:sz w:val="18"/>
                <w:szCs w:val="18"/>
              </w:rPr>
              <w:t>µ</w:t>
            </w:r>
            <w:r>
              <w:rPr>
                <w:sz w:val="18"/>
                <w:szCs w:val="18"/>
              </w:rPr>
              <w:t xml:space="preserve">g/L), </w:t>
            </w:r>
            <w:r>
              <w:rPr>
                <w:sz w:val="18"/>
                <w:szCs w:val="18"/>
              </w:rPr>
              <w:t>in similar proportions.</w:t>
            </w:r>
          </w:p>
          <w:p w14:paraId="5CB24CBB" w14:textId="3C198AF4" w:rsidR="009747AF" w:rsidRPr="005F08DF" w:rsidRDefault="00BE159E" w:rsidP="00824E16">
            <w:pPr>
              <w:tabs>
                <w:tab w:val="left" w:pos="2053"/>
              </w:tabs>
              <w:spacing w:before="60" w:after="60" w:line="280" w:lineRule="atLeast"/>
              <w:rPr>
                <w:sz w:val="18"/>
                <w:szCs w:val="18"/>
              </w:rPr>
            </w:pPr>
            <w:r>
              <w:rPr>
                <w:sz w:val="18"/>
                <w:szCs w:val="18"/>
              </w:rPr>
              <w:t xml:space="preserve">ANZG (2018) provides guidance on the </w:t>
            </w:r>
            <w:r w:rsidRPr="00AD2019">
              <w:rPr>
                <w:sz w:val="18"/>
                <w:szCs w:val="18"/>
              </w:rPr>
              <w:t>application of DGVs with respect to local conditions</w:t>
            </w:r>
            <w:r>
              <w:rPr>
                <w:sz w:val="18"/>
                <w:szCs w:val="18"/>
              </w:rPr>
              <w:t>. Understandably, it is not feasible to anticipate and provide guidance for every site-specific issue (</w:t>
            </w:r>
            <w:r w:rsidR="00841EF7">
              <w:rPr>
                <w:sz w:val="18"/>
                <w:szCs w:val="18"/>
              </w:rPr>
              <w:t xml:space="preserve">e.g., </w:t>
            </w:r>
            <w:r>
              <w:rPr>
                <w:sz w:val="18"/>
                <w:szCs w:val="18"/>
              </w:rPr>
              <w:t>natural absence of particularly se</w:t>
            </w:r>
            <w:r>
              <w:rPr>
                <w:sz w:val="18"/>
                <w:szCs w:val="18"/>
              </w:rPr>
              <w:t xml:space="preserve">nsitive species at a location). Therefore, the Guidelines accommodate the use of best professional judgement to make decisions where the existing guidance does not cover a specific issue. Such judgement decisions need to be defensible and </w:t>
            </w:r>
            <w:r w:rsidR="00841EF7">
              <w:rPr>
                <w:sz w:val="18"/>
                <w:szCs w:val="18"/>
              </w:rPr>
              <w:t>documented and</w:t>
            </w:r>
            <w:r>
              <w:rPr>
                <w:sz w:val="18"/>
                <w:szCs w:val="18"/>
              </w:rPr>
              <w:t xml:space="preserve"> di</w:t>
            </w:r>
            <w:r>
              <w:rPr>
                <w:sz w:val="18"/>
                <w:szCs w:val="18"/>
              </w:rPr>
              <w:t>scussed with local jurisdictions. This might include the need for site-specific studies to support any proposed modification of DGVs or development of site-specific guideline values.</w:t>
            </w:r>
          </w:p>
        </w:tc>
        <w:tc>
          <w:tcPr>
            <w:tcW w:w="2835" w:type="dxa"/>
          </w:tcPr>
          <w:p w14:paraId="3F367781" w14:textId="77777777" w:rsidR="009747AF" w:rsidRPr="00C93289" w:rsidRDefault="00BE159E" w:rsidP="00824E16">
            <w:pPr>
              <w:spacing w:before="60" w:after="60" w:line="280" w:lineRule="atLeast"/>
              <w:rPr>
                <w:sz w:val="18"/>
                <w:szCs w:val="18"/>
              </w:rPr>
            </w:pPr>
            <w:r>
              <w:rPr>
                <w:sz w:val="18"/>
                <w:szCs w:val="18"/>
              </w:rPr>
              <w:lastRenderedPageBreak/>
              <w:t>No action taken for DGVs technical brief.</w:t>
            </w:r>
          </w:p>
        </w:tc>
      </w:tr>
      <w:tr w:rsidR="007B69DA" w14:paraId="762F985B" w14:textId="77777777" w:rsidTr="00824E16">
        <w:tc>
          <w:tcPr>
            <w:tcW w:w="5524" w:type="dxa"/>
          </w:tcPr>
          <w:p w14:paraId="5A095591" w14:textId="77777777" w:rsidR="009747AF" w:rsidRPr="00E03C5E" w:rsidRDefault="00BE159E" w:rsidP="00824E16">
            <w:pPr>
              <w:spacing w:before="60" w:after="60" w:line="280" w:lineRule="atLeast"/>
              <w:ind w:left="25"/>
              <w:rPr>
                <w:b/>
                <w:bCs/>
                <w:sz w:val="18"/>
                <w:szCs w:val="18"/>
                <w:lang w:val="en-US"/>
              </w:rPr>
            </w:pPr>
            <w:r w:rsidRPr="00E03C5E">
              <w:rPr>
                <w:b/>
                <w:bCs/>
                <w:sz w:val="18"/>
                <w:szCs w:val="18"/>
                <w:lang w:val="en-US"/>
              </w:rPr>
              <w:t>Salinity Gap</w:t>
            </w:r>
          </w:p>
          <w:p w14:paraId="33247AE9" w14:textId="77777777" w:rsidR="009747AF" w:rsidRPr="00E03C5E" w:rsidRDefault="00BE159E" w:rsidP="00824E16">
            <w:pPr>
              <w:spacing w:before="60" w:after="60" w:line="280" w:lineRule="atLeast"/>
              <w:ind w:left="25"/>
              <w:rPr>
                <w:i/>
                <w:sz w:val="18"/>
                <w:szCs w:val="18"/>
                <w:lang w:val="en-US"/>
              </w:rPr>
            </w:pPr>
            <w:r w:rsidRPr="00E03C5E">
              <w:rPr>
                <w:i/>
                <w:sz w:val="18"/>
                <w:szCs w:val="18"/>
                <w:lang w:val="en-US"/>
              </w:rPr>
              <w:t>Issue</w:t>
            </w:r>
          </w:p>
          <w:p w14:paraId="198C1151" w14:textId="77777777" w:rsidR="009747AF" w:rsidRPr="00E03C5E" w:rsidRDefault="00BE159E" w:rsidP="00824E16">
            <w:pPr>
              <w:spacing w:before="60" w:after="60" w:line="280" w:lineRule="atLeast"/>
              <w:ind w:left="25"/>
              <w:rPr>
                <w:sz w:val="18"/>
                <w:szCs w:val="18"/>
                <w:lang w:val="en-US"/>
              </w:rPr>
            </w:pPr>
            <w:r>
              <w:rPr>
                <w:sz w:val="18"/>
                <w:szCs w:val="18"/>
                <w:lang w:val="en-US"/>
              </w:rPr>
              <w:t>We</w:t>
            </w:r>
            <w:r w:rsidRPr="00E03C5E">
              <w:rPr>
                <w:sz w:val="18"/>
                <w:szCs w:val="18"/>
                <w:lang w:val="en-US"/>
              </w:rPr>
              <w:t xml:space="preserve"> note that the proposed guidelines are intended to apply for waters with salinity of 25 parts per thousand or above, while the freshwater guidelines apply to waters with salinity of &lt;2 ppt. There are no default </w:t>
            </w:r>
            <w:r w:rsidRPr="00E03C5E">
              <w:rPr>
                <w:sz w:val="18"/>
                <w:szCs w:val="18"/>
                <w:lang w:val="en-US"/>
              </w:rPr>
              <w:lastRenderedPageBreak/>
              <w:t xml:space="preserve">guideline values for estuarine waters, as is </w:t>
            </w:r>
            <w:r w:rsidRPr="00E03C5E">
              <w:rPr>
                <w:sz w:val="18"/>
                <w:szCs w:val="18"/>
                <w:lang w:val="en-US"/>
              </w:rPr>
              <w:t>applicable to the Glenbrook Steel Mill receiving environment.</w:t>
            </w:r>
          </w:p>
          <w:p w14:paraId="2D810DA5" w14:textId="77777777" w:rsidR="009747AF" w:rsidRPr="00E03C5E" w:rsidRDefault="00BE159E" w:rsidP="00824E16">
            <w:pPr>
              <w:spacing w:before="60" w:after="60" w:line="280" w:lineRule="atLeast"/>
              <w:ind w:left="25"/>
              <w:rPr>
                <w:i/>
                <w:sz w:val="18"/>
                <w:szCs w:val="18"/>
                <w:lang w:val="en-US"/>
              </w:rPr>
            </w:pPr>
            <w:r w:rsidRPr="00E03C5E">
              <w:rPr>
                <w:i/>
                <w:sz w:val="18"/>
                <w:szCs w:val="18"/>
                <w:lang w:val="en-US"/>
              </w:rPr>
              <w:t>Relief sought</w:t>
            </w:r>
          </w:p>
          <w:p w14:paraId="4AF535C7" w14:textId="77777777" w:rsidR="009747AF" w:rsidRPr="008B4A9D" w:rsidRDefault="00BE159E" w:rsidP="00824E16">
            <w:pPr>
              <w:spacing w:before="60" w:after="60" w:line="280" w:lineRule="atLeast"/>
              <w:ind w:left="25"/>
              <w:rPr>
                <w:sz w:val="18"/>
                <w:szCs w:val="18"/>
                <w:lang w:val="en-GB"/>
              </w:rPr>
            </w:pPr>
            <w:r>
              <w:rPr>
                <w:sz w:val="18"/>
                <w:szCs w:val="18"/>
                <w:lang w:val="en-US"/>
              </w:rPr>
              <w:t>We</w:t>
            </w:r>
            <w:r w:rsidRPr="00E03C5E">
              <w:rPr>
                <w:sz w:val="18"/>
                <w:szCs w:val="18"/>
                <w:lang w:val="en-US"/>
              </w:rPr>
              <w:t xml:space="preserve"> ask that further guidance </w:t>
            </w:r>
            <w:r>
              <w:rPr>
                <w:sz w:val="18"/>
                <w:szCs w:val="18"/>
                <w:lang w:val="en-US"/>
              </w:rPr>
              <w:t>is</w:t>
            </w:r>
            <w:r w:rsidRPr="00E03C5E">
              <w:rPr>
                <w:sz w:val="18"/>
                <w:szCs w:val="18"/>
                <w:lang w:val="en-US"/>
              </w:rPr>
              <w:t xml:space="preserve"> provided on the application of the proposed marine (and existing and future freshwater) guidelines to environments with salinities between 2 and 25 </w:t>
            </w:r>
            <w:r w:rsidRPr="00E03C5E">
              <w:rPr>
                <w:sz w:val="18"/>
                <w:szCs w:val="18"/>
                <w:lang w:val="en-US"/>
              </w:rPr>
              <w:t>ppt - most estuarine waters.</w:t>
            </w:r>
          </w:p>
        </w:tc>
        <w:tc>
          <w:tcPr>
            <w:tcW w:w="5528" w:type="dxa"/>
          </w:tcPr>
          <w:p w14:paraId="3C1CEE08" w14:textId="77777777" w:rsidR="009747AF" w:rsidRPr="003A74DF" w:rsidRDefault="00BE159E" w:rsidP="00824E16">
            <w:pPr>
              <w:spacing w:before="60" w:after="60" w:line="280" w:lineRule="atLeast"/>
              <w:rPr>
                <w:iCs/>
                <w:color w:val="000000" w:themeColor="text1"/>
                <w:sz w:val="18"/>
                <w:szCs w:val="18"/>
              </w:rPr>
            </w:pPr>
            <w:r>
              <w:rPr>
                <w:iCs/>
                <w:color w:val="000000" w:themeColor="text1"/>
                <w:sz w:val="18"/>
                <w:szCs w:val="18"/>
              </w:rPr>
              <w:lastRenderedPageBreak/>
              <w:t>It is acknowledged that ANZG (2018) does not provide DGVs for estuarine waters. However, information on the reasons for this, and additional guidance on how to apply DGVs to such waters, was added to the website in 2020, at the</w:t>
            </w:r>
            <w:r>
              <w:rPr>
                <w:iCs/>
                <w:color w:val="000000" w:themeColor="text1"/>
                <w:sz w:val="18"/>
                <w:szCs w:val="18"/>
              </w:rPr>
              <w:t xml:space="preserve"> following links:</w:t>
            </w:r>
          </w:p>
          <w:p w14:paraId="3CE48179" w14:textId="77777777" w:rsidR="009747AF" w:rsidRPr="00627604" w:rsidRDefault="00BE159E" w:rsidP="00824E16">
            <w:pPr>
              <w:spacing w:before="60" w:after="60" w:line="280" w:lineRule="atLeast"/>
              <w:rPr>
                <w:iCs/>
                <w:color w:val="0070C0"/>
                <w:sz w:val="18"/>
                <w:szCs w:val="18"/>
              </w:rPr>
            </w:pPr>
            <w:hyperlink r:id="rId11" w:anchor="guideline-values-for-other-water-types" w:history="1">
              <w:r w:rsidR="00AD441C" w:rsidRPr="00627604">
                <w:rPr>
                  <w:rStyle w:val="Hyperlink"/>
                  <w:iCs/>
                  <w:color w:val="0070C0"/>
                  <w:sz w:val="18"/>
                  <w:szCs w:val="18"/>
                </w:rPr>
                <w:t>https://www.waterquality.gov.au/anz-guidelines/guideline-values/default/water-quality-toxicants#guideline-values-for-other-water-types</w:t>
              </w:r>
            </w:hyperlink>
          </w:p>
          <w:p w14:paraId="2547CD42" w14:textId="77777777" w:rsidR="009747AF" w:rsidRPr="00627604" w:rsidRDefault="00BE159E" w:rsidP="00824E16">
            <w:pPr>
              <w:spacing w:before="60" w:after="60" w:line="280" w:lineRule="atLeast"/>
              <w:rPr>
                <w:iCs/>
                <w:color w:val="0070C0"/>
                <w:sz w:val="18"/>
                <w:szCs w:val="18"/>
              </w:rPr>
            </w:pPr>
            <w:hyperlink r:id="rId12" w:anchor="salinity-effects" w:history="1">
              <w:r w:rsidR="00AD441C" w:rsidRPr="00627604">
                <w:rPr>
                  <w:rStyle w:val="Hyperlink"/>
                  <w:iCs/>
                  <w:color w:val="0070C0"/>
                  <w:sz w:val="18"/>
                  <w:szCs w:val="18"/>
                </w:rPr>
                <w:t>https://www.waterquality.gov.au/anz-guidelines/guideline-values/default/water-quality-toxicants/local-conditions#salinity-effects</w:t>
              </w:r>
            </w:hyperlink>
          </w:p>
          <w:p w14:paraId="4E9A2FB2" w14:textId="77777777" w:rsidR="009747AF" w:rsidRPr="008B4A9D" w:rsidRDefault="009747AF" w:rsidP="00824E16">
            <w:pPr>
              <w:spacing w:before="60" w:after="60" w:line="280" w:lineRule="atLeast"/>
              <w:rPr>
                <w:iCs/>
                <w:sz w:val="18"/>
                <w:szCs w:val="18"/>
              </w:rPr>
            </w:pPr>
          </w:p>
        </w:tc>
        <w:tc>
          <w:tcPr>
            <w:tcW w:w="2835" w:type="dxa"/>
          </w:tcPr>
          <w:p w14:paraId="0C24ADE3" w14:textId="77777777" w:rsidR="009747AF" w:rsidRPr="00C93289" w:rsidRDefault="00BE159E" w:rsidP="00824E16">
            <w:pPr>
              <w:spacing w:before="60" w:after="60" w:line="280" w:lineRule="atLeast"/>
              <w:rPr>
                <w:sz w:val="18"/>
                <w:szCs w:val="18"/>
              </w:rPr>
            </w:pPr>
            <w:r>
              <w:rPr>
                <w:sz w:val="18"/>
                <w:szCs w:val="18"/>
              </w:rPr>
              <w:lastRenderedPageBreak/>
              <w:t>No action taken for DGVs technical brief.</w:t>
            </w:r>
          </w:p>
        </w:tc>
      </w:tr>
      <w:tr w:rsidR="007B69DA" w14:paraId="1597F541" w14:textId="77777777" w:rsidTr="00824E16">
        <w:tc>
          <w:tcPr>
            <w:tcW w:w="5524" w:type="dxa"/>
          </w:tcPr>
          <w:p w14:paraId="1AF4D26C" w14:textId="77777777" w:rsidR="009747AF" w:rsidRPr="00E03C5E" w:rsidRDefault="00BE159E" w:rsidP="00824E16">
            <w:pPr>
              <w:spacing w:before="60" w:after="60" w:line="280" w:lineRule="atLeast"/>
              <w:ind w:left="25"/>
              <w:rPr>
                <w:b/>
                <w:bCs/>
                <w:sz w:val="18"/>
                <w:szCs w:val="18"/>
                <w:lang w:val="en-US"/>
              </w:rPr>
            </w:pPr>
            <w:r w:rsidRPr="00E03C5E">
              <w:rPr>
                <w:b/>
                <w:bCs/>
                <w:sz w:val="18"/>
                <w:szCs w:val="18"/>
                <w:lang w:val="en-US"/>
              </w:rPr>
              <w:t>Limited Guidance for Assessing Bioavailability</w:t>
            </w:r>
          </w:p>
          <w:p w14:paraId="3D393A59" w14:textId="77777777" w:rsidR="009747AF" w:rsidRPr="00E03C5E" w:rsidRDefault="00BE159E" w:rsidP="00824E16">
            <w:pPr>
              <w:spacing w:before="60" w:after="60" w:line="280" w:lineRule="atLeast"/>
              <w:ind w:left="25"/>
              <w:rPr>
                <w:i/>
                <w:sz w:val="18"/>
                <w:szCs w:val="18"/>
                <w:lang w:val="en-US"/>
              </w:rPr>
            </w:pPr>
            <w:r w:rsidRPr="00E03C5E">
              <w:rPr>
                <w:i/>
                <w:sz w:val="18"/>
                <w:szCs w:val="18"/>
                <w:lang w:val="en-US"/>
              </w:rPr>
              <w:t>Issue</w:t>
            </w:r>
          </w:p>
          <w:p w14:paraId="57803C40" w14:textId="67AA0B74" w:rsidR="009747AF" w:rsidRPr="00E03C5E" w:rsidRDefault="00BE159E" w:rsidP="00824E16">
            <w:pPr>
              <w:spacing w:before="60" w:after="60" w:line="280" w:lineRule="atLeast"/>
              <w:ind w:left="25"/>
              <w:rPr>
                <w:sz w:val="18"/>
                <w:szCs w:val="18"/>
                <w:lang w:val="en-US"/>
              </w:rPr>
            </w:pPr>
            <w:r>
              <w:rPr>
                <w:sz w:val="18"/>
                <w:szCs w:val="18"/>
                <w:lang w:val="en-US"/>
              </w:rPr>
              <w:t>We</w:t>
            </w:r>
            <w:r w:rsidRPr="00E03C5E">
              <w:rPr>
                <w:sz w:val="18"/>
                <w:szCs w:val="18"/>
                <w:lang w:val="en-US"/>
              </w:rPr>
              <w:t xml:space="preserve"> note that the proposed guidelines include a hierarchical approach for evaluating monitoring data against DGVs for metals, including consideration of the bioavailable fraction. However, the guidance regarding how to carry out an assessment of bioavailabili</w:t>
            </w:r>
            <w:r w:rsidRPr="00E03C5E">
              <w:rPr>
                <w:sz w:val="18"/>
                <w:szCs w:val="18"/>
                <w:lang w:val="en-US"/>
              </w:rPr>
              <w:t>ty or conduct Direct Toxicity Assessment (</w:t>
            </w:r>
            <w:r>
              <w:rPr>
                <w:sz w:val="18"/>
                <w:szCs w:val="18"/>
                <w:lang w:val="en-US"/>
              </w:rPr>
              <w:t>D</w:t>
            </w:r>
            <w:r w:rsidRPr="00E03C5E">
              <w:rPr>
                <w:sz w:val="18"/>
                <w:szCs w:val="18"/>
                <w:lang w:val="en-US"/>
              </w:rPr>
              <w:t xml:space="preserve">TA) is </w:t>
            </w:r>
            <w:r w:rsidR="00841EF7" w:rsidRPr="00E03C5E">
              <w:rPr>
                <w:sz w:val="18"/>
                <w:szCs w:val="18"/>
                <w:lang w:val="en-US"/>
              </w:rPr>
              <w:t>limited and</w:t>
            </w:r>
            <w:r w:rsidRPr="00E03C5E">
              <w:rPr>
                <w:sz w:val="18"/>
                <w:szCs w:val="18"/>
                <w:lang w:val="en-US"/>
              </w:rPr>
              <w:t xml:space="preserve"> is a highly technical method that few experts </w:t>
            </w:r>
            <w:proofErr w:type="gramStart"/>
            <w:r w:rsidRPr="00E03C5E">
              <w:rPr>
                <w:sz w:val="18"/>
                <w:szCs w:val="18"/>
                <w:lang w:val="en-US"/>
              </w:rPr>
              <w:t>are able to</w:t>
            </w:r>
            <w:proofErr w:type="gramEnd"/>
            <w:r w:rsidRPr="00E03C5E">
              <w:rPr>
                <w:sz w:val="18"/>
                <w:szCs w:val="18"/>
                <w:lang w:val="en-US"/>
              </w:rPr>
              <w:t xml:space="preserve"> deliver in New Zealand.</w:t>
            </w:r>
          </w:p>
          <w:p w14:paraId="6D944DDF" w14:textId="77777777" w:rsidR="009747AF" w:rsidRDefault="00BE159E" w:rsidP="00824E16">
            <w:pPr>
              <w:spacing w:before="60" w:after="60" w:line="280" w:lineRule="atLeast"/>
              <w:ind w:left="25"/>
              <w:rPr>
                <w:sz w:val="18"/>
                <w:szCs w:val="18"/>
                <w:lang w:val="en-US"/>
              </w:rPr>
            </w:pPr>
            <w:r w:rsidRPr="00E03C5E">
              <w:rPr>
                <w:sz w:val="18"/>
                <w:szCs w:val="18"/>
                <w:lang w:val="en-US"/>
              </w:rPr>
              <w:t xml:space="preserve">The Water Quality Guidelines website provides some guidance on assessing the bioavailable fraction, but </w:t>
            </w:r>
            <w:r>
              <w:rPr>
                <w:sz w:val="18"/>
                <w:szCs w:val="18"/>
                <w:lang w:val="en-US"/>
              </w:rPr>
              <w:t>we</w:t>
            </w:r>
            <w:r w:rsidRPr="00E03C5E">
              <w:rPr>
                <w:sz w:val="18"/>
                <w:szCs w:val="18"/>
                <w:lang w:val="en-US"/>
              </w:rPr>
              <w:t xml:space="preserve"> note </w:t>
            </w:r>
            <w:r w:rsidRPr="00E03C5E">
              <w:rPr>
                <w:sz w:val="18"/>
                <w:szCs w:val="18"/>
                <w:lang w:val="en-US"/>
              </w:rPr>
              <w:t xml:space="preserve">that the referenced guidance on conducting </w:t>
            </w:r>
            <w:r>
              <w:rPr>
                <w:sz w:val="18"/>
                <w:szCs w:val="18"/>
                <w:lang w:val="en-US"/>
              </w:rPr>
              <w:t>D</w:t>
            </w:r>
            <w:r w:rsidRPr="00E03C5E">
              <w:rPr>
                <w:sz w:val="18"/>
                <w:szCs w:val="18"/>
                <w:lang w:val="en-US"/>
              </w:rPr>
              <w:t>TA has not yet been published</w:t>
            </w:r>
            <w:r>
              <w:rPr>
                <w:sz w:val="18"/>
                <w:szCs w:val="18"/>
                <w:lang w:val="en-US"/>
              </w:rPr>
              <w:t>.</w:t>
            </w:r>
          </w:p>
          <w:p w14:paraId="6D7C500E" w14:textId="77777777" w:rsidR="009747AF" w:rsidRPr="00E03C5E" w:rsidRDefault="00BE159E" w:rsidP="00824E16">
            <w:pPr>
              <w:spacing w:before="60" w:after="60" w:line="280" w:lineRule="atLeast"/>
              <w:ind w:left="25"/>
              <w:rPr>
                <w:sz w:val="18"/>
                <w:szCs w:val="18"/>
                <w:lang w:val="en-US"/>
              </w:rPr>
            </w:pPr>
            <w:r w:rsidRPr="00E03C5E">
              <w:rPr>
                <w:sz w:val="18"/>
                <w:szCs w:val="18"/>
                <w:lang w:val="en-US"/>
              </w:rPr>
              <w:t xml:space="preserve">Furthermore, </w:t>
            </w:r>
            <w:r>
              <w:rPr>
                <w:sz w:val="18"/>
                <w:szCs w:val="18"/>
                <w:lang w:val="en-US"/>
              </w:rPr>
              <w:t>we</w:t>
            </w:r>
            <w:r w:rsidRPr="00E03C5E">
              <w:rPr>
                <w:sz w:val="18"/>
                <w:szCs w:val="18"/>
                <w:lang w:val="en-US"/>
              </w:rPr>
              <w:t xml:space="preserve"> note that </w:t>
            </w:r>
            <w:r>
              <w:rPr>
                <w:sz w:val="18"/>
                <w:szCs w:val="18"/>
                <w:lang w:val="en-US"/>
              </w:rPr>
              <w:t>D</w:t>
            </w:r>
            <w:r w:rsidRPr="00E03C5E">
              <w:rPr>
                <w:sz w:val="18"/>
                <w:szCs w:val="18"/>
                <w:lang w:val="en-US"/>
              </w:rPr>
              <w:t>TA is</w:t>
            </w:r>
            <w:r>
              <w:rPr>
                <w:sz w:val="18"/>
                <w:szCs w:val="18"/>
                <w:lang w:val="en-US"/>
              </w:rPr>
              <w:t xml:space="preserve"> a</w:t>
            </w:r>
            <w:r w:rsidRPr="00E03C5E">
              <w:rPr>
                <w:sz w:val="18"/>
                <w:szCs w:val="18"/>
                <w:lang w:val="en-US"/>
              </w:rPr>
              <w:t xml:space="preserve"> technique </w:t>
            </w:r>
            <w:r>
              <w:rPr>
                <w:sz w:val="18"/>
                <w:szCs w:val="18"/>
                <w:lang w:val="en-US"/>
              </w:rPr>
              <w:t>which</w:t>
            </w:r>
            <w:r w:rsidRPr="00E03C5E">
              <w:rPr>
                <w:sz w:val="18"/>
                <w:szCs w:val="18"/>
                <w:lang w:val="en-US"/>
              </w:rPr>
              <w:t xml:space="preserve"> is normally used for assessing the toxicity of complex effluents whose characteristics do not vary significantly over time, such a</w:t>
            </w:r>
            <w:r w:rsidRPr="00E03C5E">
              <w:rPr>
                <w:sz w:val="18"/>
                <w:szCs w:val="18"/>
                <w:lang w:val="en-US"/>
              </w:rPr>
              <w:t>s industrial effluents. As such, we consider that the technique is of questionable relevance in situations such as roof runoff, where there may be many factors that affect the toxicity, above and beyond the nature of the product's coating.</w:t>
            </w:r>
          </w:p>
          <w:p w14:paraId="55182697" w14:textId="77777777" w:rsidR="009747AF" w:rsidRPr="00E03C5E" w:rsidRDefault="00BE159E" w:rsidP="00824E16">
            <w:pPr>
              <w:spacing w:before="60" w:after="60" w:line="280" w:lineRule="atLeast"/>
              <w:ind w:left="25"/>
              <w:rPr>
                <w:i/>
                <w:sz w:val="18"/>
                <w:szCs w:val="18"/>
                <w:lang w:val="en-US"/>
              </w:rPr>
            </w:pPr>
            <w:r w:rsidRPr="00E03C5E">
              <w:rPr>
                <w:i/>
                <w:sz w:val="18"/>
                <w:szCs w:val="18"/>
                <w:lang w:val="en-US"/>
              </w:rPr>
              <w:t>Relief sought</w:t>
            </w:r>
          </w:p>
          <w:p w14:paraId="1A8D524A" w14:textId="77777777" w:rsidR="009747AF" w:rsidRPr="00627604" w:rsidRDefault="00BE159E" w:rsidP="00824E16">
            <w:pPr>
              <w:spacing w:before="60" w:after="60" w:line="280" w:lineRule="atLeast"/>
              <w:ind w:left="25"/>
              <w:rPr>
                <w:sz w:val="18"/>
                <w:szCs w:val="18"/>
                <w:lang w:val="en-US"/>
              </w:rPr>
            </w:pPr>
            <w:r>
              <w:rPr>
                <w:sz w:val="18"/>
                <w:szCs w:val="18"/>
                <w:lang w:val="en-US"/>
              </w:rPr>
              <w:t>We</w:t>
            </w:r>
            <w:r w:rsidRPr="00E03C5E">
              <w:rPr>
                <w:sz w:val="18"/>
                <w:szCs w:val="18"/>
                <w:lang w:val="en-US"/>
              </w:rPr>
              <w:t xml:space="preserve"> request that this guidance be developed and released with urgency so that it is usable within a reasonable timeframe of the proposed guidelines coming into effect, and ideally before they come into effect.</w:t>
            </w:r>
          </w:p>
        </w:tc>
        <w:tc>
          <w:tcPr>
            <w:tcW w:w="5528" w:type="dxa"/>
          </w:tcPr>
          <w:p w14:paraId="3A9A95C8" w14:textId="77777777" w:rsidR="009747AF" w:rsidRPr="000A50B1" w:rsidRDefault="00BE159E" w:rsidP="00824E16">
            <w:pPr>
              <w:spacing w:before="60" w:after="60" w:line="280" w:lineRule="atLeast"/>
              <w:rPr>
                <w:iCs/>
                <w:color w:val="000000" w:themeColor="text1"/>
                <w:sz w:val="18"/>
                <w:szCs w:val="18"/>
                <w:lang w:val="en-GB"/>
              </w:rPr>
            </w:pPr>
            <w:r>
              <w:rPr>
                <w:iCs/>
                <w:color w:val="000000" w:themeColor="text1"/>
                <w:sz w:val="18"/>
                <w:szCs w:val="18"/>
                <w:lang w:val="en-GB"/>
              </w:rPr>
              <w:t>It is acknowledged that updated guidance on direc</w:t>
            </w:r>
            <w:r>
              <w:rPr>
                <w:iCs/>
                <w:color w:val="000000" w:themeColor="text1"/>
                <w:sz w:val="18"/>
                <w:szCs w:val="18"/>
                <w:lang w:val="en-GB"/>
              </w:rPr>
              <w:t>t toxicity assessment (DTA) is currently not available on the ANZG (2018) website. G</w:t>
            </w:r>
            <w:r w:rsidRPr="00A300E1">
              <w:rPr>
                <w:iCs/>
                <w:color w:val="000000" w:themeColor="text1"/>
                <w:sz w:val="18"/>
                <w:szCs w:val="18"/>
                <w:lang w:val="en-GB"/>
              </w:rPr>
              <w:t>uidance</w:t>
            </w:r>
            <w:r>
              <w:rPr>
                <w:iCs/>
                <w:color w:val="000000" w:themeColor="text1"/>
                <w:sz w:val="18"/>
                <w:szCs w:val="18"/>
                <w:lang w:val="en-GB"/>
              </w:rPr>
              <w:t xml:space="preserve"> on DTA</w:t>
            </w:r>
            <w:r w:rsidRPr="00A300E1">
              <w:rPr>
                <w:iCs/>
                <w:color w:val="000000" w:themeColor="text1"/>
                <w:sz w:val="18"/>
                <w:szCs w:val="18"/>
                <w:lang w:val="en-GB"/>
              </w:rPr>
              <w:t xml:space="preserve"> </w:t>
            </w:r>
            <w:r>
              <w:rPr>
                <w:iCs/>
                <w:color w:val="000000" w:themeColor="text1"/>
                <w:sz w:val="18"/>
                <w:szCs w:val="18"/>
                <w:lang w:val="en-GB"/>
              </w:rPr>
              <w:t xml:space="preserve">that has been partially updated from ANZECC/ARMCANZ (2000) </w:t>
            </w:r>
            <w:r w:rsidRPr="00A300E1">
              <w:rPr>
                <w:iCs/>
                <w:color w:val="000000" w:themeColor="text1"/>
                <w:sz w:val="18"/>
                <w:szCs w:val="18"/>
                <w:lang w:val="en-GB"/>
              </w:rPr>
              <w:t xml:space="preserve">is currently </w:t>
            </w:r>
            <w:r>
              <w:rPr>
                <w:iCs/>
                <w:color w:val="000000" w:themeColor="text1"/>
                <w:sz w:val="18"/>
                <w:szCs w:val="18"/>
                <w:lang w:val="en-GB"/>
              </w:rPr>
              <w:t>proceeding</w:t>
            </w:r>
            <w:r w:rsidRPr="00A300E1">
              <w:rPr>
                <w:iCs/>
                <w:color w:val="000000" w:themeColor="text1"/>
                <w:sz w:val="18"/>
                <w:szCs w:val="18"/>
                <w:lang w:val="en-GB"/>
              </w:rPr>
              <w:t xml:space="preserve"> through the approval process and will be uploaded </w:t>
            </w:r>
            <w:r>
              <w:rPr>
                <w:iCs/>
                <w:color w:val="000000" w:themeColor="text1"/>
                <w:sz w:val="18"/>
                <w:szCs w:val="18"/>
                <w:lang w:val="en-GB"/>
              </w:rPr>
              <w:t xml:space="preserve">to the website once it is approved. Interested parties can </w:t>
            </w:r>
            <w:r w:rsidRPr="00A300E1">
              <w:rPr>
                <w:iCs/>
                <w:sz w:val="18"/>
                <w:szCs w:val="18"/>
                <w:lang w:val="en-GB"/>
              </w:rPr>
              <w:t>subscribe to website updates</w:t>
            </w:r>
            <w:r>
              <w:rPr>
                <w:iCs/>
                <w:color w:val="000000" w:themeColor="text1"/>
                <w:sz w:val="18"/>
                <w:szCs w:val="18"/>
                <w:lang w:val="en-GB"/>
              </w:rPr>
              <w:t xml:space="preserve"> to receive notification of new content. Until updated guidance is available</w:t>
            </w:r>
            <w:r w:rsidRPr="00A300E1">
              <w:rPr>
                <w:iCs/>
                <w:color w:val="000000" w:themeColor="text1"/>
                <w:sz w:val="18"/>
                <w:szCs w:val="18"/>
                <w:lang w:val="en-GB"/>
              </w:rPr>
              <w:t>, the ANZECC/ARMCANZ (2000) DTA guidance (</w:t>
            </w:r>
            <w:r w:rsidRPr="00A300E1">
              <w:rPr>
                <w:iCs/>
                <w:color w:val="000000" w:themeColor="text1"/>
                <w:sz w:val="18"/>
                <w:szCs w:val="18"/>
                <w:lang w:val="en-GB"/>
              </w:rPr>
              <w:t>Section 8.3.6 of Volume 2) still stands</w:t>
            </w:r>
            <w:r>
              <w:rPr>
                <w:iCs/>
                <w:color w:val="000000" w:themeColor="text1"/>
                <w:sz w:val="18"/>
                <w:szCs w:val="18"/>
                <w:lang w:val="en-GB"/>
              </w:rPr>
              <w:t>, with a need to also consider relevant requirements for deriving guideline values as described in Warne et al. (2018).</w:t>
            </w:r>
          </w:p>
          <w:p w14:paraId="5770FCA3" w14:textId="77777777" w:rsidR="009747AF" w:rsidRPr="00627604" w:rsidRDefault="009747AF" w:rsidP="00824E16">
            <w:pPr>
              <w:spacing w:before="60" w:after="60" w:line="280" w:lineRule="atLeast"/>
              <w:rPr>
                <w:iCs/>
                <w:color w:val="0070C0"/>
                <w:sz w:val="18"/>
                <w:szCs w:val="18"/>
                <w:lang w:val="en-GB"/>
              </w:rPr>
            </w:pPr>
          </w:p>
        </w:tc>
        <w:tc>
          <w:tcPr>
            <w:tcW w:w="2835" w:type="dxa"/>
          </w:tcPr>
          <w:p w14:paraId="2498D108" w14:textId="77777777" w:rsidR="009747AF" w:rsidRPr="00C93289" w:rsidRDefault="00BE159E" w:rsidP="00824E16">
            <w:pPr>
              <w:spacing w:before="60" w:after="60" w:line="280" w:lineRule="atLeast"/>
              <w:rPr>
                <w:sz w:val="18"/>
                <w:szCs w:val="18"/>
              </w:rPr>
            </w:pPr>
            <w:r>
              <w:rPr>
                <w:sz w:val="18"/>
                <w:szCs w:val="18"/>
              </w:rPr>
              <w:t>No action taken for DGVs technical brief.</w:t>
            </w:r>
          </w:p>
        </w:tc>
      </w:tr>
      <w:tr w:rsidR="007B69DA" w14:paraId="64ABBF19" w14:textId="77777777" w:rsidTr="00824E16">
        <w:tc>
          <w:tcPr>
            <w:tcW w:w="5524" w:type="dxa"/>
          </w:tcPr>
          <w:p w14:paraId="01A86DD2" w14:textId="77777777" w:rsidR="009747AF" w:rsidRPr="00627604" w:rsidRDefault="00BE159E" w:rsidP="00824E16">
            <w:pPr>
              <w:spacing w:before="60" w:after="60" w:line="280" w:lineRule="atLeast"/>
              <w:ind w:left="25"/>
              <w:rPr>
                <w:b/>
                <w:bCs/>
                <w:sz w:val="18"/>
                <w:szCs w:val="18"/>
                <w:lang w:val="en-US"/>
              </w:rPr>
            </w:pPr>
            <w:r w:rsidRPr="00627604">
              <w:rPr>
                <w:b/>
                <w:bCs/>
                <w:sz w:val="18"/>
                <w:szCs w:val="18"/>
                <w:lang w:val="en-US"/>
              </w:rPr>
              <w:lastRenderedPageBreak/>
              <w:t>Uncertainty about Timeframes for Release of Further G</w:t>
            </w:r>
            <w:r w:rsidRPr="00627604">
              <w:rPr>
                <w:b/>
                <w:bCs/>
                <w:sz w:val="18"/>
                <w:szCs w:val="18"/>
                <w:lang w:val="en-US"/>
              </w:rPr>
              <w:t>uidelines</w:t>
            </w:r>
          </w:p>
          <w:p w14:paraId="3589D566" w14:textId="77777777" w:rsidR="009747AF" w:rsidRPr="00627604" w:rsidRDefault="00BE159E" w:rsidP="00824E16">
            <w:pPr>
              <w:spacing w:before="60" w:after="60" w:line="280" w:lineRule="atLeast"/>
              <w:ind w:left="25"/>
              <w:rPr>
                <w:bCs/>
                <w:i/>
                <w:sz w:val="18"/>
                <w:szCs w:val="18"/>
                <w:lang w:val="en-US"/>
              </w:rPr>
            </w:pPr>
            <w:r w:rsidRPr="00627604">
              <w:rPr>
                <w:bCs/>
                <w:i/>
                <w:sz w:val="18"/>
                <w:szCs w:val="18"/>
                <w:lang w:val="en-US"/>
              </w:rPr>
              <w:t>Issue</w:t>
            </w:r>
          </w:p>
          <w:p w14:paraId="03CC882B" w14:textId="77777777" w:rsidR="009747AF" w:rsidRPr="00627604" w:rsidRDefault="00BE159E" w:rsidP="00824E16">
            <w:pPr>
              <w:spacing w:before="60" w:after="60" w:line="280" w:lineRule="atLeast"/>
              <w:ind w:left="25"/>
              <w:rPr>
                <w:bCs/>
                <w:sz w:val="18"/>
                <w:szCs w:val="18"/>
                <w:lang w:val="en-US"/>
              </w:rPr>
            </w:pPr>
            <w:r>
              <w:rPr>
                <w:bCs/>
                <w:sz w:val="18"/>
                <w:szCs w:val="18"/>
                <w:lang w:val="en-US"/>
              </w:rPr>
              <w:t>We</w:t>
            </w:r>
            <w:r w:rsidRPr="00627604">
              <w:rPr>
                <w:bCs/>
                <w:sz w:val="18"/>
                <w:szCs w:val="18"/>
                <w:lang w:val="en-US"/>
              </w:rPr>
              <w:t xml:space="preserve"> understand that the remaining copper and zinc DGVs for fresh and marine waters may be due for release </w:t>
            </w:r>
            <w:proofErr w:type="gramStart"/>
            <w:r w:rsidRPr="00627604">
              <w:rPr>
                <w:bCs/>
                <w:sz w:val="18"/>
                <w:szCs w:val="18"/>
                <w:lang w:val="en-US"/>
              </w:rPr>
              <w:t>in the near future</w:t>
            </w:r>
            <w:proofErr w:type="gramEnd"/>
            <w:r w:rsidRPr="00627604">
              <w:rPr>
                <w:bCs/>
                <w:sz w:val="18"/>
                <w:szCs w:val="18"/>
                <w:lang w:val="en-US"/>
              </w:rPr>
              <w:t>, but timeframes are uncertain. This creates considerable risk and uncertainty for consenting processes.</w:t>
            </w:r>
          </w:p>
          <w:p w14:paraId="58909DF4" w14:textId="77777777" w:rsidR="009747AF" w:rsidRPr="00627604" w:rsidRDefault="00BE159E" w:rsidP="00824E16">
            <w:pPr>
              <w:spacing w:before="60" w:after="60" w:line="280" w:lineRule="atLeast"/>
              <w:ind w:left="25"/>
              <w:rPr>
                <w:bCs/>
                <w:i/>
                <w:sz w:val="18"/>
                <w:szCs w:val="18"/>
                <w:lang w:val="en-US"/>
              </w:rPr>
            </w:pPr>
            <w:r w:rsidRPr="00627604">
              <w:rPr>
                <w:bCs/>
                <w:i/>
                <w:sz w:val="18"/>
                <w:szCs w:val="18"/>
                <w:lang w:val="en-US"/>
              </w:rPr>
              <w:t>Relief sought</w:t>
            </w:r>
          </w:p>
          <w:p w14:paraId="3F088CA8" w14:textId="77777777" w:rsidR="009747AF" w:rsidRPr="008B4A9D" w:rsidRDefault="00BE159E" w:rsidP="00824E16">
            <w:pPr>
              <w:spacing w:before="60" w:after="60" w:line="280" w:lineRule="atLeast"/>
              <w:ind w:left="25"/>
              <w:rPr>
                <w:bCs/>
                <w:sz w:val="18"/>
                <w:szCs w:val="18"/>
                <w:lang w:val="en-GB"/>
              </w:rPr>
            </w:pPr>
            <w:r>
              <w:rPr>
                <w:bCs/>
                <w:sz w:val="18"/>
                <w:szCs w:val="18"/>
                <w:lang w:val="en-US"/>
              </w:rPr>
              <w:t>We</w:t>
            </w:r>
            <w:r w:rsidRPr="00627604">
              <w:rPr>
                <w:bCs/>
                <w:sz w:val="18"/>
                <w:szCs w:val="18"/>
                <w:lang w:val="en-US"/>
              </w:rPr>
              <w:t xml:space="preserve"> request that </w:t>
            </w:r>
            <w:r w:rsidRPr="00627604">
              <w:rPr>
                <w:bCs/>
                <w:sz w:val="18"/>
                <w:szCs w:val="18"/>
                <w:lang w:val="en-US"/>
              </w:rPr>
              <w:t>more clarity be provided on expected timeframes for the release of these further guidelines.</w:t>
            </w:r>
          </w:p>
        </w:tc>
        <w:tc>
          <w:tcPr>
            <w:tcW w:w="5528" w:type="dxa"/>
          </w:tcPr>
          <w:p w14:paraId="4608DBE7" w14:textId="77777777" w:rsidR="009747AF" w:rsidRDefault="00BE159E" w:rsidP="00824E16">
            <w:pPr>
              <w:spacing w:before="60" w:after="60" w:line="280" w:lineRule="atLeast"/>
              <w:rPr>
                <w:iCs/>
                <w:color w:val="000000" w:themeColor="text1"/>
                <w:sz w:val="18"/>
                <w:szCs w:val="18"/>
              </w:rPr>
            </w:pPr>
            <w:r>
              <w:rPr>
                <w:iCs/>
                <w:color w:val="000000" w:themeColor="text1"/>
                <w:sz w:val="18"/>
                <w:szCs w:val="18"/>
              </w:rPr>
              <w:t>Draft DGVs for copper in marine water are likely to be released for public comment in the second half of 2021.</w:t>
            </w:r>
          </w:p>
          <w:p w14:paraId="5CE902B6" w14:textId="77777777" w:rsidR="009747AF" w:rsidRPr="006D08DB" w:rsidRDefault="00BE159E" w:rsidP="00824E16">
            <w:pPr>
              <w:spacing w:before="60" w:after="60" w:line="280" w:lineRule="atLeast"/>
              <w:rPr>
                <w:iCs/>
                <w:color w:val="000000" w:themeColor="text1"/>
                <w:sz w:val="18"/>
                <w:szCs w:val="18"/>
              </w:rPr>
            </w:pPr>
            <w:r w:rsidRPr="006D08DB">
              <w:rPr>
                <w:iCs/>
                <w:color w:val="000000" w:themeColor="text1"/>
                <w:sz w:val="18"/>
                <w:szCs w:val="18"/>
              </w:rPr>
              <w:t xml:space="preserve">Draft </w:t>
            </w:r>
            <w:r>
              <w:rPr>
                <w:iCs/>
                <w:color w:val="000000" w:themeColor="text1"/>
                <w:sz w:val="18"/>
                <w:szCs w:val="18"/>
              </w:rPr>
              <w:t xml:space="preserve">DGVs for copper and zinc in </w:t>
            </w:r>
            <w:r>
              <w:rPr>
                <w:iCs/>
                <w:color w:val="000000" w:themeColor="text1"/>
                <w:sz w:val="18"/>
                <w:szCs w:val="18"/>
              </w:rPr>
              <w:t>freshwater are likely to be released for public comment in the second half of 2021 or in early 2022.</w:t>
            </w:r>
          </w:p>
        </w:tc>
        <w:tc>
          <w:tcPr>
            <w:tcW w:w="2835" w:type="dxa"/>
          </w:tcPr>
          <w:p w14:paraId="7219D921" w14:textId="77777777" w:rsidR="009747AF" w:rsidRPr="00C93289" w:rsidRDefault="00BE159E" w:rsidP="00824E16">
            <w:pPr>
              <w:spacing w:before="60" w:after="60" w:line="280" w:lineRule="atLeast"/>
              <w:rPr>
                <w:sz w:val="18"/>
                <w:szCs w:val="18"/>
              </w:rPr>
            </w:pPr>
            <w:r>
              <w:rPr>
                <w:sz w:val="18"/>
                <w:szCs w:val="18"/>
              </w:rPr>
              <w:t>No action taken for DGVs technical brief.</w:t>
            </w:r>
          </w:p>
        </w:tc>
      </w:tr>
      <w:tr w:rsidR="007B69DA" w14:paraId="3E00E8FF" w14:textId="77777777" w:rsidTr="009747AF">
        <w:tc>
          <w:tcPr>
            <w:tcW w:w="5524" w:type="dxa"/>
          </w:tcPr>
          <w:p w14:paraId="4FD3B434" w14:textId="77777777" w:rsidR="009747AF" w:rsidRPr="009747AF" w:rsidRDefault="00BE159E" w:rsidP="00824E16">
            <w:pPr>
              <w:spacing w:before="60" w:after="60" w:line="280" w:lineRule="atLeast"/>
              <w:ind w:left="23"/>
              <w:rPr>
                <w:rFonts w:asciiTheme="minorHAnsi" w:hAnsiTheme="minorHAnsi" w:cstheme="minorHAnsi"/>
                <w:b/>
                <w:sz w:val="18"/>
                <w:szCs w:val="18"/>
                <w:lang w:val="en-GB"/>
              </w:rPr>
            </w:pPr>
            <w:r w:rsidRPr="009747AF">
              <w:rPr>
                <w:rFonts w:asciiTheme="minorHAnsi" w:hAnsiTheme="minorHAnsi" w:cstheme="minorHAnsi"/>
                <w:b/>
                <w:sz w:val="18"/>
                <w:szCs w:val="18"/>
                <w:lang w:val="en-GB"/>
              </w:rPr>
              <w:t>Specific comments</w:t>
            </w:r>
          </w:p>
          <w:p w14:paraId="07B5085C" w14:textId="77777777" w:rsidR="009747AF" w:rsidRPr="009747AF" w:rsidRDefault="00BE159E" w:rsidP="00824E16">
            <w:pPr>
              <w:pStyle w:val="ListParagraph"/>
              <w:numPr>
                <w:ilvl w:val="0"/>
                <w:numId w:val="10"/>
              </w:numPr>
              <w:spacing w:before="60" w:after="60" w:line="280" w:lineRule="atLeast"/>
              <w:ind w:left="318" w:hanging="284"/>
              <w:contextualSpacing w:val="0"/>
              <w:rPr>
                <w:rFonts w:cstheme="minorHAnsi"/>
                <w:bCs/>
                <w:sz w:val="18"/>
                <w:szCs w:val="18"/>
                <w:lang w:val="en-GB"/>
              </w:rPr>
            </w:pPr>
            <w:r w:rsidRPr="009747AF">
              <w:rPr>
                <w:rFonts w:cstheme="minorHAnsi"/>
                <w:bCs/>
                <w:sz w:val="18"/>
                <w:szCs w:val="18"/>
                <w:lang w:val="en-GB"/>
              </w:rPr>
              <w:t xml:space="preserve">The 2000 marine Zn guidelines reference 23 species, not 24 as indicated in Section 1 of the </w:t>
            </w:r>
            <w:r w:rsidRPr="009747AF">
              <w:rPr>
                <w:rFonts w:cstheme="minorHAnsi"/>
                <w:bCs/>
                <w:sz w:val="18"/>
                <w:szCs w:val="18"/>
                <w:lang w:val="en-GB"/>
              </w:rPr>
              <w:t>draft Technical Brief.</w:t>
            </w:r>
            <w:r w:rsidRPr="009747AF">
              <w:rPr>
                <w:rFonts w:cstheme="minorHAnsi"/>
                <w:bCs/>
                <w:sz w:val="18"/>
                <w:szCs w:val="18"/>
                <w:lang w:val="en-GB"/>
              </w:rPr>
              <w:br/>
            </w:r>
          </w:p>
          <w:p w14:paraId="470E6041" w14:textId="77777777" w:rsidR="009747AF" w:rsidRPr="009747AF" w:rsidRDefault="00BE159E" w:rsidP="00824E16">
            <w:pPr>
              <w:pStyle w:val="ListParagraph"/>
              <w:numPr>
                <w:ilvl w:val="0"/>
                <w:numId w:val="9"/>
              </w:numPr>
              <w:spacing w:before="60" w:after="60" w:line="280" w:lineRule="atLeast"/>
              <w:ind w:left="318" w:hanging="284"/>
              <w:contextualSpacing w:val="0"/>
              <w:rPr>
                <w:rFonts w:cstheme="minorHAnsi"/>
                <w:bCs/>
                <w:sz w:val="18"/>
                <w:szCs w:val="18"/>
                <w:lang w:val="en-GB"/>
              </w:rPr>
            </w:pPr>
            <w:r w:rsidRPr="009747AF">
              <w:rPr>
                <w:rFonts w:cstheme="minorHAnsi"/>
                <w:bCs/>
                <w:sz w:val="18"/>
                <w:szCs w:val="18"/>
                <w:lang w:val="en-GB"/>
              </w:rPr>
              <w:t>Section 4.1.1, recommended revision: “…there are few particulate phases that zinc would adsorb to.” This would replace “absorb”.</w:t>
            </w:r>
          </w:p>
          <w:p w14:paraId="0D8F6540" w14:textId="77777777" w:rsidR="009747AF" w:rsidRPr="009747AF" w:rsidRDefault="00BE159E" w:rsidP="00824E16">
            <w:pPr>
              <w:pStyle w:val="ListParagraph"/>
              <w:numPr>
                <w:ilvl w:val="0"/>
                <w:numId w:val="6"/>
              </w:numPr>
              <w:spacing w:before="60" w:after="60" w:line="280" w:lineRule="atLeast"/>
              <w:ind w:left="317" w:hanging="317"/>
              <w:contextualSpacing w:val="0"/>
              <w:rPr>
                <w:rFonts w:cstheme="minorHAnsi"/>
                <w:bCs/>
                <w:sz w:val="18"/>
                <w:szCs w:val="18"/>
                <w:lang w:val="en-GB"/>
              </w:rPr>
            </w:pPr>
            <w:r w:rsidRPr="009747AF">
              <w:rPr>
                <w:rFonts w:cstheme="minorHAnsi"/>
                <w:bCs/>
                <w:sz w:val="18"/>
                <w:szCs w:val="18"/>
                <w:lang w:val="en-GB"/>
              </w:rPr>
              <w:t xml:space="preserve">In Section 4.1.2, in reference to the first sentence: the associated data file indicates 3 EC10s, 1 </w:t>
            </w:r>
            <w:r w:rsidRPr="009747AF">
              <w:rPr>
                <w:rFonts w:cstheme="minorHAnsi"/>
                <w:bCs/>
                <w:sz w:val="18"/>
                <w:szCs w:val="18"/>
                <w:lang w:val="en-GB"/>
              </w:rPr>
              <w:t>EC20, 9 NOECs, and 3 NECs. Please review and confirm.</w:t>
            </w:r>
            <w:r w:rsidRPr="009747AF">
              <w:rPr>
                <w:rFonts w:cstheme="minorHAnsi"/>
                <w:bCs/>
                <w:sz w:val="18"/>
                <w:szCs w:val="18"/>
                <w:lang w:val="en-GB"/>
              </w:rPr>
              <w:br/>
            </w:r>
          </w:p>
          <w:p w14:paraId="512BEE3D" w14:textId="3AF48EA7" w:rsidR="009747AF" w:rsidRDefault="00BE159E" w:rsidP="00824E16">
            <w:pPr>
              <w:pStyle w:val="ListParagraph"/>
              <w:numPr>
                <w:ilvl w:val="0"/>
                <w:numId w:val="6"/>
              </w:numPr>
              <w:spacing w:before="60" w:after="60" w:line="280" w:lineRule="atLeast"/>
              <w:ind w:left="317" w:hanging="317"/>
              <w:contextualSpacing w:val="0"/>
              <w:rPr>
                <w:rFonts w:cstheme="minorHAnsi"/>
                <w:bCs/>
                <w:sz w:val="18"/>
                <w:szCs w:val="18"/>
                <w:lang w:val="en-GB"/>
              </w:rPr>
            </w:pPr>
            <w:r w:rsidRPr="009747AF">
              <w:rPr>
                <w:rFonts w:cstheme="minorHAnsi"/>
                <w:bCs/>
                <w:sz w:val="18"/>
                <w:szCs w:val="18"/>
                <w:lang w:val="en-GB"/>
              </w:rPr>
              <w:t>In section 4.1.2, in reference to the third sentence: there was 1 converted LOEC and 8 converted EC/LC50 values, based on the data file. Therefore, 8 of the original preferential values were used, plus</w:t>
            </w:r>
            <w:r w:rsidRPr="009747AF">
              <w:rPr>
                <w:rFonts w:cstheme="minorHAnsi"/>
                <w:bCs/>
                <w:sz w:val="18"/>
                <w:szCs w:val="18"/>
                <w:lang w:val="en-GB"/>
              </w:rPr>
              <w:t xml:space="preserve"> 9 additional supplemental values, for a total of 17 single species values (</w:t>
            </w:r>
            <w:r w:rsidR="00841EF7">
              <w:rPr>
                <w:rFonts w:cstheme="minorHAnsi"/>
                <w:bCs/>
                <w:sz w:val="18"/>
                <w:szCs w:val="18"/>
                <w:lang w:val="en-GB"/>
              </w:rPr>
              <w:t>i.e.,</w:t>
            </w:r>
            <w:r w:rsidRPr="009747AF">
              <w:rPr>
                <w:rFonts w:cstheme="minorHAnsi"/>
                <w:bCs/>
                <w:sz w:val="18"/>
                <w:szCs w:val="18"/>
                <w:lang w:val="en-GB"/>
              </w:rPr>
              <w:t xml:space="preserve"> Table 1). Please review and confirm.</w:t>
            </w:r>
            <w:r w:rsidRPr="009747AF">
              <w:rPr>
                <w:rFonts w:cstheme="minorHAnsi"/>
                <w:bCs/>
                <w:sz w:val="18"/>
                <w:szCs w:val="18"/>
                <w:lang w:val="en-GB"/>
              </w:rPr>
              <w:br/>
            </w:r>
          </w:p>
          <w:p w14:paraId="528A9752" w14:textId="7A595A69" w:rsidR="00841EF7" w:rsidRPr="009747AF" w:rsidRDefault="00841EF7" w:rsidP="00841EF7">
            <w:pPr>
              <w:pStyle w:val="ListParagraph"/>
              <w:spacing w:before="60" w:after="60" w:line="280" w:lineRule="atLeast"/>
              <w:ind w:left="317"/>
              <w:contextualSpacing w:val="0"/>
              <w:rPr>
                <w:rFonts w:cstheme="minorHAnsi"/>
                <w:bCs/>
                <w:sz w:val="18"/>
                <w:szCs w:val="18"/>
                <w:lang w:val="en-GB"/>
              </w:rPr>
            </w:pPr>
          </w:p>
          <w:p w14:paraId="1D5F7786" w14:textId="77777777" w:rsidR="009747AF" w:rsidRPr="009747AF" w:rsidRDefault="00BE159E" w:rsidP="00824E16">
            <w:pPr>
              <w:pStyle w:val="ListParagraph"/>
              <w:numPr>
                <w:ilvl w:val="0"/>
                <w:numId w:val="6"/>
              </w:numPr>
              <w:spacing w:before="60" w:after="60" w:line="280" w:lineRule="atLeast"/>
              <w:ind w:left="317" w:hanging="317"/>
              <w:contextualSpacing w:val="0"/>
              <w:rPr>
                <w:rFonts w:cstheme="minorHAnsi"/>
                <w:bCs/>
                <w:sz w:val="18"/>
                <w:szCs w:val="18"/>
                <w:lang w:val="en-GB"/>
              </w:rPr>
            </w:pPr>
            <w:r w:rsidRPr="009747AF">
              <w:rPr>
                <w:rFonts w:cstheme="minorHAnsi"/>
                <w:bCs/>
                <w:sz w:val="18"/>
                <w:szCs w:val="18"/>
                <w:lang w:val="en-GB"/>
              </w:rPr>
              <w:t>Table 2: “DGV for zinc in freshwater” should be “DGV for zinc in saltwater” or “Marine DGV for zinc”.</w:t>
            </w:r>
          </w:p>
        </w:tc>
        <w:tc>
          <w:tcPr>
            <w:tcW w:w="5528" w:type="dxa"/>
          </w:tcPr>
          <w:p w14:paraId="72790F97" w14:textId="77777777" w:rsidR="009747AF" w:rsidRPr="009747AF" w:rsidRDefault="00BE159E" w:rsidP="00824E16">
            <w:pPr>
              <w:spacing w:before="60" w:after="60" w:line="280" w:lineRule="atLeast"/>
              <w:rPr>
                <w:rFonts w:asciiTheme="minorHAnsi" w:hAnsiTheme="minorHAnsi" w:cstheme="minorHAnsi"/>
                <w:b/>
                <w:bCs/>
                <w:iCs/>
                <w:sz w:val="18"/>
                <w:szCs w:val="18"/>
              </w:rPr>
            </w:pPr>
            <w:r w:rsidRPr="009747AF">
              <w:rPr>
                <w:rFonts w:asciiTheme="minorHAnsi" w:hAnsiTheme="minorHAnsi" w:cstheme="minorHAnsi"/>
                <w:b/>
                <w:bCs/>
                <w:iCs/>
                <w:sz w:val="18"/>
                <w:szCs w:val="18"/>
              </w:rPr>
              <w:t>Responses</w:t>
            </w:r>
          </w:p>
          <w:p w14:paraId="295811BD" w14:textId="77777777" w:rsidR="009747AF" w:rsidRPr="009747AF" w:rsidRDefault="00BE159E" w:rsidP="00824E16">
            <w:pPr>
              <w:pStyle w:val="ListParagraph"/>
              <w:numPr>
                <w:ilvl w:val="0"/>
                <w:numId w:val="6"/>
              </w:numPr>
              <w:spacing w:before="60" w:after="60" w:line="280" w:lineRule="atLeast"/>
              <w:ind w:left="278" w:hanging="278"/>
              <w:contextualSpacing w:val="0"/>
              <w:rPr>
                <w:rFonts w:cstheme="minorHAnsi"/>
                <w:iCs/>
                <w:sz w:val="18"/>
                <w:szCs w:val="18"/>
              </w:rPr>
            </w:pPr>
            <w:r w:rsidRPr="009747AF">
              <w:rPr>
                <w:rFonts w:cstheme="minorHAnsi"/>
                <w:iCs/>
                <w:sz w:val="18"/>
                <w:szCs w:val="18"/>
              </w:rPr>
              <w:t xml:space="preserve">The reference to 23 </w:t>
            </w:r>
            <w:r w:rsidRPr="009747AF">
              <w:rPr>
                <w:rFonts w:cstheme="minorHAnsi"/>
                <w:iCs/>
                <w:sz w:val="18"/>
                <w:szCs w:val="18"/>
              </w:rPr>
              <w:t>species in the 2000 Guidelines zinc in marine water information is incorrect (we can correct this). In fact, 24 species were used for the 2000 derivation.</w:t>
            </w:r>
          </w:p>
          <w:p w14:paraId="32AD3922" w14:textId="77777777" w:rsidR="009747AF" w:rsidRPr="009747AF" w:rsidRDefault="00BE159E" w:rsidP="00824E16">
            <w:pPr>
              <w:pStyle w:val="ListParagraph"/>
              <w:numPr>
                <w:ilvl w:val="0"/>
                <w:numId w:val="6"/>
              </w:numPr>
              <w:spacing w:before="60" w:after="60" w:line="280" w:lineRule="atLeast"/>
              <w:ind w:left="280" w:hanging="283"/>
              <w:contextualSpacing w:val="0"/>
              <w:rPr>
                <w:rFonts w:cstheme="minorHAnsi"/>
                <w:iCs/>
                <w:sz w:val="18"/>
                <w:szCs w:val="18"/>
              </w:rPr>
            </w:pPr>
            <w:r w:rsidRPr="009747AF">
              <w:rPr>
                <w:rFonts w:cstheme="minorHAnsi"/>
                <w:iCs/>
                <w:sz w:val="18"/>
                <w:szCs w:val="18"/>
              </w:rPr>
              <w:t>Correction in section 4.1.1. made. Thank you.</w:t>
            </w:r>
            <w:r w:rsidRPr="009747AF">
              <w:rPr>
                <w:rFonts w:cstheme="minorHAnsi"/>
                <w:iCs/>
                <w:sz w:val="18"/>
                <w:szCs w:val="18"/>
              </w:rPr>
              <w:br/>
            </w:r>
            <w:r w:rsidRPr="009747AF">
              <w:rPr>
                <w:rFonts w:cstheme="minorHAnsi"/>
                <w:iCs/>
                <w:sz w:val="18"/>
                <w:szCs w:val="18"/>
              </w:rPr>
              <w:br/>
            </w:r>
          </w:p>
          <w:p w14:paraId="3A758D0B" w14:textId="77777777" w:rsidR="009747AF" w:rsidRPr="009747AF" w:rsidRDefault="00BE159E" w:rsidP="00824E16">
            <w:pPr>
              <w:pStyle w:val="ListParagraph"/>
              <w:numPr>
                <w:ilvl w:val="0"/>
                <w:numId w:val="6"/>
              </w:numPr>
              <w:spacing w:before="60" w:after="60" w:line="280" w:lineRule="atLeast"/>
              <w:ind w:left="280" w:hanging="283"/>
              <w:contextualSpacing w:val="0"/>
              <w:rPr>
                <w:rFonts w:cstheme="minorHAnsi"/>
                <w:iCs/>
                <w:sz w:val="18"/>
                <w:szCs w:val="18"/>
              </w:rPr>
            </w:pPr>
            <w:r w:rsidRPr="009747AF">
              <w:rPr>
                <w:rFonts w:cstheme="minorHAnsi"/>
                <w:iCs/>
                <w:sz w:val="18"/>
                <w:szCs w:val="18"/>
              </w:rPr>
              <w:t>This summary relates to the available data prior to r</w:t>
            </w:r>
            <w:r w:rsidRPr="009747AF">
              <w:rPr>
                <w:rFonts w:cstheme="minorHAnsi"/>
                <w:iCs/>
                <w:sz w:val="18"/>
                <w:szCs w:val="18"/>
              </w:rPr>
              <w:t>educing to one value per species. The numbers are correct if one checks the data in Appendix B. Reference to Appendix B has been added to the relevant sentence.</w:t>
            </w:r>
          </w:p>
          <w:p w14:paraId="4AB0A19B" w14:textId="77777777" w:rsidR="009747AF" w:rsidRPr="009747AF" w:rsidRDefault="00BE159E" w:rsidP="00824E16">
            <w:pPr>
              <w:pStyle w:val="ListParagraph"/>
              <w:numPr>
                <w:ilvl w:val="0"/>
                <w:numId w:val="6"/>
              </w:numPr>
              <w:spacing w:before="60" w:after="60" w:line="280" w:lineRule="atLeast"/>
              <w:ind w:left="280" w:hanging="283"/>
              <w:contextualSpacing w:val="0"/>
              <w:rPr>
                <w:rFonts w:cstheme="minorHAnsi"/>
                <w:iCs/>
                <w:sz w:val="18"/>
                <w:szCs w:val="18"/>
              </w:rPr>
            </w:pPr>
            <w:r w:rsidRPr="009747AF">
              <w:rPr>
                <w:rFonts w:cstheme="minorHAnsi"/>
                <w:iCs/>
                <w:sz w:val="18"/>
                <w:szCs w:val="18"/>
              </w:rPr>
              <w:t xml:space="preserve">This text has been revised following the exclusion of the LOEC for </w:t>
            </w:r>
            <w:r w:rsidRPr="009747AF">
              <w:rPr>
                <w:rFonts w:cstheme="minorHAnsi"/>
                <w:i/>
                <w:sz w:val="18"/>
                <w:szCs w:val="18"/>
              </w:rPr>
              <w:t>A. tenuis</w:t>
            </w:r>
            <w:r w:rsidRPr="009747AF">
              <w:rPr>
                <w:rFonts w:cstheme="minorHAnsi"/>
                <w:iCs/>
                <w:sz w:val="18"/>
                <w:szCs w:val="18"/>
              </w:rPr>
              <w:t>. 12 chronic EC10/E</w:t>
            </w:r>
            <w:r w:rsidRPr="009747AF">
              <w:rPr>
                <w:rFonts w:cstheme="minorHAnsi"/>
                <w:iCs/>
                <w:sz w:val="18"/>
                <w:szCs w:val="18"/>
              </w:rPr>
              <w:t xml:space="preserve">C20/NOEC values for eight species were supplemented with eight chronic EC/LC50 values for eight species (not counting the 27 individual EC50s for </w:t>
            </w:r>
            <w:r w:rsidRPr="009747AF">
              <w:rPr>
                <w:rFonts w:cstheme="minorHAnsi"/>
                <w:i/>
                <w:sz w:val="18"/>
                <w:szCs w:val="18"/>
              </w:rPr>
              <w:t xml:space="preserve">Mytilus </w:t>
            </w:r>
            <w:proofErr w:type="spellStart"/>
            <w:r w:rsidRPr="009747AF">
              <w:rPr>
                <w:rFonts w:cstheme="minorHAnsi"/>
                <w:i/>
                <w:sz w:val="18"/>
                <w:szCs w:val="18"/>
              </w:rPr>
              <w:t>galloprovincialis</w:t>
            </w:r>
            <w:proofErr w:type="spellEnd"/>
            <w:r w:rsidRPr="009747AF">
              <w:rPr>
                <w:rFonts w:cstheme="minorHAnsi"/>
                <w:iCs/>
                <w:sz w:val="18"/>
                <w:szCs w:val="18"/>
              </w:rPr>
              <w:t xml:space="preserve"> that were used to calculate a geomean for this species as detailed in Appendix B. Th</w:t>
            </w:r>
            <w:r w:rsidRPr="009747AF">
              <w:rPr>
                <w:rFonts w:cstheme="minorHAnsi"/>
                <w:iCs/>
                <w:sz w:val="18"/>
                <w:szCs w:val="18"/>
              </w:rPr>
              <w:t>e text has been amended to reflect this.</w:t>
            </w:r>
          </w:p>
          <w:p w14:paraId="7534A381" w14:textId="77777777" w:rsidR="009747AF" w:rsidRPr="009747AF" w:rsidRDefault="00BE159E" w:rsidP="00824E16">
            <w:pPr>
              <w:pStyle w:val="ListParagraph"/>
              <w:numPr>
                <w:ilvl w:val="0"/>
                <w:numId w:val="6"/>
              </w:numPr>
              <w:spacing w:before="60" w:after="60" w:line="280" w:lineRule="atLeast"/>
              <w:ind w:left="280" w:hanging="283"/>
              <w:contextualSpacing w:val="0"/>
              <w:rPr>
                <w:rFonts w:cstheme="minorHAnsi"/>
                <w:iCs/>
                <w:sz w:val="18"/>
                <w:szCs w:val="18"/>
              </w:rPr>
            </w:pPr>
            <w:r w:rsidRPr="009747AF">
              <w:rPr>
                <w:rFonts w:cstheme="minorHAnsi"/>
                <w:iCs/>
                <w:sz w:val="18"/>
                <w:szCs w:val="18"/>
              </w:rPr>
              <w:t>Corrected. Thank you.</w:t>
            </w:r>
          </w:p>
        </w:tc>
        <w:tc>
          <w:tcPr>
            <w:tcW w:w="2835" w:type="dxa"/>
          </w:tcPr>
          <w:p w14:paraId="7F7170CA" w14:textId="77777777" w:rsidR="009747AF" w:rsidRPr="009747AF" w:rsidRDefault="00BE159E" w:rsidP="00824E16">
            <w:pPr>
              <w:spacing w:before="60" w:after="60" w:line="280" w:lineRule="atLeast"/>
              <w:rPr>
                <w:rFonts w:asciiTheme="minorHAnsi" w:hAnsiTheme="minorHAnsi" w:cstheme="minorHAnsi"/>
                <w:sz w:val="18"/>
                <w:szCs w:val="18"/>
              </w:rPr>
            </w:pPr>
            <w:r w:rsidRPr="009747AF">
              <w:rPr>
                <w:rFonts w:asciiTheme="minorHAnsi" w:hAnsiTheme="minorHAnsi" w:cstheme="minorHAnsi"/>
                <w:sz w:val="18"/>
                <w:szCs w:val="18"/>
              </w:rPr>
              <w:t>Corrections made to text where necessary.</w:t>
            </w:r>
          </w:p>
        </w:tc>
      </w:tr>
    </w:tbl>
    <w:p w14:paraId="049DFB8E" w14:textId="77777777" w:rsidR="009747AF" w:rsidRPr="001B00B9" w:rsidRDefault="00BE159E" w:rsidP="009747AF">
      <w:pPr>
        <w:pStyle w:val="Heading2"/>
      </w:pPr>
      <w:r w:rsidRPr="001B00B9">
        <w:lastRenderedPageBreak/>
        <w:t>References</w:t>
      </w:r>
    </w:p>
    <w:p w14:paraId="6A6FC1A9" w14:textId="77777777" w:rsidR="009747AF" w:rsidRPr="009747AF" w:rsidRDefault="00BE159E" w:rsidP="009747AF">
      <w:pPr>
        <w:spacing w:line="280" w:lineRule="atLeast"/>
        <w:rPr>
          <w:rFonts w:cstheme="minorHAnsi"/>
          <w:lang w:val="en-GB"/>
        </w:rPr>
      </w:pPr>
      <w:r w:rsidRPr="009747AF">
        <w:rPr>
          <w:rFonts w:cstheme="minorHAnsi"/>
          <w:lang w:val="en-GB"/>
        </w:rPr>
        <w:t xml:space="preserve">ANZECC/ARMCANZ 2000. Australian and New Zealand guidelines for fresh and marine water quality. Canberra (AU). National Water Quality </w:t>
      </w:r>
      <w:r w:rsidRPr="009747AF">
        <w:rPr>
          <w:rFonts w:cstheme="minorHAnsi"/>
          <w:lang w:val="en-GB"/>
        </w:rPr>
        <w:t>Management Strategy Paper No 4.</w:t>
      </w:r>
    </w:p>
    <w:p w14:paraId="1A347B6D" w14:textId="1CE4EA72" w:rsidR="009747AF" w:rsidRPr="009747AF" w:rsidRDefault="00BE159E" w:rsidP="009747AF">
      <w:pPr>
        <w:spacing w:line="280" w:lineRule="atLeast"/>
        <w:rPr>
          <w:rFonts w:cstheme="minorHAnsi"/>
          <w:lang w:val="en-GB"/>
        </w:rPr>
      </w:pPr>
      <w:r w:rsidRPr="009747AF">
        <w:rPr>
          <w:rFonts w:cstheme="minorHAnsi"/>
        </w:rPr>
        <w:t>ANZG 2018. Australian and New Zealand Guidelines for Fresh and Marine Water Quality. Australian and New Zealand Governments and Australian state and territory governments, Canberra, ACT, Australia.</w:t>
      </w:r>
    </w:p>
    <w:p w14:paraId="3BC8190E" w14:textId="7DCF7124" w:rsidR="009747AF" w:rsidRPr="009747AF" w:rsidRDefault="00BE159E" w:rsidP="009747AF">
      <w:pPr>
        <w:spacing w:line="280" w:lineRule="atLeast"/>
      </w:pPr>
      <w:r w:rsidRPr="009747AF">
        <w:rPr>
          <w:lang w:val="en-GB"/>
        </w:rPr>
        <w:t>Heyward, AJ 1988. Inhibito</w:t>
      </w:r>
      <w:r w:rsidRPr="009747AF">
        <w:rPr>
          <w:lang w:val="en-GB"/>
        </w:rPr>
        <w:t>ry effects of copper and zinc sulphates on fertilization in corals. Proceedings of the 6th International Coral Reef Symposium, 2, 299–303.</w:t>
      </w:r>
    </w:p>
    <w:p w14:paraId="0675F6D8" w14:textId="77777777" w:rsidR="009747AF" w:rsidRPr="009747AF" w:rsidRDefault="00BE159E" w:rsidP="009747AF">
      <w:pPr>
        <w:spacing w:line="280" w:lineRule="atLeast"/>
      </w:pPr>
      <w:r w:rsidRPr="009747AF">
        <w:t xml:space="preserve">Hobbs DA, Warne MSJ, </w:t>
      </w:r>
      <w:proofErr w:type="spellStart"/>
      <w:r w:rsidRPr="009747AF">
        <w:t>Markich</w:t>
      </w:r>
      <w:proofErr w:type="spellEnd"/>
      <w:r w:rsidRPr="009747AF">
        <w:t xml:space="preserve"> SJ. 2005. Evaluation of criteria used to assess the quality of aquatic toxicity data. </w:t>
      </w:r>
      <w:r w:rsidRPr="009747AF">
        <w:rPr>
          <w:i/>
          <w:iCs/>
        </w:rPr>
        <w:t>Integrated Environmental Assessment and Management</w:t>
      </w:r>
      <w:r w:rsidRPr="009747AF">
        <w:t xml:space="preserve"> 1, 174–180. </w:t>
      </w:r>
    </w:p>
    <w:p w14:paraId="768B7E41" w14:textId="77777777" w:rsidR="009747AF" w:rsidRPr="009747AF" w:rsidRDefault="00BE159E" w:rsidP="009747AF">
      <w:pPr>
        <w:spacing w:line="280" w:lineRule="atLeast"/>
      </w:pPr>
      <w:r w:rsidRPr="009747AF">
        <w:t xml:space="preserve">Langdon, K, Warne, M &amp; </w:t>
      </w:r>
      <w:proofErr w:type="spellStart"/>
      <w:r w:rsidRPr="009747AF">
        <w:t>Sunderam</w:t>
      </w:r>
      <w:proofErr w:type="spellEnd"/>
      <w:r w:rsidRPr="009747AF">
        <w:t xml:space="preserve">, R 2009. A compilation of data on the toxicity of chemicals to species in Australasia. Part 4: Metals (2000-2009). </w:t>
      </w:r>
      <w:r w:rsidRPr="009747AF">
        <w:rPr>
          <w:i/>
          <w:iCs/>
        </w:rPr>
        <w:t>Australasian Journal of Ecotoxicology</w:t>
      </w:r>
      <w:r w:rsidRPr="009747AF">
        <w:t>, 15, 51</w:t>
      </w:r>
      <w:r w:rsidRPr="009747AF">
        <w:t>–186.</w:t>
      </w:r>
    </w:p>
    <w:p w14:paraId="60776FE2" w14:textId="77777777" w:rsidR="009747AF" w:rsidRPr="009747AF" w:rsidRDefault="00BE159E" w:rsidP="009747AF">
      <w:pPr>
        <w:spacing w:line="280" w:lineRule="atLeast"/>
        <w:rPr>
          <w:lang w:val="en-GB"/>
        </w:rPr>
      </w:pPr>
      <w:proofErr w:type="spellStart"/>
      <w:r w:rsidRPr="009747AF">
        <w:t>Reichelt-Brushett</w:t>
      </w:r>
      <w:proofErr w:type="spellEnd"/>
      <w:r w:rsidRPr="009747AF">
        <w:t xml:space="preserve">, AJ &amp; Harrison, PL 2005. The effect of selected trace metals on the fertilization success of several </w:t>
      </w:r>
      <w:proofErr w:type="spellStart"/>
      <w:r w:rsidRPr="009747AF">
        <w:t>Scleractinian</w:t>
      </w:r>
      <w:proofErr w:type="spellEnd"/>
      <w:r w:rsidRPr="009747AF">
        <w:t xml:space="preserve"> coral species. </w:t>
      </w:r>
      <w:r w:rsidRPr="009747AF">
        <w:rPr>
          <w:i/>
          <w:iCs/>
        </w:rPr>
        <w:t>Coral Reefs</w:t>
      </w:r>
      <w:r w:rsidRPr="009747AF">
        <w:t>, 24, 524–534.</w:t>
      </w:r>
    </w:p>
    <w:p w14:paraId="610C1D12" w14:textId="77777777" w:rsidR="009747AF" w:rsidRPr="009747AF" w:rsidRDefault="00BE159E" w:rsidP="009747AF">
      <w:pPr>
        <w:spacing w:line="280" w:lineRule="atLeast"/>
      </w:pPr>
      <w:r w:rsidRPr="009747AF">
        <w:rPr>
          <w:lang w:val="en-GB"/>
        </w:rPr>
        <w:t xml:space="preserve">Warne </w:t>
      </w:r>
      <w:proofErr w:type="spellStart"/>
      <w:r w:rsidRPr="009747AF">
        <w:rPr>
          <w:lang w:val="en-GB"/>
        </w:rPr>
        <w:t>MStJ</w:t>
      </w:r>
      <w:proofErr w:type="spellEnd"/>
      <w:r w:rsidRPr="009747AF">
        <w:rPr>
          <w:lang w:val="en-GB"/>
        </w:rPr>
        <w:t xml:space="preserve">, Batley GE, van Dam RA, Chapman JC, Fox DR, Hickey CW &amp; </w:t>
      </w:r>
      <w:proofErr w:type="spellStart"/>
      <w:r w:rsidRPr="009747AF">
        <w:rPr>
          <w:lang w:val="en-GB"/>
        </w:rPr>
        <w:t>Stauber</w:t>
      </w:r>
      <w:proofErr w:type="spellEnd"/>
      <w:r w:rsidRPr="009747AF">
        <w:rPr>
          <w:lang w:val="en-GB"/>
        </w:rPr>
        <w:t xml:space="preserve"> J</w:t>
      </w:r>
      <w:r w:rsidRPr="009747AF">
        <w:rPr>
          <w:lang w:val="en-GB"/>
        </w:rPr>
        <w:t xml:space="preserve">L 2018. Revised Method for Deriving Australian and New Zealand Water Quality Guideline Values for Toxicants – update of 2015 version. Prepared for the revision of the Australian and New Zealand Guidelines for Fresh and Marine Water Quality. Australian and </w:t>
      </w:r>
      <w:r w:rsidRPr="009747AF">
        <w:rPr>
          <w:lang w:val="en-GB"/>
        </w:rPr>
        <w:t>New Zealand Governments and Australian state and territory governments, Canberra, 48 pp.</w:t>
      </w:r>
    </w:p>
    <w:p w14:paraId="28C431ED" w14:textId="77777777" w:rsidR="009747AF" w:rsidRPr="002B74F5" w:rsidRDefault="009747AF" w:rsidP="009747AF">
      <w:pPr>
        <w:spacing w:line="280" w:lineRule="atLeast"/>
        <w:rPr>
          <w:sz w:val="20"/>
          <w:szCs w:val="20"/>
        </w:rPr>
      </w:pPr>
    </w:p>
    <w:p w14:paraId="18009A14" w14:textId="6A23ADA8" w:rsidR="009747AF" w:rsidRDefault="009747AF" w:rsidP="009747AF"/>
    <w:p w14:paraId="75C9EF4D" w14:textId="77777777" w:rsidR="009747AF" w:rsidRPr="009747AF" w:rsidRDefault="009747AF" w:rsidP="009747AF"/>
    <w:sectPr w:rsidR="009747AF" w:rsidRPr="009747AF" w:rsidSect="00B2382D">
      <w:headerReference w:type="first" r:id="rId13"/>
      <w:footerReference w:type="first" r:id="rId14"/>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D35F5" w14:textId="77777777" w:rsidR="00BE159E" w:rsidRDefault="00BE159E">
      <w:pPr>
        <w:spacing w:before="0" w:after="0" w:line="240" w:lineRule="auto"/>
      </w:pPr>
      <w:r>
        <w:separator/>
      </w:r>
    </w:p>
  </w:endnote>
  <w:endnote w:type="continuationSeparator" w:id="0">
    <w:p w14:paraId="45C944B1" w14:textId="77777777" w:rsidR="00BE159E" w:rsidRDefault="00BE159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3562080"/>
      <w:docPartObj>
        <w:docPartGallery w:val="Page Numbers (Bottom of Page)"/>
        <w:docPartUnique/>
      </w:docPartObj>
    </w:sdtPr>
    <w:sdtEndPr/>
    <w:sdtContent>
      <w:sdt>
        <w:sdtPr>
          <w:id w:val="-1784957734"/>
          <w:docPartObj>
            <w:docPartGallery w:val="Page Numbers (Top of Page)"/>
            <w:docPartUnique/>
          </w:docPartObj>
        </w:sdtPr>
        <w:sdtEndPr/>
        <w:sdtContent>
          <w:p w14:paraId="42C7B767" w14:textId="77777777" w:rsidR="00FB3DCB" w:rsidRDefault="00FB3DCB" w:rsidP="00FB3DCB">
            <w:pPr>
              <w:pStyle w:val="Footer"/>
              <w:jc w:val="right"/>
            </w:pPr>
          </w:p>
          <w:p w14:paraId="37AB907B" w14:textId="1EAA9006" w:rsidR="00FB3DCB" w:rsidRDefault="00BE159E" w:rsidP="00B745B2">
            <w:pPr>
              <w:pStyle w:val="Footer"/>
              <w:jc w:val="both"/>
            </w:pPr>
            <w:r>
              <w:t xml:space="preserve">Response to public submissions on draft default guidelines for </w:t>
            </w:r>
            <w:r w:rsidR="00856532">
              <w:t>zinc</w:t>
            </w:r>
            <w:r>
              <w:t xml:space="preserve"> in </w:t>
            </w:r>
            <w:r w:rsidR="009747AF">
              <w:t>marine water</w:t>
            </w:r>
            <w:r>
              <w:tab/>
            </w:r>
            <w:r>
              <w:t xml:space="preserve">                                                                       </w:t>
            </w:r>
            <w:r w:rsidR="00B745B2">
              <w:t xml:space="preserve">                    </w:t>
            </w:r>
            <w:r>
              <w:t xml:space="preserve">            Page </w:t>
            </w:r>
            <w:r>
              <w:rPr>
                <w:b/>
                <w:bCs/>
                <w:sz w:val="24"/>
                <w:szCs w:val="24"/>
              </w:rPr>
              <w:fldChar w:fldCharType="begin"/>
            </w:r>
            <w:r>
              <w:rPr>
                <w:b/>
                <w:bCs/>
              </w:rPr>
              <w:instrText xml:space="preserve"> PAGE </w:instrText>
            </w:r>
            <w:r>
              <w:rPr>
                <w:b/>
                <w:bCs/>
                <w:sz w:val="24"/>
                <w:szCs w:val="24"/>
              </w:rPr>
              <w:fldChar w:fldCharType="separate"/>
            </w:r>
            <w:r>
              <w:rPr>
                <w:b/>
                <w:bCs/>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25FA0A52" w14:textId="77777777" w:rsidR="00FB3DCB" w:rsidRDefault="00FB3D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456477"/>
      <w:docPartObj>
        <w:docPartGallery w:val="Page Numbers (Bottom of Page)"/>
        <w:docPartUnique/>
      </w:docPartObj>
    </w:sdtPr>
    <w:sdtEndPr/>
    <w:sdtContent>
      <w:sdt>
        <w:sdtPr>
          <w:id w:val="1089893921"/>
          <w:docPartObj>
            <w:docPartGallery w:val="Page Numbers (Top of Page)"/>
            <w:docPartUnique/>
          </w:docPartObj>
        </w:sdtPr>
        <w:sdtEndPr/>
        <w:sdtContent>
          <w:p w14:paraId="1AA64C36" w14:textId="7305807E" w:rsidR="005B6710" w:rsidRDefault="00BE159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sdtContent>
      </w:sdt>
    </w:sdtContent>
  </w:sdt>
  <w:p w14:paraId="16A9F3BC" w14:textId="77777777" w:rsidR="005B6710" w:rsidRDefault="005B6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940881"/>
      <w:docPartObj>
        <w:docPartGallery w:val="Page Numbers (Bottom of Page)"/>
        <w:docPartUnique/>
      </w:docPartObj>
    </w:sdtPr>
    <w:sdtEndPr/>
    <w:sdtContent>
      <w:sdt>
        <w:sdtPr>
          <w:id w:val="-1769616900"/>
          <w:docPartObj>
            <w:docPartGallery w:val="Page Numbers (Top of Page)"/>
            <w:docPartUnique/>
          </w:docPartObj>
        </w:sdtPr>
        <w:sdtEndPr/>
        <w:sdtContent>
          <w:p w14:paraId="36E47547" w14:textId="77777777" w:rsidR="00B2382D" w:rsidRDefault="00B2382D">
            <w:pPr>
              <w:pStyle w:val="Footer"/>
              <w:jc w:val="right"/>
            </w:pPr>
          </w:p>
          <w:p w14:paraId="463652A7" w14:textId="547C1BF0" w:rsidR="00B2382D" w:rsidRDefault="00BE159E" w:rsidP="00B2382D">
            <w:pPr>
              <w:pStyle w:val="Header"/>
            </w:pPr>
            <w:r>
              <w:t xml:space="preserve">Response to public submissions on draft default guideline values for </w:t>
            </w:r>
            <w:r w:rsidR="00856532">
              <w:t>zinc</w:t>
            </w:r>
            <w:r>
              <w:t xml:space="preserve"> in </w:t>
            </w:r>
            <w:r w:rsidR="009747AF">
              <w:t xml:space="preserve">marine </w:t>
            </w:r>
            <w:r>
              <w:t>water</w:t>
            </w:r>
            <w:r>
              <w:tab/>
            </w:r>
            <w:r>
              <w:tab/>
              <w:t xml:space="preserve">                                            </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w:instrText>
            </w:r>
            <w:r>
              <w:rPr>
                <w:b/>
                <w:bCs/>
              </w:rPr>
              <w:instrText xml:space="preserve">AGES  </w:instrText>
            </w:r>
            <w:r>
              <w:rPr>
                <w:b/>
                <w:bCs/>
                <w:sz w:val="24"/>
                <w:szCs w:val="24"/>
              </w:rPr>
              <w:fldChar w:fldCharType="separate"/>
            </w:r>
            <w:r>
              <w:rPr>
                <w:b/>
                <w:bCs/>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44F00" w14:textId="77777777" w:rsidR="00BE159E" w:rsidRDefault="00BE159E">
      <w:pPr>
        <w:spacing w:before="0" w:after="0" w:line="240" w:lineRule="auto"/>
      </w:pPr>
      <w:r>
        <w:separator/>
      </w:r>
    </w:p>
  </w:footnote>
  <w:footnote w:type="continuationSeparator" w:id="0">
    <w:p w14:paraId="2D11E8C5" w14:textId="77777777" w:rsidR="00BE159E" w:rsidRDefault="00BE159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9510" w14:textId="3CEA07C0" w:rsidR="00AD184E" w:rsidRDefault="00BE159E">
    <w:pPr>
      <w:pStyle w:val="Header"/>
    </w:pPr>
    <w:r>
      <w:rPr>
        <w:noProof/>
      </w:rPr>
      <w:drawing>
        <wp:anchor distT="0" distB="0" distL="114300" distR="114300" simplePos="0" relativeHeight="251658240" behindDoc="1" locked="0" layoutInCell="1" allowOverlap="1">
          <wp:simplePos x="0" y="0"/>
          <wp:positionH relativeFrom="margin">
            <wp:align>right</wp:align>
          </wp:positionH>
          <wp:positionV relativeFrom="paragraph">
            <wp:posOffset>-136737</wp:posOffset>
          </wp:positionV>
          <wp:extent cx="2184400" cy="1092200"/>
          <wp:effectExtent l="0" t="0" r="6350" b="0"/>
          <wp:wrapTight wrapText="bothSides">
            <wp:wrapPolygon edited="0">
              <wp:start x="5463" y="2260"/>
              <wp:lineTo x="3202" y="3014"/>
              <wp:lineTo x="377" y="6405"/>
              <wp:lineTo x="377" y="10926"/>
              <wp:lineTo x="942" y="15070"/>
              <wp:lineTo x="4333" y="18837"/>
              <wp:lineTo x="5463" y="18837"/>
              <wp:lineTo x="8477" y="18084"/>
              <wp:lineTo x="20909" y="15823"/>
              <wp:lineTo x="21474" y="5274"/>
              <wp:lineTo x="20344" y="4898"/>
              <wp:lineTo x="7347" y="2260"/>
              <wp:lineTo x="5463" y="2260"/>
            </wp:wrapPolygon>
          </wp:wrapTight>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39040" name="Picture 3"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84400" cy="1092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7C0BB" w14:textId="46423E36" w:rsidR="00B2382D" w:rsidRPr="00B2382D" w:rsidRDefault="00B2382D" w:rsidP="00B238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352"/>
    <w:multiLevelType w:val="hybridMultilevel"/>
    <w:tmpl w:val="F87A23F6"/>
    <w:lvl w:ilvl="0" w:tplc="677A0C40">
      <w:start w:val="1"/>
      <w:numFmt w:val="bullet"/>
      <w:lvlText w:val=""/>
      <w:lvlJc w:val="left"/>
      <w:pPr>
        <w:ind w:left="720" w:hanging="360"/>
      </w:pPr>
      <w:rPr>
        <w:rFonts w:ascii="Symbol" w:hAnsi="Symbol" w:hint="default"/>
      </w:rPr>
    </w:lvl>
    <w:lvl w:ilvl="1" w:tplc="56382E16" w:tentative="1">
      <w:start w:val="1"/>
      <w:numFmt w:val="bullet"/>
      <w:lvlText w:val="o"/>
      <w:lvlJc w:val="left"/>
      <w:pPr>
        <w:ind w:left="1440" w:hanging="360"/>
      </w:pPr>
      <w:rPr>
        <w:rFonts w:ascii="Courier New" w:hAnsi="Courier New" w:cs="Courier New" w:hint="default"/>
      </w:rPr>
    </w:lvl>
    <w:lvl w:ilvl="2" w:tplc="7EAE7BCE" w:tentative="1">
      <w:start w:val="1"/>
      <w:numFmt w:val="bullet"/>
      <w:lvlText w:val=""/>
      <w:lvlJc w:val="left"/>
      <w:pPr>
        <w:ind w:left="2160" w:hanging="360"/>
      </w:pPr>
      <w:rPr>
        <w:rFonts w:ascii="Wingdings" w:hAnsi="Wingdings" w:hint="default"/>
      </w:rPr>
    </w:lvl>
    <w:lvl w:ilvl="3" w:tplc="1E6EA5E2" w:tentative="1">
      <w:start w:val="1"/>
      <w:numFmt w:val="bullet"/>
      <w:lvlText w:val=""/>
      <w:lvlJc w:val="left"/>
      <w:pPr>
        <w:ind w:left="2880" w:hanging="360"/>
      </w:pPr>
      <w:rPr>
        <w:rFonts w:ascii="Symbol" w:hAnsi="Symbol" w:hint="default"/>
      </w:rPr>
    </w:lvl>
    <w:lvl w:ilvl="4" w:tplc="630AD07E" w:tentative="1">
      <w:start w:val="1"/>
      <w:numFmt w:val="bullet"/>
      <w:lvlText w:val="o"/>
      <w:lvlJc w:val="left"/>
      <w:pPr>
        <w:ind w:left="3600" w:hanging="360"/>
      </w:pPr>
      <w:rPr>
        <w:rFonts w:ascii="Courier New" w:hAnsi="Courier New" w:cs="Courier New" w:hint="default"/>
      </w:rPr>
    </w:lvl>
    <w:lvl w:ilvl="5" w:tplc="2E68B808" w:tentative="1">
      <w:start w:val="1"/>
      <w:numFmt w:val="bullet"/>
      <w:lvlText w:val=""/>
      <w:lvlJc w:val="left"/>
      <w:pPr>
        <w:ind w:left="4320" w:hanging="360"/>
      </w:pPr>
      <w:rPr>
        <w:rFonts w:ascii="Wingdings" w:hAnsi="Wingdings" w:hint="default"/>
      </w:rPr>
    </w:lvl>
    <w:lvl w:ilvl="6" w:tplc="AAE6C498" w:tentative="1">
      <w:start w:val="1"/>
      <w:numFmt w:val="bullet"/>
      <w:lvlText w:val=""/>
      <w:lvlJc w:val="left"/>
      <w:pPr>
        <w:ind w:left="5040" w:hanging="360"/>
      </w:pPr>
      <w:rPr>
        <w:rFonts w:ascii="Symbol" w:hAnsi="Symbol" w:hint="default"/>
      </w:rPr>
    </w:lvl>
    <w:lvl w:ilvl="7" w:tplc="792CE78E" w:tentative="1">
      <w:start w:val="1"/>
      <w:numFmt w:val="bullet"/>
      <w:lvlText w:val="o"/>
      <w:lvlJc w:val="left"/>
      <w:pPr>
        <w:ind w:left="5760" w:hanging="360"/>
      </w:pPr>
      <w:rPr>
        <w:rFonts w:ascii="Courier New" w:hAnsi="Courier New" w:cs="Courier New" w:hint="default"/>
      </w:rPr>
    </w:lvl>
    <w:lvl w:ilvl="8" w:tplc="B0AE9CD2" w:tentative="1">
      <w:start w:val="1"/>
      <w:numFmt w:val="bullet"/>
      <w:lvlText w:val=""/>
      <w:lvlJc w:val="left"/>
      <w:pPr>
        <w:ind w:left="6480" w:hanging="360"/>
      </w:pPr>
      <w:rPr>
        <w:rFonts w:ascii="Wingdings" w:hAnsi="Wingdings" w:hint="default"/>
      </w:rPr>
    </w:lvl>
  </w:abstractNum>
  <w:abstractNum w:abstractNumId="1" w15:restartNumberingAfterBreak="0">
    <w:nsid w:val="088B78AE"/>
    <w:multiLevelType w:val="hybridMultilevel"/>
    <w:tmpl w:val="9CF28DCE"/>
    <w:lvl w:ilvl="0" w:tplc="B98829EA">
      <w:start w:val="1"/>
      <w:numFmt w:val="bullet"/>
      <w:lvlText w:val=""/>
      <w:lvlJc w:val="left"/>
      <w:pPr>
        <w:ind w:left="745" w:hanging="360"/>
      </w:pPr>
      <w:rPr>
        <w:rFonts w:ascii="Symbol" w:hAnsi="Symbol" w:hint="default"/>
      </w:rPr>
    </w:lvl>
    <w:lvl w:ilvl="1" w:tplc="46A0C5D6" w:tentative="1">
      <w:start w:val="1"/>
      <w:numFmt w:val="bullet"/>
      <w:lvlText w:val="o"/>
      <w:lvlJc w:val="left"/>
      <w:pPr>
        <w:ind w:left="1465" w:hanging="360"/>
      </w:pPr>
      <w:rPr>
        <w:rFonts w:ascii="Courier New" w:hAnsi="Courier New" w:cs="Courier New" w:hint="default"/>
      </w:rPr>
    </w:lvl>
    <w:lvl w:ilvl="2" w:tplc="17A6A38E" w:tentative="1">
      <w:start w:val="1"/>
      <w:numFmt w:val="bullet"/>
      <w:lvlText w:val=""/>
      <w:lvlJc w:val="left"/>
      <w:pPr>
        <w:ind w:left="2185" w:hanging="360"/>
      </w:pPr>
      <w:rPr>
        <w:rFonts w:ascii="Wingdings" w:hAnsi="Wingdings" w:hint="default"/>
      </w:rPr>
    </w:lvl>
    <w:lvl w:ilvl="3" w:tplc="07CC7FA6" w:tentative="1">
      <w:start w:val="1"/>
      <w:numFmt w:val="bullet"/>
      <w:lvlText w:val=""/>
      <w:lvlJc w:val="left"/>
      <w:pPr>
        <w:ind w:left="2905" w:hanging="360"/>
      </w:pPr>
      <w:rPr>
        <w:rFonts w:ascii="Symbol" w:hAnsi="Symbol" w:hint="default"/>
      </w:rPr>
    </w:lvl>
    <w:lvl w:ilvl="4" w:tplc="8DCA0172" w:tentative="1">
      <w:start w:val="1"/>
      <w:numFmt w:val="bullet"/>
      <w:lvlText w:val="o"/>
      <w:lvlJc w:val="left"/>
      <w:pPr>
        <w:ind w:left="3625" w:hanging="360"/>
      </w:pPr>
      <w:rPr>
        <w:rFonts w:ascii="Courier New" w:hAnsi="Courier New" w:cs="Courier New" w:hint="default"/>
      </w:rPr>
    </w:lvl>
    <w:lvl w:ilvl="5" w:tplc="E4701E5A" w:tentative="1">
      <w:start w:val="1"/>
      <w:numFmt w:val="bullet"/>
      <w:lvlText w:val=""/>
      <w:lvlJc w:val="left"/>
      <w:pPr>
        <w:ind w:left="4345" w:hanging="360"/>
      </w:pPr>
      <w:rPr>
        <w:rFonts w:ascii="Wingdings" w:hAnsi="Wingdings" w:hint="default"/>
      </w:rPr>
    </w:lvl>
    <w:lvl w:ilvl="6" w:tplc="CAF6BE94" w:tentative="1">
      <w:start w:val="1"/>
      <w:numFmt w:val="bullet"/>
      <w:lvlText w:val=""/>
      <w:lvlJc w:val="left"/>
      <w:pPr>
        <w:ind w:left="5065" w:hanging="360"/>
      </w:pPr>
      <w:rPr>
        <w:rFonts w:ascii="Symbol" w:hAnsi="Symbol" w:hint="default"/>
      </w:rPr>
    </w:lvl>
    <w:lvl w:ilvl="7" w:tplc="AB3E0B42" w:tentative="1">
      <w:start w:val="1"/>
      <w:numFmt w:val="bullet"/>
      <w:lvlText w:val="o"/>
      <w:lvlJc w:val="left"/>
      <w:pPr>
        <w:ind w:left="5785" w:hanging="360"/>
      </w:pPr>
      <w:rPr>
        <w:rFonts w:ascii="Courier New" w:hAnsi="Courier New" w:cs="Courier New" w:hint="default"/>
      </w:rPr>
    </w:lvl>
    <w:lvl w:ilvl="8" w:tplc="3112FB7E" w:tentative="1">
      <w:start w:val="1"/>
      <w:numFmt w:val="bullet"/>
      <w:lvlText w:val=""/>
      <w:lvlJc w:val="left"/>
      <w:pPr>
        <w:ind w:left="6505" w:hanging="360"/>
      </w:pPr>
      <w:rPr>
        <w:rFonts w:ascii="Wingdings" w:hAnsi="Wingdings" w:hint="default"/>
      </w:rPr>
    </w:lvl>
  </w:abstractNum>
  <w:abstractNum w:abstractNumId="2" w15:restartNumberingAfterBreak="0">
    <w:nsid w:val="1F647A11"/>
    <w:multiLevelType w:val="hybridMultilevel"/>
    <w:tmpl w:val="621E8E6E"/>
    <w:lvl w:ilvl="0" w:tplc="BD2E2BB0">
      <w:start w:val="1"/>
      <w:numFmt w:val="bullet"/>
      <w:lvlText w:val=""/>
      <w:lvlJc w:val="left"/>
      <w:pPr>
        <w:ind w:left="720" w:hanging="360"/>
      </w:pPr>
      <w:rPr>
        <w:rFonts w:ascii="Symbol" w:hAnsi="Symbol" w:hint="default"/>
      </w:rPr>
    </w:lvl>
    <w:lvl w:ilvl="1" w:tplc="8206A69E" w:tentative="1">
      <w:start w:val="1"/>
      <w:numFmt w:val="bullet"/>
      <w:lvlText w:val="o"/>
      <w:lvlJc w:val="left"/>
      <w:pPr>
        <w:ind w:left="1440" w:hanging="360"/>
      </w:pPr>
      <w:rPr>
        <w:rFonts w:ascii="Courier New" w:hAnsi="Courier New" w:cs="Courier New" w:hint="default"/>
      </w:rPr>
    </w:lvl>
    <w:lvl w:ilvl="2" w:tplc="A27AC4B4" w:tentative="1">
      <w:start w:val="1"/>
      <w:numFmt w:val="bullet"/>
      <w:lvlText w:val=""/>
      <w:lvlJc w:val="left"/>
      <w:pPr>
        <w:ind w:left="2160" w:hanging="360"/>
      </w:pPr>
      <w:rPr>
        <w:rFonts w:ascii="Wingdings" w:hAnsi="Wingdings" w:hint="default"/>
      </w:rPr>
    </w:lvl>
    <w:lvl w:ilvl="3" w:tplc="AB1E308E" w:tentative="1">
      <w:start w:val="1"/>
      <w:numFmt w:val="bullet"/>
      <w:lvlText w:val=""/>
      <w:lvlJc w:val="left"/>
      <w:pPr>
        <w:ind w:left="2880" w:hanging="360"/>
      </w:pPr>
      <w:rPr>
        <w:rFonts w:ascii="Symbol" w:hAnsi="Symbol" w:hint="default"/>
      </w:rPr>
    </w:lvl>
    <w:lvl w:ilvl="4" w:tplc="25BE5888" w:tentative="1">
      <w:start w:val="1"/>
      <w:numFmt w:val="bullet"/>
      <w:lvlText w:val="o"/>
      <w:lvlJc w:val="left"/>
      <w:pPr>
        <w:ind w:left="3600" w:hanging="360"/>
      </w:pPr>
      <w:rPr>
        <w:rFonts w:ascii="Courier New" w:hAnsi="Courier New" w:cs="Courier New" w:hint="default"/>
      </w:rPr>
    </w:lvl>
    <w:lvl w:ilvl="5" w:tplc="EBC0E8E4" w:tentative="1">
      <w:start w:val="1"/>
      <w:numFmt w:val="bullet"/>
      <w:lvlText w:val=""/>
      <w:lvlJc w:val="left"/>
      <w:pPr>
        <w:ind w:left="4320" w:hanging="360"/>
      </w:pPr>
      <w:rPr>
        <w:rFonts w:ascii="Wingdings" w:hAnsi="Wingdings" w:hint="default"/>
      </w:rPr>
    </w:lvl>
    <w:lvl w:ilvl="6" w:tplc="0634776A" w:tentative="1">
      <w:start w:val="1"/>
      <w:numFmt w:val="bullet"/>
      <w:lvlText w:val=""/>
      <w:lvlJc w:val="left"/>
      <w:pPr>
        <w:ind w:left="5040" w:hanging="360"/>
      </w:pPr>
      <w:rPr>
        <w:rFonts w:ascii="Symbol" w:hAnsi="Symbol" w:hint="default"/>
      </w:rPr>
    </w:lvl>
    <w:lvl w:ilvl="7" w:tplc="7FC8BC96" w:tentative="1">
      <w:start w:val="1"/>
      <w:numFmt w:val="bullet"/>
      <w:lvlText w:val="o"/>
      <w:lvlJc w:val="left"/>
      <w:pPr>
        <w:ind w:left="5760" w:hanging="360"/>
      </w:pPr>
      <w:rPr>
        <w:rFonts w:ascii="Courier New" w:hAnsi="Courier New" w:cs="Courier New" w:hint="default"/>
      </w:rPr>
    </w:lvl>
    <w:lvl w:ilvl="8" w:tplc="4168B038" w:tentative="1">
      <w:start w:val="1"/>
      <w:numFmt w:val="bullet"/>
      <w:lvlText w:val=""/>
      <w:lvlJc w:val="left"/>
      <w:pPr>
        <w:ind w:left="6480" w:hanging="360"/>
      </w:pPr>
      <w:rPr>
        <w:rFonts w:ascii="Wingdings" w:hAnsi="Wingdings" w:hint="default"/>
      </w:rPr>
    </w:lvl>
  </w:abstractNum>
  <w:abstractNum w:abstractNumId="3" w15:restartNumberingAfterBreak="0">
    <w:nsid w:val="2D26379A"/>
    <w:multiLevelType w:val="hybridMultilevel"/>
    <w:tmpl w:val="8FD6A018"/>
    <w:lvl w:ilvl="0" w:tplc="FE744278">
      <w:start w:val="1"/>
      <w:numFmt w:val="bullet"/>
      <w:lvlText w:val="o"/>
      <w:lvlJc w:val="left"/>
      <w:pPr>
        <w:ind w:left="720" w:hanging="360"/>
      </w:pPr>
      <w:rPr>
        <w:rFonts w:ascii="Courier New" w:hAnsi="Courier New" w:cs="Courier New" w:hint="default"/>
      </w:rPr>
    </w:lvl>
    <w:lvl w:ilvl="1" w:tplc="761C6E28" w:tentative="1">
      <w:start w:val="1"/>
      <w:numFmt w:val="bullet"/>
      <w:lvlText w:val="o"/>
      <w:lvlJc w:val="left"/>
      <w:pPr>
        <w:ind w:left="1440" w:hanging="360"/>
      </w:pPr>
      <w:rPr>
        <w:rFonts w:ascii="Courier New" w:hAnsi="Courier New" w:cs="Courier New" w:hint="default"/>
      </w:rPr>
    </w:lvl>
    <w:lvl w:ilvl="2" w:tplc="7FCE672C" w:tentative="1">
      <w:start w:val="1"/>
      <w:numFmt w:val="bullet"/>
      <w:lvlText w:val=""/>
      <w:lvlJc w:val="left"/>
      <w:pPr>
        <w:ind w:left="2160" w:hanging="360"/>
      </w:pPr>
      <w:rPr>
        <w:rFonts w:ascii="Wingdings" w:hAnsi="Wingdings" w:hint="default"/>
      </w:rPr>
    </w:lvl>
    <w:lvl w:ilvl="3" w:tplc="85BE6B32" w:tentative="1">
      <w:start w:val="1"/>
      <w:numFmt w:val="bullet"/>
      <w:lvlText w:val=""/>
      <w:lvlJc w:val="left"/>
      <w:pPr>
        <w:ind w:left="2880" w:hanging="360"/>
      </w:pPr>
      <w:rPr>
        <w:rFonts w:ascii="Symbol" w:hAnsi="Symbol" w:hint="default"/>
      </w:rPr>
    </w:lvl>
    <w:lvl w:ilvl="4" w:tplc="CBE47BD8" w:tentative="1">
      <w:start w:val="1"/>
      <w:numFmt w:val="bullet"/>
      <w:lvlText w:val="o"/>
      <w:lvlJc w:val="left"/>
      <w:pPr>
        <w:ind w:left="3600" w:hanging="360"/>
      </w:pPr>
      <w:rPr>
        <w:rFonts w:ascii="Courier New" w:hAnsi="Courier New" w:cs="Courier New" w:hint="default"/>
      </w:rPr>
    </w:lvl>
    <w:lvl w:ilvl="5" w:tplc="A5D8F434" w:tentative="1">
      <w:start w:val="1"/>
      <w:numFmt w:val="bullet"/>
      <w:lvlText w:val=""/>
      <w:lvlJc w:val="left"/>
      <w:pPr>
        <w:ind w:left="4320" w:hanging="360"/>
      </w:pPr>
      <w:rPr>
        <w:rFonts w:ascii="Wingdings" w:hAnsi="Wingdings" w:hint="default"/>
      </w:rPr>
    </w:lvl>
    <w:lvl w:ilvl="6" w:tplc="0AF24BF0" w:tentative="1">
      <w:start w:val="1"/>
      <w:numFmt w:val="bullet"/>
      <w:lvlText w:val=""/>
      <w:lvlJc w:val="left"/>
      <w:pPr>
        <w:ind w:left="5040" w:hanging="360"/>
      </w:pPr>
      <w:rPr>
        <w:rFonts w:ascii="Symbol" w:hAnsi="Symbol" w:hint="default"/>
      </w:rPr>
    </w:lvl>
    <w:lvl w:ilvl="7" w:tplc="96303EEA" w:tentative="1">
      <w:start w:val="1"/>
      <w:numFmt w:val="bullet"/>
      <w:lvlText w:val="o"/>
      <w:lvlJc w:val="left"/>
      <w:pPr>
        <w:ind w:left="5760" w:hanging="360"/>
      </w:pPr>
      <w:rPr>
        <w:rFonts w:ascii="Courier New" w:hAnsi="Courier New" w:cs="Courier New" w:hint="default"/>
      </w:rPr>
    </w:lvl>
    <w:lvl w:ilvl="8" w:tplc="F0BAD95A" w:tentative="1">
      <w:start w:val="1"/>
      <w:numFmt w:val="bullet"/>
      <w:lvlText w:val=""/>
      <w:lvlJc w:val="left"/>
      <w:pPr>
        <w:ind w:left="6480" w:hanging="360"/>
      </w:pPr>
      <w:rPr>
        <w:rFonts w:ascii="Wingdings" w:hAnsi="Wingdings" w:hint="default"/>
      </w:rPr>
    </w:lvl>
  </w:abstractNum>
  <w:abstractNum w:abstractNumId="4" w15:restartNumberingAfterBreak="0">
    <w:nsid w:val="3D5641C3"/>
    <w:multiLevelType w:val="hybridMultilevel"/>
    <w:tmpl w:val="4210F486"/>
    <w:lvl w:ilvl="0" w:tplc="65F02CC6">
      <w:start w:val="1"/>
      <w:numFmt w:val="decimal"/>
      <w:pStyle w:val="Heading3bold"/>
      <w:lvlText w:val="%1"/>
      <w:lvlJc w:val="left"/>
      <w:pPr>
        <w:ind w:left="360" w:hanging="360"/>
      </w:pPr>
      <w:rPr>
        <w:rFonts w:hint="default"/>
        <w:color w:val="auto"/>
      </w:rPr>
    </w:lvl>
    <w:lvl w:ilvl="1" w:tplc="FF5C0D18" w:tentative="1">
      <w:start w:val="1"/>
      <w:numFmt w:val="lowerLetter"/>
      <w:lvlText w:val="%2."/>
      <w:lvlJc w:val="left"/>
      <w:pPr>
        <w:ind w:left="-3805" w:hanging="360"/>
      </w:pPr>
    </w:lvl>
    <w:lvl w:ilvl="2" w:tplc="90FC81A8" w:tentative="1">
      <w:start w:val="1"/>
      <w:numFmt w:val="lowerRoman"/>
      <w:lvlText w:val="%3."/>
      <w:lvlJc w:val="right"/>
      <w:pPr>
        <w:ind w:left="-3085" w:hanging="180"/>
      </w:pPr>
    </w:lvl>
    <w:lvl w:ilvl="3" w:tplc="A0D2139E" w:tentative="1">
      <w:start w:val="1"/>
      <w:numFmt w:val="decimal"/>
      <w:lvlText w:val="%4."/>
      <w:lvlJc w:val="left"/>
      <w:pPr>
        <w:ind w:left="-2365" w:hanging="360"/>
      </w:pPr>
    </w:lvl>
    <w:lvl w:ilvl="4" w:tplc="E8386A98" w:tentative="1">
      <w:start w:val="1"/>
      <w:numFmt w:val="lowerLetter"/>
      <w:lvlText w:val="%5."/>
      <w:lvlJc w:val="left"/>
      <w:pPr>
        <w:ind w:left="-1645" w:hanging="360"/>
      </w:pPr>
    </w:lvl>
    <w:lvl w:ilvl="5" w:tplc="C19859C6" w:tentative="1">
      <w:start w:val="1"/>
      <w:numFmt w:val="lowerRoman"/>
      <w:lvlText w:val="%6."/>
      <w:lvlJc w:val="right"/>
      <w:pPr>
        <w:ind w:left="-925" w:hanging="180"/>
      </w:pPr>
    </w:lvl>
    <w:lvl w:ilvl="6" w:tplc="88E43172" w:tentative="1">
      <w:start w:val="1"/>
      <w:numFmt w:val="decimal"/>
      <w:lvlText w:val="%7."/>
      <w:lvlJc w:val="left"/>
      <w:pPr>
        <w:ind w:left="-205" w:hanging="360"/>
      </w:pPr>
    </w:lvl>
    <w:lvl w:ilvl="7" w:tplc="4162DEFE" w:tentative="1">
      <w:start w:val="1"/>
      <w:numFmt w:val="lowerLetter"/>
      <w:lvlText w:val="%8."/>
      <w:lvlJc w:val="left"/>
      <w:pPr>
        <w:ind w:left="515" w:hanging="360"/>
      </w:pPr>
    </w:lvl>
    <w:lvl w:ilvl="8" w:tplc="7AB2763E" w:tentative="1">
      <w:start w:val="1"/>
      <w:numFmt w:val="lowerRoman"/>
      <w:lvlText w:val="%9."/>
      <w:lvlJc w:val="right"/>
      <w:pPr>
        <w:ind w:left="1235" w:hanging="180"/>
      </w:pPr>
    </w:lvl>
  </w:abstractNum>
  <w:abstractNum w:abstractNumId="5" w15:restartNumberingAfterBreak="0">
    <w:nsid w:val="560F4DED"/>
    <w:multiLevelType w:val="hybridMultilevel"/>
    <w:tmpl w:val="9614140C"/>
    <w:lvl w:ilvl="0" w:tplc="C0B45116">
      <w:start w:val="1"/>
      <w:numFmt w:val="bullet"/>
      <w:lvlText w:val=""/>
      <w:lvlJc w:val="left"/>
      <w:pPr>
        <w:ind w:left="720" w:hanging="360"/>
      </w:pPr>
      <w:rPr>
        <w:rFonts w:ascii="Symbol" w:hAnsi="Symbol" w:hint="default"/>
      </w:rPr>
    </w:lvl>
    <w:lvl w:ilvl="1" w:tplc="172E8EF0" w:tentative="1">
      <w:start w:val="1"/>
      <w:numFmt w:val="bullet"/>
      <w:lvlText w:val="o"/>
      <w:lvlJc w:val="left"/>
      <w:pPr>
        <w:ind w:left="1440" w:hanging="360"/>
      </w:pPr>
      <w:rPr>
        <w:rFonts w:ascii="Courier New" w:hAnsi="Courier New" w:cs="Courier New" w:hint="default"/>
      </w:rPr>
    </w:lvl>
    <w:lvl w:ilvl="2" w:tplc="2A22DD0A" w:tentative="1">
      <w:start w:val="1"/>
      <w:numFmt w:val="bullet"/>
      <w:lvlText w:val=""/>
      <w:lvlJc w:val="left"/>
      <w:pPr>
        <w:ind w:left="2160" w:hanging="360"/>
      </w:pPr>
      <w:rPr>
        <w:rFonts w:ascii="Wingdings" w:hAnsi="Wingdings" w:hint="default"/>
      </w:rPr>
    </w:lvl>
    <w:lvl w:ilvl="3" w:tplc="4C6A0F62" w:tentative="1">
      <w:start w:val="1"/>
      <w:numFmt w:val="bullet"/>
      <w:lvlText w:val=""/>
      <w:lvlJc w:val="left"/>
      <w:pPr>
        <w:ind w:left="2880" w:hanging="360"/>
      </w:pPr>
      <w:rPr>
        <w:rFonts w:ascii="Symbol" w:hAnsi="Symbol" w:hint="default"/>
      </w:rPr>
    </w:lvl>
    <w:lvl w:ilvl="4" w:tplc="9BC8B862" w:tentative="1">
      <w:start w:val="1"/>
      <w:numFmt w:val="bullet"/>
      <w:lvlText w:val="o"/>
      <w:lvlJc w:val="left"/>
      <w:pPr>
        <w:ind w:left="3600" w:hanging="360"/>
      </w:pPr>
      <w:rPr>
        <w:rFonts w:ascii="Courier New" w:hAnsi="Courier New" w:cs="Courier New" w:hint="default"/>
      </w:rPr>
    </w:lvl>
    <w:lvl w:ilvl="5" w:tplc="328EEA10" w:tentative="1">
      <w:start w:val="1"/>
      <w:numFmt w:val="bullet"/>
      <w:lvlText w:val=""/>
      <w:lvlJc w:val="left"/>
      <w:pPr>
        <w:ind w:left="4320" w:hanging="360"/>
      </w:pPr>
      <w:rPr>
        <w:rFonts w:ascii="Wingdings" w:hAnsi="Wingdings" w:hint="default"/>
      </w:rPr>
    </w:lvl>
    <w:lvl w:ilvl="6" w:tplc="26AC15C8" w:tentative="1">
      <w:start w:val="1"/>
      <w:numFmt w:val="bullet"/>
      <w:lvlText w:val=""/>
      <w:lvlJc w:val="left"/>
      <w:pPr>
        <w:ind w:left="5040" w:hanging="360"/>
      </w:pPr>
      <w:rPr>
        <w:rFonts w:ascii="Symbol" w:hAnsi="Symbol" w:hint="default"/>
      </w:rPr>
    </w:lvl>
    <w:lvl w:ilvl="7" w:tplc="F606CA9A" w:tentative="1">
      <w:start w:val="1"/>
      <w:numFmt w:val="bullet"/>
      <w:lvlText w:val="o"/>
      <w:lvlJc w:val="left"/>
      <w:pPr>
        <w:ind w:left="5760" w:hanging="360"/>
      </w:pPr>
      <w:rPr>
        <w:rFonts w:ascii="Courier New" w:hAnsi="Courier New" w:cs="Courier New" w:hint="default"/>
      </w:rPr>
    </w:lvl>
    <w:lvl w:ilvl="8" w:tplc="1F929802" w:tentative="1">
      <w:start w:val="1"/>
      <w:numFmt w:val="bullet"/>
      <w:lvlText w:val=""/>
      <w:lvlJc w:val="left"/>
      <w:pPr>
        <w:ind w:left="6480" w:hanging="360"/>
      </w:pPr>
      <w:rPr>
        <w:rFonts w:ascii="Wingdings" w:hAnsi="Wingdings" w:hint="default"/>
      </w:rPr>
    </w:lvl>
  </w:abstractNum>
  <w:abstractNum w:abstractNumId="6" w15:restartNumberingAfterBreak="0">
    <w:nsid w:val="619962F8"/>
    <w:multiLevelType w:val="hybridMultilevel"/>
    <w:tmpl w:val="DA76916A"/>
    <w:lvl w:ilvl="0" w:tplc="8E46ABEC">
      <w:start w:val="1"/>
      <w:numFmt w:val="decimal"/>
      <w:lvlText w:val="%1."/>
      <w:lvlJc w:val="left"/>
      <w:pPr>
        <w:ind w:left="720" w:hanging="360"/>
      </w:pPr>
      <w:rPr>
        <w:rFonts w:hint="default"/>
      </w:rPr>
    </w:lvl>
    <w:lvl w:ilvl="1" w:tplc="1EF615E4" w:tentative="1">
      <w:start w:val="1"/>
      <w:numFmt w:val="lowerLetter"/>
      <w:lvlText w:val="%2."/>
      <w:lvlJc w:val="left"/>
      <w:pPr>
        <w:ind w:left="1440" w:hanging="360"/>
      </w:pPr>
    </w:lvl>
    <w:lvl w:ilvl="2" w:tplc="37807B5A" w:tentative="1">
      <w:start w:val="1"/>
      <w:numFmt w:val="lowerRoman"/>
      <w:lvlText w:val="%3."/>
      <w:lvlJc w:val="right"/>
      <w:pPr>
        <w:ind w:left="2160" w:hanging="180"/>
      </w:pPr>
    </w:lvl>
    <w:lvl w:ilvl="3" w:tplc="B5503730" w:tentative="1">
      <w:start w:val="1"/>
      <w:numFmt w:val="decimal"/>
      <w:lvlText w:val="%4."/>
      <w:lvlJc w:val="left"/>
      <w:pPr>
        <w:ind w:left="2880" w:hanging="360"/>
      </w:pPr>
    </w:lvl>
    <w:lvl w:ilvl="4" w:tplc="BFC2EB04" w:tentative="1">
      <w:start w:val="1"/>
      <w:numFmt w:val="lowerLetter"/>
      <w:lvlText w:val="%5."/>
      <w:lvlJc w:val="left"/>
      <w:pPr>
        <w:ind w:left="3600" w:hanging="360"/>
      </w:pPr>
    </w:lvl>
    <w:lvl w:ilvl="5" w:tplc="96DAD6F0" w:tentative="1">
      <w:start w:val="1"/>
      <w:numFmt w:val="lowerRoman"/>
      <w:lvlText w:val="%6."/>
      <w:lvlJc w:val="right"/>
      <w:pPr>
        <w:ind w:left="4320" w:hanging="180"/>
      </w:pPr>
    </w:lvl>
    <w:lvl w:ilvl="6" w:tplc="557AC596" w:tentative="1">
      <w:start w:val="1"/>
      <w:numFmt w:val="decimal"/>
      <w:lvlText w:val="%7."/>
      <w:lvlJc w:val="left"/>
      <w:pPr>
        <w:ind w:left="5040" w:hanging="360"/>
      </w:pPr>
    </w:lvl>
    <w:lvl w:ilvl="7" w:tplc="9E8E3E46" w:tentative="1">
      <w:start w:val="1"/>
      <w:numFmt w:val="lowerLetter"/>
      <w:lvlText w:val="%8."/>
      <w:lvlJc w:val="left"/>
      <w:pPr>
        <w:ind w:left="5760" w:hanging="360"/>
      </w:pPr>
    </w:lvl>
    <w:lvl w:ilvl="8" w:tplc="8C842CEE" w:tentative="1">
      <w:start w:val="1"/>
      <w:numFmt w:val="lowerRoman"/>
      <w:lvlText w:val="%9."/>
      <w:lvlJc w:val="right"/>
      <w:pPr>
        <w:ind w:left="6480" w:hanging="180"/>
      </w:pPr>
    </w:lvl>
  </w:abstractNum>
  <w:abstractNum w:abstractNumId="7" w15:restartNumberingAfterBreak="0">
    <w:nsid w:val="73C76F63"/>
    <w:multiLevelType w:val="hybridMultilevel"/>
    <w:tmpl w:val="EA6A860C"/>
    <w:lvl w:ilvl="0" w:tplc="1C3ED87A">
      <w:start w:val="1"/>
      <w:numFmt w:val="bullet"/>
      <w:lvlText w:val="o"/>
      <w:lvlJc w:val="left"/>
      <w:pPr>
        <w:ind w:left="720" w:hanging="360"/>
      </w:pPr>
      <w:rPr>
        <w:rFonts w:ascii="Courier New" w:hAnsi="Courier New" w:cs="Courier New" w:hint="default"/>
      </w:rPr>
    </w:lvl>
    <w:lvl w:ilvl="1" w:tplc="3F7837D2" w:tentative="1">
      <w:start w:val="1"/>
      <w:numFmt w:val="bullet"/>
      <w:lvlText w:val="o"/>
      <w:lvlJc w:val="left"/>
      <w:pPr>
        <w:ind w:left="1440" w:hanging="360"/>
      </w:pPr>
      <w:rPr>
        <w:rFonts w:ascii="Courier New" w:hAnsi="Courier New" w:cs="Courier New" w:hint="default"/>
      </w:rPr>
    </w:lvl>
    <w:lvl w:ilvl="2" w:tplc="EDD213FE" w:tentative="1">
      <w:start w:val="1"/>
      <w:numFmt w:val="bullet"/>
      <w:lvlText w:val=""/>
      <w:lvlJc w:val="left"/>
      <w:pPr>
        <w:ind w:left="2160" w:hanging="360"/>
      </w:pPr>
      <w:rPr>
        <w:rFonts w:ascii="Wingdings" w:hAnsi="Wingdings" w:hint="default"/>
      </w:rPr>
    </w:lvl>
    <w:lvl w:ilvl="3" w:tplc="55646632" w:tentative="1">
      <w:start w:val="1"/>
      <w:numFmt w:val="bullet"/>
      <w:lvlText w:val=""/>
      <w:lvlJc w:val="left"/>
      <w:pPr>
        <w:ind w:left="2880" w:hanging="360"/>
      </w:pPr>
      <w:rPr>
        <w:rFonts w:ascii="Symbol" w:hAnsi="Symbol" w:hint="default"/>
      </w:rPr>
    </w:lvl>
    <w:lvl w:ilvl="4" w:tplc="E50227D0" w:tentative="1">
      <w:start w:val="1"/>
      <w:numFmt w:val="bullet"/>
      <w:lvlText w:val="o"/>
      <w:lvlJc w:val="left"/>
      <w:pPr>
        <w:ind w:left="3600" w:hanging="360"/>
      </w:pPr>
      <w:rPr>
        <w:rFonts w:ascii="Courier New" w:hAnsi="Courier New" w:cs="Courier New" w:hint="default"/>
      </w:rPr>
    </w:lvl>
    <w:lvl w:ilvl="5" w:tplc="B336B436" w:tentative="1">
      <w:start w:val="1"/>
      <w:numFmt w:val="bullet"/>
      <w:lvlText w:val=""/>
      <w:lvlJc w:val="left"/>
      <w:pPr>
        <w:ind w:left="4320" w:hanging="360"/>
      </w:pPr>
      <w:rPr>
        <w:rFonts w:ascii="Wingdings" w:hAnsi="Wingdings" w:hint="default"/>
      </w:rPr>
    </w:lvl>
    <w:lvl w:ilvl="6" w:tplc="F70C2410" w:tentative="1">
      <w:start w:val="1"/>
      <w:numFmt w:val="bullet"/>
      <w:lvlText w:val=""/>
      <w:lvlJc w:val="left"/>
      <w:pPr>
        <w:ind w:left="5040" w:hanging="360"/>
      </w:pPr>
      <w:rPr>
        <w:rFonts w:ascii="Symbol" w:hAnsi="Symbol" w:hint="default"/>
      </w:rPr>
    </w:lvl>
    <w:lvl w:ilvl="7" w:tplc="022EDF9A" w:tentative="1">
      <w:start w:val="1"/>
      <w:numFmt w:val="bullet"/>
      <w:lvlText w:val="o"/>
      <w:lvlJc w:val="left"/>
      <w:pPr>
        <w:ind w:left="5760" w:hanging="360"/>
      </w:pPr>
      <w:rPr>
        <w:rFonts w:ascii="Courier New" w:hAnsi="Courier New" w:cs="Courier New" w:hint="default"/>
      </w:rPr>
    </w:lvl>
    <w:lvl w:ilvl="8" w:tplc="CAD001BC" w:tentative="1">
      <w:start w:val="1"/>
      <w:numFmt w:val="bullet"/>
      <w:lvlText w:val=""/>
      <w:lvlJc w:val="left"/>
      <w:pPr>
        <w:ind w:left="6480" w:hanging="360"/>
      </w:pPr>
      <w:rPr>
        <w:rFonts w:ascii="Wingdings" w:hAnsi="Wingdings" w:hint="default"/>
      </w:rPr>
    </w:lvl>
  </w:abstractNum>
  <w:abstractNum w:abstractNumId="8" w15:restartNumberingAfterBreak="0">
    <w:nsid w:val="775006E2"/>
    <w:multiLevelType w:val="hybridMultilevel"/>
    <w:tmpl w:val="81B0A066"/>
    <w:lvl w:ilvl="0" w:tplc="223A7900">
      <w:start w:val="1"/>
      <w:numFmt w:val="bullet"/>
      <w:lvlText w:val="o"/>
      <w:lvlJc w:val="left"/>
      <w:pPr>
        <w:ind w:left="720" w:hanging="360"/>
      </w:pPr>
      <w:rPr>
        <w:rFonts w:ascii="Courier New" w:hAnsi="Courier New" w:cs="Courier New" w:hint="default"/>
      </w:rPr>
    </w:lvl>
    <w:lvl w:ilvl="1" w:tplc="8556D378" w:tentative="1">
      <w:start w:val="1"/>
      <w:numFmt w:val="bullet"/>
      <w:lvlText w:val="o"/>
      <w:lvlJc w:val="left"/>
      <w:pPr>
        <w:ind w:left="1440" w:hanging="360"/>
      </w:pPr>
      <w:rPr>
        <w:rFonts w:ascii="Courier New" w:hAnsi="Courier New" w:cs="Courier New" w:hint="default"/>
      </w:rPr>
    </w:lvl>
    <w:lvl w:ilvl="2" w:tplc="42564C60" w:tentative="1">
      <w:start w:val="1"/>
      <w:numFmt w:val="bullet"/>
      <w:lvlText w:val=""/>
      <w:lvlJc w:val="left"/>
      <w:pPr>
        <w:ind w:left="2160" w:hanging="360"/>
      </w:pPr>
      <w:rPr>
        <w:rFonts w:ascii="Wingdings" w:hAnsi="Wingdings" w:hint="default"/>
      </w:rPr>
    </w:lvl>
    <w:lvl w:ilvl="3" w:tplc="5EE0460A" w:tentative="1">
      <w:start w:val="1"/>
      <w:numFmt w:val="bullet"/>
      <w:lvlText w:val=""/>
      <w:lvlJc w:val="left"/>
      <w:pPr>
        <w:ind w:left="2880" w:hanging="360"/>
      </w:pPr>
      <w:rPr>
        <w:rFonts w:ascii="Symbol" w:hAnsi="Symbol" w:hint="default"/>
      </w:rPr>
    </w:lvl>
    <w:lvl w:ilvl="4" w:tplc="6F1E5754" w:tentative="1">
      <w:start w:val="1"/>
      <w:numFmt w:val="bullet"/>
      <w:lvlText w:val="o"/>
      <w:lvlJc w:val="left"/>
      <w:pPr>
        <w:ind w:left="3600" w:hanging="360"/>
      </w:pPr>
      <w:rPr>
        <w:rFonts w:ascii="Courier New" w:hAnsi="Courier New" w:cs="Courier New" w:hint="default"/>
      </w:rPr>
    </w:lvl>
    <w:lvl w:ilvl="5" w:tplc="CD3878C4" w:tentative="1">
      <w:start w:val="1"/>
      <w:numFmt w:val="bullet"/>
      <w:lvlText w:val=""/>
      <w:lvlJc w:val="left"/>
      <w:pPr>
        <w:ind w:left="4320" w:hanging="360"/>
      </w:pPr>
      <w:rPr>
        <w:rFonts w:ascii="Wingdings" w:hAnsi="Wingdings" w:hint="default"/>
      </w:rPr>
    </w:lvl>
    <w:lvl w:ilvl="6" w:tplc="84B8F3A6" w:tentative="1">
      <w:start w:val="1"/>
      <w:numFmt w:val="bullet"/>
      <w:lvlText w:val=""/>
      <w:lvlJc w:val="left"/>
      <w:pPr>
        <w:ind w:left="5040" w:hanging="360"/>
      </w:pPr>
      <w:rPr>
        <w:rFonts w:ascii="Symbol" w:hAnsi="Symbol" w:hint="default"/>
      </w:rPr>
    </w:lvl>
    <w:lvl w:ilvl="7" w:tplc="C4A206FC" w:tentative="1">
      <w:start w:val="1"/>
      <w:numFmt w:val="bullet"/>
      <w:lvlText w:val="o"/>
      <w:lvlJc w:val="left"/>
      <w:pPr>
        <w:ind w:left="5760" w:hanging="360"/>
      </w:pPr>
      <w:rPr>
        <w:rFonts w:ascii="Courier New" w:hAnsi="Courier New" w:cs="Courier New" w:hint="default"/>
      </w:rPr>
    </w:lvl>
    <w:lvl w:ilvl="8" w:tplc="728CFC30" w:tentative="1">
      <w:start w:val="1"/>
      <w:numFmt w:val="bullet"/>
      <w:lvlText w:val=""/>
      <w:lvlJc w:val="left"/>
      <w:pPr>
        <w:ind w:left="6480" w:hanging="360"/>
      </w:pPr>
      <w:rPr>
        <w:rFonts w:ascii="Wingdings" w:hAnsi="Wingdings" w:hint="default"/>
      </w:rPr>
    </w:lvl>
  </w:abstractNum>
  <w:abstractNum w:abstractNumId="9" w15:restartNumberingAfterBreak="0">
    <w:nsid w:val="7EA42ED2"/>
    <w:multiLevelType w:val="hybridMultilevel"/>
    <w:tmpl w:val="43103AA6"/>
    <w:lvl w:ilvl="0" w:tplc="E3BC5646">
      <w:start w:val="1"/>
      <w:numFmt w:val="bullet"/>
      <w:lvlText w:val=""/>
      <w:lvlJc w:val="left"/>
      <w:pPr>
        <w:ind w:left="720" w:hanging="360"/>
      </w:pPr>
      <w:rPr>
        <w:rFonts w:ascii="Symbol" w:hAnsi="Symbol" w:hint="default"/>
      </w:rPr>
    </w:lvl>
    <w:lvl w:ilvl="1" w:tplc="133A0B3C" w:tentative="1">
      <w:start w:val="1"/>
      <w:numFmt w:val="bullet"/>
      <w:lvlText w:val="o"/>
      <w:lvlJc w:val="left"/>
      <w:pPr>
        <w:ind w:left="1440" w:hanging="360"/>
      </w:pPr>
      <w:rPr>
        <w:rFonts w:ascii="Courier New" w:hAnsi="Courier New" w:cs="Courier New" w:hint="default"/>
      </w:rPr>
    </w:lvl>
    <w:lvl w:ilvl="2" w:tplc="6E1240A0" w:tentative="1">
      <w:start w:val="1"/>
      <w:numFmt w:val="bullet"/>
      <w:lvlText w:val=""/>
      <w:lvlJc w:val="left"/>
      <w:pPr>
        <w:ind w:left="2160" w:hanging="360"/>
      </w:pPr>
      <w:rPr>
        <w:rFonts w:ascii="Wingdings" w:hAnsi="Wingdings" w:hint="default"/>
      </w:rPr>
    </w:lvl>
    <w:lvl w:ilvl="3" w:tplc="CDD28360" w:tentative="1">
      <w:start w:val="1"/>
      <w:numFmt w:val="bullet"/>
      <w:lvlText w:val=""/>
      <w:lvlJc w:val="left"/>
      <w:pPr>
        <w:ind w:left="2880" w:hanging="360"/>
      </w:pPr>
      <w:rPr>
        <w:rFonts w:ascii="Symbol" w:hAnsi="Symbol" w:hint="default"/>
      </w:rPr>
    </w:lvl>
    <w:lvl w:ilvl="4" w:tplc="990CF7C2" w:tentative="1">
      <w:start w:val="1"/>
      <w:numFmt w:val="bullet"/>
      <w:lvlText w:val="o"/>
      <w:lvlJc w:val="left"/>
      <w:pPr>
        <w:ind w:left="3600" w:hanging="360"/>
      </w:pPr>
      <w:rPr>
        <w:rFonts w:ascii="Courier New" w:hAnsi="Courier New" w:cs="Courier New" w:hint="default"/>
      </w:rPr>
    </w:lvl>
    <w:lvl w:ilvl="5" w:tplc="7960D85C" w:tentative="1">
      <w:start w:val="1"/>
      <w:numFmt w:val="bullet"/>
      <w:lvlText w:val=""/>
      <w:lvlJc w:val="left"/>
      <w:pPr>
        <w:ind w:left="4320" w:hanging="360"/>
      </w:pPr>
      <w:rPr>
        <w:rFonts w:ascii="Wingdings" w:hAnsi="Wingdings" w:hint="default"/>
      </w:rPr>
    </w:lvl>
    <w:lvl w:ilvl="6" w:tplc="CE648B66" w:tentative="1">
      <w:start w:val="1"/>
      <w:numFmt w:val="bullet"/>
      <w:lvlText w:val=""/>
      <w:lvlJc w:val="left"/>
      <w:pPr>
        <w:ind w:left="5040" w:hanging="360"/>
      </w:pPr>
      <w:rPr>
        <w:rFonts w:ascii="Symbol" w:hAnsi="Symbol" w:hint="default"/>
      </w:rPr>
    </w:lvl>
    <w:lvl w:ilvl="7" w:tplc="5A3062F4" w:tentative="1">
      <w:start w:val="1"/>
      <w:numFmt w:val="bullet"/>
      <w:lvlText w:val="o"/>
      <w:lvlJc w:val="left"/>
      <w:pPr>
        <w:ind w:left="5760" w:hanging="360"/>
      </w:pPr>
      <w:rPr>
        <w:rFonts w:ascii="Courier New" w:hAnsi="Courier New" w:cs="Courier New" w:hint="default"/>
      </w:rPr>
    </w:lvl>
    <w:lvl w:ilvl="8" w:tplc="C930AC9E"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3"/>
  </w:num>
  <w:num w:numId="5">
    <w:abstractNumId w:val="6"/>
  </w:num>
  <w:num w:numId="6">
    <w:abstractNumId w:val="1"/>
  </w:num>
  <w:num w:numId="7">
    <w:abstractNumId w:val="9"/>
  </w:num>
  <w:num w:numId="8">
    <w:abstractNumId w:val="0"/>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0B5"/>
    <w:rsid w:val="00013507"/>
    <w:rsid w:val="000A50B1"/>
    <w:rsid w:val="001579F6"/>
    <w:rsid w:val="001B00B9"/>
    <w:rsid w:val="001B255F"/>
    <w:rsid w:val="001F32FD"/>
    <w:rsid w:val="002665F1"/>
    <w:rsid w:val="002B74F5"/>
    <w:rsid w:val="003A74DF"/>
    <w:rsid w:val="00401BF1"/>
    <w:rsid w:val="004040B5"/>
    <w:rsid w:val="00524363"/>
    <w:rsid w:val="005B6710"/>
    <w:rsid w:val="005F08DF"/>
    <w:rsid w:val="00603DB9"/>
    <w:rsid w:val="00627604"/>
    <w:rsid w:val="006D08DB"/>
    <w:rsid w:val="00723B30"/>
    <w:rsid w:val="00737535"/>
    <w:rsid w:val="007B69DA"/>
    <w:rsid w:val="00824E16"/>
    <w:rsid w:val="00841EF7"/>
    <w:rsid w:val="00856532"/>
    <w:rsid w:val="00876E7E"/>
    <w:rsid w:val="008B4A9D"/>
    <w:rsid w:val="0094030B"/>
    <w:rsid w:val="009747AF"/>
    <w:rsid w:val="009B0E1E"/>
    <w:rsid w:val="00A300E1"/>
    <w:rsid w:val="00A60014"/>
    <w:rsid w:val="00AD184E"/>
    <w:rsid w:val="00AD2019"/>
    <w:rsid w:val="00AD327E"/>
    <w:rsid w:val="00AD441C"/>
    <w:rsid w:val="00B117E9"/>
    <w:rsid w:val="00B2382D"/>
    <w:rsid w:val="00B745B2"/>
    <w:rsid w:val="00BE159E"/>
    <w:rsid w:val="00C93289"/>
    <w:rsid w:val="00C9573A"/>
    <w:rsid w:val="00CD2FA9"/>
    <w:rsid w:val="00D2072B"/>
    <w:rsid w:val="00D9662E"/>
    <w:rsid w:val="00E01DD5"/>
    <w:rsid w:val="00E03C5E"/>
    <w:rsid w:val="00E277EE"/>
    <w:rsid w:val="00E55DFF"/>
    <w:rsid w:val="00EA1504"/>
    <w:rsid w:val="00EA25EF"/>
    <w:rsid w:val="00EE431E"/>
    <w:rsid w:val="00F4111F"/>
    <w:rsid w:val="00FB3DCB"/>
    <w:rsid w:val="00FB6BE5"/>
    <w:rsid w:val="00FE066F"/>
    <w:rsid w:val="00FF3F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08E7E9-67CC-4E10-BD53-0C114E4F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body text"/>
    <w:qFormat/>
    <w:rsid w:val="004040B5"/>
    <w:pPr>
      <w:spacing w:before="120" w:after="120" w:line="276" w:lineRule="auto"/>
    </w:pPr>
    <w:rPr>
      <w:rFonts w:ascii="Calibri" w:eastAsia="Calibri" w:hAnsi="Calibri" w:cs="Times New Roman"/>
    </w:rPr>
  </w:style>
  <w:style w:type="paragraph" w:styleId="Heading1">
    <w:name w:val="heading 1"/>
    <w:basedOn w:val="Normal"/>
    <w:next w:val="Normal"/>
    <w:link w:val="Heading1Char"/>
    <w:uiPriority w:val="9"/>
    <w:qFormat/>
    <w:rsid w:val="004040B5"/>
    <w:pPr>
      <w:keepNext/>
      <w:keepLines/>
      <w:spacing w:before="240" w:after="0"/>
      <w:outlineLvl w:val="0"/>
    </w:pPr>
    <w:rPr>
      <w:rFonts w:eastAsia="Times New Roman"/>
      <w:b/>
      <w:bCs/>
      <w:color w:val="365F91"/>
      <w:sz w:val="36"/>
      <w:szCs w:val="28"/>
    </w:rPr>
  </w:style>
  <w:style w:type="paragraph" w:styleId="Heading2">
    <w:name w:val="heading 2"/>
    <w:basedOn w:val="Normal"/>
    <w:next w:val="Normal"/>
    <w:link w:val="Heading2Char"/>
    <w:uiPriority w:val="9"/>
    <w:unhideWhenUsed/>
    <w:qFormat/>
    <w:rsid w:val="004040B5"/>
    <w:pPr>
      <w:keepNext/>
      <w:keepLines/>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qFormat/>
    <w:rsid w:val="00F411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0B5"/>
    <w:rPr>
      <w:rFonts w:ascii="Calibri" w:eastAsia="Times New Roman" w:hAnsi="Calibri" w:cs="Times New Roman"/>
      <w:b/>
      <w:bCs/>
      <w:color w:val="365F91"/>
      <w:sz w:val="36"/>
      <w:szCs w:val="28"/>
    </w:rPr>
  </w:style>
  <w:style w:type="character" w:customStyle="1" w:styleId="Heading2Char">
    <w:name w:val="Heading 2 Char"/>
    <w:basedOn w:val="DefaultParagraphFont"/>
    <w:link w:val="Heading2"/>
    <w:uiPriority w:val="9"/>
    <w:rsid w:val="004040B5"/>
    <w:rPr>
      <w:rFonts w:ascii="Calibri" w:eastAsia="Times New Roman" w:hAnsi="Calibri" w:cs="Times New Roman"/>
      <w:b/>
      <w:bCs/>
      <w:color w:val="4F81BD"/>
      <w:sz w:val="26"/>
      <w:szCs w:val="26"/>
    </w:rPr>
  </w:style>
  <w:style w:type="character" w:styleId="Hyperlink">
    <w:name w:val="Hyperlink"/>
    <w:basedOn w:val="DefaultParagraphFont"/>
    <w:uiPriority w:val="99"/>
    <w:rsid w:val="004040B5"/>
    <w:rPr>
      <w:color w:val="0000FF"/>
      <w:u w:val="single"/>
    </w:rPr>
  </w:style>
  <w:style w:type="character" w:styleId="Emphasis">
    <w:name w:val="Emphasis"/>
    <w:basedOn w:val="DefaultParagraphFont"/>
    <w:uiPriority w:val="20"/>
    <w:qFormat/>
    <w:rsid w:val="004040B5"/>
    <w:rPr>
      <w:i/>
      <w:iCs/>
    </w:rPr>
  </w:style>
  <w:style w:type="character" w:styleId="Strong">
    <w:name w:val="Strong"/>
    <w:basedOn w:val="DefaultParagraphFont"/>
    <w:uiPriority w:val="22"/>
    <w:qFormat/>
    <w:rsid w:val="004040B5"/>
    <w:rPr>
      <w:rFonts w:ascii="Calibri" w:hAnsi="Calibri"/>
      <w:b/>
      <w:bCs/>
      <w:sz w:val="22"/>
    </w:rPr>
  </w:style>
  <w:style w:type="paragraph" w:customStyle="1" w:styleId="Heading3bold">
    <w:name w:val="Heading 3 bold"/>
    <w:basedOn w:val="Normal"/>
    <w:qFormat/>
    <w:rsid w:val="004040B5"/>
    <w:pPr>
      <w:numPr>
        <w:numId w:val="1"/>
      </w:numPr>
      <w:tabs>
        <w:tab w:val="left" w:pos="284"/>
      </w:tabs>
      <w:ind w:left="284"/>
    </w:pPr>
    <w:rPr>
      <w:b/>
    </w:rPr>
  </w:style>
  <w:style w:type="paragraph" w:styleId="Subtitle">
    <w:name w:val="Subtitle"/>
    <w:basedOn w:val="Normal"/>
    <w:next w:val="Normal"/>
    <w:link w:val="SubtitleChar"/>
    <w:uiPriority w:val="11"/>
    <w:qFormat/>
    <w:rsid w:val="004040B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040B5"/>
    <w:rPr>
      <w:rFonts w:eastAsiaTheme="minorEastAsia"/>
      <w:color w:val="5A5A5A" w:themeColor="text1" w:themeTint="A5"/>
      <w:spacing w:val="15"/>
    </w:rPr>
  </w:style>
  <w:style w:type="paragraph" w:styleId="Header">
    <w:name w:val="header"/>
    <w:basedOn w:val="Normal"/>
    <w:link w:val="HeaderChar"/>
    <w:uiPriority w:val="99"/>
    <w:unhideWhenUsed/>
    <w:rsid w:val="004040B5"/>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040B5"/>
    <w:rPr>
      <w:rFonts w:ascii="Calibri" w:eastAsia="Calibri" w:hAnsi="Calibri" w:cs="Times New Roman"/>
    </w:rPr>
  </w:style>
  <w:style w:type="paragraph" w:styleId="Footer">
    <w:name w:val="footer"/>
    <w:basedOn w:val="Normal"/>
    <w:link w:val="FooterChar"/>
    <w:uiPriority w:val="99"/>
    <w:unhideWhenUsed/>
    <w:rsid w:val="004040B5"/>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040B5"/>
    <w:rPr>
      <w:rFonts w:ascii="Calibri" w:eastAsia="Calibri" w:hAnsi="Calibri" w:cs="Times New Roman"/>
    </w:rPr>
  </w:style>
  <w:style w:type="character" w:customStyle="1" w:styleId="UnresolvedMention1">
    <w:name w:val="Unresolved Mention1"/>
    <w:basedOn w:val="DefaultParagraphFont"/>
    <w:uiPriority w:val="99"/>
    <w:semiHidden/>
    <w:unhideWhenUsed/>
    <w:rsid w:val="004040B5"/>
    <w:rPr>
      <w:color w:val="605E5C"/>
      <w:shd w:val="clear" w:color="auto" w:fill="E1DFDD"/>
    </w:rPr>
  </w:style>
  <w:style w:type="table" w:styleId="TableGrid">
    <w:name w:val="Table Grid"/>
    <w:basedOn w:val="TableNormal"/>
    <w:uiPriority w:val="39"/>
    <w:rsid w:val="00B2382D"/>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745B2"/>
    <w:pPr>
      <w:spacing w:before="0" w:after="0" w:line="240" w:lineRule="auto"/>
      <w:ind w:left="720"/>
      <w:contextualSpacing/>
    </w:pPr>
    <w:rPr>
      <w:rFonts w:asciiTheme="minorHAnsi" w:eastAsiaTheme="minorHAnsi" w:hAnsiTheme="minorHAnsi" w:cstheme="minorBidi"/>
      <w:sz w:val="24"/>
      <w:szCs w:val="24"/>
    </w:rPr>
  </w:style>
  <w:style w:type="character" w:customStyle="1" w:styleId="Heading3Char">
    <w:name w:val="Heading 3 Char"/>
    <w:basedOn w:val="DefaultParagraphFont"/>
    <w:link w:val="Heading3"/>
    <w:uiPriority w:val="9"/>
    <w:rsid w:val="00F4111F"/>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01DD5"/>
    <w:rPr>
      <w:sz w:val="16"/>
      <w:szCs w:val="16"/>
    </w:rPr>
  </w:style>
  <w:style w:type="paragraph" w:styleId="CommentText">
    <w:name w:val="annotation text"/>
    <w:basedOn w:val="Normal"/>
    <w:link w:val="CommentTextChar"/>
    <w:uiPriority w:val="99"/>
    <w:semiHidden/>
    <w:unhideWhenUsed/>
    <w:rsid w:val="00E01DD5"/>
    <w:pPr>
      <w:spacing w:line="240" w:lineRule="auto"/>
    </w:pPr>
    <w:rPr>
      <w:sz w:val="20"/>
      <w:szCs w:val="20"/>
    </w:rPr>
  </w:style>
  <w:style w:type="character" w:customStyle="1" w:styleId="CommentTextChar">
    <w:name w:val="Comment Text Char"/>
    <w:basedOn w:val="DefaultParagraphFont"/>
    <w:link w:val="CommentText"/>
    <w:uiPriority w:val="99"/>
    <w:semiHidden/>
    <w:rsid w:val="00E01DD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1DD5"/>
    <w:rPr>
      <w:b/>
      <w:bCs/>
    </w:rPr>
  </w:style>
  <w:style w:type="character" w:customStyle="1" w:styleId="CommentSubjectChar">
    <w:name w:val="Comment Subject Char"/>
    <w:basedOn w:val="CommentTextChar"/>
    <w:link w:val="CommentSubject"/>
    <w:uiPriority w:val="99"/>
    <w:semiHidden/>
    <w:rsid w:val="00E01DD5"/>
    <w:rPr>
      <w:rFonts w:ascii="Calibri" w:eastAsia="Calibri" w:hAnsi="Calibri" w:cs="Times New Roman"/>
      <w:b/>
      <w:bCs/>
      <w:sz w:val="20"/>
      <w:szCs w:val="20"/>
    </w:rPr>
  </w:style>
  <w:style w:type="paragraph" w:styleId="NormalWeb">
    <w:name w:val="Normal (Web)"/>
    <w:basedOn w:val="Normal"/>
    <w:uiPriority w:val="99"/>
    <w:semiHidden/>
    <w:unhideWhenUsed/>
    <w:rsid w:val="00A60014"/>
    <w:pPr>
      <w:spacing w:before="100" w:beforeAutospacing="1" w:after="100" w:afterAutospacing="1" w:line="240" w:lineRule="auto"/>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terquality.gov.au/anz-guidelines/guideline-values/default/water-quality-toxicants/local-condition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aterquality.gov.au/anz-guidelines/guideline-values/default/water-quality-toxican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6FA5A-F6DA-48B1-90F4-91451B393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3928</Words>
  <Characters>22396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Response to public submissions on draft default guideline values for zinc in marine water </vt:lpstr>
    </vt:vector>
  </TitlesOfParts>
  <Company/>
  <LinksUpToDate>false</LinksUpToDate>
  <CharactersWithSpaces>26272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to public submissions on draft default guideline values for zinc in marine water </dc:title>
  <dc:creator>Australian &amp; New Zealand Guidelines for Fresh &amp; Marine Water Quality</dc:creator>
  <cp:lastModifiedBy>Dang, Van</cp:lastModifiedBy>
  <cp:revision>2</cp:revision>
  <dcterms:created xsi:type="dcterms:W3CDTF">2021-09-23T03:25:00Z</dcterms:created>
  <dcterms:modified xsi:type="dcterms:W3CDTF">2021-09-23T03:28:00Z</dcterms:modified>
</cp:coreProperties>
</file>