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693A" w14:textId="77777777" w:rsidR="001C0D1C" w:rsidRDefault="00C30114">
      <w:pPr>
        <w:pStyle w:val="Heading1"/>
      </w:pPr>
      <w:r>
        <w:t>Toxicant default guideline values for aquatic ecosystem protection</w:t>
      </w:r>
    </w:p>
    <w:p w14:paraId="5389AFC2" w14:textId="77777777" w:rsidR="001C0D1C" w:rsidRDefault="00C30114">
      <w:pPr>
        <w:pStyle w:val="Subtitle"/>
      </w:pPr>
      <w:r w:rsidRPr="007D5876">
        <w:t xml:space="preserve">Metsulfuron-methyl </w:t>
      </w:r>
      <w:r w:rsidR="00116479">
        <w:t>in</w:t>
      </w:r>
      <w:r w:rsidRPr="007D5876">
        <w:t xml:space="preserve"> freshwater</w:t>
      </w:r>
    </w:p>
    <w:p w14:paraId="64288F93" w14:textId="77777777" w:rsidR="001C0D1C" w:rsidRDefault="00C30114">
      <w:pPr>
        <w:pStyle w:val="Documenttype"/>
      </w:pPr>
      <w:r>
        <w:t>Technical brief</w:t>
      </w:r>
    </w:p>
    <w:p w14:paraId="0318DC0A" w14:textId="77777777" w:rsidR="001C0D1C" w:rsidRDefault="00C30114">
      <w:pPr>
        <w:pStyle w:val="Publicationdate"/>
        <w:rPr>
          <w:highlight w:val="yellow"/>
        </w:rPr>
      </w:pPr>
      <w:r>
        <w:t>Ju</w:t>
      </w:r>
      <w:r w:rsidR="00107F9C">
        <w:t>ly</w:t>
      </w:r>
      <w:r>
        <w:t xml:space="preserve"> </w:t>
      </w:r>
      <w:r w:rsidR="00685BE5">
        <w:t>2021</w:t>
      </w:r>
    </w:p>
    <w:p w14:paraId="6BBE12BE" w14:textId="77777777" w:rsidR="001C0D1C" w:rsidRDefault="00C30114">
      <w:pPr>
        <w:spacing w:after="0" w:line="240" w:lineRule="auto"/>
        <w:rPr>
          <w:noProof/>
          <w:lang w:eastAsia="en-AU"/>
        </w:rPr>
      </w:pPr>
      <w:r>
        <w:br w:type="page"/>
      </w:r>
    </w:p>
    <w:p w14:paraId="75E1FC2F" w14:textId="77777777" w:rsidR="001C0D1C" w:rsidRDefault="00C30114">
      <w:pPr>
        <w:rPr>
          <w:sz w:val="18"/>
          <w:szCs w:val="18"/>
        </w:rPr>
      </w:pPr>
      <w:r>
        <w:rPr>
          <w:sz w:val="18"/>
          <w:szCs w:val="18"/>
        </w:rPr>
        <w:lastRenderedPageBreak/>
        <w:t xml:space="preserve">© Commonwealth of Australia </w:t>
      </w:r>
      <w:r w:rsidR="003176C6">
        <w:rPr>
          <w:sz w:val="18"/>
          <w:szCs w:val="18"/>
        </w:rPr>
        <w:t>202</w:t>
      </w:r>
      <w:r w:rsidR="008D5BE1">
        <w:rPr>
          <w:sz w:val="18"/>
          <w:szCs w:val="18"/>
        </w:rPr>
        <w:t>1</w:t>
      </w:r>
    </w:p>
    <w:p w14:paraId="79947CE6" w14:textId="77777777" w:rsidR="001C0D1C" w:rsidRDefault="00C30114">
      <w:pPr>
        <w:spacing w:after="0"/>
        <w:rPr>
          <w:rFonts w:ascii="Calibri" w:hAnsi="Calibri"/>
          <w:b/>
          <w:sz w:val="18"/>
          <w:szCs w:val="18"/>
        </w:rPr>
      </w:pPr>
      <w:r>
        <w:rPr>
          <w:rFonts w:ascii="Calibri" w:hAnsi="Calibri"/>
          <w:b/>
          <w:sz w:val="18"/>
          <w:szCs w:val="18"/>
        </w:rPr>
        <w:t>Ownership of intellectual property rights</w:t>
      </w:r>
    </w:p>
    <w:p w14:paraId="50887E10" w14:textId="77777777" w:rsidR="004D52CE" w:rsidRDefault="00C30114" w:rsidP="004D52CE">
      <w:pPr>
        <w:rPr>
          <w:sz w:val="18"/>
          <w:szCs w:val="18"/>
        </w:rPr>
      </w:pPr>
      <w:r>
        <w:rPr>
          <w:sz w:val="18"/>
          <w:szCs w:val="18"/>
        </w:rPr>
        <w:t xml:space="preserve">Unless otherwise noted, copyright (and any </w:t>
      </w:r>
      <w:r>
        <w:rPr>
          <w:sz w:val="18"/>
          <w:szCs w:val="18"/>
        </w:rPr>
        <w:t>other intellectual property rights, if any) in this publication is owned by the Commonwealth of Australia (referred to as the Commonwealth).</w:t>
      </w:r>
    </w:p>
    <w:p w14:paraId="1F59050E" w14:textId="77777777" w:rsidR="00B151F6" w:rsidRDefault="00C30114" w:rsidP="00B151F6">
      <w:pPr>
        <w:spacing w:after="0"/>
        <w:rPr>
          <w:rFonts w:ascii="Calibri" w:hAnsi="Calibri"/>
          <w:b/>
          <w:sz w:val="18"/>
          <w:szCs w:val="18"/>
        </w:rPr>
      </w:pPr>
      <w:r>
        <w:rPr>
          <w:rFonts w:ascii="Calibri" w:hAnsi="Calibri"/>
          <w:b/>
          <w:sz w:val="18"/>
          <w:szCs w:val="18"/>
        </w:rPr>
        <w:t>Creative Commons licence</w:t>
      </w:r>
    </w:p>
    <w:p w14:paraId="3523AA60" w14:textId="77777777" w:rsidR="00B151F6" w:rsidRDefault="00C30114" w:rsidP="00B151F6">
      <w:pPr>
        <w:rPr>
          <w:sz w:val="18"/>
          <w:szCs w:val="18"/>
        </w:rPr>
      </w:pPr>
      <w:r>
        <w:rPr>
          <w:sz w:val="18"/>
          <w:szCs w:val="18"/>
        </w:rPr>
        <w:t>All material in this publication is licensed under a Creative Commons Attribution 4.0 Aust</w:t>
      </w:r>
      <w:r>
        <w:rPr>
          <w:sz w:val="18"/>
          <w:szCs w:val="18"/>
        </w:rPr>
        <w:t xml:space="preserve">ralia Licence, save for content supplied by third parties, photographic images, </w:t>
      </w:r>
      <w:proofErr w:type="gramStart"/>
      <w:r>
        <w:rPr>
          <w:sz w:val="18"/>
          <w:szCs w:val="18"/>
        </w:rPr>
        <w:t>logos</w:t>
      </w:r>
      <w:proofErr w:type="gramEnd"/>
      <w:r>
        <w:rPr>
          <w:sz w:val="18"/>
          <w:szCs w:val="18"/>
        </w:rPr>
        <w:t xml:space="preserve"> and the Commonwealth Coat of Arms.</w:t>
      </w:r>
    </w:p>
    <w:p w14:paraId="344BF8DF" w14:textId="77777777" w:rsidR="00B151F6" w:rsidRDefault="00C30114" w:rsidP="00B151F6">
      <w:pPr>
        <w:rPr>
          <w:sz w:val="18"/>
          <w:szCs w:val="18"/>
        </w:rPr>
      </w:pPr>
      <w:r>
        <w:rPr>
          <w:noProof/>
          <w:sz w:val="18"/>
          <w:szCs w:val="18"/>
          <w:lang w:eastAsia="en-AU"/>
        </w:rPr>
        <w:drawing>
          <wp:anchor distT="0" distB="0" distL="114300" distR="114300" simplePos="0" relativeHeight="251658240" behindDoc="0" locked="0" layoutInCell="1" allowOverlap="1" wp14:anchorId="4C6309CB" wp14:editId="0E7B9C59">
            <wp:simplePos x="0" y="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25641" name="Picture 1" descr="by"/>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r>
      <w:r>
        <w:rPr>
          <w:sz w:val="18"/>
          <w:szCs w:val="18"/>
        </w:rPr>
        <w:t>Creative Commons Attribution 4.0 Australia Licence is a standard form licence agreement that allows you to copy, distribute, transmit</w:t>
      </w:r>
      <w:r>
        <w:rPr>
          <w:sz w:val="18"/>
          <w:szCs w:val="18"/>
        </w:rPr>
        <w:t xml:space="preserve"> and adapt this publication provided you attribute the work. See the </w:t>
      </w:r>
      <w:r>
        <w:rPr>
          <w:sz w:val="18"/>
          <w:szCs w:val="18"/>
        </w:rPr>
        <w:t>summary of the licence terms</w:t>
      </w:r>
      <w:r>
        <w:rPr>
          <w:sz w:val="18"/>
          <w:szCs w:val="18"/>
        </w:rPr>
        <w:t xml:space="preserve"> or the </w:t>
      </w:r>
      <w:r>
        <w:rPr>
          <w:sz w:val="18"/>
          <w:szCs w:val="18"/>
        </w:rPr>
        <w:t>full licence terms</w:t>
      </w:r>
      <w:r>
        <w:rPr>
          <w:sz w:val="18"/>
          <w:szCs w:val="18"/>
        </w:rPr>
        <w:t>.</w:t>
      </w:r>
    </w:p>
    <w:p w14:paraId="61974E3D" w14:textId="77777777" w:rsidR="00B151F6" w:rsidRDefault="00C30114" w:rsidP="00B151F6">
      <w:pPr>
        <w:rPr>
          <w:sz w:val="18"/>
          <w:szCs w:val="18"/>
        </w:rPr>
      </w:pPr>
      <w:r>
        <w:rPr>
          <w:sz w:val="18"/>
          <w:szCs w:val="18"/>
        </w:rPr>
        <w:t xml:space="preserve">Inquiries about the licence and any use of this document should be emailed to </w:t>
      </w:r>
      <w:r>
        <w:rPr>
          <w:sz w:val="18"/>
          <w:szCs w:val="18"/>
        </w:rPr>
        <w:t>copyright@agriculture.gov.au</w:t>
      </w:r>
      <w:r>
        <w:rPr>
          <w:sz w:val="18"/>
          <w:szCs w:val="18"/>
        </w:rPr>
        <w:t>.</w:t>
      </w:r>
    </w:p>
    <w:p w14:paraId="04A16217" w14:textId="77777777" w:rsidR="001C0D1C" w:rsidRDefault="00C30114">
      <w:pPr>
        <w:spacing w:after="0"/>
        <w:rPr>
          <w:rFonts w:ascii="Calibri" w:hAnsi="Calibri"/>
          <w:b/>
          <w:sz w:val="18"/>
          <w:szCs w:val="18"/>
        </w:rPr>
      </w:pPr>
      <w:r>
        <w:rPr>
          <w:rFonts w:ascii="Calibri" w:hAnsi="Calibri"/>
          <w:b/>
          <w:sz w:val="18"/>
          <w:szCs w:val="18"/>
        </w:rPr>
        <w:t>Cataloguing data</w:t>
      </w:r>
    </w:p>
    <w:p w14:paraId="3E3CBD5C" w14:textId="77777777" w:rsidR="00B151F6" w:rsidRDefault="00C30114" w:rsidP="00B151F6">
      <w:pPr>
        <w:rPr>
          <w:sz w:val="18"/>
          <w:szCs w:val="18"/>
        </w:rPr>
      </w:pPr>
      <w:r>
        <w:rPr>
          <w:sz w:val="18"/>
          <w:szCs w:val="18"/>
        </w:rPr>
        <w:t>This p</w:t>
      </w:r>
      <w:r>
        <w:rPr>
          <w:sz w:val="18"/>
          <w:szCs w:val="18"/>
        </w:rPr>
        <w:t xml:space="preserve">ublication (and any material sourced from it) should be attributed as: </w:t>
      </w:r>
      <w:r w:rsidR="00397897">
        <w:rPr>
          <w:sz w:val="18"/>
          <w:szCs w:val="18"/>
        </w:rPr>
        <w:t>ANZG</w:t>
      </w:r>
      <w:r>
        <w:rPr>
          <w:sz w:val="18"/>
          <w:szCs w:val="18"/>
        </w:rPr>
        <w:t xml:space="preserve"> </w:t>
      </w:r>
      <w:r w:rsidR="003176C6">
        <w:rPr>
          <w:sz w:val="18"/>
          <w:szCs w:val="18"/>
        </w:rPr>
        <w:t>202</w:t>
      </w:r>
      <w:r w:rsidR="008D5BE1">
        <w:rPr>
          <w:sz w:val="18"/>
          <w:szCs w:val="18"/>
        </w:rPr>
        <w:t>1</w:t>
      </w:r>
      <w:r>
        <w:rPr>
          <w:sz w:val="18"/>
          <w:szCs w:val="18"/>
        </w:rPr>
        <w:t>,</w:t>
      </w:r>
      <w:r w:rsidR="00DF1801">
        <w:rPr>
          <w:sz w:val="18"/>
          <w:szCs w:val="18"/>
        </w:rPr>
        <w:t xml:space="preserve"> </w:t>
      </w:r>
      <w:r>
        <w:rPr>
          <w:i/>
          <w:sz w:val="18"/>
          <w:szCs w:val="18"/>
        </w:rPr>
        <w:t xml:space="preserve">Toxicant default guideline values for aquatic ecosystem protection: </w:t>
      </w:r>
      <w:r w:rsidR="00035144" w:rsidRPr="00035144">
        <w:rPr>
          <w:i/>
          <w:sz w:val="18"/>
          <w:szCs w:val="18"/>
        </w:rPr>
        <w:t>Metsulfuron-methyl in freshwater</w:t>
      </w:r>
      <w:r>
        <w:rPr>
          <w:i/>
          <w:sz w:val="18"/>
          <w:szCs w:val="18"/>
        </w:rPr>
        <w:t>.</w:t>
      </w:r>
      <w:r w:rsidR="00397897" w:rsidRPr="00397897">
        <w:rPr>
          <w:sz w:val="18"/>
          <w:szCs w:val="18"/>
        </w:rPr>
        <w:t xml:space="preserve"> </w:t>
      </w:r>
      <w:r w:rsidR="00397897">
        <w:rPr>
          <w:sz w:val="18"/>
          <w:szCs w:val="18"/>
        </w:rPr>
        <w:t>Australian and New Zealand Guidelines for Fresh and Marine Water Quality.</w:t>
      </w:r>
      <w:r>
        <w:rPr>
          <w:i/>
          <w:sz w:val="18"/>
          <w:szCs w:val="18"/>
        </w:rPr>
        <w:t xml:space="preserve"> </w:t>
      </w:r>
      <w:r w:rsidRPr="00D47CA4">
        <w:rPr>
          <w:sz w:val="18"/>
          <w:szCs w:val="18"/>
        </w:rPr>
        <w:t>CC BY 4.0. Australian and New Zealand Governments and Australian state and territory governments, Canberra, ACT, Australia</w:t>
      </w:r>
      <w:r>
        <w:rPr>
          <w:sz w:val="18"/>
          <w:szCs w:val="18"/>
        </w:rPr>
        <w:t>.</w:t>
      </w:r>
    </w:p>
    <w:p w14:paraId="3B394452" w14:textId="77777777" w:rsidR="00B151F6" w:rsidRDefault="00C30114" w:rsidP="00B151F6">
      <w:pPr>
        <w:rPr>
          <w:sz w:val="18"/>
          <w:szCs w:val="18"/>
        </w:rPr>
      </w:pPr>
      <w:r>
        <w:rPr>
          <w:sz w:val="18"/>
          <w:szCs w:val="18"/>
        </w:rPr>
        <w:t xml:space="preserve">This publication is available at </w:t>
      </w:r>
      <w:r w:rsidRPr="00017770">
        <w:rPr>
          <w:sz w:val="18"/>
          <w:szCs w:val="18"/>
        </w:rPr>
        <w:t>waterquality.gov.au/anz-guidelines/guideline-values/default/water-quality-toxicants/toxica</w:t>
      </w:r>
      <w:r w:rsidRPr="00017770">
        <w:rPr>
          <w:sz w:val="18"/>
          <w:szCs w:val="18"/>
        </w:rPr>
        <w:t>nts</w:t>
      </w:r>
      <w:r>
        <w:rPr>
          <w:sz w:val="18"/>
          <w:szCs w:val="18"/>
        </w:rPr>
        <w:t>.</w:t>
      </w:r>
    </w:p>
    <w:p w14:paraId="1EFEC5B9" w14:textId="77777777" w:rsidR="00824850" w:rsidRDefault="00C30114" w:rsidP="00824850">
      <w:pPr>
        <w:spacing w:after="0"/>
        <w:rPr>
          <w:b/>
          <w:sz w:val="18"/>
          <w:szCs w:val="18"/>
        </w:rPr>
      </w:pPr>
      <w:r w:rsidRPr="00824850">
        <w:rPr>
          <w:b/>
          <w:sz w:val="18"/>
          <w:szCs w:val="18"/>
        </w:rPr>
        <w:t>Contact</w:t>
      </w:r>
    </w:p>
    <w:p w14:paraId="2EF40C12" w14:textId="77777777" w:rsidR="00824850" w:rsidRDefault="00C30114" w:rsidP="00824850">
      <w:pPr>
        <w:spacing w:after="0"/>
        <w:rPr>
          <w:b/>
          <w:sz w:val="18"/>
          <w:szCs w:val="18"/>
        </w:rPr>
      </w:pPr>
      <w:r>
        <w:rPr>
          <w:sz w:val="18"/>
          <w:szCs w:val="18"/>
        </w:rPr>
        <w:t>Australian Gover</w:t>
      </w:r>
      <w:r w:rsidR="001102A8">
        <w:rPr>
          <w:sz w:val="18"/>
          <w:szCs w:val="18"/>
        </w:rPr>
        <w:t>nment D</w:t>
      </w:r>
      <w:r w:rsidR="00B43F23">
        <w:rPr>
          <w:sz w:val="18"/>
          <w:szCs w:val="18"/>
        </w:rPr>
        <w:t xml:space="preserve">epartment of Agriculture, </w:t>
      </w:r>
      <w:proofErr w:type="gramStart"/>
      <w:r w:rsidR="00B43F23">
        <w:rPr>
          <w:sz w:val="18"/>
          <w:szCs w:val="18"/>
        </w:rPr>
        <w:t>Water</w:t>
      </w:r>
      <w:proofErr w:type="gramEnd"/>
      <w:r w:rsidR="001102A8">
        <w:rPr>
          <w:sz w:val="18"/>
          <w:szCs w:val="18"/>
        </w:rPr>
        <w:t xml:space="preserve"> and the Environment</w:t>
      </w:r>
    </w:p>
    <w:p w14:paraId="637FDB6A" w14:textId="77777777" w:rsidR="001C0D1C" w:rsidRPr="00824850" w:rsidRDefault="00C30114" w:rsidP="00824850">
      <w:pPr>
        <w:spacing w:after="0"/>
        <w:rPr>
          <w:b/>
          <w:sz w:val="18"/>
          <w:szCs w:val="18"/>
        </w:rPr>
      </w:pPr>
      <w:r>
        <w:rPr>
          <w:sz w:val="18"/>
          <w:szCs w:val="18"/>
        </w:rPr>
        <w:t>GPO Box 858 Canberra ACT 2601</w:t>
      </w:r>
    </w:p>
    <w:p w14:paraId="3B115949" w14:textId="77777777" w:rsidR="001C0D1C" w:rsidRDefault="00C30114" w:rsidP="00824850">
      <w:pPr>
        <w:spacing w:after="0"/>
        <w:rPr>
          <w:sz w:val="18"/>
          <w:szCs w:val="18"/>
        </w:rPr>
      </w:pPr>
      <w:r>
        <w:rPr>
          <w:sz w:val="18"/>
          <w:szCs w:val="18"/>
        </w:rPr>
        <w:t>Switchboard +61 2 6272 3933 or 1800 900 090</w:t>
      </w:r>
    </w:p>
    <w:p w14:paraId="239B0EF4" w14:textId="77777777" w:rsidR="001C0D1C" w:rsidRDefault="00C30114" w:rsidP="00824850">
      <w:pPr>
        <w:spacing w:after="120"/>
        <w:rPr>
          <w:sz w:val="18"/>
          <w:szCs w:val="18"/>
        </w:rPr>
      </w:pPr>
      <w:r>
        <w:rPr>
          <w:sz w:val="18"/>
          <w:szCs w:val="18"/>
        </w:rPr>
        <w:t xml:space="preserve">Email </w:t>
      </w:r>
      <w:r w:rsidR="00B151F6">
        <w:rPr>
          <w:sz w:val="18"/>
          <w:szCs w:val="18"/>
        </w:rPr>
        <w:t>waterquality@agriculture.gov.au</w:t>
      </w:r>
    </w:p>
    <w:p w14:paraId="0E995A6B" w14:textId="77777777" w:rsidR="00B151F6" w:rsidRDefault="00C30114" w:rsidP="00B151F6">
      <w:pPr>
        <w:spacing w:after="0"/>
        <w:rPr>
          <w:rFonts w:ascii="Calibri" w:hAnsi="Calibri"/>
          <w:b/>
          <w:sz w:val="18"/>
          <w:szCs w:val="18"/>
        </w:rPr>
      </w:pPr>
      <w:r>
        <w:rPr>
          <w:rFonts w:ascii="Calibri" w:hAnsi="Calibri"/>
          <w:b/>
          <w:sz w:val="18"/>
          <w:szCs w:val="18"/>
        </w:rPr>
        <w:t>Disclaimer</w:t>
      </w:r>
    </w:p>
    <w:p w14:paraId="2C2E820E" w14:textId="77777777" w:rsidR="00B151F6" w:rsidRDefault="00C30114" w:rsidP="00B151F6">
      <w:pPr>
        <w:spacing w:after="0"/>
        <w:rPr>
          <w:sz w:val="18"/>
          <w:szCs w:val="18"/>
        </w:rPr>
      </w:pPr>
      <w:r>
        <w:rPr>
          <w:sz w:val="18"/>
          <w:szCs w:val="18"/>
        </w:rPr>
        <w:t xml:space="preserve">The author(s) of this </w:t>
      </w:r>
      <w:r>
        <w:rPr>
          <w:sz w:val="18"/>
          <w:szCs w:val="18"/>
        </w:rPr>
        <w:t>publication, all other entities associated with funding this publication or preparing and compiling this publication, and the publisher of this publication, and their employees and advisers, disclaim all liability, including liability for negligence and fo</w:t>
      </w:r>
      <w:r>
        <w:rPr>
          <w:sz w:val="18"/>
          <w:szCs w:val="18"/>
        </w:rPr>
        <w:t xml:space="preserve">r any loss, damage, injury, </w:t>
      </w:r>
      <w:proofErr w:type="gramStart"/>
      <w:r>
        <w:rPr>
          <w:sz w:val="18"/>
          <w:szCs w:val="18"/>
        </w:rPr>
        <w:t>expense</w:t>
      </w:r>
      <w:proofErr w:type="gramEnd"/>
      <w:r>
        <w:rPr>
          <w:sz w:val="18"/>
          <w:szCs w:val="18"/>
        </w:rPr>
        <w:t xml:space="preserve"> or cost incurred by any person as a result of accessing, using or relying on any of the information or data in this publication to the maximum extent permitted by law.</w:t>
      </w:r>
    </w:p>
    <w:p w14:paraId="0F401BFF" w14:textId="77777777" w:rsidR="00B151F6" w:rsidRDefault="00B151F6" w:rsidP="00B151F6">
      <w:pPr>
        <w:spacing w:after="0"/>
        <w:rPr>
          <w:sz w:val="18"/>
          <w:szCs w:val="18"/>
        </w:rPr>
      </w:pPr>
    </w:p>
    <w:p w14:paraId="297EAF00" w14:textId="77777777" w:rsidR="00B151F6" w:rsidRDefault="00C30114" w:rsidP="00B151F6">
      <w:pPr>
        <w:spacing w:after="0"/>
        <w:rPr>
          <w:rFonts w:ascii="Calibri" w:hAnsi="Calibri"/>
          <w:b/>
          <w:sz w:val="18"/>
          <w:szCs w:val="18"/>
        </w:rPr>
      </w:pPr>
      <w:r>
        <w:rPr>
          <w:rFonts w:ascii="Calibri" w:hAnsi="Calibri"/>
          <w:b/>
          <w:sz w:val="18"/>
          <w:szCs w:val="18"/>
        </w:rPr>
        <w:t>Acknowledgements</w:t>
      </w:r>
    </w:p>
    <w:p w14:paraId="7C0C50AA" w14:textId="77777777" w:rsidR="007244D5" w:rsidRDefault="00C30114">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035144">
        <w:rPr>
          <w:sz w:val="18"/>
          <w:szCs w:val="18"/>
        </w:rPr>
        <w:t>DGVs</w:t>
      </w:r>
      <w:r w:rsidR="001B1DB2">
        <w:rPr>
          <w:sz w:val="18"/>
          <w:szCs w:val="18"/>
        </w:rPr>
        <w:t>)</w:t>
      </w:r>
      <w:r>
        <w:rPr>
          <w:sz w:val="18"/>
          <w:szCs w:val="18"/>
        </w:rPr>
        <w:t xml:space="preserve"> were derived by</w:t>
      </w:r>
      <w:r w:rsidR="007D5876" w:rsidRPr="007D5876">
        <w:rPr>
          <w:sz w:val="18"/>
          <w:szCs w:val="18"/>
        </w:rPr>
        <w:t xml:space="preserve"> Olivia C King, Dr Rachael A Smith (Water Quality and Investigations, Environmental Monitoring and Assessment Sciences, Science Delivery, Department of Science, Information </w:t>
      </w:r>
      <w:proofErr w:type="gramStart"/>
      <w:r w:rsidR="007D5876" w:rsidRPr="007D5876">
        <w:rPr>
          <w:sz w:val="18"/>
          <w:szCs w:val="18"/>
        </w:rPr>
        <w:t>Technology</w:t>
      </w:r>
      <w:proofErr w:type="gramEnd"/>
      <w:r w:rsidR="007D5876" w:rsidRPr="007D5876">
        <w:rPr>
          <w:sz w:val="18"/>
          <w:szCs w:val="18"/>
        </w:rPr>
        <w:t xml:space="preserve"> and Innovation)</w:t>
      </w:r>
      <w:r w:rsidR="00035144">
        <w:rPr>
          <w:sz w:val="18"/>
          <w:szCs w:val="18"/>
        </w:rPr>
        <w:t>;</w:t>
      </w:r>
      <w:r w:rsidR="007D5876" w:rsidRPr="007D5876">
        <w:rPr>
          <w:sz w:val="18"/>
          <w:szCs w:val="18"/>
        </w:rPr>
        <w:t xml:space="preserve"> Dr Michael St J Warne (School of Earth and Environmental Studies, Queensland University; Queensland Department of Environment and Science)</w:t>
      </w:r>
      <w:r w:rsidR="00035144">
        <w:rPr>
          <w:sz w:val="18"/>
          <w:szCs w:val="18"/>
        </w:rPr>
        <w:t>;</w:t>
      </w:r>
      <w:r w:rsidR="007D5876" w:rsidRPr="007D5876">
        <w:rPr>
          <w:sz w:val="18"/>
          <w:szCs w:val="18"/>
        </w:rPr>
        <w:t xml:space="preserve"> and Gabrie</w:t>
      </w:r>
      <w:r w:rsidR="007D5876">
        <w:rPr>
          <w:sz w:val="18"/>
          <w:szCs w:val="18"/>
        </w:rPr>
        <w:t>lle Dern (Griffith University).</w:t>
      </w:r>
      <w:r w:rsidR="00981C98">
        <w:rPr>
          <w:sz w:val="18"/>
          <w:szCs w:val="18"/>
        </w:rPr>
        <w:t xml:space="preserve"> The DGVs were peer reviewed by two anonymous reviewers and by two contracted technical advisors, Dr Rick van Dam and Alicia Hogan.</w:t>
      </w:r>
      <w:r w:rsidR="00771C2C">
        <w:rPr>
          <w:sz w:val="18"/>
          <w:szCs w:val="18"/>
        </w:rPr>
        <w:t xml:space="preserve"> </w:t>
      </w:r>
      <w:r w:rsidR="000C491F">
        <w:rPr>
          <w:sz w:val="18"/>
          <w:szCs w:val="18"/>
        </w:rPr>
        <w:t>The DGVs were also reviewed and approved by jurisdictional technical and policy oversight groups and a National Water Reform Committee, prior to being published.</w:t>
      </w:r>
    </w:p>
    <w:p w14:paraId="7F7F7666" w14:textId="77777777" w:rsidR="001C0D1C" w:rsidRDefault="00C30114" w:rsidP="00771C2C">
      <w:pPr>
        <w:jc w:val="center"/>
        <w:rPr>
          <w:sz w:val="18"/>
          <w:szCs w:val="18"/>
        </w:rPr>
      </w:pPr>
      <w:r>
        <w:rPr>
          <w:noProof/>
          <w:sz w:val="18"/>
          <w:szCs w:val="18"/>
          <w:lang w:eastAsia="en-AU"/>
        </w:rPr>
        <w:drawing>
          <wp:inline distT="0" distB="0" distL="0" distR="0" wp14:anchorId="3729AF84" wp14:editId="553F22BC">
            <wp:extent cx="5197448" cy="1595336"/>
            <wp:effectExtent l="0" t="0" r="0" b="508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31121" name="DA2834_1216_Water Quality state logos.jpg"/>
                    <pic:cNvPicPr/>
                  </pic:nvPicPr>
                  <pic:blipFill>
                    <a:blip r:embed="rId14">
                      <a:extLst>
                        <a:ext uri="{28A0092B-C50C-407E-A947-70E740481C1C}">
                          <a14:useLocalDpi xmlns:a14="http://schemas.microsoft.com/office/drawing/2010/main" val="0"/>
                        </a:ext>
                      </a:extLst>
                    </a:blip>
                    <a:srcRect t="22256"/>
                    <a:stretch>
                      <a:fillRect/>
                    </a:stretch>
                  </pic:blipFill>
                  <pic:spPr bwMode="auto">
                    <a:xfrm>
                      <a:off x="0" y="0"/>
                      <a:ext cx="5218976" cy="1601944"/>
                    </a:xfrm>
                    <a:prstGeom prst="rect">
                      <a:avLst/>
                    </a:prstGeom>
                    <a:ln>
                      <a:noFill/>
                    </a:ln>
                    <a:extLst>
                      <a:ext uri="{53640926-AAD7-44D8-BBD7-CCE9431645EC}">
                        <a14:shadowObscured xmlns:a14="http://schemas.microsoft.com/office/drawing/2010/main"/>
                      </a:ext>
                    </a:extLst>
                  </pic:spPr>
                </pic:pic>
              </a:graphicData>
            </a:graphic>
          </wp:inline>
        </w:drawing>
      </w:r>
    </w:p>
    <w:p w14:paraId="57EE35F1" w14:textId="77777777" w:rsidR="001C0D1C" w:rsidRDefault="00C30114">
      <w:pPr>
        <w:pStyle w:val="TOCHeading"/>
      </w:pPr>
      <w:r>
        <w:lastRenderedPageBreak/>
        <w:t>Contents</w:t>
      </w:r>
    </w:p>
    <w:p w14:paraId="68984760" w14:textId="77777777" w:rsidR="00A83DFE" w:rsidRDefault="00C30114">
      <w:pPr>
        <w:pStyle w:val="TOC1"/>
        <w:rPr>
          <w:rFonts w:eastAsiaTheme="minorEastAsia"/>
          <w:b w:val="0"/>
          <w:lang w:eastAsia="en-AU"/>
        </w:rPr>
      </w:pPr>
      <w:r>
        <w:rPr>
          <w:bCs/>
          <w:szCs w:val="24"/>
        </w:rPr>
        <w:fldChar w:fldCharType="begin"/>
      </w:r>
      <w:r>
        <w:rPr>
          <w:bCs/>
          <w:szCs w:val="24"/>
        </w:rPr>
        <w:instrText xml:space="preserve"> TOC \t "Heading 2,1,Heading 3,2" </w:instrText>
      </w:r>
      <w:r>
        <w:rPr>
          <w:bCs/>
          <w:szCs w:val="24"/>
        </w:rPr>
        <w:fldChar w:fldCharType="separate"/>
      </w:r>
      <w:r>
        <w:t>Summary</w:t>
      </w:r>
      <w:r>
        <w:tab/>
      </w:r>
      <w:r>
        <w:fldChar w:fldCharType="begin"/>
      </w:r>
      <w:r>
        <w:instrText xml:space="preserve"> PAGEREF </w:instrText>
      </w:r>
      <w:r>
        <w:instrText xml:space="preserve">_Toc34400607 \h </w:instrText>
      </w:r>
      <w:r>
        <w:fldChar w:fldCharType="separate"/>
      </w:r>
      <w:r>
        <w:t>iv</w:t>
      </w:r>
      <w:r>
        <w:fldChar w:fldCharType="end"/>
      </w:r>
    </w:p>
    <w:p w14:paraId="34F70C23" w14:textId="77777777" w:rsidR="00A83DFE" w:rsidRDefault="00C30114">
      <w:pPr>
        <w:pStyle w:val="TOC1"/>
        <w:rPr>
          <w:rFonts w:eastAsiaTheme="minorEastAsia"/>
          <w:b w:val="0"/>
          <w:lang w:eastAsia="en-AU"/>
        </w:rPr>
      </w:pPr>
      <w:r w:rsidRPr="00E815B7">
        <w:t>1</w:t>
      </w:r>
      <w:r>
        <w:rPr>
          <w:rFonts w:eastAsiaTheme="minorEastAsia"/>
          <w:b w:val="0"/>
          <w:lang w:eastAsia="en-AU"/>
        </w:rPr>
        <w:tab/>
      </w:r>
      <w:r>
        <w:t>Introduction</w:t>
      </w:r>
      <w:r>
        <w:tab/>
      </w:r>
      <w:r>
        <w:fldChar w:fldCharType="begin"/>
      </w:r>
      <w:r>
        <w:instrText xml:space="preserve"> PAGEREF _Toc34400608 \h </w:instrText>
      </w:r>
      <w:r>
        <w:fldChar w:fldCharType="separate"/>
      </w:r>
      <w:r>
        <w:t>1</w:t>
      </w:r>
      <w:r>
        <w:fldChar w:fldCharType="end"/>
      </w:r>
    </w:p>
    <w:p w14:paraId="04996187" w14:textId="77777777" w:rsidR="00A83DFE" w:rsidRDefault="00C30114">
      <w:pPr>
        <w:pStyle w:val="TOC1"/>
        <w:rPr>
          <w:rFonts w:eastAsiaTheme="minorEastAsia"/>
          <w:b w:val="0"/>
          <w:lang w:eastAsia="en-AU"/>
        </w:rPr>
      </w:pPr>
      <w:r w:rsidRPr="00E815B7">
        <w:t>2</w:t>
      </w:r>
      <w:r>
        <w:rPr>
          <w:rFonts w:eastAsiaTheme="minorEastAsia"/>
          <w:b w:val="0"/>
          <w:lang w:eastAsia="en-AU"/>
        </w:rPr>
        <w:tab/>
      </w:r>
      <w:r>
        <w:t>Aquatic toxicology</w:t>
      </w:r>
      <w:r>
        <w:tab/>
      </w:r>
      <w:r>
        <w:fldChar w:fldCharType="begin"/>
      </w:r>
      <w:r>
        <w:instrText xml:space="preserve"> PAGEREF _Toc34400609 \h </w:instrText>
      </w:r>
      <w:r>
        <w:fldChar w:fldCharType="separate"/>
      </w:r>
      <w:r>
        <w:t>2</w:t>
      </w:r>
      <w:r>
        <w:fldChar w:fldCharType="end"/>
      </w:r>
    </w:p>
    <w:p w14:paraId="0B3F1E1C" w14:textId="77777777" w:rsidR="00A83DFE" w:rsidRDefault="00C30114">
      <w:pPr>
        <w:pStyle w:val="TOC2"/>
        <w:tabs>
          <w:tab w:val="left" w:pos="1100"/>
        </w:tabs>
        <w:rPr>
          <w:rFonts w:eastAsiaTheme="minorEastAsia"/>
          <w:lang w:eastAsia="en-AU"/>
        </w:rPr>
      </w:pPr>
      <w:r>
        <w:t>2.1</w:t>
      </w:r>
      <w:r>
        <w:rPr>
          <w:rFonts w:eastAsiaTheme="minorEastAsia"/>
          <w:lang w:eastAsia="en-AU"/>
        </w:rPr>
        <w:tab/>
      </w:r>
      <w:r>
        <w:t>Mechanism of toxicity</w:t>
      </w:r>
      <w:r>
        <w:tab/>
      </w:r>
      <w:r>
        <w:fldChar w:fldCharType="begin"/>
      </w:r>
      <w:r>
        <w:instrText xml:space="preserve"> PAGEREF _Toc34400610 \h </w:instrText>
      </w:r>
      <w:r>
        <w:fldChar w:fldCharType="separate"/>
      </w:r>
      <w:r>
        <w:t>2</w:t>
      </w:r>
      <w:r>
        <w:fldChar w:fldCharType="end"/>
      </w:r>
    </w:p>
    <w:p w14:paraId="0F72D624" w14:textId="77777777" w:rsidR="00A83DFE" w:rsidRDefault="00C30114">
      <w:pPr>
        <w:pStyle w:val="TOC2"/>
        <w:tabs>
          <w:tab w:val="left" w:pos="1100"/>
        </w:tabs>
        <w:rPr>
          <w:rFonts w:eastAsiaTheme="minorEastAsia"/>
          <w:lang w:eastAsia="en-AU"/>
        </w:rPr>
      </w:pPr>
      <w:r>
        <w:t>2.2</w:t>
      </w:r>
      <w:r>
        <w:rPr>
          <w:rFonts w:eastAsiaTheme="minorEastAsia"/>
          <w:lang w:eastAsia="en-AU"/>
        </w:rPr>
        <w:tab/>
      </w:r>
      <w:r>
        <w:t>Toxicity</w:t>
      </w:r>
      <w:r>
        <w:tab/>
      </w:r>
      <w:r>
        <w:fldChar w:fldCharType="begin"/>
      </w:r>
      <w:r>
        <w:instrText xml:space="preserve"> PAGEREF _Toc34400611 \h </w:instrText>
      </w:r>
      <w:r>
        <w:fldChar w:fldCharType="separate"/>
      </w:r>
      <w:r>
        <w:t>2</w:t>
      </w:r>
      <w:r>
        <w:fldChar w:fldCharType="end"/>
      </w:r>
    </w:p>
    <w:p w14:paraId="438DDEDF" w14:textId="77777777" w:rsidR="00A83DFE" w:rsidRDefault="00C30114">
      <w:pPr>
        <w:pStyle w:val="TOC1"/>
        <w:rPr>
          <w:rFonts w:eastAsiaTheme="minorEastAsia"/>
          <w:b w:val="0"/>
          <w:lang w:eastAsia="en-AU"/>
        </w:rPr>
      </w:pPr>
      <w:r w:rsidRPr="00E815B7">
        <w:t>3</w:t>
      </w:r>
      <w:r>
        <w:rPr>
          <w:rFonts w:eastAsiaTheme="minorEastAsia"/>
          <w:b w:val="0"/>
          <w:lang w:eastAsia="en-AU"/>
        </w:rPr>
        <w:tab/>
      </w:r>
      <w:r>
        <w:t>Factors affecting toxicity</w:t>
      </w:r>
      <w:r>
        <w:tab/>
      </w:r>
      <w:r>
        <w:fldChar w:fldCharType="begin"/>
      </w:r>
      <w:r>
        <w:instrText xml:space="preserve"> PAGEREF _Toc34400612 \h </w:instrText>
      </w:r>
      <w:r>
        <w:fldChar w:fldCharType="separate"/>
      </w:r>
      <w:r>
        <w:t>3</w:t>
      </w:r>
      <w:r>
        <w:fldChar w:fldCharType="end"/>
      </w:r>
    </w:p>
    <w:p w14:paraId="34ABE8E7" w14:textId="77777777" w:rsidR="00A83DFE" w:rsidRDefault="00C30114">
      <w:pPr>
        <w:pStyle w:val="TOC1"/>
        <w:rPr>
          <w:rFonts w:eastAsiaTheme="minorEastAsia"/>
          <w:b w:val="0"/>
          <w:lang w:eastAsia="en-AU"/>
        </w:rPr>
      </w:pPr>
      <w:r w:rsidRPr="00E815B7">
        <w:t>4</w:t>
      </w:r>
      <w:r>
        <w:rPr>
          <w:rFonts w:eastAsiaTheme="minorEastAsia"/>
          <w:b w:val="0"/>
          <w:lang w:eastAsia="en-AU"/>
        </w:rPr>
        <w:tab/>
      </w:r>
      <w:r>
        <w:t>Default guideline value derivation</w:t>
      </w:r>
      <w:r>
        <w:tab/>
      </w:r>
      <w:r>
        <w:fldChar w:fldCharType="begin"/>
      </w:r>
      <w:r>
        <w:instrText xml:space="preserve"> PAGEREF _Toc34400613 \h </w:instrText>
      </w:r>
      <w:r>
        <w:fldChar w:fldCharType="separate"/>
      </w:r>
      <w:r>
        <w:t>4</w:t>
      </w:r>
      <w:r>
        <w:fldChar w:fldCharType="end"/>
      </w:r>
    </w:p>
    <w:p w14:paraId="4212C23B" w14:textId="77777777" w:rsidR="00A83DFE" w:rsidRDefault="00C30114">
      <w:pPr>
        <w:pStyle w:val="TOC2"/>
        <w:tabs>
          <w:tab w:val="left" w:pos="1100"/>
        </w:tabs>
        <w:rPr>
          <w:rFonts w:eastAsiaTheme="minorEastAsia"/>
          <w:lang w:eastAsia="en-AU"/>
        </w:rPr>
      </w:pPr>
      <w:r>
        <w:t>4.1</w:t>
      </w:r>
      <w:r>
        <w:rPr>
          <w:rFonts w:eastAsiaTheme="minorEastAsia"/>
          <w:lang w:eastAsia="en-AU"/>
        </w:rPr>
        <w:tab/>
      </w:r>
      <w:r>
        <w:t>Toxicity data used in derivation</w:t>
      </w:r>
      <w:r>
        <w:tab/>
      </w:r>
      <w:r>
        <w:fldChar w:fldCharType="begin"/>
      </w:r>
      <w:r>
        <w:instrText xml:space="preserve"> PAGEREF _Toc34400614 \h </w:instrText>
      </w:r>
      <w:r>
        <w:fldChar w:fldCharType="separate"/>
      </w:r>
      <w:r>
        <w:t>4</w:t>
      </w:r>
      <w:r>
        <w:fldChar w:fldCharType="end"/>
      </w:r>
    </w:p>
    <w:p w14:paraId="64B222E1" w14:textId="77777777" w:rsidR="00A83DFE" w:rsidRDefault="00C30114">
      <w:pPr>
        <w:pStyle w:val="TOC2"/>
        <w:tabs>
          <w:tab w:val="left" w:pos="1100"/>
        </w:tabs>
        <w:rPr>
          <w:rFonts w:eastAsiaTheme="minorEastAsia"/>
          <w:lang w:eastAsia="en-AU"/>
        </w:rPr>
      </w:pPr>
      <w:r>
        <w:t>4.2</w:t>
      </w:r>
      <w:r>
        <w:rPr>
          <w:rFonts w:eastAsiaTheme="minorEastAsia"/>
          <w:lang w:eastAsia="en-AU"/>
        </w:rPr>
        <w:tab/>
      </w:r>
      <w:r>
        <w:t>Species sensitivity distribution</w:t>
      </w:r>
      <w:r>
        <w:tab/>
      </w:r>
      <w:r>
        <w:fldChar w:fldCharType="begin"/>
      </w:r>
      <w:r>
        <w:instrText xml:space="preserve"> PAGEREF _Toc34400615 \h </w:instrText>
      </w:r>
      <w:r>
        <w:fldChar w:fldCharType="separate"/>
      </w:r>
      <w:r>
        <w:t>6</w:t>
      </w:r>
      <w:r>
        <w:fldChar w:fldCharType="end"/>
      </w:r>
    </w:p>
    <w:p w14:paraId="20F0FC97" w14:textId="77777777" w:rsidR="00A83DFE" w:rsidRDefault="00C30114">
      <w:pPr>
        <w:pStyle w:val="TOC2"/>
        <w:tabs>
          <w:tab w:val="left" w:pos="1100"/>
        </w:tabs>
        <w:rPr>
          <w:rFonts w:eastAsiaTheme="minorEastAsia"/>
          <w:lang w:eastAsia="en-AU"/>
        </w:rPr>
      </w:pPr>
      <w:r>
        <w:t>4.3</w:t>
      </w:r>
      <w:r>
        <w:rPr>
          <w:rFonts w:eastAsiaTheme="minorEastAsia"/>
          <w:lang w:eastAsia="en-AU"/>
        </w:rPr>
        <w:tab/>
      </w:r>
      <w:r>
        <w:t>Default guideline values</w:t>
      </w:r>
      <w:r>
        <w:tab/>
      </w:r>
      <w:r>
        <w:fldChar w:fldCharType="begin"/>
      </w:r>
      <w:r>
        <w:instrText xml:space="preserve"> PAGEREF _Toc34400616 \h </w:instrText>
      </w:r>
      <w:r>
        <w:fldChar w:fldCharType="separate"/>
      </w:r>
      <w:r>
        <w:t>6</w:t>
      </w:r>
      <w:r>
        <w:fldChar w:fldCharType="end"/>
      </w:r>
    </w:p>
    <w:p w14:paraId="5816E114" w14:textId="77777777" w:rsidR="00A83DFE" w:rsidRDefault="00C30114">
      <w:pPr>
        <w:pStyle w:val="TOC2"/>
        <w:tabs>
          <w:tab w:val="left" w:pos="1100"/>
        </w:tabs>
        <w:rPr>
          <w:rFonts w:eastAsiaTheme="minorEastAsia"/>
          <w:lang w:eastAsia="en-AU"/>
        </w:rPr>
      </w:pPr>
      <w:r>
        <w:t>4.4</w:t>
      </w:r>
      <w:r>
        <w:rPr>
          <w:rFonts w:eastAsiaTheme="minorEastAsia"/>
          <w:lang w:eastAsia="en-AU"/>
        </w:rPr>
        <w:tab/>
      </w:r>
      <w:r>
        <w:t>Reliability classification</w:t>
      </w:r>
      <w:r>
        <w:tab/>
      </w:r>
      <w:r>
        <w:fldChar w:fldCharType="begin"/>
      </w:r>
      <w:r>
        <w:instrText xml:space="preserve"> PAGEREF _Toc34400617 \h </w:instrText>
      </w:r>
      <w:r>
        <w:fldChar w:fldCharType="separate"/>
      </w:r>
      <w:r>
        <w:t>7</w:t>
      </w:r>
      <w:r>
        <w:fldChar w:fldCharType="end"/>
      </w:r>
    </w:p>
    <w:p w14:paraId="00C5AD43" w14:textId="77777777" w:rsidR="00A83DFE" w:rsidRDefault="00C30114">
      <w:pPr>
        <w:pStyle w:val="TOC1"/>
        <w:rPr>
          <w:rFonts w:eastAsiaTheme="minorEastAsia"/>
          <w:b w:val="0"/>
          <w:lang w:eastAsia="en-AU"/>
        </w:rPr>
      </w:pPr>
      <w:r>
        <w:t>Glossary</w:t>
      </w:r>
      <w:r>
        <w:tab/>
      </w:r>
      <w:r>
        <w:fldChar w:fldCharType="begin"/>
      </w:r>
      <w:r>
        <w:instrText xml:space="preserve"> PAGEREF _Toc34400618 \h </w:instrText>
      </w:r>
      <w:r>
        <w:fldChar w:fldCharType="separate"/>
      </w:r>
      <w:r>
        <w:t>8</w:t>
      </w:r>
      <w:r>
        <w:fldChar w:fldCharType="end"/>
      </w:r>
    </w:p>
    <w:p w14:paraId="3A949385" w14:textId="77777777" w:rsidR="00A83DFE" w:rsidRDefault="00C30114">
      <w:pPr>
        <w:pStyle w:val="TOC1"/>
        <w:rPr>
          <w:rFonts w:eastAsiaTheme="minorEastAsia"/>
          <w:b w:val="0"/>
          <w:lang w:eastAsia="en-AU"/>
        </w:rPr>
      </w:pPr>
      <w:r>
        <w:t>Appendix A: Toxicity data that passed the screening and quality assessment and were used t</w:t>
      </w:r>
      <w:r>
        <w:t>o derive the default guideline values</w:t>
      </w:r>
      <w:r>
        <w:tab/>
      </w:r>
      <w:r>
        <w:fldChar w:fldCharType="begin"/>
      </w:r>
      <w:r>
        <w:instrText xml:space="preserve"> PAGEREF _Toc34400619 \h </w:instrText>
      </w:r>
      <w:r>
        <w:fldChar w:fldCharType="separate"/>
      </w:r>
      <w:r>
        <w:t>10</w:t>
      </w:r>
      <w:r>
        <w:fldChar w:fldCharType="end"/>
      </w:r>
    </w:p>
    <w:p w14:paraId="70EC2749" w14:textId="77777777" w:rsidR="00A83DFE" w:rsidRDefault="00C30114">
      <w:pPr>
        <w:pStyle w:val="TOC1"/>
        <w:rPr>
          <w:rFonts w:eastAsiaTheme="minorEastAsia"/>
          <w:b w:val="0"/>
          <w:lang w:eastAsia="en-AU"/>
        </w:rPr>
      </w:pPr>
      <w:r>
        <w:t>References</w:t>
      </w:r>
      <w:r>
        <w:tab/>
      </w:r>
      <w:r>
        <w:fldChar w:fldCharType="begin"/>
      </w:r>
      <w:r>
        <w:instrText xml:space="preserve"> PAGEREF _Toc34400620 \h </w:instrText>
      </w:r>
      <w:r>
        <w:fldChar w:fldCharType="separate"/>
      </w:r>
      <w:r>
        <w:t>12</w:t>
      </w:r>
      <w:r>
        <w:fldChar w:fldCharType="end"/>
      </w:r>
    </w:p>
    <w:p w14:paraId="2EAC1C3F" w14:textId="77777777" w:rsidR="001C0D1C" w:rsidRDefault="00C30114">
      <w:pPr>
        <w:pStyle w:val="TOCHeading2"/>
      </w:pPr>
      <w:r>
        <w:rPr>
          <w:rFonts w:asciiTheme="minorHAnsi" w:eastAsiaTheme="minorHAnsi" w:hAnsiTheme="minorHAnsi" w:cstheme="minorBidi"/>
          <w:noProof/>
          <w:color w:val="auto"/>
          <w:sz w:val="22"/>
          <w:szCs w:val="24"/>
          <w:lang w:val="en-AU"/>
        </w:rPr>
        <w:fldChar w:fldCharType="end"/>
      </w:r>
      <w:r>
        <w:t>Figures</w:t>
      </w:r>
    </w:p>
    <w:p w14:paraId="1BC47920" w14:textId="77777777" w:rsidR="00A83DFE" w:rsidRDefault="00C30114">
      <w:pPr>
        <w:pStyle w:val="TableofFigures"/>
        <w:tabs>
          <w:tab w:val="right" w:leader="dot" w:pos="9060"/>
        </w:tabs>
        <w:rPr>
          <w:rFonts w:eastAsiaTheme="minorEastAsia"/>
          <w:noProof/>
          <w:lang w:eastAsia="en-AU"/>
        </w:rPr>
      </w:pPr>
      <w:r>
        <w:fldChar w:fldCharType="begin"/>
      </w:r>
      <w:r>
        <w:instrText xml:space="preserve"> TOC \c</w:instrText>
      </w:r>
      <w:r>
        <w:instrText xml:space="preserve"> "Figure" </w:instrText>
      </w:r>
      <w:r>
        <w:fldChar w:fldCharType="separate"/>
      </w:r>
      <w:r>
        <w:rPr>
          <w:noProof/>
        </w:rPr>
        <w:t>Figure 1 Structure of metsulfuron-methyl</w:t>
      </w:r>
      <w:r>
        <w:rPr>
          <w:noProof/>
        </w:rPr>
        <w:tab/>
      </w:r>
      <w:r>
        <w:rPr>
          <w:noProof/>
        </w:rPr>
        <w:fldChar w:fldCharType="begin"/>
      </w:r>
      <w:r>
        <w:rPr>
          <w:noProof/>
        </w:rPr>
        <w:instrText xml:space="preserve"> PAGEREF _Toc34400621 \h </w:instrText>
      </w:r>
      <w:r>
        <w:rPr>
          <w:noProof/>
        </w:rPr>
      </w:r>
      <w:r>
        <w:rPr>
          <w:noProof/>
        </w:rPr>
        <w:fldChar w:fldCharType="separate"/>
      </w:r>
      <w:r>
        <w:rPr>
          <w:noProof/>
        </w:rPr>
        <w:t>1</w:t>
      </w:r>
      <w:r>
        <w:rPr>
          <w:noProof/>
        </w:rPr>
        <w:fldChar w:fldCharType="end"/>
      </w:r>
    </w:p>
    <w:p w14:paraId="5B678B1A" w14:textId="77777777" w:rsidR="00A83DFE" w:rsidRDefault="00C30114">
      <w:pPr>
        <w:pStyle w:val="TableofFigures"/>
        <w:tabs>
          <w:tab w:val="right" w:leader="dot" w:pos="9060"/>
        </w:tabs>
        <w:rPr>
          <w:rFonts w:eastAsiaTheme="minorEastAsia"/>
          <w:noProof/>
          <w:lang w:eastAsia="en-AU"/>
        </w:rPr>
      </w:pPr>
      <w:r>
        <w:rPr>
          <w:noProof/>
        </w:rPr>
        <w:t>Figure 2 Species sensitivity distribution, metsulfuron-methyl in freshwater</w:t>
      </w:r>
      <w:r>
        <w:rPr>
          <w:noProof/>
        </w:rPr>
        <w:tab/>
      </w:r>
      <w:r>
        <w:rPr>
          <w:noProof/>
        </w:rPr>
        <w:fldChar w:fldCharType="begin"/>
      </w:r>
      <w:r>
        <w:rPr>
          <w:noProof/>
        </w:rPr>
        <w:instrText xml:space="preserve"> PAGEREF _Toc34400622 \h </w:instrText>
      </w:r>
      <w:r>
        <w:rPr>
          <w:noProof/>
        </w:rPr>
      </w:r>
      <w:r>
        <w:rPr>
          <w:noProof/>
        </w:rPr>
        <w:fldChar w:fldCharType="separate"/>
      </w:r>
      <w:r>
        <w:rPr>
          <w:noProof/>
        </w:rPr>
        <w:t>6</w:t>
      </w:r>
      <w:r>
        <w:rPr>
          <w:noProof/>
        </w:rPr>
        <w:fldChar w:fldCharType="end"/>
      </w:r>
    </w:p>
    <w:p w14:paraId="2E50536A" w14:textId="77777777" w:rsidR="001C0D1C" w:rsidRDefault="00C30114">
      <w:pPr>
        <w:pStyle w:val="TOCHeading2"/>
      </w:pPr>
      <w:r>
        <w:rPr>
          <w:rFonts w:ascii="Cambria" w:hAnsi="Cambria"/>
          <w:color w:val="auto"/>
          <w:sz w:val="22"/>
          <w:szCs w:val="24"/>
        </w:rPr>
        <w:fldChar w:fldCharType="end"/>
      </w:r>
      <w:r>
        <w:t>Tables</w:t>
      </w:r>
    </w:p>
    <w:p w14:paraId="5A9CE3B8" w14:textId="77777777" w:rsidR="00A83DFE" w:rsidRDefault="00C30114">
      <w:pPr>
        <w:pStyle w:val="TableofFigures"/>
        <w:tabs>
          <w:tab w:val="right" w:leader="dot" w:pos="9060"/>
        </w:tabs>
        <w:rPr>
          <w:rFonts w:eastAsiaTheme="minorEastAsia"/>
          <w:noProof/>
          <w:lang w:eastAsia="en-AU"/>
        </w:rPr>
      </w:pPr>
      <w:r>
        <w:rPr>
          <w:bCs/>
          <w:szCs w:val="24"/>
        </w:rPr>
        <w:fldChar w:fldCharType="begin"/>
      </w:r>
      <w:r>
        <w:rPr>
          <w:bCs/>
        </w:rPr>
        <w:instrText xml:space="preserve"> TOC \c "Table" </w:instrText>
      </w:r>
      <w:r>
        <w:rPr>
          <w:bCs/>
          <w:szCs w:val="24"/>
        </w:rPr>
        <w:fldChar w:fldCharType="separate"/>
      </w:r>
      <w:r>
        <w:rPr>
          <w:noProof/>
        </w:rPr>
        <w:t>Table 1 Summary of selected physico-chemical properties of metsulfuron-methyl</w:t>
      </w:r>
      <w:r>
        <w:rPr>
          <w:noProof/>
        </w:rPr>
        <w:tab/>
      </w:r>
      <w:r>
        <w:rPr>
          <w:noProof/>
        </w:rPr>
        <w:fldChar w:fldCharType="begin"/>
      </w:r>
      <w:r>
        <w:rPr>
          <w:noProof/>
        </w:rPr>
        <w:instrText xml:space="preserve"> PAGEREF _Toc34400623 \h </w:instrText>
      </w:r>
      <w:r>
        <w:rPr>
          <w:noProof/>
        </w:rPr>
      </w:r>
      <w:r>
        <w:rPr>
          <w:noProof/>
        </w:rPr>
        <w:fldChar w:fldCharType="separate"/>
      </w:r>
      <w:r>
        <w:rPr>
          <w:noProof/>
        </w:rPr>
        <w:t>1</w:t>
      </w:r>
      <w:r>
        <w:rPr>
          <w:noProof/>
        </w:rPr>
        <w:fldChar w:fldCharType="end"/>
      </w:r>
    </w:p>
    <w:p w14:paraId="4FD8FE5B" w14:textId="77777777" w:rsidR="00A83DFE" w:rsidRDefault="00C30114">
      <w:pPr>
        <w:pStyle w:val="TableofFigures"/>
        <w:tabs>
          <w:tab w:val="right" w:leader="dot" w:pos="9060"/>
        </w:tabs>
        <w:rPr>
          <w:rFonts w:eastAsiaTheme="minorEastAsia"/>
          <w:noProof/>
          <w:lang w:eastAsia="en-AU"/>
        </w:rPr>
      </w:pPr>
      <w:r>
        <w:rPr>
          <w:noProof/>
        </w:rPr>
        <w:t>Table 2 Summary of the single toxicity values, all species used to derive default guideline values for metsulfuron-methyl in freshwater</w:t>
      </w:r>
      <w:r>
        <w:rPr>
          <w:noProof/>
        </w:rPr>
        <w:tab/>
      </w:r>
      <w:r>
        <w:rPr>
          <w:noProof/>
        </w:rPr>
        <w:fldChar w:fldCharType="begin"/>
      </w:r>
      <w:r>
        <w:rPr>
          <w:noProof/>
        </w:rPr>
        <w:instrText xml:space="preserve"> PAGEREF _Toc34400624 \h </w:instrText>
      </w:r>
      <w:r>
        <w:rPr>
          <w:noProof/>
        </w:rPr>
      </w:r>
      <w:r>
        <w:rPr>
          <w:noProof/>
        </w:rPr>
        <w:fldChar w:fldCharType="separate"/>
      </w:r>
      <w:r>
        <w:rPr>
          <w:noProof/>
        </w:rPr>
        <w:t>5</w:t>
      </w:r>
      <w:r>
        <w:rPr>
          <w:noProof/>
        </w:rPr>
        <w:fldChar w:fldCharType="end"/>
      </w:r>
    </w:p>
    <w:p w14:paraId="52A2D435" w14:textId="77777777" w:rsidR="00A83DFE" w:rsidRDefault="00C30114">
      <w:pPr>
        <w:pStyle w:val="TableofFigures"/>
        <w:tabs>
          <w:tab w:val="right" w:leader="dot" w:pos="9060"/>
        </w:tabs>
        <w:rPr>
          <w:rFonts w:eastAsiaTheme="minorEastAsia"/>
          <w:noProof/>
          <w:lang w:eastAsia="en-AU"/>
        </w:rPr>
      </w:pPr>
      <w:r>
        <w:rPr>
          <w:noProof/>
        </w:rPr>
        <w:t>Table 3 Toxicant default guideline values, metsulfuron-methyl in freshwater, moderate reliability</w:t>
      </w:r>
      <w:r>
        <w:rPr>
          <w:noProof/>
        </w:rPr>
        <w:tab/>
      </w:r>
      <w:r>
        <w:rPr>
          <w:noProof/>
        </w:rPr>
        <w:fldChar w:fldCharType="begin"/>
      </w:r>
      <w:r>
        <w:rPr>
          <w:noProof/>
        </w:rPr>
        <w:instrText xml:space="preserve"> PAGEREF _Toc34400625 \h </w:instrText>
      </w:r>
      <w:r>
        <w:rPr>
          <w:noProof/>
        </w:rPr>
      </w:r>
      <w:r>
        <w:rPr>
          <w:noProof/>
        </w:rPr>
        <w:fldChar w:fldCharType="separate"/>
      </w:r>
      <w:r>
        <w:rPr>
          <w:noProof/>
        </w:rPr>
        <w:t>7</w:t>
      </w:r>
      <w:r>
        <w:rPr>
          <w:noProof/>
        </w:rPr>
        <w:fldChar w:fldCharType="end"/>
      </w:r>
    </w:p>
    <w:p w14:paraId="4BB3C55A" w14:textId="77777777" w:rsidR="00401C43" w:rsidRDefault="00C30114" w:rsidP="00401C43">
      <w:pPr>
        <w:pStyle w:val="TOCHeading2"/>
        <w:rPr>
          <w:bCs w:val="0"/>
          <w:szCs w:val="24"/>
        </w:rPr>
      </w:pPr>
      <w:r>
        <w:fldChar w:fldCharType="end"/>
      </w:r>
      <w:r>
        <w:rPr>
          <w:bCs w:val="0"/>
          <w:szCs w:val="24"/>
        </w:rPr>
        <w:t>Appendix tables</w:t>
      </w:r>
    </w:p>
    <w:p w14:paraId="4AA6EE34" w14:textId="77777777" w:rsidR="00A83DFE" w:rsidRDefault="00C30114">
      <w:pPr>
        <w:pStyle w:val="TableofFigures"/>
        <w:tabs>
          <w:tab w:val="right" w:leader="dot" w:pos="9060"/>
        </w:tabs>
        <w:rPr>
          <w:rFonts w:eastAsiaTheme="minorEastAsia"/>
          <w:noProof/>
          <w:lang w:eastAsia="en-AU"/>
        </w:rPr>
      </w:pPr>
      <w:r>
        <w:rPr>
          <w:bCs/>
        </w:rPr>
        <w:fldChar w:fldCharType="begin"/>
      </w:r>
      <w:r>
        <w:rPr>
          <w:bCs/>
        </w:rPr>
        <w:instrText xml:space="preserve"> TOC \h \z \c "Table A" </w:instrText>
      </w:r>
      <w:r>
        <w:rPr>
          <w:bCs/>
        </w:rPr>
        <w:fldChar w:fldCharType="separate"/>
      </w:r>
      <w:hyperlink w:anchor="_Toc34400626" w:history="1">
        <w:r w:rsidRPr="00BD34A4">
          <w:rPr>
            <w:rStyle w:val="Hyperlink"/>
            <w:noProof/>
          </w:rPr>
          <w:t>Table A 1 Summary, chronic toxicity data that passed the screening and quality assurance processes, metsulfuron-methyl in freshwater</w:t>
        </w:r>
        <w:r>
          <w:rPr>
            <w:noProof/>
            <w:webHidden/>
          </w:rPr>
          <w:tab/>
        </w:r>
        <w:r>
          <w:rPr>
            <w:noProof/>
            <w:webHidden/>
          </w:rPr>
          <w:fldChar w:fldCharType="begin"/>
        </w:r>
        <w:r>
          <w:rPr>
            <w:noProof/>
            <w:webHidden/>
          </w:rPr>
          <w:instrText xml:space="preserve"> PAGEREF _Toc34400626 \h </w:instrText>
        </w:r>
        <w:r>
          <w:rPr>
            <w:noProof/>
            <w:webHidden/>
          </w:rPr>
        </w:r>
        <w:r>
          <w:rPr>
            <w:noProof/>
            <w:webHidden/>
          </w:rPr>
          <w:fldChar w:fldCharType="separate"/>
        </w:r>
        <w:r>
          <w:rPr>
            <w:noProof/>
            <w:webHidden/>
          </w:rPr>
          <w:t>10</w:t>
        </w:r>
        <w:r>
          <w:rPr>
            <w:noProof/>
            <w:webHidden/>
          </w:rPr>
          <w:fldChar w:fldCharType="end"/>
        </w:r>
      </w:hyperlink>
    </w:p>
    <w:p w14:paraId="010D18EF" w14:textId="77777777" w:rsidR="00CD41A9" w:rsidRDefault="00C30114" w:rsidP="00401C43">
      <w:pPr>
        <w:pStyle w:val="TableofFigures"/>
        <w:tabs>
          <w:tab w:val="right" w:leader="dot" w:pos="9060"/>
        </w:tabs>
        <w:rPr>
          <w:noProof/>
        </w:rPr>
      </w:pPr>
      <w:r>
        <w:rPr>
          <w:bCs/>
        </w:rPr>
        <w:fldChar w:fldCharType="end"/>
      </w:r>
      <w:r>
        <w:rPr>
          <w:bCs/>
        </w:rPr>
        <w:fldChar w:fldCharType="begin"/>
      </w:r>
      <w:r>
        <w:rPr>
          <w:bCs/>
        </w:rPr>
        <w:instrText xml:space="preserve"> TOC \h \z \c "Table B" </w:instrText>
      </w:r>
      <w:r>
        <w:rPr>
          <w:bCs/>
        </w:rPr>
        <w:fldChar w:fldCharType="separate"/>
      </w:r>
    </w:p>
    <w:p w14:paraId="6E824CB5" w14:textId="77777777" w:rsidR="00401C43" w:rsidRDefault="00C30114" w:rsidP="00401C43">
      <w:pPr>
        <w:pStyle w:val="TOCHeading2"/>
      </w:pPr>
      <w:r>
        <w:rPr>
          <w:rFonts w:asciiTheme="minorHAnsi" w:eastAsiaTheme="minorHAnsi" w:hAnsiTheme="minorHAnsi" w:cstheme="minorBidi"/>
          <w:bCs w:val="0"/>
          <w:color w:val="auto"/>
          <w:sz w:val="22"/>
          <w:szCs w:val="22"/>
          <w:lang w:val="en-AU"/>
        </w:rPr>
        <w:fldChar w:fldCharType="end"/>
      </w:r>
      <w:r>
        <w:br w:type="page"/>
      </w:r>
    </w:p>
    <w:p w14:paraId="17C5AB53" w14:textId="77777777" w:rsidR="001C0D1C" w:rsidRDefault="00C30114" w:rsidP="007D5876">
      <w:pPr>
        <w:pStyle w:val="Heading2"/>
        <w:numPr>
          <w:ilvl w:val="0"/>
          <w:numId w:val="0"/>
        </w:numPr>
        <w:ind w:left="680" w:hanging="680"/>
      </w:pPr>
      <w:bookmarkStart w:id="0" w:name="_Toc34400607"/>
      <w:r>
        <w:lastRenderedPageBreak/>
        <w:t>Summary</w:t>
      </w:r>
      <w:bookmarkEnd w:id="0"/>
    </w:p>
    <w:p w14:paraId="154A6001" w14:textId="77777777" w:rsidR="0012237F" w:rsidRDefault="00C30114" w:rsidP="00C62BD2">
      <w:pPr>
        <w:spacing w:after="160" w:line="264" w:lineRule="auto"/>
      </w:pPr>
      <w:sdt>
        <w:sdtPr>
          <w:alias w:val="Compulsary - text and location locked to Summary"/>
          <w:tag w:val="Compulsary text"/>
          <w:id w:val="1355157788"/>
          <w:lock w:val="contentLocked"/>
          <w:placeholder>
            <w:docPart w:val="4BE0D162628643B782A122146D2FA79A"/>
          </w:placeholder>
          <w:text/>
        </w:sdtPr>
        <w:sdtEndPr/>
        <w:sdtContent>
          <w:r w:rsidRPr="00BF6347">
            <w:t>The default guideline values (DGVs) and associated information in this technical brief should be used in accordance with the detailed guidance provided in the Australian and New Zealand Guidelines for Fresh and Marine Water Quality website (www.waterqualit</w:t>
          </w:r>
          <w:r w:rsidRPr="00BF6347">
            <w:t xml:space="preserve">y.gov.au/anz-guidelines). </w:t>
          </w:r>
        </w:sdtContent>
      </w:sdt>
    </w:p>
    <w:p w14:paraId="6151B976" w14:textId="77777777" w:rsidR="007D5876" w:rsidRDefault="00C30114" w:rsidP="00C62BD2">
      <w:pPr>
        <w:spacing w:after="160" w:line="264" w:lineRule="auto"/>
      </w:pPr>
      <w:r>
        <w:t>Metsulfuron-methyl (2-(4-methoxy-6-methyl-1,3,5-triazin-2-</w:t>
      </w:r>
      <w:proofErr w:type="gramStart"/>
      <w:r>
        <w:t>ylcarbamoylsulfamoyl)benzoate</w:t>
      </w:r>
      <w:proofErr w:type="gramEnd"/>
      <w:r>
        <w:t xml:space="preserve">, CAS </w:t>
      </w:r>
      <w:r w:rsidR="0058683D">
        <w:t>n</w:t>
      </w:r>
      <w:r>
        <w:t>o. 74223-64-6) is a selective, systemic triazinylsulfonylurea herbicide that sits within the sulfonylurea group of the urea family of</w:t>
      </w:r>
      <w:r>
        <w:t xml:space="preserve"> herbicides. Other triazinylsulfonylurea herbicides include iodosulfuron, ethametsulfuron, thifensulfuron and their methylated forms. </w:t>
      </w:r>
      <w:r w:rsidR="008C71BE">
        <w:t>In Australia and New Zealand</w:t>
      </w:r>
      <w:r>
        <w:t xml:space="preserve">, </w:t>
      </w:r>
      <w:r w:rsidR="007244D5">
        <w:t>m</w:t>
      </w:r>
      <w:r>
        <w:t xml:space="preserve">etsulfuron-methyl is </w:t>
      </w:r>
      <w:r w:rsidR="008C71BE">
        <w:t xml:space="preserve">typically </w:t>
      </w:r>
      <w:r>
        <w:t xml:space="preserve">used in agriculture to control broadleaf </w:t>
      </w:r>
      <w:r w:rsidR="008C71BE">
        <w:t xml:space="preserve">and other </w:t>
      </w:r>
      <w:r>
        <w:t xml:space="preserve">weeds </w:t>
      </w:r>
      <w:r w:rsidR="008C71BE">
        <w:t>in pastures, cereals, forestry and/or for other non-agricultural purposes (ACVM 2020, APVMA 2020)</w:t>
      </w:r>
      <w:r>
        <w:t>. Metsulfuron-methyl exerts toxicity by binding to and inhibiting the acetolactate synthase (ALS) enzyme, which prevents the biosynthesis of amino acids and stops</w:t>
      </w:r>
      <w:r>
        <w:t xml:space="preserve"> cell division. Non-agricultural uses of metsulfuron-methyl include </w:t>
      </w:r>
      <w:r w:rsidR="00446376">
        <w:t xml:space="preserve">weed control in </w:t>
      </w:r>
      <w:r>
        <w:t>forestry.</w:t>
      </w:r>
    </w:p>
    <w:p w14:paraId="1744DF6D" w14:textId="77777777" w:rsidR="007D5876" w:rsidRDefault="00C30114" w:rsidP="00C62BD2">
      <w:pPr>
        <w:spacing w:after="160" w:line="264" w:lineRule="auto"/>
      </w:pPr>
      <w:r>
        <w:t>The previous Australian and New Zealand DGV for metsulfuron-methyl in freshwater environments was a low reliability value (using the ANZECC</w:t>
      </w:r>
      <w:r w:rsidR="00CC674F">
        <w:t>/</w:t>
      </w:r>
      <w:r>
        <w:t xml:space="preserve">ARMCANZ </w:t>
      </w:r>
      <w:r w:rsidR="00CC674F">
        <w:t>(</w:t>
      </w:r>
      <w:r>
        <w:t>2000</w:t>
      </w:r>
      <w:r w:rsidR="00CC674F">
        <w:t>)</w:t>
      </w:r>
      <w:r>
        <w:t xml:space="preserve"> reliabi</w:t>
      </w:r>
      <w:r>
        <w:t>lity scheme) as it was based on acute toxicity data for two freshwater fish species, one invertebrate and one microalga only (ANZECC</w:t>
      </w:r>
      <w:r w:rsidR="00CC674F">
        <w:t>/</w:t>
      </w:r>
      <w:r>
        <w:t xml:space="preserve">ARMCANZ 2000). More data on metsulfuron-methyl toxicity to freshwater species are now available, including data </w:t>
      </w:r>
      <w:r w:rsidR="00CC674F">
        <w:t xml:space="preserve">on </w:t>
      </w:r>
      <w:r>
        <w:t>phototro</w:t>
      </w:r>
      <w:r>
        <w:t xml:space="preserve">phic species (species that photosynthesise </w:t>
      </w:r>
      <w:proofErr w:type="gramStart"/>
      <w:r>
        <w:t>e.g.</w:t>
      </w:r>
      <w:proofErr w:type="gramEnd"/>
      <w:r>
        <w:t xml:space="preserve"> plants and algae)</w:t>
      </w:r>
      <w:r w:rsidR="00CC674F">
        <w:t>,</w:t>
      </w:r>
      <w:r>
        <w:t xml:space="preserve"> resulting in moderate reliability </w:t>
      </w:r>
      <w:r w:rsidR="00D27370">
        <w:t xml:space="preserve">DGVs </w:t>
      </w:r>
      <w:r>
        <w:t>(Warne et al. 2018).</w:t>
      </w:r>
    </w:p>
    <w:p w14:paraId="483C203B" w14:textId="77777777" w:rsidR="007D5876" w:rsidRDefault="00C30114" w:rsidP="00C62BD2">
      <w:pPr>
        <w:spacing w:after="160" w:line="264" w:lineRule="auto"/>
      </w:pPr>
      <w:r>
        <w:t>Due to the small sample size of available heterotrophic ecotoxicity data for metsulfuron-methyl, it was not possible to ascertain</w:t>
      </w:r>
      <w:r>
        <w:t xml:space="preserve"> distinctions in sensitivity between different groups of species, </w:t>
      </w:r>
      <w:r w:rsidR="00B973E2">
        <w:t>for example</w:t>
      </w:r>
      <w:r>
        <w:t xml:space="preserve"> between phototrophic and heterotrophic species. As a result, both phototrophic and heterotrophic species were used to </w:t>
      </w:r>
      <w:r w:rsidR="00446376">
        <w:t xml:space="preserve">derive </w:t>
      </w:r>
      <w:r>
        <w:t>the metsulfuron-methyl DGVs</w:t>
      </w:r>
      <w:r w:rsidR="00D27370">
        <w:t>,</w:t>
      </w:r>
      <w:r>
        <w:t xml:space="preserve"> as recommended in Warne </w:t>
      </w:r>
      <w:r>
        <w:t xml:space="preserve">et al. (2018). However, based on the mode of action of metsulfuron-methyl, it </w:t>
      </w:r>
      <w:r w:rsidR="00B973E2">
        <w:t>is</w:t>
      </w:r>
      <w:r>
        <w:t xml:space="preserve"> expected that phototrophic species would be more sensitive than non-phototrophic species, as </w:t>
      </w:r>
      <w:r w:rsidR="00B973E2">
        <w:t xml:space="preserve">metsulfuron-methyl </w:t>
      </w:r>
      <w:r>
        <w:t>binds to and inhibits the ALS</w:t>
      </w:r>
      <w:r w:rsidR="00B973E2">
        <w:t xml:space="preserve"> </w:t>
      </w:r>
      <w:r>
        <w:t>enzyme</w:t>
      </w:r>
      <w:r w:rsidR="00B973E2">
        <w:t>,</w:t>
      </w:r>
      <w:r>
        <w:t xml:space="preserve"> which is a protein generally found in plants. Consequently, it is possible that the derived DGVs for mets</w:t>
      </w:r>
      <w:r>
        <w:t xml:space="preserve">ulfuron-methyl may not provide adequate protection to </w:t>
      </w:r>
      <w:r w:rsidR="00D27370">
        <w:t xml:space="preserve">all </w:t>
      </w:r>
      <w:r>
        <w:t xml:space="preserve">phototrophic species. In addition to this, </w:t>
      </w:r>
      <w:r w:rsidR="00D27370">
        <w:t xml:space="preserve">as </w:t>
      </w:r>
      <w:r>
        <w:t>phototrophs are at the bottom of most aquatic food webs, the derived DGVs may not provide sufficient protection to non-phototrophic species (</w:t>
      </w:r>
      <w:proofErr w:type="gramStart"/>
      <w:r>
        <w:t>as a result</w:t>
      </w:r>
      <w:r>
        <w:t xml:space="preserve"> of</w:t>
      </w:r>
      <w:proofErr w:type="gramEnd"/>
      <w:r>
        <w:t xml:space="preserve"> potential indirect effects). </w:t>
      </w:r>
    </w:p>
    <w:p w14:paraId="45AD43C9" w14:textId="77777777" w:rsidR="007D5876" w:rsidRDefault="00C30114" w:rsidP="00C62BD2">
      <w:pPr>
        <w:spacing w:after="160" w:line="264" w:lineRule="auto"/>
      </w:pPr>
      <w:r>
        <w:t>The lowest reported chronic toxicity value to freshwater species is 0.054</w:t>
      </w:r>
      <w:r w:rsidR="002A7895">
        <w:t> </w:t>
      </w:r>
      <w:r>
        <w:t>µg/L (freshwater macrophyte, 8-day NOEC). The lowest reported acute toxicity value to freshwater species is 64.8</w:t>
      </w:r>
      <w:r w:rsidR="002A7895">
        <w:t> </w:t>
      </w:r>
      <w:r>
        <w:t>µg/L (freshwater microalga, 24-hour</w:t>
      </w:r>
      <w:r>
        <w:t xml:space="preserve"> EC5).</w:t>
      </w:r>
    </w:p>
    <w:p w14:paraId="230E5362" w14:textId="77777777" w:rsidR="007D5876" w:rsidRDefault="00C30114" w:rsidP="00C62BD2">
      <w:pPr>
        <w:spacing w:line="264" w:lineRule="auto"/>
      </w:pPr>
      <w:r>
        <w:t>The DGV derivation for metsulfuron methyl in freshwater incorporated chronic EC10, NOEC and NOEL data for eight freshwater, phototrophic and heterotrophic</w:t>
      </w:r>
      <w:r w:rsidR="002D38F6">
        <w:t>,</w:t>
      </w:r>
      <w:r>
        <w:t xml:space="preserve"> species from five phyla and six classes. The (visual) fit of the model to the toxicity data w</w:t>
      </w:r>
      <w:r>
        <w:t xml:space="preserve">as poor, resulting in moderate reliability DGVs. </w:t>
      </w:r>
      <w:r w:rsidR="002A7895">
        <w:t>T</w:t>
      </w:r>
      <w:r>
        <w:t xml:space="preserve">he DGVs derived here are expressed in terms of the active ingredient (metsulfuron-methyl) rather than commercial formulations. The DGVs for </w:t>
      </w:r>
      <w:r>
        <w:rPr>
          <w:bCs/>
        </w:rPr>
        <w:t>99, 95, 90 and 80% species protection are</w:t>
      </w:r>
      <w:r>
        <w:t xml:space="preserve"> 0.00</w:t>
      </w:r>
      <w:r w:rsidR="009B579C">
        <w:t>37</w:t>
      </w:r>
      <w:r w:rsidR="002D38F6">
        <w:t> </w:t>
      </w:r>
      <w:r>
        <w:rPr>
          <w:rFonts w:cstheme="minorHAnsi"/>
        </w:rPr>
        <w:t>µ</w:t>
      </w:r>
      <w:r>
        <w:t>g/L, 0.0</w:t>
      </w:r>
      <w:r w:rsidR="009B579C">
        <w:t>18</w:t>
      </w:r>
      <w:r w:rsidR="002D38F6">
        <w:t> </w:t>
      </w:r>
      <w:r>
        <w:rPr>
          <w:rFonts w:cstheme="minorHAnsi"/>
        </w:rPr>
        <w:t>µ</w:t>
      </w:r>
      <w:r>
        <w:t>g/L,</w:t>
      </w:r>
      <w:r>
        <w:t xml:space="preserve"> 0.0</w:t>
      </w:r>
      <w:r w:rsidR="009B579C">
        <w:t>48</w:t>
      </w:r>
      <w:r w:rsidR="002D38F6">
        <w:t> </w:t>
      </w:r>
      <w:r>
        <w:rPr>
          <w:rFonts w:cstheme="minorHAnsi"/>
        </w:rPr>
        <w:t>µ</w:t>
      </w:r>
      <w:r>
        <w:t>g/L and 0.</w:t>
      </w:r>
      <w:r w:rsidR="009B579C">
        <w:t>18</w:t>
      </w:r>
      <w:r w:rsidR="002D38F6">
        <w:t> </w:t>
      </w:r>
      <w:r>
        <w:rPr>
          <w:rFonts w:cstheme="minorHAnsi"/>
        </w:rPr>
        <w:t>µ</w:t>
      </w:r>
      <w:r>
        <w:t xml:space="preserve">g/L, respectively. </w:t>
      </w:r>
      <w:r w:rsidRPr="001741CC">
        <w:t>The 95%</w:t>
      </w:r>
      <w:r w:rsidRPr="001741CC">
        <w:rPr>
          <w:vertAlign w:val="superscript"/>
        </w:rPr>
        <w:t xml:space="preserve"> </w:t>
      </w:r>
      <w:r w:rsidRPr="001741CC">
        <w:rPr>
          <w:bCs/>
        </w:rPr>
        <w:t>species protection level for</w:t>
      </w:r>
      <w:r w:rsidR="002D38F6">
        <w:rPr>
          <w:bCs/>
        </w:rPr>
        <w:t xml:space="preserve"> </w:t>
      </w:r>
      <w:r w:rsidR="002D38F6">
        <w:t>metsulfuron-methyl</w:t>
      </w:r>
      <w:r>
        <w:rPr>
          <w:bCs/>
        </w:rPr>
        <w:t xml:space="preserve"> </w:t>
      </w:r>
      <w:r w:rsidR="002D38F6">
        <w:rPr>
          <w:bCs/>
        </w:rPr>
        <w:t>in freshwater (</w:t>
      </w:r>
      <w:r>
        <w:rPr>
          <w:bCs/>
        </w:rPr>
        <w:t>0.0</w:t>
      </w:r>
      <w:r w:rsidR="009B579C">
        <w:rPr>
          <w:bCs/>
        </w:rPr>
        <w:t>18</w:t>
      </w:r>
      <w:r w:rsidR="002D38F6">
        <w:rPr>
          <w:bCs/>
        </w:rPr>
        <w:t> </w:t>
      </w:r>
      <w:r>
        <w:rPr>
          <w:rFonts w:cstheme="minorHAnsi"/>
        </w:rPr>
        <w:t>µ</w:t>
      </w:r>
      <w:r>
        <w:t>g/L</w:t>
      </w:r>
      <w:r w:rsidR="002D38F6">
        <w:t>)</w:t>
      </w:r>
      <w:r>
        <w:rPr>
          <w:bCs/>
        </w:rPr>
        <w:t xml:space="preserve"> </w:t>
      </w:r>
      <w:r w:rsidRPr="001741CC">
        <w:rPr>
          <w:bCs/>
        </w:rPr>
        <w:t xml:space="preserve">is recommended for adoption in </w:t>
      </w:r>
      <w:r>
        <w:rPr>
          <w:bCs/>
        </w:rPr>
        <w:t xml:space="preserve">the </w:t>
      </w:r>
      <w:r w:rsidRPr="001741CC">
        <w:rPr>
          <w:bCs/>
        </w:rPr>
        <w:t>assessment of slightly</w:t>
      </w:r>
      <w:r w:rsidR="002D38F6">
        <w:rPr>
          <w:bCs/>
        </w:rPr>
        <w:t>-</w:t>
      </w:r>
      <w:r w:rsidRPr="001741CC">
        <w:rPr>
          <w:bCs/>
        </w:rPr>
        <w:t>to</w:t>
      </w:r>
      <w:r w:rsidR="002D38F6">
        <w:rPr>
          <w:bCs/>
        </w:rPr>
        <w:t>-</w:t>
      </w:r>
      <w:r w:rsidRPr="001741CC">
        <w:rPr>
          <w:bCs/>
        </w:rPr>
        <w:t>moderately disturbed ecosystems</w:t>
      </w:r>
      <w:r w:rsidR="002A7895">
        <w:t>.</w:t>
      </w:r>
    </w:p>
    <w:p w14:paraId="77A19683" w14:textId="77777777" w:rsidR="001C0D1C" w:rsidRDefault="001C0D1C">
      <w:pPr>
        <w:sectPr w:rsidR="001C0D1C">
          <w:headerReference w:type="default" r:id="rId15"/>
          <w:footerReference w:type="default" r:id="rId16"/>
          <w:headerReference w:type="first" r:id="rId17"/>
          <w:pgSz w:w="11906" w:h="16838"/>
          <w:pgMar w:top="1418" w:right="1418" w:bottom="1418" w:left="1418" w:header="567" w:footer="283" w:gutter="0"/>
          <w:pgNumType w:fmt="lowerRoman"/>
          <w:cols w:space="708"/>
          <w:titlePg/>
          <w:docGrid w:linePitch="360"/>
        </w:sectPr>
      </w:pPr>
    </w:p>
    <w:p w14:paraId="0D181D79" w14:textId="77777777" w:rsidR="001C0D1C" w:rsidRDefault="00C30114">
      <w:pPr>
        <w:pStyle w:val="Heading2"/>
      </w:pPr>
      <w:bookmarkStart w:id="1" w:name="_Toc34400608"/>
      <w:r>
        <w:lastRenderedPageBreak/>
        <w:t>Introduction</w:t>
      </w:r>
      <w:bookmarkEnd w:id="1"/>
    </w:p>
    <w:p w14:paraId="712F646D" w14:textId="77777777" w:rsidR="007D5876" w:rsidRDefault="00C30114" w:rsidP="00BF0280">
      <w:pPr>
        <w:rPr>
          <w:bCs/>
          <w:highlight w:val="yellow"/>
        </w:rPr>
      </w:pPr>
      <w:r>
        <w:rPr>
          <w:bCs/>
        </w:rPr>
        <w:t>M</w:t>
      </w:r>
      <w:r w:rsidRPr="000D7D3B">
        <w:rPr>
          <w:bCs/>
        </w:rPr>
        <w:t xml:space="preserve">etsulfuron-methyl </w:t>
      </w:r>
      <w:r>
        <w:rPr>
          <w:bCs/>
        </w:rPr>
        <w:t xml:space="preserve">is </w:t>
      </w:r>
      <w:proofErr w:type="gramStart"/>
      <w:r>
        <w:rPr>
          <w:bCs/>
        </w:rPr>
        <w:t>a</w:t>
      </w:r>
      <w:proofErr w:type="gramEnd"/>
      <w:r>
        <w:rPr>
          <w:bCs/>
        </w:rPr>
        <w:t xml:space="preserve"> herbicide </w:t>
      </w:r>
      <w:r w:rsidRPr="000D7D3B">
        <w:rPr>
          <w:bCs/>
        </w:rPr>
        <w:t>(C</w:t>
      </w:r>
      <w:r w:rsidRPr="000D7D3B">
        <w:rPr>
          <w:bCs/>
          <w:vertAlign w:val="subscript"/>
        </w:rPr>
        <w:t>14</w:t>
      </w:r>
      <w:r w:rsidRPr="000D7D3B">
        <w:rPr>
          <w:bCs/>
        </w:rPr>
        <w:t>H</w:t>
      </w:r>
      <w:r w:rsidRPr="000D7D3B">
        <w:rPr>
          <w:bCs/>
          <w:vertAlign w:val="subscript"/>
        </w:rPr>
        <w:t>15</w:t>
      </w:r>
      <w:r w:rsidRPr="000D7D3B">
        <w:rPr>
          <w:bCs/>
        </w:rPr>
        <w:t>N</w:t>
      </w:r>
      <w:r w:rsidRPr="000D7D3B">
        <w:rPr>
          <w:bCs/>
          <w:vertAlign w:val="subscript"/>
        </w:rPr>
        <w:t>5</w:t>
      </w:r>
      <w:r w:rsidRPr="000D7D3B">
        <w:rPr>
          <w:bCs/>
        </w:rPr>
        <w:t>O</w:t>
      </w:r>
      <w:r w:rsidRPr="000D7D3B">
        <w:rPr>
          <w:bCs/>
          <w:vertAlign w:val="subscript"/>
        </w:rPr>
        <w:t>6</w:t>
      </w:r>
      <w:r w:rsidRPr="000D7D3B">
        <w:rPr>
          <w:bCs/>
        </w:rPr>
        <w:t>S</w:t>
      </w:r>
      <w:r w:rsidR="0068732E">
        <w:rPr>
          <w:bCs/>
        </w:rPr>
        <w:t>; see</w:t>
      </w:r>
      <w:r w:rsidRPr="000D7D3B">
        <w:rPr>
          <w:bCs/>
        </w:rPr>
        <w:t xml:space="preserve"> </w:t>
      </w:r>
      <w:r w:rsidR="005F1B04">
        <w:rPr>
          <w:bCs/>
        </w:rPr>
        <w:fldChar w:fldCharType="begin"/>
      </w:r>
      <w:r w:rsidR="005F1B04">
        <w:rPr>
          <w:bCs/>
        </w:rPr>
        <w:instrText xml:space="preserve"> REF _Ref14609730 \h </w:instrText>
      </w:r>
      <w:r w:rsidR="005F1B04">
        <w:rPr>
          <w:bCs/>
        </w:rPr>
      </w:r>
      <w:r w:rsidR="005F1B04">
        <w:rPr>
          <w:bCs/>
        </w:rPr>
        <w:fldChar w:fldCharType="separate"/>
      </w:r>
      <w:r w:rsidR="00EE1878">
        <w:t>Figure </w:t>
      </w:r>
      <w:r w:rsidR="00EE1878">
        <w:rPr>
          <w:noProof/>
        </w:rPr>
        <w:t>1</w:t>
      </w:r>
      <w:r w:rsidR="005F1B04">
        <w:rPr>
          <w:bCs/>
        </w:rPr>
        <w:fldChar w:fldCharType="end"/>
      </w:r>
      <w:r w:rsidRPr="000D7D3B">
        <w:rPr>
          <w:bCs/>
        </w:rPr>
        <w:t xml:space="preserve">) </w:t>
      </w:r>
      <w:r>
        <w:rPr>
          <w:bCs/>
        </w:rPr>
        <w:t xml:space="preserve">that at room temperature is </w:t>
      </w:r>
      <w:r w:rsidRPr="000D7D3B">
        <w:rPr>
          <w:bCs/>
        </w:rPr>
        <w:t xml:space="preserve">a white to pale-yellow solid with a characteristic ester-like </w:t>
      </w:r>
      <w:r>
        <w:rPr>
          <w:bCs/>
        </w:rPr>
        <w:t>odour</w:t>
      </w:r>
      <w:r w:rsidRPr="000D7D3B">
        <w:rPr>
          <w:bCs/>
        </w:rPr>
        <w:t xml:space="preserve">. It is the </w:t>
      </w:r>
      <w:r w:rsidRPr="000D7D3B">
        <w:rPr>
          <w:bCs/>
        </w:rPr>
        <w:t xml:space="preserve">active ingredient of a variety of commercial herbicide formulations. Metsulfuron-methyl is often </w:t>
      </w:r>
      <w:r>
        <w:rPr>
          <w:bCs/>
        </w:rPr>
        <w:t xml:space="preserve">recommended to be </w:t>
      </w:r>
      <w:r w:rsidRPr="000D7D3B">
        <w:rPr>
          <w:bCs/>
        </w:rPr>
        <w:t>mixed with other herbicides (</w:t>
      </w:r>
      <w:proofErr w:type="gramStart"/>
      <w:r w:rsidRPr="000D7D3B">
        <w:rPr>
          <w:bCs/>
        </w:rPr>
        <w:t>e.g.</w:t>
      </w:r>
      <w:proofErr w:type="gramEnd"/>
      <w:r w:rsidRPr="000D7D3B">
        <w:rPr>
          <w:bCs/>
        </w:rPr>
        <w:t xml:space="preserve"> terbutryn and glyphosate formulations</w:t>
      </w:r>
      <w:r>
        <w:rPr>
          <w:bCs/>
        </w:rPr>
        <w:t>) in tank mixes to increase its efficacy.</w:t>
      </w:r>
      <w:r w:rsidR="000766E2">
        <w:rPr>
          <w:bCs/>
        </w:rPr>
        <w:t xml:space="preserve"> </w:t>
      </w:r>
      <w:r w:rsidR="000766E2" w:rsidRPr="007D5876">
        <w:rPr>
          <w:bCs/>
        </w:rPr>
        <w:t>Physico</w:t>
      </w:r>
      <w:r w:rsidR="000766E2">
        <w:rPr>
          <w:bCs/>
        </w:rPr>
        <w:t>-</w:t>
      </w:r>
      <w:r w:rsidR="000766E2" w:rsidRPr="007D5876">
        <w:rPr>
          <w:bCs/>
        </w:rPr>
        <w:t xml:space="preserve">chemical properties of metsulfuron-methyl that may affect its environmental fate and toxicity are presented in </w:t>
      </w:r>
      <w:r w:rsidR="000766E2">
        <w:rPr>
          <w:bCs/>
        </w:rPr>
        <w:fldChar w:fldCharType="begin"/>
      </w:r>
      <w:r w:rsidR="000766E2">
        <w:rPr>
          <w:bCs/>
        </w:rPr>
        <w:instrText xml:space="preserve"> REF _Ref14609800 \h </w:instrText>
      </w:r>
      <w:r w:rsidR="000766E2">
        <w:rPr>
          <w:bCs/>
        </w:rPr>
      </w:r>
      <w:r w:rsidR="000766E2">
        <w:rPr>
          <w:bCs/>
        </w:rPr>
        <w:fldChar w:fldCharType="separate"/>
      </w:r>
      <w:r w:rsidR="00EE1878">
        <w:t>Table </w:t>
      </w:r>
      <w:r w:rsidR="00EE1878">
        <w:rPr>
          <w:noProof/>
        </w:rPr>
        <w:t>1</w:t>
      </w:r>
      <w:r w:rsidR="000766E2">
        <w:rPr>
          <w:bCs/>
        </w:rPr>
        <w:fldChar w:fldCharType="end"/>
      </w:r>
      <w:r w:rsidR="000766E2">
        <w:rPr>
          <w:bCs/>
        </w:rPr>
        <w:t>.</w:t>
      </w:r>
    </w:p>
    <w:p w14:paraId="422C8FA6" w14:textId="77777777" w:rsidR="007D5876" w:rsidRDefault="00C30114" w:rsidP="00BF0280">
      <w:pPr>
        <w:rPr>
          <w:bCs/>
          <w:highlight w:val="yellow"/>
        </w:rPr>
      </w:pPr>
      <w:r w:rsidRPr="000D7D3B">
        <w:rPr>
          <w:noProof/>
          <w:lang w:eastAsia="en-AU"/>
        </w:rPr>
        <w:drawing>
          <wp:inline distT="0" distB="0" distL="0" distR="0" wp14:anchorId="72246095" wp14:editId="789A2F9C">
            <wp:extent cx="3039700" cy="1095375"/>
            <wp:effectExtent l="0" t="0" r="8890" b="0"/>
            <wp:docPr id="1" name="Picture 1" descr="Figure shows the structural formula of metsulfuron-methyl (C14H15N5O6S)." title="Structure of metsulfuron-meth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284083" name=""/>
                    <pic:cNvPicPr/>
                  </pic:nvPicPr>
                  <pic:blipFill>
                    <a:blip r:embed="rId18">
                      <a:extLst>
                        <a:ext uri="{28A0092B-C50C-407E-A947-70E740481C1C}">
                          <a14:useLocalDpi xmlns:a14="http://schemas.microsoft.com/office/drawing/2010/main" val="0"/>
                        </a:ext>
                      </a:extLst>
                    </a:blip>
                    <a:srcRect t="4959"/>
                    <a:stretch>
                      <a:fillRect/>
                    </a:stretch>
                  </pic:blipFill>
                  <pic:spPr bwMode="auto">
                    <a:xfrm>
                      <a:off x="0" y="0"/>
                      <a:ext cx="3039700" cy="1095375"/>
                    </a:xfrm>
                    <a:prstGeom prst="rect">
                      <a:avLst/>
                    </a:prstGeom>
                    <a:ln>
                      <a:noFill/>
                    </a:ln>
                    <a:extLst>
                      <a:ext uri="{53640926-AAD7-44D8-BBD7-CCE9431645EC}">
                        <a14:shadowObscured xmlns:a14="http://schemas.microsoft.com/office/drawing/2010/main"/>
                      </a:ext>
                    </a:extLst>
                  </pic:spPr>
                </pic:pic>
              </a:graphicData>
            </a:graphic>
          </wp:inline>
        </w:drawing>
      </w:r>
    </w:p>
    <w:p w14:paraId="428FBC6E" w14:textId="77777777" w:rsidR="007D5876" w:rsidRDefault="00C30114" w:rsidP="00A3606C">
      <w:pPr>
        <w:pStyle w:val="Caption"/>
      </w:pPr>
      <w:bookmarkStart w:id="2" w:name="_Ref14609730"/>
      <w:bookmarkStart w:id="3" w:name="_Toc34400621"/>
      <w:r>
        <w:t>Figure</w:t>
      </w:r>
      <w:r w:rsidR="00F76B3B">
        <w:t> </w:t>
      </w:r>
      <w:r w:rsidR="003176C6">
        <w:rPr>
          <w:noProof/>
        </w:rPr>
        <w:fldChar w:fldCharType="begin"/>
      </w:r>
      <w:r w:rsidR="003176C6">
        <w:rPr>
          <w:noProof/>
        </w:rPr>
        <w:instrText xml:space="preserve"> SEQ Figure \* ARABIC </w:instrText>
      </w:r>
      <w:r w:rsidR="003176C6">
        <w:rPr>
          <w:noProof/>
        </w:rPr>
        <w:fldChar w:fldCharType="separate"/>
      </w:r>
      <w:r w:rsidR="003176C6">
        <w:rPr>
          <w:noProof/>
        </w:rPr>
        <w:t>1</w:t>
      </w:r>
      <w:r w:rsidR="003176C6">
        <w:rPr>
          <w:noProof/>
        </w:rPr>
        <w:fldChar w:fldCharType="end"/>
      </w:r>
      <w:bookmarkEnd w:id="2"/>
      <w:r>
        <w:t xml:space="preserve"> </w:t>
      </w:r>
      <w:r w:rsidR="00A3606C">
        <w:t>Structure of metsulfuron-methyl</w:t>
      </w:r>
      <w:bookmarkEnd w:id="3"/>
    </w:p>
    <w:p w14:paraId="1F3C9BBC" w14:textId="77777777" w:rsidR="007D5876" w:rsidRDefault="007D5876" w:rsidP="00BF0280">
      <w:pPr>
        <w:rPr>
          <w:bCs/>
        </w:rPr>
      </w:pPr>
    </w:p>
    <w:p w14:paraId="732F319E" w14:textId="77777777" w:rsidR="007D5876" w:rsidRDefault="00C30114" w:rsidP="00A3606C">
      <w:pPr>
        <w:pStyle w:val="Caption"/>
      </w:pPr>
      <w:bookmarkStart w:id="4" w:name="_Ref14609800"/>
      <w:bookmarkStart w:id="5" w:name="_Toc34400623"/>
      <w:r>
        <w:t>Table </w:t>
      </w:r>
      <w:r w:rsidR="00B43F23">
        <w:rPr>
          <w:noProof/>
        </w:rPr>
        <w:fldChar w:fldCharType="begin"/>
      </w:r>
      <w:r w:rsidR="00B43F23">
        <w:rPr>
          <w:noProof/>
        </w:rPr>
        <w:instrText xml:space="preserve"> SEQ Table \* ARABIC </w:instrText>
      </w:r>
      <w:r w:rsidR="00B43F23">
        <w:rPr>
          <w:noProof/>
        </w:rPr>
        <w:fldChar w:fldCharType="separate"/>
      </w:r>
      <w:r w:rsidR="00B43F23">
        <w:rPr>
          <w:noProof/>
        </w:rPr>
        <w:t>1</w:t>
      </w:r>
      <w:r w:rsidR="00B43F23">
        <w:rPr>
          <w:noProof/>
        </w:rPr>
        <w:fldChar w:fldCharType="end"/>
      </w:r>
      <w:bookmarkEnd w:id="4"/>
      <w:r w:rsidR="002D38F6">
        <w:t xml:space="preserve"> </w:t>
      </w:r>
      <w:r w:rsidRPr="007D5876">
        <w:t>Summary of selected physico</w:t>
      </w:r>
      <w:r w:rsidR="00213A9F">
        <w:t>-</w:t>
      </w:r>
      <w:r w:rsidRPr="007D5876">
        <w:t>chemical p</w:t>
      </w:r>
      <w:r w:rsidR="00A3606C">
        <w:t>roperties of metsulfuron-methyl</w:t>
      </w:r>
      <w:bookmarkEnd w:id="5"/>
    </w:p>
    <w:tbl>
      <w:tblPr>
        <w:tblW w:w="5000" w:type="pct"/>
        <w:tblBorders>
          <w:top w:val="single" w:sz="4" w:space="0" w:color="auto"/>
          <w:bottom w:val="single" w:sz="4" w:space="0" w:color="auto"/>
          <w:insideH w:val="single" w:sz="4" w:space="0" w:color="auto"/>
        </w:tblBorders>
        <w:tblLook w:val="04A0" w:firstRow="1" w:lastRow="0" w:firstColumn="1" w:lastColumn="0" w:noHBand="0" w:noVBand="1"/>
        <w:tblCaption w:val="Summary of selected physico-chemical properties of metsulfuron-methyl"/>
        <w:tblDescription w:val="Table shows the physico-chemical properties (molecular weight, aqueous solubility, octanol-water partition coefficient, organic carbon water partition coefficient, bioconcentration factor, half-life in water, and half-life in soil) of metsulfuron-methyl against their corresponding values."/>
      </w:tblPr>
      <w:tblGrid>
        <w:gridCol w:w="4535"/>
        <w:gridCol w:w="4535"/>
      </w:tblGrid>
      <w:tr w:rsidR="00231336" w14:paraId="4529BD3F" w14:textId="77777777" w:rsidTr="00255C8A">
        <w:trPr>
          <w:cantSplit/>
          <w:tblHeader/>
        </w:trPr>
        <w:tc>
          <w:tcPr>
            <w:tcW w:w="2500" w:type="pct"/>
            <w:tcBorders>
              <w:top w:val="single" w:sz="12" w:space="0" w:color="auto"/>
              <w:bottom w:val="single" w:sz="12" w:space="0" w:color="auto"/>
            </w:tcBorders>
            <w:shd w:val="clear" w:color="auto" w:fill="auto"/>
          </w:tcPr>
          <w:p w14:paraId="748F6EAF" w14:textId="77777777" w:rsidR="007D5876" w:rsidRPr="00EE0902" w:rsidRDefault="00C30114" w:rsidP="00A3606C">
            <w:pPr>
              <w:pStyle w:val="TableHeading"/>
            </w:pPr>
            <w:r w:rsidRPr="00EE0902">
              <w:t>Physico</w:t>
            </w:r>
            <w:r w:rsidR="00213A9F">
              <w:t>-</w:t>
            </w:r>
            <w:r w:rsidRPr="00EE0902">
              <w:t>chemical property</w:t>
            </w:r>
          </w:p>
        </w:tc>
        <w:tc>
          <w:tcPr>
            <w:tcW w:w="2500" w:type="pct"/>
            <w:tcBorders>
              <w:top w:val="single" w:sz="12" w:space="0" w:color="auto"/>
              <w:bottom w:val="single" w:sz="12" w:space="0" w:color="auto"/>
            </w:tcBorders>
            <w:shd w:val="clear" w:color="auto" w:fill="auto"/>
          </w:tcPr>
          <w:p w14:paraId="3D962C2E" w14:textId="77777777" w:rsidR="007D5876" w:rsidRPr="00EE0902" w:rsidRDefault="00C30114" w:rsidP="00A3606C">
            <w:pPr>
              <w:pStyle w:val="TableHeading"/>
            </w:pPr>
            <w:r w:rsidRPr="00EE0902">
              <w:t>Value</w:t>
            </w:r>
          </w:p>
        </w:tc>
      </w:tr>
      <w:tr w:rsidR="00231336" w14:paraId="1EAE4FBB" w14:textId="77777777" w:rsidTr="00255C8A">
        <w:trPr>
          <w:cantSplit/>
        </w:trPr>
        <w:tc>
          <w:tcPr>
            <w:tcW w:w="2500" w:type="pct"/>
            <w:tcBorders>
              <w:top w:val="single" w:sz="12" w:space="0" w:color="auto"/>
            </w:tcBorders>
            <w:shd w:val="clear" w:color="auto" w:fill="auto"/>
          </w:tcPr>
          <w:p w14:paraId="6D4E003C" w14:textId="77777777" w:rsidR="007D5876" w:rsidRPr="00EE0902" w:rsidRDefault="00C30114" w:rsidP="0021245F">
            <w:pPr>
              <w:pStyle w:val="TableText"/>
            </w:pPr>
            <w:r w:rsidRPr="00EE0902">
              <w:t>Molecular weight</w:t>
            </w:r>
          </w:p>
        </w:tc>
        <w:tc>
          <w:tcPr>
            <w:tcW w:w="2500" w:type="pct"/>
            <w:tcBorders>
              <w:top w:val="single" w:sz="12" w:space="0" w:color="auto"/>
            </w:tcBorders>
            <w:shd w:val="clear" w:color="auto" w:fill="auto"/>
          </w:tcPr>
          <w:p w14:paraId="646C02A5" w14:textId="77777777" w:rsidR="007D5876" w:rsidRPr="00EE0902" w:rsidRDefault="00C30114" w:rsidP="00255C8A">
            <w:pPr>
              <w:pStyle w:val="TableText"/>
            </w:pPr>
            <w:r w:rsidRPr="00EE0902">
              <w:t>381.4</w:t>
            </w:r>
            <w:r w:rsidR="00255C8A">
              <w:t> </w:t>
            </w:r>
            <w:r w:rsidRPr="00EE0902">
              <w:t>amu</w:t>
            </w:r>
            <w:r w:rsidR="00841660">
              <w:t xml:space="preserve"> </w:t>
            </w:r>
          </w:p>
        </w:tc>
      </w:tr>
      <w:tr w:rsidR="00231336" w14:paraId="6DF125C7" w14:textId="77777777" w:rsidTr="00255C8A">
        <w:trPr>
          <w:cantSplit/>
        </w:trPr>
        <w:tc>
          <w:tcPr>
            <w:tcW w:w="2500" w:type="pct"/>
            <w:shd w:val="clear" w:color="auto" w:fill="auto"/>
          </w:tcPr>
          <w:p w14:paraId="20357FF8" w14:textId="77777777" w:rsidR="007D5876" w:rsidRPr="00EE0902" w:rsidRDefault="00C30114" w:rsidP="0021245F">
            <w:pPr>
              <w:pStyle w:val="TableText"/>
            </w:pPr>
            <w:r w:rsidRPr="00EE0902">
              <w:t>Aqueous solubility</w:t>
            </w:r>
          </w:p>
        </w:tc>
        <w:tc>
          <w:tcPr>
            <w:tcW w:w="2500" w:type="pct"/>
            <w:shd w:val="clear" w:color="auto" w:fill="auto"/>
          </w:tcPr>
          <w:p w14:paraId="3F7B0810" w14:textId="77777777" w:rsidR="007D5876" w:rsidRPr="00EE0902" w:rsidRDefault="00C30114" w:rsidP="00255C8A">
            <w:pPr>
              <w:pStyle w:val="TableText"/>
            </w:pPr>
            <w:r w:rsidRPr="00EE0902">
              <w:t>548</w:t>
            </w:r>
            <w:r w:rsidR="00255C8A">
              <w:t> </w:t>
            </w:r>
            <w:r w:rsidRPr="00EE0902">
              <w:t>mg/L (pH</w:t>
            </w:r>
            <w:r w:rsidR="00255C8A">
              <w:t> </w:t>
            </w:r>
            <w:r w:rsidRPr="00EE0902">
              <w:t>5), 2</w:t>
            </w:r>
            <w:r w:rsidR="00255C8A">
              <w:t> </w:t>
            </w:r>
            <w:r w:rsidRPr="00EE0902">
              <w:t>790</w:t>
            </w:r>
            <w:r w:rsidR="00255C8A">
              <w:t> </w:t>
            </w:r>
            <w:r w:rsidRPr="00EE0902">
              <w:t>mg/L (pH</w:t>
            </w:r>
            <w:r w:rsidR="00255C8A">
              <w:t> </w:t>
            </w:r>
            <w:r w:rsidRPr="00EE0902">
              <w:t>7), 213</w:t>
            </w:r>
            <w:r w:rsidR="00255C8A">
              <w:t> </w:t>
            </w:r>
            <w:r w:rsidRPr="00EE0902">
              <w:t>000 mg/L (pH</w:t>
            </w:r>
            <w:r w:rsidR="00255C8A">
              <w:t> </w:t>
            </w:r>
            <w:r w:rsidRPr="00EE0902">
              <w:t>9) @ temperature of 25</w:t>
            </w:r>
            <w:r>
              <w:t> </w:t>
            </w:r>
            <w:r w:rsidRPr="00EE0902">
              <w:rPr>
                <w:vertAlign w:val="superscript"/>
              </w:rPr>
              <w:t>o</w:t>
            </w:r>
            <w:r w:rsidRPr="00EE0902">
              <w:t>C</w:t>
            </w:r>
            <w:r w:rsidR="00841660">
              <w:t xml:space="preserve"> </w:t>
            </w:r>
            <w:r w:rsidRPr="0021245F">
              <w:rPr>
                <w:rStyle w:val="Strong"/>
                <w:vertAlign w:val="superscript"/>
              </w:rPr>
              <w:t>1</w:t>
            </w:r>
            <w:r>
              <w:rPr>
                <w:vertAlign w:val="superscript"/>
              </w:rPr>
              <w:br/>
            </w:r>
            <w:r w:rsidRPr="00EE0902">
              <w:t>2</w:t>
            </w:r>
            <w:r w:rsidR="00255C8A">
              <w:t> </w:t>
            </w:r>
            <w:r w:rsidRPr="00EE0902">
              <w:t>790</w:t>
            </w:r>
            <w:r w:rsidR="00255C8A">
              <w:t> </w:t>
            </w:r>
            <w:r>
              <w:t xml:space="preserve">mg/L @ temperature of </w:t>
            </w:r>
            <w:r w:rsidRPr="00EE0902">
              <w:t>20</w:t>
            </w:r>
            <w:r>
              <w:t> </w:t>
            </w:r>
            <w:r w:rsidRPr="00EE0902">
              <w:rPr>
                <w:vertAlign w:val="superscript"/>
              </w:rPr>
              <w:t>o</w:t>
            </w:r>
            <w:r w:rsidRPr="00EE0902">
              <w:t>C</w:t>
            </w:r>
            <w:r w:rsidR="00841660">
              <w:t xml:space="preserve"> </w:t>
            </w:r>
            <w:r w:rsidRPr="0021245F">
              <w:rPr>
                <w:rStyle w:val="Strong"/>
                <w:vertAlign w:val="superscript"/>
              </w:rPr>
              <w:t>2</w:t>
            </w:r>
          </w:p>
        </w:tc>
      </w:tr>
      <w:tr w:rsidR="00231336" w14:paraId="131184AB" w14:textId="77777777" w:rsidTr="00255C8A">
        <w:trPr>
          <w:cantSplit/>
        </w:trPr>
        <w:tc>
          <w:tcPr>
            <w:tcW w:w="2500" w:type="pct"/>
            <w:shd w:val="clear" w:color="auto" w:fill="auto"/>
          </w:tcPr>
          <w:p w14:paraId="57432692" w14:textId="77777777" w:rsidR="007D5876" w:rsidRPr="00EE0902" w:rsidRDefault="00C30114" w:rsidP="0021245F">
            <w:pPr>
              <w:pStyle w:val="TableText"/>
            </w:pPr>
            <w:r w:rsidRPr="00EE0902">
              <w:t>Logarithm of the octanol-water partition coefficient (log</w:t>
            </w:r>
            <w:r w:rsidR="00255C8A">
              <w:t> </w:t>
            </w:r>
            <w:r w:rsidRPr="00EE0902">
              <w:t>K</w:t>
            </w:r>
            <w:r w:rsidRPr="00881876">
              <w:rPr>
                <w:vertAlign w:val="subscript"/>
              </w:rPr>
              <w:t>ow</w:t>
            </w:r>
            <w:r w:rsidRPr="00EE0902">
              <w:t>)</w:t>
            </w:r>
          </w:p>
        </w:tc>
        <w:tc>
          <w:tcPr>
            <w:tcW w:w="2500" w:type="pct"/>
            <w:shd w:val="clear" w:color="auto" w:fill="auto"/>
          </w:tcPr>
          <w:p w14:paraId="462BA2CE" w14:textId="77777777" w:rsidR="007D5876" w:rsidRPr="00EE0902" w:rsidRDefault="00C30114" w:rsidP="00AD5384">
            <w:pPr>
              <w:pStyle w:val="TableText"/>
            </w:pPr>
            <w:r w:rsidRPr="00EE0902">
              <w:t xml:space="preserve">-1.87 </w:t>
            </w:r>
            <w:r w:rsidR="00E04AA6">
              <w:t xml:space="preserve">at </w:t>
            </w:r>
            <w:r w:rsidRPr="00EE0902">
              <w:t>pH 7</w:t>
            </w:r>
            <w:r w:rsidR="00255C8A">
              <w:t xml:space="preserve"> and</w:t>
            </w:r>
            <w:r w:rsidRPr="00EE0902">
              <w:t xml:space="preserve"> temperature of 20</w:t>
            </w:r>
            <w:r>
              <w:t> </w:t>
            </w:r>
            <w:r w:rsidRPr="00EE0902">
              <w:rPr>
                <w:vertAlign w:val="superscript"/>
              </w:rPr>
              <w:t>o</w:t>
            </w:r>
            <w:r w:rsidRPr="00EE0902">
              <w:t>C</w:t>
            </w:r>
            <w:r w:rsidR="00841660">
              <w:t xml:space="preserve"> </w:t>
            </w:r>
            <w:r w:rsidR="00213A9F">
              <w:rPr>
                <w:rStyle w:val="Strong"/>
                <w:vertAlign w:val="superscript"/>
              </w:rPr>
              <w:t>a</w:t>
            </w:r>
            <w:r w:rsidRPr="0021245F">
              <w:rPr>
                <w:vertAlign w:val="superscript"/>
              </w:rPr>
              <w:t>,</w:t>
            </w:r>
            <w:r w:rsidR="00841660">
              <w:rPr>
                <w:vertAlign w:val="superscript"/>
              </w:rPr>
              <w:t xml:space="preserve"> </w:t>
            </w:r>
            <w:r w:rsidR="00213A9F">
              <w:rPr>
                <w:rStyle w:val="Strong"/>
                <w:vertAlign w:val="superscript"/>
              </w:rPr>
              <w:t>b</w:t>
            </w:r>
          </w:p>
        </w:tc>
      </w:tr>
      <w:tr w:rsidR="00231336" w14:paraId="07F4AB11" w14:textId="77777777" w:rsidTr="00255C8A">
        <w:trPr>
          <w:cantSplit/>
        </w:trPr>
        <w:tc>
          <w:tcPr>
            <w:tcW w:w="2500" w:type="pct"/>
            <w:shd w:val="clear" w:color="auto" w:fill="auto"/>
          </w:tcPr>
          <w:p w14:paraId="221B40B5" w14:textId="77777777" w:rsidR="007D5876" w:rsidRPr="00EE0902" w:rsidRDefault="00C30114" w:rsidP="0021245F">
            <w:pPr>
              <w:pStyle w:val="TableText"/>
            </w:pPr>
            <w:r w:rsidRPr="00EE0902">
              <w:t>Logarithm of the organic carbon water partition coefficient (log</w:t>
            </w:r>
            <w:r w:rsidR="00255C8A">
              <w:t> </w:t>
            </w:r>
            <w:r w:rsidRPr="00EE0902">
              <w:t>K</w:t>
            </w:r>
            <w:r w:rsidRPr="00881876">
              <w:rPr>
                <w:vertAlign w:val="subscript"/>
              </w:rPr>
              <w:t>oc</w:t>
            </w:r>
            <w:r w:rsidRPr="00EE0902">
              <w:t>)</w:t>
            </w:r>
          </w:p>
        </w:tc>
        <w:tc>
          <w:tcPr>
            <w:tcW w:w="2500" w:type="pct"/>
            <w:shd w:val="clear" w:color="auto" w:fill="auto"/>
          </w:tcPr>
          <w:p w14:paraId="0A8E1628" w14:textId="77777777" w:rsidR="007D5876" w:rsidRPr="00EE0902" w:rsidRDefault="00C30114" w:rsidP="0021245F">
            <w:pPr>
              <w:pStyle w:val="TableText"/>
            </w:pPr>
            <w:r w:rsidRPr="00EE0902">
              <w:t>1.54</w:t>
            </w:r>
            <w:r w:rsidR="00841660">
              <w:t xml:space="preserve"> </w:t>
            </w:r>
            <w:r w:rsidR="00213A9F">
              <w:rPr>
                <w:rStyle w:val="Strong"/>
                <w:vertAlign w:val="superscript"/>
              </w:rPr>
              <w:t>c</w:t>
            </w:r>
          </w:p>
        </w:tc>
      </w:tr>
      <w:tr w:rsidR="00231336" w14:paraId="776F8E41" w14:textId="77777777" w:rsidTr="00255C8A">
        <w:trPr>
          <w:cantSplit/>
        </w:trPr>
        <w:tc>
          <w:tcPr>
            <w:tcW w:w="2500" w:type="pct"/>
            <w:shd w:val="clear" w:color="auto" w:fill="auto"/>
          </w:tcPr>
          <w:p w14:paraId="505356EF" w14:textId="77777777" w:rsidR="007D5876" w:rsidRPr="00EE0902" w:rsidRDefault="00C30114" w:rsidP="0021245F">
            <w:pPr>
              <w:pStyle w:val="TableText"/>
            </w:pPr>
            <w:r w:rsidRPr="00EE0902">
              <w:t>Logarithm of the bioconcentration factor (log BCF)</w:t>
            </w:r>
          </w:p>
        </w:tc>
        <w:tc>
          <w:tcPr>
            <w:tcW w:w="2500" w:type="pct"/>
            <w:shd w:val="clear" w:color="auto" w:fill="auto"/>
          </w:tcPr>
          <w:p w14:paraId="283AEBAA" w14:textId="77777777" w:rsidR="007D5876" w:rsidRPr="00EE0902" w:rsidRDefault="00C30114" w:rsidP="0021245F">
            <w:pPr>
              <w:pStyle w:val="TableText"/>
              <w:rPr>
                <w:vertAlign w:val="superscript"/>
              </w:rPr>
            </w:pPr>
            <w:r w:rsidRPr="00EE0902">
              <w:t>1</w:t>
            </w:r>
            <w:r w:rsidR="00841660">
              <w:t xml:space="preserve"> </w:t>
            </w:r>
            <w:r w:rsidR="00213A9F">
              <w:rPr>
                <w:rStyle w:val="Strong"/>
                <w:vertAlign w:val="superscript"/>
              </w:rPr>
              <w:t>c</w:t>
            </w:r>
          </w:p>
        </w:tc>
      </w:tr>
      <w:tr w:rsidR="00231336" w14:paraId="0F6D2E1F" w14:textId="77777777" w:rsidTr="00255C8A">
        <w:trPr>
          <w:cantSplit/>
        </w:trPr>
        <w:tc>
          <w:tcPr>
            <w:tcW w:w="2500" w:type="pct"/>
            <w:tcBorders>
              <w:bottom w:val="single" w:sz="4" w:space="0" w:color="auto"/>
            </w:tcBorders>
            <w:shd w:val="clear" w:color="auto" w:fill="auto"/>
          </w:tcPr>
          <w:p w14:paraId="0DB147FB" w14:textId="77777777" w:rsidR="007D5876" w:rsidRPr="00EE0902" w:rsidRDefault="00C30114" w:rsidP="0021245F">
            <w:pPr>
              <w:pStyle w:val="TableText"/>
            </w:pPr>
            <w:r w:rsidRPr="00EE0902">
              <w:t>Half-life (</w:t>
            </w:r>
            <w:r>
              <w:t>t</w:t>
            </w:r>
            <w:r w:rsidRPr="00EE0902">
              <w:rPr>
                <w:vertAlign w:val="subscript"/>
              </w:rPr>
              <w:t>1/2</w:t>
            </w:r>
            <w:r w:rsidRPr="00EE0902">
              <w:t>)</w:t>
            </w:r>
            <w:r>
              <w:t xml:space="preserve"> in water</w:t>
            </w:r>
          </w:p>
        </w:tc>
        <w:tc>
          <w:tcPr>
            <w:tcW w:w="2500" w:type="pct"/>
            <w:tcBorders>
              <w:bottom w:val="single" w:sz="4" w:space="0" w:color="auto"/>
            </w:tcBorders>
            <w:shd w:val="clear" w:color="auto" w:fill="auto"/>
          </w:tcPr>
          <w:p w14:paraId="65231F1B" w14:textId="77777777" w:rsidR="007D5876" w:rsidRPr="00EE0902" w:rsidRDefault="00C30114" w:rsidP="00255C8A">
            <w:pPr>
              <w:pStyle w:val="TableText"/>
            </w:pPr>
            <w:r w:rsidRPr="00EE0902">
              <w:t>22</w:t>
            </w:r>
            <w:r>
              <w:t xml:space="preserve"> days </w:t>
            </w:r>
            <w:r w:rsidR="00255C8A">
              <w:t>at</w:t>
            </w:r>
            <w:r>
              <w:t xml:space="preserve"> </w:t>
            </w:r>
            <w:r w:rsidRPr="00EE0902">
              <w:t>pH 5</w:t>
            </w:r>
            <w:r>
              <w:t>–</w:t>
            </w:r>
            <w:r w:rsidRPr="00EE0902">
              <w:t>9</w:t>
            </w:r>
            <w:r>
              <w:t xml:space="preserve"> and temperature of</w:t>
            </w:r>
            <w:r w:rsidRPr="00EE0902">
              <w:t xml:space="preserve"> 25</w:t>
            </w:r>
            <w:r>
              <w:t> </w:t>
            </w:r>
            <w:r w:rsidRPr="00EE0902">
              <w:rPr>
                <w:rFonts w:ascii="Corbel" w:hAnsi="Corbel"/>
              </w:rPr>
              <w:t>º</w:t>
            </w:r>
            <w:r w:rsidRPr="00EE0902">
              <w:t>C</w:t>
            </w:r>
            <w:r w:rsidR="00841660">
              <w:t xml:space="preserve"> </w:t>
            </w:r>
            <w:r w:rsidR="00213A9F">
              <w:rPr>
                <w:rStyle w:val="Strong"/>
                <w:vertAlign w:val="superscript"/>
              </w:rPr>
              <w:t>b</w:t>
            </w:r>
          </w:p>
        </w:tc>
      </w:tr>
      <w:tr w:rsidR="00231336" w14:paraId="24A595A5" w14:textId="77777777" w:rsidTr="00255C8A">
        <w:trPr>
          <w:cantSplit/>
        </w:trPr>
        <w:tc>
          <w:tcPr>
            <w:tcW w:w="2500" w:type="pct"/>
            <w:tcBorders>
              <w:bottom w:val="single" w:sz="12" w:space="0" w:color="auto"/>
            </w:tcBorders>
            <w:shd w:val="clear" w:color="auto" w:fill="auto"/>
          </w:tcPr>
          <w:p w14:paraId="6A8F1089" w14:textId="77777777" w:rsidR="007D5876" w:rsidRPr="00EE0902" w:rsidRDefault="00C30114" w:rsidP="0021245F">
            <w:pPr>
              <w:pStyle w:val="TableText"/>
            </w:pPr>
            <w:r w:rsidRPr="00EE0902">
              <w:t>Half-life (</w:t>
            </w:r>
            <w:r>
              <w:t>t</w:t>
            </w:r>
            <w:r w:rsidRPr="00EE0902">
              <w:rPr>
                <w:vertAlign w:val="subscript"/>
              </w:rPr>
              <w:t>1/2</w:t>
            </w:r>
            <w:r w:rsidRPr="00EE0902">
              <w:t>)</w:t>
            </w:r>
            <w:r>
              <w:t xml:space="preserve"> in soil</w:t>
            </w:r>
          </w:p>
        </w:tc>
        <w:tc>
          <w:tcPr>
            <w:tcW w:w="2500" w:type="pct"/>
            <w:tcBorders>
              <w:bottom w:val="single" w:sz="12" w:space="0" w:color="auto"/>
            </w:tcBorders>
            <w:shd w:val="clear" w:color="auto" w:fill="auto"/>
          </w:tcPr>
          <w:p w14:paraId="0D7A373B" w14:textId="77777777" w:rsidR="007D5876" w:rsidRPr="00EE0902" w:rsidRDefault="00C30114" w:rsidP="00255C8A">
            <w:pPr>
              <w:pStyle w:val="TableText"/>
            </w:pPr>
            <w:r>
              <w:t>Typical: 10–30 days; up to 180 days</w:t>
            </w:r>
            <w:r w:rsidR="00841660">
              <w:t xml:space="preserve"> </w:t>
            </w:r>
            <w:r w:rsidR="00213A9F">
              <w:rPr>
                <w:rStyle w:val="Strong"/>
                <w:vertAlign w:val="superscript"/>
              </w:rPr>
              <w:t>b</w:t>
            </w:r>
            <w:r w:rsidRPr="0021245F">
              <w:rPr>
                <w:szCs w:val="16"/>
                <w:vertAlign w:val="superscript"/>
              </w:rPr>
              <w:t>,</w:t>
            </w:r>
            <w:r w:rsidR="00841660">
              <w:rPr>
                <w:szCs w:val="16"/>
                <w:vertAlign w:val="superscript"/>
              </w:rPr>
              <w:t xml:space="preserve"> </w:t>
            </w:r>
            <w:r w:rsidR="00213A9F">
              <w:rPr>
                <w:rStyle w:val="Strong"/>
                <w:vertAlign w:val="superscript"/>
              </w:rPr>
              <w:t>d</w:t>
            </w:r>
          </w:p>
        </w:tc>
      </w:tr>
    </w:tbl>
    <w:p w14:paraId="7F6AB228" w14:textId="77777777" w:rsidR="0021245F" w:rsidRDefault="00C30114" w:rsidP="0021245F">
      <w:pPr>
        <w:pStyle w:val="FigureTableNoteSource"/>
      </w:pPr>
      <w:r>
        <w:rPr>
          <w:rStyle w:val="Strong"/>
        </w:rPr>
        <w:t>a</w:t>
      </w:r>
      <w:r>
        <w:t xml:space="preserve"> BCPC (2012).</w:t>
      </w:r>
    </w:p>
    <w:p w14:paraId="3B4192DB" w14:textId="77777777" w:rsidR="0021245F" w:rsidRDefault="00C30114" w:rsidP="0021245F">
      <w:pPr>
        <w:pStyle w:val="FigureTableNoteSource"/>
      </w:pPr>
      <w:r>
        <w:rPr>
          <w:rStyle w:val="Strong"/>
        </w:rPr>
        <w:t>b</w:t>
      </w:r>
      <w:r w:rsidR="007D5876" w:rsidRPr="007D5876">
        <w:t xml:space="preserve"> Pesticide Properties Database (University of Hertfordshire 2013).</w:t>
      </w:r>
    </w:p>
    <w:p w14:paraId="5DABABCE" w14:textId="77777777" w:rsidR="0021245F" w:rsidRDefault="00C30114" w:rsidP="0021245F">
      <w:pPr>
        <w:pStyle w:val="FigureTableNoteSource"/>
      </w:pPr>
      <w:r>
        <w:rPr>
          <w:rStyle w:val="Strong"/>
        </w:rPr>
        <w:t>c</w:t>
      </w:r>
      <w:r w:rsidR="007D5876" w:rsidRPr="007D5876">
        <w:t xml:space="preserve"> Barcel</w:t>
      </w:r>
      <w:r w:rsidR="00E06F96">
        <w:t>ö</w:t>
      </w:r>
      <w:r w:rsidR="007D5876" w:rsidRPr="007D5876">
        <w:t xml:space="preserve"> and Hen</w:t>
      </w:r>
      <w:r w:rsidR="00255C8A">
        <w:t>n</w:t>
      </w:r>
      <w:r w:rsidR="007D5876" w:rsidRPr="007D5876">
        <w:t xml:space="preserve">ion (2003). </w:t>
      </w:r>
    </w:p>
    <w:p w14:paraId="1DEAEC48" w14:textId="77777777" w:rsidR="007D5876" w:rsidRDefault="00C30114" w:rsidP="0021245F">
      <w:pPr>
        <w:pStyle w:val="FigureTableNoteSource"/>
      </w:pPr>
      <w:r>
        <w:rPr>
          <w:rStyle w:val="Strong"/>
        </w:rPr>
        <w:t>d</w:t>
      </w:r>
      <w:r w:rsidRPr="007D5876">
        <w:t xml:space="preserve"> Cornell University (1993).</w:t>
      </w:r>
    </w:p>
    <w:p w14:paraId="587755F4" w14:textId="77777777" w:rsidR="008C71BE" w:rsidRDefault="00C30114" w:rsidP="007D5876">
      <w:pPr>
        <w:rPr>
          <w:bCs/>
        </w:rPr>
      </w:pPr>
      <w:r w:rsidRPr="007D5876">
        <w:rPr>
          <w:bCs/>
        </w:rPr>
        <w:t xml:space="preserve">Metsulfuron-methyl belongs to the triazinylsulfonylurea group that sits within the sulfonylurea group of the urea family of herbicides, which also includes iodosulfuron, ethametsulfuron, thifensulfuron and their methylated forms. </w:t>
      </w:r>
      <w:r w:rsidR="004F6283" w:rsidRPr="007D5876">
        <w:rPr>
          <w:bCs/>
        </w:rPr>
        <w:t>It is a systemic herbicide and can be applied before and</w:t>
      </w:r>
      <w:r w:rsidR="004F6283">
        <w:rPr>
          <w:bCs/>
        </w:rPr>
        <w:t>/or</w:t>
      </w:r>
      <w:r w:rsidR="004F6283" w:rsidRPr="007D5876">
        <w:rPr>
          <w:bCs/>
        </w:rPr>
        <w:t xml:space="preserve"> after weeds emerge (</w:t>
      </w:r>
      <w:proofErr w:type="gramStart"/>
      <w:r w:rsidR="004F6283" w:rsidRPr="007D5876">
        <w:rPr>
          <w:bCs/>
        </w:rPr>
        <w:t>i.e.</w:t>
      </w:r>
      <w:proofErr w:type="gramEnd"/>
      <w:r w:rsidR="004F6283" w:rsidRPr="007D5876">
        <w:rPr>
          <w:bCs/>
        </w:rPr>
        <w:t xml:space="preserve"> it is a pre-</w:t>
      </w:r>
      <w:r w:rsidR="004F6283">
        <w:rPr>
          <w:bCs/>
        </w:rPr>
        <w:t>emergent</w:t>
      </w:r>
      <w:r w:rsidR="004F6283" w:rsidRPr="007D5876">
        <w:rPr>
          <w:bCs/>
        </w:rPr>
        <w:t xml:space="preserve"> and post-emergent herbicide).</w:t>
      </w:r>
      <w:r w:rsidR="004F6283">
        <w:rPr>
          <w:bCs/>
        </w:rPr>
        <w:t xml:space="preserve"> </w:t>
      </w:r>
      <w:r w:rsidRPr="007D5876">
        <w:rPr>
          <w:bCs/>
        </w:rPr>
        <w:t xml:space="preserve">In Australia, </w:t>
      </w:r>
      <w:r w:rsidR="00C62BD2">
        <w:rPr>
          <w:bCs/>
        </w:rPr>
        <w:t>m</w:t>
      </w:r>
      <w:r w:rsidR="00C62BD2" w:rsidRPr="007D5876">
        <w:rPr>
          <w:bCs/>
        </w:rPr>
        <w:t xml:space="preserve">etsulfuron-methyl </w:t>
      </w:r>
      <w:r>
        <w:rPr>
          <w:bCs/>
        </w:rPr>
        <w:t>has been approved for brush and broadleaf weed control on a range of crops including cereals (</w:t>
      </w:r>
      <w:proofErr w:type="gramStart"/>
      <w:r>
        <w:rPr>
          <w:bCs/>
        </w:rPr>
        <w:t>e.g.</w:t>
      </w:r>
      <w:proofErr w:type="gramEnd"/>
      <w:r>
        <w:rPr>
          <w:bCs/>
        </w:rPr>
        <w:t xml:space="preserve"> wheat, barley,</w:t>
      </w:r>
      <w:r>
        <w:rPr>
          <w:bCs/>
        </w:rPr>
        <w:t xml:space="preserve"> canola, rye, triticale), linseed, chickpeas, mung beans and pastures,</w:t>
      </w:r>
      <w:r w:rsidRPr="007D5876">
        <w:rPr>
          <w:bCs/>
        </w:rPr>
        <w:t xml:space="preserve"> and </w:t>
      </w:r>
      <w:r>
        <w:rPr>
          <w:bCs/>
        </w:rPr>
        <w:t xml:space="preserve">also in other activities such as </w:t>
      </w:r>
      <w:r w:rsidRPr="007D5876">
        <w:rPr>
          <w:bCs/>
        </w:rPr>
        <w:t>forestry</w:t>
      </w:r>
      <w:r>
        <w:rPr>
          <w:bCs/>
        </w:rPr>
        <w:t xml:space="preserve">, commercial and industrial areas, and for </w:t>
      </w:r>
      <w:r w:rsidRPr="00E1454A">
        <w:rPr>
          <w:bCs/>
          <w:i/>
          <w:iCs/>
        </w:rPr>
        <w:t>Mimosa pigra</w:t>
      </w:r>
      <w:r>
        <w:rPr>
          <w:bCs/>
        </w:rPr>
        <w:t xml:space="preserve"> control on floodplains (APVMA 2020)</w:t>
      </w:r>
      <w:r w:rsidRPr="007D5876">
        <w:rPr>
          <w:bCs/>
        </w:rPr>
        <w:t xml:space="preserve">. </w:t>
      </w:r>
      <w:r>
        <w:rPr>
          <w:bCs/>
        </w:rPr>
        <w:t>In New Zealand, it is approved for weed control</w:t>
      </w:r>
      <w:r>
        <w:rPr>
          <w:bCs/>
        </w:rPr>
        <w:t xml:space="preserve"> on pastures, and in forestry (radiata pine) and non-cropland areas (ACVM 2020).</w:t>
      </w:r>
    </w:p>
    <w:p w14:paraId="75295CA3" w14:textId="77777777" w:rsidR="007D5876" w:rsidRPr="007D5876" w:rsidRDefault="00C30114" w:rsidP="007D5876">
      <w:pPr>
        <w:rPr>
          <w:bCs/>
        </w:rPr>
      </w:pPr>
      <w:r w:rsidRPr="007D5876">
        <w:rPr>
          <w:bCs/>
        </w:rPr>
        <w:lastRenderedPageBreak/>
        <w:t xml:space="preserve">Metsulfuron-methyl is a selective residual herbicide, and it retains its biological effectiveness in soil, with </w:t>
      </w:r>
      <w:r w:rsidR="003B64BF">
        <w:rPr>
          <w:bCs/>
        </w:rPr>
        <w:t>a half-life ranging from</w:t>
      </w:r>
      <w:r w:rsidRPr="007D5876">
        <w:rPr>
          <w:bCs/>
        </w:rPr>
        <w:t xml:space="preserve"> days to months (Cornell University 1993</w:t>
      </w:r>
      <w:r w:rsidR="004F6283">
        <w:rPr>
          <w:bCs/>
        </w:rPr>
        <w:t>,</w:t>
      </w:r>
      <w:r w:rsidRPr="007D5876">
        <w:rPr>
          <w:bCs/>
        </w:rPr>
        <w:t xml:space="preserve"> University of Hertfordshire 2013) </w:t>
      </w:r>
      <w:r w:rsidR="004F6283">
        <w:rPr>
          <w:bCs/>
        </w:rPr>
        <w:t xml:space="preserve">and </w:t>
      </w:r>
      <w:r w:rsidRPr="007D5876">
        <w:rPr>
          <w:bCs/>
        </w:rPr>
        <w:t>recommended exclusion times for some cro</w:t>
      </w:r>
      <w:r w:rsidRPr="007D5876">
        <w:rPr>
          <w:bCs/>
        </w:rPr>
        <w:t xml:space="preserve">ps </w:t>
      </w:r>
      <w:r w:rsidR="004F6283">
        <w:rPr>
          <w:bCs/>
        </w:rPr>
        <w:t xml:space="preserve">of </w:t>
      </w:r>
      <w:r w:rsidRPr="007D5876">
        <w:rPr>
          <w:bCs/>
        </w:rPr>
        <w:t>up to 22</w:t>
      </w:r>
      <w:r w:rsidR="004F6283">
        <w:rPr>
          <w:bCs/>
        </w:rPr>
        <w:t> </w:t>
      </w:r>
      <w:r w:rsidRPr="007D5876">
        <w:rPr>
          <w:bCs/>
        </w:rPr>
        <w:t>months (Cornell University 1993). The higher the soil moisture content and temperature and the lower the acidity</w:t>
      </w:r>
      <w:r w:rsidR="004F6283">
        <w:rPr>
          <w:bCs/>
        </w:rPr>
        <w:t>,</w:t>
      </w:r>
      <w:r w:rsidRPr="007D5876">
        <w:rPr>
          <w:bCs/>
        </w:rPr>
        <w:t xml:space="preserve"> the more rapidly metsulfuron-methyl is degraded in soil (Smith 1986). </w:t>
      </w:r>
    </w:p>
    <w:p w14:paraId="4ED3C1BD" w14:textId="77777777" w:rsidR="007D5876" w:rsidRDefault="00C30114" w:rsidP="007D5876">
      <w:pPr>
        <w:rPr>
          <w:bCs/>
          <w:highlight w:val="yellow"/>
        </w:rPr>
      </w:pPr>
      <w:r w:rsidRPr="007D5876">
        <w:rPr>
          <w:bCs/>
        </w:rPr>
        <w:t>Metsulfuron-methyl has a low affinity for binding to soi</w:t>
      </w:r>
      <w:r w:rsidRPr="007D5876">
        <w:rPr>
          <w:bCs/>
        </w:rPr>
        <w:t>l particles (</w:t>
      </w:r>
      <w:r w:rsidR="00B22744">
        <w:rPr>
          <w:bCs/>
        </w:rPr>
        <w:fldChar w:fldCharType="begin"/>
      </w:r>
      <w:r w:rsidR="00B22744">
        <w:rPr>
          <w:bCs/>
        </w:rPr>
        <w:instrText xml:space="preserve"> REF _Ref14609800 \h </w:instrText>
      </w:r>
      <w:r w:rsidR="00B22744">
        <w:rPr>
          <w:bCs/>
        </w:rPr>
      </w:r>
      <w:r w:rsidR="00B22744">
        <w:rPr>
          <w:bCs/>
        </w:rPr>
        <w:fldChar w:fldCharType="separate"/>
      </w:r>
      <w:r w:rsidR="00EE1878">
        <w:t>Table </w:t>
      </w:r>
      <w:r w:rsidR="00EE1878">
        <w:rPr>
          <w:noProof/>
        </w:rPr>
        <w:t>1</w:t>
      </w:r>
      <w:r w:rsidR="00B22744">
        <w:rPr>
          <w:bCs/>
        </w:rPr>
        <w:fldChar w:fldCharType="end"/>
      </w:r>
      <w:r w:rsidRPr="007D5876">
        <w:rPr>
          <w:bCs/>
        </w:rPr>
        <w:t>)</w:t>
      </w:r>
      <w:r w:rsidR="004F6283">
        <w:rPr>
          <w:bCs/>
        </w:rPr>
        <w:t>;</w:t>
      </w:r>
      <w:r w:rsidRPr="007D5876">
        <w:rPr>
          <w:bCs/>
        </w:rPr>
        <w:t xml:space="preserve"> therefore</w:t>
      </w:r>
      <w:r w:rsidR="004F6283">
        <w:rPr>
          <w:bCs/>
        </w:rPr>
        <w:t>,</w:t>
      </w:r>
      <w:r w:rsidRPr="007D5876">
        <w:rPr>
          <w:bCs/>
        </w:rPr>
        <w:t xml:space="preserve"> it has a high capacity to leach to groundwater and end up in surface waters. The aqueous hydrolysis of metsulfuron-methyl is relatively</w:t>
      </w:r>
      <w:r w:rsidRPr="007D5876">
        <w:rPr>
          <w:bCs/>
        </w:rPr>
        <w:t xml:space="preserve"> fast</w:t>
      </w:r>
      <w:r w:rsidR="002578CF">
        <w:rPr>
          <w:bCs/>
        </w:rPr>
        <w:t>,</w:t>
      </w:r>
      <w:r w:rsidRPr="007D5876">
        <w:rPr>
          <w:bCs/>
        </w:rPr>
        <w:t xml:space="preserve"> with a half-life of 22 days at pH 5</w:t>
      </w:r>
      <w:r w:rsidR="002578CF">
        <w:rPr>
          <w:bCs/>
        </w:rPr>
        <w:t>–</w:t>
      </w:r>
      <w:r w:rsidRPr="007D5876">
        <w:rPr>
          <w:bCs/>
        </w:rPr>
        <w:t>9 and a temperature of 25</w:t>
      </w:r>
      <w:r w:rsidR="002578CF">
        <w:rPr>
          <w:bCs/>
        </w:rPr>
        <w:t> </w:t>
      </w:r>
      <w:r w:rsidR="007A3D6F">
        <w:rPr>
          <w:bCs/>
        </w:rPr>
        <w:t>˚</w:t>
      </w:r>
      <w:r w:rsidRPr="007D5876">
        <w:rPr>
          <w:bCs/>
        </w:rPr>
        <w:t>C (University of Hertfordshire 2013) (</w:t>
      </w:r>
      <w:r w:rsidR="00B22744">
        <w:rPr>
          <w:bCs/>
        </w:rPr>
        <w:fldChar w:fldCharType="begin"/>
      </w:r>
      <w:r w:rsidR="00B22744">
        <w:rPr>
          <w:bCs/>
        </w:rPr>
        <w:instrText xml:space="preserve"> REF _Ref14609800 \h </w:instrText>
      </w:r>
      <w:r w:rsidR="00B22744">
        <w:rPr>
          <w:bCs/>
        </w:rPr>
      </w:r>
      <w:r w:rsidR="00B22744">
        <w:rPr>
          <w:bCs/>
        </w:rPr>
        <w:fldChar w:fldCharType="separate"/>
      </w:r>
      <w:r w:rsidR="00EE1878">
        <w:t>Table </w:t>
      </w:r>
      <w:r w:rsidR="00EE1878">
        <w:rPr>
          <w:noProof/>
        </w:rPr>
        <w:t>1</w:t>
      </w:r>
      <w:r w:rsidR="00B22744">
        <w:rPr>
          <w:bCs/>
        </w:rPr>
        <w:fldChar w:fldCharType="end"/>
      </w:r>
      <w:r w:rsidRPr="007D5876">
        <w:rPr>
          <w:bCs/>
        </w:rPr>
        <w:t>).</w:t>
      </w:r>
    </w:p>
    <w:p w14:paraId="2CBC587D" w14:textId="77777777" w:rsidR="00BF0280" w:rsidRDefault="00C30114" w:rsidP="00BF0280">
      <w:pPr>
        <w:pStyle w:val="Heading2"/>
      </w:pPr>
      <w:bookmarkStart w:id="6" w:name="_Toc34400609"/>
      <w:r>
        <w:t>Aquatic toxicology</w:t>
      </w:r>
      <w:bookmarkEnd w:id="6"/>
    </w:p>
    <w:p w14:paraId="509B6B4E" w14:textId="77777777" w:rsidR="00C03B8F" w:rsidRDefault="00C30114" w:rsidP="00C03B8F">
      <w:pPr>
        <w:pStyle w:val="Heading3"/>
      </w:pPr>
      <w:bookmarkStart w:id="7" w:name="_Toc34400610"/>
      <w:r>
        <w:t>Mechanism of toxicity</w:t>
      </w:r>
      <w:bookmarkEnd w:id="7"/>
    </w:p>
    <w:p w14:paraId="75707C81" w14:textId="77777777" w:rsidR="00C03B8F" w:rsidRPr="007D5876" w:rsidRDefault="00C30114" w:rsidP="00C03B8F">
      <w:pPr>
        <w:rPr>
          <w:bCs/>
        </w:rPr>
      </w:pPr>
      <w:r w:rsidRPr="007D5876">
        <w:rPr>
          <w:bCs/>
        </w:rPr>
        <w:t>Metsulfur</w:t>
      </w:r>
      <w:r w:rsidRPr="007D5876">
        <w:rPr>
          <w:bCs/>
        </w:rPr>
        <w:t>on-methyl is mainly absorbed through the roots and foliage of plants and is transported to the leaves and shoots where it exerts its toxicity. Metsulfuron-methyl binds to, and inhibits, the acetolactate synthase (ALS) enzyme, which is responsible for catal</w:t>
      </w:r>
      <w:r w:rsidRPr="007D5876">
        <w:rPr>
          <w:bCs/>
        </w:rPr>
        <w:t>ysing the formation of amino acids. As a result, the biosynthesis of amino acid branches within sensitive plants is inhibited (FAO UN 2015). Exposed plants typically die within two to four weeks due to cessation of cell division and growth processes.</w:t>
      </w:r>
    </w:p>
    <w:p w14:paraId="776553A6" w14:textId="77777777" w:rsidR="00C03B8F" w:rsidRDefault="00C30114" w:rsidP="0021245F">
      <w:pPr>
        <w:pStyle w:val="Heading3"/>
      </w:pPr>
      <w:bookmarkStart w:id="8" w:name="_Toc34400611"/>
      <w:bookmarkStart w:id="9" w:name="_Ref14610006"/>
      <w:r>
        <w:t>Toxic</w:t>
      </w:r>
      <w:r>
        <w:t>ity</w:t>
      </w:r>
      <w:bookmarkEnd w:id="8"/>
    </w:p>
    <w:p w14:paraId="05471200" w14:textId="77777777" w:rsidR="007A3D6F" w:rsidRDefault="00C30114" w:rsidP="00C03B8F">
      <w:pPr>
        <w:pStyle w:val="Heading4"/>
      </w:pPr>
      <w:r>
        <w:t>Freshwater chronic</w:t>
      </w:r>
      <w:r w:rsidR="00850330">
        <w:t xml:space="preserve"> toxicity data</w:t>
      </w:r>
      <w:bookmarkEnd w:id="9"/>
    </w:p>
    <w:p w14:paraId="128A45DF" w14:textId="77777777" w:rsidR="0092743D" w:rsidRDefault="00C30114" w:rsidP="007A3D6F">
      <w:r>
        <w:t>There were freshwater chronic toxicity data for one fish, 12 macrophytes and six microalgae.</w:t>
      </w:r>
    </w:p>
    <w:p w14:paraId="5DA73482" w14:textId="77777777" w:rsidR="0092743D" w:rsidRDefault="00C30114" w:rsidP="007A3D6F">
      <w:r>
        <w:t>The toxicity values for the single fish species were:</w:t>
      </w:r>
    </w:p>
    <w:p w14:paraId="7296376A" w14:textId="77777777" w:rsidR="0092743D" w:rsidRDefault="00C30114" w:rsidP="0092743D">
      <w:pPr>
        <w:pStyle w:val="ListBullet"/>
      </w:pPr>
      <w:r>
        <w:t>90-day NOEL and LOEC values of 4</w:t>
      </w:r>
      <w:r w:rsidR="00B50CD9">
        <w:t> </w:t>
      </w:r>
      <w:r>
        <w:t>500</w:t>
      </w:r>
      <w:r w:rsidR="00B50CD9">
        <w:t> µg/L</w:t>
      </w:r>
      <w:r>
        <w:t>and 8</w:t>
      </w:r>
      <w:r w:rsidR="00B50CD9">
        <w:t> </w:t>
      </w:r>
      <w:r>
        <w:t>000</w:t>
      </w:r>
      <w:r w:rsidR="00B50CD9">
        <w:t> </w:t>
      </w:r>
      <w:r>
        <w:t>µg/L.</w:t>
      </w:r>
    </w:p>
    <w:p w14:paraId="07D8D5B2" w14:textId="77777777" w:rsidR="0092743D" w:rsidRDefault="00C30114" w:rsidP="007A3D6F">
      <w:r>
        <w:t xml:space="preserve">The </w:t>
      </w:r>
      <w:r>
        <w:t>toxicity values for macrophytes consisted of:</w:t>
      </w:r>
    </w:p>
    <w:p w14:paraId="248ACEA1" w14:textId="77777777" w:rsidR="0092743D" w:rsidRDefault="00C30114" w:rsidP="0092743D">
      <w:pPr>
        <w:pStyle w:val="ListBullet"/>
      </w:pPr>
      <w:r>
        <w:t>a 6-day EC50 (dry weight) value of 11.95</w:t>
      </w:r>
      <w:r w:rsidR="00B50CD9">
        <w:t> </w:t>
      </w:r>
      <w:r>
        <w:t>µg/L</w:t>
      </w:r>
    </w:p>
    <w:p w14:paraId="7C25BC78" w14:textId="77777777" w:rsidR="0092743D" w:rsidRDefault="00C30114" w:rsidP="0092743D">
      <w:pPr>
        <w:pStyle w:val="ListBullet"/>
      </w:pPr>
      <w:r>
        <w:t>7-day EC10 (frond count</w:t>
      </w:r>
      <w:r w:rsidR="006046C0">
        <w:t xml:space="preserve"> and</w:t>
      </w:r>
      <w:r>
        <w:t xml:space="preserve"> frond area) values ranging from 0.11</w:t>
      </w:r>
      <w:r w:rsidR="00B50CD9">
        <w:t xml:space="preserve"> µg/L </w:t>
      </w:r>
      <w:r>
        <w:t>to 1.45</w:t>
      </w:r>
      <w:r w:rsidR="006046C0">
        <w:t> </w:t>
      </w:r>
      <w:r>
        <w:t>µg/L</w:t>
      </w:r>
    </w:p>
    <w:p w14:paraId="4EBC3A75" w14:textId="77777777" w:rsidR="0092743D" w:rsidRDefault="00C30114" w:rsidP="0092743D">
      <w:pPr>
        <w:pStyle w:val="ListBullet"/>
      </w:pPr>
      <w:r>
        <w:t xml:space="preserve">7-day EC50 (frond </w:t>
      </w:r>
      <w:r w:rsidR="00D27370">
        <w:t xml:space="preserve">number </w:t>
      </w:r>
      <w:r w:rsidR="006046C0">
        <w:t>and</w:t>
      </w:r>
      <w:r>
        <w:t xml:space="preserve"> frond area) values ranging from 0.06</w:t>
      </w:r>
      <w:r w:rsidR="006046C0">
        <w:t> µg/L</w:t>
      </w:r>
      <w:r>
        <w:t xml:space="preserve"> to 12.7</w:t>
      </w:r>
      <w:r w:rsidR="006046C0">
        <w:t> </w:t>
      </w:r>
      <w:r>
        <w:t>µg</w:t>
      </w:r>
      <w:r>
        <w:t>/L</w:t>
      </w:r>
    </w:p>
    <w:p w14:paraId="261B85E1" w14:textId="77777777" w:rsidR="0092743D" w:rsidRDefault="00C30114" w:rsidP="0092743D">
      <w:pPr>
        <w:pStyle w:val="ListBullet"/>
      </w:pPr>
      <w:r>
        <w:t>8-day NOEC (dry weight, shoot length</w:t>
      </w:r>
      <w:r w:rsidR="006046C0">
        <w:t xml:space="preserve"> and</w:t>
      </w:r>
      <w:r>
        <w:t xml:space="preserve"> root growth) values ranging from 0.054</w:t>
      </w:r>
      <w:r w:rsidR="006046C0">
        <w:t> µg/L</w:t>
      </w:r>
      <w:r>
        <w:t xml:space="preserve"> to 20</w:t>
      </w:r>
      <w:r w:rsidR="006046C0">
        <w:t> </w:t>
      </w:r>
      <w:r>
        <w:t>µg/L</w:t>
      </w:r>
    </w:p>
    <w:p w14:paraId="08EBC762" w14:textId="77777777" w:rsidR="0092743D" w:rsidRDefault="00C30114" w:rsidP="0092743D">
      <w:pPr>
        <w:pStyle w:val="ListBullet"/>
      </w:pPr>
      <w:r>
        <w:t>8-day LOEC (shoot length) values ranging from 0.1</w:t>
      </w:r>
      <w:r w:rsidR="006046C0">
        <w:t> µg/L</w:t>
      </w:r>
      <w:r>
        <w:t xml:space="preserve"> to 1</w:t>
      </w:r>
      <w:r w:rsidR="006046C0">
        <w:t> </w:t>
      </w:r>
      <w:r>
        <w:t>µg/L</w:t>
      </w:r>
    </w:p>
    <w:p w14:paraId="584CA862" w14:textId="77777777" w:rsidR="0092743D" w:rsidRDefault="00C30114" w:rsidP="0092743D">
      <w:pPr>
        <w:pStyle w:val="ListBullet"/>
      </w:pPr>
      <w:r>
        <w:t>a 9-day EC50 (dry weight) value of 6.18</w:t>
      </w:r>
      <w:r w:rsidR="006046C0">
        <w:t> </w:t>
      </w:r>
      <w:r>
        <w:t>µg/L</w:t>
      </w:r>
    </w:p>
    <w:p w14:paraId="0FE490C5" w14:textId="77777777" w:rsidR="00703C2B" w:rsidRDefault="00C30114" w:rsidP="0092743D">
      <w:pPr>
        <w:pStyle w:val="ListBullet"/>
      </w:pPr>
      <w:r>
        <w:t xml:space="preserve">an 11-day EC50 (frond </w:t>
      </w:r>
      <w:r w:rsidR="00D27370">
        <w:t>number</w:t>
      </w:r>
      <w:r>
        <w:t>) value of 0.68</w:t>
      </w:r>
      <w:r w:rsidR="006046C0">
        <w:t> </w:t>
      </w:r>
      <w:r>
        <w:t>µg/</w:t>
      </w:r>
      <w:r>
        <w:t>L</w:t>
      </w:r>
    </w:p>
    <w:p w14:paraId="4E928EE3" w14:textId="77777777" w:rsidR="00703C2B" w:rsidRDefault="00C30114" w:rsidP="0092743D">
      <w:pPr>
        <w:pStyle w:val="ListBullet"/>
      </w:pPr>
      <w:r>
        <w:t>a 12-day EC50 (dry weight) value of 2.61</w:t>
      </w:r>
      <w:r w:rsidR="006046C0">
        <w:t> </w:t>
      </w:r>
      <w:r>
        <w:t>µg/L</w:t>
      </w:r>
    </w:p>
    <w:p w14:paraId="67807294" w14:textId="77777777" w:rsidR="000D7812" w:rsidRDefault="00C30114" w:rsidP="0092743D">
      <w:pPr>
        <w:pStyle w:val="ListBullet"/>
      </w:pPr>
      <w:r>
        <w:t>14-day NOEC/NOEL (root occurrence, dry weight, frond number</w:t>
      </w:r>
      <w:r w:rsidR="006046C0">
        <w:t xml:space="preserve"> and</w:t>
      </w:r>
      <w:r>
        <w:t xml:space="preserve"> frond area) values ranging from 0.16</w:t>
      </w:r>
      <w:r w:rsidR="006046C0">
        <w:t> µg/L</w:t>
      </w:r>
      <w:r>
        <w:t xml:space="preserve"> to 20</w:t>
      </w:r>
      <w:r w:rsidR="006046C0">
        <w:t> </w:t>
      </w:r>
      <w:r>
        <w:t>µg/L</w:t>
      </w:r>
    </w:p>
    <w:p w14:paraId="45B888FB" w14:textId="77777777" w:rsidR="000D7812" w:rsidRDefault="00C30114" w:rsidP="0092743D">
      <w:pPr>
        <w:pStyle w:val="ListBullet"/>
      </w:pPr>
      <w:r>
        <w:t>14-day LOEC (chlorophyll-a content</w:t>
      </w:r>
      <w:r w:rsidR="006046C0">
        <w:t xml:space="preserve"> and</w:t>
      </w:r>
      <w:r>
        <w:t xml:space="preserve"> root occurrence) values ranging from 1</w:t>
      </w:r>
      <w:r w:rsidR="006046C0">
        <w:t> µg/L</w:t>
      </w:r>
      <w:r>
        <w:t xml:space="preserve"> to 2.7</w:t>
      </w:r>
      <w:r w:rsidR="006046C0">
        <w:t> </w:t>
      </w:r>
      <w:r>
        <w:t>µ</w:t>
      </w:r>
      <w:r>
        <w:t>g/L</w:t>
      </w:r>
    </w:p>
    <w:p w14:paraId="536BF0A1" w14:textId="77777777" w:rsidR="000D7812" w:rsidRDefault="00C30114" w:rsidP="0092743D">
      <w:pPr>
        <w:pStyle w:val="ListBullet"/>
      </w:pPr>
      <w:r>
        <w:lastRenderedPageBreak/>
        <w:t xml:space="preserve">14-day EC50 (leaf area, fresh weight: dry weight, frond number, frond area, chlorophyll-a </w:t>
      </w:r>
      <w:proofErr w:type="gramStart"/>
      <w:r>
        <w:t>content</w:t>
      </w:r>
      <w:proofErr w:type="gramEnd"/>
      <w:r w:rsidR="006046C0">
        <w:t xml:space="preserve"> and</w:t>
      </w:r>
      <w:r>
        <w:t xml:space="preserve"> total shoot length) values ranging from 0.1</w:t>
      </w:r>
      <w:r w:rsidR="006046C0">
        <w:t> µg/L</w:t>
      </w:r>
      <w:r>
        <w:t xml:space="preserve"> to 26.7</w:t>
      </w:r>
      <w:r w:rsidR="006046C0">
        <w:t> </w:t>
      </w:r>
      <w:r>
        <w:t>µg/L</w:t>
      </w:r>
    </w:p>
    <w:p w14:paraId="6EFB3C75" w14:textId="77777777" w:rsidR="000D7812" w:rsidRDefault="00C30114" w:rsidP="0092743D">
      <w:pPr>
        <w:pStyle w:val="ListBullet"/>
      </w:pPr>
      <w:r>
        <w:t>a 15-day EC50 (dry weight) value of 2.43</w:t>
      </w:r>
      <w:r w:rsidR="006046C0">
        <w:t> </w:t>
      </w:r>
      <w:r>
        <w:t>µg/L</w:t>
      </w:r>
    </w:p>
    <w:p w14:paraId="374B4AE4" w14:textId="77777777" w:rsidR="000D7812" w:rsidRDefault="00C30114" w:rsidP="0092743D">
      <w:pPr>
        <w:pStyle w:val="ListBullet"/>
      </w:pPr>
      <w:r>
        <w:t xml:space="preserve">42-day NOEC, LOEC and EC50 (frond </w:t>
      </w:r>
      <w:r>
        <w:t>count) values of 0.1</w:t>
      </w:r>
      <w:r w:rsidR="006046C0">
        <w:t> µg/L</w:t>
      </w:r>
      <w:r>
        <w:t>, 0.5</w:t>
      </w:r>
      <w:r w:rsidR="006046C0">
        <w:t> µg/L</w:t>
      </w:r>
      <w:r>
        <w:t xml:space="preserve"> and 0.99</w:t>
      </w:r>
      <w:r w:rsidR="006046C0">
        <w:t> </w:t>
      </w:r>
      <w:r>
        <w:t xml:space="preserve">µg/L, respectively. </w:t>
      </w:r>
    </w:p>
    <w:p w14:paraId="5E84E65E" w14:textId="77777777" w:rsidR="000D7812" w:rsidRDefault="00C30114" w:rsidP="000D7812">
      <w:r>
        <w:t>The toxicity values for microalgae were:</w:t>
      </w:r>
    </w:p>
    <w:p w14:paraId="2B868050" w14:textId="77777777" w:rsidR="000D7812" w:rsidRDefault="00C30114" w:rsidP="000D7812">
      <w:pPr>
        <w:pStyle w:val="ListBullet"/>
      </w:pPr>
      <w:r>
        <w:t>a 48-hour EC10 (chlorophyll-a content) value of 292</w:t>
      </w:r>
      <w:r w:rsidR="006046C0">
        <w:t> </w:t>
      </w:r>
      <w:r>
        <w:t>µg/L</w:t>
      </w:r>
    </w:p>
    <w:p w14:paraId="61F54092" w14:textId="77777777" w:rsidR="000D7812" w:rsidRDefault="00C30114" w:rsidP="000D7812">
      <w:pPr>
        <w:pStyle w:val="ListBullet"/>
      </w:pPr>
      <w:r>
        <w:t>two 48-hour EC50 (chlorophyll-a content) values of 677</w:t>
      </w:r>
      <w:r w:rsidR="006046C0">
        <w:t> µg/L</w:t>
      </w:r>
      <w:r>
        <w:t xml:space="preserve"> and 1</w:t>
      </w:r>
      <w:r w:rsidR="006046C0">
        <w:t> </w:t>
      </w:r>
      <w:r>
        <w:t>934</w:t>
      </w:r>
      <w:r w:rsidR="006046C0">
        <w:t> </w:t>
      </w:r>
      <w:r>
        <w:t>µg/L</w:t>
      </w:r>
    </w:p>
    <w:p w14:paraId="18BB1422" w14:textId="77777777" w:rsidR="000D7812" w:rsidRDefault="00C30114" w:rsidP="000D7812">
      <w:pPr>
        <w:pStyle w:val="ListBullet"/>
      </w:pPr>
      <w:r>
        <w:t xml:space="preserve">a 72-hour </w:t>
      </w:r>
      <w:r>
        <w:t>IC50 (cell density) value of 61</w:t>
      </w:r>
      <w:r w:rsidR="00CD1AB5">
        <w:t>2</w:t>
      </w:r>
      <w:r w:rsidR="00CC073D">
        <w:t> </w:t>
      </w:r>
      <w:r>
        <w:t>µg/L</w:t>
      </w:r>
    </w:p>
    <w:p w14:paraId="5C000FD3" w14:textId="77777777" w:rsidR="000D7812" w:rsidRDefault="00C30114" w:rsidP="000D7812">
      <w:pPr>
        <w:pStyle w:val="ListBullet"/>
      </w:pPr>
      <w:r>
        <w:t>two 96-hour NOEL (biomass yield, growth rate</w:t>
      </w:r>
      <w:r w:rsidR="006046C0">
        <w:t xml:space="preserve"> and</w:t>
      </w:r>
      <w:r>
        <w:t xml:space="preserve"> area under the growth curve) values of 14.5</w:t>
      </w:r>
      <w:r w:rsidR="006046C0">
        <w:t> µg/L</w:t>
      </w:r>
      <w:r w:rsidR="00C5236F">
        <w:t xml:space="preserve"> </w:t>
      </w:r>
      <w:r>
        <w:t>and 92</w:t>
      </w:r>
      <w:r w:rsidR="006046C0">
        <w:t> </w:t>
      </w:r>
      <w:r>
        <w:t>800</w:t>
      </w:r>
      <w:r w:rsidR="006046C0">
        <w:t> </w:t>
      </w:r>
      <w:r>
        <w:t>µg/L</w:t>
      </w:r>
    </w:p>
    <w:p w14:paraId="096C09B1" w14:textId="77777777" w:rsidR="000D7812" w:rsidRDefault="00C30114" w:rsidP="000D7812">
      <w:pPr>
        <w:pStyle w:val="ListBullet"/>
      </w:pPr>
      <w:r>
        <w:t>96-hour EC50 (cell density, biomass, growth rate</w:t>
      </w:r>
      <w:r w:rsidR="006046C0">
        <w:t xml:space="preserve"> and</w:t>
      </w:r>
      <w:r>
        <w:t xml:space="preserve"> area under the growth curve) values ranging from 13</w:t>
      </w:r>
      <w:r>
        <w:t>0</w:t>
      </w:r>
      <w:r w:rsidR="006046C0">
        <w:t> µg/L</w:t>
      </w:r>
      <w:r>
        <w:t xml:space="preserve"> to 72</w:t>
      </w:r>
      <w:r w:rsidR="006046C0">
        <w:t> </w:t>
      </w:r>
      <w:r>
        <w:t>782</w:t>
      </w:r>
      <w:r w:rsidR="006046C0">
        <w:t> </w:t>
      </w:r>
      <w:r>
        <w:t>µg/L</w:t>
      </w:r>
    </w:p>
    <w:p w14:paraId="10BC7E55" w14:textId="77777777" w:rsidR="000D7812" w:rsidRDefault="00C30114" w:rsidP="000D7812">
      <w:pPr>
        <w:pStyle w:val="ListBullet"/>
      </w:pPr>
      <w:r>
        <w:t>two 5-day NOEL (biomass, growth rate</w:t>
      </w:r>
      <w:r w:rsidR="006046C0">
        <w:t xml:space="preserve"> and</w:t>
      </w:r>
      <w:r>
        <w:t xml:space="preserve"> area under the curve) values of 10</w:t>
      </w:r>
      <w:r w:rsidR="006046C0">
        <w:t> µg/L</w:t>
      </w:r>
      <w:r>
        <w:t xml:space="preserve"> and 95.4</w:t>
      </w:r>
      <w:r w:rsidR="006046C0">
        <w:t> </w:t>
      </w:r>
      <w:r>
        <w:t>µg/L</w:t>
      </w:r>
    </w:p>
    <w:p w14:paraId="2A472ABE" w14:textId="77777777" w:rsidR="000D7812" w:rsidRDefault="00C30114" w:rsidP="000D7812">
      <w:pPr>
        <w:pStyle w:val="ListBullet"/>
      </w:pPr>
      <w:r>
        <w:t>a 5-day EC50 (biomass, growth rate</w:t>
      </w:r>
      <w:r w:rsidR="006046C0">
        <w:t xml:space="preserve"> and</w:t>
      </w:r>
      <w:r>
        <w:t xml:space="preserve"> area under the curve) value of 28</w:t>
      </w:r>
      <w:r w:rsidR="00CD1AB5">
        <w:t>6</w:t>
      </w:r>
      <w:r w:rsidR="006046C0">
        <w:t> </w:t>
      </w:r>
      <w:r>
        <w:t>µg/L</w:t>
      </w:r>
    </w:p>
    <w:p w14:paraId="073F86C8" w14:textId="77777777" w:rsidR="007A3D6F" w:rsidRDefault="00C30114" w:rsidP="000D7812">
      <w:pPr>
        <w:pStyle w:val="ListBullet"/>
      </w:pPr>
      <w:r>
        <w:t>6-day EC20 and EC50 (chlorophyll-a content) values of 68.6</w:t>
      </w:r>
      <w:r w:rsidR="006046C0">
        <w:t> µg/L</w:t>
      </w:r>
      <w:r>
        <w:t xml:space="preserve"> and 1</w:t>
      </w:r>
      <w:r w:rsidR="006046C0">
        <w:t> </w:t>
      </w:r>
      <w:r>
        <w:t>56</w:t>
      </w:r>
      <w:r w:rsidR="00CD1AB5">
        <w:t>4</w:t>
      </w:r>
      <w:r w:rsidR="00CC073D">
        <w:t> </w:t>
      </w:r>
      <w:r>
        <w:t>µg/L, respectively.</w:t>
      </w:r>
    </w:p>
    <w:p w14:paraId="2B224C46" w14:textId="77777777" w:rsidR="007A3D6F" w:rsidRDefault="00C30114" w:rsidP="00C03B8F">
      <w:pPr>
        <w:pStyle w:val="Heading4"/>
      </w:pPr>
      <w:bookmarkStart w:id="10" w:name="_Ref14610028"/>
      <w:r>
        <w:t xml:space="preserve">Freshwater </w:t>
      </w:r>
      <w:r w:rsidR="0021245F">
        <w:t>a</w:t>
      </w:r>
      <w:r>
        <w:t>cute</w:t>
      </w:r>
      <w:r w:rsidR="00850330">
        <w:t xml:space="preserve"> toxicity data</w:t>
      </w:r>
      <w:bookmarkEnd w:id="10"/>
    </w:p>
    <w:p w14:paraId="5DD4D3F2" w14:textId="77777777" w:rsidR="0091269A" w:rsidRDefault="00C30114" w:rsidP="007A3D6F">
      <w:r>
        <w:t>There were freshwater acute toxicity data for one microalga and one macrophyte.</w:t>
      </w:r>
    </w:p>
    <w:p w14:paraId="48D3E5CC" w14:textId="77777777" w:rsidR="0091269A" w:rsidRDefault="00C30114" w:rsidP="007A3D6F">
      <w:r>
        <w:t>The toxicity values for the single microalga species were:</w:t>
      </w:r>
    </w:p>
    <w:p w14:paraId="042398C2" w14:textId="77777777" w:rsidR="0091269A" w:rsidRDefault="00C30114" w:rsidP="0091269A">
      <w:pPr>
        <w:pStyle w:val="ListBullet"/>
      </w:pPr>
      <w:r w:rsidRPr="0091269A">
        <w:t xml:space="preserve">24-hour NOEC, EC5 and EC50 (cell density) values of </w:t>
      </w:r>
      <w:r w:rsidRPr="0091269A">
        <w:t>165.1</w:t>
      </w:r>
      <w:r>
        <w:t> </w:t>
      </w:r>
      <w:r w:rsidRPr="0091269A">
        <w:t>µg/L, 64.8</w:t>
      </w:r>
      <w:r>
        <w:t xml:space="preserve"> </w:t>
      </w:r>
      <w:r w:rsidRPr="0091269A">
        <w:t>µg/L and 1</w:t>
      </w:r>
      <w:r>
        <w:t> </w:t>
      </w:r>
      <w:r w:rsidRPr="0091269A">
        <w:t>163</w:t>
      </w:r>
      <w:r>
        <w:t> </w:t>
      </w:r>
      <w:r w:rsidRPr="0091269A">
        <w:t xml:space="preserve">µg/L, respectively. </w:t>
      </w:r>
    </w:p>
    <w:p w14:paraId="64A7EF31" w14:textId="77777777" w:rsidR="0091269A" w:rsidRDefault="00C30114" w:rsidP="0091269A">
      <w:r w:rsidRPr="0091269A">
        <w:t>The toxicity values for the single macrophyte species were</w:t>
      </w:r>
      <w:r>
        <w:t>:</w:t>
      </w:r>
    </w:p>
    <w:p w14:paraId="199004CB" w14:textId="77777777" w:rsidR="0091269A" w:rsidRDefault="00C30114" w:rsidP="0091269A">
      <w:pPr>
        <w:pStyle w:val="ListBullet"/>
      </w:pPr>
      <w:r w:rsidRPr="0091269A">
        <w:t>96-hour LOEC and EC50 (frond count) values of 0.2</w:t>
      </w:r>
      <w:r>
        <w:t> </w:t>
      </w:r>
      <w:r w:rsidRPr="0091269A">
        <w:t>µg/L and 0.4</w:t>
      </w:r>
      <w:r>
        <w:t> </w:t>
      </w:r>
      <w:r w:rsidRPr="0091269A">
        <w:t>µg/L, respectively.</w:t>
      </w:r>
    </w:p>
    <w:p w14:paraId="451498FE" w14:textId="77777777" w:rsidR="007A3D6F" w:rsidRPr="0091269A" w:rsidRDefault="00C30114" w:rsidP="0091269A">
      <w:r w:rsidRPr="0091269A">
        <w:t xml:space="preserve">As stated in Warne et al. (2018), acute EC10/NOEC and </w:t>
      </w:r>
      <w:r w:rsidRPr="0091269A">
        <w:t>LOEC values should not be converted to chronic EC10/NOEC values</w:t>
      </w:r>
      <w:r w:rsidR="0091269A">
        <w:t>,</w:t>
      </w:r>
      <w:r w:rsidRPr="0091269A">
        <w:t xml:space="preserve"> and </w:t>
      </w:r>
      <w:r w:rsidR="0091269A">
        <w:t xml:space="preserve">these </w:t>
      </w:r>
      <w:r w:rsidRPr="0091269A">
        <w:t>have not been used to derive DGVs.</w:t>
      </w:r>
    </w:p>
    <w:p w14:paraId="423E196C" w14:textId="77777777" w:rsidR="00A47617" w:rsidRPr="00AE7845" w:rsidRDefault="00C30114" w:rsidP="00A47617">
      <w:pPr>
        <w:pStyle w:val="Heading2"/>
      </w:pPr>
      <w:bookmarkStart w:id="11" w:name="_Toc34400612"/>
      <w:r>
        <w:t>Factors affecting toxicity</w:t>
      </w:r>
      <w:bookmarkEnd w:id="11"/>
    </w:p>
    <w:p w14:paraId="63621335" w14:textId="77777777" w:rsidR="00077792" w:rsidRDefault="00C30114" w:rsidP="00A47617">
      <w:r w:rsidRPr="00077792">
        <w:t>No factors have been reported as modifying the toxicity of metsulfuron-methyl. As with many organic chemicals</w:t>
      </w:r>
      <w:r w:rsidR="0091269A">
        <w:t>,</w:t>
      </w:r>
      <w:r w:rsidRPr="00077792">
        <w:t xml:space="preserve"> it might</w:t>
      </w:r>
      <w:r w:rsidRPr="00077792">
        <w:t xml:space="preserve"> be expected that dissolved and particulate organic matter and suspended solids would affect its bioavailability and toxicity. Kah </w:t>
      </w:r>
      <w:r w:rsidR="0091269A">
        <w:t>and</w:t>
      </w:r>
      <w:r w:rsidRPr="00077792">
        <w:t xml:space="preserve"> Brown (2007) found that sorption to soil was negatively correlated to soil pH and positively correlated to soil organic c</w:t>
      </w:r>
      <w:r w:rsidRPr="00077792">
        <w:t xml:space="preserve">arbon, such that relatively strong sorption was measured in soils with low pH and high organic carbon content. However, overall, sorption of </w:t>
      </w:r>
      <w:r w:rsidR="00C9118F">
        <w:t>m</w:t>
      </w:r>
      <w:r w:rsidRPr="00077792">
        <w:t xml:space="preserve">etsulfuron-methyl to soil was still relatively weak compared to many other pesticides (Kah </w:t>
      </w:r>
      <w:r w:rsidR="00224C08">
        <w:t>and</w:t>
      </w:r>
      <w:r w:rsidR="00224C08" w:rsidRPr="00077792">
        <w:t xml:space="preserve"> </w:t>
      </w:r>
      <w:r w:rsidRPr="00077792">
        <w:t xml:space="preserve">Brown </w:t>
      </w:r>
      <w:r w:rsidR="00C9118F">
        <w:t>2007</w:t>
      </w:r>
      <w:r w:rsidRPr="00077792">
        <w:t xml:space="preserve">), which </w:t>
      </w:r>
      <w:r w:rsidRPr="00077792">
        <w:t>is supported by its low organic carbon water partition coefficient (log K</w:t>
      </w:r>
      <w:r w:rsidRPr="00077792">
        <w:rPr>
          <w:vertAlign w:val="subscript"/>
        </w:rPr>
        <w:t>oc</w:t>
      </w:r>
      <w:r w:rsidR="00CC073D">
        <w:t>)</w:t>
      </w:r>
      <w:r w:rsidRPr="00077792">
        <w:t xml:space="preserve"> </w:t>
      </w:r>
      <w:r w:rsidR="00CC073D">
        <w:t>(</w:t>
      </w:r>
      <w:r w:rsidR="00B22744">
        <w:fldChar w:fldCharType="begin"/>
      </w:r>
      <w:r w:rsidR="00B22744">
        <w:instrText xml:space="preserve"> REF _Ref14609800 \h </w:instrText>
      </w:r>
      <w:r w:rsidR="00B22744">
        <w:fldChar w:fldCharType="separate"/>
      </w:r>
      <w:r w:rsidR="00EE1878">
        <w:t>Table </w:t>
      </w:r>
      <w:r w:rsidR="00EE1878">
        <w:rPr>
          <w:noProof/>
        </w:rPr>
        <w:t>1</w:t>
      </w:r>
      <w:r w:rsidR="00B22744">
        <w:fldChar w:fldCharType="end"/>
      </w:r>
      <w:r w:rsidRPr="00077792">
        <w:t>).</w:t>
      </w:r>
    </w:p>
    <w:p w14:paraId="4487C354" w14:textId="77777777" w:rsidR="00BF0280" w:rsidRDefault="00C30114" w:rsidP="00A47617">
      <w:pPr>
        <w:pStyle w:val="Heading2"/>
      </w:pPr>
      <w:bookmarkStart w:id="12" w:name="_Toc34400613"/>
      <w:r>
        <w:lastRenderedPageBreak/>
        <w:t>Default g</w:t>
      </w:r>
      <w:r w:rsidR="00A47617">
        <w:t xml:space="preserve">uideline </w:t>
      </w:r>
      <w:r>
        <w:t xml:space="preserve">value </w:t>
      </w:r>
      <w:r w:rsidR="00A47617">
        <w:t>derivation</w:t>
      </w:r>
      <w:bookmarkEnd w:id="12"/>
    </w:p>
    <w:p w14:paraId="275D36A6" w14:textId="77777777" w:rsidR="000228C7" w:rsidRDefault="00C30114" w:rsidP="007508CC">
      <w:pPr>
        <w:spacing w:after="120"/>
      </w:pPr>
      <w:sdt>
        <w:sdtPr>
          <w:rPr>
            <w:bCs/>
          </w:rPr>
          <w:alias w:val="Compulsary - text and location locked to 4."/>
          <w:tag w:val="Compulsary - text and location locked"/>
          <w:id w:val="658118941"/>
          <w:placeholder>
            <w:docPart w:val="2E8E9C60D92D4EB7B69374770B4B0C4C"/>
          </w:placeholder>
          <w:text/>
        </w:sdtPr>
        <w:sdtEndPr/>
        <w:sdtContent>
          <w:r w:rsidRPr="0064344A">
            <w:rPr>
              <w:bCs/>
            </w:rPr>
            <w:t xml:space="preserve">The DGVs were derived in accordance with the </w:t>
          </w:r>
          <w:r w:rsidRPr="0064344A">
            <w:rPr>
              <w:bCs/>
            </w:rPr>
            <w:t>method described in Warne et al. (2018) and using Burrlioz 2.0 software. Although some decisions on data selection/manipulation may reflect the Warne et al. (2015) method rather than the Warne et al. (2018) method, these were found to have no material effe</w:t>
          </w:r>
          <w:r w:rsidRPr="0064344A">
            <w:rPr>
              <w:bCs/>
            </w:rPr>
            <w:t>ct on the final DGVs.</w:t>
          </w:r>
        </w:sdtContent>
      </w:sdt>
    </w:p>
    <w:p w14:paraId="3E063C92" w14:textId="77777777" w:rsidR="00BF0280" w:rsidRPr="00B7593C" w:rsidRDefault="00C30114" w:rsidP="007508CC">
      <w:pPr>
        <w:pStyle w:val="Heading3"/>
        <w:spacing w:before="200" w:after="200"/>
      </w:pPr>
      <w:bookmarkStart w:id="13" w:name="_Toc34400614"/>
      <w:r w:rsidRPr="00B7593C">
        <w:t>Toxicity data used in derivation</w:t>
      </w:r>
      <w:bookmarkEnd w:id="13"/>
    </w:p>
    <w:p w14:paraId="104E84B5" w14:textId="77777777" w:rsidR="008C6249" w:rsidRDefault="00C30114" w:rsidP="007508CC">
      <w:pPr>
        <w:rPr>
          <w:bCs/>
        </w:rPr>
      </w:pPr>
      <w:r>
        <w:t>The previous Australian and New Zealand Guidelines for Fresh and Marine Water Quality</w:t>
      </w:r>
      <w:r w:rsidR="0018097E">
        <w:t xml:space="preserve"> (ANZECC</w:t>
      </w:r>
      <w:r w:rsidR="000228C7">
        <w:t>/</w:t>
      </w:r>
      <w:r w:rsidR="0018097E">
        <w:t>ARMCANZ 2000)</w:t>
      </w:r>
      <w:r w:rsidR="004E5163">
        <w:t xml:space="preserve"> </w:t>
      </w:r>
      <w:r w:rsidR="0018097E">
        <w:t xml:space="preserve">included an </w:t>
      </w:r>
      <w:r>
        <w:rPr>
          <w:bCs/>
        </w:rPr>
        <w:t xml:space="preserve">environmental concern level (ECL) for metsulfuron-methyl in </w:t>
      </w:r>
      <w:r w:rsidRPr="00B40555">
        <w:rPr>
          <w:bCs/>
        </w:rPr>
        <w:t>freshwater environments</w:t>
      </w:r>
      <w:r w:rsidR="0018097E">
        <w:rPr>
          <w:bCs/>
        </w:rPr>
        <w:t xml:space="preserve">. This ECL had a </w:t>
      </w:r>
      <w:r w:rsidRPr="00B40555">
        <w:rPr>
          <w:bCs/>
        </w:rPr>
        <w:t>low reli</w:t>
      </w:r>
      <w:r>
        <w:rPr>
          <w:bCs/>
        </w:rPr>
        <w:t xml:space="preserve">ability </w:t>
      </w:r>
      <w:r w:rsidR="0018097E">
        <w:rPr>
          <w:bCs/>
        </w:rPr>
        <w:t>based on</w:t>
      </w:r>
      <w:r>
        <w:rPr>
          <w:bCs/>
        </w:rPr>
        <w:t xml:space="preserve"> the ANZECC</w:t>
      </w:r>
      <w:r w:rsidR="00863D35">
        <w:rPr>
          <w:bCs/>
        </w:rPr>
        <w:t>/</w:t>
      </w:r>
      <w:r w:rsidRPr="00B40555">
        <w:rPr>
          <w:bCs/>
        </w:rPr>
        <w:t xml:space="preserve">ARMCANZ </w:t>
      </w:r>
      <w:r w:rsidR="00863D35">
        <w:rPr>
          <w:bCs/>
        </w:rPr>
        <w:t>(</w:t>
      </w:r>
      <w:r w:rsidRPr="00B40555">
        <w:rPr>
          <w:bCs/>
        </w:rPr>
        <w:t>2000</w:t>
      </w:r>
      <w:r w:rsidR="00863D35">
        <w:rPr>
          <w:bCs/>
        </w:rPr>
        <w:t>)</w:t>
      </w:r>
      <w:r w:rsidRPr="00B40555">
        <w:rPr>
          <w:bCs/>
        </w:rPr>
        <w:t xml:space="preserve"> reliability scheme as it was based </w:t>
      </w:r>
      <w:r w:rsidRPr="000D7D3B">
        <w:rPr>
          <w:bCs/>
        </w:rPr>
        <w:t xml:space="preserve">on </w:t>
      </w:r>
      <w:r w:rsidR="00CD1AB5">
        <w:rPr>
          <w:bCs/>
        </w:rPr>
        <w:t xml:space="preserve">unscreened </w:t>
      </w:r>
      <w:r w:rsidRPr="000D7D3B">
        <w:rPr>
          <w:bCs/>
        </w:rPr>
        <w:t xml:space="preserve">acute toxicity data for </w:t>
      </w:r>
      <w:r w:rsidR="0018097E">
        <w:rPr>
          <w:bCs/>
        </w:rPr>
        <w:t xml:space="preserve">only </w:t>
      </w:r>
      <w:r w:rsidRPr="000D7D3B">
        <w:rPr>
          <w:bCs/>
        </w:rPr>
        <w:t>two freshwater fish, one</w:t>
      </w:r>
      <w:r>
        <w:rPr>
          <w:bCs/>
        </w:rPr>
        <w:t xml:space="preserve"> in</w:t>
      </w:r>
      <w:r>
        <w:rPr>
          <w:bCs/>
        </w:rPr>
        <w:t>vertebrate and one microalga</w:t>
      </w:r>
      <w:r w:rsidRPr="000D7D3B">
        <w:rPr>
          <w:bCs/>
        </w:rPr>
        <w:t xml:space="preserve"> (</w:t>
      </w:r>
      <w:r>
        <w:rPr>
          <w:bCs/>
        </w:rPr>
        <w:t>ANZECC</w:t>
      </w:r>
      <w:r w:rsidR="00863D35">
        <w:rPr>
          <w:bCs/>
        </w:rPr>
        <w:t>/</w:t>
      </w:r>
      <w:r w:rsidRPr="000D7D3B">
        <w:rPr>
          <w:bCs/>
        </w:rPr>
        <w:t xml:space="preserve">ARMCANZ 2000). </w:t>
      </w:r>
    </w:p>
    <w:p w14:paraId="2F45DB29" w14:textId="77777777" w:rsidR="008C6249" w:rsidRDefault="00C30114" w:rsidP="007508CC">
      <w:r>
        <w:t xml:space="preserve">To obtain toxicity data for metsulfuron-methyl </w:t>
      </w:r>
      <w:r w:rsidR="00863D35">
        <w:t xml:space="preserve">for </w:t>
      </w:r>
      <w:r>
        <w:t xml:space="preserve">freshwater organisms, an extensive search of the scientific literature was conducted. In addition, the </w:t>
      </w:r>
      <w:r w:rsidR="00274A64">
        <w:t xml:space="preserve">ECOTOXicology Database System </w:t>
      </w:r>
      <w:r>
        <w:t>(USEPA</w:t>
      </w:r>
      <w:r w:rsidR="00863D35">
        <w:t> </w:t>
      </w:r>
      <w:r>
        <w:t>2015a), Offi</w:t>
      </w:r>
      <w:r>
        <w:t xml:space="preserve">ce of Pesticide Programs </w:t>
      </w:r>
      <w:r w:rsidR="00274A64">
        <w:t xml:space="preserve">Database </w:t>
      </w:r>
      <w:r>
        <w:t>(USEPA</w:t>
      </w:r>
      <w:r w:rsidR="00274A64">
        <w:t> </w:t>
      </w:r>
      <w:r>
        <w:t>2015b), the Australasian Ecotoxicology Database (Warne et al. 1998) and the ANZECC</w:t>
      </w:r>
      <w:r w:rsidR="00FA0539">
        <w:t>/</w:t>
      </w:r>
      <w:r>
        <w:t>ARMCANZ (2000) toxicant database (Sunderam et al. 2000) were searched. There are now considerably more metsulfuron-methyl toxicity d</w:t>
      </w:r>
      <w:r>
        <w:t xml:space="preserve">ata available </w:t>
      </w:r>
      <w:r w:rsidR="00FA0539">
        <w:t xml:space="preserve">to </w:t>
      </w:r>
      <w:r>
        <w:t xml:space="preserve">enable the calculation of DGVs </w:t>
      </w:r>
      <w:r w:rsidR="000766E2">
        <w:t xml:space="preserve">for </w:t>
      </w:r>
      <w:r>
        <w:t>freshwater (</w:t>
      </w:r>
      <w:r w:rsidR="001F4861">
        <w:fldChar w:fldCharType="begin"/>
      </w:r>
      <w:r w:rsidR="001F4861">
        <w:instrText xml:space="preserve"> REF _Ref14610266 \h </w:instrText>
      </w:r>
      <w:r w:rsidR="001F4861">
        <w:fldChar w:fldCharType="separate"/>
      </w:r>
      <w:r w:rsidR="00EE1878">
        <w:t xml:space="preserve">Appendix A: </w:t>
      </w:r>
      <w:r w:rsidR="00EE1878" w:rsidRPr="00310CC5">
        <w:t>Toxicity data that passed the screening and quality assessment</w:t>
      </w:r>
      <w:r w:rsidR="00EE1878">
        <w:t xml:space="preserve"> </w:t>
      </w:r>
      <w:r w:rsidR="00EE1878" w:rsidRPr="00D41109">
        <w:t xml:space="preserve">and were used to derive the default guideline values </w:t>
      </w:r>
      <w:r w:rsidR="001F4861">
        <w:fldChar w:fldCharType="end"/>
      </w:r>
      <w:r>
        <w:t xml:space="preserve">). </w:t>
      </w:r>
      <w:r w:rsidR="0018097E">
        <w:t xml:space="preserve">However, </w:t>
      </w:r>
      <w:r w:rsidR="004E5163">
        <w:t xml:space="preserve">as </w:t>
      </w:r>
      <w:r w:rsidR="0018097E">
        <w:t>the</w:t>
      </w:r>
      <w:r w:rsidR="004E5163">
        <w:t>re</w:t>
      </w:r>
      <w:r w:rsidR="0018097E">
        <w:t xml:space="preserve"> are still </w:t>
      </w:r>
      <w:r w:rsidR="004E5163">
        <w:t>in</w:t>
      </w:r>
      <w:r w:rsidR="0018097E">
        <w:t xml:space="preserve">sufficient </w:t>
      </w:r>
      <w:r w:rsidR="009C33BB">
        <w:t xml:space="preserve">chronic no or low effect </w:t>
      </w:r>
      <w:r w:rsidR="0018097E">
        <w:t>toxicity data to meet the preferred dataset size (</w:t>
      </w:r>
      <w:proofErr w:type="gramStart"/>
      <w:r w:rsidR="0018097E">
        <w:t>i.e.</w:t>
      </w:r>
      <w:proofErr w:type="gramEnd"/>
      <w:r w:rsidR="0018097E">
        <w:t xml:space="preserve"> toxicity data for at least 15 species that belong to at least four taxonomic groups)</w:t>
      </w:r>
      <w:r>
        <w:t xml:space="preserve">, it is </w:t>
      </w:r>
      <w:r>
        <w:t>recommended that additional chronic toxicity tests of metsulfuron-methyl with phototrophic (e.g. plants and algae) freshwater species be conducted.</w:t>
      </w:r>
    </w:p>
    <w:p w14:paraId="25F591B5" w14:textId="77777777" w:rsidR="00283D41" w:rsidRDefault="00C30114" w:rsidP="007508CC">
      <w:r>
        <w:t xml:space="preserve">In total, there were freshwater toxicity data for 20 species (five phyla and seven classes) that passed the </w:t>
      </w:r>
      <w:r>
        <w:t>screening and quality assessment processes. The represented phyla were Bacillariophyta, Chlorophyta, Chordata, Cyanobacteria and Tracheophyta. The seven classes were Actinopterygii (which accounts for approximately 99% of fish), Bacillariophyceae (diatoms;</w:t>
      </w:r>
      <w:r>
        <w:t xml:space="preserve"> a major grouping of algae), Chlorophyceae (a major grouping of freshwater green algae), Cyanophyceae (a class of cyanobacteria), Liliopsida (monocots), Magnoliopsida (dicots) and Trebouxiophyceae (another grouping of green algae).</w:t>
      </w:r>
      <w:r w:rsidR="000B0333">
        <w:t xml:space="preserve"> </w:t>
      </w:r>
      <w:r w:rsidR="000B0333">
        <w:rPr>
          <w:bCs/>
        </w:rPr>
        <w:t>Chronic toxicity data were available for 19 of the 20 species, comprising 18</w:t>
      </w:r>
      <w:r w:rsidR="00CC073D">
        <w:rPr>
          <w:bCs/>
        </w:rPr>
        <w:t> </w:t>
      </w:r>
      <w:r w:rsidR="000B0333">
        <w:rPr>
          <w:bCs/>
        </w:rPr>
        <w:t xml:space="preserve">phototrophs and one heterotroph, while </w:t>
      </w:r>
      <w:r w:rsidR="0015778A">
        <w:rPr>
          <w:bCs/>
        </w:rPr>
        <w:t xml:space="preserve">only </w:t>
      </w:r>
      <w:r w:rsidR="000B0333">
        <w:rPr>
          <w:bCs/>
        </w:rPr>
        <w:t>acute toxicity data were available for one species</w:t>
      </w:r>
      <w:r w:rsidR="00604F6B">
        <w:rPr>
          <w:bCs/>
        </w:rPr>
        <w:t>—</w:t>
      </w:r>
      <w:r w:rsidR="000B0333">
        <w:rPr>
          <w:bCs/>
        </w:rPr>
        <w:t>a phototroph.</w:t>
      </w:r>
    </w:p>
    <w:p w14:paraId="58E3901D" w14:textId="77777777" w:rsidR="00F65354" w:rsidRDefault="00C30114" w:rsidP="007508CC">
      <w:r>
        <w:t>Based on the current understanding of the mode of action of metsulfuron-methyl, an ALS-inhibit</w:t>
      </w:r>
      <w:r>
        <w:t xml:space="preserve">ing herbicide, it </w:t>
      </w:r>
      <w:r w:rsidR="004B1C32">
        <w:t>is</w:t>
      </w:r>
      <w:r>
        <w:t xml:space="preserve"> expected that phototrophic species would be more sensitive than non-phototrophic species. </w:t>
      </w:r>
      <w:r w:rsidR="00E54ADE">
        <w:t>However, d</w:t>
      </w:r>
      <w:r>
        <w:t xml:space="preserve">ue to the small sample size of heterotrophic species, it was not possible to </w:t>
      </w:r>
      <w:r w:rsidR="000766E2">
        <w:t>discern differences</w:t>
      </w:r>
      <w:r>
        <w:t xml:space="preserve"> in sensitivity between different group</w:t>
      </w:r>
      <w:r>
        <w:t xml:space="preserve">s of species, for example between phototrophic and heterotrophic species. Therefore, both phototrophic and heterotrophic species were used to </w:t>
      </w:r>
      <w:r w:rsidR="000766E2">
        <w:t xml:space="preserve">derive </w:t>
      </w:r>
      <w:r>
        <w:t>the metsulfuron-methyl DGVs, as recommended in Warne et al. (2018).</w:t>
      </w:r>
    </w:p>
    <w:p w14:paraId="2D1C8DB1" w14:textId="77777777" w:rsidR="008C6249" w:rsidRDefault="00C30114" w:rsidP="007508CC">
      <w:r>
        <w:t>From the dataset of toxicity values for</w:t>
      </w:r>
      <w:r>
        <w:t xml:space="preserve"> 20 species, t</w:t>
      </w:r>
      <w:r w:rsidR="00283D41">
        <w:t xml:space="preserve">here were freshwater chronic </w:t>
      </w:r>
      <w:r w:rsidR="009C33BB">
        <w:t>no or low effect (</w:t>
      </w:r>
      <w:proofErr w:type="gramStart"/>
      <w:r w:rsidR="009C33BB">
        <w:t>i.e.</w:t>
      </w:r>
      <w:proofErr w:type="gramEnd"/>
      <w:r w:rsidR="009C33BB">
        <w:t xml:space="preserve"> </w:t>
      </w:r>
      <w:r w:rsidR="00283D41">
        <w:t>EC10</w:t>
      </w:r>
      <w:r w:rsidR="00BE48D7">
        <w:t>,</w:t>
      </w:r>
      <w:r>
        <w:t xml:space="preserve"> </w:t>
      </w:r>
      <w:r w:rsidR="00283D41">
        <w:t>NOEC</w:t>
      </w:r>
      <w:r w:rsidR="00BE48D7">
        <w:t>, NOEL</w:t>
      </w:r>
      <w:r w:rsidR="00597EC8">
        <w:t>, LOEC</w:t>
      </w:r>
      <w:r w:rsidR="009C33BB">
        <w:t>)</w:t>
      </w:r>
      <w:r w:rsidR="00283D41">
        <w:t xml:space="preserve"> data for eight species (seven phototrophic and one heterotrophic)</w:t>
      </w:r>
      <w:r w:rsidR="00E54ADE">
        <w:t xml:space="preserve"> that </w:t>
      </w:r>
      <w:r w:rsidR="00E54ADE">
        <w:lastRenderedPageBreak/>
        <w:t xml:space="preserve">belonged to five phyla. This met the minimum data requirements necessary to use a </w:t>
      </w:r>
      <w:r w:rsidR="00774647">
        <w:t>species sensitivity distribution (</w:t>
      </w:r>
      <w:r w:rsidR="00E54ADE">
        <w:t>SSD</w:t>
      </w:r>
      <w:r w:rsidR="00774647">
        <w:t>)</w:t>
      </w:r>
      <w:r w:rsidR="00E54ADE">
        <w:t xml:space="preserve"> to derive DGVs. However, the fit of the SSD to the data was poor </w:t>
      </w:r>
      <w:r w:rsidR="00802972">
        <w:t>and</w:t>
      </w:r>
      <w:r>
        <w:t>,</w:t>
      </w:r>
      <w:r w:rsidR="00802972">
        <w:t xml:space="preserve"> </w:t>
      </w:r>
      <w:r w:rsidR="00E54ADE">
        <w:t>combined with the number and type of toxicity data</w:t>
      </w:r>
      <w:r>
        <w:t>, this</w:t>
      </w:r>
      <w:r w:rsidR="00E54ADE">
        <w:t xml:space="preserve"> resulted in the DGVs having </w:t>
      </w:r>
      <w:r w:rsidR="009C33BB">
        <w:t>moderate</w:t>
      </w:r>
      <w:r w:rsidR="00E54ADE">
        <w:t xml:space="preserve"> reliability. </w:t>
      </w:r>
      <w:proofErr w:type="gramStart"/>
      <w:r w:rsidR="00E54ADE">
        <w:t>In an attempt to</w:t>
      </w:r>
      <w:proofErr w:type="gramEnd"/>
      <w:r w:rsidR="00E54ADE">
        <w:t xml:space="preserve"> improve the reliability of the DGVs</w:t>
      </w:r>
      <w:r w:rsidR="009C33BB">
        <w:t>,</w:t>
      </w:r>
      <w:r w:rsidR="00E54ADE">
        <w:t xml:space="preserve"> chronic EC50 type data </w:t>
      </w:r>
      <w:r w:rsidR="00802972">
        <w:t xml:space="preserve">(for </w:t>
      </w:r>
      <w:r>
        <w:t>the re</w:t>
      </w:r>
      <w:r w:rsidR="00D41109">
        <w:t>ma</w:t>
      </w:r>
      <w:r>
        <w:t>ining</w:t>
      </w:r>
      <w:r w:rsidR="00802972">
        <w:t xml:space="preserve"> 12 species</w:t>
      </w:r>
      <w:r w:rsidR="000766E2">
        <w:t>; converted to no or low effect estimates by dividing by 5, as per Warne et al. 2018</w:t>
      </w:r>
      <w:r w:rsidR="00802972">
        <w:t xml:space="preserve">) </w:t>
      </w:r>
      <w:r w:rsidR="00E54ADE">
        <w:t xml:space="preserve">were </w:t>
      </w:r>
      <w:r w:rsidR="000766E2">
        <w:t>added to the dataset</w:t>
      </w:r>
      <w:r w:rsidR="00E54ADE">
        <w:t>.</w:t>
      </w:r>
      <w:r w:rsidR="00802972">
        <w:t xml:space="preserve"> </w:t>
      </w:r>
      <w:r w:rsidR="00E54ADE">
        <w:t xml:space="preserve">However, the resulting SSD fitted </w:t>
      </w:r>
      <w:r w:rsidR="000766E2">
        <w:t xml:space="preserve">this </w:t>
      </w:r>
      <w:r w:rsidR="00E54ADE">
        <w:t>data</w:t>
      </w:r>
      <w:r w:rsidR="000766E2">
        <w:t>set</w:t>
      </w:r>
      <w:r w:rsidR="00E54ADE">
        <w:t xml:space="preserve"> worse than </w:t>
      </w:r>
      <w:r w:rsidR="000766E2">
        <w:t xml:space="preserve">the SSD </w:t>
      </w:r>
      <w:r w:rsidR="004B36D4">
        <w:t xml:space="preserve">for </w:t>
      </w:r>
      <w:r w:rsidR="00802972">
        <w:t xml:space="preserve">the chronic </w:t>
      </w:r>
      <w:r w:rsidR="009B11FB">
        <w:t>no or low effect</w:t>
      </w:r>
      <w:r w:rsidR="00802972">
        <w:t xml:space="preserve"> data</w:t>
      </w:r>
      <w:r w:rsidR="004B36D4">
        <w:t>set</w:t>
      </w:r>
      <w:r>
        <w:t>,</w:t>
      </w:r>
      <w:r w:rsidR="00802972">
        <w:t xml:space="preserve"> particularly for the more sensitive species</w:t>
      </w:r>
      <w:r w:rsidR="00283D41">
        <w:t>.</w:t>
      </w:r>
      <w:r w:rsidR="00802972">
        <w:t xml:space="preserve"> </w:t>
      </w:r>
      <w:r w:rsidR="00096C2B">
        <w:t xml:space="preserve">Therefore, </w:t>
      </w:r>
      <w:r w:rsidR="00802972">
        <w:t>the DGVs for met</w:t>
      </w:r>
      <w:r w:rsidR="00A83DFE">
        <w:t>s</w:t>
      </w:r>
      <w:r w:rsidR="00802972">
        <w:t xml:space="preserve">ulfuron-methyl </w:t>
      </w:r>
      <w:r w:rsidR="00096C2B">
        <w:t xml:space="preserve">were derived </w:t>
      </w:r>
      <w:r w:rsidR="00802972">
        <w:t xml:space="preserve">using </w:t>
      </w:r>
      <w:r>
        <w:t xml:space="preserve">only </w:t>
      </w:r>
      <w:r w:rsidR="00802972">
        <w:t xml:space="preserve">the chronic </w:t>
      </w:r>
      <w:r w:rsidR="009C33BB">
        <w:t>no or low effect</w:t>
      </w:r>
      <w:r w:rsidR="00802972">
        <w:t xml:space="preserve"> data.</w:t>
      </w:r>
      <w:r w:rsidR="00D41109">
        <w:t xml:space="preserve"> </w:t>
      </w:r>
    </w:p>
    <w:p w14:paraId="3B747B05" w14:textId="77777777" w:rsidR="00096C2B" w:rsidRDefault="00C30114" w:rsidP="007508CC">
      <w:r>
        <w:t>To identify species that were regionally relevant to Australia and New</w:t>
      </w:r>
      <w:r>
        <w:t xml:space="preserve"> Zealand ecosystems, a search of AlgaeBase (Guiry &amp; Guiry 2017), Atlas of Living Australia (ALA 2017), Catalogue of Life (Roskov et al. 2017), Integrated Taxonomic Information System (ITIS 2017) and the World Register of Marine Species (WoRMS 2017) was con</w:t>
      </w:r>
      <w:r>
        <w:t xml:space="preserve">ducted. The dataset used in the DGV derivation process for metsulfuron-methyl in freshwater includes toxicity data for four freshwater species that either originated from or are distributed within Australia and/or New Zealand. </w:t>
      </w:r>
    </w:p>
    <w:p w14:paraId="7EA03FBC" w14:textId="77777777" w:rsidR="009741DA" w:rsidRDefault="00C30114" w:rsidP="009741DA">
      <w:r w:rsidRPr="00D41109">
        <w:t>A summary of the toxicity da</w:t>
      </w:r>
      <w:r w:rsidRPr="00D41109">
        <w:t xml:space="preserve">ta used to calculate the DGVs for metsulfuron-methyl in freshwater is provided in </w:t>
      </w:r>
      <w:r w:rsidR="00B22744">
        <w:fldChar w:fldCharType="begin"/>
      </w:r>
      <w:r w:rsidR="00B22744">
        <w:instrText xml:space="preserve"> REF _Ref25408772 \h </w:instrText>
      </w:r>
      <w:r w:rsidR="00B22744">
        <w:fldChar w:fldCharType="separate"/>
      </w:r>
      <w:r w:rsidR="00EE1878">
        <w:t>Table </w:t>
      </w:r>
      <w:r w:rsidR="00EE1878">
        <w:rPr>
          <w:noProof/>
        </w:rPr>
        <w:t>2</w:t>
      </w:r>
      <w:r w:rsidR="00B22744">
        <w:fldChar w:fldCharType="end"/>
      </w:r>
      <w:r w:rsidRPr="00D41109">
        <w:t xml:space="preserve">. </w:t>
      </w:r>
      <w:r>
        <w:t xml:space="preserve">A summary of the </w:t>
      </w:r>
      <w:r w:rsidR="00473E65">
        <w:t>acceptable</w:t>
      </w:r>
      <w:r>
        <w:t xml:space="preserve"> quality raw toxicity data for all freshwater spec</w:t>
      </w:r>
      <w:r>
        <w:t>ies that passed the screening and quality assurance processes is provided in Section </w:t>
      </w:r>
      <w:r>
        <w:fldChar w:fldCharType="begin"/>
      </w:r>
      <w:r>
        <w:instrText xml:space="preserve"> REF _Ref14610006 \r \h </w:instrText>
      </w:r>
      <w:r>
        <w:fldChar w:fldCharType="separate"/>
      </w:r>
      <w:r w:rsidR="00EE1878">
        <w:t>2.2</w:t>
      </w:r>
      <w:r>
        <w:fldChar w:fldCharType="end"/>
      </w:r>
      <w:r>
        <w:t xml:space="preserve"> and Section </w:t>
      </w:r>
      <w:r>
        <w:fldChar w:fldCharType="begin"/>
      </w:r>
      <w:r>
        <w:instrText xml:space="preserve"> REF _Ref14610028 \r \h </w:instrText>
      </w:r>
      <w:r>
        <w:fldChar w:fldCharType="separate"/>
      </w:r>
      <w:r w:rsidR="00EE1878">
        <w:t>2.2.2</w:t>
      </w:r>
      <w:r>
        <w:fldChar w:fldCharType="end"/>
      </w:r>
      <w:r>
        <w:t>.</w:t>
      </w:r>
      <w:r w:rsidRPr="00096C2B">
        <w:t xml:space="preserve"> </w:t>
      </w:r>
      <w:r w:rsidRPr="00D41109">
        <w:t xml:space="preserve">Further details on the data that passed the quality assessment and screening process and were used to derive the DGVs are presented in </w:t>
      </w:r>
      <w:r w:rsidR="00B22744">
        <w:fldChar w:fldCharType="begin"/>
      </w:r>
      <w:r w:rsidR="00B22744">
        <w:instrText xml:space="preserve"> REF _Ref25408814 \h </w:instrText>
      </w:r>
      <w:r w:rsidR="00B22744">
        <w:fldChar w:fldCharType="separate"/>
      </w:r>
      <w:r w:rsidR="00EE1878">
        <w:t xml:space="preserve">Appendix A: </w:t>
      </w:r>
      <w:r w:rsidR="00EE1878" w:rsidRPr="00310CC5">
        <w:t>Toxicity data that passed the screening and quality assessment</w:t>
      </w:r>
      <w:r w:rsidR="00EE1878">
        <w:t xml:space="preserve"> </w:t>
      </w:r>
      <w:r w:rsidR="00EE1878" w:rsidRPr="00D41109">
        <w:t>and were used to derive the default guideline values</w:t>
      </w:r>
      <w:r w:rsidR="00B22744">
        <w:fldChar w:fldCharType="end"/>
      </w:r>
      <w:r w:rsidRPr="00D41109">
        <w:t xml:space="preserve">, </w:t>
      </w:r>
      <w:r w:rsidR="00B22744">
        <w:fldChar w:fldCharType="begin"/>
      </w:r>
      <w:r w:rsidR="00B22744">
        <w:instrText xml:space="preserve"> REF _Ref14610302 \h </w:instrText>
      </w:r>
      <w:r w:rsidR="00B22744">
        <w:fldChar w:fldCharType="separate"/>
      </w:r>
      <w:r w:rsidR="00EE1878">
        <w:t xml:space="preserve">Table A </w:t>
      </w:r>
      <w:r w:rsidR="00EE1878">
        <w:rPr>
          <w:noProof/>
        </w:rPr>
        <w:t>1</w:t>
      </w:r>
      <w:r w:rsidR="00B22744">
        <w:fldChar w:fldCharType="end"/>
      </w:r>
      <w:r>
        <w:t>.</w:t>
      </w:r>
      <w:r w:rsidR="007508CC">
        <w:t xml:space="preserve"> Details of the </w:t>
      </w:r>
      <w:r w:rsidR="007508CC" w:rsidRPr="00E47726">
        <w:t>data quality assessment</w:t>
      </w:r>
      <w:r w:rsidR="007508CC">
        <w:t xml:space="preserve"> and the </w:t>
      </w:r>
      <w:r w:rsidR="007508CC" w:rsidRPr="00E47726">
        <w:t>data that passed the quality assessment</w:t>
      </w:r>
      <w:r w:rsidR="007508CC">
        <w:t xml:space="preserve"> are provided as supporting information.</w:t>
      </w:r>
    </w:p>
    <w:p w14:paraId="64BA1617" w14:textId="77777777" w:rsidR="00AF5CBA" w:rsidRDefault="00C30114" w:rsidP="00AF5CBA">
      <w:pPr>
        <w:pStyle w:val="Caption"/>
      </w:pPr>
      <w:bookmarkStart w:id="14" w:name="_Ref25408772"/>
      <w:bookmarkStart w:id="15" w:name="_Toc34400624"/>
      <w:r>
        <w:t>Table </w:t>
      </w:r>
      <w:r w:rsidR="00B43F23">
        <w:rPr>
          <w:noProof/>
        </w:rPr>
        <w:fldChar w:fldCharType="begin"/>
      </w:r>
      <w:r w:rsidR="00B43F23">
        <w:rPr>
          <w:noProof/>
        </w:rPr>
        <w:instrText xml:space="preserve"> SEQ Table \* ARABIC </w:instrText>
      </w:r>
      <w:r w:rsidR="00B43F23">
        <w:rPr>
          <w:noProof/>
        </w:rPr>
        <w:fldChar w:fldCharType="separate"/>
      </w:r>
      <w:r w:rsidR="00B43F23">
        <w:rPr>
          <w:noProof/>
        </w:rPr>
        <w:t>2</w:t>
      </w:r>
      <w:r w:rsidR="00B43F23">
        <w:rPr>
          <w:noProof/>
        </w:rPr>
        <w:fldChar w:fldCharType="end"/>
      </w:r>
      <w:bookmarkEnd w:id="14"/>
      <w:r w:rsidRPr="008C6249">
        <w:t xml:space="preserve"> Summary of the single toxicity v</w:t>
      </w:r>
      <w:r w:rsidRPr="008C6249">
        <w:t>alue</w:t>
      </w:r>
      <w:r>
        <w:t xml:space="preserve">s, all species used to derive default guideline values for </w:t>
      </w:r>
      <w:r w:rsidRPr="008C6249">
        <w:t>metsulfuron-methyl in freshwater</w:t>
      </w:r>
      <w:bookmarkEnd w:id="15"/>
      <w:r w:rsidRPr="008C6249">
        <w:t xml:space="preserve"> </w:t>
      </w:r>
    </w:p>
    <w:tbl>
      <w:tblPr>
        <w:tblW w:w="5000" w:type="pct"/>
        <w:jc w:val="center"/>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of the single toxicity values, all species used to derive default guideline values for metsulfuron-methyl in freshwater"/>
        <w:tblDescription w:val="Table provides a list of the species used to derive the metsulfuron-methyl default guideline value, with additional details such as taxonomic group, species, phylum, class, life stage, duration of test, type of test (acute/chronic), toxicity endpoint and toxicity value."/>
      </w:tblPr>
      <w:tblGrid>
        <w:gridCol w:w="1421"/>
        <w:gridCol w:w="1700"/>
        <w:gridCol w:w="1275"/>
        <w:gridCol w:w="992"/>
        <w:gridCol w:w="851"/>
        <w:gridCol w:w="1703"/>
        <w:gridCol w:w="1128"/>
      </w:tblGrid>
      <w:tr w:rsidR="00231336" w14:paraId="71D9AD4F" w14:textId="77777777" w:rsidTr="009962B6">
        <w:trPr>
          <w:cantSplit/>
          <w:trHeight w:val="834"/>
          <w:tblHeader/>
          <w:jc w:val="center"/>
        </w:trPr>
        <w:tc>
          <w:tcPr>
            <w:tcW w:w="783" w:type="pct"/>
            <w:tcBorders>
              <w:top w:val="single" w:sz="12" w:space="0" w:color="auto"/>
              <w:bottom w:val="single" w:sz="12" w:space="0" w:color="auto"/>
            </w:tcBorders>
            <w:shd w:val="clear" w:color="auto" w:fill="auto"/>
            <w:noWrap/>
            <w:vAlign w:val="center"/>
          </w:tcPr>
          <w:p w14:paraId="51EE67DE" w14:textId="77777777" w:rsidR="00AF5CBA" w:rsidRPr="00A464A0" w:rsidRDefault="00C30114" w:rsidP="00096C2B">
            <w:pPr>
              <w:pStyle w:val="TableHeading"/>
            </w:pPr>
            <w:r w:rsidRPr="00A464A0">
              <w:t>Taxonomic group</w:t>
            </w:r>
            <w:r>
              <w:t xml:space="preserve"> (Phylum)</w:t>
            </w:r>
          </w:p>
        </w:tc>
        <w:tc>
          <w:tcPr>
            <w:tcW w:w="937" w:type="pct"/>
            <w:tcBorders>
              <w:top w:val="single" w:sz="12" w:space="0" w:color="auto"/>
              <w:bottom w:val="single" w:sz="12" w:space="0" w:color="auto"/>
            </w:tcBorders>
            <w:shd w:val="clear" w:color="auto" w:fill="auto"/>
            <w:noWrap/>
            <w:vAlign w:val="center"/>
          </w:tcPr>
          <w:p w14:paraId="42137EA0" w14:textId="77777777" w:rsidR="00AF5CBA" w:rsidRPr="00A464A0" w:rsidRDefault="00C30114" w:rsidP="00096C2B">
            <w:pPr>
              <w:pStyle w:val="TableHeading"/>
            </w:pPr>
            <w:r w:rsidRPr="00A464A0">
              <w:t>Species</w:t>
            </w:r>
          </w:p>
        </w:tc>
        <w:tc>
          <w:tcPr>
            <w:tcW w:w="703" w:type="pct"/>
            <w:tcBorders>
              <w:top w:val="single" w:sz="12" w:space="0" w:color="auto"/>
              <w:bottom w:val="single" w:sz="12" w:space="0" w:color="auto"/>
            </w:tcBorders>
            <w:shd w:val="clear" w:color="auto" w:fill="auto"/>
            <w:noWrap/>
            <w:vAlign w:val="center"/>
          </w:tcPr>
          <w:p w14:paraId="00ED84D7" w14:textId="77777777" w:rsidR="00AF5CBA" w:rsidRPr="00A464A0" w:rsidRDefault="00C30114" w:rsidP="00096C2B">
            <w:pPr>
              <w:pStyle w:val="TableHeading"/>
            </w:pPr>
            <w:r w:rsidRPr="00A464A0">
              <w:t>Life stage</w:t>
            </w:r>
          </w:p>
        </w:tc>
        <w:tc>
          <w:tcPr>
            <w:tcW w:w="547" w:type="pct"/>
            <w:tcBorders>
              <w:top w:val="single" w:sz="12" w:space="0" w:color="auto"/>
              <w:bottom w:val="single" w:sz="12" w:space="0" w:color="auto"/>
            </w:tcBorders>
            <w:shd w:val="clear" w:color="auto" w:fill="auto"/>
            <w:noWrap/>
            <w:vAlign w:val="center"/>
          </w:tcPr>
          <w:p w14:paraId="330DCEE0" w14:textId="77777777" w:rsidR="00AF5CBA" w:rsidRPr="00A464A0" w:rsidRDefault="00C30114" w:rsidP="00096C2B">
            <w:pPr>
              <w:pStyle w:val="TableHeading"/>
            </w:pPr>
            <w:r w:rsidRPr="00A464A0">
              <w:t>Duration (d)</w:t>
            </w:r>
          </w:p>
        </w:tc>
        <w:tc>
          <w:tcPr>
            <w:tcW w:w="469" w:type="pct"/>
            <w:tcBorders>
              <w:top w:val="single" w:sz="12" w:space="0" w:color="auto"/>
              <w:bottom w:val="single" w:sz="12" w:space="0" w:color="auto"/>
            </w:tcBorders>
            <w:shd w:val="clear" w:color="auto" w:fill="auto"/>
            <w:noWrap/>
            <w:vAlign w:val="center"/>
          </w:tcPr>
          <w:p w14:paraId="33C625A5" w14:textId="77777777" w:rsidR="00AF5CBA" w:rsidRPr="00A464A0" w:rsidRDefault="00C30114" w:rsidP="00096C2B">
            <w:pPr>
              <w:pStyle w:val="TableHeading"/>
            </w:pPr>
            <w:r w:rsidRPr="00A464A0">
              <w:t>Type (acute/</w:t>
            </w:r>
            <w:r>
              <w:t xml:space="preserve"> </w:t>
            </w:r>
            <w:r w:rsidRPr="00A464A0">
              <w:t>chronic)</w:t>
            </w:r>
            <w:r>
              <w:t xml:space="preserve"> </w:t>
            </w:r>
          </w:p>
        </w:tc>
        <w:tc>
          <w:tcPr>
            <w:tcW w:w="939" w:type="pct"/>
            <w:tcBorders>
              <w:top w:val="single" w:sz="12" w:space="0" w:color="auto"/>
              <w:bottom w:val="single" w:sz="12" w:space="0" w:color="auto"/>
            </w:tcBorders>
            <w:shd w:val="clear" w:color="auto" w:fill="auto"/>
            <w:noWrap/>
            <w:vAlign w:val="center"/>
          </w:tcPr>
          <w:p w14:paraId="539EE7BF" w14:textId="77777777" w:rsidR="00AF5CBA" w:rsidRPr="00A464A0" w:rsidRDefault="00C30114" w:rsidP="00096C2B">
            <w:pPr>
              <w:pStyle w:val="TableHeading"/>
            </w:pPr>
            <w:r w:rsidRPr="00A464A0">
              <w:t>Toxicity endpoint</w:t>
            </w:r>
          </w:p>
        </w:tc>
        <w:tc>
          <w:tcPr>
            <w:tcW w:w="623" w:type="pct"/>
            <w:tcBorders>
              <w:top w:val="single" w:sz="12" w:space="0" w:color="auto"/>
              <w:bottom w:val="single" w:sz="12" w:space="0" w:color="auto"/>
            </w:tcBorders>
            <w:shd w:val="clear" w:color="auto" w:fill="auto"/>
            <w:noWrap/>
            <w:vAlign w:val="center"/>
          </w:tcPr>
          <w:p w14:paraId="122D6072" w14:textId="77777777" w:rsidR="00AF5CBA" w:rsidRPr="00A464A0" w:rsidRDefault="00C30114" w:rsidP="00096C2B">
            <w:pPr>
              <w:pStyle w:val="TableHeading"/>
            </w:pPr>
            <w:r>
              <w:t>Final t</w:t>
            </w:r>
            <w:r w:rsidRPr="00A464A0">
              <w:t>oxicity value (µg/L)</w:t>
            </w:r>
          </w:p>
        </w:tc>
      </w:tr>
      <w:tr w:rsidR="00231336" w14:paraId="1A32F1FD" w14:textId="77777777" w:rsidTr="009962B6">
        <w:trPr>
          <w:cantSplit/>
          <w:trHeight w:val="330"/>
          <w:jc w:val="center"/>
        </w:trPr>
        <w:tc>
          <w:tcPr>
            <w:tcW w:w="783" w:type="pct"/>
            <w:tcBorders>
              <w:top w:val="single" w:sz="12" w:space="0" w:color="auto"/>
            </w:tcBorders>
            <w:shd w:val="clear" w:color="auto" w:fill="auto"/>
            <w:noWrap/>
            <w:vAlign w:val="center"/>
            <w:hideMark/>
          </w:tcPr>
          <w:p w14:paraId="46DA9CDF" w14:textId="77777777" w:rsidR="00AF5CBA" w:rsidRPr="00A464A0" w:rsidRDefault="00C30114" w:rsidP="00096C2B">
            <w:pPr>
              <w:pStyle w:val="TableText"/>
              <w:rPr>
                <w:lang w:eastAsia="en-AU"/>
              </w:rPr>
            </w:pPr>
            <w:r w:rsidRPr="00A464A0">
              <w:rPr>
                <w:lang w:eastAsia="en-AU"/>
              </w:rPr>
              <w:t>Blue</w:t>
            </w:r>
            <w:r>
              <w:rPr>
                <w:lang w:eastAsia="en-AU"/>
              </w:rPr>
              <w:t>–</w:t>
            </w:r>
            <w:r w:rsidRPr="00A464A0">
              <w:rPr>
                <w:lang w:eastAsia="en-AU"/>
              </w:rPr>
              <w:t>green alga</w:t>
            </w:r>
            <w:r>
              <w:rPr>
                <w:lang w:eastAsia="en-AU"/>
              </w:rPr>
              <w:t xml:space="preserve"> (</w:t>
            </w:r>
            <w:r w:rsidRPr="00A464A0">
              <w:rPr>
                <w:lang w:eastAsia="en-AU"/>
              </w:rPr>
              <w:t>Cyanobacteria</w:t>
            </w:r>
            <w:r>
              <w:rPr>
                <w:lang w:eastAsia="en-AU"/>
              </w:rPr>
              <w:t>)</w:t>
            </w:r>
          </w:p>
        </w:tc>
        <w:tc>
          <w:tcPr>
            <w:tcW w:w="937" w:type="pct"/>
            <w:tcBorders>
              <w:top w:val="single" w:sz="12" w:space="0" w:color="auto"/>
            </w:tcBorders>
            <w:shd w:val="clear" w:color="auto" w:fill="auto"/>
            <w:noWrap/>
            <w:vAlign w:val="center"/>
            <w:hideMark/>
          </w:tcPr>
          <w:p w14:paraId="4BC0E383" w14:textId="77777777" w:rsidR="00AF5CBA" w:rsidRPr="00606040" w:rsidRDefault="00C30114" w:rsidP="00096C2B">
            <w:pPr>
              <w:pStyle w:val="TableText"/>
              <w:rPr>
                <w:rStyle w:val="Emphasis"/>
              </w:rPr>
            </w:pPr>
            <w:r>
              <w:rPr>
                <w:rStyle w:val="Emphasis"/>
              </w:rPr>
              <w:t>Anabaena flos</w:t>
            </w:r>
            <w:r w:rsidRPr="00606040">
              <w:rPr>
                <w:rStyle w:val="Emphasis"/>
              </w:rPr>
              <w:t>aquae</w:t>
            </w:r>
          </w:p>
        </w:tc>
        <w:tc>
          <w:tcPr>
            <w:tcW w:w="703" w:type="pct"/>
            <w:tcBorders>
              <w:top w:val="single" w:sz="12" w:space="0" w:color="auto"/>
            </w:tcBorders>
            <w:shd w:val="clear" w:color="auto" w:fill="auto"/>
            <w:noWrap/>
            <w:vAlign w:val="center"/>
            <w:hideMark/>
          </w:tcPr>
          <w:p w14:paraId="41E503E3" w14:textId="77777777" w:rsidR="00AF5CBA" w:rsidRPr="00A464A0" w:rsidRDefault="00C30114" w:rsidP="00096C2B">
            <w:pPr>
              <w:pStyle w:val="TableText"/>
              <w:rPr>
                <w:lang w:eastAsia="en-AU"/>
              </w:rPr>
            </w:pPr>
            <w:r w:rsidRPr="00A464A0">
              <w:rPr>
                <w:lang w:eastAsia="en-AU"/>
              </w:rPr>
              <w:t>Not stated</w:t>
            </w:r>
          </w:p>
        </w:tc>
        <w:tc>
          <w:tcPr>
            <w:tcW w:w="547" w:type="pct"/>
            <w:tcBorders>
              <w:top w:val="single" w:sz="12" w:space="0" w:color="auto"/>
            </w:tcBorders>
            <w:shd w:val="clear" w:color="auto" w:fill="auto"/>
            <w:noWrap/>
            <w:vAlign w:val="center"/>
            <w:hideMark/>
          </w:tcPr>
          <w:p w14:paraId="09D2F981" w14:textId="77777777" w:rsidR="00AF5CBA" w:rsidRPr="00A464A0" w:rsidRDefault="00C30114" w:rsidP="00096C2B">
            <w:pPr>
              <w:pStyle w:val="TableText"/>
              <w:rPr>
                <w:lang w:eastAsia="en-AU"/>
              </w:rPr>
            </w:pPr>
            <w:r w:rsidRPr="00A464A0">
              <w:rPr>
                <w:lang w:eastAsia="en-AU"/>
              </w:rPr>
              <w:t>5</w:t>
            </w:r>
          </w:p>
        </w:tc>
        <w:tc>
          <w:tcPr>
            <w:tcW w:w="469" w:type="pct"/>
            <w:tcBorders>
              <w:top w:val="single" w:sz="12" w:space="0" w:color="auto"/>
            </w:tcBorders>
            <w:shd w:val="clear" w:color="auto" w:fill="auto"/>
            <w:noWrap/>
            <w:vAlign w:val="center"/>
            <w:hideMark/>
          </w:tcPr>
          <w:p w14:paraId="7DBA7BC3" w14:textId="77777777" w:rsidR="00AF5CBA" w:rsidRPr="00A464A0" w:rsidRDefault="00C30114" w:rsidP="00096C2B">
            <w:pPr>
              <w:pStyle w:val="TableText"/>
              <w:rPr>
                <w:lang w:eastAsia="en-AU"/>
              </w:rPr>
            </w:pPr>
            <w:r w:rsidRPr="00A464A0">
              <w:rPr>
                <w:lang w:eastAsia="en-AU"/>
              </w:rPr>
              <w:t>Chronic NOEL</w:t>
            </w:r>
          </w:p>
        </w:tc>
        <w:tc>
          <w:tcPr>
            <w:tcW w:w="939" w:type="pct"/>
            <w:tcBorders>
              <w:top w:val="single" w:sz="12" w:space="0" w:color="auto"/>
            </w:tcBorders>
            <w:shd w:val="clear" w:color="auto" w:fill="auto"/>
            <w:noWrap/>
            <w:vAlign w:val="center"/>
            <w:hideMark/>
          </w:tcPr>
          <w:p w14:paraId="762AE6FD" w14:textId="77777777" w:rsidR="00AF5CBA" w:rsidRPr="00A464A0" w:rsidRDefault="00C30114" w:rsidP="00096C2B">
            <w:pPr>
              <w:pStyle w:val="TableText"/>
              <w:rPr>
                <w:lang w:eastAsia="en-AU"/>
              </w:rPr>
            </w:pPr>
            <w:r w:rsidRPr="00A464A0">
              <w:rPr>
                <w:lang w:eastAsia="en-AU"/>
              </w:rPr>
              <w:t>Biomass yield, growth rate, AUC</w:t>
            </w:r>
            <w:r>
              <w:rPr>
                <w:lang w:eastAsia="en-AU"/>
              </w:rPr>
              <w:t xml:space="preserve"> </w:t>
            </w:r>
            <w:r>
              <w:rPr>
                <w:rStyle w:val="Strong"/>
                <w:vertAlign w:val="superscript"/>
              </w:rPr>
              <w:t>a</w:t>
            </w:r>
          </w:p>
        </w:tc>
        <w:tc>
          <w:tcPr>
            <w:tcW w:w="623" w:type="pct"/>
            <w:tcBorders>
              <w:top w:val="single" w:sz="12" w:space="0" w:color="auto"/>
            </w:tcBorders>
            <w:shd w:val="clear" w:color="auto" w:fill="auto"/>
            <w:noWrap/>
            <w:vAlign w:val="center"/>
            <w:hideMark/>
          </w:tcPr>
          <w:p w14:paraId="66EC818D" w14:textId="77777777" w:rsidR="00AF5CBA" w:rsidRPr="00A464A0" w:rsidRDefault="00C30114" w:rsidP="00096C2B">
            <w:pPr>
              <w:pStyle w:val="TableText"/>
              <w:rPr>
                <w:lang w:eastAsia="en-AU"/>
              </w:rPr>
            </w:pPr>
            <w:r w:rsidRPr="00A464A0">
              <w:rPr>
                <w:lang w:eastAsia="en-AU"/>
              </w:rPr>
              <w:t>95.4</w:t>
            </w:r>
          </w:p>
        </w:tc>
      </w:tr>
      <w:tr w:rsidR="00231336" w14:paraId="42ACE378" w14:textId="77777777" w:rsidTr="009962B6">
        <w:trPr>
          <w:cantSplit/>
          <w:trHeight w:val="330"/>
          <w:jc w:val="center"/>
        </w:trPr>
        <w:tc>
          <w:tcPr>
            <w:tcW w:w="783" w:type="pct"/>
            <w:shd w:val="clear" w:color="auto" w:fill="auto"/>
            <w:noWrap/>
            <w:vAlign w:val="center"/>
            <w:hideMark/>
          </w:tcPr>
          <w:p w14:paraId="2F7A42BD" w14:textId="77777777" w:rsidR="00AF5CBA" w:rsidRPr="00A464A0" w:rsidRDefault="00C30114" w:rsidP="00096C2B">
            <w:pPr>
              <w:pStyle w:val="TableText"/>
              <w:rPr>
                <w:lang w:eastAsia="en-AU"/>
              </w:rPr>
            </w:pPr>
            <w:r w:rsidRPr="00A464A0">
              <w:rPr>
                <w:lang w:eastAsia="en-AU"/>
              </w:rPr>
              <w:t>Macrophyte</w:t>
            </w:r>
            <w:r>
              <w:rPr>
                <w:lang w:eastAsia="en-AU"/>
              </w:rPr>
              <w:t xml:space="preserve"> (</w:t>
            </w:r>
            <w:r w:rsidRPr="00A464A0">
              <w:rPr>
                <w:lang w:eastAsia="en-AU"/>
              </w:rPr>
              <w:t>Tracheophyta</w:t>
            </w:r>
            <w:r>
              <w:rPr>
                <w:lang w:eastAsia="en-AU"/>
              </w:rPr>
              <w:t>)</w:t>
            </w:r>
          </w:p>
        </w:tc>
        <w:tc>
          <w:tcPr>
            <w:tcW w:w="937" w:type="pct"/>
            <w:shd w:val="clear" w:color="auto" w:fill="auto"/>
            <w:noWrap/>
            <w:vAlign w:val="center"/>
            <w:hideMark/>
          </w:tcPr>
          <w:p w14:paraId="005F1F9C" w14:textId="77777777" w:rsidR="00AF5CBA" w:rsidRPr="00A464A0" w:rsidRDefault="00C30114" w:rsidP="00096C2B">
            <w:pPr>
              <w:pStyle w:val="TableText"/>
              <w:rPr>
                <w:i/>
                <w:lang w:eastAsia="en-AU"/>
              </w:rPr>
            </w:pPr>
            <w:r w:rsidRPr="00606040">
              <w:rPr>
                <w:rStyle w:val="Emphasis"/>
              </w:rPr>
              <w:t>Elodea canadensis</w:t>
            </w:r>
            <w:r>
              <w:rPr>
                <w:i/>
                <w:lang w:eastAsia="en-AU"/>
              </w:rPr>
              <w:t xml:space="preserve"> </w:t>
            </w:r>
            <w:r>
              <w:rPr>
                <w:rStyle w:val="Strong"/>
                <w:vertAlign w:val="superscript"/>
              </w:rPr>
              <w:t>b</w:t>
            </w:r>
          </w:p>
        </w:tc>
        <w:tc>
          <w:tcPr>
            <w:tcW w:w="703" w:type="pct"/>
            <w:shd w:val="clear" w:color="auto" w:fill="auto"/>
            <w:noWrap/>
            <w:vAlign w:val="center"/>
            <w:hideMark/>
          </w:tcPr>
          <w:p w14:paraId="5C4C5A12" w14:textId="77777777" w:rsidR="00AF5CBA" w:rsidRPr="00A464A0" w:rsidRDefault="00C30114" w:rsidP="00096C2B">
            <w:pPr>
              <w:pStyle w:val="TableText"/>
              <w:rPr>
                <w:lang w:eastAsia="en-AU"/>
              </w:rPr>
            </w:pPr>
            <w:r w:rsidRPr="00A464A0">
              <w:rPr>
                <w:lang w:eastAsia="en-AU"/>
              </w:rPr>
              <w:t>Apical shoot (19.5</w:t>
            </w:r>
            <w:r>
              <w:rPr>
                <w:lang w:eastAsia="en-AU"/>
              </w:rPr>
              <w:t> </w:t>
            </w:r>
            <w:r w:rsidRPr="00A464A0">
              <w:rPr>
                <w:lang w:eastAsia="en-AU"/>
              </w:rPr>
              <w:t>cm)</w:t>
            </w:r>
          </w:p>
        </w:tc>
        <w:tc>
          <w:tcPr>
            <w:tcW w:w="547" w:type="pct"/>
            <w:shd w:val="clear" w:color="auto" w:fill="auto"/>
            <w:noWrap/>
            <w:vAlign w:val="center"/>
            <w:hideMark/>
          </w:tcPr>
          <w:p w14:paraId="7828396E" w14:textId="77777777" w:rsidR="00AF5CBA" w:rsidRPr="00A464A0" w:rsidRDefault="00C30114" w:rsidP="00096C2B">
            <w:pPr>
              <w:pStyle w:val="TableText"/>
              <w:rPr>
                <w:lang w:eastAsia="en-AU"/>
              </w:rPr>
            </w:pPr>
            <w:r w:rsidRPr="00A464A0">
              <w:rPr>
                <w:lang w:eastAsia="en-AU"/>
              </w:rPr>
              <w:t>8</w:t>
            </w:r>
          </w:p>
        </w:tc>
        <w:tc>
          <w:tcPr>
            <w:tcW w:w="469" w:type="pct"/>
            <w:shd w:val="clear" w:color="auto" w:fill="auto"/>
            <w:noWrap/>
            <w:vAlign w:val="center"/>
            <w:hideMark/>
          </w:tcPr>
          <w:p w14:paraId="3A3037D5" w14:textId="77777777" w:rsidR="00AF5CBA" w:rsidRPr="00A464A0" w:rsidRDefault="00C30114" w:rsidP="00096C2B">
            <w:pPr>
              <w:pStyle w:val="TableText"/>
              <w:rPr>
                <w:lang w:eastAsia="en-AU"/>
              </w:rPr>
            </w:pPr>
            <w:r w:rsidRPr="00A464A0">
              <w:rPr>
                <w:lang w:eastAsia="en-AU"/>
              </w:rPr>
              <w:t>Chronic NOEC</w:t>
            </w:r>
          </w:p>
        </w:tc>
        <w:tc>
          <w:tcPr>
            <w:tcW w:w="939" w:type="pct"/>
            <w:shd w:val="clear" w:color="auto" w:fill="auto"/>
            <w:noWrap/>
            <w:vAlign w:val="center"/>
            <w:hideMark/>
          </w:tcPr>
          <w:p w14:paraId="66DABE6B" w14:textId="77777777" w:rsidR="00AF5CBA" w:rsidRPr="00A464A0" w:rsidRDefault="00C30114" w:rsidP="00096C2B">
            <w:pPr>
              <w:pStyle w:val="TableText"/>
              <w:rPr>
                <w:lang w:eastAsia="en-AU"/>
              </w:rPr>
            </w:pPr>
            <w:r w:rsidRPr="00A464A0">
              <w:rPr>
                <w:lang w:eastAsia="en-AU"/>
              </w:rPr>
              <w:t>Shoot length</w:t>
            </w:r>
          </w:p>
        </w:tc>
        <w:tc>
          <w:tcPr>
            <w:tcW w:w="623" w:type="pct"/>
            <w:shd w:val="clear" w:color="auto" w:fill="auto"/>
            <w:noWrap/>
            <w:vAlign w:val="center"/>
            <w:hideMark/>
          </w:tcPr>
          <w:p w14:paraId="70C7F91E" w14:textId="77777777" w:rsidR="00AF5CBA" w:rsidRPr="00A464A0" w:rsidRDefault="00C30114" w:rsidP="00096C2B">
            <w:pPr>
              <w:pStyle w:val="TableText"/>
              <w:rPr>
                <w:lang w:eastAsia="en-AU"/>
              </w:rPr>
            </w:pPr>
            <w:r w:rsidRPr="00A464A0">
              <w:rPr>
                <w:lang w:eastAsia="en-AU"/>
              </w:rPr>
              <w:t>0.054</w:t>
            </w:r>
          </w:p>
        </w:tc>
      </w:tr>
      <w:tr w:rsidR="00231336" w14:paraId="78509E94" w14:textId="77777777" w:rsidTr="009962B6">
        <w:trPr>
          <w:cantSplit/>
          <w:trHeight w:val="330"/>
          <w:jc w:val="center"/>
        </w:trPr>
        <w:tc>
          <w:tcPr>
            <w:tcW w:w="783" w:type="pct"/>
            <w:shd w:val="clear" w:color="auto" w:fill="auto"/>
            <w:noWrap/>
            <w:vAlign w:val="center"/>
            <w:hideMark/>
          </w:tcPr>
          <w:p w14:paraId="7D9F37E6" w14:textId="77777777" w:rsidR="00AF5CBA" w:rsidRPr="00A464A0" w:rsidRDefault="00C30114" w:rsidP="00096C2B">
            <w:pPr>
              <w:pStyle w:val="TableText"/>
              <w:rPr>
                <w:lang w:eastAsia="en-AU"/>
              </w:rPr>
            </w:pPr>
            <w:r w:rsidRPr="00A464A0">
              <w:rPr>
                <w:lang w:eastAsia="en-AU"/>
              </w:rPr>
              <w:t>Macrophyte</w:t>
            </w:r>
            <w:r>
              <w:rPr>
                <w:lang w:eastAsia="en-AU"/>
              </w:rPr>
              <w:t xml:space="preserve"> (</w:t>
            </w:r>
            <w:r w:rsidRPr="00A464A0">
              <w:rPr>
                <w:lang w:eastAsia="en-AU"/>
              </w:rPr>
              <w:t>Tracheophyta</w:t>
            </w:r>
            <w:r>
              <w:rPr>
                <w:lang w:eastAsia="en-AU"/>
              </w:rPr>
              <w:t>)</w:t>
            </w:r>
          </w:p>
        </w:tc>
        <w:tc>
          <w:tcPr>
            <w:tcW w:w="937" w:type="pct"/>
            <w:shd w:val="clear" w:color="auto" w:fill="auto"/>
            <w:noWrap/>
            <w:vAlign w:val="center"/>
            <w:hideMark/>
          </w:tcPr>
          <w:p w14:paraId="6030736E" w14:textId="77777777" w:rsidR="00AF5CBA" w:rsidRPr="00606040" w:rsidRDefault="00C30114" w:rsidP="00096C2B">
            <w:pPr>
              <w:pStyle w:val="TableText"/>
              <w:rPr>
                <w:rStyle w:val="Emphasis"/>
              </w:rPr>
            </w:pPr>
            <w:r w:rsidRPr="00606040">
              <w:rPr>
                <w:rStyle w:val="Emphasis"/>
              </w:rPr>
              <w:t>Lemna gibba</w:t>
            </w:r>
          </w:p>
        </w:tc>
        <w:tc>
          <w:tcPr>
            <w:tcW w:w="703" w:type="pct"/>
            <w:shd w:val="clear" w:color="auto" w:fill="auto"/>
            <w:noWrap/>
            <w:vAlign w:val="center"/>
            <w:hideMark/>
          </w:tcPr>
          <w:p w14:paraId="3DC92CFC" w14:textId="77777777" w:rsidR="00AF5CBA" w:rsidRPr="00A464A0" w:rsidRDefault="00C30114" w:rsidP="00096C2B">
            <w:pPr>
              <w:pStyle w:val="TableText"/>
              <w:rPr>
                <w:lang w:eastAsia="en-AU"/>
              </w:rPr>
            </w:pPr>
            <w:r w:rsidRPr="00A464A0">
              <w:rPr>
                <w:lang w:eastAsia="en-AU"/>
              </w:rPr>
              <w:t xml:space="preserve">Not </w:t>
            </w:r>
            <w:r w:rsidRPr="00A464A0">
              <w:rPr>
                <w:lang w:eastAsia="en-AU"/>
              </w:rPr>
              <w:t>stated</w:t>
            </w:r>
          </w:p>
        </w:tc>
        <w:tc>
          <w:tcPr>
            <w:tcW w:w="547" w:type="pct"/>
            <w:shd w:val="clear" w:color="auto" w:fill="auto"/>
            <w:noWrap/>
            <w:vAlign w:val="center"/>
            <w:hideMark/>
          </w:tcPr>
          <w:p w14:paraId="69CF9A35" w14:textId="77777777" w:rsidR="00AF5CBA" w:rsidRPr="00A464A0" w:rsidRDefault="00C30114" w:rsidP="00096C2B">
            <w:pPr>
              <w:pStyle w:val="TableText"/>
              <w:rPr>
                <w:lang w:eastAsia="en-AU"/>
              </w:rPr>
            </w:pPr>
            <w:r>
              <w:rPr>
                <w:lang w:eastAsia="en-AU"/>
              </w:rPr>
              <w:t>7</w:t>
            </w:r>
          </w:p>
        </w:tc>
        <w:tc>
          <w:tcPr>
            <w:tcW w:w="469" w:type="pct"/>
            <w:shd w:val="clear" w:color="auto" w:fill="auto"/>
            <w:noWrap/>
            <w:vAlign w:val="center"/>
            <w:hideMark/>
          </w:tcPr>
          <w:p w14:paraId="5C5BDB36" w14:textId="77777777" w:rsidR="00AF5CBA" w:rsidRPr="00A464A0" w:rsidRDefault="00C30114" w:rsidP="00096C2B">
            <w:pPr>
              <w:pStyle w:val="TableText"/>
              <w:rPr>
                <w:lang w:eastAsia="en-AU"/>
              </w:rPr>
            </w:pPr>
            <w:r w:rsidRPr="00A464A0">
              <w:rPr>
                <w:lang w:eastAsia="en-AU"/>
              </w:rPr>
              <w:t>Chronic EC10</w:t>
            </w:r>
          </w:p>
        </w:tc>
        <w:tc>
          <w:tcPr>
            <w:tcW w:w="939" w:type="pct"/>
            <w:shd w:val="clear" w:color="auto" w:fill="auto"/>
            <w:noWrap/>
            <w:vAlign w:val="center"/>
            <w:hideMark/>
          </w:tcPr>
          <w:p w14:paraId="4AF59F67" w14:textId="77777777" w:rsidR="00AF5CBA" w:rsidRPr="00A464A0" w:rsidRDefault="00C30114" w:rsidP="00096C2B">
            <w:pPr>
              <w:pStyle w:val="TableText"/>
              <w:rPr>
                <w:lang w:eastAsia="en-AU"/>
              </w:rPr>
            </w:pPr>
            <w:r w:rsidRPr="00A464A0">
              <w:rPr>
                <w:lang w:eastAsia="en-AU"/>
              </w:rPr>
              <w:t>Frond count</w:t>
            </w:r>
          </w:p>
        </w:tc>
        <w:tc>
          <w:tcPr>
            <w:tcW w:w="623" w:type="pct"/>
            <w:shd w:val="clear" w:color="auto" w:fill="auto"/>
            <w:noWrap/>
            <w:vAlign w:val="center"/>
            <w:hideMark/>
          </w:tcPr>
          <w:p w14:paraId="4BF104C4" w14:textId="77777777" w:rsidR="00AF5CBA" w:rsidRPr="00A464A0" w:rsidRDefault="00C30114" w:rsidP="00096C2B">
            <w:pPr>
              <w:pStyle w:val="TableText"/>
              <w:rPr>
                <w:lang w:eastAsia="en-AU"/>
              </w:rPr>
            </w:pPr>
            <w:r>
              <w:rPr>
                <w:lang w:eastAsia="en-AU"/>
              </w:rPr>
              <w:t>0.193</w:t>
            </w:r>
            <w:r w:rsidR="00473E65">
              <w:rPr>
                <w:lang w:eastAsia="en-AU"/>
              </w:rPr>
              <w:t xml:space="preserve"> </w:t>
            </w:r>
            <w:r w:rsidR="00473E65" w:rsidRPr="00473E65">
              <w:rPr>
                <w:vertAlign w:val="superscript"/>
                <w:lang w:eastAsia="en-AU"/>
              </w:rPr>
              <w:t>c</w:t>
            </w:r>
          </w:p>
        </w:tc>
      </w:tr>
      <w:tr w:rsidR="00231336" w14:paraId="2234354D" w14:textId="77777777" w:rsidTr="009962B6">
        <w:trPr>
          <w:cantSplit/>
          <w:trHeight w:val="330"/>
          <w:jc w:val="center"/>
        </w:trPr>
        <w:tc>
          <w:tcPr>
            <w:tcW w:w="783" w:type="pct"/>
            <w:shd w:val="clear" w:color="auto" w:fill="auto"/>
            <w:noWrap/>
            <w:vAlign w:val="center"/>
            <w:hideMark/>
          </w:tcPr>
          <w:p w14:paraId="47E089A1" w14:textId="77777777" w:rsidR="00AF5CBA" w:rsidRPr="00A464A0" w:rsidRDefault="00C30114" w:rsidP="00096C2B">
            <w:pPr>
              <w:pStyle w:val="TableText"/>
              <w:rPr>
                <w:lang w:eastAsia="en-AU"/>
              </w:rPr>
            </w:pPr>
            <w:r w:rsidRPr="00A464A0">
              <w:rPr>
                <w:lang w:eastAsia="en-AU"/>
              </w:rPr>
              <w:t>Macrophyte</w:t>
            </w:r>
            <w:r>
              <w:rPr>
                <w:lang w:eastAsia="en-AU"/>
              </w:rPr>
              <w:t xml:space="preserve"> (</w:t>
            </w:r>
            <w:r w:rsidRPr="00A464A0">
              <w:rPr>
                <w:lang w:eastAsia="en-AU"/>
              </w:rPr>
              <w:t>Tracheophyta</w:t>
            </w:r>
            <w:r>
              <w:rPr>
                <w:lang w:eastAsia="en-AU"/>
              </w:rPr>
              <w:t>)</w:t>
            </w:r>
          </w:p>
        </w:tc>
        <w:tc>
          <w:tcPr>
            <w:tcW w:w="937" w:type="pct"/>
            <w:shd w:val="clear" w:color="auto" w:fill="auto"/>
            <w:noWrap/>
            <w:vAlign w:val="center"/>
            <w:hideMark/>
          </w:tcPr>
          <w:p w14:paraId="0C0CB4B1" w14:textId="77777777" w:rsidR="00AF5CBA" w:rsidRPr="00A464A0" w:rsidRDefault="00C30114" w:rsidP="00096C2B">
            <w:pPr>
              <w:pStyle w:val="TableText"/>
              <w:rPr>
                <w:i/>
                <w:lang w:eastAsia="en-AU"/>
              </w:rPr>
            </w:pPr>
            <w:r w:rsidRPr="00606040">
              <w:rPr>
                <w:rStyle w:val="Emphasis"/>
              </w:rPr>
              <w:t>Lemna minor</w:t>
            </w:r>
            <w:r w:rsidRPr="00606040">
              <w:rPr>
                <w:i/>
                <w:lang w:eastAsia="en-AU"/>
              </w:rPr>
              <w:t xml:space="preserve"> </w:t>
            </w:r>
            <w:r>
              <w:rPr>
                <w:rStyle w:val="Strong"/>
                <w:vertAlign w:val="superscript"/>
              </w:rPr>
              <w:t>b</w:t>
            </w:r>
          </w:p>
        </w:tc>
        <w:tc>
          <w:tcPr>
            <w:tcW w:w="703" w:type="pct"/>
            <w:shd w:val="clear" w:color="auto" w:fill="auto"/>
            <w:noWrap/>
            <w:vAlign w:val="center"/>
            <w:hideMark/>
          </w:tcPr>
          <w:p w14:paraId="5E7C9D8D" w14:textId="77777777" w:rsidR="00AF5CBA" w:rsidRPr="00A464A0" w:rsidRDefault="00C30114" w:rsidP="00096C2B">
            <w:pPr>
              <w:pStyle w:val="TableText"/>
              <w:rPr>
                <w:lang w:eastAsia="en-AU"/>
              </w:rPr>
            </w:pPr>
            <w:r w:rsidRPr="00A464A0">
              <w:rPr>
                <w:lang w:eastAsia="en-AU"/>
              </w:rPr>
              <w:t>Exponential growth phase</w:t>
            </w:r>
          </w:p>
        </w:tc>
        <w:tc>
          <w:tcPr>
            <w:tcW w:w="547" w:type="pct"/>
            <w:shd w:val="clear" w:color="auto" w:fill="auto"/>
            <w:noWrap/>
            <w:vAlign w:val="center"/>
            <w:hideMark/>
          </w:tcPr>
          <w:p w14:paraId="6DB50D5A" w14:textId="77777777" w:rsidR="00AF5CBA" w:rsidRPr="00A464A0" w:rsidRDefault="00C30114" w:rsidP="00096C2B">
            <w:pPr>
              <w:pStyle w:val="TableText"/>
              <w:rPr>
                <w:lang w:eastAsia="en-AU"/>
              </w:rPr>
            </w:pPr>
            <w:r w:rsidRPr="00A464A0">
              <w:rPr>
                <w:lang w:eastAsia="en-AU"/>
              </w:rPr>
              <w:t>42</w:t>
            </w:r>
          </w:p>
        </w:tc>
        <w:tc>
          <w:tcPr>
            <w:tcW w:w="469" w:type="pct"/>
            <w:shd w:val="clear" w:color="auto" w:fill="auto"/>
            <w:noWrap/>
            <w:vAlign w:val="center"/>
            <w:hideMark/>
          </w:tcPr>
          <w:p w14:paraId="55CE1B72" w14:textId="77777777" w:rsidR="00AF5CBA" w:rsidRPr="00A464A0" w:rsidRDefault="00C30114" w:rsidP="00096C2B">
            <w:pPr>
              <w:pStyle w:val="TableText"/>
              <w:rPr>
                <w:lang w:eastAsia="en-AU"/>
              </w:rPr>
            </w:pPr>
            <w:r w:rsidRPr="00A464A0">
              <w:rPr>
                <w:lang w:eastAsia="en-AU"/>
              </w:rPr>
              <w:t>Chronic NOEC</w:t>
            </w:r>
          </w:p>
        </w:tc>
        <w:tc>
          <w:tcPr>
            <w:tcW w:w="939" w:type="pct"/>
            <w:shd w:val="clear" w:color="auto" w:fill="auto"/>
            <w:noWrap/>
            <w:vAlign w:val="center"/>
            <w:hideMark/>
          </w:tcPr>
          <w:p w14:paraId="5EFFD807" w14:textId="77777777" w:rsidR="00AF5CBA" w:rsidRPr="00A464A0" w:rsidRDefault="00C30114" w:rsidP="00096C2B">
            <w:pPr>
              <w:pStyle w:val="TableText"/>
              <w:rPr>
                <w:lang w:eastAsia="en-AU"/>
              </w:rPr>
            </w:pPr>
            <w:r w:rsidRPr="00A464A0">
              <w:rPr>
                <w:lang w:eastAsia="en-AU"/>
              </w:rPr>
              <w:t>Frond count</w:t>
            </w:r>
          </w:p>
        </w:tc>
        <w:tc>
          <w:tcPr>
            <w:tcW w:w="623" w:type="pct"/>
            <w:shd w:val="clear" w:color="auto" w:fill="auto"/>
            <w:noWrap/>
            <w:vAlign w:val="center"/>
            <w:hideMark/>
          </w:tcPr>
          <w:p w14:paraId="180F68CD" w14:textId="77777777" w:rsidR="00AF5CBA" w:rsidRPr="00A464A0" w:rsidRDefault="00C30114" w:rsidP="00096C2B">
            <w:pPr>
              <w:pStyle w:val="TableText"/>
              <w:rPr>
                <w:lang w:eastAsia="en-AU"/>
              </w:rPr>
            </w:pPr>
            <w:r w:rsidRPr="00A464A0">
              <w:rPr>
                <w:lang w:eastAsia="en-AU"/>
              </w:rPr>
              <w:t>0.1</w:t>
            </w:r>
          </w:p>
        </w:tc>
      </w:tr>
      <w:tr w:rsidR="00231336" w14:paraId="3CFC2F38" w14:textId="77777777" w:rsidTr="009962B6">
        <w:trPr>
          <w:cantSplit/>
          <w:trHeight w:val="330"/>
          <w:jc w:val="center"/>
        </w:trPr>
        <w:tc>
          <w:tcPr>
            <w:tcW w:w="783" w:type="pct"/>
            <w:shd w:val="clear" w:color="auto" w:fill="auto"/>
            <w:noWrap/>
            <w:vAlign w:val="center"/>
            <w:hideMark/>
          </w:tcPr>
          <w:p w14:paraId="47ED809F" w14:textId="77777777" w:rsidR="00AF5CBA" w:rsidRPr="00A464A0" w:rsidRDefault="00C30114" w:rsidP="00096C2B">
            <w:pPr>
              <w:pStyle w:val="TableText"/>
              <w:rPr>
                <w:lang w:eastAsia="en-AU"/>
              </w:rPr>
            </w:pPr>
            <w:r w:rsidRPr="00A464A0">
              <w:rPr>
                <w:lang w:eastAsia="en-AU"/>
              </w:rPr>
              <w:t>Macrophyte</w:t>
            </w:r>
            <w:r>
              <w:rPr>
                <w:lang w:eastAsia="en-AU"/>
              </w:rPr>
              <w:t xml:space="preserve"> (</w:t>
            </w:r>
            <w:r w:rsidRPr="00A464A0">
              <w:rPr>
                <w:lang w:eastAsia="en-AU"/>
              </w:rPr>
              <w:t>Tracheophyta</w:t>
            </w:r>
            <w:r>
              <w:rPr>
                <w:lang w:eastAsia="en-AU"/>
              </w:rPr>
              <w:t>)</w:t>
            </w:r>
          </w:p>
        </w:tc>
        <w:tc>
          <w:tcPr>
            <w:tcW w:w="937" w:type="pct"/>
            <w:shd w:val="clear" w:color="auto" w:fill="auto"/>
            <w:noWrap/>
            <w:vAlign w:val="center"/>
            <w:hideMark/>
          </w:tcPr>
          <w:p w14:paraId="7D6C2FB2" w14:textId="77777777" w:rsidR="00AF5CBA" w:rsidRPr="00606040" w:rsidRDefault="00C30114" w:rsidP="00096C2B">
            <w:pPr>
              <w:pStyle w:val="TableText"/>
              <w:rPr>
                <w:rStyle w:val="Emphasis"/>
              </w:rPr>
            </w:pPr>
            <w:r w:rsidRPr="00606040">
              <w:rPr>
                <w:rStyle w:val="Emphasis"/>
              </w:rPr>
              <w:t>Myriophyllum spicatum</w:t>
            </w:r>
          </w:p>
        </w:tc>
        <w:tc>
          <w:tcPr>
            <w:tcW w:w="703" w:type="pct"/>
            <w:shd w:val="clear" w:color="auto" w:fill="auto"/>
            <w:noWrap/>
            <w:vAlign w:val="center"/>
            <w:hideMark/>
          </w:tcPr>
          <w:p w14:paraId="3A6EBAFF" w14:textId="77777777" w:rsidR="00AF5CBA" w:rsidRPr="00A464A0" w:rsidRDefault="00C30114" w:rsidP="00096C2B">
            <w:pPr>
              <w:pStyle w:val="TableText"/>
              <w:rPr>
                <w:lang w:eastAsia="en-AU"/>
              </w:rPr>
            </w:pPr>
            <w:r>
              <w:rPr>
                <w:lang w:eastAsia="en-AU"/>
              </w:rPr>
              <w:t>Apical shoot</w:t>
            </w:r>
          </w:p>
        </w:tc>
        <w:tc>
          <w:tcPr>
            <w:tcW w:w="547" w:type="pct"/>
            <w:shd w:val="clear" w:color="auto" w:fill="auto"/>
            <w:noWrap/>
            <w:vAlign w:val="center"/>
            <w:hideMark/>
          </w:tcPr>
          <w:p w14:paraId="4508A1E0" w14:textId="77777777" w:rsidR="00AF5CBA" w:rsidRPr="00A464A0" w:rsidRDefault="00C30114" w:rsidP="00096C2B">
            <w:pPr>
              <w:pStyle w:val="TableText"/>
              <w:rPr>
                <w:lang w:eastAsia="en-AU"/>
              </w:rPr>
            </w:pPr>
            <w:r w:rsidRPr="00A464A0">
              <w:rPr>
                <w:lang w:eastAsia="en-AU"/>
              </w:rPr>
              <w:t>14</w:t>
            </w:r>
          </w:p>
        </w:tc>
        <w:tc>
          <w:tcPr>
            <w:tcW w:w="469" w:type="pct"/>
            <w:shd w:val="clear" w:color="auto" w:fill="auto"/>
            <w:noWrap/>
            <w:vAlign w:val="center"/>
            <w:hideMark/>
          </w:tcPr>
          <w:p w14:paraId="7736F506" w14:textId="77777777" w:rsidR="00AF5CBA" w:rsidRPr="00A464A0" w:rsidRDefault="00C30114" w:rsidP="00096C2B">
            <w:pPr>
              <w:pStyle w:val="TableText"/>
              <w:rPr>
                <w:lang w:eastAsia="en-AU"/>
              </w:rPr>
            </w:pPr>
            <w:r w:rsidRPr="00A464A0">
              <w:rPr>
                <w:lang w:eastAsia="en-AU"/>
              </w:rPr>
              <w:t xml:space="preserve">Chronic </w:t>
            </w:r>
            <w:r>
              <w:rPr>
                <w:lang w:eastAsia="en-AU"/>
              </w:rPr>
              <w:t>L</w:t>
            </w:r>
            <w:r w:rsidRPr="00A464A0">
              <w:rPr>
                <w:lang w:eastAsia="en-AU"/>
              </w:rPr>
              <w:t>OEC</w:t>
            </w:r>
          </w:p>
        </w:tc>
        <w:tc>
          <w:tcPr>
            <w:tcW w:w="939" w:type="pct"/>
            <w:shd w:val="clear" w:color="auto" w:fill="auto"/>
            <w:noWrap/>
            <w:vAlign w:val="center"/>
            <w:hideMark/>
          </w:tcPr>
          <w:p w14:paraId="1262E18A" w14:textId="77777777" w:rsidR="00AF5CBA" w:rsidRPr="00A464A0" w:rsidRDefault="00C30114" w:rsidP="00096C2B">
            <w:pPr>
              <w:pStyle w:val="TableText"/>
              <w:rPr>
                <w:lang w:eastAsia="en-AU"/>
              </w:rPr>
            </w:pPr>
            <w:r>
              <w:rPr>
                <w:lang w:eastAsia="en-AU"/>
              </w:rPr>
              <w:t>R</w:t>
            </w:r>
            <w:r w:rsidRPr="00A464A0">
              <w:rPr>
                <w:lang w:eastAsia="en-AU"/>
              </w:rPr>
              <w:t>oot occurrence</w:t>
            </w:r>
          </w:p>
        </w:tc>
        <w:tc>
          <w:tcPr>
            <w:tcW w:w="623" w:type="pct"/>
            <w:shd w:val="clear" w:color="auto" w:fill="auto"/>
            <w:noWrap/>
            <w:vAlign w:val="center"/>
            <w:hideMark/>
          </w:tcPr>
          <w:p w14:paraId="7673366F" w14:textId="77777777" w:rsidR="00AF5CBA" w:rsidRPr="00A464A0" w:rsidRDefault="00C30114" w:rsidP="00096C2B">
            <w:pPr>
              <w:pStyle w:val="TableText"/>
              <w:rPr>
                <w:lang w:eastAsia="en-AU"/>
              </w:rPr>
            </w:pPr>
            <w:r>
              <w:rPr>
                <w:lang w:eastAsia="en-AU"/>
              </w:rPr>
              <w:t xml:space="preserve">0.4 </w:t>
            </w:r>
            <w:r w:rsidR="00473E65">
              <w:rPr>
                <w:rStyle w:val="Strong"/>
                <w:vertAlign w:val="superscript"/>
              </w:rPr>
              <w:t>d</w:t>
            </w:r>
          </w:p>
        </w:tc>
      </w:tr>
      <w:tr w:rsidR="00231336" w14:paraId="6B3CE607" w14:textId="77777777" w:rsidTr="009962B6">
        <w:trPr>
          <w:cantSplit/>
          <w:trHeight w:val="330"/>
          <w:jc w:val="center"/>
        </w:trPr>
        <w:tc>
          <w:tcPr>
            <w:tcW w:w="783" w:type="pct"/>
            <w:shd w:val="clear" w:color="auto" w:fill="auto"/>
            <w:noWrap/>
            <w:vAlign w:val="center"/>
          </w:tcPr>
          <w:p w14:paraId="31AC4A97" w14:textId="77777777" w:rsidR="00AF5CBA" w:rsidRPr="00A464A0" w:rsidRDefault="00C30114" w:rsidP="00096C2B">
            <w:pPr>
              <w:pStyle w:val="TableText"/>
              <w:rPr>
                <w:lang w:eastAsia="en-AU"/>
              </w:rPr>
            </w:pPr>
            <w:r w:rsidRPr="00A464A0">
              <w:rPr>
                <w:lang w:eastAsia="en-AU"/>
              </w:rPr>
              <w:t>Diatom</w:t>
            </w:r>
            <w:r>
              <w:rPr>
                <w:lang w:eastAsia="en-AU"/>
              </w:rPr>
              <w:t xml:space="preserve"> (</w:t>
            </w:r>
            <w:r w:rsidRPr="00A464A0">
              <w:rPr>
                <w:lang w:eastAsia="en-AU"/>
              </w:rPr>
              <w:t>Bacillariophyta</w:t>
            </w:r>
            <w:r>
              <w:rPr>
                <w:lang w:eastAsia="en-AU"/>
              </w:rPr>
              <w:t>)</w:t>
            </w:r>
          </w:p>
        </w:tc>
        <w:tc>
          <w:tcPr>
            <w:tcW w:w="937" w:type="pct"/>
            <w:shd w:val="clear" w:color="auto" w:fill="auto"/>
            <w:noWrap/>
            <w:vAlign w:val="center"/>
          </w:tcPr>
          <w:p w14:paraId="39B65521" w14:textId="77777777" w:rsidR="00AF5CBA" w:rsidRPr="00A464A0" w:rsidRDefault="00C30114" w:rsidP="00096C2B">
            <w:pPr>
              <w:pStyle w:val="TableText"/>
              <w:rPr>
                <w:rFonts w:cstheme="minorHAnsi"/>
                <w:b/>
                <w:i/>
                <w:color w:val="FFFFFF" w:themeColor="background1"/>
              </w:rPr>
            </w:pPr>
            <w:r w:rsidRPr="00606040">
              <w:rPr>
                <w:rStyle w:val="Emphasis"/>
              </w:rPr>
              <w:t>Navicula pelliculosa</w:t>
            </w:r>
            <w:r w:rsidR="009962B6">
              <w:rPr>
                <w:rStyle w:val="Emphasis"/>
              </w:rPr>
              <w:t> </w:t>
            </w:r>
            <w:r>
              <w:rPr>
                <w:rStyle w:val="Strong"/>
                <w:vertAlign w:val="superscript"/>
              </w:rPr>
              <w:t>b</w:t>
            </w:r>
          </w:p>
        </w:tc>
        <w:tc>
          <w:tcPr>
            <w:tcW w:w="703" w:type="pct"/>
            <w:shd w:val="clear" w:color="auto" w:fill="auto"/>
            <w:noWrap/>
            <w:vAlign w:val="center"/>
          </w:tcPr>
          <w:p w14:paraId="22EC9766" w14:textId="77777777" w:rsidR="00AF5CBA" w:rsidRPr="00A464A0" w:rsidRDefault="00C30114" w:rsidP="00096C2B">
            <w:pPr>
              <w:pStyle w:val="TableText"/>
              <w:rPr>
                <w:rFonts w:cstheme="minorHAnsi"/>
                <w:b/>
                <w:color w:val="FFFFFF" w:themeColor="background1"/>
              </w:rPr>
            </w:pPr>
            <w:r w:rsidRPr="00A464A0">
              <w:rPr>
                <w:lang w:eastAsia="en-AU"/>
              </w:rPr>
              <w:t>Not stated</w:t>
            </w:r>
          </w:p>
        </w:tc>
        <w:tc>
          <w:tcPr>
            <w:tcW w:w="547" w:type="pct"/>
            <w:shd w:val="clear" w:color="auto" w:fill="auto"/>
            <w:noWrap/>
            <w:vAlign w:val="center"/>
          </w:tcPr>
          <w:p w14:paraId="6978F7AC" w14:textId="77777777" w:rsidR="00AF5CBA" w:rsidRPr="00A464A0" w:rsidRDefault="00C30114" w:rsidP="00096C2B">
            <w:pPr>
              <w:pStyle w:val="TableText"/>
              <w:rPr>
                <w:rFonts w:cstheme="minorHAnsi"/>
                <w:b/>
                <w:color w:val="FFFFFF" w:themeColor="background1"/>
              </w:rPr>
            </w:pPr>
            <w:r w:rsidRPr="00A464A0">
              <w:rPr>
                <w:lang w:eastAsia="en-AU"/>
              </w:rPr>
              <w:t>4</w:t>
            </w:r>
          </w:p>
        </w:tc>
        <w:tc>
          <w:tcPr>
            <w:tcW w:w="469" w:type="pct"/>
            <w:shd w:val="clear" w:color="auto" w:fill="auto"/>
            <w:noWrap/>
            <w:vAlign w:val="center"/>
          </w:tcPr>
          <w:p w14:paraId="60C27698" w14:textId="77777777" w:rsidR="00AF5CBA" w:rsidRPr="00A464A0" w:rsidRDefault="00C30114" w:rsidP="00096C2B">
            <w:pPr>
              <w:pStyle w:val="TableText"/>
              <w:rPr>
                <w:rFonts w:cstheme="minorHAnsi"/>
                <w:b/>
                <w:color w:val="FFFFFF" w:themeColor="background1"/>
              </w:rPr>
            </w:pPr>
            <w:r w:rsidRPr="00A464A0">
              <w:rPr>
                <w:lang w:eastAsia="en-AU"/>
              </w:rPr>
              <w:t>Chronic NOEL</w:t>
            </w:r>
          </w:p>
        </w:tc>
        <w:tc>
          <w:tcPr>
            <w:tcW w:w="939" w:type="pct"/>
            <w:shd w:val="clear" w:color="auto" w:fill="auto"/>
            <w:noWrap/>
            <w:vAlign w:val="center"/>
          </w:tcPr>
          <w:p w14:paraId="1F4CA1C0" w14:textId="77777777" w:rsidR="00AF5CBA" w:rsidRPr="00A464A0" w:rsidRDefault="00C30114" w:rsidP="00454FA2">
            <w:pPr>
              <w:pStyle w:val="TableText"/>
              <w:rPr>
                <w:rFonts w:ascii="Calibri" w:hAnsi="Calibri"/>
              </w:rPr>
            </w:pPr>
            <w:r w:rsidRPr="00A464A0">
              <w:rPr>
                <w:lang w:eastAsia="en-AU"/>
              </w:rPr>
              <w:t>Biomass yield, growth rate, AUC</w:t>
            </w:r>
            <w:r>
              <w:rPr>
                <w:lang w:eastAsia="en-AU"/>
              </w:rPr>
              <w:t xml:space="preserve"> </w:t>
            </w:r>
            <w:r w:rsidR="00454FA2">
              <w:rPr>
                <w:rStyle w:val="Strong"/>
                <w:vertAlign w:val="superscript"/>
              </w:rPr>
              <w:t>a</w:t>
            </w:r>
          </w:p>
        </w:tc>
        <w:tc>
          <w:tcPr>
            <w:tcW w:w="623" w:type="pct"/>
            <w:shd w:val="clear" w:color="auto" w:fill="auto"/>
            <w:noWrap/>
            <w:vAlign w:val="center"/>
          </w:tcPr>
          <w:p w14:paraId="59E6183E" w14:textId="77777777" w:rsidR="00AF5CBA" w:rsidRPr="00A464A0" w:rsidRDefault="00C30114" w:rsidP="00096C2B">
            <w:pPr>
              <w:pStyle w:val="TableText"/>
              <w:rPr>
                <w:lang w:eastAsia="en-AU"/>
              </w:rPr>
            </w:pPr>
            <w:r w:rsidRPr="00A464A0">
              <w:rPr>
                <w:lang w:eastAsia="en-AU"/>
              </w:rPr>
              <w:t>92</w:t>
            </w:r>
            <w:r>
              <w:rPr>
                <w:lang w:eastAsia="en-AU"/>
              </w:rPr>
              <w:t> </w:t>
            </w:r>
            <w:r w:rsidRPr="00A464A0">
              <w:rPr>
                <w:lang w:eastAsia="en-AU"/>
              </w:rPr>
              <w:t>800</w:t>
            </w:r>
          </w:p>
        </w:tc>
      </w:tr>
      <w:tr w:rsidR="00231336" w14:paraId="5A795EFC" w14:textId="77777777" w:rsidTr="009962B6">
        <w:trPr>
          <w:cantSplit/>
          <w:trHeight w:val="330"/>
          <w:jc w:val="center"/>
        </w:trPr>
        <w:tc>
          <w:tcPr>
            <w:tcW w:w="783" w:type="pct"/>
            <w:tcBorders>
              <w:bottom w:val="single" w:sz="4" w:space="0" w:color="auto"/>
            </w:tcBorders>
            <w:shd w:val="clear" w:color="auto" w:fill="auto"/>
            <w:noWrap/>
            <w:vAlign w:val="center"/>
          </w:tcPr>
          <w:p w14:paraId="1A517CC7" w14:textId="77777777" w:rsidR="00AF5CBA" w:rsidRPr="00A464A0" w:rsidRDefault="00C30114" w:rsidP="00096C2B">
            <w:pPr>
              <w:pStyle w:val="TableText"/>
              <w:rPr>
                <w:lang w:eastAsia="en-AU"/>
              </w:rPr>
            </w:pPr>
            <w:r w:rsidRPr="00A464A0">
              <w:rPr>
                <w:lang w:eastAsia="en-AU"/>
              </w:rPr>
              <w:t>Fish</w:t>
            </w:r>
            <w:r>
              <w:rPr>
                <w:lang w:eastAsia="en-AU"/>
              </w:rPr>
              <w:t xml:space="preserve"> (Chordata)</w:t>
            </w:r>
          </w:p>
        </w:tc>
        <w:tc>
          <w:tcPr>
            <w:tcW w:w="937" w:type="pct"/>
            <w:tcBorders>
              <w:bottom w:val="single" w:sz="4" w:space="0" w:color="auto"/>
            </w:tcBorders>
            <w:shd w:val="clear" w:color="auto" w:fill="auto"/>
            <w:noWrap/>
            <w:vAlign w:val="center"/>
          </w:tcPr>
          <w:p w14:paraId="432C96DD" w14:textId="77777777" w:rsidR="00AF5CBA" w:rsidRPr="00A464A0" w:rsidRDefault="00C30114" w:rsidP="00096C2B">
            <w:pPr>
              <w:pStyle w:val="TableText"/>
              <w:rPr>
                <w:i/>
                <w:lang w:eastAsia="en-AU"/>
              </w:rPr>
            </w:pPr>
            <w:r w:rsidRPr="00606040">
              <w:rPr>
                <w:rStyle w:val="Emphasis"/>
              </w:rPr>
              <w:t>Oncorhynchus mykiss</w:t>
            </w:r>
            <w:r>
              <w:rPr>
                <w:i/>
                <w:lang w:eastAsia="en-AU"/>
              </w:rPr>
              <w:t xml:space="preserve"> </w:t>
            </w:r>
            <w:r>
              <w:rPr>
                <w:rStyle w:val="Strong"/>
                <w:vertAlign w:val="superscript"/>
              </w:rPr>
              <w:t>b</w:t>
            </w:r>
          </w:p>
        </w:tc>
        <w:tc>
          <w:tcPr>
            <w:tcW w:w="703" w:type="pct"/>
            <w:tcBorders>
              <w:bottom w:val="single" w:sz="4" w:space="0" w:color="auto"/>
            </w:tcBorders>
            <w:shd w:val="clear" w:color="auto" w:fill="auto"/>
            <w:noWrap/>
            <w:vAlign w:val="center"/>
          </w:tcPr>
          <w:p w14:paraId="20A47B72" w14:textId="77777777" w:rsidR="00AF5CBA" w:rsidRPr="00A464A0" w:rsidRDefault="00C30114" w:rsidP="00096C2B">
            <w:pPr>
              <w:pStyle w:val="TableText"/>
              <w:rPr>
                <w:lang w:eastAsia="en-AU"/>
              </w:rPr>
            </w:pPr>
            <w:r w:rsidRPr="00A464A0">
              <w:rPr>
                <w:lang w:eastAsia="en-AU"/>
              </w:rPr>
              <w:t>Early life</w:t>
            </w:r>
          </w:p>
        </w:tc>
        <w:tc>
          <w:tcPr>
            <w:tcW w:w="547" w:type="pct"/>
            <w:tcBorders>
              <w:bottom w:val="single" w:sz="4" w:space="0" w:color="auto"/>
            </w:tcBorders>
            <w:shd w:val="clear" w:color="auto" w:fill="auto"/>
            <w:noWrap/>
            <w:vAlign w:val="center"/>
          </w:tcPr>
          <w:p w14:paraId="6120921D" w14:textId="77777777" w:rsidR="00AF5CBA" w:rsidRPr="00A464A0" w:rsidRDefault="00C30114" w:rsidP="00096C2B">
            <w:pPr>
              <w:pStyle w:val="TableText"/>
              <w:rPr>
                <w:lang w:eastAsia="en-AU"/>
              </w:rPr>
            </w:pPr>
            <w:r w:rsidRPr="00A464A0">
              <w:rPr>
                <w:lang w:eastAsia="en-AU"/>
              </w:rPr>
              <w:t>90</w:t>
            </w:r>
          </w:p>
        </w:tc>
        <w:tc>
          <w:tcPr>
            <w:tcW w:w="469" w:type="pct"/>
            <w:tcBorders>
              <w:bottom w:val="single" w:sz="4" w:space="0" w:color="auto"/>
            </w:tcBorders>
            <w:shd w:val="clear" w:color="auto" w:fill="auto"/>
            <w:noWrap/>
            <w:vAlign w:val="center"/>
          </w:tcPr>
          <w:p w14:paraId="39924A3D" w14:textId="77777777" w:rsidR="00AF5CBA" w:rsidRPr="00A464A0" w:rsidRDefault="00C30114" w:rsidP="00096C2B">
            <w:pPr>
              <w:pStyle w:val="TableText"/>
              <w:rPr>
                <w:lang w:eastAsia="en-AU"/>
              </w:rPr>
            </w:pPr>
            <w:r w:rsidRPr="00A464A0">
              <w:rPr>
                <w:lang w:eastAsia="en-AU"/>
              </w:rPr>
              <w:t>Chronic NOEL</w:t>
            </w:r>
          </w:p>
        </w:tc>
        <w:tc>
          <w:tcPr>
            <w:tcW w:w="939" w:type="pct"/>
            <w:tcBorders>
              <w:bottom w:val="single" w:sz="4" w:space="0" w:color="auto"/>
            </w:tcBorders>
            <w:shd w:val="clear" w:color="auto" w:fill="auto"/>
            <w:noWrap/>
            <w:vAlign w:val="center"/>
          </w:tcPr>
          <w:p w14:paraId="3C36C89F" w14:textId="77777777" w:rsidR="00AF5CBA" w:rsidRPr="00A464A0" w:rsidRDefault="00C30114" w:rsidP="00096C2B">
            <w:pPr>
              <w:pStyle w:val="TableText"/>
              <w:rPr>
                <w:lang w:eastAsia="en-AU"/>
              </w:rPr>
            </w:pPr>
            <w:r w:rsidRPr="00A464A0">
              <w:rPr>
                <w:lang w:eastAsia="en-AU"/>
              </w:rPr>
              <w:t>Mortality</w:t>
            </w:r>
          </w:p>
        </w:tc>
        <w:tc>
          <w:tcPr>
            <w:tcW w:w="623" w:type="pct"/>
            <w:tcBorders>
              <w:bottom w:val="single" w:sz="4" w:space="0" w:color="auto"/>
            </w:tcBorders>
            <w:shd w:val="clear" w:color="auto" w:fill="auto"/>
            <w:noWrap/>
            <w:vAlign w:val="center"/>
          </w:tcPr>
          <w:p w14:paraId="1CBB5A06" w14:textId="77777777" w:rsidR="00AF5CBA" w:rsidRPr="00A464A0" w:rsidRDefault="00C30114" w:rsidP="00096C2B">
            <w:pPr>
              <w:pStyle w:val="TableText"/>
              <w:rPr>
                <w:lang w:eastAsia="en-AU"/>
              </w:rPr>
            </w:pPr>
            <w:r w:rsidRPr="00A464A0">
              <w:rPr>
                <w:lang w:eastAsia="en-AU"/>
              </w:rPr>
              <w:t>4</w:t>
            </w:r>
            <w:r>
              <w:rPr>
                <w:lang w:eastAsia="en-AU"/>
              </w:rPr>
              <w:t> </w:t>
            </w:r>
            <w:r w:rsidRPr="00A464A0">
              <w:rPr>
                <w:lang w:eastAsia="en-AU"/>
              </w:rPr>
              <w:t>500</w:t>
            </w:r>
          </w:p>
        </w:tc>
      </w:tr>
      <w:tr w:rsidR="00231336" w14:paraId="31A20C88" w14:textId="77777777" w:rsidTr="009962B6">
        <w:trPr>
          <w:cantSplit/>
          <w:trHeight w:val="330"/>
          <w:jc w:val="center"/>
        </w:trPr>
        <w:tc>
          <w:tcPr>
            <w:tcW w:w="783" w:type="pct"/>
            <w:tcBorders>
              <w:bottom w:val="single" w:sz="12" w:space="0" w:color="auto"/>
            </w:tcBorders>
            <w:shd w:val="clear" w:color="auto" w:fill="auto"/>
            <w:noWrap/>
            <w:vAlign w:val="center"/>
            <w:hideMark/>
          </w:tcPr>
          <w:p w14:paraId="7D3DDC55" w14:textId="77777777" w:rsidR="00AF5CBA" w:rsidRPr="00A464A0" w:rsidRDefault="00C30114" w:rsidP="00096C2B">
            <w:pPr>
              <w:pStyle w:val="TableText"/>
              <w:rPr>
                <w:lang w:eastAsia="en-AU"/>
              </w:rPr>
            </w:pPr>
            <w:r w:rsidRPr="00A464A0">
              <w:rPr>
                <w:lang w:eastAsia="en-AU"/>
              </w:rPr>
              <w:t>Green alga</w:t>
            </w:r>
            <w:r>
              <w:rPr>
                <w:lang w:eastAsia="en-AU"/>
              </w:rPr>
              <w:t xml:space="preserve"> (Chlorophyta)</w:t>
            </w:r>
          </w:p>
        </w:tc>
        <w:tc>
          <w:tcPr>
            <w:tcW w:w="937" w:type="pct"/>
            <w:tcBorders>
              <w:bottom w:val="single" w:sz="12" w:space="0" w:color="auto"/>
            </w:tcBorders>
            <w:shd w:val="clear" w:color="auto" w:fill="auto"/>
            <w:noWrap/>
            <w:vAlign w:val="center"/>
            <w:hideMark/>
          </w:tcPr>
          <w:p w14:paraId="493AB392" w14:textId="77777777" w:rsidR="00AF5CBA" w:rsidRPr="00A464A0" w:rsidRDefault="00C30114" w:rsidP="00096C2B">
            <w:pPr>
              <w:pStyle w:val="TableText"/>
              <w:rPr>
                <w:i/>
                <w:lang w:eastAsia="en-AU"/>
              </w:rPr>
            </w:pPr>
            <w:r w:rsidRPr="00606040">
              <w:rPr>
                <w:rStyle w:val="Emphasis"/>
              </w:rPr>
              <w:t xml:space="preserve">Pseudokirchneriella </w:t>
            </w:r>
            <w:r w:rsidRPr="00606040">
              <w:rPr>
                <w:rStyle w:val="Emphasis"/>
              </w:rPr>
              <w:t>subcapitata</w:t>
            </w:r>
            <w:r>
              <w:rPr>
                <w:i/>
                <w:lang w:eastAsia="en-AU"/>
              </w:rPr>
              <w:t xml:space="preserve"> </w:t>
            </w:r>
            <w:r w:rsidR="00473E65">
              <w:rPr>
                <w:rStyle w:val="Strong"/>
                <w:vertAlign w:val="superscript"/>
              </w:rPr>
              <w:t>e</w:t>
            </w:r>
          </w:p>
        </w:tc>
        <w:tc>
          <w:tcPr>
            <w:tcW w:w="703" w:type="pct"/>
            <w:tcBorders>
              <w:bottom w:val="single" w:sz="12" w:space="0" w:color="auto"/>
            </w:tcBorders>
            <w:shd w:val="clear" w:color="auto" w:fill="auto"/>
            <w:noWrap/>
            <w:vAlign w:val="center"/>
            <w:hideMark/>
          </w:tcPr>
          <w:p w14:paraId="6C07CA45" w14:textId="77777777" w:rsidR="00AF5CBA" w:rsidRPr="00A464A0" w:rsidRDefault="00C30114" w:rsidP="00096C2B">
            <w:pPr>
              <w:pStyle w:val="TableText"/>
              <w:rPr>
                <w:lang w:eastAsia="en-AU"/>
              </w:rPr>
            </w:pPr>
            <w:r w:rsidRPr="00A464A0">
              <w:rPr>
                <w:lang w:eastAsia="en-AU"/>
              </w:rPr>
              <w:t>Not stated</w:t>
            </w:r>
          </w:p>
        </w:tc>
        <w:tc>
          <w:tcPr>
            <w:tcW w:w="547" w:type="pct"/>
            <w:tcBorders>
              <w:bottom w:val="single" w:sz="12" w:space="0" w:color="auto"/>
            </w:tcBorders>
            <w:shd w:val="clear" w:color="auto" w:fill="auto"/>
            <w:noWrap/>
            <w:vAlign w:val="center"/>
            <w:hideMark/>
          </w:tcPr>
          <w:p w14:paraId="01E797EE" w14:textId="77777777" w:rsidR="00AF5CBA" w:rsidRPr="00A464A0" w:rsidRDefault="00C30114" w:rsidP="00096C2B">
            <w:pPr>
              <w:pStyle w:val="TableText"/>
              <w:rPr>
                <w:lang w:eastAsia="en-AU"/>
              </w:rPr>
            </w:pPr>
            <w:r w:rsidRPr="00A464A0">
              <w:rPr>
                <w:lang w:eastAsia="en-AU"/>
              </w:rPr>
              <w:t>5</w:t>
            </w:r>
          </w:p>
        </w:tc>
        <w:tc>
          <w:tcPr>
            <w:tcW w:w="469" w:type="pct"/>
            <w:tcBorders>
              <w:bottom w:val="single" w:sz="12" w:space="0" w:color="auto"/>
            </w:tcBorders>
            <w:shd w:val="clear" w:color="auto" w:fill="auto"/>
            <w:noWrap/>
            <w:vAlign w:val="center"/>
            <w:hideMark/>
          </w:tcPr>
          <w:p w14:paraId="2CBC3771" w14:textId="77777777" w:rsidR="00AF5CBA" w:rsidRPr="00A464A0" w:rsidRDefault="00C30114" w:rsidP="00096C2B">
            <w:pPr>
              <w:pStyle w:val="TableText"/>
              <w:rPr>
                <w:lang w:eastAsia="en-AU"/>
              </w:rPr>
            </w:pPr>
            <w:r w:rsidRPr="00A464A0">
              <w:rPr>
                <w:lang w:eastAsia="en-AU"/>
              </w:rPr>
              <w:t>Chronic NOEL</w:t>
            </w:r>
          </w:p>
        </w:tc>
        <w:tc>
          <w:tcPr>
            <w:tcW w:w="939" w:type="pct"/>
            <w:tcBorders>
              <w:bottom w:val="single" w:sz="12" w:space="0" w:color="auto"/>
            </w:tcBorders>
            <w:shd w:val="clear" w:color="auto" w:fill="auto"/>
            <w:noWrap/>
            <w:vAlign w:val="center"/>
            <w:hideMark/>
          </w:tcPr>
          <w:p w14:paraId="4BA7A373" w14:textId="77777777" w:rsidR="00AF5CBA" w:rsidRPr="00A464A0" w:rsidRDefault="00C30114" w:rsidP="00096C2B">
            <w:pPr>
              <w:pStyle w:val="TableText"/>
              <w:rPr>
                <w:lang w:eastAsia="en-AU"/>
              </w:rPr>
            </w:pPr>
            <w:r w:rsidRPr="00A464A0">
              <w:rPr>
                <w:lang w:eastAsia="en-AU"/>
              </w:rPr>
              <w:t>Biomass yield, growth rate, AUC</w:t>
            </w:r>
            <w:r>
              <w:rPr>
                <w:lang w:eastAsia="en-AU"/>
              </w:rPr>
              <w:t xml:space="preserve"> </w:t>
            </w:r>
            <w:r w:rsidR="00454FA2">
              <w:rPr>
                <w:rStyle w:val="Strong"/>
                <w:vertAlign w:val="superscript"/>
              </w:rPr>
              <w:t>a</w:t>
            </w:r>
          </w:p>
        </w:tc>
        <w:tc>
          <w:tcPr>
            <w:tcW w:w="623" w:type="pct"/>
            <w:tcBorders>
              <w:bottom w:val="single" w:sz="12" w:space="0" w:color="auto"/>
            </w:tcBorders>
            <w:shd w:val="clear" w:color="auto" w:fill="auto"/>
            <w:noWrap/>
            <w:vAlign w:val="center"/>
            <w:hideMark/>
          </w:tcPr>
          <w:p w14:paraId="7936427F" w14:textId="77777777" w:rsidR="00AF5CBA" w:rsidRPr="00A464A0" w:rsidRDefault="00C30114" w:rsidP="00096C2B">
            <w:pPr>
              <w:pStyle w:val="TableText"/>
              <w:rPr>
                <w:lang w:eastAsia="en-AU"/>
              </w:rPr>
            </w:pPr>
            <w:r w:rsidRPr="00A464A0">
              <w:rPr>
                <w:lang w:eastAsia="en-AU"/>
              </w:rPr>
              <w:t>10</w:t>
            </w:r>
          </w:p>
        </w:tc>
      </w:tr>
    </w:tbl>
    <w:p w14:paraId="30C783C4" w14:textId="77777777" w:rsidR="00AF5CBA" w:rsidRDefault="00C30114" w:rsidP="00AF5CBA">
      <w:pPr>
        <w:pStyle w:val="FigureTableNoteSource"/>
      </w:pPr>
      <w:proofErr w:type="gramStart"/>
      <w:r>
        <w:rPr>
          <w:rStyle w:val="Strong"/>
        </w:rPr>
        <w:t>a</w:t>
      </w:r>
      <w:proofErr w:type="gramEnd"/>
      <w:r w:rsidRPr="008C6249">
        <w:t xml:space="preserve"> AUC</w:t>
      </w:r>
      <w:r>
        <w:t xml:space="preserve"> = area under the growth curve.</w:t>
      </w:r>
    </w:p>
    <w:p w14:paraId="7116BF2E" w14:textId="77777777" w:rsidR="00AF5CBA" w:rsidRDefault="00C30114" w:rsidP="00AF5CBA">
      <w:pPr>
        <w:pStyle w:val="FigureTableNoteSource"/>
        <w:rPr>
          <w:lang w:bidi="en-US"/>
        </w:rPr>
      </w:pPr>
      <w:r>
        <w:rPr>
          <w:rStyle w:val="Strong"/>
        </w:rPr>
        <w:lastRenderedPageBreak/>
        <w:t>b</w:t>
      </w:r>
      <w:r w:rsidRPr="008C6249">
        <w:t xml:space="preserve"> </w:t>
      </w:r>
      <w:r w:rsidRPr="00C6087F">
        <w:rPr>
          <w:lang w:bidi="en-US"/>
        </w:rPr>
        <w:t>Species that originated from</w:t>
      </w:r>
      <w:r w:rsidR="00454FA2">
        <w:rPr>
          <w:lang w:bidi="en-US"/>
        </w:rPr>
        <w:t>,</w:t>
      </w:r>
      <w:r>
        <w:rPr>
          <w:lang w:bidi="en-US"/>
        </w:rPr>
        <w:t xml:space="preserve"> or whose geographic distributions include</w:t>
      </w:r>
      <w:r w:rsidR="00454FA2">
        <w:rPr>
          <w:lang w:bidi="en-US"/>
        </w:rPr>
        <w:t>,</w:t>
      </w:r>
      <w:r w:rsidRPr="00C6087F">
        <w:rPr>
          <w:lang w:bidi="en-US"/>
        </w:rPr>
        <w:t xml:space="preserve"> Australia and/or New Zealand.</w:t>
      </w:r>
    </w:p>
    <w:p w14:paraId="10B144C5" w14:textId="77777777" w:rsidR="00473E65" w:rsidRDefault="00C30114" w:rsidP="00AF5CBA">
      <w:pPr>
        <w:pStyle w:val="FigureTableNoteSource"/>
        <w:rPr>
          <w:lang w:bidi="en-US"/>
        </w:rPr>
      </w:pPr>
      <w:r w:rsidRPr="00281D7D">
        <w:rPr>
          <w:b/>
          <w:bCs/>
          <w:lang w:bidi="en-US"/>
        </w:rPr>
        <w:t>c</w:t>
      </w:r>
      <w:r>
        <w:rPr>
          <w:lang w:bidi="en-US"/>
        </w:rPr>
        <w:t xml:space="preserve"> Represents a geometric mean of </w:t>
      </w:r>
      <w:r>
        <w:rPr>
          <w:lang w:bidi="en-US"/>
        </w:rPr>
        <w:t>four toxicity values.</w:t>
      </w:r>
    </w:p>
    <w:p w14:paraId="7BA7F32F" w14:textId="77777777" w:rsidR="00AF5CBA" w:rsidRPr="00281D7D" w:rsidRDefault="00C30114" w:rsidP="00AF5CBA">
      <w:pPr>
        <w:pStyle w:val="FigureTableNoteSource"/>
        <w:rPr>
          <w:lang w:bidi="en-US"/>
        </w:rPr>
      </w:pPr>
      <w:r w:rsidRPr="00473E65">
        <w:rPr>
          <w:b/>
          <w:bCs/>
          <w:lang w:bidi="en-US"/>
        </w:rPr>
        <w:t>d</w:t>
      </w:r>
      <w:r>
        <w:rPr>
          <w:lang w:bidi="en-US"/>
        </w:rPr>
        <w:t xml:space="preserve"> Converted to an estimated chronic NOEC/EC10 by dividing by 2.5 (Warne et al. 2018)</w:t>
      </w:r>
      <w:r w:rsidR="00454FA2">
        <w:rPr>
          <w:lang w:bidi="en-US"/>
        </w:rPr>
        <w:t>.</w:t>
      </w:r>
    </w:p>
    <w:p w14:paraId="7529460F" w14:textId="77777777" w:rsidR="00AF5CBA" w:rsidRDefault="00C30114" w:rsidP="00AF5CBA">
      <w:pPr>
        <w:pStyle w:val="FigureTableNoteSource"/>
        <w:rPr>
          <w:highlight w:val="yellow"/>
        </w:rPr>
      </w:pPr>
      <w:r>
        <w:rPr>
          <w:b/>
          <w:bCs/>
        </w:rPr>
        <w:t>e</w:t>
      </w:r>
      <w:r>
        <w:t xml:space="preserve"> </w:t>
      </w:r>
      <w:r w:rsidRPr="008C6249">
        <w:t xml:space="preserve">This species has also been called </w:t>
      </w:r>
      <w:r w:rsidRPr="009C37A5">
        <w:rPr>
          <w:rStyle w:val="Emphasis"/>
        </w:rPr>
        <w:t>Raphidocelis subcapitata</w:t>
      </w:r>
      <w:r w:rsidRPr="008C6249">
        <w:t xml:space="preserve"> and </w:t>
      </w:r>
      <w:r w:rsidRPr="009C37A5">
        <w:rPr>
          <w:rStyle w:val="Emphasis"/>
        </w:rPr>
        <w:t>Selenastrum capricornutum</w:t>
      </w:r>
      <w:r w:rsidRPr="008C6249">
        <w:t>.</w:t>
      </w:r>
    </w:p>
    <w:p w14:paraId="4B71B48B" w14:textId="77777777" w:rsidR="001303C0" w:rsidRPr="00411514" w:rsidRDefault="00C30114" w:rsidP="001303C0">
      <w:pPr>
        <w:pStyle w:val="Heading3"/>
      </w:pPr>
      <w:bookmarkStart w:id="16" w:name="_Toc34400615"/>
      <w:r w:rsidRPr="00411514">
        <w:t>Species sensitivity distribution</w:t>
      </w:r>
      <w:bookmarkEnd w:id="16"/>
    </w:p>
    <w:p w14:paraId="64282584" w14:textId="77777777" w:rsidR="008C6249" w:rsidRDefault="00C30114" w:rsidP="001303C0">
      <w:pPr>
        <w:spacing w:after="120"/>
      </w:pPr>
      <w:r>
        <w:t>T</w:t>
      </w:r>
      <w:r w:rsidRPr="008C6249">
        <w:t xml:space="preserve">he cumulative frequency (species sensitivity) distribution (SSD) of the </w:t>
      </w:r>
      <w:proofErr w:type="gramStart"/>
      <w:r w:rsidRPr="008C6249">
        <w:t>eight freshwater</w:t>
      </w:r>
      <w:proofErr w:type="gramEnd"/>
      <w:r w:rsidRPr="008C6249">
        <w:t xml:space="preserve"> phototrophic and heterotrophic species that was used to derive the DGVs is presented in </w:t>
      </w:r>
      <w:r w:rsidR="008D5EC3">
        <w:fldChar w:fldCharType="begin"/>
      </w:r>
      <w:r w:rsidR="008D5EC3">
        <w:instrText xml:space="preserve"> REF _Ref14610549 \h </w:instrText>
      </w:r>
      <w:r w:rsidR="008D5EC3">
        <w:fldChar w:fldCharType="separate"/>
      </w:r>
      <w:r w:rsidR="00EE1878">
        <w:t>Figure </w:t>
      </w:r>
      <w:r w:rsidR="00EE1878">
        <w:rPr>
          <w:noProof/>
        </w:rPr>
        <w:t>2</w:t>
      </w:r>
      <w:r w:rsidR="008D5EC3">
        <w:fldChar w:fldCharType="end"/>
      </w:r>
      <w:r w:rsidRPr="008C6249">
        <w:t>.</w:t>
      </w:r>
      <w:r w:rsidR="00C16316">
        <w:t xml:space="preserve"> The SSD was plotted u</w:t>
      </w:r>
      <w:r w:rsidR="00C16316">
        <w:rPr>
          <w:bCs/>
        </w:rPr>
        <w:t>sing the Burrlioz 2.0 software</w:t>
      </w:r>
      <w:r w:rsidR="00AE3FE0">
        <w:rPr>
          <w:bCs/>
        </w:rPr>
        <w:t>, and the model was judged to provide a poor fit to the data.</w:t>
      </w:r>
    </w:p>
    <w:p w14:paraId="73341DCE" w14:textId="77777777" w:rsidR="00A166B2" w:rsidRDefault="00C30114" w:rsidP="001303C0">
      <w:pPr>
        <w:spacing w:after="120"/>
      </w:pPr>
      <w:r>
        <w:rPr>
          <w:noProof/>
          <w:lang w:eastAsia="en-AU"/>
        </w:rPr>
        <w:drawing>
          <wp:inline distT="0" distB="0" distL="0" distR="0" wp14:anchorId="4E215AB3" wp14:editId="70A15593">
            <wp:extent cx="4349363" cy="3919993"/>
            <wp:effectExtent l="0" t="0" r="0" b="0"/>
            <wp:docPr id="5" name="Picture 5" descr="Figure shows the species sensitivity distribution of several species at different concentrations of metsulfuron-methyl. Chronic NOEL, chronic NOEC and chronic EC10 values are shown on the figure." title="Species sensitivity distribution, metsulfuron-methyl in fresh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42417" name="Metsulfuron-methyl SSD for RvD.pdf"/>
                    <pic:cNvPicPr/>
                  </pic:nvPicPr>
                  <pic:blipFill>
                    <a:blip r:embed="rId19">
                      <a:extLst>
                        <a:ext uri="{28A0092B-C50C-407E-A947-70E740481C1C}">
                          <a14:useLocalDpi xmlns:a14="http://schemas.microsoft.com/office/drawing/2010/main" val="0"/>
                        </a:ext>
                      </a:extLst>
                    </a:blip>
                    <a:srcRect t="9872"/>
                    <a:stretch>
                      <a:fillRect/>
                    </a:stretch>
                  </pic:blipFill>
                  <pic:spPr bwMode="auto">
                    <a:xfrm>
                      <a:off x="0" y="0"/>
                      <a:ext cx="4347455" cy="3918273"/>
                    </a:xfrm>
                    <a:prstGeom prst="rect">
                      <a:avLst/>
                    </a:prstGeom>
                    <a:ln>
                      <a:noFill/>
                    </a:ln>
                    <a:extLst>
                      <a:ext uri="{53640926-AAD7-44D8-BBD7-CCE9431645EC}">
                        <a14:shadowObscured xmlns:a14="http://schemas.microsoft.com/office/drawing/2010/main"/>
                      </a:ext>
                    </a:extLst>
                  </pic:spPr>
                </pic:pic>
              </a:graphicData>
            </a:graphic>
          </wp:inline>
        </w:drawing>
      </w:r>
    </w:p>
    <w:p w14:paraId="31685469" w14:textId="77777777" w:rsidR="008C6249" w:rsidRDefault="00C30114" w:rsidP="00A166B2">
      <w:pPr>
        <w:pStyle w:val="Caption"/>
        <w:rPr>
          <w:highlight w:val="yellow"/>
        </w:rPr>
      </w:pPr>
      <w:bookmarkStart w:id="17" w:name="_Ref14610549"/>
      <w:bookmarkStart w:id="18" w:name="_Toc34400622"/>
      <w:r>
        <w:t>Figure </w:t>
      </w:r>
      <w:r w:rsidR="003176C6">
        <w:rPr>
          <w:noProof/>
        </w:rPr>
        <w:fldChar w:fldCharType="begin"/>
      </w:r>
      <w:r w:rsidR="003176C6">
        <w:rPr>
          <w:noProof/>
        </w:rPr>
        <w:instrText xml:space="preserve"> SEQ Figure \* ARABIC </w:instrText>
      </w:r>
      <w:r w:rsidR="003176C6">
        <w:rPr>
          <w:noProof/>
        </w:rPr>
        <w:fldChar w:fldCharType="separate"/>
      </w:r>
      <w:r w:rsidR="003176C6">
        <w:rPr>
          <w:noProof/>
        </w:rPr>
        <w:t>2</w:t>
      </w:r>
      <w:r w:rsidR="003176C6">
        <w:rPr>
          <w:noProof/>
        </w:rPr>
        <w:fldChar w:fldCharType="end"/>
      </w:r>
      <w:bookmarkEnd w:id="17"/>
      <w:r w:rsidR="005F1B04">
        <w:t xml:space="preserve"> </w:t>
      </w:r>
      <w:r w:rsidR="00887442">
        <w:t xml:space="preserve">Species sensitivity distribution, </w:t>
      </w:r>
      <w:r w:rsidR="00887442" w:rsidRPr="00887442">
        <w:t>metsulfuron-methyl in freshwater</w:t>
      </w:r>
      <w:bookmarkEnd w:id="18"/>
    </w:p>
    <w:p w14:paraId="0A7AFB44" w14:textId="77777777" w:rsidR="001303C0" w:rsidRDefault="00C30114" w:rsidP="001303C0">
      <w:pPr>
        <w:pStyle w:val="Heading3"/>
      </w:pPr>
      <w:bookmarkStart w:id="19" w:name="_Toc34400616"/>
      <w:r>
        <w:t>Default guideline val</w:t>
      </w:r>
      <w:r>
        <w:t>ues</w:t>
      </w:r>
      <w:bookmarkEnd w:id="19"/>
    </w:p>
    <w:p w14:paraId="2B061F3E" w14:textId="77777777" w:rsidR="00226D74" w:rsidRDefault="00C30114" w:rsidP="00226D74">
      <w:r>
        <w:t>It is important that the DGVs (</w:t>
      </w:r>
      <w:r w:rsidR="00B22744">
        <w:fldChar w:fldCharType="begin"/>
      </w:r>
      <w:r w:rsidR="00B22744">
        <w:instrText xml:space="preserve"> REF _Ref14609986 \h </w:instrText>
      </w:r>
      <w:r w:rsidR="00B22744">
        <w:fldChar w:fldCharType="separate"/>
      </w:r>
      <w:r w:rsidR="00EE1878">
        <w:t>Table </w:t>
      </w:r>
      <w:r w:rsidR="00EE1878">
        <w:rPr>
          <w:noProof/>
        </w:rPr>
        <w:t>3</w:t>
      </w:r>
      <w:r w:rsidR="00B22744">
        <w:fldChar w:fldCharType="end"/>
      </w:r>
      <w:r>
        <w:t xml:space="preserve">) and associated information in this technical brief are used in accordance with the detailed guidance provided in the Australian and New Zealand Guidelines for Fresh and Marine Water Quality </w:t>
      </w:r>
      <w:r>
        <w:t>w</w:t>
      </w:r>
      <w:r>
        <w:t>ebsite</w:t>
      </w:r>
      <w:r>
        <w:t xml:space="preserve">. As with other pesticides that have DGVs, the DGVs for metsulfuron-methyl are expressed in terms of the concentration of the active ingredient. </w:t>
      </w:r>
    </w:p>
    <w:p w14:paraId="24E96890" w14:textId="77777777" w:rsidR="00226D74" w:rsidRDefault="00C30114" w:rsidP="00226D74">
      <w:r>
        <w:t xml:space="preserve">The derived Australian and New Zealand DGVs for metsulfuron-methyl in freshwater are provided in </w:t>
      </w:r>
      <w:r w:rsidR="00B22744">
        <w:fldChar w:fldCharType="begin"/>
      </w:r>
      <w:r w:rsidR="00B22744">
        <w:instrText xml:space="preserve"> REF _Ref14609986 \h </w:instrText>
      </w:r>
      <w:r w:rsidR="00B22744">
        <w:fldChar w:fldCharType="separate"/>
      </w:r>
      <w:r w:rsidR="00EE1878">
        <w:t>Table </w:t>
      </w:r>
      <w:r w:rsidR="00EE1878">
        <w:rPr>
          <w:noProof/>
        </w:rPr>
        <w:t>3</w:t>
      </w:r>
      <w:r w:rsidR="00B22744">
        <w:fldChar w:fldCharType="end"/>
      </w:r>
      <w:r>
        <w:t xml:space="preserve">. </w:t>
      </w:r>
      <w:r>
        <w:rPr>
          <w:rFonts w:cs="Arial"/>
          <w:color w:val="000000" w:themeColor="text1"/>
        </w:rPr>
        <w:t xml:space="preserve">The 99% and 95% species protection DGVs may be below </w:t>
      </w:r>
      <w:r w:rsidR="00AE3FE0">
        <w:rPr>
          <w:rFonts w:cs="Arial"/>
          <w:color w:val="000000" w:themeColor="text1"/>
        </w:rPr>
        <w:t xml:space="preserve">routine </w:t>
      </w:r>
      <w:r w:rsidRPr="00425596">
        <w:rPr>
          <w:rFonts w:cs="Arial"/>
          <w:color w:val="000000" w:themeColor="text1"/>
        </w:rPr>
        <w:t>limit</w:t>
      </w:r>
      <w:r>
        <w:rPr>
          <w:rFonts w:cs="Arial"/>
          <w:color w:val="000000" w:themeColor="text1"/>
        </w:rPr>
        <w:t>s</w:t>
      </w:r>
      <w:r w:rsidRPr="00425596">
        <w:rPr>
          <w:rFonts w:cs="Arial"/>
          <w:color w:val="000000" w:themeColor="text1"/>
        </w:rPr>
        <w:t xml:space="preserve"> </w:t>
      </w:r>
      <w:r>
        <w:rPr>
          <w:rFonts w:cs="Arial"/>
          <w:color w:val="000000" w:themeColor="text1"/>
        </w:rPr>
        <w:t>of reporting for</w:t>
      </w:r>
      <w:r w:rsidRPr="00425596">
        <w:rPr>
          <w:rFonts w:cs="Arial"/>
          <w:color w:val="000000" w:themeColor="text1"/>
        </w:rPr>
        <w:t xml:space="preserve"> </w:t>
      </w:r>
      <w:r>
        <w:rPr>
          <w:rFonts w:cs="Arial"/>
          <w:color w:val="000000" w:themeColor="text1"/>
        </w:rPr>
        <w:t>most commercial laboratories, although some laboratories may be able to achieve lo</w:t>
      </w:r>
      <w:r>
        <w:rPr>
          <w:rFonts w:cs="Arial"/>
          <w:color w:val="000000" w:themeColor="text1"/>
        </w:rPr>
        <w:t>wer limits of reporting</w:t>
      </w:r>
      <w:r w:rsidRPr="00425596">
        <w:rPr>
          <w:rFonts w:cs="Arial"/>
          <w:color w:val="000000" w:themeColor="text1"/>
        </w:rPr>
        <w:t xml:space="preserve">. ANZG </w:t>
      </w:r>
      <w:r w:rsidR="00E47726" w:rsidRPr="00425596">
        <w:rPr>
          <w:rFonts w:cs="Arial"/>
          <w:color w:val="000000" w:themeColor="text1"/>
        </w:rPr>
        <w:t>(2018</w:t>
      </w:r>
      <w:r w:rsidR="00E47726">
        <w:rPr>
          <w:rFonts w:cs="Arial"/>
          <w:color w:val="000000" w:themeColor="text1"/>
        </w:rPr>
        <w:t xml:space="preserve">; see </w:t>
      </w:r>
      <w:hyperlink r:id="rId20" w:anchor="default-guideline-values-and-analytical-detection-limits" w:history="1">
        <w:r w:rsidR="00E47726" w:rsidRPr="005A59A7">
          <w:rPr>
            <w:rStyle w:val="Hyperlink"/>
            <w:rFonts w:cs="Arial"/>
          </w:rPr>
          <w:t>Accounting for local conditions</w:t>
        </w:r>
      </w:hyperlink>
      <w:r w:rsidR="00E47726" w:rsidRPr="00425596">
        <w:rPr>
          <w:rFonts w:cs="Arial"/>
          <w:color w:val="000000" w:themeColor="text1"/>
        </w:rPr>
        <w:t xml:space="preserve">) </w:t>
      </w:r>
      <w:r w:rsidRPr="00425596">
        <w:rPr>
          <w:rFonts w:cs="Arial"/>
          <w:color w:val="000000" w:themeColor="text1"/>
        </w:rPr>
        <w:t xml:space="preserve"> provides guidance on what to do </w:t>
      </w:r>
      <w:r>
        <w:rPr>
          <w:rFonts w:cs="Arial"/>
          <w:color w:val="000000" w:themeColor="text1"/>
        </w:rPr>
        <w:t>if DGVs</w:t>
      </w:r>
      <w:r w:rsidRPr="00425596">
        <w:rPr>
          <w:rFonts w:cs="Arial"/>
          <w:color w:val="000000" w:themeColor="text1"/>
        </w:rPr>
        <w:t xml:space="preserve"> are below analytical detection limits.</w:t>
      </w:r>
      <w:r>
        <w:rPr>
          <w:rFonts w:cs="Arial"/>
          <w:color w:val="000000" w:themeColor="text1"/>
        </w:rPr>
        <w:t xml:space="preserve"> </w:t>
      </w:r>
      <w:r>
        <w:t>By including phototrophic and heterotrophic species in the dataset used to derive DGVs for metsulfuron-methyl, which is expected to be more toxic to phototrophs, it is</w:t>
      </w:r>
      <w:r>
        <w:t xml:space="preserve"> possible that the DGVs may not provide adequate protection to all phototrophic </w:t>
      </w:r>
      <w:r>
        <w:lastRenderedPageBreak/>
        <w:t xml:space="preserve">species. Additionally, as phototrophs are at the bottom of most aquatic food webs, the DGVs also may not provide sufficient protection to non-phototrophic species, </w:t>
      </w:r>
      <w:proofErr w:type="gramStart"/>
      <w:r>
        <w:t xml:space="preserve">as a result </w:t>
      </w:r>
      <w:r>
        <w:t>of</w:t>
      </w:r>
      <w:proofErr w:type="gramEnd"/>
      <w:r>
        <w:t xml:space="preserve"> potential indirect effects.</w:t>
      </w:r>
    </w:p>
    <w:p w14:paraId="295D2A64" w14:textId="77777777" w:rsidR="00226D74" w:rsidRDefault="00C30114" w:rsidP="00226D74">
      <w:r>
        <w:t>Measured log BCF values for metsulfuron-methyl are low (</w:t>
      </w:r>
      <w:r w:rsidR="00B22744">
        <w:fldChar w:fldCharType="begin"/>
      </w:r>
      <w:r w:rsidR="00B22744">
        <w:instrText xml:space="preserve"> REF _Ref14609800 \h </w:instrText>
      </w:r>
      <w:r w:rsidR="00B22744">
        <w:fldChar w:fldCharType="separate"/>
      </w:r>
      <w:r w:rsidR="00EE1878">
        <w:t>Table </w:t>
      </w:r>
      <w:r w:rsidR="00EE1878">
        <w:rPr>
          <w:noProof/>
        </w:rPr>
        <w:t>1</w:t>
      </w:r>
      <w:r w:rsidR="00B22744">
        <w:fldChar w:fldCharType="end"/>
      </w:r>
      <w:r>
        <w:t>) and are below the threshold at which secondary poisoning must be consider</w:t>
      </w:r>
      <w:r>
        <w:t>ed (</w:t>
      </w:r>
      <w:proofErr w:type="gramStart"/>
      <w:r>
        <w:t>i.e.</w:t>
      </w:r>
      <w:proofErr w:type="gramEnd"/>
      <w:r>
        <w:t xml:space="preserve"> threshold log BCF = 4, Warne et al. 2018). Therefore, the DGVs for metsulfuron-methyl do not need to account for secondary poisoning.</w:t>
      </w:r>
    </w:p>
    <w:p w14:paraId="762FFC24" w14:textId="77777777" w:rsidR="00D33C38" w:rsidRDefault="00C30114" w:rsidP="00D33C38">
      <w:pPr>
        <w:pStyle w:val="Caption"/>
      </w:pPr>
      <w:bookmarkStart w:id="20" w:name="_Ref14609986"/>
      <w:bookmarkStart w:id="21" w:name="_Toc34400625"/>
      <w:r>
        <w:t>Table </w:t>
      </w:r>
      <w:r w:rsidR="00B43F23">
        <w:rPr>
          <w:noProof/>
        </w:rPr>
        <w:fldChar w:fldCharType="begin"/>
      </w:r>
      <w:r w:rsidR="00B43F23">
        <w:rPr>
          <w:noProof/>
        </w:rPr>
        <w:instrText xml:space="preserve"> SEQ Table \* ARABIC </w:instrText>
      </w:r>
      <w:r w:rsidR="00B43F23">
        <w:rPr>
          <w:noProof/>
        </w:rPr>
        <w:fldChar w:fldCharType="separate"/>
      </w:r>
      <w:r w:rsidR="00B43F23">
        <w:rPr>
          <w:noProof/>
        </w:rPr>
        <w:t>3</w:t>
      </w:r>
      <w:r w:rsidR="00B43F23">
        <w:rPr>
          <w:noProof/>
        </w:rPr>
        <w:fldChar w:fldCharType="end"/>
      </w:r>
      <w:bookmarkEnd w:id="20"/>
      <w:r>
        <w:t xml:space="preserve"> </w:t>
      </w:r>
      <w:r w:rsidR="00C16316">
        <w:t>Toxicant d</w:t>
      </w:r>
      <w:r w:rsidRPr="008C6249">
        <w:t>efault guideline values</w:t>
      </w:r>
      <w:r w:rsidR="00C16316">
        <w:t>,</w:t>
      </w:r>
      <w:r w:rsidRPr="008C6249">
        <w:t xml:space="preserve"> metsulfuron-methyl </w:t>
      </w:r>
      <w:r w:rsidR="00C16316">
        <w:t>in freshwater, moderate reliability</w:t>
      </w:r>
      <w:bookmarkEnd w:id="21"/>
    </w:p>
    <w:tbl>
      <w:tblPr>
        <w:tblW w:w="5000" w:type="pct"/>
        <w:jc w:val="center"/>
        <w:tblBorders>
          <w:top w:val="single" w:sz="4" w:space="0" w:color="auto"/>
          <w:bottom w:val="single" w:sz="4" w:space="0" w:color="auto"/>
          <w:insideH w:val="single" w:sz="4" w:space="0" w:color="auto"/>
        </w:tblBorders>
        <w:tblLook w:val="01E0" w:firstRow="1" w:lastRow="1" w:firstColumn="1" w:lastColumn="1" w:noHBand="0" w:noVBand="0"/>
        <w:tblCaption w:val="Toxicant default guideline values, metsulfuron-methyl in freshwater, moderate reliability"/>
        <w:tblDescription w:val="Table shows the guideline values for a range of protection levels for metsulfuron-methyl in freshwater. The four levels of species protection are 99, 95, 90 and 80%. The corresponding default guideline values are 0.0037, 0.018, 0.048 and 0.18 (microgram per litre), respectively."/>
      </w:tblPr>
      <w:tblGrid>
        <w:gridCol w:w="4535"/>
        <w:gridCol w:w="4535"/>
      </w:tblGrid>
      <w:tr w:rsidR="00231336" w14:paraId="55F3209B" w14:textId="77777777" w:rsidTr="00AF5CBA">
        <w:trPr>
          <w:cantSplit/>
          <w:tblHeader/>
          <w:jc w:val="center"/>
        </w:trPr>
        <w:tc>
          <w:tcPr>
            <w:tcW w:w="2500" w:type="pct"/>
            <w:tcBorders>
              <w:top w:val="single" w:sz="12" w:space="0" w:color="auto"/>
              <w:bottom w:val="single" w:sz="12" w:space="0" w:color="auto"/>
            </w:tcBorders>
            <w:shd w:val="clear" w:color="auto" w:fill="auto"/>
            <w:vAlign w:val="center"/>
          </w:tcPr>
          <w:p w14:paraId="29E8EBAA" w14:textId="77777777" w:rsidR="00C16316" w:rsidRPr="00C87A8F" w:rsidRDefault="00C30114" w:rsidP="00C16316">
            <w:pPr>
              <w:pStyle w:val="TableHeading"/>
            </w:pPr>
            <w:r>
              <w:t>Level of species protection (%)</w:t>
            </w:r>
          </w:p>
        </w:tc>
        <w:tc>
          <w:tcPr>
            <w:tcW w:w="2500" w:type="pct"/>
            <w:tcBorders>
              <w:top w:val="single" w:sz="12" w:space="0" w:color="auto"/>
              <w:bottom w:val="single" w:sz="12" w:space="0" w:color="auto"/>
            </w:tcBorders>
            <w:shd w:val="clear" w:color="auto" w:fill="auto"/>
            <w:vAlign w:val="center"/>
          </w:tcPr>
          <w:p w14:paraId="67A59287" w14:textId="77777777" w:rsidR="00C16316" w:rsidRPr="00C87A8F" w:rsidRDefault="00C30114" w:rsidP="00C16316">
            <w:pPr>
              <w:pStyle w:val="TableHeading"/>
            </w:pPr>
            <w:r>
              <w:t>DGV for m</w:t>
            </w:r>
            <w:r w:rsidRPr="00C87A8F">
              <w:t xml:space="preserve">etsulfuron-methyl </w:t>
            </w:r>
            <w:r>
              <w:t xml:space="preserve">in </w:t>
            </w:r>
            <w:r w:rsidRPr="00C87A8F">
              <w:t>freshwater (µg/L)</w:t>
            </w:r>
            <w:r w:rsidR="00F44A76">
              <w:t xml:space="preserve"> </w:t>
            </w:r>
            <w:r w:rsidR="00F44A76" w:rsidRPr="00AF5CBA">
              <w:rPr>
                <w:rStyle w:val="Strong"/>
                <w:b/>
                <w:vertAlign w:val="superscript"/>
              </w:rPr>
              <w:t>a</w:t>
            </w:r>
          </w:p>
        </w:tc>
      </w:tr>
      <w:tr w:rsidR="00231336" w14:paraId="4C2E9AAD" w14:textId="77777777" w:rsidTr="00AF5CBA">
        <w:trPr>
          <w:cantSplit/>
          <w:jc w:val="center"/>
        </w:trPr>
        <w:tc>
          <w:tcPr>
            <w:tcW w:w="2500" w:type="pct"/>
            <w:tcBorders>
              <w:top w:val="single" w:sz="12" w:space="0" w:color="auto"/>
            </w:tcBorders>
            <w:shd w:val="clear" w:color="auto" w:fill="auto"/>
            <w:vAlign w:val="center"/>
          </w:tcPr>
          <w:p w14:paraId="6B36B2CC" w14:textId="77777777" w:rsidR="00C16316" w:rsidRPr="00C87A8F" w:rsidRDefault="00C30114" w:rsidP="00C16316">
            <w:pPr>
              <w:pStyle w:val="TableText"/>
            </w:pPr>
            <w:r w:rsidRPr="00C87A8F">
              <w:t>99</w:t>
            </w:r>
          </w:p>
        </w:tc>
        <w:tc>
          <w:tcPr>
            <w:tcW w:w="2500" w:type="pct"/>
            <w:tcBorders>
              <w:top w:val="single" w:sz="12" w:space="0" w:color="auto"/>
            </w:tcBorders>
            <w:shd w:val="clear" w:color="auto" w:fill="auto"/>
            <w:vAlign w:val="center"/>
          </w:tcPr>
          <w:p w14:paraId="2C7629CE" w14:textId="77777777" w:rsidR="00C16316" w:rsidRPr="00C87A8F" w:rsidRDefault="00C30114" w:rsidP="00C16316">
            <w:pPr>
              <w:pStyle w:val="TableText"/>
            </w:pPr>
            <w:r>
              <w:t>0.00</w:t>
            </w:r>
            <w:r w:rsidR="006F3EB0">
              <w:t>37</w:t>
            </w:r>
          </w:p>
        </w:tc>
      </w:tr>
      <w:tr w:rsidR="00231336" w14:paraId="4BEFEFDE" w14:textId="77777777" w:rsidTr="00AF5CBA">
        <w:trPr>
          <w:cantSplit/>
          <w:jc w:val="center"/>
        </w:trPr>
        <w:tc>
          <w:tcPr>
            <w:tcW w:w="2500" w:type="pct"/>
            <w:shd w:val="clear" w:color="auto" w:fill="auto"/>
            <w:vAlign w:val="center"/>
          </w:tcPr>
          <w:p w14:paraId="32F0CCB2" w14:textId="77777777" w:rsidR="00C16316" w:rsidRPr="00C87A8F" w:rsidRDefault="00C30114" w:rsidP="00C16316">
            <w:pPr>
              <w:pStyle w:val="TableText"/>
            </w:pPr>
            <w:r>
              <w:t>95</w:t>
            </w:r>
          </w:p>
        </w:tc>
        <w:tc>
          <w:tcPr>
            <w:tcW w:w="2500" w:type="pct"/>
            <w:shd w:val="clear" w:color="auto" w:fill="auto"/>
            <w:vAlign w:val="center"/>
          </w:tcPr>
          <w:p w14:paraId="5AE98714" w14:textId="77777777" w:rsidR="00C16316" w:rsidRPr="00C87A8F" w:rsidRDefault="00C30114" w:rsidP="00C16316">
            <w:pPr>
              <w:pStyle w:val="TableText"/>
            </w:pPr>
            <w:r>
              <w:t>0.0</w:t>
            </w:r>
            <w:r w:rsidR="006F3EB0">
              <w:t>18</w:t>
            </w:r>
          </w:p>
        </w:tc>
      </w:tr>
      <w:tr w:rsidR="00231336" w14:paraId="081FF7F7" w14:textId="77777777" w:rsidTr="00AF5CBA">
        <w:trPr>
          <w:cantSplit/>
          <w:jc w:val="center"/>
        </w:trPr>
        <w:tc>
          <w:tcPr>
            <w:tcW w:w="2500" w:type="pct"/>
            <w:tcBorders>
              <w:bottom w:val="single" w:sz="4" w:space="0" w:color="auto"/>
            </w:tcBorders>
            <w:shd w:val="clear" w:color="auto" w:fill="auto"/>
            <w:vAlign w:val="center"/>
          </w:tcPr>
          <w:p w14:paraId="4ED1FD2D" w14:textId="77777777" w:rsidR="00C16316" w:rsidRDefault="00C30114" w:rsidP="00C16316">
            <w:pPr>
              <w:pStyle w:val="TableText"/>
            </w:pPr>
            <w:r>
              <w:t>90</w:t>
            </w:r>
          </w:p>
        </w:tc>
        <w:tc>
          <w:tcPr>
            <w:tcW w:w="2500" w:type="pct"/>
            <w:tcBorders>
              <w:bottom w:val="single" w:sz="4" w:space="0" w:color="auto"/>
            </w:tcBorders>
            <w:shd w:val="clear" w:color="auto" w:fill="auto"/>
            <w:vAlign w:val="center"/>
          </w:tcPr>
          <w:p w14:paraId="68EA85E8" w14:textId="77777777" w:rsidR="00C16316" w:rsidRDefault="00C30114" w:rsidP="00C16316">
            <w:pPr>
              <w:pStyle w:val="TableText"/>
            </w:pPr>
            <w:r>
              <w:t>0.0</w:t>
            </w:r>
            <w:r w:rsidR="006F3EB0">
              <w:t>48</w:t>
            </w:r>
          </w:p>
        </w:tc>
      </w:tr>
      <w:tr w:rsidR="00231336" w14:paraId="01571723" w14:textId="77777777" w:rsidTr="00AF5CBA">
        <w:trPr>
          <w:cantSplit/>
          <w:jc w:val="center"/>
        </w:trPr>
        <w:tc>
          <w:tcPr>
            <w:tcW w:w="2500" w:type="pct"/>
            <w:tcBorders>
              <w:bottom w:val="single" w:sz="12" w:space="0" w:color="auto"/>
            </w:tcBorders>
            <w:shd w:val="clear" w:color="auto" w:fill="auto"/>
          </w:tcPr>
          <w:p w14:paraId="4D787AAC" w14:textId="77777777" w:rsidR="00C16316" w:rsidRPr="00C87A8F" w:rsidRDefault="00C30114" w:rsidP="00C16316">
            <w:pPr>
              <w:pStyle w:val="TableText"/>
            </w:pPr>
            <w:r w:rsidRPr="00C87A8F">
              <w:t>80</w:t>
            </w:r>
          </w:p>
        </w:tc>
        <w:tc>
          <w:tcPr>
            <w:tcW w:w="2500" w:type="pct"/>
            <w:tcBorders>
              <w:bottom w:val="single" w:sz="12" w:space="0" w:color="auto"/>
            </w:tcBorders>
            <w:shd w:val="clear" w:color="auto" w:fill="auto"/>
          </w:tcPr>
          <w:p w14:paraId="2206FE50" w14:textId="77777777" w:rsidR="00C16316" w:rsidRPr="00C87A8F" w:rsidRDefault="00C30114" w:rsidP="00C16316">
            <w:pPr>
              <w:pStyle w:val="TableText"/>
            </w:pPr>
            <w:r>
              <w:t>0.</w:t>
            </w:r>
            <w:r w:rsidR="006F3EB0">
              <w:t>18</w:t>
            </w:r>
          </w:p>
        </w:tc>
      </w:tr>
    </w:tbl>
    <w:p w14:paraId="051F458D" w14:textId="77777777" w:rsidR="00F44A76" w:rsidRDefault="00C30114" w:rsidP="00F44A76">
      <w:pPr>
        <w:pStyle w:val="FigureTableNoteSource"/>
      </w:pPr>
      <w:r w:rsidRPr="00AF5CBA">
        <w:rPr>
          <w:rStyle w:val="Strong"/>
        </w:rPr>
        <w:t>a</w:t>
      </w:r>
      <w:r w:rsidRPr="00791817">
        <w:t xml:space="preserve"> </w:t>
      </w:r>
      <w:r w:rsidR="00AF5CBA">
        <w:t>DGVs</w:t>
      </w:r>
      <w:r w:rsidRPr="00126E4D">
        <w:t xml:space="preserve"> were derived using the Burrlioz 2.0 software and rounded to two significant figures</w:t>
      </w:r>
      <w:r>
        <w:t>.</w:t>
      </w:r>
    </w:p>
    <w:p w14:paraId="1BBBEFAB" w14:textId="77777777" w:rsidR="001303C0" w:rsidRPr="00310CC5" w:rsidRDefault="00C30114" w:rsidP="001303C0">
      <w:pPr>
        <w:pStyle w:val="Heading3"/>
      </w:pPr>
      <w:bookmarkStart w:id="22" w:name="_Toc34400617"/>
      <w:r w:rsidRPr="00310CC5">
        <w:t>Reliability classification</w:t>
      </w:r>
      <w:bookmarkEnd w:id="22"/>
      <w:r w:rsidRPr="00310CC5">
        <w:t xml:space="preserve"> </w:t>
      </w:r>
    </w:p>
    <w:p w14:paraId="13E63000" w14:textId="77777777" w:rsidR="001303C0" w:rsidRPr="00310CC5" w:rsidRDefault="00C30114" w:rsidP="001303C0">
      <w:pPr>
        <w:rPr>
          <w:lang w:eastAsia="ja-JP"/>
        </w:rPr>
      </w:pPr>
      <w:r w:rsidRPr="00310CC5">
        <w:rPr>
          <w:lang w:eastAsia="ja-JP"/>
        </w:rPr>
        <w:t xml:space="preserve">The </w:t>
      </w:r>
      <w:r w:rsidR="00C16316" w:rsidRPr="00310CC5">
        <w:rPr>
          <w:lang w:eastAsia="ja-JP"/>
        </w:rPr>
        <w:t xml:space="preserve">metsulfuron-methyl in </w:t>
      </w:r>
      <w:r w:rsidRPr="00310CC5">
        <w:rPr>
          <w:lang w:eastAsia="ja-JP"/>
        </w:rPr>
        <w:t xml:space="preserve">freshwater DGVs have a moderate reliability classification (Warne et al. 2018) based on the outcomes for the </w:t>
      </w:r>
      <w:r w:rsidRPr="00310CC5">
        <w:rPr>
          <w:lang w:eastAsia="ja-JP"/>
        </w:rPr>
        <w:t>following three criteria:</w:t>
      </w:r>
    </w:p>
    <w:p w14:paraId="00CC1F06" w14:textId="77777777" w:rsidR="001303C0" w:rsidRPr="00AF5CBA" w:rsidRDefault="00C30114" w:rsidP="00AF5CBA">
      <w:pPr>
        <w:pStyle w:val="ListBullet"/>
      </w:pPr>
      <w:r w:rsidRPr="00AF5CBA">
        <w:t>Sample size—</w:t>
      </w:r>
      <w:r w:rsidR="00C16316" w:rsidRPr="00AF5CBA">
        <w:t>8</w:t>
      </w:r>
      <w:r w:rsidR="00961BD3">
        <w:t xml:space="preserve"> </w:t>
      </w:r>
      <w:r w:rsidR="000E1FA0">
        <w:t>(good)</w:t>
      </w:r>
    </w:p>
    <w:p w14:paraId="31CEC8B0" w14:textId="77777777" w:rsidR="001303C0" w:rsidRPr="00AF5CBA" w:rsidRDefault="00C30114" w:rsidP="00AF5CBA">
      <w:pPr>
        <w:pStyle w:val="ListBullet"/>
      </w:pPr>
      <w:r w:rsidRPr="00AF5CBA">
        <w:t xml:space="preserve">Type of toxicity </w:t>
      </w:r>
      <w:proofErr w:type="gramStart"/>
      <w:r w:rsidRPr="00AF5CBA">
        <w:t>data—chronic</w:t>
      </w:r>
      <w:proofErr w:type="gramEnd"/>
      <w:r w:rsidRPr="00AF5CBA">
        <w:t xml:space="preserve"> </w:t>
      </w:r>
      <w:r w:rsidR="00310CC5" w:rsidRPr="00AF5CBA">
        <w:t>EC10, NOEC</w:t>
      </w:r>
      <w:r w:rsidR="000821A0" w:rsidRPr="00AF5CBA">
        <w:t>, LOEC</w:t>
      </w:r>
    </w:p>
    <w:p w14:paraId="64F5DD2B" w14:textId="77777777" w:rsidR="001303C0" w:rsidRPr="00310CC5" w:rsidRDefault="00C30114" w:rsidP="001303C0">
      <w:pPr>
        <w:pStyle w:val="ListBullet"/>
        <w:rPr>
          <w:lang w:eastAsia="ja-JP"/>
        </w:rPr>
      </w:pPr>
      <w:r w:rsidRPr="00310CC5">
        <w:rPr>
          <w:lang w:eastAsia="ja-JP"/>
        </w:rPr>
        <w:t>SSD model fit—poor (Inverse Weibull model).</w:t>
      </w:r>
    </w:p>
    <w:p w14:paraId="4732A46B" w14:textId="77777777" w:rsidR="001303C0" w:rsidRDefault="001303C0" w:rsidP="001303C0">
      <w:pPr>
        <w:pStyle w:val="ListBullet"/>
        <w:numPr>
          <w:ilvl w:val="0"/>
          <w:numId w:val="0"/>
        </w:numPr>
        <w:ind w:left="397" w:hanging="397"/>
        <w:rPr>
          <w:lang w:eastAsia="ja-JP"/>
        </w:rPr>
      </w:pPr>
    </w:p>
    <w:p w14:paraId="7CDA88FD" w14:textId="77777777" w:rsidR="00AF5CBA" w:rsidRDefault="00C30114">
      <w:pPr>
        <w:spacing w:after="0" w:line="240" w:lineRule="auto"/>
        <w:rPr>
          <w:lang w:eastAsia="ja-JP"/>
        </w:rPr>
      </w:pPr>
      <w:r>
        <w:rPr>
          <w:lang w:eastAsia="ja-JP"/>
        </w:rPr>
        <w:br w:type="page"/>
      </w:r>
    </w:p>
    <w:p w14:paraId="66C6563B" w14:textId="77777777" w:rsidR="000756BD" w:rsidRDefault="00C30114" w:rsidP="001303C0">
      <w:pPr>
        <w:pStyle w:val="Heading2"/>
        <w:numPr>
          <w:ilvl w:val="0"/>
          <w:numId w:val="0"/>
        </w:numPr>
      </w:pPr>
      <w:bookmarkStart w:id="23" w:name="_Toc34400618"/>
      <w:r>
        <w:lastRenderedPageBreak/>
        <w:t>Glossary</w:t>
      </w:r>
      <w:bookmarkEnd w:id="23"/>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231336" w14:paraId="640C8D19" w14:textId="77777777" w:rsidTr="00102A70">
        <w:trPr>
          <w:cantSplit/>
          <w:tblHeader/>
        </w:trPr>
        <w:tc>
          <w:tcPr>
            <w:tcW w:w="1509" w:type="pct"/>
            <w:tcBorders>
              <w:top w:val="single" w:sz="12" w:space="0" w:color="auto"/>
              <w:bottom w:val="single" w:sz="12" w:space="0" w:color="auto"/>
            </w:tcBorders>
          </w:tcPr>
          <w:p w14:paraId="61E70D3E" w14:textId="77777777" w:rsidR="001303C0" w:rsidRPr="00603E72" w:rsidRDefault="00C30114" w:rsidP="007336AC">
            <w:pPr>
              <w:pStyle w:val="TableHeading"/>
              <w:rPr>
                <w:lang w:eastAsia="ja-JP"/>
              </w:rPr>
            </w:pPr>
            <w:r w:rsidRPr="00603E72">
              <w:rPr>
                <w:lang w:eastAsia="ja-JP"/>
              </w:rPr>
              <w:t>Term</w:t>
            </w:r>
          </w:p>
        </w:tc>
        <w:tc>
          <w:tcPr>
            <w:tcW w:w="3491" w:type="pct"/>
            <w:tcBorders>
              <w:top w:val="single" w:sz="12" w:space="0" w:color="auto"/>
              <w:bottom w:val="single" w:sz="12" w:space="0" w:color="auto"/>
            </w:tcBorders>
          </w:tcPr>
          <w:p w14:paraId="77F3EE5E" w14:textId="77777777" w:rsidR="001303C0" w:rsidRPr="00603E72" w:rsidRDefault="00C30114" w:rsidP="007336AC">
            <w:pPr>
              <w:pStyle w:val="TableHeading"/>
              <w:rPr>
                <w:lang w:eastAsia="ja-JP"/>
              </w:rPr>
            </w:pPr>
            <w:r w:rsidRPr="00603E72">
              <w:rPr>
                <w:lang w:eastAsia="ja-JP"/>
              </w:rPr>
              <w:t>Definition</w:t>
            </w:r>
          </w:p>
        </w:tc>
      </w:tr>
      <w:tr w:rsidR="00231336" w14:paraId="0D81D548" w14:textId="77777777" w:rsidTr="00102A70">
        <w:trPr>
          <w:cantSplit/>
        </w:trPr>
        <w:tc>
          <w:tcPr>
            <w:tcW w:w="1509" w:type="pct"/>
            <w:tcBorders>
              <w:top w:val="single" w:sz="12" w:space="0" w:color="auto"/>
              <w:bottom w:val="single" w:sz="4" w:space="0" w:color="auto"/>
            </w:tcBorders>
          </w:tcPr>
          <w:p w14:paraId="508DE926" w14:textId="77777777" w:rsidR="001303C0" w:rsidRPr="00DC7EC0" w:rsidRDefault="00C30114" w:rsidP="007336AC">
            <w:pPr>
              <w:pStyle w:val="TableText"/>
              <w:rPr>
                <w:lang w:eastAsia="ja-JP"/>
              </w:rPr>
            </w:pPr>
            <w:r w:rsidRPr="00DC7EC0">
              <w:rPr>
                <w:lang w:eastAsia="ja-JP"/>
              </w:rPr>
              <w:t>acute toxicity</w:t>
            </w:r>
          </w:p>
        </w:tc>
        <w:tc>
          <w:tcPr>
            <w:tcW w:w="3491" w:type="pct"/>
            <w:tcBorders>
              <w:top w:val="single" w:sz="12" w:space="0" w:color="auto"/>
              <w:bottom w:val="single" w:sz="4" w:space="0" w:color="auto"/>
            </w:tcBorders>
          </w:tcPr>
          <w:p w14:paraId="6F363450" w14:textId="77777777" w:rsidR="001303C0" w:rsidRPr="00DC7EC0" w:rsidRDefault="00C30114" w:rsidP="008D5EC3">
            <w:pPr>
              <w:pStyle w:val="TableText"/>
              <w:rPr>
                <w:lang w:eastAsia="ja-JP"/>
              </w:rPr>
            </w:pPr>
            <w:r>
              <w:t>A</w:t>
            </w:r>
            <w:r w:rsidRPr="008D5EC3">
              <w:rPr>
                <w:lang w:eastAsia="ja-JP"/>
              </w:rPr>
              <w:t xml:space="preserve"> lethal or adverse sub-lethal effect that occurs as the result of a short exposure period to a chemical relative to the organism’s life span.</w:t>
            </w:r>
          </w:p>
        </w:tc>
      </w:tr>
      <w:tr w:rsidR="00231336" w14:paraId="4B540B60" w14:textId="77777777" w:rsidTr="00102A70">
        <w:trPr>
          <w:cantSplit/>
        </w:trPr>
        <w:tc>
          <w:tcPr>
            <w:tcW w:w="1509" w:type="pct"/>
            <w:tcBorders>
              <w:top w:val="single" w:sz="4" w:space="0" w:color="auto"/>
              <w:bottom w:val="single" w:sz="4" w:space="0" w:color="auto"/>
            </w:tcBorders>
          </w:tcPr>
          <w:p w14:paraId="48DFD424" w14:textId="77777777" w:rsidR="001303C0" w:rsidRPr="00DC7EC0" w:rsidRDefault="00C30114" w:rsidP="007336AC">
            <w:pPr>
              <w:pStyle w:val="TableText"/>
              <w:rPr>
                <w:lang w:eastAsia="ja-JP"/>
              </w:rPr>
            </w:pPr>
            <w:r w:rsidRPr="00DC7EC0">
              <w:rPr>
                <w:lang w:eastAsia="ja-JP"/>
              </w:rPr>
              <w:t>ANZECC</w:t>
            </w:r>
          </w:p>
        </w:tc>
        <w:tc>
          <w:tcPr>
            <w:tcW w:w="3491" w:type="pct"/>
            <w:tcBorders>
              <w:top w:val="single" w:sz="4" w:space="0" w:color="auto"/>
              <w:bottom w:val="single" w:sz="4" w:space="0" w:color="auto"/>
            </w:tcBorders>
          </w:tcPr>
          <w:p w14:paraId="4DDA50A1" w14:textId="77777777" w:rsidR="001303C0" w:rsidRPr="00DC7EC0" w:rsidRDefault="00C30114" w:rsidP="007336AC">
            <w:pPr>
              <w:pStyle w:val="TableText"/>
              <w:rPr>
                <w:lang w:eastAsia="ja-JP"/>
              </w:rPr>
            </w:pPr>
            <w:r w:rsidRPr="00DC7EC0">
              <w:rPr>
                <w:lang w:eastAsia="ja-JP"/>
              </w:rPr>
              <w:t>Australian and New Zealand Environment and Conservation Council</w:t>
            </w:r>
          </w:p>
        </w:tc>
      </w:tr>
      <w:tr w:rsidR="00231336" w14:paraId="184B7228" w14:textId="77777777" w:rsidTr="00102A70">
        <w:trPr>
          <w:cantSplit/>
        </w:trPr>
        <w:tc>
          <w:tcPr>
            <w:tcW w:w="1509" w:type="pct"/>
            <w:tcBorders>
              <w:top w:val="single" w:sz="4" w:space="0" w:color="auto"/>
              <w:bottom w:val="single" w:sz="4" w:space="0" w:color="auto"/>
            </w:tcBorders>
          </w:tcPr>
          <w:p w14:paraId="72454860" w14:textId="77777777" w:rsidR="001303C0" w:rsidRPr="00DC7EC0" w:rsidRDefault="00C30114" w:rsidP="007336AC">
            <w:pPr>
              <w:pStyle w:val="TableText"/>
              <w:rPr>
                <w:lang w:eastAsia="ja-JP"/>
              </w:rPr>
            </w:pPr>
            <w:r w:rsidRPr="00DC7EC0">
              <w:rPr>
                <w:lang w:eastAsia="ja-JP"/>
              </w:rPr>
              <w:t>ARMCANZ</w:t>
            </w:r>
          </w:p>
        </w:tc>
        <w:tc>
          <w:tcPr>
            <w:tcW w:w="3491" w:type="pct"/>
            <w:tcBorders>
              <w:top w:val="single" w:sz="4" w:space="0" w:color="auto"/>
              <w:bottom w:val="single" w:sz="4" w:space="0" w:color="auto"/>
            </w:tcBorders>
          </w:tcPr>
          <w:p w14:paraId="66F6774B" w14:textId="77777777" w:rsidR="001303C0" w:rsidRPr="00DC7EC0" w:rsidRDefault="00C30114" w:rsidP="007336AC">
            <w:pPr>
              <w:pStyle w:val="TableText"/>
              <w:rPr>
                <w:lang w:eastAsia="ja-JP"/>
              </w:rPr>
            </w:pPr>
            <w:r w:rsidRPr="00DC7EC0">
              <w:rPr>
                <w:lang w:eastAsia="ja-JP"/>
              </w:rPr>
              <w:t xml:space="preserve">Agricultural and Resource </w:t>
            </w:r>
            <w:r w:rsidRPr="00DC7EC0">
              <w:rPr>
                <w:lang w:eastAsia="ja-JP"/>
              </w:rPr>
              <w:t>Management Council of Australia and New Zealand</w:t>
            </w:r>
          </w:p>
        </w:tc>
      </w:tr>
      <w:tr w:rsidR="00231336" w14:paraId="5B7F1CD0" w14:textId="77777777" w:rsidTr="00102A70">
        <w:trPr>
          <w:cantSplit/>
        </w:trPr>
        <w:tc>
          <w:tcPr>
            <w:tcW w:w="1509" w:type="pct"/>
            <w:tcBorders>
              <w:top w:val="single" w:sz="4" w:space="0" w:color="auto"/>
              <w:bottom w:val="single" w:sz="4" w:space="0" w:color="auto"/>
            </w:tcBorders>
          </w:tcPr>
          <w:p w14:paraId="21673051" w14:textId="77777777" w:rsidR="00DC7EC0" w:rsidRPr="00DC7EC0" w:rsidRDefault="00C30114" w:rsidP="007336AC">
            <w:pPr>
              <w:pStyle w:val="TableText"/>
              <w:rPr>
                <w:lang w:eastAsia="ja-JP"/>
              </w:rPr>
            </w:pPr>
            <w:r w:rsidRPr="00DC7EC0">
              <w:rPr>
                <w:lang w:eastAsia="ja-JP"/>
              </w:rPr>
              <w:t>CAS no.</w:t>
            </w:r>
            <w:r w:rsidR="0058683D">
              <w:rPr>
                <w:lang w:eastAsia="ja-JP"/>
              </w:rPr>
              <w:t xml:space="preserve"> (</w:t>
            </w:r>
            <w:r w:rsidR="0058683D" w:rsidRPr="00DC7EC0">
              <w:rPr>
                <w:lang w:eastAsia="ja-JP"/>
              </w:rPr>
              <w:t>Chemical Abstracts Service number</w:t>
            </w:r>
            <w:r w:rsidR="0058683D">
              <w:rPr>
                <w:lang w:eastAsia="ja-JP"/>
              </w:rPr>
              <w:t>)</w:t>
            </w:r>
          </w:p>
        </w:tc>
        <w:tc>
          <w:tcPr>
            <w:tcW w:w="3491" w:type="pct"/>
            <w:tcBorders>
              <w:top w:val="single" w:sz="4" w:space="0" w:color="auto"/>
              <w:bottom w:val="single" w:sz="4" w:space="0" w:color="auto"/>
            </w:tcBorders>
          </w:tcPr>
          <w:p w14:paraId="0EB5475B" w14:textId="77777777" w:rsidR="00DC7EC0" w:rsidRPr="00DC7EC0" w:rsidRDefault="00C30114" w:rsidP="007336AC">
            <w:pPr>
              <w:pStyle w:val="TableText"/>
              <w:rPr>
                <w:lang w:eastAsia="ja-JP"/>
              </w:rPr>
            </w:pPr>
            <w:r w:rsidRPr="00DC7EC0">
              <w:rPr>
                <w:lang w:eastAsia="ja-JP"/>
              </w:rPr>
              <w:t>Each chemical has a unique identifying number that is allocated to it by the American Chemical Society.</w:t>
            </w:r>
          </w:p>
        </w:tc>
      </w:tr>
      <w:tr w:rsidR="00231336" w14:paraId="31FF2E81" w14:textId="77777777" w:rsidTr="00102A70">
        <w:trPr>
          <w:cantSplit/>
        </w:trPr>
        <w:tc>
          <w:tcPr>
            <w:tcW w:w="1509" w:type="pct"/>
            <w:tcBorders>
              <w:top w:val="single" w:sz="4" w:space="0" w:color="auto"/>
              <w:bottom w:val="single" w:sz="4" w:space="0" w:color="auto"/>
            </w:tcBorders>
          </w:tcPr>
          <w:p w14:paraId="36813E97" w14:textId="77777777" w:rsidR="001303C0" w:rsidRPr="00DC7EC0" w:rsidRDefault="00C30114" w:rsidP="007336AC">
            <w:pPr>
              <w:pStyle w:val="TableText"/>
              <w:rPr>
                <w:lang w:eastAsia="ja-JP"/>
              </w:rPr>
            </w:pPr>
            <w:r w:rsidRPr="00DC7EC0">
              <w:rPr>
                <w:lang w:eastAsia="ja-JP"/>
              </w:rPr>
              <w:t>chronic toxicity</w:t>
            </w:r>
          </w:p>
        </w:tc>
        <w:tc>
          <w:tcPr>
            <w:tcW w:w="3491" w:type="pct"/>
            <w:tcBorders>
              <w:top w:val="single" w:sz="4" w:space="0" w:color="auto"/>
              <w:bottom w:val="single" w:sz="4" w:space="0" w:color="auto"/>
            </w:tcBorders>
          </w:tcPr>
          <w:p w14:paraId="174AF755" w14:textId="77777777" w:rsidR="001303C0" w:rsidRPr="00DC7EC0" w:rsidRDefault="00C30114" w:rsidP="007336AC">
            <w:pPr>
              <w:pStyle w:val="TableText"/>
              <w:rPr>
                <w:lang w:eastAsia="ja-JP"/>
              </w:rPr>
            </w:pPr>
            <w:r>
              <w:rPr>
                <w:lang w:eastAsia="ja-JP"/>
              </w:rPr>
              <w:t>A</w:t>
            </w:r>
            <w:r w:rsidRPr="0058683D">
              <w:rPr>
                <w:lang w:eastAsia="ja-JP"/>
              </w:rPr>
              <w:t xml:space="preserve"> lethal or sublethal adverse effect that occurs after exposure to a chemical for </w:t>
            </w:r>
            <w:proofErr w:type="gramStart"/>
            <w:r w:rsidRPr="0058683D">
              <w:rPr>
                <w:lang w:eastAsia="ja-JP"/>
              </w:rPr>
              <w:t>a period of time</w:t>
            </w:r>
            <w:proofErr w:type="gramEnd"/>
            <w:r w:rsidRPr="0058683D">
              <w:rPr>
                <w:lang w:eastAsia="ja-JP"/>
              </w:rPr>
              <w:t xml:space="preserve"> that is a substantial portion of the organism’s life span or an adverse effect on a sensitive early life stage.</w:t>
            </w:r>
          </w:p>
        </w:tc>
      </w:tr>
      <w:tr w:rsidR="00231336" w14:paraId="348E54E5" w14:textId="77777777" w:rsidTr="00102A70">
        <w:trPr>
          <w:cantSplit/>
        </w:trPr>
        <w:tc>
          <w:tcPr>
            <w:tcW w:w="1509" w:type="pct"/>
            <w:tcBorders>
              <w:top w:val="single" w:sz="4" w:space="0" w:color="auto"/>
              <w:bottom w:val="single" w:sz="4" w:space="0" w:color="auto"/>
            </w:tcBorders>
          </w:tcPr>
          <w:p w14:paraId="25A7CE4D" w14:textId="77777777" w:rsidR="001303C0" w:rsidRPr="00DC7EC0" w:rsidRDefault="00C30114" w:rsidP="007336AC">
            <w:pPr>
              <w:pStyle w:val="TableText"/>
              <w:rPr>
                <w:lang w:eastAsia="ja-JP"/>
              </w:rPr>
            </w:pPr>
            <w:r w:rsidRPr="00DC7EC0">
              <w:rPr>
                <w:lang w:eastAsia="ja-JP"/>
              </w:rPr>
              <w:t>default guideline value (DGV)</w:t>
            </w:r>
          </w:p>
        </w:tc>
        <w:tc>
          <w:tcPr>
            <w:tcW w:w="3491" w:type="pct"/>
            <w:tcBorders>
              <w:top w:val="single" w:sz="4" w:space="0" w:color="auto"/>
              <w:bottom w:val="single" w:sz="4" w:space="0" w:color="auto"/>
            </w:tcBorders>
          </w:tcPr>
          <w:p w14:paraId="31A225BB" w14:textId="77777777" w:rsidR="001303C0" w:rsidRPr="00DC7EC0" w:rsidRDefault="00C30114" w:rsidP="00DC7EC0">
            <w:pPr>
              <w:pStyle w:val="TableText"/>
              <w:rPr>
                <w:lang w:eastAsia="ja-JP"/>
              </w:rPr>
            </w:pPr>
            <w:r w:rsidRPr="00DC7EC0">
              <w:rPr>
                <w:lang w:eastAsia="ja-JP"/>
              </w:rPr>
              <w:t>A guideline val</w:t>
            </w:r>
            <w:r w:rsidRPr="00DC7EC0">
              <w:rPr>
                <w:lang w:eastAsia="ja-JP"/>
              </w:rPr>
              <w:t>ue recommended for generic application in the absence of a more specific guideline value (</w:t>
            </w:r>
            <w:proofErr w:type="gramStart"/>
            <w:r w:rsidRPr="00DC7EC0">
              <w:rPr>
                <w:lang w:eastAsia="ja-JP"/>
              </w:rPr>
              <w:t>e.g.</w:t>
            </w:r>
            <w:proofErr w:type="gramEnd"/>
            <w:r w:rsidRPr="00DC7EC0">
              <w:rPr>
                <w:lang w:eastAsia="ja-JP"/>
              </w:rPr>
              <w:t xml:space="preserve"> site-specific</w:t>
            </w:r>
            <w:r w:rsidR="0058683D">
              <w:rPr>
                <w:lang w:eastAsia="ja-JP"/>
              </w:rPr>
              <w:t xml:space="preserve"> guideline </w:t>
            </w:r>
            <w:r w:rsidR="00CF5FF4">
              <w:rPr>
                <w:lang w:eastAsia="ja-JP"/>
              </w:rPr>
              <w:t>value</w:t>
            </w:r>
            <w:r w:rsidRPr="00DC7EC0">
              <w:rPr>
                <w:lang w:eastAsia="ja-JP"/>
              </w:rPr>
              <w:t xml:space="preserve">), in the </w:t>
            </w:r>
            <w:r w:rsidR="00DC7EC0" w:rsidRPr="00DC7EC0">
              <w:rPr>
                <w:rStyle w:val="Emphasis"/>
                <w:lang w:eastAsia="ja-JP"/>
              </w:rPr>
              <w:t>Australian and New Zealand Guidelines for Fresh and Marine Water Quality</w:t>
            </w:r>
            <w:r w:rsidR="00CF5FF4">
              <w:rPr>
                <w:lang w:eastAsia="ja-JP"/>
              </w:rPr>
              <w:t xml:space="preserve">. Formerly known as ‘trigger </w:t>
            </w:r>
            <w:proofErr w:type="gramStart"/>
            <w:r w:rsidR="00CF5FF4">
              <w:rPr>
                <w:lang w:eastAsia="ja-JP"/>
              </w:rPr>
              <w:t>values’</w:t>
            </w:r>
            <w:proofErr w:type="gramEnd"/>
            <w:r w:rsidR="00CF5FF4">
              <w:rPr>
                <w:lang w:eastAsia="ja-JP"/>
              </w:rPr>
              <w:t>.</w:t>
            </w:r>
          </w:p>
        </w:tc>
      </w:tr>
      <w:tr w:rsidR="00231336" w14:paraId="1CA6BA9F" w14:textId="77777777" w:rsidTr="00102A70">
        <w:trPr>
          <w:cantSplit/>
        </w:trPr>
        <w:tc>
          <w:tcPr>
            <w:tcW w:w="1509" w:type="pct"/>
            <w:tcBorders>
              <w:top w:val="single" w:sz="4" w:space="0" w:color="auto"/>
              <w:bottom w:val="single" w:sz="4" w:space="0" w:color="auto"/>
            </w:tcBorders>
          </w:tcPr>
          <w:p w14:paraId="535BA67D" w14:textId="77777777" w:rsidR="001303C0" w:rsidRPr="00DC7EC0" w:rsidRDefault="00C30114" w:rsidP="007336AC">
            <w:pPr>
              <w:pStyle w:val="TableText"/>
              <w:rPr>
                <w:lang w:eastAsia="ja-JP"/>
              </w:rPr>
            </w:pPr>
            <w:r w:rsidRPr="00DC7EC0">
              <w:rPr>
                <w:lang w:eastAsia="ja-JP"/>
              </w:rPr>
              <w:t xml:space="preserve">EC50 </w:t>
            </w:r>
            <w:r w:rsidRPr="00DC7EC0">
              <w:rPr>
                <w:lang w:eastAsia="ja-JP"/>
              </w:rPr>
              <w:t>(median effective concentration)</w:t>
            </w:r>
          </w:p>
        </w:tc>
        <w:tc>
          <w:tcPr>
            <w:tcW w:w="3491" w:type="pct"/>
            <w:tcBorders>
              <w:top w:val="single" w:sz="4" w:space="0" w:color="auto"/>
              <w:bottom w:val="single" w:sz="4" w:space="0" w:color="auto"/>
            </w:tcBorders>
          </w:tcPr>
          <w:p w14:paraId="7E0EE651" w14:textId="77777777" w:rsidR="001303C0" w:rsidRPr="00DC7EC0" w:rsidRDefault="00C30114" w:rsidP="007336AC">
            <w:pPr>
              <w:pStyle w:val="TableText"/>
              <w:rPr>
                <w:lang w:eastAsia="ja-JP"/>
              </w:rPr>
            </w:pPr>
            <w:r>
              <w:rPr>
                <w:lang w:eastAsia="ja-JP"/>
              </w:rPr>
              <w:t>T</w:t>
            </w:r>
            <w:r w:rsidRPr="00CF5FF4">
              <w:rPr>
                <w:lang w:eastAsia="ja-JP"/>
              </w:rPr>
              <w:t>he concentration of a substance in water or sediment that is estimated to produce a 50% change in the response being measured or a certain effect in 50% of the test organisms relative to the control response, under specifi</w:t>
            </w:r>
            <w:r w:rsidRPr="00CF5FF4">
              <w:rPr>
                <w:lang w:eastAsia="ja-JP"/>
              </w:rPr>
              <w:t>ed conditions.</w:t>
            </w:r>
          </w:p>
        </w:tc>
      </w:tr>
      <w:tr w:rsidR="00231336" w14:paraId="0DF37DF8" w14:textId="77777777" w:rsidTr="00102A70">
        <w:trPr>
          <w:cantSplit/>
        </w:trPr>
        <w:tc>
          <w:tcPr>
            <w:tcW w:w="1509" w:type="pct"/>
            <w:tcBorders>
              <w:top w:val="single" w:sz="4" w:space="0" w:color="auto"/>
              <w:bottom w:val="single" w:sz="4" w:space="0" w:color="auto"/>
            </w:tcBorders>
          </w:tcPr>
          <w:p w14:paraId="43522FB7" w14:textId="77777777" w:rsidR="00DC7EC0" w:rsidRPr="00C2619B" w:rsidRDefault="00C30114" w:rsidP="007336AC">
            <w:pPr>
              <w:pStyle w:val="TableText"/>
              <w:rPr>
                <w:highlight w:val="yellow"/>
                <w:lang w:eastAsia="ja-JP"/>
              </w:rPr>
            </w:pPr>
            <w:r w:rsidRPr="00DC7EC0">
              <w:rPr>
                <w:lang w:eastAsia="ja-JP"/>
              </w:rPr>
              <w:t>ECx</w:t>
            </w:r>
          </w:p>
        </w:tc>
        <w:tc>
          <w:tcPr>
            <w:tcW w:w="3491" w:type="pct"/>
            <w:tcBorders>
              <w:top w:val="single" w:sz="4" w:space="0" w:color="auto"/>
              <w:bottom w:val="single" w:sz="4" w:space="0" w:color="auto"/>
            </w:tcBorders>
          </w:tcPr>
          <w:p w14:paraId="42FD6409" w14:textId="77777777" w:rsidR="00DC7EC0" w:rsidRPr="00C2619B" w:rsidRDefault="00C30114" w:rsidP="007336AC">
            <w:pPr>
              <w:pStyle w:val="TableText"/>
              <w:rPr>
                <w:highlight w:val="yellow"/>
                <w:lang w:eastAsia="ja-JP"/>
              </w:rPr>
            </w:pPr>
            <w:r>
              <w:rPr>
                <w:lang w:eastAsia="ja-JP"/>
              </w:rPr>
              <w:t>T</w:t>
            </w:r>
            <w:r w:rsidRPr="00CF5FF4">
              <w:rPr>
                <w:lang w:eastAsia="ja-JP"/>
              </w:rPr>
              <w:t>he concentration of a substance in water or sediment that is estimated to produce an x% change in the response being measured or a certain effect in x% of the test organisms, under specified conditions.</w:t>
            </w:r>
          </w:p>
        </w:tc>
      </w:tr>
      <w:tr w:rsidR="00231336" w14:paraId="77328668" w14:textId="77777777" w:rsidTr="00102A70">
        <w:trPr>
          <w:cantSplit/>
        </w:trPr>
        <w:tc>
          <w:tcPr>
            <w:tcW w:w="1509" w:type="pct"/>
            <w:tcBorders>
              <w:top w:val="single" w:sz="4" w:space="0" w:color="auto"/>
              <w:bottom w:val="single" w:sz="4" w:space="0" w:color="auto"/>
            </w:tcBorders>
          </w:tcPr>
          <w:p w14:paraId="51345E9F" w14:textId="77777777" w:rsidR="001303C0" w:rsidRPr="00C2619B" w:rsidRDefault="00C30114" w:rsidP="007336AC">
            <w:pPr>
              <w:pStyle w:val="TableText"/>
              <w:rPr>
                <w:highlight w:val="yellow"/>
                <w:lang w:eastAsia="ja-JP"/>
              </w:rPr>
            </w:pPr>
            <w:r w:rsidRPr="00DC7EC0">
              <w:rPr>
                <w:lang w:eastAsia="ja-JP"/>
              </w:rPr>
              <w:t>endpoint</w:t>
            </w:r>
          </w:p>
        </w:tc>
        <w:tc>
          <w:tcPr>
            <w:tcW w:w="3491" w:type="pct"/>
            <w:tcBorders>
              <w:top w:val="single" w:sz="4" w:space="0" w:color="auto"/>
              <w:bottom w:val="single" w:sz="4" w:space="0" w:color="auto"/>
            </w:tcBorders>
          </w:tcPr>
          <w:p w14:paraId="611ED732" w14:textId="77777777" w:rsidR="001303C0" w:rsidRPr="00C2619B" w:rsidRDefault="00C30114" w:rsidP="007336AC">
            <w:pPr>
              <w:pStyle w:val="TableText"/>
              <w:rPr>
                <w:highlight w:val="yellow"/>
                <w:lang w:eastAsia="ja-JP"/>
              </w:rPr>
            </w:pPr>
            <w:r>
              <w:rPr>
                <w:lang w:eastAsia="ja-JP"/>
              </w:rPr>
              <w:t>T</w:t>
            </w:r>
            <w:r w:rsidRPr="00CF5FF4">
              <w:rPr>
                <w:lang w:eastAsia="ja-JP"/>
              </w:rPr>
              <w:t xml:space="preserve">he specific </w:t>
            </w:r>
            <w:r w:rsidRPr="00CF5FF4">
              <w:rPr>
                <w:lang w:eastAsia="ja-JP"/>
              </w:rPr>
              <w:t>response of an organism that is measured in a toxicity test (</w:t>
            </w:r>
            <w:proofErr w:type="gramStart"/>
            <w:r w:rsidRPr="00CF5FF4">
              <w:rPr>
                <w:lang w:eastAsia="ja-JP"/>
              </w:rPr>
              <w:t>e.g.</w:t>
            </w:r>
            <w:proofErr w:type="gramEnd"/>
            <w:r w:rsidRPr="00CF5FF4">
              <w:rPr>
                <w:lang w:eastAsia="ja-JP"/>
              </w:rPr>
              <w:t xml:space="preserve"> mortality, growth, a particular biomarker).</w:t>
            </w:r>
          </w:p>
        </w:tc>
      </w:tr>
      <w:tr w:rsidR="00231336" w14:paraId="400D4702" w14:textId="77777777" w:rsidTr="00102A70">
        <w:trPr>
          <w:cantSplit/>
        </w:trPr>
        <w:tc>
          <w:tcPr>
            <w:tcW w:w="1509" w:type="pct"/>
            <w:tcBorders>
              <w:top w:val="single" w:sz="4" w:space="0" w:color="auto"/>
              <w:bottom w:val="single" w:sz="4" w:space="0" w:color="auto"/>
            </w:tcBorders>
          </w:tcPr>
          <w:p w14:paraId="685B3D8A" w14:textId="77777777" w:rsidR="00604F6B" w:rsidRPr="00DC7EC0" w:rsidRDefault="00C30114" w:rsidP="007336AC">
            <w:pPr>
              <w:pStyle w:val="TableText"/>
              <w:rPr>
                <w:lang w:eastAsia="ja-JP"/>
              </w:rPr>
            </w:pPr>
            <w:r>
              <w:rPr>
                <w:lang w:eastAsia="ja-JP"/>
              </w:rPr>
              <w:t>environmental fate</w:t>
            </w:r>
          </w:p>
        </w:tc>
        <w:tc>
          <w:tcPr>
            <w:tcW w:w="3491" w:type="pct"/>
            <w:tcBorders>
              <w:top w:val="single" w:sz="4" w:space="0" w:color="auto"/>
              <w:bottom w:val="single" w:sz="4" w:space="0" w:color="auto"/>
            </w:tcBorders>
          </w:tcPr>
          <w:p w14:paraId="0F54B76B" w14:textId="77777777" w:rsidR="00604F6B" w:rsidRDefault="00C30114" w:rsidP="007336AC">
            <w:pPr>
              <w:pStyle w:val="TableText"/>
              <w:rPr>
                <w:lang w:eastAsia="ja-JP"/>
              </w:rPr>
            </w:pPr>
            <w:r w:rsidRPr="00604F6B">
              <w:rPr>
                <w:lang w:eastAsia="ja-JP"/>
              </w:rPr>
              <w:t>The behaviour (</w:t>
            </w:r>
            <w:proofErr w:type="gramStart"/>
            <w:r w:rsidRPr="00604F6B">
              <w:rPr>
                <w:lang w:eastAsia="ja-JP"/>
              </w:rPr>
              <w:t>e.g.</w:t>
            </w:r>
            <w:proofErr w:type="gramEnd"/>
            <w:r w:rsidRPr="00604F6B">
              <w:rPr>
                <w:lang w:eastAsia="ja-JP"/>
              </w:rPr>
              <w:t xml:space="preserve"> movement, transformation, degradation, partitioning) of a chemical in the environment.</w:t>
            </w:r>
          </w:p>
        </w:tc>
      </w:tr>
      <w:tr w:rsidR="00231336" w14:paraId="655552B7" w14:textId="77777777" w:rsidTr="00102A70">
        <w:trPr>
          <w:cantSplit/>
        </w:trPr>
        <w:tc>
          <w:tcPr>
            <w:tcW w:w="1509" w:type="pct"/>
            <w:tcBorders>
              <w:top w:val="single" w:sz="4" w:space="0" w:color="auto"/>
              <w:bottom w:val="single" w:sz="4" w:space="0" w:color="auto"/>
            </w:tcBorders>
          </w:tcPr>
          <w:p w14:paraId="5869E7F9" w14:textId="77777777" w:rsidR="001303C0" w:rsidRPr="00C2619B" w:rsidRDefault="00C30114" w:rsidP="007336AC">
            <w:pPr>
              <w:pStyle w:val="TableText"/>
              <w:rPr>
                <w:highlight w:val="yellow"/>
                <w:lang w:eastAsia="ja-JP"/>
              </w:rPr>
            </w:pPr>
            <w:r w:rsidRPr="00DC7EC0">
              <w:rPr>
                <w:lang w:eastAsia="ja-JP"/>
              </w:rPr>
              <w:t>guideline value (G</w:t>
            </w:r>
            <w:r w:rsidRPr="00DC7EC0">
              <w:rPr>
                <w:lang w:eastAsia="ja-JP"/>
              </w:rPr>
              <w:t>V)</w:t>
            </w:r>
          </w:p>
        </w:tc>
        <w:tc>
          <w:tcPr>
            <w:tcW w:w="3491" w:type="pct"/>
            <w:tcBorders>
              <w:top w:val="single" w:sz="4" w:space="0" w:color="auto"/>
              <w:bottom w:val="single" w:sz="4" w:space="0" w:color="auto"/>
            </w:tcBorders>
          </w:tcPr>
          <w:p w14:paraId="71F529E6" w14:textId="77777777" w:rsidR="001303C0" w:rsidRPr="00C2619B" w:rsidRDefault="00C30114" w:rsidP="00CF5FF4">
            <w:pPr>
              <w:pStyle w:val="TableText"/>
              <w:rPr>
                <w:highlight w:val="yellow"/>
                <w:lang w:eastAsia="ja-JP"/>
              </w:rPr>
            </w:pPr>
            <w:r w:rsidRPr="00DC7EC0">
              <w:rPr>
                <w:lang w:eastAsia="ja-JP"/>
              </w:rPr>
              <w:t>A measurable quantity (</w:t>
            </w:r>
            <w:proofErr w:type="gramStart"/>
            <w:r w:rsidRPr="00DC7EC0">
              <w:rPr>
                <w:lang w:eastAsia="ja-JP"/>
              </w:rPr>
              <w:t>e.g.</w:t>
            </w:r>
            <w:proofErr w:type="gramEnd"/>
            <w:r w:rsidRPr="00DC7EC0">
              <w:rPr>
                <w:lang w:eastAsia="ja-JP"/>
              </w:rPr>
              <w:t xml:space="preserve"> concentration) or condition of an indicator for a specific </w:t>
            </w:r>
            <w:r w:rsidR="00CF5FF4">
              <w:rPr>
                <w:lang w:eastAsia="ja-JP"/>
              </w:rPr>
              <w:t>community</w:t>
            </w:r>
            <w:r w:rsidR="00CF5FF4" w:rsidRPr="00DC7EC0">
              <w:rPr>
                <w:lang w:eastAsia="ja-JP"/>
              </w:rPr>
              <w:t xml:space="preserve"> </w:t>
            </w:r>
            <w:r w:rsidRPr="00DC7EC0">
              <w:rPr>
                <w:lang w:eastAsia="ja-JP"/>
              </w:rPr>
              <w:t xml:space="preserve">value below which (or above which, in the case of stressors such as pH, dissolved oxygen and many biodiversity responses) there is considered to be a low risk of unacceptable effects occurring to that </w:t>
            </w:r>
            <w:r w:rsidR="00CF5FF4">
              <w:rPr>
                <w:lang w:eastAsia="ja-JP"/>
              </w:rPr>
              <w:t>community</w:t>
            </w:r>
            <w:r w:rsidR="00CF5FF4" w:rsidRPr="00DC7EC0">
              <w:rPr>
                <w:lang w:eastAsia="ja-JP"/>
              </w:rPr>
              <w:t xml:space="preserve"> </w:t>
            </w:r>
            <w:r w:rsidRPr="00DC7EC0">
              <w:rPr>
                <w:lang w:eastAsia="ja-JP"/>
              </w:rPr>
              <w:t>value. Guideline values for more than one ind</w:t>
            </w:r>
            <w:r w:rsidRPr="00DC7EC0">
              <w:rPr>
                <w:lang w:eastAsia="ja-JP"/>
              </w:rPr>
              <w:t>icator should be used simultaneously in a multiple lines of evidence approach.</w:t>
            </w:r>
            <w:r w:rsidR="00CF5FF4">
              <w:rPr>
                <w:lang w:eastAsia="ja-JP"/>
              </w:rPr>
              <w:t xml:space="preserve"> (Also refer to ‘default guideline value’ and ‘site-specific guideline value’.)</w:t>
            </w:r>
          </w:p>
        </w:tc>
      </w:tr>
      <w:tr w:rsidR="00231336" w14:paraId="418A0A1C" w14:textId="77777777" w:rsidTr="00224C08">
        <w:trPr>
          <w:cantSplit/>
        </w:trPr>
        <w:tc>
          <w:tcPr>
            <w:tcW w:w="1509" w:type="pct"/>
            <w:tcBorders>
              <w:top w:val="single" w:sz="4" w:space="0" w:color="auto"/>
              <w:bottom w:val="single" w:sz="4" w:space="0" w:color="auto"/>
            </w:tcBorders>
          </w:tcPr>
          <w:p w14:paraId="1553218E" w14:textId="77777777" w:rsidR="001A4B9B" w:rsidRPr="00C2619B" w:rsidRDefault="00C30114" w:rsidP="00224C08">
            <w:pPr>
              <w:pStyle w:val="TableText"/>
              <w:rPr>
                <w:highlight w:val="yellow"/>
                <w:lang w:eastAsia="ja-JP"/>
              </w:rPr>
            </w:pPr>
            <w:r>
              <w:rPr>
                <w:lang w:eastAsia="ja-JP"/>
              </w:rPr>
              <w:t>I</w:t>
            </w:r>
            <w:r w:rsidRPr="00DC7EC0">
              <w:rPr>
                <w:lang w:eastAsia="ja-JP"/>
              </w:rPr>
              <w:t>Cx</w:t>
            </w:r>
          </w:p>
        </w:tc>
        <w:tc>
          <w:tcPr>
            <w:tcW w:w="3491" w:type="pct"/>
            <w:tcBorders>
              <w:top w:val="single" w:sz="4" w:space="0" w:color="auto"/>
              <w:bottom w:val="single" w:sz="4" w:space="0" w:color="auto"/>
            </w:tcBorders>
          </w:tcPr>
          <w:p w14:paraId="313B0DB8" w14:textId="77777777" w:rsidR="001A4B9B" w:rsidRPr="00C2619B" w:rsidRDefault="00C30114" w:rsidP="00224C08">
            <w:pPr>
              <w:pStyle w:val="TableText"/>
              <w:rPr>
                <w:highlight w:val="yellow"/>
                <w:lang w:eastAsia="ja-JP"/>
              </w:rPr>
            </w:pPr>
            <w:r>
              <w:rPr>
                <w:lang w:eastAsia="ja-JP"/>
              </w:rPr>
              <w:t>T</w:t>
            </w:r>
            <w:r w:rsidRPr="00CF5FF4">
              <w:rPr>
                <w:lang w:eastAsia="ja-JP"/>
              </w:rPr>
              <w:t xml:space="preserve">he concentration of a substance in water or sediment that is estimated to produce an x% </w:t>
            </w:r>
            <w:r>
              <w:rPr>
                <w:lang w:eastAsia="ja-JP"/>
              </w:rPr>
              <w:t>inhi</w:t>
            </w:r>
            <w:r>
              <w:rPr>
                <w:lang w:eastAsia="ja-JP"/>
              </w:rPr>
              <w:t>bition</w:t>
            </w:r>
            <w:r w:rsidRPr="00CF5FF4">
              <w:rPr>
                <w:lang w:eastAsia="ja-JP"/>
              </w:rPr>
              <w:t xml:space="preserve"> in the response being measured </w:t>
            </w:r>
            <w:r>
              <w:rPr>
                <w:lang w:eastAsia="ja-JP"/>
              </w:rPr>
              <w:t>relative to the control response</w:t>
            </w:r>
            <w:r w:rsidRPr="00CF5FF4">
              <w:rPr>
                <w:lang w:eastAsia="ja-JP"/>
              </w:rPr>
              <w:t>, under specified conditions.</w:t>
            </w:r>
          </w:p>
        </w:tc>
      </w:tr>
      <w:tr w:rsidR="00231336" w14:paraId="10DA6567" w14:textId="77777777" w:rsidTr="00102A70">
        <w:trPr>
          <w:cantSplit/>
        </w:trPr>
        <w:tc>
          <w:tcPr>
            <w:tcW w:w="1509" w:type="pct"/>
            <w:tcBorders>
              <w:top w:val="single" w:sz="4" w:space="0" w:color="auto"/>
              <w:bottom w:val="single" w:sz="4" w:space="0" w:color="auto"/>
            </w:tcBorders>
          </w:tcPr>
          <w:p w14:paraId="67B2ABD6" w14:textId="77777777" w:rsidR="001303C0" w:rsidRPr="00DC7EC0" w:rsidRDefault="00C30114" w:rsidP="007336AC">
            <w:pPr>
              <w:pStyle w:val="TableText"/>
              <w:rPr>
                <w:lang w:eastAsia="ja-JP"/>
              </w:rPr>
            </w:pPr>
            <w:r w:rsidRPr="00DC7EC0">
              <w:rPr>
                <w:lang w:eastAsia="ja-JP"/>
              </w:rPr>
              <w:t>LC50 (median lethal concentration)</w:t>
            </w:r>
          </w:p>
        </w:tc>
        <w:tc>
          <w:tcPr>
            <w:tcW w:w="3491" w:type="pct"/>
            <w:tcBorders>
              <w:top w:val="single" w:sz="4" w:space="0" w:color="auto"/>
              <w:bottom w:val="single" w:sz="4" w:space="0" w:color="auto"/>
            </w:tcBorders>
          </w:tcPr>
          <w:p w14:paraId="4C771E83" w14:textId="77777777" w:rsidR="001303C0" w:rsidRPr="00DC7EC0" w:rsidRDefault="00C30114" w:rsidP="007336AC">
            <w:pPr>
              <w:pStyle w:val="TableText"/>
              <w:rPr>
                <w:lang w:eastAsia="ja-JP"/>
              </w:rPr>
            </w:pPr>
            <w:r>
              <w:rPr>
                <w:lang w:eastAsia="ja-JP"/>
              </w:rPr>
              <w:t>T</w:t>
            </w:r>
            <w:r w:rsidRPr="001D5187">
              <w:rPr>
                <w:lang w:eastAsia="ja-JP"/>
              </w:rPr>
              <w:t xml:space="preserve">he concentration of a substance in water or sediment that is estimated to be lethal to 50% of a group of test </w:t>
            </w:r>
            <w:r w:rsidRPr="001D5187">
              <w:rPr>
                <w:lang w:eastAsia="ja-JP"/>
              </w:rPr>
              <w:t>organisms, relative to the control response, under specified conditions.</w:t>
            </w:r>
          </w:p>
        </w:tc>
      </w:tr>
      <w:tr w:rsidR="00231336" w14:paraId="6B05AD7E" w14:textId="77777777" w:rsidTr="00102A70">
        <w:trPr>
          <w:cantSplit/>
        </w:trPr>
        <w:tc>
          <w:tcPr>
            <w:tcW w:w="1509" w:type="pct"/>
            <w:tcBorders>
              <w:top w:val="single" w:sz="4" w:space="0" w:color="auto"/>
              <w:bottom w:val="single" w:sz="4" w:space="0" w:color="auto"/>
            </w:tcBorders>
          </w:tcPr>
          <w:p w14:paraId="2570E3C8" w14:textId="77777777" w:rsidR="001303C0" w:rsidRPr="00DC7EC0" w:rsidRDefault="00C30114" w:rsidP="007336AC">
            <w:pPr>
              <w:pStyle w:val="TableText"/>
              <w:rPr>
                <w:lang w:eastAsia="ja-JP"/>
              </w:rPr>
            </w:pPr>
            <w:r w:rsidRPr="00DC7EC0">
              <w:rPr>
                <w:lang w:eastAsia="ja-JP"/>
              </w:rPr>
              <w:t>lowest observed effect concentration</w:t>
            </w:r>
            <w:r w:rsidR="001D5187" w:rsidRPr="00DC7EC0">
              <w:rPr>
                <w:lang w:eastAsia="ja-JP"/>
              </w:rPr>
              <w:t xml:space="preserve"> </w:t>
            </w:r>
            <w:r w:rsidR="001D5187">
              <w:rPr>
                <w:lang w:eastAsia="ja-JP"/>
              </w:rPr>
              <w:t>(</w:t>
            </w:r>
            <w:r w:rsidR="001D5187" w:rsidRPr="00DC7EC0">
              <w:rPr>
                <w:lang w:eastAsia="ja-JP"/>
              </w:rPr>
              <w:t>LOEC</w:t>
            </w:r>
            <w:r w:rsidR="001D5187">
              <w:rPr>
                <w:lang w:eastAsia="ja-JP"/>
              </w:rPr>
              <w:t>)</w:t>
            </w:r>
          </w:p>
        </w:tc>
        <w:tc>
          <w:tcPr>
            <w:tcW w:w="3491" w:type="pct"/>
            <w:tcBorders>
              <w:top w:val="single" w:sz="4" w:space="0" w:color="auto"/>
              <w:bottom w:val="single" w:sz="4" w:space="0" w:color="auto"/>
            </w:tcBorders>
          </w:tcPr>
          <w:p w14:paraId="76DF2E71" w14:textId="77777777" w:rsidR="001303C0" w:rsidRPr="00DC7EC0" w:rsidRDefault="00C30114" w:rsidP="001D5187">
            <w:pPr>
              <w:pStyle w:val="TableText"/>
              <w:rPr>
                <w:lang w:eastAsia="ja-JP"/>
              </w:rPr>
            </w:pPr>
            <w:r w:rsidRPr="00DC7EC0">
              <w:rPr>
                <w:lang w:eastAsia="ja-JP"/>
              </w:rPr>
              <w:t xml:space="preserve">The lowest concentration of a </w:t>
            </w:r>
            <w:r w:rsidR="001D5187">
              <w:rPr>
                <w:lang w:eastAsia="ja-JP"/>
              </w:rPr>
              <w:t>material</w:t>
            </w:r>
            <w:r w:rsidR="001D5187" w:rsidRPr="00DC7EC0">
              <w:rPr>
                <w:lang w:eastAsia="ja-JP"/>
              </w:rPr>
              <w:t xml:space="preserve"> </w:t>
            </w:r>
            <w:r w:rsidRPr="00DC7EC0">
              <w:rPr>
                <w:lang w:eastAsia="ja-JP"/>
              </w:rPr>
              <w:t xml:space="preserve">used in a toxicity test that has a statistically significant adverse effect on the exposed population of test organisms </w:t>
            </w:r>
            <w:r w:rsidR="001D5187">
              <w:rPr>
                <w:lang w:eastAsia="ja-JP"/>
              </w:rPr>
              <w:t xml:space="preserve">as </w:t>
            </w:r>
            <w:r w:rsidRPr="00DC7EC0">
              <w:rPr>
                <w:lang w:eastAsia="ja-JP"/>
              </w:rPr>
              <w:t xml:space="preserve">compared to the controls. </w:t>
            </w:r>
          </w:p>
        </w:tc>
      </w:tr>
      <w:tr w:rsidR="00231336" w14:paraId="700AFDEF" w14:textId="77777777" w:rsidTr="00102A70">
        <w:trPr>
          <w:cantSplit/>
        </w:trPr>
        <w:tc>
          <w:tcPr>
            <w:tcW w:w="1509" w:type="pct"/>
            <w:tcBorders>
              <w:top w:val="single" w:sz="4" w:space="0" w:color="auto"/>
              <w:bottom w:val="single" w:sz="4" w:space="0" w:color="auto"/>
            </w:tcBorders>
          </w:tcPr>
          <w:p w14:paraId="53DDB222" w14:textId="77777777" w:rsidR="00620280" w:rsidRPr="00DC7EC0" w:rsidRDefault="00C30114" w:rsidP="007336AC">
            <w:pPr>
              <w:pStyle w:val="TableText"/>
              <w:rPr>
                <w:lang w:eastAsia="ja-JP"/>
              </w:rPr>
            </w:pPr>
            <w:r w:rsidRPr="00DC7EC0">
              <w:rPr>
                <w:lang w:eastAsia="ja-JP"/>
              </w:rPr>
              <w:t>Macrophyte</w:t>
            </w:r>
          </w:p>
        </w:tc>
        <w:tc>
          <w:tcPr>
            <w:tcW w:w="3491" w:type="pct"/>
            <w:tcBorders>
              <w:top w:val="single" w:sz="4" w:space="0" w:color="auto"/>
              <w:bottom w:val="single" w:sz="4" w:space="0" w:color="auto"/>
            </w:tcBorders>
          </w:tcPr>
          <w:p w14:paraId="7B07A9D3" w14:textId="77777777" w:rsidR="00620280" w:rsidRPr="00DC7EC0" w:rsidRDefault="00C30114" w:rsidP="00620280">
            <w:pPr>
              <w:pStyle w:val="TableText"/>
            </w:pPr>
            <w:r w:rsidRPr="00DC7EC0">
              <w:t xml:space="preserve">A member of the macroscopic plant life of an area, especially of a body of water; large </w:t>
            </w:r>
            <w:r w:rsidRPr="00DC7EC0">
              <w:t>aquatic plant.</w:t>
            </w:r>
          </w:p>
        </w:tc>
      </w:tr>
      <w:tr w:rsidR="00231336" w14:paraId="02416F3D" w14:textId="77777777" w:rsidTr="00882A73">
        <w:trPr>
          <w:cantSplit/>
        </w:trPr>
        <w:tc>
          <w:tcPr>
            <w:tcW w:w="1509" w:type="pct"/>
            <w:tcBorders>
              <w:top w:val="single" w:sz="4" w:space="0" w:color="auto"/>
              <w:bottom w:val="single" w:sz="4" w:space="0" w:color="auto"/>
            </w:tcBorders>
          </w:tcPr>
          <w:p w14:paraId="70BCA472" w14:textId="77777777" w:rsidR="00BE48D7" w:rsidRDefault="00C30114" w:rsidP="00882A73">
            <w:pPr>
              <w:pStyle w:val="TableText"/>
              <w:rPr>
                <w:lang w:eastAsia="ja-JP"/>
              </w:rPr>
            </w:pPr>
            <w:r w:rsidRPr="00C24E89">
              <w:rPr>
                <w:lang w:eastAsia="ja-JP"/>
              </w:rPr>
              <w:t xml:space="preserve">no observed effect concentration </w:t>
            </w:r>
            <w:r>
              <w:rPr>
                <w:lang w:eastAsia="ja-JP"/>
              </w:rPr>
              <w:t>(</w:t>
            </w:r>
            <w:r w:rsidRPr="00C24E89">
              <w:rPr>
                <w:lang w:eastAsia="ja-JP"/>
              </w:rPr>
              <w:t>NOEC</w:t>
            </w:r>
            <w:r>
              <w:rPr>
                <w:lang w:eastAsia="ja-JP"/>
              </w:rPr>
              <w:t>)</w:t>
            </w:r>
          </w:p>
          <w:p w14:paraId="0FFD958A" w14:textId="77777777" w:rsidR="005A1C2E" w:rsidRDefault="00C30114" w:rsidP="00882A73">
            <w:pPr>
              <w:pStyle w:val="TableText"/>
              <w:rPr>
                <w:lang w:eastAsia="ja-JP"/>
              </w:rPr>
            </w:pPr>
            <w:r>
              <w:rPr>
                <w:lang w:eastAsia="ja-JP"/>
              </w:rPr>
              <w:t>or</w:t>
            </w:r>
          </w:p>
          <w:p w14:paraId="0E5E86CF" w14:textId="77777777" w:rsidR="005A1C2E" w:rsidRPr="00C24E89" w:rsidRDefault="00C30114" w:rsidP="00882A73">
            <w:pPr>
              <w:pStyle w:val="TableText"/>
              <w:rPr>
                <w:lang w:eastAsia="ja-JP"/>
              </w:rPr>
            </w:pPr>
            <w:r w:rsidRPr="00C24E89">
              <w:rPr>
                <w:lang w:eastAsia="ja-JP"/>
              </w:rPr>
              <w:t xml:space="preserve">no observed effect </w:t>
            </w:r>
            <w:r>
              <w:rPr>
                <w:lang w:eastAsia="ja-JP"/>
              </w:rPr>
              <w:t>level</w:t>
            </w:r>
            <w:r w:rsidRPr="00C24E89">
              <w:rPr>
                <w:lang w:eastAsia="ja-JP"/>
              </w:rPr>
              <w:t xml:space="preserve"> </w:t>
            </w:r>
            <w:r>
              <w:rPr>
                <w:lang w:eastAsia="ja-JP"/>
              </w:rPr>
              <w:t>(</w:t>
            </w:r>
            <w:r w:rsidRPr="00C24E89">
              <w:rPr>
                <w:lang w:eastAsia="ja-JP"/>
              </w:rPr>
              <w:t>NOE</w:t>
            </w:r>
            <w:r>
              <w:rPr>
                <w:lang w:eastAsia="ja-JP"/>
              </w:rPr>
              <w:t>L)</w:t>
            </w:r>
          </w:p>
        </w:tc>
        <w:tc>
          <w:tcPr>
            <w:tcW w:w="3491" w:type="pct"/>
            <w:tcBorders>
              <w:top w:val="single" w:sz="4" w:space="0" w:color="auto"/>
              <w:bottom w:val="single" w:sz="4" w:space="0" w:color="auto"/>
            </w:tcBorders>
          </w:tcPr>
          <w:p w14:paraId="5B66651A" w14:textId="77777777" w:rsidR="00BE48D7" w:rsidRPr="00C24E89" w:rsidRDefault="00C30114" w:rsidP="00882A73">
            <w:pPr>
              <w:pStyle w:val="TableText"/>
              <w:rPr>
                <w:lang w:eastAsia="ja-JP"/>
              </w:rPr>
            </w:pPr>
            <w:r>
              <w:rPr>
                <w:lang w:eastAsia="ja-JP"/>
              </w:rPr>
              <w:t>T</w:t>
            </w:r>
            <w:r w:rsidRPr="00FF17F3">
              <w:rPr>
                <w:lang w:eastAsia="ja-JP"/>
              </w:rPr>
              <w:t xml:space="preserve">he highest concentration of a material used in a toxicity test that has no statistically significant adverse effect on the exposed population of test </w:t>
            </w:r>
            <w:r w:rsidRPr="00FF17F3">
              <w:rPr>
                <w:lang w:eastAsia="ja-JP"/>
              </w:rPr>
              <w:t>organisms as compared with the controls.</w:t>
            </w:r>
          </w:p>
        </w:tc>
      </w:tr>
      <w:tr w:rsidR="00231336" w14:paraId="4B2C2931" w14:textId="77777777" w:rsidTr="00102A70">
        <w:trPr>
          <w:cantSplit/>
        </w:trPr>
        <w:tc>
          <w:tcPr>
            <w:tcW w:w="1509" w:type="pct"/>
            <w:tcBorders>
              <w:top w:val="single" w:sz="4" w:space="0" w:color="auto"/>
              <w:bottom w:val="single" w:sz="4" w:space="0" w:color="auto"/>
            </w:tcBorders>
            <w:vAlign w:val="center"/>
          </w:tcPr>
          <w:p w14:paraId="23553401" w14:textId="77777777" w:rsidR="00C24E89" w:rsidRPr="00C24E89" w:rsidRDefault="00C30114" w:rsidP="007336AC">
            <w:pPr>
              <w:pStyle w:val="TableText"/>
              <w:rPr>
                <w:lang w:eastAsia="ja-JP"/>
              </w:rPr>
            </w:pPr>
            <w:r>
              <w:rPr>
                <w:lang w:eastAsia="ja-JP"/>
              </w:rPr>
              <w:t>p</w:t>
            </w:r>
            <w:r w:rsidRPr="00C24E89">
              <w:rPr>
                <w:lang w:eastAsia="ja-JP"/>
              </w:rPr>
              <w:t>hototrophs</w:t>
            </w:r>
          </w:p>
        </w:tc>
        <w:tc>
          <w:tcPr>
            <w:tcW w:w="3491" w:type="pct"/>
            <w:tcBorders>
              <w:top w:val="single" w:sz="4" w:space="0" w:color="auto"/>
              <w:bottom w:val="single" w:sz="4" w:space="0" w:color="auto"/>
            </w:tcBorders>
          </w:tcPr>
          <w:p w14:paraId="16B8D0BA" w14:textId="77777777" w:rsidR="00C24E89" w:rsidRPr="00C24E89" w:rsidRDefault="00C30114" w:rsidP="007336AC">
            <w:pPr>
              <w:pStyle w:val="TableText"/>
              <w:rPr>
                <w:lang w:eastAsia="ja-JP"/>
              </w:rPr>
            </w:pPr>
            <w:r w:rsidRPr="00FF3A8E">
              <w:t xml:space="preserve">Organisms that photosynthesize as their main means of obtaining energy </w:t>
            </w:r>
            <w:proofErr w:type="gramStart"/>
            <w:r w:rsidRPr="00FF3A8E">
              <w:t>e.g.</w:t>
            </w:r>
            <w:proofErr w:type="gramEnd"/>
            <w:r w:rsidRPr="00FF3A8E">
              <w:t xml:space="preserve"> plants and algae.</w:t>
            </w:r>
          </w:p>
        </w:tc>
      </w:tr>
      <w:tr w:rsidR="00231336" w14:paraId="4AC0FB89" w14:textId="77777777" w:rsidTr="00102A70">
        <w:trPr>
          <w:cantSplit/>
        </w:trPr>
        <w:tc>
          <w:tcPr>
            <w:tcW w:w="1509" w:type="pct"/>
            <w:tcBorders>
              <w:top w:val="single" w:sz="4" w:space="0" w:color="auto"/>
              <w:bottom w:val="single" w:sz="4" w:space="0" w:color="auto"/>
            </w:tcBorders>
          </w:tcPr>
          <w:p w14:paraId="78350A6C" w14:textId="77777777" w:rsidR="00C24E89" w:rsidRPr="00C24E89" w:rsidRDefault="00C30114" w:rsidP="007336AC">
            <w:pPr>
              <w:pStyle w:val="TableText"/>
              <w:rPr>
                <w:lang w:eastAsia="ja-JP"/>
              </w:rPr>
            </w:pPr>
            <w:r w:rsidRPr="00C24E89">
              <w:rPr>
                <w:lang w:eastAsia="ja-JP"/>
              </w:rPr>
              <w:lastRenderedPageBreak/>
              <w:t>site-specific</w:t>
            </w:r>
            <w:r w:rsidR="00CF5FF4">
              <w:rPr>
                <w:lang w:eastAsia="ja-JP"/>
              </w:rPr>
              <w:t xml:space="preserve"> guideline value</w:t>
            </w:r>
          </w:p>
        </w:tc>
        <w:tc>
          <w:tcPr>
            <w:tcW w:w="3491" w:type="pct"/>
            <w:tcBorders>
              <w:top w:val="single" w:sz="4" w:space="0" w:color="auto"/>
              <w:bottom w:val="single" w:sz="4" w:space="0" w:color="auto"/>
            </w:tcBorders>
          </w:tcPr>
          <w:p w14:paraId="25DDD855" w14:textId="77777777" w:rsidR="00C24E89" w:rsidRPr="00C24E89" w:rsidRDefault="00C30114" w:rsidP="00CF5FF4">
            <w:pPr>
              <w:pStyle w:val="TableText"/>
              <w:rPr>
                <w:lang w:eastAsia="ja-JP"/>
              </w:rPr>
            </w:pPr>
            <w:r>
              <w:rPr>
                <w:lang w:eastAsia="ja-JP"/>
              </w:rPr>
              <w:t>A</w:t>
            </w:r>
            <w:r w:rsidRPr="00CF5FF4">
              <w:rPr>
                <w:lang w:eastAsia="ja-JP"/>
              </w:rPr>
              <w:t xml:space="preserve"> guideline value that is relevant to the specific location or conditions that are the focus of a given assessment or issue.</w:t>
            </w:r>
          </w:p>
        </w:tc>
      </w:tr>
      <w:tr w:rsidR="00231336" w14:paraId="14CA114A" w14:textId="77777777" w:rsidTr="00102A70">
        <w:trPr>
          <w:cantSplit/>
        </w:trPr>
        <w:tc>
          <w:tcPr>
            <w:tcW w:w="1509" w:type="pct"/>
            <w:tcBorders>
              <w:top w:val="single" w:sz="4" w:space="0" w:color="auto"/>
              <w:bottom w:val="single" w:sz="4" w:space="0" w:color="auto"/>
            </w:tcBorders>
          </w:tcPr>
          <w:p w14:paraId="687E9B9F" w14:textId="77777777" w:rsidR="00C24E89" w:rsidRPr="00C24E89" w:rsidRDefault="00C30114" w:rsidP="007336AC">
            <w:pPr>
              <w:pStyle w:val="TableText"/>
              <w:rPr>
                <w:lang w:eastAsia="ja-JP"/>
              </w:rPr>
            </w:pPr>
            <w:r w:rsidRPr="00C24E89">
              <w:rPr>
                <w:lang w:eastAsia="ja-JP"/>
              </w:rPr>
              <w:t>Species</w:t>
            </w:r>
            <w:r>
              <w:rPr>
                <w:lang w:eastAsia="ja-JP"/>
              </w:rPr>
              <w:t xml:space="preserve"> (biological)</w:t>
            </w:r>
          </w:p>
        </w:tc>
        <w:tc>
          <w:tcPr>
            <w:tcW w:w="3491" w:type="pct"/>
            <w:tcBorders>
              <w:top w:val="single" w:sz="4" w:space="0" w:color="auto"/>
              <w:bottom w:val="single" w:sz="4" w:space="0" w:color="auto"/>
            </w:tcBorders>
          </w:tcPr>
          <w:p w14:paraId="5C250F55" w14:textId="77777777" w:rsidR="00C24E89" w:rsidRPr="00C24E89" w:rsidRDefault="00C30114" w:rsidP="007336AC">
            <w:pPr>
              <w:pStyle w:val="TableText"/>
              <w:rPr>
                <w:lang w:eastAsia="ja-JP"/>
              </w:rPr>
            </w:pPr>
            <w:r w:rsidRPr="00C24E89">
              <w:rPr>
                <w:lang w:eastAsia="ja-JP"/>
              </w:rPr>
              <w:t>A group of organisms that resemble each other to a greater degree than members of other groups and that form a</w:t>
            </w:r>
            <w:r w:rsidRPr="00C24E89">
              <w:rPr>
                <w:lang w:eastAsia="ja-JP"/>
              </w:rPr>
              <w:t xml:space="preserve"> reproductively isolated group that will not produce viable offspring if bred with members of another group.</w:t>
            </w:r>
          </w:p>
        </w:tc>
      </w:tr>
      <w:tr w:rsidR="00231336" w14:paraId="057AD0AD" w14:textId="77777777" w:rsidTr="00102A70">
        <w:trPr>
          <w:cantSplit/>
        </w:trPr>
        <w:tc>
          <w:tcPr>
            <w:tcW w:w="1509" w:type="pct"/>
            <w:tcBorders>
              <w:top w:val="single" w:sz="4" w:space="0" w:color="auto"/>
              <w:bottom w:val="single" w:sz="4" w:space="0" w:color="auto"/>
            </w:tcBorders>
          </w:tcPr>
          <w:p w14:paraId="2705FC75" w14:textId="77777777" w:rsidR="00C24E89" w:rsidRPr="00C2619B" w:rsidRDefault="00C30114" w:rsidP="007336AC">
            <w:pPr>
              <w:pStyle w:val="TableText"/>
              <w:rPr>
                <w:highlight w:val="yellow"/>
                <w:lang w:eastAsia="ja-JP"/>
              </w:rPr>
            </w:pPr>
            <w:r w:rsidRPr="00C24E89">
              <w:rPr>
                <w:lang w:eastAsia="ja-JP"/>
              </w:rPr>
              <w:t xml:space="preserve">species sensitivity distribution (SSD) </w:t>
            </w:r>
          </w:p>
        </w:tc>
        <w:tc>
          <w:tcPr>
            <w:tcW w:w="3491" w:type="pct"/>
            <w:tcBorders>
              <w:top w:val="single" w:sz="4" w:space="0" w:color="auto"/>
              <w:bottom w:val="single" w:sz="4" w:space="0" w:color="auto"/>
            </w:tcBorders>
          </w:tcPr>
          <w:p w14:paraId="2BB2CD4D" w14:textId="77777777" w:rsidR="00C24E89" w:rsidRPr="00C2619B" w:rsidRDefault="00C30114" w:rsidP="007A0E37">
            <w:pPr>
              <w:pStyle w:val="TableText"/>
              <w:rPr>
                <w:highlight w:val="yellow"/>
                <w:lang w:eastAsia="ja-JP"/>
              </w:rPr>
            </w:pPr>
            <w:r>
              <w:rPr>
                <w:lang w:eastAsia="ja-JP"/>
              </w:rPr>
              <w:t>A</w:t>
            </w:r>
            <w:r w:rsidRPr="007A0E37">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 be determin</w:t>
            </w:r>
            <w:r w:rsidRPr="007A0E37">
              <w:rPr>
                <w:lang w:eastAsia="ja-JP"/>
              </w:rPr>
              <w:t>ed.</w:t>
            </w:r>
          </w:p>
        </w:tc>
      </w:tr>
      <w:tr w:rsidR="00231336" w14:paraId="173B4AD1" w14:textId="77777777" w:rsidTr="00102A70">
        <w:trPr>
          <w:cantSplit/>
        </w:trPr>
        <w:tc>
          <w:tcPr>
            <w:tcW w:w="1509" w:type="pct"/>
            <w:tcBorders>
              <w:top w:val="single" w:sz="4" w:space="0" w:color="auto"/>
              <w:bottom w:val="single" w:sz="4" w:space="0" w:color="auto"/>
            </w:tcBorders>
          </w:tcPr>
          <w:p w14:paraId="53A43E2F" w14:textId="77777777" w:rsidR="00C24E89" w:rsidRPr="00C24E89" w:rsidRDefault="00C30114" w:rsidP="007336AC">
            <w:pPr>
              <w:pStyle w:val="TableText"/>
              <w:rPr>
                <w:lang w:eastAsia="ja-JP"/>
              </w:rPr>
            </w:pPr>
            <w:r w:rsidRPr="00C24E89">
              <w:rPr>
                <w:lang w:eastAsia="ja-JP"/>
              </w:rPr>
              <w:t>toxicity</w:t>
            </w:r>
          </w:p>
        </w:tc>
        <w:tc>
          <w:tcPr>
            <w:tcW w:w="3491" w:type="pct"/>
            <w:tcBorders>
              <w:top w:val="single" w:sz="4" w:space="0" w:color="auto"/>
              <w:bottom w:val="single" w:sz="4" w:space="0" w:color="auto"/>
            </w:tcBorders>
          </w:tcPr>
          <w:p w14:paraId="5EF279E6" w14:textId="77777777" w:rsidR="00C24E89" w:rsidRPr="00C24E89" w:rsidRDefault="00C30114" w:rsidP="007336AC">
            <w:pPr>
              <w:pStyle w:val="TableText"/>
              <w:rPr>
                <w:lang w:eastAsia="ja-JP"/>
              </w:rPr>
            </w:pPr>
            <w:r w:rsidRPr="00C24E89">
              <w:rPr>
                <w:lang w:eastAsia="ja-JP"/>
              </w:rPr>
              <w:t>The inherent potential or capacity of a material to cause adverse effects in a living organism.</w:t>
            </w:r>
          </w:p>
        </w:tc>
      </w:tr>
      <w:tr w:rsidR="00231336" w14:paraId="1D29FF8A" w14:textId="77777777" w:rsidTr="00102A70">
        <w:trPr>
          <w:cantSplit/>
        </w:trPr>
        <w:tc>
          <w:tcPr>
            <w:tcW w:w="1509" w:type="pct"/>
            <w:tcBorders>
              <w:top w:val="single" w:sz="4" w:space="0" w:color="auto"/>
              <w:bottom w:val="single" w:sz="12" w:space="0" w:color="auto"/>
            </w:tcBorders>
          </w:tcPr>
          <w:p w14:paraId="58B1FABB" w14:textId="77777777" w:rsidR="00C24E89" w:rsidRPr="00C24E89" w:rsidRDefault="00C30114" w:rsidP="007336AC">
            <w:pPr>
              <w:pStyle w:val="TableText"/>
              <w:rPr>
                <w:lang w:eastAsia="ja-JP"/>
              </w:rPr>
            </w:pPr>
            <w:r w:rsidRPr="00C24E89">
              <w:rPr>
                <w:lang w:eastAsia="ja-JP"/>
              </w:rPr>
              <w:t>toxicity test</w:t>
            </w:r>
          </w:p>
        </w:tc>
        <w:tc>
          <w:tcPr>
            <w:tcW w:w="3491" w:type="pct"/>
            <w:tcBorders>
              <w:top w:val="single" w:sz="4" w:space="0" w:color="auto"/>
              <w:bottom w:val="single" w:sz="12" w:space="0" w:color="auto"/>
            </w:tcBorders>
          </w:tcPr>
          <w:p w14:paraId="3EECCAB9" w14:textId="77777777" w:rsidR="00C24E89" w:rsidRPr="00585FD8" w:rsidRDefault="00C30114" w:rsidP="007336AC">
            <w:pPr>
              <w:pStyle w:val="TableText"/>
              <w:rPr>
                <w:lang w:eastAsia="ja-JP"/>
              </w:rPr>
            </w:pPr>
            <w:r w:rsidRPr="00C24E89">
              <w:rPr>
                <w:lang w:eastAsia="ja-JP"/>
              </w:rPr>
              <w:t xml:space="preserve">The means by which the toxicity of a chemical or other test material is determined. A toxicity test is used to measure the degree of response produced by exposure to a </w:t>
            </w:r>
            <w:r w:rsidR="007A0E37" w:rsidRPr="007A0E37">
              <w:rPr>
                <w:lang w:eastAsia="ja-JP"/>
              </w:rPr>
              <w:t>specific level of stimulus (or concentration of chemical) for a specified test period.</w:t>
            </w:r>
          </w:p>
        </w:tc>
      </w:tr>
    </w:tbl>
    <w:p w14:paraId="6F3D0CEC" w14:textId="77777777" w:rsidR="00C2619B" w:rsidRDefault="00C2619B" w:rsidP="001303C0">
      <w:pPr>
        <w:rPr>
          <w:lang w:eastAsia="ja-JP"/>
        </w:rPr>
      </w:pPr>
    </w:p>
    <w:p w14:paraId="1425B7FE" w14:textId="77777777" w:rsidR="00C2619B" w:rsidRPr="00585FD8" w:rsidRDefault="00C2619B" w:rsidP="001303C0">
      <w:pPr>
        <w:rPr>
          <w:lang w:eastAsia="ja-JP"/>
        </w:rPr>
      </w:pPr>
    </w:p>
    <w:p w14:paraId="0610414D" w14:textId="77777777" w:rsidR="00606A7B" w:rsidRDefault="00606A7B" w:rsidP="001303C0">
      <w:pPr>
        <w:rPr>
          <w:lang w:eastAsia="ja-JP"/>
        </w:rPr>
        <w:sectPr w:rsidR="00606A7B" w:rsidSect="002D38F6">
          <w:headerReference w:type="default" r:id="rId21"/>
          <w:headerReference w:type="first" r:id="rId22"/>
          <w:footerReference w:type="first" r:id="rId23"/>
          <w:pgSz w:w="11906" w:h="16838"/>
          <w:pgMar w:top="1418" w:right="1418" w:bottom="1418" w:left="1418" w:header="567" w:footer="283" w:gutter="0"/>
          <w:pgNumType w:start="1"/>
          <w:cols w:space="708"/>
          <w:titlePg/>
          <w:docGrid w:linePitch="360"/>
        </w:sectPr>
      </w:pPr>
    </w:p>
    <w:p w14:paraId="38A5D907" w14:textId="77777777" w:rsidR="001C0D1C" w:rsidRDefault="00C30114" w:rsidP="00D41109">
      <w:pPr>
        <w:pStyle w:val="Heading2"/>
        <w:numPr>
          <w:ilvl w:val="0"/>
          <w:numId w:val="0"/>
        </w:numPr>
      </w:pPr>
      <w:bookmarkStart w:id="24" w:name="_Ref25408814"/>
      <w:bookmarkStart w:id="25" w:name="_Toc34400619"/>
      <w:bookmarkStart w:id="26" w:name="_Ref14610266"/>
      <w:r>
        <w:lastRenderedPageBreak/>
        <w:t xml:space="preserve">Appendix A: </w:t>
      </w:r>
      <w:r w:rsidRPr="00310CC5">
        <w:t>Toxicity data that passed the screening and quality assessment</w:t>
      </w:r>
      <w:r w:rsidR="00D41109">
        <w:t xml:space="preserve"> </w:t>
      </w:r>
      <w:r w:rsidR="00D41109" w:rsidRPr="00D41109">
        <w:t>and were used to derive the default guideline values</w:t>
      </w:r>
      <w:bookmarkEnd w:id="24"/>
      <w:bookmarkEnd w:id="25"/>
      <w:r w:rsidR="00D41109" w:rsidRPr="00D41109">
        <w:t xml:space="preserve"> </w:t>
      </w:r>
      <w:bookmarkEnd w:id="26"/>
    </w:p>
    <w:p w14:paraId="4D83A1E8" w14:textId="77777777" w:rsidR="00606A7B" w:rsidRDefault="00C30114" w:rsidP="00606A7B">
      <w:pPr>
        <w:pStyle w:val="Caption"/>
      </w:pPr>
      <w:bookmarkStart w:id="27" w:name="_Ref14610302"/>
      <w:bookmarkStart w:id="28" w:name="_Ref6322195"/>
      <w:bookmarkStart w:id="29" w:name="_Ref6322511"/>
      <w:bookmarkStart w:id="30" w:name="_Toc34400626"/>
      <w:r>
        <w:t xml:space="preserve">Table A </w:t>
      </w:r>
      <w:r w:rsidR="003176C6">
        <w:rPr>
          <w:noProof/>
        </w:rPr>
        <w:fldChar w:fldCharType="begin"/>
      </w:r>
      <w:r w:rsidR="003176C6">
        <w:rPr>
          <w:noProof/>
        </w:rPr>
        <w:instrText xml:space="preserve"> SEQ Table_A \* ARABIC </w:instrText>
      </w:r>
      <w:r w:rsidR="003176C6">
        <w:rPr>
          <w:noProof/>
        </w:rPr>
        <w:fldChar w:fldCharType="separate"/>
      </w:r>
      <w:r w:rsidR="003176C6">
        <w:rPr>
          <w:noProof/>
        </w:rPr>
        <w:t>1</w:t>
      </w:r>
      <w:r w:rsidR="003176C6">
        <w:rPr>
          <w:noProof/>
        </w:rPr>
        <w:fldChar w:fldCharType="end"/>
      </w:r>
      <w:bookmarkEnd w:id="27"/>
      <w:r>
        <w:t xml:space="preserve"> </w:t>
      </w:r>
      <w:r w:rsidR="00310CC5" w:rsidRPr="00310CC5">
        <w:t>Summary,</w:t>
      </w:r>
      <w:r w:rsidR="00F80778">
        <w:t xml:space="preserve"> chronic</w:t>
      </w:r>
      <w:r w:rsidR="00310CC5" w:rsidRPr="00310CC5">
        <w:t xml:space="preserve"> toxicity data that passed the screening and quality assurance processes, </w:t>
      </w:r>
      <w:r w:rsidR="00310CC5">
        <w:t>m</w:t>
      </w:r>
      <w:r w:rsidR="00310CC5" w:rsidRPr="00310CC5">
        <w:t>etsulfuron-methyl in freshwater</w:t>
      </w:r>
      <w:bookmarkEnd w:id="28"/>
      <w:bookmarkEnd w:id="29"/>
      <w:bookmarkEnd w:id="30"/>
    </w:p>
    <w:tbl>
      <w:tblPr>
        <w:tblStyle w:val="TableList1"/>
        <w:tblW w:w="5000" w:type="pct"/>
        <w:tblBorders>
          <w:top w:val="single" w:sz="4" w:space="0" w:color="auto"/>
          <w:left w:val="none" w:sz="0" w:space="0" w:color="auto"/>
          <w:bottom w:val="single" w:sz="4" w:space="0" w:color="auto"/>
          <w:right w:val="none" w:sz="0" w:space="0" w:color="auto"/>
          <w:insideH w:val="single" w:sz="4" w:space="0" w:color="auto"/>
        </w:tblBorders>
        <w:tblLayout w:type="fixed"/>
        <w:tblLook w:val="0400" w:firstRow="0" w:lastRow="0" w:firstColumn="0" w:lastColumn="0" w:noHBand="0" w:noVBand="1"/>
        <w:tblCaption w:val="Summary, chronic toxicity data that passed the screening and quality assurance processes, metsulfuron-methyl in freshwater"/>
        <w:tblDescription w:val="Table lists eight species with their taxonomic group and species name. The different life stages for each species are provided with the following test information (exposure duration, toxicity measure, test medium, temperature, pH, concentration and reference)."/>
      </w:tblPr>
      <w:tblGrid>
        <w:gridCol w:w="1505"/>
        <w:gridCol w:w="1395"/>
        <w:gridCol w:w="1257"/>
        <w:gridCol w:w="1117"/>
        <w:gridCol w:w="1672"/>
        <w:gridCol w:w="1397"/>
        <w:gridCol w:w="1395"/>
        <w:gridCol w:w="1120"/>
        <w:gridCol w:w="1397"/>
        <w:gridCol w:w="1747"/>
      </w:tblGrid>
      <w:tr w:rsidR="00C30114" w14:paraId="237C3131" w14:textId="77777777" w:rsidTr="00231336">
        <w:trPr>
          <w:cnfStyle w:val="000000010000" w:firstRow="0" w:lastRow="0" w:firstColumn="0" w:lastColumn="0" w:oddVBand="0" w:evenVBand="0" w:oddHBand="0" w:evenHBand="1" w:firstRowFirstColumn="0" w:firstRowLastColumn="0" w:lastRowFirstColumn="0" w:lastRowLastColumn="0"/>
          <w:cantSplit/>
          <w:tblHeader/>
        </w:trPr>
        <w:tc>
          <w:tcPr>
            <w:tcW w:w="537" w:type="pct"/>
            <w:tcBorders>
              <w:top w:val="single" w:sz="12" w:space="0" w:color="auto"/>
              <w:bottom w:val="single" w:sz="12" w:space="0" w:color="auto"/>
            </w:tcBorders>
            <w:shd w:val="clear" w:color="auto" w:fill="auto"/>
            <w:hideMark/>
          </w:tcPr>
          <w:p w14:paraId="4DE71C3E" w14:textId="77777777" w:rsidR="00F80778" w:rsidRPr="005E6976" w:rsidRDefault="00C30114" w:rsidP="009B4B30">
            <w:pPr>
              <w:pStyle w:val="TableHeading"/>
              <w:jc w:val="left"/>
              <w:rPr>
                <w:lang w:val="en-AU"/>
              </w:rPr>
            </w:pPr>
            <w:r>
              <w:rPr>
                <w:lang w:val="en-AU"/>
              </w:rPr>
              <w:t>Taxonomic group (Phylum)</w:t>
            </w:r>
          </w:p>
        </w:tc>
        <w:tc>
          <w:tcPr>
            <w:tcW w:w="498" w:type="pct"/>
            <w:tcBorders>
              <w:top w:val="single" w:sz="12" w:space="0" w:color="auto"/>
              <w:bottom w:val="single" w:sz="12" w:space="0" w:color="auto"/>
            </w:tcBorders>
            <w:shd w:val="clear" w:color="auto" w:fill="auto"/>
            <w:hideMark/>
          </w:tcPr>
          <w:p w14:paraId="363363FF" w14:textId="77777777" w:rsidR="00F80778" w:rsidRPr="005E6976" w:rsidRDefault="00C30114" w:rsidP="009B4B30">
            <w:pPr>
              <w:pStyle w:val="TableHeading"/>
              <w:jc w:val="left"/>
              <w:rPr>
                <w:lang w:val="en-AU"/>
              </w:rPr>
            </w:pPr>
            <w:r w:rsidRPr="005E6976">
              <w:rPr>
                <w:lang w:val="en-AU"/>
              </w:rPr>
              <w:t>Species</w:t>
            </w:r>
          </w:p>
        </w:tc>
        <w:tc>
          <w:tcPr>
            <w:tcW w:w="449" w:type="pct"/>
            <w:tcBorders>
              <w:top w:val="single" w:sz="12" w:space="0" w:color="auto"/>
              <w:bottom w:val="single" w:sz="12" w:space="0" w:color="auto"/>
            </w:tcBorders>
            <w:shd w:val="clear" w:color="auto" w:fill="auto"/>
            <w:hideMark/>
          </w:tcPr>
          <w:p w14:paraId="6C8FEF92" w14:textId="77777777" w:rsidR="00F80778" w:rsidRPr="005E6976" w:rsidRDefault="00C30114" w:rsidP="009B4B30">
            <w:pPr>
              <w:pStyle w:val="TableHeading"/>
              <w:jc w:val="left"/>
              <w:rPr>
                <w:lang w:val="en-AU"/>
              </w:rPr>
            </w:pPr>
            <w:r w:rsidRPr="005E6976">
              <w:rPr>
                <w:lang w:val="en-AU"/>
              </w:rPr>
              <w:t>Life stage</w:t>
            </w:r>
          </w:p>
        </w:tc>
        <w:tc>
          <w:tcPr>
            <w:tcW w:w="399" w:type="pct"/>
            <w:tcBorders>
              <w:top w:val="single" w:sz="12" w:space="0" w:color="auto"/>
              <w:bottom w:val="single" w:sz="12" w:space="0" w:color="auto"/>
            </w:tcBorders>
            <w:shd w:val="clear" w:color="auto" w:fill="auto"/>
            <w:hideMark/>
          </w:tcPr>
          <w:p w14:paraId="68E6AE3F" w14:textId="77777777" w:rsidR="00F80778" w:rsidRPr="005E6976" w:rsidRDefault="00C30114" w:rsidP="00CD5879">
            <w:pPr>
              <w:pStyle w:val="TableHeading"/>
              <w:jc w:val="left"/>
              <w:rPr>
                <w:lang w:val="en-AU"/>
              </w:rPr>
            </w:pPr>
            <w:r w:rsidRPr="005E6976">
              <w:rPr>
                <w:lang w:val="en-AU"/>
              </w:rPr>
              <w:t>Exposure duration</w:t>
            </w:r>
            <w:r>
              <w:rPr>
                <w:lang w:val="en-AU"/>
              </w:rPr>
              <w:t xml:space="preserve"> (d)</w:t>
            </w:r>
          </w:p>
        </w:tc>
        <w:tc>
          <w:tcPr>
            <w:tcW w:w="597" w:type="pct"/>
            <w:tcBorders>
              <w:top w:val="single" w:sz="12" w:space="0" w:color="auto"/>
              <w:bottom w:val="single" w:sz="12" w:space="0" w:color="auto"/>
            </w:tcBorders>
            <w:shd w:val="clear" w:color="auto" w:fill="auto"/>
            <w:hideMark/>
          </w:tcPr>
          <w:p w14:paraId="74B78A9D" w14:textId="77777777" w:rsidR="00F80778" w:rsidRPr="005E6976" w:rsidRDefault="00C30114" w:rsidP="00F07FE2">
            <w:pPr>
              <w:pStyle w:val="TableHeading"/>
              <w:jc w:val="left"/>
              <w:rPr>
                <w:lang w:val="en-AU"/>
              </w:rPr>
            </w:pPr>
            <w:r w:rsidRPr="005E6976">
              <w:rPr>
                <w:lang w:val="en-AU"/>
              </w:rPr>
              <w:t>Toxicity measure</w:t>
            </w:r>
            <w:r>
              <w:rPr>
                <w:lang w:val="en-AU"/>
              </w:rPr>
              <w:t xml:space="preserve"> (test e</w:t>
            </w:r>
            <w:r w:rsidRPr="005E6976">
              <w:rPr>
                <w:lang w:val="en-AU"/>
              </w:rPr>
              <w:t>ndpoint)</w:t>
            </w:r>
          </w:p>
        </w:tc>
        <w:tc>
          <w:tcPr>
            <w:tcW w:w="499" w:type="pct"/>
            <w:tcBorders>
              <w:top w:val="single" w:sz="12" w:space="0" w:color="auto"/>
              <w:bottom w:val="single" w:sz="12" w:space="0" w:color="auto"/>
            </w:tcBorders>
            <w:shd w:val="clear" w:color="auto" w:fill="auto"/>
            <w:hideMark/>
          </w:tcPr>
          <w:p w14:paraId="404DA02C" w14:textId="77777777" w:rsidR="00F80778" w:rsidRPr="005E6976" w:rsidRDefault="00C30114" w:rsidP="009B4B30">
            <w:pPr>
              <w:pStyle w:val="TableHeading"/>
              <w:jc w:val="left"/>
              <w:rPr>
                <w:lang w:val="en-AU"/>
              </w:rPr>
            </w:pPr>
            <w:r w:rsidRPr="005E6976">
              <w:rPr>
                <w:lang w:val="en-AU"/>
              </w:rPr>
              <w:t>Test medium</w:t>
            </w:r>
          </w:p>
        </w:tc>
        <w:tc>
          <w:tcPr>
            <w:tcW w:w="498" w:type="pct"/>
            <w:tcBorders>
              <w:top w:val="single" w:sz="12" w:space="0" w:color="auto"/>
              <w:bottom w:val="single" w:sz="12" w:space="0" w:color="auto"/>
            </w:tcBorders>
            <w:shd w:val="clear" w:color="auto" w:fill="auto"/>
            <w:hideMark/>
          </w:tcPr>
          <w:p w14:paraId="7D068AA0" w14:textId="77777777" w:rsidR="00F80778" w:rsidRPr="005E6976" w:rsidRDefault="00C30114" w:rsidP="009B4B30">
            <w:pPr>
              <w:pStyle w:val="TableHeading"/>
              <w:jc w:val="left"/>
              <w:rPr>
                <w:lang w:val="en-AU"/>
              </w:rPr>
            </w:pPr>
            <w:r w:rsidRPr="005E6976">
              <w:rPr>
                <w:lang w:val="en-AU"/>
              </w:rPr>
              <w:t>Temp</w:t>
            </w:r>
            <w:r>
              <w:rPr>
                <w:lang w:val="en-AU"/>
              </w:rPr>
              <w:t xml:space="preserve">erature </w:t>
            </w:r>
            <w:r w:rsidRPr="005E6976">
              <w:rPr>
                <w:lang w:val="en-AU"/>
              </w:rPr>
              <w:t>(</w:t>
            </w:r>
            <w:r w:rsidRPr="005E6976">
              <w:rPr>
                <w:rFonts w:ascii="Symbol" w:hAnsi="Symbol"/>
                <w:lang w:val="en-AU"/>
              </w:rPr>
              <w:sym w:font="Symbol" w:char="F0B0"/>
            </w:r>
            <w:r w:rsidRPr="005E6976">
              <w:rPr>
                <w:lang w:val="en-AU"/>
              </w:rPr>
              <w:t>C)</w:t>
            </w:r>
          </w:p>
        </w:tc>
        <w:tc>
          <w:tcPr>
            <w:tcW w:w="400" w:type="pct"/>
            <w:tcBorders>
              <w:top w:val="single" w:sz="12" w:space="0" w:color="auto"/>
              <w:bottom w:val="single" w:sz="12" w:space="0" w:color="auto"/>
            </w:tcBorders>
            <w:shd w:val="clear" w:color="auto" w:fill="auto"/>
            <w:hideMark/>
          </w:tcPr>
          <w:p w14:paraId="7F0129BC" w14:textId="77777777" w:rsidR="00F80778" w:rsidRPr="005E6976" w:rsidRDefault="00C30114" w:rsidP="009B4B30">
            <w:pPr>
              <w:pStyle w:val="TableHeading"/>
              <w:jc w:val="left"/>
              <w:rPr>
                <w:lang w:val="en-AU"/>
              </w:rPr>
            </w:pPr>
            <w:r w:rsidRPr="005E6976">
              <w:rPr>
                <w:lang w:val="en-AU"/>
              </w:rPr>
              <w:t>pH</w:t>
            </w:r>
          </w:p>
        </w:tc>
        <w:tc>
          <w:tcPr>
            <w:tcW w:w="499" w:type="pct"/>
            <w:tcBorders>
              <w:top w:val="single" w:sz="12" w:space="0" w:color="auto"/>
              <w:bottom w:val="single" w:sz="12" w:space="0" w:color="auto"/>
            </w:tcBorders>
            <w:shd w:val="clear" w:color="auto" w:fill="auto"/>
            <w:hideMark/>
          </w:tcPr>
          <w:p w14:paraId="6AAB1D30" w14:textId="77777777" w:rsidR="00F80778" w:rsidRPr="005E6976" w:rsidRDefault="00C30114" w:rsidP="009B4B30">
            <w:pPr>
              <w:pStyle w:val="TableHeading"/>
              <w:jc w:val="left"/>
              <w:rPr>
                <w:lang w:val="en-AU"/>
              </w:rPr>
            </w:pPr>
            <w:r w:rsidRPr="005E6976">
              <w:rPr>
                <w:lang w:val="en-AU"/>
              </w:rPr>
              <w:t>Concentration (µg/L)</w:t>
            </w:r>
          </w:p>
        </w:tc>
        <w:tc>
          <w:tcPr>
            <w:tcW w:w="624" w:type="pct"/>
            <w:tcBorders>
              <w:top w:val="single" w:sz="12" w:space="0" w:color="auto"/>
              <w:bottom w:val="single" w:sz="12" w:space="0" w:color="auto"/>
            </w:tcBorders>
            <w:shd w:val="clear" w:color="auto" w:fill="auto"/>
            <w:hideMark/>
          </w:tcPr>
          <w:p w14:paraId="418B9912" w14:textId="77777777" w:rsidR="00F80778" w:rsidRPr="005E6976" w:rsidRDefault="00C30114" w:rsidP="009B4B30">
            <w:pPr>
              <w:pStyle w:val="TableHeading"/>
              <w:jc w:val="left"/>
              <w:rPr>
                <w:lang w:val="en-AU"/>
              </w:rPr>
            </w:pPr>
            <w:r w:rsidRPr="005E6976">
              <w:rPr>
                <w:lang w:val="en-AU"/>
              </w:rPr>
              <w:t>Reference</w:t>
            </w:r>
          </w:p>
        </w:tc>
      </w:tr>
      <w:tr w:rsidR="00C30114" w14:paraId="64E32AE1"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537" w:type="pct"/>
            <w:tcBorders>
              <w:top w:val="single" w:sz="12" w:space="0" w:color="auto"/>
            </w:tcBorders>
            <w:shd w:val="clear" w:color="auto" w:fill="auto"/>
          </w:tcPr>
          <w:p w14:paraId="6E77DC9F" w14:textId="77777777" w:rsidR="00F80778" w:rsidRDefault="00C30114" w:rsidP="003303D2">
            <w:pPr>
              <w:pStyle w:val="TableText"/>
              <w:jc w:val="left"/>
            </w:pPr>
            <w:r>
              <w:t xml:space="preserve">Diatom </w:t>
            </w:r>
          </w:p>
          <w:p w14:paraId="0757A5F8" w14:textId="77777777" w:rsidR="00F80778" w:rsidRPr="005E6976" w:rsidRDefault="00C30114" w:rsidP="003303D2">
            <w:pPr>
              <w:pStyle w:val="TableText"/>
              <w:jc w:val="left"/>
            </w:pPr>
            <w:r>
              <w:t>(</w:t>
            </w:r>
            <w:r w:rsidRPr="00E96B61">
              <w:t>Bacillariophyta</w:t>
            </w:r>
            <w:r>
              <w:t>)</w:t>
            </w:r>
          </w:p>
        </w:tc>
        <w:tc>
          <w:tcPr>
            <w:tcW w:w="498" w:type="pct"/>
            <w:tcBorders>
              <w:top w:val="single" w:sz="12" w:space="0" w:color="auto"/>
            </w:tcBorders>
            <w:shd w:val="clear" w:color="auto" w:fill="auto"/>
          </w:tcPr>
          <w:p w14:paraId="4886C547" w14:textId="77777777" w:rsidR="00F80778" w:rsidRPr="00E96B61" w:rsidRDefault="00C30114" w:rsidP="00BA0803">
            <w:pPr>
              <w:pStyle w:val="TableText"/>
              <w:jc w:val="left"/>
            </w:pPr>
            <w:r w:rsidRPr="00A166B2">
              <w:rPr>
                <w:rStyle w:val="Emphasis"/>
              </w:rPr>
              <w:t>Navicula pelliculosa</w:t>
            </w:r>
          </w:p>
        </w:tc>
        <w:tc>
          <w:tcPr>
            <w:tcW w:w="449" w:type="pct"/>
            <w:tcBorders>
              <w:top w:val="single" w:sz="12" w:space="0" w:color="auto"/>
            </w:tcBorders>
            <w:shd w:val="clear" w:color="auto" w:fill="auto"/>
          </w:tcPr>
          <w:p w14:paraId="754B18BF" w14:textId="77777777" w:rsidR="00F80778" w:rsidRPr="00E96B61" w:rsidRDefault="00C30114" w:rsidP="009B4B30">
            <w:pPr>
              <w:pStyle w:val="TableText"/>
              <w:jc w:val="left"/>
            </w:pPr>
            <w:r>
              <w:t xml:space="preserve">Not </w:t>
            </w:r>
            <w:r w:rsidRPr="00E96B61">
              <w:t>stated</w:t>
            </w:r>
          </w:p>
        </w:tc>
        <w:tc>
          <w:tcPr>
            <w:tcW w:w="399" w:type="pct"/>
            <w:tcBorders>
              <w:top w:val="single" w:sz="12" w:space="0" w:color="auto"/>
            </w:tcBorders>
            <w:shd w:val="clear" w:color="auto" w:fill="auto"/>
          </w:tcPr>
          <w:p w14:paraId="5D013D10" w14:textId="77777777" w:rsidR="00F80778" w:rsidRPr="00E96B61" w:rsidRDefault="00C30114" w:rsidP="009B4B30">
            <w:pPr>
              <w:pStyle w:val="TableText"/>
              <w:jc w:val="left"/>
            </w:pPr>
            <w:r>
              <w:t>4</w:t>
            </w:r>
          </w:p>
        </w:tc>
        <w:tc>
          <w:tcPr>
            <w:tcW w:w="597" w:type="pct"/>
            <w:tcBorders>
              <w:top w:val="single" w:sz="12" w:space="0" w:color="auto"/>
            </w:tcBorders>
            <w:shd w:val="clear" w:color="auto" w:fill="auto"/>
          </w:tcPr>
          <w:p w14:paraId="13907B63" w14:textId="77777777" w:rsidR="00F80778" w:rsidRDefault="00C30114" w:rsidP="00102A70">
            <w:pPr>
              <w:pStyle w:val="TableText"/>
              <w:jc w:val="left"/>
            </w:pPr>
            <w:r>
              <w:t>NOEL</w:t>
            </w:r>
          </w:p>
          <w:p w14:paraId="28DA4003" w14:textId="77777777" w:rsidR="00F80778" w:rsidRPr="00E96B61" w:rsidRDefault="00C30114" w:rsidP="00102A70">
            <w:pPr>
              <w:pStyle w:val="TableText"/>
              <w:jc w:val="left"/>
            </w:pPr>
            <w:r>
              <w:t xml:space="preserve">(Biomass, growth rate, </w:t>
            </w:r>
            <w:r w:rsidRPr="00E96B61">
              <w:t>AUC</w:t>
            </w:r>
            <w:r>
              <w:t xml:space="preserve"> </w:t>
            </w:r>
            <w:r>
              <w:rPr>
                <w:rStyle w:val="Strong"/>
                <w:vertAlign w:val="superscript"/>
              </w:rPr>
              <w:t>b</w:t>
            </w:r>
            <w:r w:rsidRPr="00E96B61">
              <w:t>)</w:t>
            </w:r>
          </w:p>
        </w:tc>
        <w:tc>
          <w:tcPr>
            <w:tcW w:w="499" w:type="pct"/>
            <w:tcBorders>
              <w:top w:val="single" w:sz="12" w:space="0" w:color="auto"/>
            </w:tcBorders>
            <w:shd w:val="clear" w:color="auto" w:fill="auto"/>
          </w:tcPr>
          <w:p w14:paraId="57D66BA9" w14:textId="77777777" w:rsidR="00F80778" w:rsidRPr="00E96B61" w:rsidRDefault="00C30114" w:rsidP="009B4B30">
            <w:pPr>
              <w:pStyle w:val="TableText"/>
              <w:jc w:val="left"/>
            </w:pPr>
            <w:r w:rsidRPr="00E96B61">
              <w:t xml:space="preserve">ASTM Type I </w:t>
            </w:r>
            <w:r>
              <w:t>w</w:t>
            </w:r>
            <w:r w:rsidRPr="00E96B61">
              <w:t>ater</w:t>
            </w:r>
          </w:p>
        </w:tc>
        <w:tc>
          <w:tcPr>
            <w:tcW w:w="498" w:type="pct"/>
            <w:tcBorders>
              <w:top w:val="single" w:sz="12" w:space="0" w:color="auto"/>
            </w:tcBorders>
            <w:shd w:val="clear" w:color="auto" w:fill="auto"/>
          </w:tcPr>
          <w:p w14:paraId="57ED118D" w14:textId="77777777" w:rsidR="00F80778" w:rsidRPr="00E96B61" w:rsidRDefault="00C30114" w:rsidP="009B4B30">
            <w:pPr>
              <w:pStyle w:val="TableText"/>
              <w:jc w:val="left"/>
            </w:pPr>
            <w:r w:rsidRPr="00E96B61">
              <w:t>24 ± 2</w:t>
            </w:r>
          </w:p>
        </w:tc>
        <w:tc>
          <w:tcPr>
            <w:tcW w:w="400" w:type="pct"/>
            <w:tcBorders>
              <w:top w:val="single" w:sz="12" w:space="0" w:color="auto"/>
            </w:tcBorders>
            <w:shd w:val="clear" w:color="auto" w:fill="auto"/>
          </w:tcPr>
          <w:p w14:paraId="3CC74249" w14:textId="77777777" w:rsidR="00F80778" w:rsidRPr="00E96B61" w:rsidRDefault="00C30114" w:rsidP="009B4B30">
            <w:pPr>
              <w:pStyle w:val="TableText"/>
              <w:jc w:val="left"/>
            </w:pPr>
            <w:r w:rsidRPr="00E96B61">
              <w:t>7.5 ± 0.1</w:t>
            </w:r>
          </w:p>
        </w:tc>
        <w:tc>
          <w:tcPr>
            <w:tcW w:w="499" w:type="pct"/>
            <w:tcBorders>
              <w:top w:val="single" w:sz="12" w:space="0" w:color="auto"/>
            </w:tcBorders>
            <w:shd w:val="clear" w:color="auto" w:fill="auto"/>
          </w:tcPr>
          <w:p w14:paraId="4346D238" w14:textId="77777777" w:rsidR="00F80778" w:rsidRPr="00E96B61" w:rsidRDefault="00C30114" w:rsidP="008257E0">
            <w:pPr>
              <w:pStyle w:val="TableText"/>
              <w:jc w:val="left"/>
            </w:pPr>
            <w:r>
              <w:t>92 800</w:t>
            </w:r>
          </w:p>
        </w:tc>
        <w:tc>
          <w:tcPr>
            <w:tcW w:w="624" w:type="pct"/>
            <w:tcBorders>
              <w:top w:val="single" w:sz="12" w:space="0" w:color="auto"/>
            </w:tcBorders>
            <w:shd w:val="clear" w:color="auto" w:fill="auto"/>
          </w:tcPr>
          <w:p w14:paraId="0EFB972C" w14:textId="77777777" w:rsidR="00F80778" w:rsidRPr="00E96B61" w:rsidRDefault="00C30114" w:rsidP="009B4B30">
            <w:pPr>
              <w:pStyle w:val="TableText"/>
              <w:jc w:val="left"/>
            </w:pPr>
            <w:r>
              <w:t>USEPA (2015b)</w:t>
            </w:r>
          </w:p>
        </w:tc>
      </w:tr>
      <w:tr w:rsidR="00231336" w14:paraId="0311D1CF" w14:textId="77777777" w:rsidTr="00231336">
        <w:trPr>
          <w:cnfStyle w:val="000000010000" w:firstRow="0" w:lastRow="0" w:firstColumn="0" w:lastColumn="0" w:oddVBand="0" w:evenVBand="0" w:oddHBand="0" w:evenHBand="1" w:firstRowFirstColumn="0" w:firstRowLastColumn="0" w:lastRowFirstColumn="0" w:lastRowLastColumn="0"/>
          <w:cantSplit/>
        </w:trPr>
        <w:tc>
          <w:tcPr>
            <w:tcW w:w="3877" w:type="pct"/>
            <w:gridSpan w:val="8"/>
            <w:shd w:val="clear" w:color="auto" w:fill="auto"/>
          </w:tcPr>
          <w:p w14:paraId="79F0E6E8" w14:textId="77777777" w:rsidR="00374A29" w:rsidRPr="00E96B61" w:rsidRDefault="00C30114" w:rsidP="009B4B30">
            <w:pPr>
              <w:pStyle w:val="TableText"/>
              <w:jc w:val="left"/>
            </w:pPr>
            <w:r>
              <w:t>–</w:t>
            </w:r>
          </w:p>
        </w:tc>
        <w:tc>
          <w:tcPr>
            <w:tcW w:w="499" w:type="pct"/>
            <w:shd w:val="clear" w:color="auto" w:fill="auto"/>
          </w:tcPr>
          <w:p w14:paraId="29D74513" w14:textId="77777777" w:rsidR="00374A29" w:rsidRPr="00D60E9B" w:rsidRDefault="00C30114" w:rsidP="008257E0">
            <w:pPr>
              <w:pStyle w:val="TableText"/>
              <w:jc w:val="left"/>
              <w:rPr>
                <w:b/>
              </w:rPr>
            </w:pPr>
            <w:r>
              <w:rPr>
                <w:b/>
              </w:rPr>
              <w:t>92</w:t>
            </w:r>
            <w:r w:rsidR="008257E0">
              <w:rPr>
                <w:b/>
              </w:rPr>
              <w:t> </w:t>
            </w:r>
            <w:r>
              <w:rPr>
                <w:b/>
              </w:rPr>
              <w:t>800</w:t>
            </w:r>
          </w:p>
        </w:tc>
        <w:tc>
          <w:tcPr>
            <w:tcW w:w="624" w:type="pct"/>
            <w:shd w:val="clear" w:color="auto" w:fill="auto"/>
          </w:tcPr>
          <w:p w14:paraId="4281A7DE" w14:textId="77777777" w:rsidR="00374A29" w:rsidRPr="00077869" w:rsidRDefault="00C30114" w:rsidP="009B4B30">
            <w:pPr>
              <w:pStyle w:val="TableText"/>
              <w:jc w:val="left"/>
              <w:rPr>
                <w:b/>
              </w:rPr>
            </w:pPr>
            <w:r w:rsidRPr="00077869">
              <w:rPr>
                <w:b/>
              </w:rPr>
              <w:t>VALUE USED IN SSD</w:t>
            </w:r>
          </w:p>
        </w:tc>
      </w:tr>
      <w:tr w:rsidR="00C30114" w14:paraId="6A7D3EFA"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537" w:type="pct"/>
            <w:shd w:val="clear" w:color="auto" w:fill="auto"/>
          </w:tcPr>
          <w:p w14:paraId="5DAAA3BA" w14:textId="77777777" w:rsidR="00F80778" w:rsidRDefault="00C30114" w:rsidP="003303D2">
            <w:pPr>
              <w:pStyle w:val="TableText"/>
              <w:jc w:val="left"/>
            </w:pPr>
            <w:r>
              <w:t xml:space="preserve">Green alga </w:t>
            </w:r>
          </w:p>
          <w:p w14:paraId="7657F2E2" w14:textId="77777777" w:rsidR="00F80778" w:rsidRPr="00E96B61" w:rsidRDefault="00C30114" w:rsidP="003303D2">
            <w:pPr>
              <w:pStyle w:val="TableText"/>
              <w:jc w:val="left"/>
            </w:pPr>
            <w:r>
              <w:t>(</w:t>
            </w:r>
            <w:r w:rsidRPr="00E96B61">
              <w:t>Chlorophyta</w:t>
            </w:r>
            <w:r>
              <w:t>)</w:t>
            </w:r>
          </w:p>
        </w:tc>
        <w:tc>
          <w:tcPr>
            <w:tcW w:w="498" w:type="pct"/>
            <w:shd w:val="clear" w:color="auto" w:fill="auto"/>
          </w:tcPr>
          <w:p w14:paraId="270DB08E" w14:textId="77777777" w:rsidR="00F80778" w:rsidRPr="00E96B61" w:rsidRDefault="00C30114" w:rsidP="0050236F">
            <w:pPr>
              <w:pStyle w:val="TableText"/>
              <w:jc w:val="left"/>
            </w:pPr>
            <w:r w:rsidRPr="00A166B2">
              <w:rPr>
                <w:rStyle w:val="Emphasis"/>
              </w:rPr>
              <w:t>Selenastrum capricornutum</w:t>
            </w:r>
            <w:r>
              <w:rPr>
                <w:i/>
                <w:vertAlign w:val="superscript"/>
              </w:rPr>
              <w:t xml:space="preserve"> </w:t>
            </w:r>
            <w:r>
              <w:rPr>
                <w:rStyle w:val="Strong"/>
                <w:vertAlign w:val="superscript"/>
              </w:rPr>
              <w:t>a</w:t>
            </w:r>
          </w:p>
        </w:tc>
        <w:tc>
          <w:tcPr>
            <w:tcW w:w="449" w:type="pct"/>
            <w:shd w:val="clear" w:color="auto" w:fill="auto"/>
          </w:tcPr>
          <w:p w14:paraId="533AF327" w14:textId="77777777" w:rsidR="00F80778" w:rsidRPr="00E96B61" w:rsidRDefault="00C30114" w:rsidP="009B4B30">
            <w:pPr>
              <w:pStyle w:val="TableText"/>
              <w:jc w:val="left"/>
            </w:pPr>
            <w:r w:rsidRPr="00E96B61">
              <w:t>Not stated</w:t>
            </w:r>
          </w:p>
        </w:tc>
        <w:tc>
          <w:tcPr>
            <w:tcW w:w="399" w:type="pct"/>
            <w:shd w:val="clear" w:color="auto" w:fill="auto"/>
          </w:tcPr>
          <w:p w14:paraId="178F0885" w14:textId="77777777" w:rsidR="00F80778" w:rsidRPr="00E96B61" w:rsidRDefault="00C30114" w:rsidP="009B4B30">
            <w:pPr>
              <w:pStyle w:val="TableText"/>
              <w:jc w:val="left"/>
            </w:pPr>
            <w:r w:rsidRPr="00E96B61">
              <w:t>5</w:t>
            </w:r>
          </w:p>
        </w:tc>
        <w:tc>
          <w:tcPr>
            <w:tcW w:w="597" w:type="pct"/>
            <w:shd w:val="clear" w:color="auto" w:fill="auto"/>
          </w:tcPr>
          <w:p w14:paraId="654698A0" w14:textId="77777777" w:rsidR="00F80778" w:rsidRDefault="00C30114" w:rsidP="00102A70">
            <w:pPr>
              <w:pStyle w:val="TableText"/>
              <w:jc w:val="left"/>
            </w:pPr>
            <w:r>
              <w:t>NOEL</w:t>
            </w:r>
          </w:p>
          <w:p w14:paraId="605A28CF" w14:textId="77777777" w:rsidR="00F80778" w:rsidRPr="00E96B61" w:rsidRDefault="00C30114" w:rsidP="00102A70">
            <w:pPr>
              <w:pStyle w:val="TableText"/>
              <w:jc w:val="left"/>
            </w:pPr>
            <w:r>
              <w:t xml:space="preserve">(Biomass, growth rate, </w:t>
            </w:r>
            <w:r w:rsidRPr="00E96B61">
              <w:t>AUC</w:t>
            </w:r>
            <w:r>
              <w:t xml:space="preserve"> </w:t>
            </w:r>
            <w:r>
              <w:rPr>
                <w:rStyle w:val="Strong"/>
                <w:vertAlign w:val="superscript"/>
              </w:rPr>
              <w:t>b</w:t>
            </w:r>
            <w:r w:rsidRPr="00E96B61">
              <w:t>)</w:t>
            </w:r>
          </w:p>
        </w:tc>
        <w:tc>
          <w:tcPr>
            <w:tcW w:w="499" w:type="pct"/>
            <w:shd w:val="clear" w:color="auto" w:fill="auto"/>
          </w:tcPr>
          <w:p w14:paraId="7DDC829C" w14:textId="77777777" w:rsidR="00F80778" w:rsidRPr="00E96B61" w:rsidRDefault="00C30114" w:rsidP="009B4B30">
            <w:pPr>
              <w:pStyle w:val="TableText"/>
              <w:jc w:val="left"/>
            </w:pPr>
            <w:r w:rsidRPr="00E96B61">
              <w:t xml:space="preserve">ASTM Type I </w:t>
            </w:r>
            <w:r>
              <w:t>w</w:t>
            </w:r>
            <w:r w:rsidRPr="00E96B61">
              <w:t>ater</w:t>
            </w:r>
          </w:p>
        </w:tc>
        <w:tc>
          <w:tcPr>
            <w:tcW w:w="498" w:type="pct"/>
            <w:shd w:val="clear" w:color="auto" w:fill="auto"/>
          </w:tcPr>
          <w:p w14:paraId="0F8B8CB7" w14:textId="77777777" w:rsidR="00F80778" w:rsidRPr="00E96B61" w:rsidRDefault="00C30114" w:rsidP="009B4B30">
            <w:pPr>
              <w:pStyle w:val="TableText"/>
              <w:jc w:val="left"/>
            </w:pPr>
            <w:r w:rsidRPr="00E96B61">
              <w:t>24 ± 2</w:t>
            </w:r>
          </w:p>
        </w:tc>
        <w:tc>
          <w:tcPr>
            <w:tcW w:w="400" w:type="pct"/>
            <w:shd w:val="clear" w:color="auto" w:fill="auto"/>
          </w:tcPr>
          <w:p w14:paraId="77A20DA3" w14:textId="77777777" w:rsidR="00F80778" w:rsidRPr="00E96B61" w:rsidRDefault="00C30114" w:rsidP="009B4B30">
            <w:pPr>
              <w:pStyle w:val="TableText"/>
              <w:jc w:val="left"/>
            </w:pPr>
            <w:r w:rsidRPr="00E96B61">
              <w:t>7.5 ± 0.1</w:t>
            </w:r>
          </w:p>
        </w:tc>
        <w:tc>
          <w:tcPr>
            <w:tcW w:w="499" w:type="pct"/>
            <w:shd w:val="clear" w:color="auto" w:fill="auto"/>
          </w:tcPr>
          <w:p w14:paraId="1EF21928" w14:textId="77777777" w:rsidR="00F80778" w:rsidRDefault="00C30114" w:rsidP="009B4B30">
            <w:pPr>
              <w:pStyle w:val="TableText"/>
              <w:jc w:val="left"/>
            </w:pPr>
            <w:r>
              <w:t>10</w:t>
            </w:r>
          </w:p>
        </w:tc>
        <w:tc>
          <w:tcPr>
            <w:tcW w:w="624" w:type="pct"/>
            <w:shd w:val="clear" w:color="auto" w:fill="auto"/>
          </w:tcPr>
          <w:p w14:paraId="48BBDF95" w14:textId="77777777" w:rsidR="00F80778" w:rsidRDefault="00C30114" w:rsidP="009B4B30">
            <w:pPr>
              <w:pStyle w:val="TableText"/>
              <w:jc w:val="left"/>
            </w:pPr>
            <w:r>
              <w:t>USEPA (2015b)</w:t>
            </w:r>
          </w:p>
        </w:tc>
      </w:tr>
      <w:tr w:rsidR="00231336" w14:paraId="21BA632C" w14:textId="77777777" w:rsidTr="00231336">
        <w:trPr>
          <w:cnfStyle w:val="000000010000" w:firstRow="0" w:lastRow="0" w:firstColumn="0" w:lastColumn="0" w:oddVBand="0" w:evenVBand="0" w:oddHBand="0" w:evenHBand="1" w:firstRowFirstColumn="0" w:firstRowLastColumn="0" w:lastRowFirstColumn="0" w:lastRowLastColumn="0"/>
          <w:cantSplit/>
        </w:trPr>
        <w:tc>
          <w:tcPr>
            <w:tcW w:w="3877" w:type="pct"/>
            <w:gridSpan w:val="8"/>
            <w:shd w:val="clear" w:color="auto" w:fill="auto"/>
          </w:tcPr>
          <w:p w14:paraId="61E5F394" w14:textId="77777777" w:rsidR="00374A29" w:rsidRPr="00E96B61" w:rsidRDefault="00C30114" w:rsidP="009B4B30">
            <w:pPr>
              <w:pStyle w:val="TableText"/>
              <w:jc w:val="left"/>
            </w:pPr>
            <w:r>
              <w:t>–</w:t>
            </w:r>
          </w:p>
        </w:tc>
        <w:tc>
          <w:tcPr>
            <w:tcW w:w="499" w:type="pct"/>
            <w:shd w:val="clear" w:color="auto" w:fill="auto"/>
          </w:tcPr>
          <w:p w14:paraId="4DBE7125" w14:textId="77777777" w:rsidR="00374A29" w:rsidRDefault="00C30114" w:rsidP="009B4B30">
            <w:pPr>
              <w:pStyle w:val="TableText"/>
              <w:jc w:val="left"/>
              <w:rPr>
                <w:i/>
              </w:rPr>
            </w:pPr>
            <w:r>
              <w:rPr>
                <w:b/>
              </w:rPr>
              <w:t>10</w:t>
            </w:r>
          </w:p>
        </w:tc>
        <w:tc>
          <w:tcPr>
            <w:tcW w:w="624" w:type="pct"/>
            <w:shd w:val="clear" w:color="auto" w:fill="auto"/>
          </w:tcPr>
          <w:p w14:paraId="1E07865D" w14:textId="77777777" w:rsidR="00374A29" w:rsidRPr="00077869" w:rsidRDefault="00C30114" w:rsidP="009B4B30">
            <w:pPr>
              <w:pStyle w:val="TableText"/>
              <w:jc w:val="left"/>
            </w:pPr>
            <w:r w:rsidRPr="00077869">
              <w:rPr>
                <w:b/>
              </w:rPr>
              <w:t>VALUE USED IN SSD</w:t>
            </w:r>
          </w:p>
        </w:tc>
      </w:tr>
      <w:tr w:rsidR="00C30114" w14:paraId="51CAB242"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537" w:type="pct"/>
            <w:shd w:val="clear" w:color="auto" w:fill="auto"/>
          </w:tcPr>
          <w:p w14:paraId="067B4A1B" w14:textId="77777777" w:rsidR="00F80778" w:rsidRDefault="00C30114" w:rsidP="003303D2">
            <w:pPr>
              <w:pStyle w:val="TableText"/>
              <w:jc w:val="left"/>
            </w:pPr>
            <w:r>
              <w:t xml:space="preserve">Fish </w:t>
            </w:r>
          </w:p>
          <w:p w14:paraId="42D6AD59" w14:textId="77777777" w:rsidR="00F80778" w:rsidRPr="00E96B61" w:rsidRDefault="00C30114" w:rsidP="003303D2">
            <w:pPr>
              <w:pStyle w:val="TableText"/>
              <w:jc w:val="left"/>
            </w:pPr>
            <w:r>
              <w:t>(</w:t>
            </w:r>
            <w:r w:rsidRPr="00E96B61">
              <w:t>Chordata</w:t>
            </w:r>
            <w:r>
              <w:t>)</w:t>
            </w:r>
          </w:p>
        </w:tc>
        <w:tc>
          <w:tcPr>
            <w:tcW w:w="498" w:type="pct"/>
            <w:shd w:val="clear" w:color="auto" w:fill="auto"/>
          </w:tcPr>
          <w:p w14:paraId="40C50A5F" w14:textId="77777777" w:rsidR="00F80778" w:rsidRPr="00E96B61" w:rsidRDefault="00C30114" w:rsidP="00BA0803">
            <w:pPr>
              <w:pStyle w:val="TableText"/>
              <w:jc w:val="left"/>
            </w:pPr>
            <w:r w:rsidRPr="00A166B2">
              <w:rPr>
                <w:rStyle w:val="Emphasis"/>
              </w:rPr>
              <w:t>Oncorhynchus mykiss</w:t>
            </w:r>
          </w:p>
        </w:tc>
        <w:tc>
          <w:tcPr>
            <w:tcW w:w="449" w:type="pct"/>
            <w:shd w:val="clear" w:color="auto" w:fill="auto"/>
          </w:tcPr>
          <w:p w14:paraId="622BAC96" w14:textId="77777777" w:rsidR="00F80778" w:rsidRPr="00E96B61" w:rsidRDefault="00C30114" w:rsidP="009B4B30">
            <w:pPr>
              <w:pStyle w:val="TableText"/>
              <w:jc w:val="left"/>
            </w:pPr>
            <w:r w:rsidRPr="00E96B61">
              <w:t>E</w:t>
            </w:r>
            <w:r>
              <w:t>a</w:t>
            </w:r>
            <w:r w:rsidRPr="00E96B61">
              <w:t>rly</w:t>
            </w:r>
            <w:r>
              <w:t xml:space="preserve"> li</w:t>
            </w:r>
            <w:r w:rsidRPr="00E96B61">
              <w:t>f</w:t>
            </w:r>
            <w:r>
              <w:t>e</w:t>
            </w:r>
          </w:p>
        </w:tc>
        <w:tc>
          <w:tcPr>
            <w:tcW w:w="399" w:type="pct"/>
            <w:shd w:val="clear" w:color="auto" w:fill="auto"/>
          </w:tcPr>
          <w:p w14:paraId="4088DAAC" w14:textId="77777777" w:rsidR="00F80778" w:rsidRPr="00E96B61" w:rsidRDefault="00C30114" w:rsidP="009B4B30">
            <w:pPr>
              <w:pStyle w:val="TableText"/>
              <w:jc w:val="left"/>
            </w:pPr>
            <w:r w:rsidRPr="00E96B61">
              <w:t>90</w:t>
            </w:r>
          </w:p>
        </w:tc>
        <w:tc>
          <w:tcPr>
            <w:tcW w:w="597" w:type="pct"/>
            <w:shd w:val="clear" w:color="auto" w:fill="auto"/>
          </w:tcPr>
          <w:p w14:paraId="5D39CCB4" w14:textId="77777777" w:rsidR="00F80778" w:rsidRDefault="00C30114" w:rsidP="009B4B30">
            <w:pPr>
              <w:pStyle w:val="TableText"/>
              <w:jc w:val="left"/>
            </w:pPr>
            <w:r>
              <w:t>NOEL</w:t>
            </w:r>
          </w:p>
          <w:p w14:paraId="0D6EF587" w14:textId="77777777" w:rsidR="00F80778" w:rsidRPr="00E96B61" w:rsidRDefault="00C30114" w:rsidP="009B4B30">
            <w:pPr>
              <w:pStyle w:val="TableText"/>
              <w:jc w:val="left"/>
            </w:pPr>
            <w:r w:rsidRPr="00E96B61">
              <w:t>(Mortality)</w:t>
            </w:r>
          </w:p>
        </w:tc>
        <w:tc>
          <w:tcPr>
            <w:tcW w:w="499" w:type="pct"/>
            <w:shd w:val="clear" w:color="auto" w:fill="auto"/>
          </w:tcPr>
          <w:p w14:paraId="74CDF13D" w14:textId="77777777" w:rsidR="00F80778" w:rsidRPr="00E96B61" w:rsidRDefault="00C30114" w:rsidP="009B4B30">
            <w:pPr>
              <w:pStyle w:val="TableText"/>
              <w:jc w:val="left"/>
            </w:pPr>
            <w:r w:rsidRPr="00E96B61">
              <w:t xml:space="preserve">Dilution </w:t>
            </w:r>
            <w:r>
              <w:t>w</w:t>
            </w:r>
            <w:r w:rsidRPr="00E96B61">
              <w:t>ater</w:t>
            </w:r>
          </w:p>
        </w:tc>
        <w:tc>
          <w:tcPr>
            <w:tcW w:w="498" w:type="pct"/>
            <w:shd w:val="clear" w:color="auto" w:fill="auto"/>
          </w:tcPr>
          <w:p w14:paraId="1BACB004" w14:textId="77777777" w:rsidR="00F80778" w:rsidRPr="00E96B61" w:rsidRDefault="00C30114" w:rsidP="009B4B30">
            <w:pPr>
              <w:pStyle w:val="TableText"/>
              <w:jc w:val="left"/>
            </w:pPr>
            <w:r w:rsidRPr="00E96B61">
              <w:t>12 ± 2</w:t>
            </w:r>
          </w:p>
        </w:tc>
        <w:tc>
          <w:tcPr>
            <w:tcW w:w="400" w:type="pct"/>
            <w:shd w:val="clear" w:color="auto" w:fill="auto"/>
          </w:tcPr>
          <w:p w14:paraId="4AE950DC" w14:textId="77777777" w:rsidR="00F80778" w:rsidRPr="00E96B61" w:rsidRDefault="00C30114" w:rsidP="009B4B30">
            <w:pPr>
              <w:pStyle w:val="TableText"/>
              <w:jc w:val="left"/>
            </w:pPr>
            <w:r>
              <w:t xml:space="preserve">Not </w:t>
            </w:r>
            <w:r w:rsidRPr="00E96B61">
              <w:t>stated</w:t>
            </w:r>
          </w:p>
        </w:tc>
        <w:tc>
          <w:tcPr>
            <w:tcW w:w="499" w:type="pct"/>
            <w:shd w:val="clear" w:color="auto" w:fill="auto"/>
          </w:tcPr>
          <w:p w14:paraId="73CFE5BB" w14:textId="77777777" w:rsidR="00F80778" w:rsidRPr="00E96B61" w:rsidRDefault="00C30114" w:rsidP="008257E0">
            <w:pPr>
              <w:pStyle w:val="TableText"/>
              <w:jc w:val="left"/>
            </w:pPr>
            <w:r>
              <w:t>4 5</w:t>
            </w:r>
            <w:r w:rsidRPr="00E600B5">
              <w:t>00</w:t>
            </w:r>
          </w:p>
        </w:tc>
        <w:tc>
          <w:tcPr>
            <w:tcW w:w="624" w:type="pct"/>
            <w:shd w:val="clear" w:color="auto" w:fill="auto"/>
          </w:tcPr>
          <w:p w14:paraId="09AD20A9" w14:textId="77777777" w:rsidR="00F80778" w:rsidRPr="00E96B61" w:rsidRDefault="00C30114" w:rsidP="009B4B30">
            <w:pPr>
              <w:pStyle w:val="TableText"/>
              <w:jc w:val="left"/>
            </w:pPr>
            <w:r>
              <w:t>USEPA (2015b)</w:t>
            </w:r>
          </w:p>
        </w:tc>
      </w:tr>
      <w:tr w:rsidR="00231336" w14:paraId="12CA23D9" w14:textId="77777777" w:rsidTr="00231336">
        <w:trPr>
          <w:cnfStyle w:val="000000010000" w:firstRow="0" w:lastRow="0" w:firstColumn="0" w:lastColumn="0" w:oddVBand="0" w:evenVBand="0" w:oddHBand="0" w:evenHBand="1" w:firstRowFirstColumn="0" w:firstRowLastColumn="0" w:lastRowFirstColumn="0" w:lastRowLastColumn="0"/>
          <w:cantSplit/>
        </w:trPr>
        <w:tc>
          <w:tcPr>
            <w:tcW w:w="3877" w:type="pct"/>
            <w:gridSpan w:val="8"/>
            <w:shd w:val="clear" w:color="auto" w:fill="auto"/>
          </w:tcPr>
          <w:p w14:paraId="68257706" w14:textId="77777777" w:rsidR="00374A29" w:rsidRPr="00E96B61" w:rsidRDefault="00C30114" w:rsidP="009B4B30">
            <w:pPr>
              <w:pStyle w:val="TableText"/>
              <w:jc w:val="left"/>
            </w:pPr>
            <w:r>
              <w:t>–</w:t>
            </w:r>
          </w:p>
        </w:tc>
        <w:tc>
          <w:tcPr>
            <w:tcW w:w="499" w:type="pct"/>
            <w:shd w:val="clear" w:color="auto" w:fill="auto"/>
          </w:tcPr>
          <w:p w14:paraId="00541459" w14:textId="77777777" w:rsidR="00374A29" w:rsidRDefault="00C30114" w:rsidP="009B4B30">
            <w:pPr>
              <w:pStyle w:val="TableText"/>
              <w:jc w:val="left"/>
              <w:rPr>
                <w:i/>
              </w:rPr>
            </w:pPr>
            <w:r>
              <w:rPr>
                <w:b/>
              </w:rPr>
              <w:t>4 500</w:t>
            </w:r>
          </w:p>
        </w:tc>
        <w:tc>
          <w:tcPr>
            <w:tcW w:w="624" w:type="pct"/>
            <w:shd w:val="clear" w:color="auto" w:fill="auto"/>
          </w:tcPr>
          <w:p w14:paraId="349D54C7" w14:textId="77777777" w:rsidR="00374A29" w:rsidRPr="00077869" w:rsidRDefault="00C30114" w:rsidP="009B4B30">
            <w:pPr>
              <w:pStyle w:val="TableText"/>
              <w:jc w:val="left"/>
            </w:pPr>
            <w:r w:rsidRPr="00077869">
              <w:rPr>
                <w:b/>
              </w:rPr>
              <w:t>VALUE USED IN SSD</w:t>
            </w:r>
          </w:p>
        </w:tc>
      </w:tr>
      <w:tr w:rsidR="00C30114" w14:paraId="3E7573E0"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537" w:type="pct"/>
            <w:shd w:val="clear" w:color="auto" w:fill="auto"/>
          </w:tcPr>
          <w:p w14:paraId="6FCDFD9E" w14:textId="77777777" w:rsidR="00F80778" w:rsidRDefault="00C30114" w:rsidP="003303D2">
            <w:pPr>
              <w:pStyle w:val="TableText"/>
              <w:jc w:val="left"/>
            </w:pPr>
            <w:r>
              <w:t xml:space="preserve">Blue–green alga </w:t>
            </w:r>
          </w:p>
          <w:p w14:paraId="4C8782AB" w14:textId="77777777" w:rsidR="00F80778" w:rsidRPr="00E96B61" w:rsidRDefault="00C30114" w:rsidP="003303D2">
            <w:pPr>
              <w:pStyle w:val="TableText"/>
              <w:jc w:val="left"/>
            </w:pPr>
            <w:r>
              <w:t>(</w:t>
            </w:r>
            <w:r w:rsidRPr="00E96B61">
              <w:t>Cyanobacteria</w:t>
            </w:r>
            <w:r>
              <w:t>)</w:t>
            </w:r>
          </w:p>
        </w:tc>
        <w:tc>
          <w:tcPr>
            <w:tcW w:w="498" w:type="pct"/>
            <w:shd w:val="clear" w:color="auto" w:fill="auto"/>
          </w:tcPr>
          <w:p w14:paraId="05ACC619" w14:textId="77777777" w:rsidR="00F80778" w:rsidRPr="00E96B61" w:rsidRDefault="00C30114" w:rsidP="00BA0803">
            <w:pPr>
              <w:pStyle w:val="TableText"/>
              <w:jc w:val="left"/>
            </w:pPr>
            <w:r>
              <w:rPr>
                <w:rStyle w:val="Emphasis"/>
              </w:rPr>
              <w:t>Anabaena flos</w:t>
            </w:r>
            <w:r w:rsidRPr="00A166B2">
              <w:rPr>
                <w:rStyle w:val="Emphasis"/>
              </w:rPr>
              <w:t>aquae</w:t>
            </w:r>
          </w:p>
        </w:tc>
        <w:tc>
          <w:tcPr>
            <w:tcW w:w="449" w:type="pct"/>
            <w:shd w:val="clear" w:color="auto" w:fill="auto"/>
          </w:tcPr>
          <w:p w14:paraId="503856BE" w14:textId="77777777" w:rsidR="00F80778" w:rsidRPr="00E96B61" w:rsidRDefault="00C30114" w:rsidP="009B4B30">
            <w:pPr>
              <w:pStyle w:val="TableText"/>
              <w:jc w:val="left"/>
            </w:pPr>
            <w:r w:rsidRPr="00E96B61">
              <w:t>Not stated</w:t>
            </w:r>
          </w:p>
        </w:tc>
        <w:tc>
          <w:tcPr>
            <w:tcW w:w="399" w:type="pct"/>
            <w:shd w:val="clear" w:color="auto" w:fill="auto"/>
          </w:tcPr>
          <w:p w14:paraId="1C649091" w14:textId="77777777" w:rsidR="00F80778" w:rsidRPr="00E96B61" w:rsidRDefault="00C30114" w:rsidP="009B4B30">
            <w:pPr>
              <w:pStyle w:val="TableText"/>
              <w:jc w:val="left"/>
            </w:pPr>
            <w:r w:rsidRPr="00E96B61">
              <w:t>5</w:t>
            </w:r>
          </w:p>
        </w:tc>
        <w:tc>
          <w:tcPr>
            <w:tcW w:w="597" w:type="pct"/>
            <w:shd w:val="clear" w:color="auto" w:fill="auto"/>
          </w:tcPr>
          <w:p w14:paraId="590AC079" w14:textId="77777777" w:rsidR="00F80778" w:rsidRDefault="00C30114" w:rsidP="00102A70">
            <w:pPr>
              <w:pStyle w:val="TableText"/>
              <w:jc w:val="left"/>
            </w:pPr>
            <w:r>
              <w:t>NOEL</w:t>
            </w:r>
          </w:p>
          <w:p w14:paraId="0C86CBD6" w14:textId="77777777" w:rsidR="00F80778" w:rsidRPr="00E96B61" w:rsidRDefault="00C30114" w:rsidP="00102A70">
            <w:pPr>
              <w:pStyle w:val="TableText"/>
              <w:jc w:val="left"/>
            </w:pPr>
            <w:r>
              <w:t xml:space="preserve">(Biomass, growth rate, </w:t>
            </w:r>
            <w:r w:rsidRPr="00E96B61">
              <w:t>AUC</w:t>
            </w:r>
            <w:r>
              <w:t xml:space="preserve"> </w:t>
            </w:r>
            <w:r>
              <w:rPr>
                <w:rStyle w:val="Strong"/>
                <w:vertAlign w:val="superscript"/>
              </w:rPr>
              <w:t>b</w:t>
            </w:r>
            <w:r w:rsidRPr="00E96B61">
              <w:t>)</w:t>
            </w:r>
          </w:p>
        </w:tc>
        <w:tc>
          <w:tcPr>
            <w:tcW w:w="499" w:type="pct"/>
            <w:shd w:val="clear" w:color="auto" w:fill="auto"/>
          </w:tcPr>
          <w:p w14:paraId="2A46771B" w14:textId="77777777" w:rsidR="00F80778" w:rsidRPr="00E96B61" w:rsidRDefault="00C30114" w:rsidP="009B4B30">
            <w:pPr>
              <w:pStyle w:val="TableText"/>
              <w:jc w:val="left"/>
            </w:pPr>
            <w:r w:rsidRPr="00E96B61">
              <w:t xml:space="preserve">ASTM Type I </w:t>
            </w:r>
            <w:r>
              <w:t>w</w:t>
            </w:r>
            <w:r w:rsidRPr="00E96B61">
              <w:t>ater</w:t>
            </w:r>
          </w:p>
        </w:tc>
        <w:tc>
          <w:tcPr>
            <w:tcW w:w="498" w:type="pct"/>
            <w:shd w:val="clear" w:color="auto" w:fill="auto"/>
          </w:tcPr>
          <w:p w14:paraId="6C5420A5" w14:textId="77777777" w:rsidR="00F80778" w:rsidRPr="00E96B61" w:rsidRDefault="00C30114" w:rsidP="009B4B30">
            <w:pPr>
              <w:pStyle w:val="TableText"/>
              <w:jc w:val="left"/>
            </w:pPr>
            <w:r w:rsidRPr="00E96B61">
              <w:t>24 ± 2</w:t>
            </w:r>
          </w:p>
        </w:tc>
        <w:tc>
          <w:tcPr>
            <w:tcW w:w="400" w:type="pct"/>
            <w:shd w:val="clear" w:color="auto" w:fill="auto"/>
          </w:tcPr>
          <w:p w14:paraId="727551F9" w14:textId="77777777" w:rsidR="00F80778" w:rsidRPr="00E96B61" w:rsidRDefault="00C30114" w:rsidP="009B4B30">
            <w:pPr>
              <w:pStyle w:val="TableText"/>
              <w:jc w:val="left"/>
            </w:pPr>
            <w:r w:rsidRPr="00E96B61">
              <w:t>7.5 ± 0.1</w:t>
            </w:r>
          </w:p>
        </w:tc>
        <w:tc>
          <w:tcPr>
            <w:tcW w:w="499" w:type="pct"/>
            <w:shd w:val="clear" w:color="auto" w:fill="auto"/>
          </w:tcPr>
          <w:p w14:paraId="19D6BD5D" w14:textId="77777777" w:rsidR="00F80778" w:rsidRPr="00E96B61" w:rsidRDefault="00C30114" w:rsidP="009B4B30">
            <w:pPr>
              <w:pStyle w:val="TableText"/>
              <w:jc w:val="left"/>
            </w:pPr>
            <w:r>
              <w:t>95.4</w:t>
            </w:r>
          </w:p>
        </w:tc>
        <w:tc>
          <w:tcPr>
            <w:tcW w:w="624" w:type="pct"/>
            <w:shd w:val="clear" w:color="auto" w:fill="auto"/>
          </w:tcPr>
          <w:p w14:paraId="5E2B4EA8" w14:textId="77777777" w:rsidR="00F80778" w:rsidRPr="00E96B61" w:rsidRDefault="00C30114" w:rsidP="009B4B30">
            <w:pPr>
              <w:pStyle w:val="TableText"/>
              <w:jc w:val="left"/>
            </w:pPr>
            <w:r>
              <w:t>USEPA (2015b)</w:t>
            </w:r>
          </w:p>
        </w:tc>
      </w:tr>
      <w:tr w:rsidR="00231336" w14:paraId="3CC5200A" w14:textId="77777777" w:rsidTr="00231336">
        <w:trPr>
          <w:cnfStyle w:val="000000010000" w:firstRow="0" w:lastRow="0" w:firstColumn="0" w:lastColumn="0" w:oddVBand="0" w:evenVBand="0" w:oddHBand="0" w:evenHBand="1" w:firstRowFirstColumn="0" w:firstRowLastColumn="0" w:lastRowFirstColumn="0" w:lastRowLastColumn="0"/>
          <w:cantSplit/>
        </w:trPr>
        <w:tc>
          <w:tcPr>
            <w:tcW w:w="3877" w:type="pct"/>
            <w:gridSpan w:val="8"/>
            <w:shd w:val="clear" w:color="auto" w:fill="auto"/>
          </w:tcPr>
          <w:p w14:paraId="3AEB20FB" w14:textId="77777777" w:rsidR="00374A29" w:rsidRPr="00E96B61" w:rsidRDefault="00C30114" w:rsidP="009B4B30">
            <w:pPr>
              <w:pStyle w:val="TableText"/>
              <w:jc w:val="left"/>
            </w:pPr>
            <w:r>
              <w:t>–</w:t>
            </w:r>
          </w:p>
        </w:tc>
        <w:tc>
          <w:tcPr>
            <w:tcW w:w="499" w:type="pct"/>
            <w:shd w:val="clear" w:color="auto" w:fill="auto"/>
          </w:tcPr>
          <w:p w14:paraId="695D1765" w14:textId="77777777" w:rsidR="00374A29" w:rsidRPr="00FD247B" w:rsidRDefault="00C30114" w:rsidP="009B4B30">
            <w:pPr>
              <w:pStyle w:val="TableText"/>
              <w:jc w:val="left"/>
              <w:rPr>
                <w:b/>
              </w:rPr>
            </w:pPr>
            <w:r>
              <w:rPr>
                <w:b/>
              </w:rPr>
              <w:t>95.4</w:t>
            </w:r>
          </w:p>
        </w:tc>
        <w:tc>
          <w:tcPr>
            <w:tcW w:w="624" w:type="pct"/>
            <w:shd w:val="clear" w:color="auto" w:fill="auto"/>
          </w:tcPr>
          <w:p w14:paraId="33577235" w14:textId="77777777" w:rsidR="00374A29" w:rsidRPr="00077869" w:rsidRDefault="00C30114" w:rsidP="009B4B30">
            <w:pPr>
              <w:pStyle w:val="TableText"/>
              <w:jc w:val="left"/>
              <w:rPr>
                <w:b/>
              </w:rPr>
            </w:pPr>
            <w:r w:rsidRPr="00077869">
              <w:rPr>
                <w:b/>
              </w:rPr>
              <w:t>VALUE USED IN SSD</w:t>
            </w:r>
          </w:p>
        </w:tc>
      </w:tr>
      <w:tr w:rsidR="00C30114" w14:paraId="6D8DC41C"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537" w:type="pct"/>
            <w:shd w:val="clear" w:color="auto" w:fill="auto"/>
          </w:tcPr>
          <w:p w14:paraId="716AEFBA" w14:textId="77777777" w:rsidR="00F80778" w:rsidRDefault="00C30114" w:rsidP="003303D2">
            <w:pPr>
              <w:pStyle w:val="TableText"/>
              <w:jc w:val="left"/>
            </w:pPr>
            <w:r>
              <w:lastRenderedPageBreak/>
              <w:t xml:space="preserve">Macrophyte </w:t>
            </w:r>
          </w:p>
          <w:p w14:paraId="2E7BB971" w14:textId="77777777" w:rsidR="00F80778" w:rsidRPr="00E96B61" w:rsidRDefault="00C30114" w:rsidP="003303D2">
            <w:pPr>
              <w:pStyle w:val="TableText"/>
              <w:jc w:val="left"/>
            </w:pPr>
            <w:r>
              <w:t>(</w:t>
            </w:r>
            <w:r w:rsidRPr="00E96B61">
              <w:t>Tracheophyta</w:t>
            </w:r>
            <w:r>
              <w:t>)</w:t>
            </w:r>
          </w:p>
        </w:tc>
        <w:tc>
          <w:tcPr>
            <w:tcW w:w="498" w:type="pct"/>
            <w:shd w:val="clear" w:color="auto" w:fill="auto"/>
          </w:tcPr>
          <w:p w14:paraId="5B85FC17" w14:textId="77777777" w:rsidR="00F80778" w:rsidRPr="00E96B61" w:rsidRDefault="00C30114" w:rsidP="00BA0803">
            <w:pPr>
              <w:pStyle w:val="TableText"/>
              <w:jc w:val="left"/>
            </w:pPr>
            <w:r w:rsidRPr="00A166B2">
              <w:rPr>
                <w:rStyle w:val="Emphasis"/>
              </w:rPr>
              <w:t>Elodea canadensis</w:t>
            </w:r>
          </w:p>
        </w:tc>
        <w:tc>
          <w:tcPr>
            <w:tcW w:w="449" w:type="pct"/>
            <w:shd w:val="clear" w:color="auto" w:fill="auto"/>
          </w:tcPr>
          <w:p w14:paraId="3E24E89B" w14:textId="77777777" w:rsidR="00F80778" w:rsidRPr="00E96B61" w:rsidRDefault="00C30114" w:rsidP="009B4B30">
            <w:pPr>
              <w:pStyle w:val="TableText"/>
              <w:jc w:val="left"/>
            </w:pPr>
            <w:r w:rsidRPr="00D10849">
              <w:t>Apical shoot (19.5</w:t>
            </w:r>
            <w:r>
              <w:t> </w:t>
            </w:r>
            <w:r w:rsidRPr="00D10849">
              <w:t>cm)</w:t>
            </w:r>
          </w:p>
        </w:tc>
        <w:tc>
          <w:tcPr>
            <w:tcW w:w="399" w:type="pct"/>
            <w:shd w:val="clear" w:color="auto" w:fill="auto"/>
          </w:tcPr>
          <w:p w14:paraId="28FC4B84" w14:textId="77777777" w:rsidR="00F80778" w:rsidRPr="00E96B61" w:rsidRDefault="00C30114" w:rsidP="009B4B30">
            <w:pPr>
              <w:pStyle w:val="TableText"/>
              <w:jc w:val="left"/>
            </w:pPr>
            <w:r w:rsidRPr="00E96B61">
              <w:t>8</w:t>
            </w:r>
          </w:p>
        </w:tc>
        <w:tc>
          <w:tcPr>
            <w:tcW w:w="597" w:type="pct"/>
            <w:shd w:val="clear" w:color="auto" w:fill="auto"/>
          </w:tcPr>
          <w:p w14:paraId="71E9CC2F" w14:textId="77777777" w:rsidR="00F80778" w:rsidRDefault="00C30114" w:rsidP="00102A70">
            <w:pPr>
              <w:pStyle w:val="TableText"/>
              <w:jc w:val="left"/>
            </w:pPr>
            <w:r w:rsidRPr="00E96B61">
              <w:t>NOEC</w:t>
            </w:r>
          </w:p>
          <w:p w14:paraId="314B20FC" w14:textId="77777777" w:rsidR="00F80778" w:rsidRPr="00E96B61" w:rsidRDefault="00C30114" w:rsidP="00102A70">
            <w:pPr>
              <w:pStyle w:val="TableText"/>
              <w:jc w:val="left"/>
            </w:pPr>
            <w:r w:rsidRPr="00E96B61">
              <w:t xml:space="preserve">(Shoot </w:t>
            </w:r>
            <w:r>
              <w:t>l</w:t>
            </w:r>
            <w:r w:rsidRPr="00E96B61">
              <w:t>ength)</w:t>
            </w:r>
          </w:p>
        </w:tc>
        <w:tc>
          <w:tcPr>
            <w:tcW w:w="499" w:type="pct"/>
            <w:shd w:val="clear" w:color="auto" w:fill="auto"/>
          </w:tcPr>
          <w:p w14:paraId="2A3D2B68" w14:textId="77777777" w:rsidR="00F80778" w:rsidRPr="00E96B61" w:rsidRDefault="00C30114" w:rsidP="009B4B30">
            <w:pPr>
              <w:pStyle w:val="TableText"/>
              <w:jc w:val="left"/>
            </w:pPr>
            <w:r w:rsidRPr="00E96B61">
              <w:t xml:space="preserve">Filtered </w:t>
            </w:r>
            <w:r>
              <w:t>f</w:t>
            </w:r>
            <w:r w:rsidRPr="00E96B61">
              <w:t>reshwater</w:t>
            </w:r>
          </w:p>
        </w:tc>
        <w:tc>
          <w:tcPr>
            <w:tcW w:w="498" w:type="pct"/>
            <w:shd w:val="clear" w:color="auto" w:fill="auto"/>
          </w:tcPr>
          <w:p w14:paraId="07B6EFAE" w14:textId="77777777" w:rsidR="00F80778" w:rsidRPr="00E96B61" w:rsidRDefault="00C30114" w:rsidP="009B4B30">
            <w:pPr>
              <w:pStyle w:val="TableText"/>
              <w:jc w:val="left"/>
            </w:pPr>
            <w:r w:rsidRPr="00E96B61">
              <w:t>22 ± 2</w:t>
            </w:r>
          </w:p>
        </w:tc>
        <w:tc>
          <w:tcPr>
            <w:tcW w:w="400" w:type="pct"/>
            <w:shd w:val="clear" w:color="auto" w:fill="auto"/>
          </w:tcPr>
          <w:p w14:paraId="101590D9" w14:textId="77777777" w:rsidR="00F80778" w:rsidRPr="00E96B61" w:rsidRDefault="00C30114" w:rsidP="009B4B30">
            <w:pPr>
              <w:pStyle w:val="TableText"/>
              <w:jc w:val="left"/>
            </w:pPr>
            <w:r>
              <w:t xml:space="preserve">Not </w:t>
            </w:r>
            <w:r w:rsidRPr="00E96B61">
              <w:t>stated</w:t>
            </w:r>
          </w:p>
        </w:tc>
        <w:tc>
          <w:tcPr>
            <w:tcW w:w="499" w:type="pct"/>
            <w:shd w:val="clear" w:color="auto" w:fill="auto"/>
          </w:tcPr>
          <w:p w14:paraId="266295DF" w14:textId="77777777" w:rsidR="00F80778" w:rsidRDefault="00C30114" w:rsidP="009B4B30">
            <w:pPr>
              <w:pStyle w:val="TableText"/>
              <w:jc w:val="left"/>
            </w:pPr>
            <w:r w:rsidRPr="00E96B61">
              <w:t>0.054</w:t>
            </w:r>
          </w:p>
        </w:tc>
        <w:tc>
          <w:tcPr>
            <w:tcW w:w="624" w:type="pct"/>
            <w:shd w:val="clear" w:color="auto" w:fill="auto"/>
          </w:tcPr>
          <w:p w14:paraId="2F1C58F7" w14:textId="77777777" w:rsidR="00F80778" w:rsidRDefault="00C30114" w:rsidP="009B4B30">
            <w:pPr>
              <w:pStyle w:val="TableText"/>
              <w:jc w:val="left"/>
            </w:pPr>
            <w:r w:rsidRPr="00E96B61">
              <w:t>Wendt-Rasch et al</w:t>
            </w:r>
            <w:r>
              <w:t>.</w:t>
            </w:r>
            <w:r w:rsidRPr="00E96B61">
              <w:t xml:space="preserve"> (2003)</w:t>
            </w:r>
          </w:p>
        </w:tc>
      </w:tr>
      <w:tr w:rsidR="00231336" w14:paraId="3332ADAE" w14:textId="77777777" w:rsidTr="00231336">
        <w:trPr>
          <w:cnfStyle w:val="000000010000" w:firstRow="0" w:lastRow="0" w:firstColumn="0" w:lastColumn="0" w:oddVBand="0" w:evenVBand="0" w:oddHBand="0" w:evenHBand="1" w:firstRowFirstColumn="0" w:firstRowLastColumn="0" w:lastRowFirstColumn="0" w:lastRowLastColumn="0"/>
          <w:cantSplit/>
        </w:trPr>
        <w:tc>
          <w:tcPr>
            <w:tcW w:w="3877" w:type="pct"/>
            <w:gridSpan w:val="8"/>
            <w:shd w:val="clear" w:color="auto" w:fill="auto"/>
          </w:tcPr>
          <w:p w14:paraId="72A951D7" w14:textId="77777777" w:rsidR="00374A29" w:rsidRPr="00E96B61" w:rsidRDefault="00C30114" w:rsidP="009B4B30">
            <w:pPr>
              <w:pStyle w:val="TableText"/>
              <w:jc w:val="left"/>
            </w:pPr>
            <w:r>
              <w:t>–</w:t>
            </w:r>
          </w:p>
        </w:tc>
        <w:tc>
          <w:tcPr>
            <w:tcW w:w="499" w:type="pct"/>
            <w:shd w:val="clear" w:color="auto" w:fill="auto"/>
          </w:tcPr>
          <w:p w14:paraId="64B5A60E" w14:textId="77777777" w:rsidR="00374A29" w:rsidRPr="00E600B5" w:rsidRDefault="00C30114" w:rsidP="009B4B30">
            <w:pPr>
              <w:pStyle w:val="TableText"/>
              <w:jc w:val="left"/>
              <w:rPr>
                <w:i/>
              </w:rPr>
            </w:pPr>
            <w:r>
              <w:rPr>
                <w:b/>
              </w:rPr>
              <w:t>0.054</w:t>
            </w:r>
          </w:p>
        </w:tc>
        <w:tc>
          <w:tcPr>
            <w:tcW w:w="624" w:type="pct"/>
            <w:shd w:val="clear" w:color="auto" w:fill="auto"/>
          </w:tcPr>
          <w:p w14:paraId="27B05828" w14:textId="77777777" w:rsidR="00374A29" w:rsidRPr="00470885" w:rsidRDefault="00C30114" w:rsidP="009B4B30">
            <w:pPr>
              <w:pStyle w:val="TableText"/>
              <w:jc w:val="left"/>
            </w:pPr>
            <w:r w:rsidRPr="00470885">
              <w:rPr>
                <w:b/>
              </w:rPr>
              <w:t>VALUE USED IN SSD</w:t>
            </w:r>
          </w:p>
        </w:tc>
      </w:tr>
      <w:tr w:rsidR="00C30114" w14:paraId="5951D83A"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537" w:type="pct"/>
            <w:vMerge w:val="restart"/>
            <w:shd w:val="clear" w:color="auto" w:fill="auto"/>
          </w:tcPr>
          <w:p w14:paraId="3A3DBA10" w14:textId="77777777" w:rsidR="00F80778" w:rsidRDefault="00C30114" w:rsidP="003303D2">
            <w:pPr>
              <w:pStyle w:val="TableText"/>
              <w:jc w:val="left"/>
            </w:pPr>
            <w:r>
              <w:t>Macrophyte</w:t>
            </w:r>
            <w:r w:rsidRPr="00E96B61">
              <w:t xml:space="preserve"> </w:t>
            </w:r>
          </w:p>
          <w:p w14:paraId="6D17C716" w14:textId="77777777" w:rsidR="00F80778" w:rsidRPr="00E96B61" w:rsidRDefault="00C30114" w:rsidP="003303D2">
            <w:pPr>
              <w:pStyle w:val="TableText"/>
              <w:jc w:val="left"/>
            </w:pPr>
            <w:r>
              <w:t>(</w:t>
            </w:r>
            <w:r w:rsidRPr="00E96B61">
              <w:t>Tracheophyta</w:t>
            </w:r>
            <w:r>
              <w:t>)</w:t>
            </w:r>
          </w:p>
        </w:tc>
        <w:tc>
          <w:tcPr>
            <w:tcW w:w="498" w:type="pct"/>
            <w:vMerge w:val="restart"/>
            <w:shd w:val="clear" w:color="auto" w:fill="auto"/>
          </w:tcPr>
          <w:p w14:paraId="443D7793" w14:textId="77777777" w:rsidR="00F80778" w:rsidRPr="00E96B61" w:rsidRDefault="00C30114" w:rsidP="00782C58">
            <w:pPr>
              <w:pStyle w:val="TableText"/>
              <w:jc w:val="left"/>
            </w:pPr>
            <w:r w:rsidRPr="00A166B2">
              <w:rPr>
                <w:rStyle w:val="Emphasis"/>
              </w:rPr>
              <w:t>Lemna gibba</w:t>
            </w:r>
          </w:p>
        </w:tc>
        <w:tc>
          <w:tcPr>
            <w:tcW w:w="449" w:type="pct"/>
            <w:shd w:val="clear" w:color="auto" w:fill="auto"/>
          </w:tcPr>
          <w:p w14:paraId="0521217E" w14:textId="77777777" w:rsidR="00F80778" w:rsidRPr="00E96B61" w:rsidRDefault="00C30114" w:rsidP="009B4B30">
            <w:pPr>
              <w:pStyle w:val="TableText"/>
              <w:jc w:val="left"/>
            </w:pPr>
            <w:r w:rsidRPr="00E96B61">
              <w:t>Not stated</w:t>
            </w:r>
          </w:p>
        </w:tc>
        <w:tc>
          <w:tcPr>
            <w:tcW w:w="399" w:type="pct"/>
            <w:shd w:val="clear" w:color="auto" w:fill="auto"/>
          </w:tcPr>
          <w:p w14:paraId="630E7F24" w14:textId="77777777" w:rsidR="00F80778" w:rsidRPr="00E96B61" w:rsidRDefault="00C30114" w:rsidP="009B4B30">
            <w:pPr>
              <w:pStyle w:val="TableText"/>
              <w:jc w:val="left"/>
            </w:pPr>
            <w:r w:rsidRPr="00E96B61">
              <w:t>7</w:t>
            </w:r>
          </w:p>
        </w:tc>
        <w:tc>
          <w:tcPr>
            <w:tcW w:w="597" w:type="pct"/>
            <w:shd w:val="clear" w:color="auto" w:fill="auto"/>
          </w:tcPr>
          <w:p w14:paraId="3E3073E6" w14:textId="77777777" w:rsidR="00F80778" w:rsidRDefault="00C30114" w:rsidP="009B4B30">
            <w:pPr>
              <w:pStyle w:val="TableText"/>
              <w:jc w:val="left"/>
            </w:pPr>
            <w:r w:rsidRPr="00E96B61">
              <w:t>EC10</w:t>
            </w:r>
          </w:p>
          <w:p w14:paraId="63DB2701" w14:textId="77777777" w:rsidR="00F80778" w:rsidRPr="00E96B61" w:rsidRDefault="00C30114" w:rsidP="009B4B30">
            <w:pPr>
              <w:pStyle w:val="TableText"/>
              <w:jc w:val="left"/>
            </w:pPr>
            <w:r w:rsidRPr="00E96B61">
              <w:t xml:space="preserve">(Frond </w:t>
            </w:r>
            <w:r>
              <w:t>c</w:t>
            </w:r>
            <w:r w:rsidRPr="00E96B61">
              <w:t>ount)</w:t>
            </w:r>
          </w:p>
        </w:tc>
        <w:tc>
          <w:tcPr>
            <w:tcW w:w="499" w:type="pct"/>
            <w:shd w:val="clear" w:color="auto" w:fill="auto"/>
          </w:tcPr>
          <w:p w14:paraId="69743324" w14:textId="77777777" w:rsidR="00F80778" w:rsidRPr="00E96B61" w:rsidRDefault="00C30114" w:rsidP="009B4B30">
            <w:pPr>
              <w:pStyle w:val="TableText"/>
              <w:jc w:val="left"/>
            </w:pPr>
            <w:r>
              <w:t xml:space="preserve">20 </w:t>
            </w:r>
            <w:r>
              <w:rPr>
                <w:rFonts w:ascii="Calibri" w:hAnsi="Calibri"/>
              </w:rPr>
              <w:t>×</w:t>
            </w:r>
            <w:r>
              <w:t xml:space="preserve"> AAP medium</w:t>
            </w:r>
          </w:p>
        </w:tc>
        <w:tc>
          <w:tcPr>
            <w:tcW w:w="498" w:type="pct"/>
            <w:shd w:val="clear" w:color="auto" w:fill="auto"/>
          </w:tcPr>
          <w:p w14:paraId="29DAEDDB" w14:textId="77777777" w:rsidR="00F80778" w:rsidRPr="00E96B61" w:rsidRDefault="00C30114" w:rsidP="009B4B30">
            <w:pPr>
              <w:pStyle w:val="TableText"/>
              <w:jc w:val="left"/>
            </w:pPr>
            <w:r w:rsidRPr="00E96B61">
              <w:t>24 ± 2</w:t>
            </w:r>
          </w:p>
        </w:tc>
        <w:tc>
          <w:tcPr>
            <w:tcW w:w="400" w:type="pct"/>
            <w:shd w:val="clear" w:color="auto" w:fill="auto"/>
          </w:tcPr>
          <w:p w14:paraId="4EE3B51D" w14:textId="77777777" w:rsidR="00F80778" w:rsidRPr="00E96B61" w:rsidRDefault="00C30114" w:rsidP="009B4B30">
            <w:pPr>
              <w:pStyle w:val="TableText"/>
              <w:jc w:val="left"/>
            </w:pPr>
            <w:r>
              <w:t>7.5</w:t>
            </w:r>
          </w:p>
        </w:tc>
        <w:tc>
          <w:tcPr>
            <w:tcW w:w="499" w:type="pct"/>
            <w:shd w:val="clear" w:color="auto" w:fill="auto"/>
          </w:tcPr>
          <w:p w14:paraId="10A7E91D" w14:textId="77777777" w:rsidR="00F80778" w:rsidRDefault="00C30114" w:rsidP="009B4B30">
            <w:pPr>
              <w:pStyle w:val="TableText"/>
              <w:jc w:val="left"/>
            </w:pPr>
            <w:r>
              <w:t>0.27</w:t>
            </w:r>
          </w:p>
        </w:tc>
        <w:tc>
          <w:tcPr>
            <w:tcW w:w="624" w:type="pct"/>
            <w:shd w:val="clear" w:color="auto" w:fill="auto"/>
          </w:tcPr>
          <w:p w14:paraId="14A6AD44" w14:textId="77777777" w:rsidR="00F80778" w:rsidRPr="00470885" w:rsidRDefault="00C30114" w:rsidP="009B4B30">
            <w:pPr>
              <w:pStyle w:val="TableText"/>
              <w:jc w:val="left"/>
            </w:pPr>
            <w:r w:rsidRPr="00470885">
              <w:t>Rosenkrantz et al. (2013)</w:t>
            </w:r>
          </w:p>
        </w:tc>
      </w:tr>
      <w:tr w:rsidR="00C30114" w14:paraId="4E180938" w14:textId="77777777" w:rsidTr="00231336">
        <w:trPr>
          <w:cnfStyle w:val="000000010000" w:firstRow="0" w:lastRow="0" w:firstColumn="0" w:lastColumn="0" w:oddVBand="0" w:evenVBand="0" w:oddHBand="0" w:evenHBand="1" w:firstRowFirstColumn="0" w:firstRowLastColumn="0" w:lastRowFirstColumn="0" w:lastRowLastColumn="0"/>
          <w:cantSplit/>
        </w:trPr>
        <w:tc>
          <w:tcPr>
            <w:tcW w:w="537" w:type="pct"/>
            <w:vMerge/>
            <w:shd w:val="clear" w:color="auto" w:fill="auto"/>
          </w:tcPr>
          <w:p w14:paraId="33E110B2" w14:textId="77777777" w:rsidR="00F80778" w:rsidRPr="00E96B61" w:rsidRDefault="00F80778" w:rsidP="009B4B30">
            <w:pPr>
              <w:pStyle w:val="TableText"/>
              <w:jc w:val="left"/>
            </w:pPr>
          </w:p>
        </w:tc>
        <w:tc>
          <w:tcPr>
            <w:tcW w:w="498" w:type="pct"/>
            <w:vMerge/>
            <w:shd w:val="clear" w:color="auto" w:fill="auto"/>
          </w:tcPr>
          <w:p w14:paraId="5C4A5E85" w14:textId="77777777" w:rsidR="00F80778" w:rsidRPr="00E96B61" w:rsidRDefault="00F80778" w:rsidP="009B4B30">
            <w:pPr>
              <w:pStyle w:val="TableText"/>
              <w:jc w:val="left"/>
            </w:pPr>
          </w:p>
        </w:tc>
        <w:tc>
          <w:tcPr>
            <w:tcW w:w="449" w:type="pct"/>
            <w:shd w:val="clear" w:color="auto" w:fill="auto"/>
          </w:tcPr>
          <w:p w14:paraId="2C18F6B3" w14:textId="77777777" w:rsidR="00F80778" w:rsidRPr="00E96B61" w:rsidRDefault="00C30114" w:rsidP="009B4B30">
            <w:pPr>
              <w:pStyle w:val="TableText"/>
              <w:jc w:val="left"/>
            </w:pPr>
            <w:r w:rsidRPr="00E96B61">
              <w:t>Not stated</w:t>
            </w:r>
          </w:p>
        </w:tc>
        <w:tc>
          <w:tcPr>
            <w:tcW w:w="399" w:type="pct"/>
            <w:shd w:val="clear" w:color="auto" w:fill="auto"/>
          </w:tcPr>
          <w:p w14:paraId="54BCF776" w14:textId="77777777" w:rsidR="00F80778" w:rsidRPr="00E96B61" w:rsidRDefault="00C30114" w:rsidP="009B4B30">
            <w:pPr>
              <w:pStyle w:val="TableText"/>
              <w:jc w:val="left"/>
            </w:pPr>
            <w:r w:rsidRPr="00E96B61">
              <w:t>7</w:t>
            </w:r>
          </w:p>
        </w:tc>
        <w:tc>
          <w:tcPr>
            <w:tcW w:w="597" w:type="pct"/>
            <w:shd w:val="clear" w:color="auto" w:fill="auto"/>
          </w:tcPr>
          <w:p w14:paraId="706E39D0" w14:textId="77777777" w:rsidR="00F80778" w:rsidRDefault="00C30114" w:rsidP="009B4B30">
            <w:pPr>
              <w:pStyle w:val="TableText"/>
              <w:jc w:val="left"/>
            </w:pPr>
            <w:r w:rsidRPr="00E96B61">
              <w:t>EC10</w:t>
            </w:r>
          </w:p>
          <w:p w14:paraId="4FACD97F" w14:textId="77777777" w:rsidR="00F80778" w:rsidRPr="00E96B61" w:rsidRDefault="00C30114" w:rsidP="009B4B30">
            <w:pPr>
              <w:pStyle w:val="TableText"/>
              <w:jc w:val="left"/>
            </w:pPr>
            <w:r w:rsidRPr="00E96B61">
              <w:t xml:space="preserve">(Frond </w:t>
            </w:r>
            <w:r>
              <w:t>c</w:t>
            </w:r>
            <w:r w:rsidRPr="00E96B61">
              <w:t>ount)</w:t>
            </w:r>
          </w:p>
        </w:tc>
        <w:tc>
          <w:tcPr>
            <w:tcW w:w="499" w:type="pct"/>
            <w:shd w:val="clear" w:color="auto" w:fill="auto"/>
          </w:tcPr>
          <w:p w14:paraId="3520BD92" w14:textId="77777777" w:rsidR="00F80778" w:rsidRPr="00E96B61" w:rsidRDefault="00C30114" w:rsidP="009B4B30">
            <w:pPr>
              <w:pStyle w:val="TableText"/>
              <w:jc w:val="left"/>
            </w:pPr>
            <w:r>
              <w:t xml:space="preserve">20 </w:t>
            </w:r>
            <w:r>
              <w:rPr>
                <w:rFonts w:ascii="Calibri" w:hAnsi="Calibri"/>
              </w:rPr>
              <w:t>×</w:t>
            </w:r>
            <w:r>
              <w:t xml:space="preserve"> AAP medium</w:t>
            </w:r>
          </w:p>
        </w:tc>
        <w:tc>
          <w:tcPr>
            <w:tcW w:w="498" w:type="pct"/>
            <w:shd w:val="clear" w:color="auto" w:fill="auto"/>
          </w:tcPr>
          <w:p w14:paraId="44155B1D" w14:textId="77777777" w:rsidR="00F80778" w:rsidRPr="00E96B61" w:rsidRDefault="00C30114" w:rsidP="009B4B30">
            <w:pPr>
              <w:pStyle w:val="TableText"/>
              <w:jc w:val="left"/>
            </w:pPr>
            <w:r w:rsidRPr="00E96B61">
              <w:t>24 ± 2</w:t>
            </w:r>
          </w:p>
        </w:tc>
        <w:tc>
          <w:tcPr>
            <w:tcW w:w="400" w:type="pct"/>
            <w:shd w:val="clear" w:color="auto" w:fill="auto"/>
          </w:tcPr>
          <w:p w14:paraId="02552F8C" w14:textId="77777777" w:rsidR="00F80778" w:rsidRPr="00E96B61" w:rsidRDefault="00C30114" w:rsidP="009B4B30">
            <w:pPr>
              <w:pStyle w:val="TableText"/>
              <w:jc w:val="left"/>
            </w:pPr>
            <w:r>
              <w:t>7.5</w:t>
            </w:r>
          </w:p>
        </w:tc>
        <w:tc>
          <w:tcPr>
            <w:tcW w:w="499" w:type="pct"/>
            <w:shd w:val="clear" w:color="auto" w:fill="auto"/>
          </w:tcPr>
          <w:p w14:paraId="190DB054" w14:textId="77777777" w:rsidR="00F80778" w:rsidRDefault="00C30114" w:rsidP="009B4B30">
            <w:pPr>
              <w:pStyle w:val="TableText"/>
              <w:jc w:val="left"/>
            </w:pPr>
            <w:r>
              <w:t>0.16</w:t>
            </w:r>
          </w:p>
        </w:tc>
        <w:tc>
          <w:tcPr>
            <w:tcW w:w="624" w:type="pct"/>
            <w:shd w:val="clear" w:color="auto" w:fill="auto"/>
          </w:tcPr>
          <w:p w14:paraId="3D324F46" w14:textId="77777777" w:rsidR="00F80778" w:rsidRPr="00470885" w:rsidRDefault="00C30114" w:rsidP="009B4B30">
            <w:pPr>
              <w:pStyle w:val="TableText"/>
              <w:jc w:val="left"/>
            </w:pPr>
            <w:r w:rsidRPr="00470885">
              <w:t>Rosenkrantz et al. (2013)</w:t>
            </w:r>
          </w:p>
        </w:tc>
      </w:tr>
      <w:tr w:rsidR="00C30114" w14:paraId="4241CD52"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537" w:type="pct"/>
            <w:vMerge/>
            <w:shd w:val="clear" w:color="auto" w:fill="auto"/>
          </w:tcPr>
          <w:p w14:paraId="0B268C8D" w14:textId="77777777" w:rsidR="00F80778" w:rsidRPr="00E96B61" w:rsidRDefault="00F80778" w:rsidP="009B4B30">
            <w:pPr>
              <w:pStyle w:val="TableText"/>
              <w:jc w:val="left"/>
            </w:pPr>
          </w:p>
        </w:tc>
        <w:tc>
          <w:tcPr>
            <w:tcW w:w="498" w:type="pct"/>
            <w:vMerge/>
            <w:shd w:val="clear" w:color="auto" w:fill="auto"/>
          </w:tcPr>
          <w:p w14:paraId="60EAC394" w14:textId="77777777" w:rsidR="00F80778" w:rsidRPr="00E96B61" w:rsidRDefault="00F80778" w:rsidP="009B4B30">
            <w:pPr>
              <w:pStyle w:val="TableText"/>
              <w:jc w:val="left"/>
            </w:pPr>
          </w:p>
        </w:tc>
        <w:tc>
          <w:tcPr>
            <w:tcW w:w="449" w:type="pct"/>
            <w:shd w:val="clear" w:color="auto" w:fill="auto"/>
          </w:tcPr>
          <w:p w14:paraId="295DF41C" w14:textId="77777777" w:rsidR="00F80778" w:rsidRPr="00E96B61" w:rsidRDefault="00C30114" w:rsidP="009B4B30">
            <w:pPr>
              <w:pStyle w:val="TableText"/>
              <w:jc w:val="left"/>
            </w:pPr>
            <w:r w:rsidRPr="00E96B61">
              <w:t>Not stated</w:t>
            </w:r>
          </w:p>
        </w:tc>
        <w:tc>
          <w:tcPr>
            <w:tcW w:w="399" w:type="pct"/>
            <w:shd w:val="clear" w:color="auto" w:fill="auto"/>
          </w:tcPr>
          <w:p w14:paraId="146AACDE" w14:textId="77777777" w:rsidR="00F80778" w:rsidRPr="00E96B61" w:rsidRDefault="00C30114" w:rsidP="009B4B30">
            <w:pPr>
              <w:pStyle w:val="TableText"/>
              <w:jc w:val="left"/>
            </w:pPr>
            <w:r w:rsidRPr="00E96B61">
              <w:t>7</w:t>
            </w:r>
          </w:p>
        </w:tc>
        <w:tc>
          <w:tcPr>
            <w:tcW w:w="597" w:type="pct"/>
            <w:shd w:val="clear" w:color="auto" w:fill="auto"/>
          </w:tcPr>
          <w:p w14:paraId="5B767A31" w14:textId="77777777" w:rsidR="00F80778" w:rsidRDefault="00C30114" w:rsidP="009B4B30">
            <w:pPr>
              <w:pStyle w:val="TableText"/>
              <w:jc w:val="left"/>
            </w:pPr>
            <w:r w:rsidRPr="00E96B61">
              <w:t>EC10</w:t>
            </w:r>
          </w:p>
          <w:p w14:paraId="6B3A96D2" w14:textId="77777777" w:rsidR="00F80778" w:rsidRPr="00E96B61" w:rsidRDefault="00C30114" w:rsidP="009B4B30">
            <w:pPr>
              <w:pStyle w:val="TableText"/>
              <w:jc w:val="left"/>
            </w:pPr>
            <w:r w:rsidRPr="00E96B61">
              <w:t xml:space="preserve">(Frond </w:t>
            </w:r>
            <w:r>
              <w:t>c</w:t>
            </w:r>
            <w:r w:rsidRPr="00E96B61">
              <w:t>ount)</w:t>
            </w:r>
          </w:p>
        </w:tc>
        <w:tc>
          <w:tcPr>
            <w:tcW w:w="499" w:type="pct"/>
            <w:shd w:val="clear" w:color="auto" w:fill="auto"/>
          </w:tcPr>
          <w:p w14:paraId="41B8DB25" w14:textId="77777777" w:rsidR="00F80778" w:rsidRPr="00E96B61" w:rsidRDefault="00C30114" w:rsidP="009B4B30">
            <w:pPr>
              <w:pStyle w:val="TableText"/>
              <w:jc w:val="left"/>
            </w:pPr>
            <w:r>
              <w:t xml:space="preserve">20 </w:t>
            </w:r>
            <w:r>
              <w:rPr>
                <w:rFonts w:ascii="Calibri" w:hAnsi="Calibri"/>
              </w:rPr>
              <w:t>×</w:t>
            </w:r>
            <w:r>
              <w:t xml:space="preserve"> AAP medium</w:t>
            </w:r>
          </w:p>
        </w:tc>
        <w:tc>
          <w:tcPr>
            <w:tcW w:w="498" w:type="pct"/>
            <w:shd w:val="clear" w:color="auto" w:fill="auto"/>
          </w:tcPr>
          <w:p w14:paraId="6BBBE0CC" w14:textId="77777777" w:rsidR="00F80778" w:rsidRPr="000A4849" w:rsidRDefault="00C30114" w:rsidP="009B4B30">
            <w:pPr>
              <w:pStyle w:val="TableText"/>
              <w:jc w:val="left"/>
              <w:rPr>
                <w:b/>
              </w:rPr>
            </w:pPr>
            <w:r w:rsidRPr="00E96B61">
              <w:t>24 ± 2</w:t>
            </w:r>
          </w:p>
        </w:tc>
        <w:tc>
          <w:tcPr>
            <w:tcW w:w="400" w:type="pct"/>
            <w:shd w:val="clear" w:color="auto" w:fill="auto"/>
          </w:tcPr>
          <w:p w14:paraId="21ABE174" w14:textId="77777777" w:rsidR="00F80778" w:rsidRPr="00E96B61" w:rsidRDefault="00C30114" w:rsidP="009B4B30">
            <w:pPr>
              <w:pStyle w:val="TableText"/>
              <w:jc w:val="left"/>
            </w:pPr>
            <w:r>
              <w:t>6.0</w:t>
            </w:r>
          </w:p>
        </w:tc>
        <w:tc>
          <w:tcPr>
            <w:tcW w:w="499" w:type="pct"/>
            <w:shd w:val="clear" w:color="auto" w:fill="auto"/>
          </w:tcPr>
          <w:p w14:paraId="59F4F5FB" w14:textId="77777777" w:rsidR="00F80778" w:rsidRDefault="00C30114" w:rsidP="009B4B30">
            <w:pPr>
              <w:pStyle w:val="TableText"/>
              <w:jc w:val="left"/>
            </w:pPr>
            <w:r>
              <w:t>0.12</w:t>
            </w:r>
          </w:p>
        </w:tc>
        <w:tc>
          <w:tcPr>
            <w:tcW w:w="624" w:type="pct"/>
            <w:shd w:val="clear" w:color="auto" w:fill="auto"/>
          </w:tcPr>
          <w:p w14:paraId="258D8C08" w14:textId="77777777" w:rsidR="00F80778" w:rsidRPr="00470885" w:rsidRDefault="00C30114" w:rsidP="009B4B30">
            <w:pPr>
              <w:pStyle w:val="TableText"/>
              <w:jc w:val="left"/>
            </w:pPr>
            <w:r w:rsidRPr="00470885">
              <w:t>Rosenkrantz et al. (2013)</w:t>
            </w:r>
          </w:p>
        </w:tc>
      </w:tr>
      <w:tr w:rsidR="00C30114" w14:paraId="55FD44E8" w14:textId="77777777" w:rsidTr="00231336">
        <w:trPr>
          <w:cnfStyle w:val="000000010000" w:firstRow="0" w:lastRow="0" w:firstColumn="0" w:lastColumn="0" w:oddVBand="0" w:evenVBand="0" w:oddHBand="0" w:evenHBand="1" w:firstRowFirstColumn="0" w:firstRowLastColumn="0" w:lastRowFirstColumn="0" w:lastRowLastColumn="0"/>
          <w:cantSplit/>
        </w:trPr>
        <w:tc>
          <w:tcPr>
            <w:tcW w:w="537" w:type="pct"/>
            <w:vMerge/>
            <w:shd w:val="clear" w:color="auto" w:fill="auto"/>
          </w:tcPr>
          <w:p w14:paraId="716EA864" w14:textId="77777777" w:rsidR="00F80778" w:rsidRPr="00E96B61" w:rsidRDefault="00F80778" w:rsidP="009B4B30">
            <w:pPr>
              <w:pStyle w:val="TableText"/>
              <w:jc w:val="left"/>
            </w:pPr>
          </w:p>
        </w:tc>
        <w:tc>
          <w:tcPr>
            <w:tcW w:w="498" w:type="pct"/>
            <w:vMerge/>
            <w:shd w:val="clear" w:color="auto" w:fill="auto"/>
          </w:tcPr>
          <w:p w14:paraId="3D3EE9DB" w14:textId="77777777" w:rsidR="00F80778" w:rsidRPr="00E96B61" w:rsidRDefault="00F80778" w:rsidP="009B4B30">
            <w:pPr>
              <w:pStyle w:val="TableText"/>
              <w:jc w:val="left"/>
            </w:pPr>
          </w:p>
        </w:tc>
        <w:tc>
          <w:tcPr>
            <w:tcW w:w="449" w:type="pct"/>
            <w:shd w:val="clear" w:color="auto" w:fill="auto"/>
          </w:tcPr>
          <w:p w14:paraId="319E5532" w14:textId="77777777" w:rsidR="00F80778" w:rsidRPr="00E96B61" w:rsidRDefault="00C30114" w:rsidP="009B4B30">
            <w:pPr>
              <w:pStyle w:val="TableText"/>
              <w:jc w:val="left"/>
            </w:pPr>
            <w:r w:rsidRPr="00E96B61">
              <w:t>Not stated</w:t>
            </w:r>
          </w:p>
        </w:tc>
        <w:tc>
          <w:tcPr>
            <w:tcW w:w="399" w:type="pct"/>
            <w:shd w:val="clear" w:color="auto" w:fill="auto"/>
          </w:tcPr>
          <w:p w14:paraId="22372274" w14:textId="77777777" w:rsidR="00F80778" w:rsidRPr="00E96B61" w:rsidRDefault="00C30114" w:rsidP="009B4B30">
            <w:pPr>
              <w:pStyle w:val="TableText"/>
              <w:jc w:val="left"/>
            </w:pPr>
            <w:r w:rsidRPr="00E96B61">
              <w:t>7</w:t>
            </w:r>
          </w:p>
        </w:tc>
        <w:tc>
          <w:tcPr>
            <w:tcW w:w="597" w:type="pct"/>
            <w:shd w:val="clear" w:color="auto" w:fill="auto"/>
          </w:tcPr>
          <w:p w14:paraId="383173F7" w14:textId="77777777" w:rsidR="00F80778" w:rsidRDefault="00C30114" w:rsidP="009B4B30">
            <w:pPr>
              <w:pStyle w:val="TableText"/>
              <w:jc w:val="left"/>
            </w:pPr>
            <w:r w:rsidRPr="00E96B61">
              <w:t>EC10</w:t>
            </w:r>
          </w:p>
          <w:p w14:paraId="5C3A8A91" w14:textId="77777777" w:rsidR="00F80778" w:rsidRPr="00E96B61" w:rsidRDefault="00C30114" w:rsidP="009B4B30">
            <w:pPr>
              <w:pStyle w:val="TableText"/>
              <w:jc w:val="left"/>
            </w:pPr>
            <w:r w:rsidRPr="00E96B61">
              <w:t xml:space="preserve">(Frond </w:t>
            </w:r>
            <w:r>
              <w:t>c</w:t>
            </w:r>
            <w:r w:rsidRPr="00E96B61">
              <w:t>ount)</w:t>
            </w:r>
          </w:p>
        </w:tc>
        <w:tc>
          <w:tcPr>
            <w:tcW w:w="499" w:type="pct"/>
            <w:shd w:val="clear" w:color="auto" w:fill="auto"/>
          </w:tcPr>
          <w:p w14:paraId="4CE2D396" w14:textId="77777777" w:rsidR="00F80778" w:rsidRPr="00E96B61" w:rsidRDefault="00C30114" w:rsidP="009B4B30">
            <w:pPr>
              <w:pStyle w:val="TableText"/>
              <w:jc w:val="left"/>
            </w:pPr>
            <w:r>
              <w:t xml:space="preserve">20 </w:t>
            </w:r>
            <w:r>
              <w:rPr>
                <w:rFonts w:ascii="Calibri" w:hAnsi="Calibri"/>
              </w:rPr>
              <w:t>×</w:t>
            </w:r>
            <w:r>
              <w:t xml:space="preserve"> AAP medium</w:t>
            </w:r>
          </w:p>
        </w:tc>
        <w:tc>
          <w:tcPr>
            <w:tcW w:w="498" w:type="pct"/>
            <w:shd w:val="clear" w:color="auto" w:fill="auto"/>
          </w:tcPr>
          <w:p w14:paraId="34DC0573" w14:textId="77777777" w:rsidR="00F80778" w:rsidRPr="00E96B61" w:rsidRDefault="00C30114" w:rsidP="009B4B30">
            <w:pPr>
              <w:pStyle w:val="TableText"/>
              <w:jc w:val="left"/>
            </w:pPr>
            <w:r w:rsidRPr="00E96B61">
              <w:t>24 ± 2</w:t>
            </w:r>
          </w:p>
        </w:tc>
        <w:tc>
          <w:tcPr>
            <w:tcW w:w="400" w:type="pct"/>
            <w:shd w:val="clear" w:color="auto" w:fill="auto"/>
          </w:tcPr>
          <w:p w14:paraId="77C9CC17" w14:textId="77777777" w:rsidR="00F80778" w:rsidRPr="00E96B61" w:rsidRDefault="00C30114" w:rsidP="009B4B30">
            <w:pPr>
              <w:pStyle w:val="TableText"/>
              <w:jc w:val="left"/>
            </w:pPr>
            <w:r>
              <w:t>9.0</w:t>
            </w:r>
          </w:p>
        </w:tc>
        <w:tc>
          <w:tcPr>
            <w:tcW w:w="499" w:type="pct"/>
            <w:shd w:val="clear" w:color="auto" w:fill="auto"/>
          </w:tcPr>
          <w:p w14:paraId="13A77ADB" w14:textId="77777777" w:rsidR="00F80778" w:rsidRDefault="00C30114" w:rsidP="009B4B30">
            <w:pPr>
              <w:pStyle w:val="TableText"/>
              <w:jc w:val="left"/>
            </w:pPr>
            <w:r>
              <w:t>0.27</w:t>
            </w:r>
          </w:p>
        </w:tc>
        <w:tc>
          <w:tcPr>
            <w:tcW w:w="624" w:type="pct"/>
            <w:shd w:val="clear" w:color="auto" w:fill="auto"/>
          </w:tcPr>
          <w:p w14:paraId="1B20D7A3" w14:textId="77777777" w:rsidR="00F80778" w:rsidRPr="00470885" w:rsidRDefault="00C30114" w:rsidP="009B4B30">
            <w:pPr>
              <w:pStyle w:val="TableText"/>
              <w:jc w:val="left"/>
            </w:pPr>
            <w:r w:rsidRPr="00470885">
              <w:t>Rosenkrantz et al. (2013)</w:t>
            </w:r>
          </w:p>
        </w:tc>
      </w:tr>
      <w:tr w:rsidR="00231336" w14:paraId="4CFDBB96"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3877" w:type="pct"/>
            <w:gridSpan w:val="8"/>
            <w:shd w:val="clear" w:color="auto" w:fill="auto"/>
          </w:tcPr>
          <w:p w14:paraId="70495710" w14:textId="77777777" w:rsidR="00374A29" w:rsidRPr="00E96B61" w:rsidRDefault="00C30114" w:rsidP="009B4B30">
            <w:pPr>
              <w:pStyle w:val="TableText"/>
              <w:jc w:val="left"/>
            </w:pPr>
            <w:r>
              <w:t>–</w:t>
            </w:r>
          </w:p>
        </w:tc>
        <w:tc>
          <w:tcPr>
            <w:tcW w:w="499" w:type="pct"/>
            <w:shd w:val="clear" w:color="auto" w:fill="auto"/>
          </w:tcPr>
          <w:p w14:paraId="489DF866" w14:textId="77777777" w:rsidR="00374A29" w:rsidRPr="002C2D65" w:rsidRDefault="00C30114" w:rsidP="009B4B30">
            <w:pPr>
              <w:pStyle w:val="TableText"/>
              <w:jc w:val="left"/>
              <w:rPr>
                <w:b/>
                <w:bCs/>
              </w:rPr>
            </w:pPr>
            <w:r w:rsidRPr="002C2D65">
              <w:rPr>
                <w:b/>
                <w:bCs/>
              </w:rPr>
              <w:t>0.193</w:t>
            </w:r>
          </w:p>
        </w:tc>
        <w:tc>
          <w:tcPr>
            <w:tcW w:w="624" w:type="pct"/>
            <w:shd w:val="clear" w:color="auto" w:fill="auto"/>
          </w:tcPr>
          <w:p w14:paraId="6F4F36FF" w14:textId="77777777" w:rsidR="00374A29" w:rsidRPr="002C2D65" w:rsidRDefault="00C30114" w:rsidP="00782C58">
            <w:pPr>
              <w:pStyle w:val="TableText"/>
              <w:jc w:val="left"/>
              <w:rPr>
                <w:b/>
                <w:bCs/>
              </w:rPr>
            </w:pPr>
            <w:r w:rsidRPr="002C2D65">
              <w:rPr>
                <w:b/>
                <w:bCs/>
              </w:rPr>
              <w:t xml:space="preserve">VALUE USED IN SSD </w:t>
            </w:r>
            <w:r>
              <w:rPr>
                <w:b/>
                <w:bCs/>
              </w:rPr>
              <w:t>(</w:t>
            </w:r>
            <w:r w:rsidRPr="002C2D65">
              <w:rPr>
                <w:b/>
                <w:bCs/>
              </w:rPr>
              <w:t>GEOMETRIC MEAN</w:t>
            </w:r>
            <w:r>
              <w:rPr>
                <w:b/>
                <w:bCs/>
              </w:rPr>
              <w:t>)</w:t>
            </w:r>
          </w:p>
        </w:tc>
      </w:tr>
      <w:tr w:rsidR="00C30114" w14:paraId="7E9556AE" w14:textId="77777777" w:rsidTr="00231336">
        <w:trPr>
          <w:cnfStyle w:val="000000010000" w:firstRow="0" w:lastRow="0" w:firstColumn="0" w:lastColumn="0" w:oddVBand="0" w:evenVBand="0" w:oddHBand="0" w:evenHBand="1" w:firstRowFirstColumn="0" w:firstRowLastColumn="0" w:lastRowFirstColumn="0" w:lastRowLastColumn="0"/>
          <w:cantSplit/>
        </w:trPr>
        <w:tc>
          <w:tcPr>
            <w:tcW w:w="537" w:type="pct"/>
            <w:shd w:val="clear" w:color="auto" w:fill="auto"/>
          </w:tcPr>
          <w:p w14:paraId="3D125983" w14:textId="77777777" w:rsidR="00F80778" w:rsidRDefault="00C30114" w:rsidP="003303D2">
            <w:pPr>
              <w:pStyle w:val="TableText"/>
              <w:jc w:val="left"/>
            </w:pPr>
            <w:r>
              <w:t>Macrophyte</w:t>
            </w:r>
            <w:r w:rsidRPr="00E96B61">
              <w:t xml:space="preserve"> </w:t>
            </w:r>
          </w:p>
          <w:p w14:paraId="0400BF46" w14:textId="77777777" w:rsidR="00F80778" w:rsidRPr="00E96B61" w:rsidRDefault="00C30114" w:rsidP="003303D2">
            <w:pPr>
              <w:pStyle w:val="TableText"/>
              <w:jc w:val="left"/>
            </w:pPr>
            <w:r>
              <w:t>(</w:t>
            </w:r>
            <w:r w:rsidRPr="00E96B61">
              <w:t>Tracheophyta</w:t>
            </w:r>
            <w:r>
              <w:t>)</w:t>
            </w:r>
          </w:p>
        </w:tc>
        <w:tc>
          <w:tcPr>
            <w:tcW w:w="498" w:type="pct"/>
            <w:shd w:val="clear" w:color="auto" w:fill="auto"/>
          </w:tcPr>
          <w:p w14:paraId="2BB69B40" w14:textId="77777777" w:rsidR="00F80778" w:rsidRPr="00E96B61" w:rsidRDefault="00C30114" w:rsidP="00BA0803">
            <w:pPr>
              <w:pStyle w:val="TableText"/>
              <w:jc w:val="left"/>
            </w:pPr>
            <w:r w:rsidRPr="00A166B2">
              <w:rPr>
                <w:rStyle w:val="Emphasis"/>
              </w:rPr>
              <w:t>Lemna minor</w:t>
            </w:r>
          </w:p>
        </w:tc>
        <w:tc>
          <w:tcPr>
            <w:tcW w:w="449" w:type="pct"/>
            <w:shd w:val="clear" w:color="auto" w:fill="auto"/>
          </w:tcPr>
          <w:p w14:paraId="176EB048" w14:textId="77777777" w:rsidR="00F80778" w:rsidRPr="00E96B61" w:rsidRDefault="00C30114" w:rsidP="009B4B30">
            <w:pPr>
              <w:pStyle w:val="TableText"/>
              <w:jc w:val="left"/>
            </w:pPr>
            <w:r w:rsidRPr="00E96B61">
              <w:t>Exponential growth phase</w:t>
            </w:r>
          </w:p>
        </w:tc>
        <w:tc>
          <w:tcPr>
            <w:tcW w:w="399" w:type="pct"/>
            <w:shd w:val="clear" w:color="auto" w:fill="auto"/>
          </w:tcPr>
          <w:p w14:paraId="0C6D7F52" w14:textId="77777777" w:rsidR="00F80778" w:rsidRPr="00E96B61" w:rsidRDefault="00C30114" w:rsidP="009B4B30">
            <w:pPr>
              <w:pStyle w:val="TableText"/>
              <w:jc w:val="left"/>
            </w:pPr>
            <w:r w:rsidRPr="00E96B61">
              <w:t>42</w:t>
            </w:r>
          </w:p>
        </w:tc>
        <w:tc>
          <w:tcPr>
            <w:tcW w:w="597" w:type="pct"/>
            <w:shd w:val="clear" w:color="auto" w:fill="auto"/>
          </w:tcPr>
          <w:p w14:paraId="5FBA1300" w14:textId="77777777" w:rsidR="00F80778" w:rsidRDefault="00C30114" w:rsidP="009B4B30">
            <w:pPr>
              <w:pStyle w:val="TableText"/>
              <w:jc w:val="left"/>
            </w:pPr>
            <w:r w:rsidRPr="00E96B61">
              <w:t>NOEC</w:t>
            </w:r>
          </w:p>
          <w:p w14:paraId="0077D945" w14:textId="77777777" w:rsidR="00F80778" w:rsidRPr="00E96B61" w:rsidRDefault="00C30114" w:rsidP="009B4B30">
            <w:pPr>
              <w:pStyle w:val="TableText"/>
              <w:jc w:val="left"/>
            </w:pPr>
            <w:r w:rsidRPr="00E96B61">
              <w:t xml:space="preserve">(Frond </w:t>
            </w:r>
            <w:r>
              <w:t>c</w:t>
            </w:r>
            <w:r w:rsidRPr="00E96B61">
              <w:t>ount)</w:t>
            </w:r>
          </w:p>
        </w:tc>
        <w:tc>
          <w:tcPr>
            <w:tcW w:w="499" w:type="pct"/>
            <w:shd w:val="clear" w:color="auto" w:fill="auto"/>
          </w:tcPr>
          <w:p w14:paraId="10D6DF9F" w14:textId="77777777" w:rsidR="00F80778" w:rsidRPr="00E96B61" w:rsidRDefault="00C30114" w:rsidP="009B4B30">
            <w:pPr>
              <w:pStyle w:val="TableText"/>
              <w:jc w:val="left"/>
            </w:pPr>
            <w:r w:rsidRPr="00E96B61">
              <w:t>Swedish standard (SIS)</w:t>
            </w:r>
          </w:p>
        </w:tc>
        <w:tc>
          <w:tcPr>
            <w:tcW w:w="498" w:type="pct"/>
            <w:shd w:val="clear" w:color="auto" w:fill="auto"/>
          </w:tcPr>
          <w:p w14:paraId="1E4D890B" w14:textId="77777777" w:rsidR="00F80778" w:rsidRPr="00E96B61" w:rsidRDefault="00C30114" w:rsidP="009B4B30">
            <w:pPr>
              <w:pStyle w:val="TableText"/>
              <w:jc w:val="left"/>
            </w:pPr>
            <w:r w:rsidRPr="00E96B61">
              <w:t>20 ± 1</w:t>
            </w:r>
          </w:p>
        </w:tc>
        <w:tc>
          <w:tcPr>
            <w:tcW w:w="400" w:type="pct"/>
            <w:shd w:val="clear" w:color="auto" w:fill="auto"/>
          </w:tcPr>
          <w:p w14:paraId="1F8F2568" w14:textId="77777777" w:rsidR="00F80778" w:rsidRPr="00E96B61" w:rsidRDefault="00C30114" w:rsidP="009B4B30">
            <w:pPr>
              <w:pStyle w:val="TableText"/>
              <w:jc w:val="left"/>
            </w:pPr>
            <w:r w:rsidRPr="00E96B61">
              <w:t>6.5 ± 0.2</w:t>
            </w:r>
          </w:p>
        </w:tc>
        <w:tc>
          <w:tcPr>
            <w:tcW w:w="499" w:type="pct"/>
            <w:shd w:val="clear" w:color="auto" w:fill="auto"/>
          </w:tcPr>
          <w:p w14:paraId="519ABDAA" w14:textId="77777777" w:rsidR="00F80778" w:rsidRPr="00E96B61" w:rsidRDefault="00C30114" w:rsidP="009B4B30">
            <w:pPr>
              <w:pStyle w:val="TableText"/>
              <w:jc w:val="left"/>
            </w:pPr>
            <w:r w:rsidRPr="00E96B61">
              <w:t>0.1</w:t>
            </w:r>
          </w:p>
        </w:tc>
        <w:tc>
          <w:tcPr>
            <w:tcW w:w="624" w:type="pct"/>
            <w:shd w:val="clear" w:color="auto" w:fill="auto"/>
          </w:tcPr>
          <w:p w14:paraId="386B11C4" w14:textId="77777777" w:rsidR="00F80778" w:rsidRPr="00E96B61" w:rsidRDefault="00C30114" w:rsidP="009B4B30">
            <w:pPr>
              <w:pStyle w:val="TableText"/>
              <w:jc w:val="left"/>
            </w:pPr>
            <w:r w:rsidRPr="00E96B61">
              <w:t>Boxall et al</w:t>
            </w:r>
            <w:r>
              <w:t>.</w:t>
            </w:r>
            <w:r w:rsidRPr="00E96B61">
              <w:t xml:space="preserve"> (2013)</w:t>
            </w:r>
          </w:p>
        </w:tc>
      </w:tr>
      <w:tr w:rsidR="00231336" w14:paraId="02B4FDEE"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3877" w:type="pct"/>
            <w:gridSpan w:val="8"/>
            <w:shd w:val="clear" w:color="auto" w:fill="auto"/>
          </w:tcPr>
          <w:p w14:paraId="422B402E" w14:textId="77777777" w:rsidR="00374A29" w:rsidRPr="00E96B61" w:rsidRDefault="00C30114" w:rsidP="009B4B30">
            <w:pPr>
              <w:pStyle w:val="TableText"/>
              <w:jc w:val="left"/>
            </w:pPr>
            <w:r>
              <w:t>–</w:t>
            </w:r>
          </w:p>
        </w:tc>
        <w:tc>
          <w:tcPr>
            <w:tcW w:w="499" w:type="pct"/>
            <w:shd w:val="clear" w:color="auto" w:fill="auto"/>
          </w:tcPr>
          <w:p w14:paraId="1049FF01" w14:textId="77777777" w:rsidR="00374A29" w:rsidRPr="004051F3" w:rsidRDefault="00C30114" w:rsidP="009B4B30">
            <w:pPr>
              <w:pStyle w:val="TableText"/>
              <w:jc w:val="left"/>
              <w:rPr>
                <w:b/>
              </w:rPr>
            </w:pPr>
            <w:r w:rsidRPr="004051F3">
              <w:rPr>
                <w:b/>
              </w:rPr>
              <w:t>0.1</w:t>
            </w:r>
          </w:p>
        </w:tc>
        <w:tc>
          <w:tcPr>
            <w:tcW w:w="624" w:type="pct"/>
            <w:shd w:val="clear" w:color="auto" w:fill="auto"/>
          </w:tcPr>
          <w:p w14:paraId="01C8781F" w14:textId="77777777" w:rsidR="00374A29" w:rsidRPr="00077869" w:rsidRDefault="00C30114" w:rsidP="009B4B30">
            <w:pPr>
              <w:pStyle w:val="TableText"/>
              <w:jc w:val="left"/>
            </w:pPr>
            <w:r w:rsidRPr="00077869">
              <w:rPr>
                <w:b/>
              </w:rPr>
              <w:t>VALUE USED IN SSD</w:t>
            </w:r>
          </w:p>
        </w:tc>
      </w:tr>
      <w:tr w:rsidR="00C30114" w14:paraId="35C699B6" w14:textId="77777777" w:rsidTr="00231336">
        <w:trPr>
          <w:cnfStyle w:val="000000010000" w:firstRow="0" w:lastRow="0" w:firstColumn="0" w:lastColumn="0" w:oddVBand="0" w:evenVBand="0" w:oddHBand="0" w:evenHBand="1" w:firstRowFirstColumn="0" w:firstRowLastColumn="0" w:lastRowFirstColumn="0" w:lastRowLastColumn="0"/>
          <w:cantSplit/>
        </w:trPr>
        <w:tc>
          <w:tcPr>
            <w:tcW w:w="537" w:type="pct"/>
            <w:tcBorders>
              <w:bottom w:val="nil"/>
            </w:tcBorders>
            <w:shd w:val="clear" w:color="auto" w:fill="auto"/>
          </w:tcPr>
          <w:p w14:paraId="747E3D92" w14:textId="77777777" w:rsidR="00F80778" w:rsidRDefault="00C30114" w:rsidP="003303D2">
            <w:pPr>
              <w:pStyle w:val="TableText"/>
              <w:jc w:val="left"/>
            </w:pPr>
            <w:r>
              <w:t>Macrophyte</w:t>
            </w:r>
            <w:r w:rsidRPr="00E96B61">
              <w:t xml:space="preserve"> </w:t>
            </w:r>
          </w:p>
          <w:p w14:paraId="2A0CFE06" w14:textId="77777777" w:rsidR="00F80778" w:rsidRPr="00E96B61" w:rsidRDefault="00C30114" w:rsidP="003303D2">
            <w:pPr>
              <w:pStyle w:val="TableText"/>
              <w:jc w:val="left"/>
            </w:pPr>
            <w:r>
              <w:t>(</w:t>
            </w:r>
            <w:r w:rsidRPr="00E96B61">
              <w:t>Tracheophyta</w:t>
            </w:r>
            <w:r>
              <w:t>)</w:t>
            </w:r>
          </w:p>
        </w:tc>
        <w:tc>
          <w:tcPr>
            <w:tcW w:w="498" w:type="pct"/>
            <w:tcBorders>
              <w:bottom w:val="nil"/>
            </w:tcBorders>
            <w:shd w:val="clear" w:color="auto" w:fill="auto"/>
          </w:tcPr>
          <w:p w14:paraId="4F7A056B" w14:textId="77777777" w:rsidR="00F80778" w:rsidRPr="00E96B61" w:rsidRDefault="00C30114" w:rsidP="00BA0803">
            <w:pPr>
              <w:pStyle w:val="TableText"/>
              <w:jc w:val="left"/>
            </w:pPr>
            <w:r w:rsidRPr="00A166B2">
              <w:rPr>
                <w:rStyle w:val="Emphasis"/>
              </w:rPr>
              <w:t>Myriophyllum spicatum</w:t>
            </w:r>
          </w:p>
        </w:tc>
        <w:tc>
          <w:tcPr>
            <w:tcW w:w="449" w:type="pct"/>
            <w:shd w:val="clear" w:color="auto" w:fill="auto"/>
          </w:tcPr>
          <w:p w14:paraId="172EC087" w14:textId="77777777" w:rsidR="00F80778" w:rsidRPr="00E96B61" w:rsidRDefault="00C30114" w:rsidP="009B4B30">
            <w:pPr>
              <w:pStyle w:val="TableText"/>
              <w:jc w:val="left"/>
            </w:pPr>
            <w:r>
              <w:t>Apical shoot</w:t>
            </w:r>
          </w:p>
        </w:tc>
        <w:tc>
          <w:tcPr>
            <w:tcW w:w="399" w:type="pct"/>
            <w:shd w:val="clear" w:color="auto" w:fill="auto"/>
          </w:tcPr>
          <w:p w14:paraId="779CA8AC" w14:textId="77777777" w:rsidR="00F80778" w:rsidRPr="00E96B61" w:rsidRDefault="00C30114" w:rsidP="009B4B30">
            <w:pPr>
              <w:pStyle w:val="TableText"/>
              <w:jc w:val="left"/>
            </w:pPr>
            <w:r w:rsidRPr="00E96B61">
              <w:t>14</w:t>
            </w:r>
          </w:p>
        </w:tc>
        <w:tc>
          <w:tcPr>
            <w:tcW w:w="597" w:type="pct"/>
            <w:shd w:val="clear" w:color="auto" w:fill="auto"/>
          </w:tcPr>
          <w:p w14:paraId="4FFFC013" w14:textId="77777777" w:rsidR="00F80778" w:rsidRDefault="00C30114" w:rsidP="009B4B30">
            <w:pPr>
              <w:pStyle w:val="TableText"/>
              <w:jc w:val="left"/>
            </w:pPr>
            <w:r>
              <w:t>L</w:t>
            </w:r>
            <w:r w:rsidRPr="00E96B61">
              <w:t>OEC</w:t>
            </w:r>
          </w:p>
          <w:p w14:paraId="217880D4" w14:textId="77777777" w:rsidR="00F80778" w:rsidRPr="00E96B61" w:rsidRDefault="00C30114" w:rsidP="009B4B30">
            <w:pPr>
              <w:pStyle w:val="TableText"/>
              <w:jc w:val="left"/>
            </w:pPr>
            <w:r w:rsidRPr="00E96B61">
              <w:t>(</w:t>
            </w:r>
            <w:r>
              <w:t>Root occurrence</w:t>
            </w:r>
            <w:r w:rsidRPr="00E96B61">
              <w:t>)</w:t>
            </w:r>
          </w:p>
        </w:tc>
        <w:tc>
          <w:tcPr>
            <w:tcW w:w="499" w:type="pct"/>
            <w:shd w:val="clear" w:color="auto" w:fill="auto"/>
          </w:tcPr>
          <w:p w14:paraId="26F31C62" w14:textId="77777777" w:rsidR="00F80778" w:rsidRPr="00E96B61" w:rsidRDefault="00C30114" w:rsidP="009B4B30">
            <w:pPr>
              <w:pStyle w:val="TableText"/>
              <w:jc w:val="left"/>
            </w:pPr>
            <w:r w:rsidRPr="00E96B61">
              <w:t xml:space="preserve">Filtered </w:t>
            </w:r>
            <w:r>
              <w:t>f</w:t>
            </w:r>
            <w:r w:rsidRPr="00E96B61">
              <w:t>reshwater</w:t>
            </w:r>
          </w:p>
        </w:tc>
        <w:tc>
          <w:tcPr>
            <w:tcW w:w="498" w:type="pct"/>
            <w:shd w:val="clear" w:color="auto" w:fill="auto"/>
          </w:tcPr>
          <w:p w14:paraId="5794AD7F" w14:textId="77777777" w:rsidR="00F80778" w:rsidRPr="00E96B61" w:rsidRDefault="00C30114" w:rsidP="009B4B30">
            <w:pPr>
              <w:pStyle w:val="TableText"/>
              <w:jc w:val="left"/>
            </w:pPr>
            <w:r w:rsidRPr="00E96B61">
              <w:t>22 ± 2</w:t>
            </w:r>
          </w:p>
        </w:tc>
        <w:tc>
          <w:tcPr>
            <w:tcW w:w="400" w:type="pct"/>
            <w:shd w:val="clear" w:color="auto" w:fill="auto"/>
          </w:tcPr>
          <w:p w14:paraId="7DD0CF6D" w14:textId="77777777" w:rsidR="00F80778" w:rsidRPr="00E96B61" w:rsidRDefault="00C30114" w:rsidP="009B4B30">
            <w:pPr>
              <w:pStyle w:val="TableText"/>
              <w:jc w:val="left"/>
            </w:pPr>
            <w:r>
              <w:t xml:space="preserve">Not </w:t>
            </w:r>
            <w:r w:rsidRPr="00E96B61">
              <w:t>stated</w:t>
            </w:r>
          </w:p>
        </w:tc>
        <w:tc>
          <w:tcPr>
            <w:tcW w:w="499" w:type="pct"/>
            <w:shd w:val="clear" w:color="auto" w:fill="auto"/>
          </w:tcPr>
          <w:p w14:paraId="4EB29730" w14:textId="77777777" w:rsidR="00F80778" w:rsidRPr="00E96B61" w:rsidRDefault="00C30114" w:rsidP="009B4B30">
            <w:pPr>
              <w:pStyle w:val="TableText"/>
              <w:jc w:val="left"/>
            </w:pPr>
            <w:r>
              <w:t>1.0</w:t>
            </w:r>
          </w:p>
        </w:tc>
        <w:tc>
          <w:tcPr>
            <w:tcW w:w="624" w:type="pct"/>
            <w:shd w:val="clear" w:color="auto" w:fill="auto"/>
          </w:tcPr>
          <w:p w14:paraId="345ED964" w14:textId="77777777" w:rsidR="00F80778" w:rsidRPr="00E96B61" w:rsidRDefault="00C30114" w:rsidP="009B4B30">
            <w:pPr>
              <w:pStyle w:val="TableText"/>
              <w:jc w:val="left"/>
            </w:pPr>
            <w:r w:rsidRPr="00E96B61">
              <w:t>Wendt-Rasch et al</w:t>
            </w:r>
            <w:r>
              <w:t>.</w:t>
            </w:r>
            <w:r w:rsidRPr="00E96B61">
              <w:t xml:space="preserve"> (2003)</w:t>
            </w:r>
          </w:p>
        </w:tc>
      </w:tr>
      <w:tr w:rsidR="00231336" w14:paraId="70E054D3" w14:textId="77777777" w:rsidTr="00231336">
        <w:trPr>
          <w:cnfStyle w:val="000000100000" w:firstRow="0" w:lastRow="0" w:firstColumn="0" w:lastColumn="0" w:oddVBand="0" w:evenVBand="0" w:oddHBand="1" w:evenHBand="0" w:firstRowFirstColumn="0" w:firstRowLastColumn="0" w:lastRowFirstColumn="0" w:lastRowLastColumn="0"/>
          <w:cantSplit/>
        </w:trPr>
        <w:tc>
          <w:tcPr>
            <w:tcW w:w="3877" w:type="pct"/>
            <w:gridSpan w:val="8"/>
            <w:tcBorders>
              <w:bottom w:val="single" w:sz="12" w:space="0" w:color="auto"/>
            </w:tcBorders>
            <w:shd w:val="clear" w:color="auto" w:fill="auto"/>
          </w:tcPr>
          <w:p w14:paraId="1F03A06E" w14:textId="77777777" w:rsidR="00BA0803" w:rsidRPr="00E96B61" w:rsidRDefault="00C30114" w:rsidP="009B4B30">
            <w:pPr>
              <w:pStyle w:val="TableText"/>
              <w:jc w:val="left"/>
            </w:pPr>
            <w:r>
              <w:t>–</w:t>
            </w:r>
          </w:p>
        </w:tc>
        <w:tc>
          <w:tcPr>
            <w:tcW w:w="499" w:type="pct"/>
            <w:tcBorders>
              <w:bottom w:val="single" w:sz="12" w:space="0" w:color="auto"/>
            </w:tcBorders>
            <w:shd w:val="clear" w:color="auto" w:fill="auto"/>
          </w:tcPr>
          <w:p w14:paraId="692E501C" w14:textId="77777777" w:rsidR="00BA0803" w:rsidRDefault="00C30114" w:rsidP="009B4B30">
            <w:pPr>
              <w:pStyle w:val="TableText"/>
              <w:jc w:val="left"/>
              <w:rPr>
                <w:i/>
              </w:rPr>
            </w:pPr>
            <w:r>
              <w:rPr>
                <w:b/>
              </w:rPr>
              <w:t xml:space="preserve">0.4 </w:t>
            </w:r>
            <w:r w:rsidRPr="00F71343">
              <w:rPr>
                <w:rStyle w:val="Strong"/>
                <w:vertAlign w:val="superscript"/>
              </w:rPr>
              <w:t>c</w:t>
            </w:r>
          </w:p>
        </w:tc>
        <w:tc>
          <w:tcPr>
            <w:tcW w:w="624" w:type="pct"/>
            <w:tcBorders>
              <w:bottom w:val="single" w:sz="12" w:space="0" w:color="auto"/>
            </w:tcBorders>
            <w:shd w:val="clear" w:color="auto" w:fill="auto"/>
          </w:tcPr>
          <w:p w14:paraId="30C42C32" w14:textId="77777777" w:rsidR="00BA0803" w:rsidRPr="00077869" w:rsidRDefault="00C30114" w:rsidP="009B4B30">
            <w:pPr>
              <w:pStyle w:val="TableText"/>
              <w:jc w:val="left"/>
            </w:pPr>
            <w:r w:rsidRPr="00077869">
              <w:rPr>
                <w:b/>
              </w:rPr>
              <w:t>VALUE USED IN SSD</w:t>
            </w:r>
          </w:p>
        </w:tc>
      </w:tr>
    </w:tbl>
    <w:p w14:paraId="69231A9C" w14:textId="77777777" w:rsidR="00F12D0E" w:rsidRDefault="00C30114" w:rsidP="00F12D0E">
      <w:pPr>
        <w:pStyle w:val="FigureTableNoteSource"/>
      </w:pPr>
      <w:r w:rsidRPr="008257E0">
        <w:rPr>
          <w:rStyle w:val="Strong"/>
        </w:rPr>
        <w:t>a</w:t>
      </w:r>
      <w:r w:rsidR="00C2619B" w:rsidRPr="00C2619B">
        <w:t xml:space="preserve"> This species has been called </w:t>
      </w:r>
      <w:r w:rsidR="00C2619B" w:rsidRPr="006419F7">
        <w:rPr>
          <w:rStyle w:val="Emphasis"/>
        </w:rPr>
        <w:t>Raphidocelis subcapitata</w:t>
      </w:r>
      <w:r w:rsidR="00C2619B" w:rsidRPr="00C2619B">
        <w:t xml:space="preserve">, </w:t>
      </w:r>
      <w:r w:rsidR="00C2619B" w:rsidRPr="006419F7">
        <w:rPr>
          <w:rStyle w:val="Emphasis"/>
        </w:rPr>
        <w:t>Pseudokirchneriella subcapitata</w:t>
      </w:r>
      <w:r w:rsidR="00C2619B" w:rsidRPr="00C2619B">
        <w:t xml:space="preserve"> and </w:t>
      </w:r>
      <w:r w:rsidR="00C2619B" w:rsidRPr="006419F7">
        <w:rPr>
          <w:rStyle w:val="Emphasis"/>
        </w:rPr>
        <w:t>Selenastrum capricornutum</w:t>
      </w:r>
      <w:r w:rsidR="00C2619B" w:rsidRPr="00C2619B">
        <w:t>.</w:t>
      </w:r>
    </w:p>
    <w:p w14:paraId="02C0CB89" w14:textId="77777777" w:rsidR="00C2619B" w:rsidRDefault="00C30114" w:rsidP="00F12D0E">
      <w:pPr>
        <w:pStyle w:val="FigureTableNoteSource"/>
      </w:pPr>
      <w:r w:rsidRPr="008257E0">
        <w:rPr>
          <w:rStyle w:val="Strong"/>
        </w:rPr>
        <w:t>b</w:t>
      </w:r>
      <w:r w:rsidRPr="00C2619B">
        <w:t xml:space="preserve"> AUC = area under the growth curve.</w:t>
      </w:r>
    </w:p>
    <w:p w14:paraId="394CF9B9" w14:textId="77777777" w:rsidR="00BC41DD" w:rsidRPr="00BC41DD" w:rsidRDefault="00C30114" w:rsidP="00BC41DD">
      <w:pPr>
        <w:pStyle w:val="FigureTableNoteSource"/>
      </w:pPr>
      <w:r w:rsidRPr="00F71343">
        <w:rPr>
          <w:rStyle w:val="Strong"/>
        </w:rPr>
        <w:t>c</w:t>
      </w:r>
      <w:r>
        <w:t xml:space="preserve"> LOEC converted to an estimated chronic NOEC/EC10 by dividing by 2.5 (Warne et al. 2018).</w:t>
      </w:r>
    </w:p>
    <w:p w14:paraId="5914F577" w14:textId="77777777" w:rsidR="00606A7B" w:rsidRDefault="00606A7B" w:rsidP="00606A7B"/>
    <w:p w14:paraId="1419BD1C" w14:textId="77777777" w:rsidR="00606A7B" w:rsidRDefault="00606A7B" w:rsidP="00606A7B">
      <w:pPr>
        <w:sectPr w:rsidR="00606A7B" w:rsidSect="007336AC">
          <w:headerReference w:type="default" r:id="rId24"/>
          <w:headerReference w:type="first" r:id="rId25"/>
          <w:footerReference w:type="first" r:id="rId26"/>
          <w:pgSz w:w="16838" w:h="11906" w:orient="landscape"/>
          <w:pgMar w:top="1418" w:right="1418" w:bottom="1418" w:left="1418" w:header="567" w:footer="283" w:gutter="0"/>
          <w:cols w:space="708"/>
          <w:docGrid w:linePitch="360"/>
        </w:sectPr>
      </w:pPr>
    </w:p>
    <w:p w14:paraId="3A789DB5" w14:textId="77777777" w:rsidR="00606A7B" w:rsidRDefault="00C30114" w:rsidP="00606A7B">
      <w:pPr>
        <w:pStyle w:val="Heading2"/>
        <w:numPr>
          <w:ilvl w:val="0"/>
          <w:numId w:val="0"/>
        </w:numPr>
        <w:ind w:left="680" w:hanging="680"/>
      </w:pPr>
      <w:bookmarkStart w:id="31" w:name="_Toc4498839"/>
      <w:bookmarkStart w:id="32" w:name="_Toc34400620"/>
      <w:r w:rsidRPr="00585FD8">
        <w:lastRenderedPageBreak/>
        <w:t>References</w:t>
      </w:r>
      <w:bookmarkEnd w:id="31"/>
      <w:bookmarkEnd w:id="32"/>
    </w:p>
    <w:p w14:paraId="40470DFB" w14:textId="77777777" w:rsidR="00084FD4" w:rsidRDefault="00C30114" w:rsidP="00084FD4">
      <w:r w:rsidRPr="00E8382D">
        <w:t xml:space="preserve">ACVM 2020. </w:t>
      </w:r>
      <w:r w:rsidRPr="00BC46DD">
        <w:t xml:space="preserve">Agricultural Compounds and Veterinary Medicines (ACVM) </w:t>
      </w:r>
      <w:r w:rsidRPr="00BC46DD">
        <w:t>register</w:t>
      </w:r>
      <w:r w:rsidRPr="00E8382D">
        <w:t xml:space="preserve">. Minister for Primary Industries New Zealand. </w:t>
      </w:r>
    </w:p>
    <w:p w14:paraId="00F03F3D" w14:textId="77777777" w:rsidR="00F76B3B" w:rsidRDefault="00C30114" w:rsidP="006059D0">
      <w:r>
        <w:t xml:space="preserve">ALA 2017. </w:t>
      </w:r>
      <w:r w:rsidRPr="000F5E0B">
        <w:t>Atlas of Living Australia</w:t>
      </w:r>
      <w:r>
        <w:t xml:space="preserve">. Developed by the National Research Infrastructure for Australia (NCRIS) and the Commonwealth Scientific and Industrial Research Organisation (CSIRO). </w:t>
      </w:r>
      <w:r>
        <w:t>Accessed May 2017.</w:t>
      </w:r>
    </w:p>
    <w:p w14:paraId="1BB6AD9A" w14:textId="77777777" w:rsidR="00F76B3B" w:rsidRDefault="00C30114" w:rsidP="006059D0">
      <w:r>
        <w:t>ANZECC/ARMCANZ 2000. Australian and New Zealand Guidelines for Fresh and Marine Water Quality/Aquatic Ecosystems: Rationale and background information (Chapter 8), Australian and New Zealand Environment and Conservation Council and Agric</w:t>
      </w:r>
      <w:r>
        <w:t>ulture and Resource Management Council of Australia and New Zealand, Canberra, Australia, 678 pp.</w:t>
      </w:r>
    </w:p>
    <w:p w14:paraId="4A2EA764" w14:textId="77777777" w:rsidR="00F76B3B" w:rsidRDefault="00C30114" w:rsidP="006059D0">
      <w:r w:rsidRPr="00E02F1A">
        <w:t xml:space="preserve">ANZG 2018. </w:t>
      </w:r>
      <w:r w:rsidRPr="00B22744">
        <w:t>Australian and New Zealand Guidelines for Fresh and Marine Water Quality</w:t>
      </w:r>
      <w:r w:rsidRPr="00E02F1A">
        <w:t>. Australian</w:t>
      </w:r>
      <w:r>
        <w:t xml:space="preserve"> </w:t>
      </w:r>
      <w:r w:rsidRPr="00E02F1A">
        <w:t>and New Zealand Governments and Australian state and territory</w:t>
      </w:r>
      <w:r w:rsidRPr="00E02F1A">
        <w:t xml:space="preserve"> governments, Canberra, ACT, Australia</w:t>
      </w:r>
      <w:r>
        <w:t>.</w:t>
      </w:r>
    </w:p>
    <w:p w14:paraId="7AD88061" w14:textId="77777777" w:rsidR="00084FD4" w:rsidRPr="00084FD4" w:rsidRDefault="00C30114" w:rsidP="00084FD4">
      <w:r w:rsidRPr="00084FD4">
        <w:t xml:space="preserve">APVMA 2020. </w:t>
      </w:r>
      <w:r w:rsidRPr="00084FD4">
        <w:t>Public Chemical Registration Information System Search</w:t>
      </w:r>
      <w:r w:rsidRPr="00084FD4">
        <w:t>. Australian Pesticide and Veterinary Medicine Authority.</w:t>
      </w:r>
    </w:p>
    <w:p w14:paraId="5EC1F1B0" w14:textId="77777777" w:rsidR="00F76B3B" w:rsidRDefault="00C30114" w:rsidP="006059D0">
      <w:r>
        <w:t xml:space="preserve">Barcelö, D &amp; Hennion MC 2003. Pesticides and their degradation products: Characteristics, </w:t>
      </w:r>
      <w:proofErr w:type="gramStart"/>
      <w:r>
        <w:t>us</w:t>
      </w:r>
      <w:r>
        <w:t>age</w:t>
      </w:r>
      <w:proofErr w:type="gramEnd"/>
      <w:r>
        <w:t xml:space="preserve"> and environmental behaviour. In: Trace determination of pesticides and their degradation products in water. Techniques and Instrumentation in Analytical Chemistry. </w:t>
      </w:r>
      <w:r w:rsidRPr="002C27B4">
        <w:rPr>
          <w:i/>
        </w:rPr>
        <w:t>Elsevier Science</w:t>
      </w:r>
      <w:r>
        <w:t>, 19, 1–89.</w:t>
      </w:r>
    </w:p>
    <w:p w14:paraId="5161CEDE" w14:textId="77777777" w:rsidR="00F76B3B" w:rsidRDefault="00C30114" w:rsidP="006059D0">
      <w:r>
        <w:t>BCPC 2012. A world compendium. The Pesticide Manual. Sixteen</w:t>
      </w:r>
      <w:r>
        <w:t>th Edition. C MacBean (ed). British Crop Production Council, Alton, United Kingdom, 782–783 pp.</w:t>
      </w:r>
    </w:p>
    <w:p w14:paraId="304A0400" w14:textId="77777777" w:rsidR="00F76B3B" w:rsidRPr="00066694" w:rsidRDefault="00C30114" w:rsidP="006059D0">
      <w:r w:rsidRPr="00066694">
        <w:t>Boxall</w:t>
      </w:r>
      <w:r>
        <w:t>,</w:t>
      </w:r>
      <w:r w:rsidRPr="00066694">
        <w:t xml:space="preserve"> AB, Fogg</w:t>
      </w:r>
      <w:r>
        <w:t>,</w:t>
      </w:r>
      <w:r w:rsidRPr="00066694">
        <w:t xml:space="preserve"> LA, Ashauer</w:t>
      </w:r>
      <w:r>
        <w:t>,</w:t>
      </w:r>
      <w:r w:rsidRPr="00066694">
        <w:t xml:space="preserve"> R, Bowles</w:t>
      </w:r>
      <w:r>
        <w:t>,</w:t>
      </w:r>
      <w:r w:rsidRPr="00066694">
        <w:t xml:space="preserve"> T, Sinclair CJ, Colyer</w:t>
      </w:r>
      <w:r>
        <w:t>,</w:t>
      </w:r>
      <w:r w:rsidRPr="00066694">
        <w:t xml:space="preserve"> A </w:t>
      </w:r>
      <w:r>
        <w:t>&amp; Brain RA 2013</w:t>
      </w:r>
      <w:r w:rsidRPr="00066694">
        <w:t>. Effects of repeated pulsed herbicide exposures on the growth of aquatic mac</w:t>
      </w:r>
      <w:r w:rsidRPr="00066694">
        <w:t>rophytes</w:t>
      </w:r>
      <w:r>
        <w:t>.</w:t>
      </w:r>
      <w:r w:rsidRPr="00066694">
        <w:t xml:space="preserve"> </w:t>
      </w:r>
      <w:r w:rsidRPr="006059D0">
        <w:rPr>
          <w:i/>
        </w:rPr>
        <w:t>Environmental Toxicology and Chemistry</w:t>
      </w:r>
      <w:r w:rsidRPr="00066694">
        <w:t>, 32, 193–200.</w:t>
      </w:r>
    </w:p>
    <w:p w14:paraId="22883650" w14:textId="77777777" w:rsidR="00F76B3B" w:rsidRDefault="00C30114" w:rsidP="006059D0">
      <w:r>
        <w:t xml:space="preserve">Cornell University 1993. </w:t>
      </w:r>
      <w:r w:rsidRPr="00FD6159">
        <w:t>EXTOXNET (Extension Toxicology Network): Metsulfuon-methyl</w:t>
      </w:r>
      <w:r>
        <w:t>. Developed by the Pesticide Management Education Program (PMEP), Cornell University. Accessed 9 November 2015</w:t>
      </w:r>
      <w:r>
        <w:t>.</w:t>
      </w:r>
    </w:p>
    <w:p w14:paraId="5E986B62" w14:textId="77777777" w:rsidR="00F76B3B" w:rsidRDefault="00C30114" w:rsidP="006059D0">
      <w:r>
        <w:t xml:space="preserve">FAO UN 2015. </w:t>
      </w:r>
      <w:r w:rsidRPr="00FD6159">
        <w:t>FAO Specifications and evaluations for plant protection products: Metsulfuron-methyl, methyl 2-(4-methoxy-6-methyl-1,3,5-triazin-2-</w:t>
      </w:r>
      <w:proofErr w:type="gramStart"/>
      <w:r w:rsidRPr="00FD6159">
        <w:t>ylcarbamoylsulfamoyl)benzoate</w:t>
      </w:r>
      <w:proofErr w:type="gramEnd"/>
      <w:r>
        <w:t xml:space="preserve">. Food and Agriculture Organisation of the United Nations, Rome, Italy. Accessed </w:t>
      </w:r>
      <w:r>
        <w:t>12 September 2015.</w:t>
      </w:r>
    </w:p>
    <w:p w14:paraId="185C8404" w14:textId="77777777" w:rsidR="00F76B3B" w:rsidRDefault="00C30114" w:rsidP="006059D0">
      <w:r>
        <w:t xml:space="preserve">Guiry, MD &amp; Guiry, GM 2017. </w:t>
      </w:r>
      <w:r w:rsidRPr="00FD6159">
        <w:t>AlgaeBase</w:t>
      </w:r>
      <w:r>
        <w:t xml:space="preserve">. World-wide electronic publication, National University of Ireland, Galway. Accessed May 2017. </w:t>
      </w:r>
    </w:p>
    <w:p w14:paraId="30415922" w14:textId="77777777" w:rsidR="00F76B3B" w:rsidRDefault="00C30114" w:rsidP="006059D0">
      <w:r>
        <w:t xml:space="preserve">ITIS 2017. </w:t>
      </w:r>
      <w:r w:rsidRPr="002F3832">
        <w:t>Integrated Taxonomic Information System</w:t>
      </w:r>
      <w:r>
        <w:t xml:space="preserve">. Accessed May 2017. </w:t>
      </w:r>
    </w:p>
    <w:p w14:paraId="5605325C" w14:textId="77777777" w:rsidR="00F76B3B" w:rsidRDefault="00C30114" w:rsidP="006059D0">
      <w:r>
        <w:t>Kah, M &amp; Brown, CD 2007. Behavi</w:t>
      </w:r>
      <w:r>
        <w:t>our of ionisable pesticides in soils. Earth Sciences. The University of York.</w:t>
      </w:r>
    </w:p>
    <w:p w14:paraId="2069D86D" w14:textId="77777777" w:rsidR="00F76B3B" w:rsidRPr="00066694" w:rsidRDefault="00C30114" w:rsidP="006059D0">
      <w:r w:rsidRPr="00066694">
        <w:lastRenderedPageBreak/>
        <w:t>Rosenkrantz</w:t>
      </w:r>
      <w:r>
        <w:t>,</w:t>
      </w:r>
      <w:r w:rsidRPr="00066694">
        <w:t xml:space="preserve"> RT, Cedergreen</w:t>
      </w:r>
      <w:r>
        <w:t>,</w:t>
      </w:r>
      <w:r w:rsidRPr="00066694">
        <w:t xml:space="preserve"> N, Baun</w:t>
      </w:r>
      <w:r>
        <w:t>,</w:t>
      </w:r>
      <w:r w:rsidRPr="00066694">
        <w:t xml:space="preserve"> A </w:t>
      </w:r>
      <w:r>
        <w:t>&amp;</w:t>
      </w:r>
      <w:r w:rsidRPr="00066694">
        <w:t xml:space="preserve"> Kusk</w:t>
      </w:r>
      <w:r>
        <w:t xml:space="preserve">, KO </w:t>
      </w:r>
      <w:r w:rsidRPr="00066694">
        <w:t>2</w:t>
      </w:r>
      <w:r>
        <w:t>013</w:t>
      </w:r>
      <w:r w:rsidRPr="00066694">
        <w:t xml:space="preserve">. Influence of pH, light cycle, and temperature on ecotoxicity of four sulfonylurea herbicides towards </w:t>
      </w:r>
      <w:r w:rsidRPr="006059D0">
        <w:rPr>
          <w:i/>
        </w:rPr>
        <w:t>Lemna gibba</w:t>
      </w:r>
      <w:r>
        <w:t>.</w:t>
      </w:r>
      <w:r w:rsidRPr="00066694">
        <w:t xml:space="preserve"> </w:t>
      </w:r>
      <w:r w:rsidRPr="006059D0">
        <w:rPr>
          <w:i/>
        </w:rPr>
        <w:t>Ecotoxicology</w:t>
      </w:r>
      <w:r w:rsidRPr="00066694">
        <w:t>, 22, 33–41.</w:t>
      </w:r>
    </w:p>
    <w:p w14:paraId="17A0A1BF" w14:textId="77777777" w:rsidR="00F76B3B" w:rsidRDefault="00C30114" w:rsidP="006059D0">
      <w:r>
        <w:t>Roskov, Y, Abucay, L, Orrell, T, Nicolson, D, Bailly, N, Kirk, PM, Bourgoin, T, DeWalt, RE, Decock, W, De Wever, A</w:t>
      </w:r>
      <w:r>
        <w:t xml:space="preserve">, Nieukerken, E, Zarucchi, J, Penev, L (eds) 2017. </w:t>
      </w:r>
      <w:r w:rsidRPr="00CC615F">
        <w:t>Species 2000 &amp; ITIS Catalogue of Life, 30th April 2017</w:t>
      </w:r>
      <w:r>
        <w:t>. Species 2000: Naturalis, Leiden, the Netherlands. ISSN 2405-8858. Accessed May 2017.</w:t>
      </w:r>
    </w:p>
    <w:p w14:paraId="0869CF31" w14:textId="77777777" w:rsidR="00F76B3B" w:rsidRDefault="00C30114" w:rsidP="006059D0">
      <w:r>
        <w:t>Smith, AE 1986. Persistence of the herbicides [14c] chlorsulfuro</w:t>
      </w:r>
      <w:r>
        <w:t xml:space="preserve">n and [14C] metsulfuron-methyl in prairie soils under laboratory conditions. </w:t>
      </w:r>
      <w:r w:rsidRPr="00CD671D">
        <w:rPr>
          <w:i/>
        </w:rPr>
        <w:t>Bulletin of Environmental Contamination and Toxicology</w:t>
      </w:r>
      <w:r>
        <w:t>, 37, 698–704.</w:t>
      </w:r>
    </w:p>
    <w:p w14:paraId="5E3E441F" w14:textId="77777777" w:rsidR="00F76B3B" w:rsidRDefault="00C30114" w:rsidP="006059D0">
      <w:r>
        <w:t>Sunderam, RIM, Warne, MStJ, Chapman, JC, Pablo, F, Hawkins, J, Rose, RM &amp; Patra, RW 2000. The ANZECC and ARMCA</w:t>
      </w:r>
      <w:r>
        <w:t>NZ Water Quality Guideline Database for Toxicants. Supplied as part of a CD-ROM in the ANZECC/ARMCANZ (2000) Australian and New Zealand Guidelines for Fresh and Marine Water Quality.</w:t>
      </w:r>
    </w:p>
    <w:p w14:paraId="15C83161" w14:textId="77777777" w:rsidR="00F76B3B" w:rsidRDefault="00C30114" w:rsidP="006059D0">
      <w:r>
        <w:t xml:space="preserve">University of Hertfordshire 2013. </w:t>
      </w:r>
      <w:r w:rsidRPr="00CC615F">
        <w:t>The Pesticide Properties Data Base (PPD</w:t>
      </w:r>
      <w:r w:rsidRPr="00CC615F">
        <w:t>B)</w:t>
      </w:r>
      <w:r>
        <w:t>. Developed by the Agriculture &amp; Environment Research Unit (AERU), University of Hertfordshire, 2006–2013. Accessed 13 May 2016.</w:t>
      </w:r>
    </w:p>
    <w:p w14:paraId="3C1B2118" w14:textId="77777777" w:rsidR="00F76B3B" w:rsidRDefault="00C30114" w:rsidP="006059D0">
      <w:r>
        <w:t xml:space="preserve">USEPA 2015a. </w:t>
      </w:r>
      <w:r w:rsidRPr="00CC615F">
        <w:t>ECOTOX User Guide: ECOTOXicology Database System</w:t>
      </w:r>
      <w:r>
        <w:t>. Version 4.0. United States Environmental Protection Agency. Ac</w:t>
      </w:r>
      <w:r>
        <w:t>cessed May–September 2015.</w:t>
      </w:r>
    </w:p>
    <w:p w14:paraId="77D15ACD" w14:textId="77777777" w:rsidR="00F76B3B" w:rsidRDefault="00C30114" w:rsidP="006059D0">
      <w:r>
        <w:t xml:space="preserve">USEPA 2015b. </w:t>
      </w:r>
      <w:r w:rsidRPr="00882A73">
        <w:t>Office of Pesticide Programs Database</w:t>
      </w:r>
      <w:r>
        <w:t xml:space="preserve">. United States Environmental Protection Agency, Office of Prevention, Pesticides, and Toxic Substances. Office of Pesticide Programs. Washington, D.C. January 23, 2004. Accessed </w:t>
      </w:r>
      <w:r>
        <w:t>February–April 2016.</w:t>
      </w:r>
    </w:p>
    <w:p w14:paraId="35955672" w14:textId="77777777" w:rsidR="00F76B3B" w:rsidRDefault="00C30114" w:rsidP="006059D0">
      <w:r w:rsidRPr="00AA09A5">
        <w:t xml:space="preserve">Warne MStJ, Batley GE, van Dam RA, Chapman JC, Fox DR, Hickey CW &amp; Stauber JL 2015. Revised Method for Deriving Australian and New Zealand Water Quality Guideline Values for Toxicants – update of 2014 version. </w:t>
      </w:r>
      <w:r w:rsidRPr="00AA09A5">
        <w:rPr>
          <w:lang w:val="en-US"/>
        </w:rPr>
        <w:t>Prepared for the revision</w:t>
      </w:r>
      <w:r w:rsidRPr="00AA09A5">
        <w:rPr>
          <w:lang w:val="en-US"/>
        </w:rPr>
        <w:t xml:space="preserve"> of the Australian and New Zealand Guidelines for Fresh and Marine Water Quality,</w:t>
      </w:r>
      <w:r w:rsidRPr="00AA09A5">
        <w:t xml:space="preserve"> Department of Science, Information Technology and Innovation, Brisbane, Queensland, 49 pp.</w:t>
      </w:r>
    </w:p>
    <w:p w14:paraId="3D222383" w14:textId="77777777" w:rsidR="00F76B3B" w:rsidRDefault="00C30114" w:rsidP="006059D0">
      <w:r>
        <w:t>Warne MStJ, Batley GE, van Dam RA, Chapman JC, Fox DR, Hickey CW &amp; Stauber JL 2018.</w:t>
      </w:r>
      <w:r>
        <w:t xml:space="preserve"> Revised Method for Deriving Australian and New Zealand Water Quality Guideline Values for Toxicants – update of 2015 version. Prepared for the revision of the Australian and New Zealand Guidelines for Fresh and Marine Water Quality. Australian and New Zea</w:t>
      </w:r>
      <w:r>
        <w:t>land Governments and Australian state and territory governments, Canberra, 48 pp.</w:t>
      </w:r>
    </w:p>
    <w:p w14:paraId="61B93919" w14:textId="77777777" w:rsidR="00F76B3B" w:rsidRDefault="00C30114" w:rsidP="006059D0">
      <w:r>
        <w:t xml:space="preserve">Warne, MStJ, Westbury, A-M &amp; Sunderam, R 1998. A compilation of toxicity data for chemicals to Australasian aquatic species. Part 1: Pesticides. </w:t>
      </w:r>
      <w:r w:rsidRPr="00AA09A5">
        <w:rPr>
          <w:i/>
        </w:rPr>
        <w:t>Australasian Journal of Ecoto</w:t>
      </w:r>
      <w:r w:rsidRPr="00AA09A5">
        <w:rPr>
          <w:i/>
        </w:rPr>
        <w:t>xicology</w:t>
      </w:r>
      <w:r>
        <w:t>, 4, 93–144.</w:t>
      </w:r>
    </w:p>
    <w:p w14:paraId="19D04C20" w14:textId="77777777" w:rsidR="00F76B3B" w:rsidRPr="00066694" w:rsidRDefault="00C30114" w:rsidP="006059D0">
      <w:r w:rsidRPr="00066694">
        <w:t>Wendt-Rasch</w:t>
      </w:r>
      <w:r>
        <w:t>,</w:t>
      </w:r>
      <w:r w:rsidRPr="00066694">
        <w:t xml:space="preserve"> L, Pirzadeh</w:t>
      </w:r>
      <w:r>
        <w:t>,</w:t>
      </w:r>
      <w:r w:rsidRPr="00066694">
        <w:t xml:space="preserve"> P </w:t>
      </w:r>
      <w:r>
        <w:t>&amp;</w:t>
      </w:r>
      <w:r w:rsidRPr="00066694">
        <w:t xml:space="preserve"> Woin</w:t>
      </w:r>
      <w:r>
        <w:t>,</w:t>
      </w:r>
      <w:r w:rsidRPr="00066694">
        <w:t xml:space="preserve"> P 2003. Effects of metsulfuron methyl and cypermethrin exposure</w:t>
      </w:r>
      <w:r>
        <w:t xml:space="preserve"> on freshwater model ecosystems.</w:t>
      </w:r>
      <w:r w:rsidRPr="00066694">
        <w:t xml:space="preserve"> </w:t>
      </w:r>
      <w:r w:rsidRPr="006059D0">
        <w:rPr>
          <w:i/>
        </w:rPr>
        <w:t>Aquatic Toxicology</w:t>
      </w:r>
      <w:r w:rsidRPr="00066694">
        <w:t>, 63, 243–256.</w:t>
      </w:r>
    </w:p>
    <w:p w14:paraId="67052B82" w14:textId="77777777" w:rsidR="00F76B3B" w:rsidRDefault="00C30114" w:rsidP="006059D0">
      <w:pPr>
        <w:rPr>
          <w:highlight w:val="yellow"/>
        </w:rPr>
      </w:pPr>
      <w:r>
        <w:t xml:space="preserve">WoRMS Editorial Board 2017. </w:t>
      </w:r>
      <w:r w:rsidRPr="00CC615F">
        <w:t>World Register of Marine Species</w:t>
      </w:r>
      <w:r>
        <w:t>. VLIZ. do</w:t>
      </w:r>
      <w:r>
        <w:t xml:space="preserve">i:10.14284/170. Accessed May 2017. </w:t>
      </w:r>
    </w:p>
    <w:sectPr w:rsidR="00F76B3B" w:rsidSect="00606A7B">
      <w:headerReference w:type="default" r:id="rId2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6726D" w14:textId="77777777" w:rsidR="00000000" w:rsidRDefault="00C30114">
      <w:pPr>
        <w:spacing w:after="0" w:line="240" w:lineRule="auto"/>
      </w:pPr>
      <w:r>
        <w:separator/>
      </w:r>
    </w:p>
  </w:endnote>
  <w:endnote w:type="continuationSeparator" w:id="0">
    <w:p w14:paraId="1C491256" w14:textId="77777777" w:rsidR="00000000" w:rsidRDefault="00C3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8F0B" w14:textId="77777777" w:rsidR="000766E2" w:rsidRDefault="00C30114" w:rsidP="00B22744">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sidR="00B43F23">
      <w:rPr>
        <w:noProof/>
      </w:rPr>
      <w:t>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6CFA" w14:textId="77777777" w:rsidR="000766E2" w:rsidRDefault="00C30114" w:rsidP="00B22744">
    <w:pPr>
      <w:pStyle w:val="Footer"/>
      <w:tabs>
        <w:tab w:val="clear" w:pos="4536"/>
        <w:tab w:val="left" w:pos="8647"/>
        <w:tab w:val="left" w:pos="14034"/>
      </w:tabs>
      <w:spacing w:before="120"/>
    </w:pPr>
    <w:r>
      <w:t xml:space="preserve">Australian and New Zealand Guidelines for Fresh </w:t>
    </w:r>
    <w:r>
      <w:t>and Marine Water Quality</w:t>
    </w:r>
    <w:r>
      <w:tab/>
    </w:r>
    <w:r>
      <w:fldChar w:fldCharType="begin"/>
    </w:r>
    <w:r>
      <w:instrText xml:space="preserve"> PAGE   \* MERGEFORMAT </w:instrText>
    </w:r>
    <w:r>
      <w:fldChar w:fldCharType="separate"/>
    </w:r>
    <w:r w:rsidR="00B43F2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0D30" w14:textId="77777777" w:rsidR="000766E2" w:rsidRDefault="00C30114" w:rsidP="00B22744">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sidR="00B43F23">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CCC5B" w14:textId="77777777" w:rsidR="00000000" w:rsidRDefault="00C30114">
      <w:pPr>
        <w:spacing w:after="0" w:line="240" w:lineRule="auto"/>
      </w:pPr>
      <w:r>
        <w:separator/>
      </w:r>
    </w:p>
  </w:footnote>
  <w:footnote w:type="continuationSeparator" w:id="0">
    <w:p w14:paraId="1B7A6C9D" w14:textId="77777777" w:rsidR="00000000" w:rsidRDefault="00C3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65FE" w14:textId="77777777" w:rsidR="000766E2" w:rsidRDefault="00C30114">
    <w:pPr>
      <w:pStyle w:val="Header"/>
    </w:pPr>
    <w:r>
      <w:t xml:space="preserve">Toxicant default guideline values for aquatic ecosystem protection: </w:t>
    </w:r>
    <w:r w:rsidRPr="007D5876">
      <w:t>Metsulfuron-methyl</w:t>
    </w:r>
    <w:r>
      <w:t xml:space="preserve"> in freshwater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0D58" w14:textId="77777777" w:rsidR="000766E2" w:rsidRDefault="00C30114">
    <w:pPr>
      <w:pStyle w:val="Header"/>
    </w:pPr>
    <w:r>
      <w:rPr>
        <w:noProof/>
        <w:lang w:eastAsia="en-AU"/>
      </w:rPr>
      <w:drawing>
        <wp:anchor distT="0" distB="0" distL="114300" distR="114300" simplePos="0" relativeHeight="251658240" behindDoc="1" locked="0" layoutInCell="1" allowOverlap="1" wp14:anchorId="4ADFAA44" wp14:editId="0193DE87">
          <wp:simplePos x="0" y="0"/>
          <wp:positionH relativeFrom="column">
            <wp:posOffset>-895406</wp:posOffset>
          </wp:positionH>
          <wp:positionV relativeFrom="paragraph">
            <wp:posOffset>-355021</wp:posOffset>
          </wp:positionV>
          <wp:extent cx="7556361" cy="10687529"/>
          <wp:effectExtent l="0" t="0" r="6985" b="0"/>
          <wp:wrapNone/>
          <wp:docPr id="2" name="Picture 2"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645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783F" w14:textId="77777777" w:rsidR="000766E2" w:rsidRPr="001303C0" w:rsidRDefault="00C30114" w:rsidP="001303C0">
    <w:pPr>
      <w:pStyle w:val="Header"/>
    </w:pPr>
    <w:r>
      <w:t xml:space="preserve">Toxicant default guideline values for aquatic ecosystem protection: </w:t>
    </w:r>
    <w:r w:rsidRPr="00243C97">
      <w:t>Metsulfuron-methyl in freshwater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1E616" w14:textId="77777777" w:rsidR="000766E2" w:rsidRPr="001303C0" w:rsidRDefault="00C30114" w:rsidP="001303C0">
    <w:pPr>
      <w:pStyle w:val="Header"/>
    </w:pPr>
    <w:r>
      <w:t xml:space="preserve">Toxicant default guideline values for aquatic ecosystem protection: </w:t>
    </w:r>
    <w:r w:rsidRPr="00243C97">
      <w:t>Metsulfuron-methyl in freshwater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88C5" w14:textId="77777777" w:rsidR="000766E2" w:rsidRPr="000756BD" w:rsidRDefault="00C30114" w:rsidP="000756BD">
    <w:pPr>
      <w:pStyle w:val="Header"/>
    </w:pPr>
    <w:r>
      <w:t xml:space="preserve">Toxicant default guideline values for aquatic ecosystem protection: </w:t>
    </w:r>
    <w:r w:rsidRPr="00243C97">
      <w:t>Metsulfuron-methyl in freshwater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D4A7" w14:textId="77777777" w:rsidR="000766E2" w:rsidRPr="000756BD" w:rsidRDefault="00C30114" w:rsidP="000756BD">
    <w:pPr>
      <w:pStyle w:val="Header"/>
    </w:pPr>
    <w:r>
      <w:t>Toxicant default guideline values for aquatic ecosystem protec</w:t>
    </w:r>
    <w:r>
      <w:t xml:space="preserve">tion: </w:t>
    </w:r>
    <w:r w:rsidRPr="00243C97">
      <w:t>Metsulfuron-methyl in freshwater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97EE0" w14:textId="77777777" w:rsidR="000766E2" w:rsidRPr="000756BD" w:rsidRDefault="00C30114" w:rsidP="000756BD">
    <w:pPr>
      <w:pStyle w:val="Header"/>
    </w:pPr>
    <w:r>
      <w:t xml:space="preserve">Toxicant default guideline values for aquatic ecosystem protection: </w:t>
    </w:r>
    <w:r w:rsidRPr="00243C97">
      <w:t>Metsulfuron-methyl in freshwater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3C6"/>
    <w:multiLevelType w:val="hybridMultilevel"/>
    <w:tmpl w:val="010C91D2"/>
    <w:lvl w:ilvl="0" w:tplc="3A808F2C">
      <w:start w:val="1"/>
      <w:numFmt w:val="decimal"/>
      <w:lvlText w:val="%1"/>
      <w:lvlJc w:val="left"/>
      <w:pPr>
        <w:ind w:left="720" w:hanging="360"/>
      </w:pPr>
      <w:rPr>
        <w:rFonts w:hint="default"/>
      </w:rPr>
    </w:lvl>
    <w:lvl w:ilvl="1" w:tplc="2318CB14" w:tentative="1">
      <w:start w:val="1"/>
      <w:numFmt w:val="lowerLetter"/>
      <w:lvlText w:val="%2."/>
      <w:lvlJc w:val="left"/>
      <w:pPr>
        <w:ind w:left="1440" w:hanging="360"/>
      </w:pPr>
    </w:lvl>
    <w:lvl w:ilvl="2" w:tplc="332A4206" w:tentative="1">
      <w:start w:val="1"/>
      <w:numFmt w:val="lowerRoman"/>
      <w:lvlText w:val="%3."/>
      <w:lvlJc w:val="right"/>
      <w:pPr>
        <w:ind w:left="2160" w:hanging="180"/>
      </w:pPr>
    </w:lvl>
    <w:lvl w:ilvl="3" w:tplc="5A944FCA" w:tentative="1">
      <w:start w:val="1"/>
      <w:numFmt w:val="decimal"/>
      <w:lvlText w:val="%4."/>
      <w:lvlJc w:val="left"/>
      <w:pPr>
        <w:ind w:left="2880" w:hanging="360"/>
      </w:pPr>
    </w:lvl>
    <w:lvl w:ilvl="4" w:tplc="576EA63C" w:tentative="1">
      <w:start w:val="1"/>
      <w:numFmt w:val="lowerLetter"/>
      <w:lvlText w:val="%5."/>
      <w:lvlJc w:val="left"/>
      <w:pPr>
        <w:ind w:left="3600" w:hanging="360"/>
      </w:pPr>
    </w:lvl>
    <w:lvl w:ilvl="5" w:tplc="E4E264E8" w:tentative="1">
      <w:start w:val="1"/>
      <w:numFmt w:val="lowerRoman"/>
      <w:lvlText w:val="%6."/>
      <w:lvlJc w:val="right"/>
      <w:pPr>
        <w:ind w:left="4320" w:hanging="180"/>
      </w:pPr>
    </w:lvl>
    <w:lvl w:ilvl="6" w:tplc="8D6E5336" w:tentative="1">
      <w:start w:val="1"/>
      <w:numFmt w:val="decimal"/>
      <w:lvlText w:val="%7."/>
      <w:lvlJc w:val="left"/>
      <w:pPr>
        <w:ind w:left="5040" w:hanging="360"/>
      </w:pPr>
    </w:lvl>
    <w:lvl w:ilvl="7" w:tplc="9A2298DE" w:tentative="1">
      <w:start w:val="1"/>
      <w:numFmt w:val="lowerLetter"/>
      <w:lvlText w:val="%8."/>
      <w:lvlJc w:val="left"/>
      <w:pPr>
        <w:ind w:left="5760" w:hanging="360"/>
      </w:pPr>
    </w:lvl>
    <w:lvl w:ilvl="8" w:tplc="2C22A412" w:tentative="1">
      <w:start w:val="1"/>
      <w:numFmt w:val="lowerRoman"/>
      <w:lvlText w:val="%9."/>
      <w:lvlJc w:val="right"/>
      <w:pPr>
        <w:ind w:left="6480" w:hanging="180"/>
      </w:p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7FA091E"/>
    <w:multiLevelType w:val="multilevel"/>
    <w:tmpl w:val="757ED760"/>
    <w:numStyleLink w:val="Style1"/>
  </w:abstractNum>
  <w:abstractNum w:abstractNumId="4" w15:restartNumberingAfterBreak="0">
    <w:nsid w:val="196B606F"/>
    <w:multiLevelType w:val="hybridMultilevel"/>
    <w:tmpl w:val="E0560262"/>
    <w:lvl w:ilvl="0" w:tplc="B5668092">
      <w:start w:val="1"/>
      <w:numFmt w:val="bullet"/>
      <w:pStyle w:val="TableBullet"/>
      <w:lvlText w:val=""/>
      <w:lvlJc w:val="left"/>
      <w:pPr>
        <w:ind w:left="720" w:hanging="360"/>
      </w:pPr>
      <w:rPr>
        <w:rFonts w:ascii="Symbol" w:hAnsi="Symbol" w:hint="default"/>
      </w:rPr>
    </w:lvl>
    <w:lvl w:ilvl="1" w:tplc="F64C72E4" w:tentative="1">
      <w:start w:val="1"/>
      <w:numFmt w:val="bullet"/>
      <w:lvlText w:val="o"/>
      <w:lvlJc w:val="left"/>
      <w:pPr>
        <w:ind w:left="1440" w:hanging="360"/>
      </w:pPr>
      <w:rPr>
        <w:rFonts w:ascii="Courier New" w:hAnsi="Courier New" w:cs="Courier New" w:hint="default"/>
      </w:rPr>
    </w:lvl>
    <w:lvl w:ilvl="2" w:tplc="0BAC0638" w:tentative="1">
      <w:start w:val="1"/>
      <w:numFmt w:val="bullet"/>
      <w:lvlText w:val=""/>
      <w:lvlJc w:val="left"/>
      <w:pPr>
        <w:ind w:left="2160" w:hanging="360"/>
      </w:pPr>
      <w:rPr>
        <w:rFonts w:ascii="Wingdings" w:hAnsi="Wingdings" w:hint="default"/>
      </w:rPr>
    </w:lvl>
    <w:lvl w:ilvl="3" w:tplc="DF7E5F22" w:tentative="1">
      <w:start w:val="1"/>
      <w:numFmt w:val="bullet"/>
      <w:lvlText w:val=""/>
      <w:lvlJc w:val="left"/>
      <w:pPr>
        <w:ind w:left="2880" w:hanging="360"/>
      </w:pPr>
      <w:rPr>
        <w:rFonts w:ascii="Symbol" w:hAnsi="Symbol" w:hint="default"/>
      </w:rPr>
    </w:lvl>
    <w:lvl w:ilvl="4" w:tplc="EF74E870" w:tentative="1">
      <w:start w:val="1"/>
      <w:numFmt w:val="bullet"/>
      <w:lvlText w:val="o"/>
      <w:lvlJc w:val="left"/>
      <w:pPr>
        <w:ind w:left="3600" w:hanging="360"/>
      </w:pPr>
      <w:rPr>
        <w:rFonts w:ascii="Courier New" w:hAnsi="Courier New" w:cs="Courier New" w:hint="default"/>
      </w:rPr>
    </w:lvl>
    <w:lvl w:ilvl="5" w:tplc="A4B8C0A8" w:tentative="1">
      <w:start w:val="1"/>
      <w:numFmt w:val="bullet"/>
      <w:lvlText w:val=""/>
      <w:lvlJc w:val="left"/>
      <w:pPr>
        <w:ind w:left="4320" w:hanging="360"/>
      </w:pPr>
      <w:rPr>
        <w:rFonts w:ascii="Wingdings" w:hAnsi="Wingdings" w:hint="default"/>
      </w:rPr>
    </w:lvl>
    <w:lvl w:ilvl="6" w:tplc="A7B8D3FC" w:tentative="1">
      <w:start w:val="1"/>
      <w:numFmt w:val="bullet"/>
      <w:lvlText w:val=""/>
      <w:lvlJc w:val="left"/>
      <w:pPr>
        <w:ind w:left="5040" w:hanging="360"/>
      </w:pPr>
      <w:rPr>
        <w:rFonts w:ascii="Symbol" w:hAnsi="Symbol" w:hint="default"/>
      </w:rPr>
    </w:lvl>
    <w:lvl w:ilvl="7" w:tplc="23E677D2" w:tentative="1">
      <w:start w:val="1"/>
      <w:numFmt w:val="bullet"/>
      <w:lvlText w:val="o"/>
      <w:lvlJc w:val="left"/>
      <w:pPr>
        <w:ind w:left="5760" w:hanging="360"/>
      </w:pPr>
      <w:rPr>
        <w:rFonts w:ascii="Courier New" w:hAnsi="Courier New" w:cs="Courier New" w:hint="default"/>
      </w:rPr>
    </w:lvl>
    <w:lvl w:ilvl="8" w:tplc="4FD61CBC" w:tentative="1">
      <w:start w:val="1"/>
      <w:numFmt w:val="bullet"/>
      <w:lvlText w:val=""/>
      <w:lvlJc w:val="left"/>
      <w:pPr>
        <w:ind w:left="6480" w:hanging="360"/>
      </w:pPr>
      <w:rPr>
        <w:rFonts w:ascii="Wingdings" w:hAnsi="Wingdings" w:hint="default"/>
      </w:rPr>
    </w:lvl>
  </w:abstractNum>
  <w:abstractNum w:abstractNumId="5" w15:restartNumberingAfterBreak="0">
    <w:nsid w:val="2453399E"/>
    <w:multiLevelType w:val="multilevel"/>
    <w:tmpl w:val="88964F4C"/>
    <w:numStyleLink w:val="heading"/>
  </w:abstractNum>
  <w:abstractNum w:abstractNumId="6" w15:restartNumberingAfterBreak="0">
    <w:nsid w:val="266777A9"/>
    <w:multiLevelType w:val="hybridMultilevel"/>
    <w:tmpl w:val="05585B16"/>
    <w:lvl w:ilvl="0" w:tplc="4706144C">
      <w:start w:val="1"/>
      <w:numFmt w:val="bullet"/>
      <w:lvlText w:val="-"/>
      <w:lvlJc w:val="left"/>
      <w:pPr>
        <w:ind w:left="720" w:hanging="360"/>
      </w:pPr>
      <w:rPr>
        <w:rFonts w:ascii="Calibri" w:eastAsiaTheme="minorHAnsi" w:hAnsi="Calibri" w:cstheme="minorBidi" w:hint="default"/>
      </w:rPr>
    </w:lvl>
    <w:lvl w:ilvl="1" w:tplc="EB581B14" w:tentative="1">
      <w:start w:val="1"/>
      <w:numFmt w:val="bullet"/>
      <w:lvlText w:val="o"/>
      <w:lvlJc w:val="left"/>
      <w:pPr>
        <w:ind w:left="1440" w:hanging="360"/>
      </w:pPr>
      <w:rPr>
        <w:rFonts w:ascii="Courier New" w:hAnsi="Courier New" w:cs="Courier New" w:hint="default"/>
      </w:rPr>
    </w:lvl>
    <w:lvl w:ilvl="2" w:tplc="26367196" w:tentative="1">
      <w:start w:val="1"/>
      <w:numFmt w:val="bullet"/>
      <w:lvlText w:val=""/>
      <w:lvlJc w:val="left"/>
      <w:pPr>
        <w:ind w:left="2160" w:hanging="360"/>
      </w:pPr>
      <w:rPr>
        <w:rFonts w:ascii="Wingdings" w:hAnsi="Wingdings" w:hint="default"/>
      </w:rPr>
    </w:lvl>
    <w:lvl w:ilvl="3" w:tplc="0422E7C4" w:tentative="1">
      <w:start w:val="1"/>
      <w:numFmt w:val="bullet"/>
      <w:lvlText w:val=""/>
      <w:lvlJc w:val="left"/>
      <w:pPr>
        <w:ind w:left="2880" w:hanging="360"/>
      </w:pPr>
      <w:rPr>
        <w:rFonts w:ascii="Symbol" w:hAnsi="Symbol" w:hint="default"/>
      </w:rPr>
    </w:lvl>
    <w:lvl w:ilvl="4" w:tplc="077463FC" w:tentative="1">
      <w:start w:val="1"/>
      <w:numFmt w:val="bullet"/>
      <w:lvlText w:val="o"/>
      <w:lvlJc w:val="left"/>
      <w:pPr>
        <w:ind w:left="3600" w:hanging="360"/>
      </w:pPr>
      <w:rPr>
        <w:rFonts w:ascii="Courier New" w:hAnsi="Courier New" w:cs="Courier New" w:hint="default"/>
      </w:rPr>
    </w:lvl>
    <w:lvl w:ilvl="5" w:tplc="3D9E3752" w:tentative="1">
      <w:start w:val="1"/>
      <w:numFmt w:val="bullet"/>
      <w:lvlText w:val=""/>
      <w:lvlJc w:val="left"/>
      <w:pPr>
        <w:ind w:left="4320" w:hanging="360"/>
      </w:pPr>
      <w:rPr>
        <w:rFonts w:ascii="Wingdings" w:hAnsi="Wingdings" w:hint="default"/>
      </w:rPr>
    </w:lvl>
    <w:lvl w:ilvl="6" w:tplc="B5DC30B0" w:tentative="1">
      <w:start w:val="1"/>
      <w:numFmt w:val="bullet"/>
      <w:lvlText w:val=""/>
      <w:lvlJc w:val="left"/>
      <w:pPr>
        <w:ind w:left="5040" w:hanging="360"/>
      </w:pPr>
      <w:rPr>
        <w:rFonts w:ascii="Symbol" w:hAnsi="Symbol" w:hint="default"/>
      </w:rPr>
    </w:lvl>
    <w:lvl w:ilvl="7" w:tplc="3B9665FC" w:tentative="1">
      <w:start w:val="1"/>
      <w:numFmt w:val="bullet"/>
      <w:lvlText w:val="o"/>
      <w:lvlJc w:val="left"/>
      <w:pPr>
        <w:ind w:left="5760" w:hanging="360"/>
      </w:pPr>
      <w:rPr>
        <w:rFonts w:ascii="Courier New" w:hAnsi="Courier New" w:cs="Courier New" w:hint="default"/>
      </w:rPr>
    </w:lvl>
    <w:lvl w:ilvl="8" w:tplc="055CFEE2" w:tentative="1">
      <w:start w:val="1"/>
      <w:numFmt w:val="bullet"/>
      <w:lvlText w:val=""/>
      <w:lvlJc w:val="left"/>
      <w:pPr>
        <w:ind w:left="6480" w:hanging="360"/>
      </w:pPr>
      <w:rPr>
        <w:rFonts w:ascii="Wingdings" w:hAnsi="Wingdings" w:hint="default"/>
      </w:rPr>
    </w:lvl>
  </w:abstractNum>
  <w:abstractNum w:abstractNumId="7"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2D595B46"/>
    <w:multiLevelType w:val="multilevel"/>
    <w:tmpl w:val="C32AB9AA"/>
    <w:numStyleLink w:val="ListNumber1"/>
  </w:abstractNum>
  <w:abstractNum w:abstractNumId="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6D54222"/>
    <w:multiLevelType w:val="multilevel"/>
    <w:tmpl w:val="757ED760"/>
    <w:numStyleLink w:val="Style1"/>
  </w:abstractNum>
  <w:abstractNum w:abstractNumId="11"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8DE2E4A"/>
    <w:multiLevelType w:val="hybridMultilevel"/>
    <w:tmpl w:val="B7086130"/>
    <w:lvl w:ilvl="0" w:tplc="99D4C6D2">
      <w:start w:val="1"/>
      <w:numFmt w:val="bullet"/>
      <w:pStyle w:val="BoxTextBullet"/>
      <w:lvlText w:val=""/>
      <w:lvlJc w:val="left"/>
      <w:pPr>
        <w:ind w:left="720" w:hanging="360"/>
      </w:pPr>
      <w:rPr>
        <w:rFonts w:ascii="Symbol" w:hAnsi="Symbol" w:hint="default"/>
      </w:rPr>
    </w:lvl>
    <w:lvl w:ilvl="1" w:tplc="D90400FC" w:tentative="1">
      <w:start w:val="1"/>
      <w:numFmt w:val="bullet"/>
      <w:lvlText w:val="o"/>
      <w:lvlJc w:val="left"/>
      <w:pPr>
        <w:ind w:left="1440" w:hanging="360"/>
      </w:pPr>
      <w:rPr>
        <w:rFonts w:ascii="Courier New" w:hAnsi="Courier New" w:cs="Courier New" w:hint="default"/>
      </w:rPr>
    </w:lvl>
    <w:lvl w:ilvl="2" w:tplc="116CDB70" w:tentative="1">
      <w:start w:val="1"/>
      <w:numFmt w:val="bullet"/>
      <w:lvlText w:val=""/>
      <w:lvlJc w:val="left"/>
      <w:pPr>
        <w:ind w:left="2160" w:hanging="360"/>
      </w:pPr>
      <w:rPr>
        <w:rFonts w:ascii="Wingdings" w:hAnsi="Wingdings" w:hint="default"/>
      </w:rPr>
    </w:lvl>
    <w:lvl w:ilvl="3" w:tplc="152A29FA" w:tentative="1">
      <w:start w:val="1"/>
      <w:numFmt w:val="bullet"/>
      <w:lvlText w:val=""/>
      <w:lvlJc w:val="left"/>
      <w:pPr>
        <w:ind w:left="2880" w:hanging="360"/>
      </w:pPr>
      <w:rPr>
        <w:rFonts w:ascii="Symbol" w:hAnsi="Symbol" w:hint="default"/>
      </w:rPr>
    </w:lvl>
    <w:lvl w:ilvl="4" w:tplc="B506151C" w:tentative="1">
      <w:start w:val="1"/>
      <w:numFmt w:val="bullet"/>
      <w:lvlText w:val="o"/>
      <w:lvlJc w:val="left"/>
      <w:pPr>
        <w:ind w:left="3600" w:hanging="360"/>
      </w:pPr>
      <w:rPr>
        <w:rFonts w:ascii="Courier New" w:hAnsi="Courier New" w:cs="Courier New" w:hint="default"/>
      </w:rPr>
    </w:lvl>
    <w:lvl w:ilvl="5" w:tplc="49548808" w:tentative="1">
      <w:start w:val="1"/>
      <w:numFmt w:val="bullet"/>
      <w:lvlText w:val=""/>
      <w:lvlJc w:val="left"/>
      <w:pPr>
        <w:ind w:left="4320" w:hanging="360"/>
      </w:pPr>
      <w:rPr>
        <w:rFonts w:ascii="Wingdings" w:hAnsi="Wingdings" w:hint="default"/>
      </w:rPr>
    </w:lvl>
    <w:lvl w:ilvl="6" w:tplc="23B8A210" w:tentative="1">
      <w:start w:val="1"/>
      <w:numFmt w:val="bullet"/>
      <w:lvlText w:val=""/>
      <w:lvlJc w:val="left"/>
      <w:pPr>
        <w:ind w:left="5040" w:hanging="360"/>
      </w:pPr>
      <w:rPr>
        <w:rFonts w:ascii="Symbol" w:hAnsi="Symbol" w:hint="default"/>
      </w:rPr>
    </w:lvl>
    <w:lvl w:ilvl="7" w:tplc="F14213C0" w:tentative="1">
      <w:start w:val="1"/>
      <w:numFmt w:val="bullet"/>
      <w:lvlText w:val="o"/>
      <w:lvlJc w:val="left"/>
      <w:pPr>
        <w:ind w:left="5760" w:hanging="360"/>
      </w:pPr>
      <w:rPr>
        <w:rFonts w:ascii="Courier New" w:hAnsi="Courier New" w:cs="Courier New" w:hint="default"/>
      </w:rPr>
    </w:lvl>
    <w:lvl w:ilvl="8" w:tplc="1EA036BA"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56CC1D34"/>
    <w:multiLevelType w:val="hybridMultilevel"/>
    <w:tmpl w:val="40E01DFE"/>
    <w:lvl w:ilvl="0" w:tplc="CD3AC4AA">
      <w:start w:val="90"/>
      <w:numFmt w:val="bullet"/>
      <w:lvlText w:val="-"/>
      <w:lvlJc w:val="left"/>
      <w:pPr>
        <w:ind w:left="720" w:hanging="360"/>
      </w:pPr>
      <w:rPr>
        <w:rFonts w:ascii="Calibri" w:eastAsiaTheme="minorHAnsi" w:hAnsi="Calibri" w:cstheme="minorBidi" w:hint="default"/>
      </w:rPr>
    </w:lvl>
    <w:lvl w:ilvl="1" w:tplc="316EB02A" w:tentative="1">
      <w:start w:val="1"/>
      <w:numFmt w:val="bullet"/>
      <w:lvlText w:val="o"/>
      <w:lvlJc w:val="left"/>
      <w:pPr>
        <w:ind w:left="1440" w:hanging="360"/>
      </w:pPr>
      <w:rPr>
        <w:rFonts w:ascii="Courier New" w:hAnsi="Courier New" w:cs="Courier New" w:hint="default"/>
      </w:rPr>
    </w:lvl>
    <w:lvl w:ilvl="2" w:tplc="BC36EA24" w:tentative="1">
      <w:start w:val="1"/>
      <w:numFmt w:val="bullet"/>
      <w:lvlText w:val=""/>
      <w:lvlJc w:val="left"/>
      <w:pPr>
        <w:ind w:left="2160" w:hanging="360"/>
      </w:pPr>
      <w:rPr>
        <w:rFonts w:ascii="Wingdings" w:hAnsi="Wingdings" w:hint="default"/>
      </w:rPr>
    </w:lvl>
    <w:lvl w:ilvl="3" w:tplc="1D1AF81C" w:tentative="1">
      <w:start w:val="1"/>
      <w:numFmt w:val="bullet"/>
      <w:lvlText w:val=""/>
      <w:lvlJc w:val="left"/>
      <w:pPr>
        <w:ind w:left="2880" w:hanging="360"/>
      </w:pPr>
      <w:rPr>
        <w:rFonts w:ascii="Symbol" w:hAnsi="Symbol" w:hint="default"/>
      </w:rPr>
    </w:lvl>
    <w:lvl w:ilvl="4" w:tplc="FFACEC60" w:tentative="1">
      <w:start w:val="1"/>
      <w:numFmt w:val="bullet"/>
      <w:lvlText w:val="o"/>
      <w:lvlJc w:val="left"/>
      <w:pPr>
        <w:ind w:left="3600" w:hanging="360"/>
      </w:pPr>
      <w:rPr>
        <w:rFonts w:ascii="Courier New" w:hAnsi="Courier New" w:cs="Courier New" w:hint="default"/>
      </w:rPr>
    </w:lvl>
    <w:lvl w:ilvl="5" w:tplc="B172D022" w:tentative="1">
      <w:start w:val="1"/>
      <w:numFmt w:val="bullet"/>
      <w:lvlText w:val=""/>
      <w:lvlJc w:val="left"/>
      <w:pPr>
        <w:ind w:left="4320" w:hanging="360"/>
      </w:pPr>
      <w:rPr>
        <w:rFonts w:ascii="Wingdings" w:hAnsi="Wingdings" w:hint="default"/>
      </w:rPr>
    </w:lvl>
    <w:lvl w:ilvl="6" w:tplc="29BEBEF8" w:tentative="1">
      <w:start w:val="1"/>
      <w:numFmt w:val="bullet"/>
      <w:lvlText w:val=""/>
      <w:lvlJc w:val="left"/>
      <w:pPr>
        <w:ind w:left="5040" w:hanging="360"/>
      </w:pPr>
      <w:rPr>
        <w:rFonts w:ascii="Symbol" w:hAnsi="Symbol" w:hint="default"/>
      </w:rPr>
    </w:lvl>
    <w:lvl w:ilvl="7" w:tplc="A7F29A08" w:tentative="1">
      <w:start w:val="1"/>
      <w:numFmt w:val="bullet"/>
      <w:lvlText w:val="o"/>
      <w:lvlJc w:val="left"/>
      <w:pPr>
        <w:ind w:left="5760" w:hanging="360"/>
      </w:pPr>
      <w:rPr>
        <w:rFonts w:ascii="Courier New" w:hAnsi="Courier New" w:cs="Courier New" w:hint="default"/>
      </w:rPr>
    </w:lvl>
    <w:lvl w:ilvl="8" w:tplc="C4CAEAF6"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636387C"/>
    <w:multiLevelType w:val="multilevel"/>
    <w:tmpl w:val="6346ED0E"/>
    <w:numStyleLink w:val="listbullets"/>
  </w:abstractNum>
  <w:num w:numId="1">
    <w:abstractNumId w:val="13"/>
  </w:num>
  <w:num w:numId="2">
    <w:abstractNumId w:val="4"/>
  </w:num>
  <w:num w:numId="3">
    <w:abstractNumId w:val="16"/>
  </w:num>
  <w:num w:numId="4">
    <w:abstractNumId w:val="7"/>
  </w:num>
  <w:num w:numId="5">
    <w:abstractNumId w:val="9"/>
  </w:num>
  <w:num w:numId="6">
    <w:abstractNumId w:val="14"/>
  </w:num>
  <w:num w:numId="7">
    <w:abstractNumId w:val="17"/>
  </w:num>
  <w:num w:numId="8">
    <w:abstractNumId w:val="12"/>
  </w:num>
  <w:num w:numId="9">
    <w:abstractNumId w:val="8"/>
  </w:num>
  <w:num w:numId="10">
    <w:abstractNumId w:val="1"/>
  </w:num>
  <w:num w:numId="11">
    <w:abstractNumId w:val="5"/>
  </w:num>
  <w:num w:numId="12">
    <w:abstractNumId w:val="11"/>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3"/>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abstractNumId w:val="0"/>
  </w:num>
  <w:num w:numId="19">
    <w:abstractNumId w:val="6"/>
  </w:num>
  <w:num w:numId="20">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grammar="clean"/>
  <w:stylePaneSortMethod w:val="0000"/>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1C"/>
    <w:rsid w:val="00013C83"/>
    <w:rsid w:val="00017770"/>
    <w:rsid w:val="000228C7"/>
    <w:rsid w:val="0003136B"/>
    <w:rsid w:val="00035144"/>
    <w:rsid w:val="000512CD"/>
    <w:rsid w:val="00052654"/>
    <w:rsid w:val="00061882"/>
    <w:rsid w:val="00062058"/>
    <w:rsid w:val="000661BC"/>
    <w:rsid w:val="00066694"/>
    <w:rsid w:val="00073E93"/>
    <w:rsid w:val="000756BD"/>
    <w:rsid w:val="000766E2"/>
    <w:rsid w:val="000771F9"/>
    <w:rsid w:val="00077792"/>
    <w:rsid w:val="00077869"/>
    <w:rsid w:val="000821A0"/>
    <w:rsid w:val="00084FD4"/>
    <w:rsid w:val="000931E1"/>
    <w:rsid w:val="00096C2B"/>
    <w:rsid w:val="000A4849"/>
    <w:rsid w:val="000A68FE"/>
    <w:rsid w:val="000B0333"/>
    <w:rsid w:val="000C24EE"/>
    <w:rsid w:val="000C491F"/>
    <w:rsid w:val="000C583A"/>
    <w:rsid w:val="000D1E0E"/>
    <w:rsid w:val="000D7812"/>
    <w:rsid w:val="000D7D3B"/>
    <w:rsid w:val="000E1FA0"/>
    <w:rsid w:val="000E40C1"/>
    <w:rsid w:val="000F18E5"/>
    <w:rsid w:val="000F5E0B"/>
    <w:rsid w:val="00102A70"/>
    <w:rsid w:val="00107F9C"/>
    <w:rsid w:val="001102A8"/>
    <w:rsid w:val="00116479"/>
    <w:rsid w:val="0012237F"/>
    <w:rsid w:val="00126E4D"/>
    <w:rsid w:val="001303C0"/>
    <w:rsid w:val="001535E5"/>
    <w:rsid w:val="00154635"/>
    <w:rsid w:val="0015778A"/>
    <w:rsid w:val="001619BF"/>
    <w:rsid w:val="00163FF3"/>
    <w:rsid w:val="00166A53"/>
    <w:rsid w:val="0016777B"/>
    <w:rsid w:val="001741CC"/>
    <w:rsid w:val="00177007"/>
    <w:rsid w:val="0018097E"/>
    <w:rsid w:val="00180BE3"/>
    <w:rsid w:val="001847C8"/>
    <w:rsid w:val="001859A4"/>
    <w:rsid w:val="001875E7"/>
    <w:rsid w:val="00196868"/>
    <w:rsid w:val="001A4B9B"/>
    <w:rsid w:val="001B0D98"/>
    <w:rsid w:val="001B1DB2"/>
    <w:rsid w:val="001C0D1C"/>
    <w:rsid w:val="001D5187"/>
    <w:rsid w:val="001F4861"/>
    <w:rsid w:val="0021245F"/>
    <w:rsid w:val="00213A9F"/>
    <w:rsid w:val="00224C08"/>
    <w:rsid w:val="00226D74"/>
    <w:rsid w:val="00231336"/>
    <w:rsid w:val="00236778"/>
    <w:rsid w:val="00243C97"/>
    <w:rsid w:val="00255807"/>
    <w:rsid w:val="00255ACE"/>
    <w:rsid w:val="00255C8A"/>
    <w:rsid w:val="002578CF"/>
    <w:rsid w:val="00274A64"/>
    <w:rsid w:val="00281D7D"/>
    <w:rsid w:val="00283D41"/>
    <w:rsid w:val="002A695A"/>
    <w:rsid w:val="002A7895"/>
    <w:rsid w:val="002C0B79"/>
    <w:rsid w:val="002C27B4"/>
    <w:rsid w:val="002C2D65"/>
    <w:rsid w:val="002D38F6"/>
    <w:rsid w:val="002F3832"/>
    <w:rsid w:val="003039F7"/>
    <w:rsid w:val="00303A9A"/>
    <w:rsid w:val="00310CC5"/>
    <w:rsid w:val="00314B2E"/>
    <w:rsid w:val="003176C6"/>
    <w:rsid w:val="003303D2"/>
    <w:rsid w:val="00363C9F"/>
    <w:rsid w:val="00374A29"/>
    <w:rsid w:val="0037644B"/>
    <w:rsid w:val="003876F4"/>
    <w:rsid w:val="00397897"/>
    <w:rsid w:val="003A0824"/>
    <w:rsid w:val="003A2B13"/>
    <w:rsid w:val="003A3E72"/>
    <w:rsid w:val="003A4A07"/>
    <w:rsid w:val="003B64BF"/>
    <w:rsid w:val="003C24C1"/>
    <w:rsid w:val="003C4D43"/>
    <w:rsid w:val="003D4A96"/>
    <w:rsid w:val="003F7DC8"/>
    <w:rsid w:val="00401C43"/>
    <w:rsid w:val="00404436"/>
    <w:rsid w:val="004051F3"/>
    <w:rsid w:val="00410C39"/>
    <w:rsid w:val="00411514"/>
    <w:rsid w:val="00425596"/>
    <w:rsid w:val="00443D38"/>
    <w:rsid w:val="00446376"/>
    <w:rsid w:val="00454FA2"/>
    <w:rsid w:val="00470885"/>
    <w:rsid w:val="0047233E"/>
    <w:rsid w:val="00473E65"/>
    <w:rsid w:val="00474F48"/>
    <w:rsid w:val="004B1C32"/>
    <w:rsid w:val="004B36D4"/>
    <w:rsid w:val="004D52CE"/>
    <w:rsid w:val="004E129D"/>
    <w:rsid w:val="004E5163"/>
    <w:rsid w:val="004F16A6"/>
    <w:rsid w:val="004F346C"/>
    <w:rsid w:val="004F6114"/>
    <w:rsid w:val="004F6283"/>
    <w:rsid w:val="004F6700"/>
    <w:rsid w:val="0050236F"/>
    <w:rsid w:val="00516A4E"/>
    <w:rsid w:val="00517D00"/>
    <w:rsid w:val="00522EF7"/>
    <w:rsid w:val="0052480F"/>
    <w:rsid w:val="00533D06"/>
    <w:rsid w:val="005347DF"/>
    <w:rsid w:val="00534AD6"/>
    <w:rsid w:val="00557258"/>
    <w:rsid w:val="005755B2"/>
    <w:rsid w:val="00582A9A"/>
    <w:rsid w:val="0058555C"/>
    <w:rsid w:val="00585FD8"/>
    <w:rsid w:val="0058683D"/>
    <w:rsid w:val="00597EC8"/>
    <w:rsid w:val="005A1C2E"/>
    <w:rsid w:val="005A59A7"/>
    <w:rsid w:val="005B7A5B"/>
    <w:rsid w:val="005D4F0E"/>
    <w:rsid w:val="005D6A97"/>
    <w:rsid w:val="005E6976"/>
    <w:rsid w:val="005F1B04"/>
    <w:rsid w:val="005F6245"/>
    <w:rsid w:val="00603E72"/>
    <w:rsid w:val="006046C0"/>
    <w:rsid w:val="00604F6B"/>
    <w:rsid w:val="006059D0"/>
    <w:rsid w:val="00606040"/>
    <w:rsid w:val="00606A7B"/>
    <w:rsid w:val="006115E0"/>
    <w:rsid w:val="00620280"/>
    <w:rsid w:val="006419F7"/>
    <w:rsid w:val="0064344A"/>
    <w:rsid w:val="00672130"/>
    <w:rsid w:val="00685BE5"/>
    <w:rsid w:val="0068732E"/>
    <w:rsid w:val="006D2D92"/>
    <w:rsid w:val="006F3EB0"/>
    <w:rsid w:val="00703C2B"/>
    <w:rsid w:val="007072AB"/>
    <w:rsid w:val="007244D5"/>
    <w:rsid w:val="007336AC"/>
    <w:rsid w:val="00740624"/>
    <w:rsid w:val="00742414"/>
    <w:rsid w:val="00746670"/>
    <w:rsid w:val="007508CC"/>
    <w:rsid w:val="00771A62"/>
    <w:rsid w:val="00771C2C"/>
    <w:rsid w:val="00774647"/>
    <w:rsid w:val="00782C58"/>
    <w:rsid w:val="00787FA1"/>
    <w:rsid w:val="00791817"/>
    <w:rsid w:val="0079184F"/>
    <w:rsid w:val="007A0E37"/>
    <w:rsid w:val="007A3D6F"/>
    <w:rsid w:val="007C3BD5"/>
    <w:rsid w:val="007C7BFC"/>
    <w:rsid w:val="007D4410"/>
    <w:rsid w:val="007D5876"/>
    <w:rsid w:val="007E6B96"/>
    <w:rsid w:val="00802972"/>
    <w:rsid w:val="00820F3A"/>
    <w:rsid w:val="00824850"/>
    <w:rsid w:val="008257E0"/>
    <w:rsid w:val="00827F0B"/>
    <w:rsid w:val="00841660"/>
    <w:rsid w:val="008469B9"/>
    <w:rsid w:val="00850330"/>
    <w:rsid w:val="00857974"/>
    <w:rsid w:val="00863B22"/>
    <w:rsid w:val="00863D35"/>
    <w:rsid w:val="00866F09"/>
    <w:rsid w:val="00871AA9"/>
    <w:rsid w:val="00881876"/>
    <w:rsid w:val="00882A73"/>
    <w:rsid w:val="00887442"/>
    <w:rsid w:val="00887C85"/>
    <w:rsid w:val="008C6249"/>
    <w:rsid w:val="008C71BE"/>
    <w:rsid w:val="008D0CB0"/>
    <w:rsid w:val="008D5BE1"/>
    <w:rsid w:val="008D5EC3"/>
    <w:rsid w:val="00907EF9"/>
    <w:rsid w:val="00910F4E"/>
    <w:rsid w:val="0091269A"/>
    <w:rsid w:val="0092743D"/>
    <w:rsid w:val="00931AF3"/>
    <w:rsid w:val="0093250A"/>
    <w:rsid w:val="009477FA"/>
    <w:rsid w:val="00961BD3"/>
    <w:rsid w:val="009738A5"/>
    <w:rsid w:val="009741DA"/>
    <w:rsid w:val="00981C98"/>
    <w:rsid w:val="0098409F"/>
    <w:rsid w:val="009841B2"/>
    <w:rsid w:val="00992439"/>
    <w:rsid w:val="009962B6"/>
    <w:rsid w:val="009B11FB"/>
    <w:rsid w:val="009B2BC4"/>
    <w:rsid w:val="009B4B30"/>
    <w:rsid w:val="009B579C"/>
    <w:rsid w:val="009C061F"/>
    <w:rsid w:val="009C33BB"/>
    <w:rsid w:val="009C37A5"/>
    <w:rsid w:val="009D54BA"/>
    <w:rsid w:val="009D6A98"/>
    <w:rsid w:val="00A00AE1"/>
    <w:rsid w:val="00A11D11"/>
    <w:rsid w:val="00A166B2"/>
    <w:rsid w:val="00A23894"/>
    <w:rsid w:val="00A31048"/>
    <w:rsid w:val="00A329B7"/>
    <w:rsid w:val="00A3606C"/>
    <w:rsid w:val="00A464A0"/>
    <w:rsid w:val="00A47617"/>
    <w:rsid w:val="00A6452A"/>
    <w:rsid w:val="00A83DFE"/>
    <w:rsid w:val="00A954B7"/>
    <w:rsid w:val="00AA09A5"/>
    <w:rsid w:val="00AA4272"/>
    <w:rsid w:val="00AA555C"/>
    <w:rsid w:val="00AB03E5"/>
    <w:rsid w:val="00AD4E2B"/>
    <w:rsid w:val="00AD5384"/>
    <w:rsid w:val="00AE3FE0"/>
    <w:rsid w:val="00AE577A"/>
    <w:rsid w:val="00AE7845"/>
    <w:rsid w:val="00AF5CBA"/>
    <w:rsid w:val="00B03F13"/>
    <w:rsid w:val="00B07FA0"/>
    <w:rsid w:val="00B1230C"/>
    <w:rsid w:val="00B151F6"/>
    <w:rsid w:val="00B22744"/>
    <w:rsid w:val="00B309FD"/>
    <w:rsid w:val="00B40555"/>
    <w:rsid w:val="00B43F23"/>
    <w:rsid w:val="00B50CD9"/>
    <w:rsid w:val="00B70694"/>
    <w:rsid w:val="00B7593C"/>
    <w:rsid w:val="00B84EFD"/>
    <w:rsid w:val="00B973E2"/>
    <w:rsid w:val="00BA0803"/>
    <w:rsid w:val="00BA2797"/>
    <w:rsid w:val="00BA77AD"/>
    <w:rsid w:val="00BB7F1C"/>
    <w:rsid w:val="00BC41DD"/>
    <w:rsid w:val="00BC46DD"/>
    <w:rsid w:val="00BC621F"/>
    <w:rsid w:val="00BD34A4"/>
    <w:rsid w:val="00BE48D7"/>
    <w:rsid w:val="00BE52A7"/>
    <w:rsid w:val="00BF0280"/>
    <w:rsid w:val="00BF6347"/>
    <w:rsid w:val="00C039EE"/>
    <w:rsid w:val="00C03B8F"/>
    <w:rsid w:val="00C03DAD"/>
    <w:rsid w:val="00C11AF4"/>
    <w:rsid w:val="00C16316"/>
    <w:rsid w:val="00C24E89"/>
    <w:rsid w:val="00C2619B"/>
    <w:rsid w:val="00C30114"/>
    <w:rsid w:val="00C358F8"/>
    <w:rsid w:val="00C5236F"/>
    <w:rsid w:val="00C556A7"/>
    <w:rsid w:val="00C6087F"/>
    <w:rsid w:val="00C62BD2"/>
    <w:rsid w:val="00C82D29"/>
    <w:rsid w:val="00C8514D"/>
    <w:rsid w:val="00C87A8F"/>
    <w:rsid w:val="00C9118F"/>
    <w:rsid w:val="00CA6AD1"/>
    <w:rsid w:val="00CA6BDF"/>
    <w:rsid w:val="00CB21A5"/>
    <w:rsid w:val="00CB530C"/>
    <w:rsid w:val="00CC073D"/>
    <w:rsid w:val="00CC383F"/>
    <w:rsid w:val="00CC615F"/>
    <w:rsid w:val="00CC674F"/>
    <w:rsid w:val="00CD1AB5"/>
    <w:rsid w:val="00CD41A9"/>
    <w:rsid w:val="00CD5879"/>
    <w:rsid w:val="00CD671D"/>
    <w:rsid w:val="00CE74BD"/>
    <w:rsid w:val="00CE76B8"/>
    <w:rsid w:val="00CF0455"/>
    <w:rsid w:val="00CF5FF4"/>
    <w:rsid w:val="00D05100"/>
    <w:rsid w:val="00D10849"/>
    <w:rsid w:val="00D14E1B"/>
    <w:rsid w:val="00D1603C"/>
    <w:rsid w:val="00D2680D"/>
    <w:rsid w:val="00D27370"/>
    <w:rsid w:val="00D33C38"/>
    <w:rsid w:val="00D37D69"/>
    <w:rsid w:val="00D41109"/>
    <w:rsid w:val="00D47CA4"/>
    <w:rsid w:val="00D47F84"/>
    <w:rsid w:val="00D60E9B"/>
    <w:rsid w:val="00D6104F"/>
    <w:rsid w:val="00D6484E"/>
    <w:rsid w:val="00D800E5"/>
    <w:rsid w:val="00DB5A7B"/>
    <w:rsid w:val="00DC655F"/>
    <w:rsid w:val="00DC7EC0"/>
    <w:rsid w:val="00DD44EF"/>
    <w:rsid w:val="00DD7301"/>
    <w:rsid w:val="00DD7691"/>
    <w:rsid w:val="00DF1801"/>
    <w:rsid w:val="00E00D37"/>
    <w:rsid w:val="00E02F1A"/>
    <w:rsid w:val="00E04AA6"/>
    <w:rsid w:val="00E06F96"/>
    <w:rsid w:val="00E1454A"/>
    <w:rsid w:val="00E34D35"/>
    <w:rsid w:val="00E41F91"/>
    <w:rsid w:val="00E47726"/>
    <w:rsid w:val="00E54ADE"/>
    <w:rsid w:val="00E55B1C"/>
    <w:rsid w:val="00E600B5"/>
    <w:rsid w:val="00E66516"/>
    <w:rsid w:val="00E66C55"/>
    <w:rsid w:val="00E71D33"/>
    <w:rsid w:val="00E815B7"/>
    <w:rsid w:val="00E82B79"/>
    <w:rsid w:val="00E8382D"/>
    <w:rsid w:val="00E87FE0"/>
    <w:rsid w:val="00E93E00"/>
    <w:rsid w:val="00E96B61"/>
    <w:rsid w:val="00EB0709"/>
    <w:rsid w:val="00EB13B7"/>
    <w:rsid w:val="00EB1DD1"/>
    <w:rsid w:val="00ED3BAF"/>
    <w:rsid w:val="00EE0902"/>
    <w:rsid w:val="00EE1878"/>
    <w:rsid w:val="00EE7040"/>
    <w:rsid w:val="00F07FE2"/>
    <w:rsid w:val="00F12D0E"/>
    <w:rsid w:val="00F1410C"/>
    <w:rsid w:val="00F20FF3"/>
    <w:rsid w:val="00F22086"/>
    <w:rsid w:val="00F32791"/>
    <w:rsid w:val="00F44A76"/>
    <w:rsid w:val="00F5172D"/>
    <w:rsid w:val="00F65354"/>
    <w:rsid w:val="00F674C7"/>
    <w:rsid w:val="00F71343"/>
    <w:rsid w:val="00F76B3B"/>
    <w:rsid w:val="00F80778"/>
    <w:rsid w:val="00FA0539"/>
    <w:rsid w:val="00FC2433"/>
    <w:rsid w:val="00FD247B"/>
    <w:rsid w:val="00FD3FB5"/>
    <w:rsid w:val="00FD6159"/>
    <w:rsid w:val="00FD68C6"/>
    <w:rsid w:val="00FF17F3"/>
    <w:rsid w:val="00FF3A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0AC5"/>
  <w15:docId w15:val="{61D32398-C690-DD40-A9BD-37B7F37A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2D38F6"/>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99"/>
    <w:qFormat/>
    <w:pPr>
      <w:ind w:left="720"/>
    </w:pPr>
  </w:style>
  <w:style w:type="character" w:customStyle="1" w:styleId="Heading2Char">
    <w:name w:val="Heading 2 Char"/>
    <w:basedOn w:val="DefaultParagraphFont"/>
    <w:link w:val="Heading2"/>
    <w:uiPriority w:val="3"/>
    <w:rsid w:val="002D38F6"/>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GB"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uiPriority w:val="99"/>
    <w:rsid w:val="007D5876"/>
    <w:pPr>
      <w:keepNext/>
      <w:spacing w:before="120" w:after="120" w:line="240" w:lineRule="auto"/>
      <w:jc w:val="both"/>
    </w:pPr>
    <w:rPr>
      <w:rFonts w:ascii="Arial" w:eastAsiaTheme="minorEastAsia" w:hAnsi="Arial"/>
      <w:sz w:val="18"/>
      <w:szCs w:val="20"/>
      <w:lang w:val="en-NZ" w:bidi="en-US"/>
    </w:rPr>
  </w:style>
  <w:style w:type="paragraph" w:styleId="FootnoteText">
    <w:name w:val="footnote text"/>
    <w:basedOn w:val="Normal"/>
    <w:link w:val="FootnoteTextChar"/>
    <w:uiPriority w:val="99"/>
    <w:semiHidden/>
    <w:rsid w:val="008C6249"/>
    <w:pPr>
      <w:jc w:val="both"/>
    </w:pPr>
    <w:rPr>
      <w:rFonts w:ascii="Garamond" w:eastAsiaTheme="minorEastAsia" w:hAnsi="Garamond"/>
      <w:szCs w:val="20"/>
      <w:lang w:val="en-GB" w:bidi="en-US"/>
    </w:rPr>
  </w:style>
  <w:style w:type="character" w:customStyle="1" w:styleId="FootnoteTextChar">
    <w:name w:val="Footnote Text Char"/>
    <w:basedOn w:val="DefaultParagraphFont"/>
    <w:link w:val="FootnoteText"/>
    <w:uiPriority w:val="99"/>
    <w:semiHidden/>
    <w:rsid w:val="008C6249"/>
    <w:rPr>
      <w:rFonts w:ascii="Garamond" w:eastAsiaTheme="minorEastAsia" w:hAnsi="Garamond" w:cstheme="minorBidi"/>
      <w:sz w:val="22"/>
      <w:lang w:val="en-GB" w:eastAsia="en-US" w:bidi="en-US"/>
    </w:rPr>
  </w:style>
  <w:style w:type="table" w:styleId="TableList1">
    <w:name w:val="Table List 1"/>
    <w:basedOn w:val="TableNormal"/>
    <w:rsid w:val="00C2619B"/>
    <w:pPr>
      <w:spacing w:after="200" w:line="276" w:lineRule="auto"/>
      <w:jc w:val="both"/>
    </w:pPr>
    <w:rPr>
      <w:rFonts w:asciiTheme="minorHAnsi" w:eastAsiaTheme="minorEastAsia" w:hAnsiTheme="minorHAnsi" w:cstheme="minorBidi"/>
      <w:lang w:val="en-US" w:eastAsia="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882A73"/>
    <w:rPr>
      <w:color w:val="605E5C"/>
      <w:shd w:val="clear" w:color="auto" w:fill="E1DFDD"/>
    </w:rPr>
  </w:style>
  <w:style w:type="character" w:customStyle="1" w:styleId="UnresolvedMention2">
    <w:name w:val="Unresolved Mention2"/>
    <w:basedOn w:val="DefaultParagraphFont"/>
    <w:uiPriority w:val="99"/>
    <w:semiHidden/>
    <w:unhideWhenUsed/>
    <w:rsid w:val="00084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aterquality.gov.au/anz-guidelines/guideline-values/default/water-quality-toxicants/local-condition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E0D162628643B782A122146D2FA79A"/>
        <w:category>
          <w:name w:val="General"/>
          <w:gallery w:val="placeholder"/>
        </w:category>
        <w:types>
          <w:type w:val="bbPlcHdr"/>
        </w:types>
        <w:behaviors>
          <w:behavior w:val="content"/>
        </w:behaviors>
        <w:guid w:val="{62EA5B10-DEFF-4B32-8541-4DCB48C5B1EE}"/>
      </w:docPartPr>
      <w:docPartBody>
        <w:p w:rsidR="00C82D29" w:rsidRDefault="002D513A" w:rsidP="00C82D29">
          <w:pPr>
            <w:pStyle w:val="4BE0D162628643B782A122146D2FA79A"/>
          </w:pPr>
          <w:r w:rsidRPr="00BE52A7">
            <w:rPr>
              <w:rStyle w:val="PlaceholderText"/>
            </w:rPr>
            <w:t>Click here to enter text.</w:t>
          </w:r>
        </w:p>
      </w:docPartBody>
    </w:docPart>
    <w:docPart>
      <w:docPartPr>
        <w:name w:val="2E8E9C60D92D4EB7B69374770B4B0C4C"/>
        <w:category>
          <w:name w:val="General"/>
          <w:gallery w:val="placeholder"/>
        </w:category>
        <w:types>
          <w:type w:val="bbPlcHdr"/>
        </w:types>
        <w:behaviors>
          <w:behavior w:val="content"/>
        </w:behaviors>
        <w:guid w:val="{1AB4FAEE-408F-4C66-B27A-60F36DF9EED5}"/>
      </w:docPartPr>
      <w:docPartBody>
        <w:p w:rsidR="00C82D29" w:rsidRDefault="002D513A" w:rsidP="00C82D29">
          <w:pPr>
            <w:pStyle w:val="2E8E9C60D92D4EB7B69374770B4B0C4C"/>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2591A"/>
    <w:rsid w:val="000B4DF2"/>
    <w:rsid w:val="000C71D2"/>
    <w:rsid w:val="00161500"/>
    <w:rsid w:val="0027235C"/>
    <w:rsid w:val="00290131"/>
    <w:rsid w:val="002D513A"/>
    <w:rsid w:val="003C1934"/>
    <w:rsid w:val="0042505C"/>
    <w:rsid w:val="00574AB1"/>
    <w:rsid w:val="005D600C"/>
    <w:rsid w:val="005E2D2B"/>
    <w:rsid w:val="0061348D"/>
    <w:rsid w:val="00641BBD"/>
    <w:rsid w:val="00717396"/>
    <w:rsid w:val="00750303"/>
    <w:rsid w:val="00756703"/>
    <w:rsid w:val="00784F2C"/>
    <w:rsid w:val="007C45BA"/>
    <w:rsid w:val="007E1690"/>
    <w:rsid w:val="007F028D"/>
    <w:rsid w:val="00AC52B8"/>
    <w:rsid w:val="00AD14EC"/>
    <w:rsid w:val="00B7057B"/>
    <w:rsid w:val="00C5355E"/>
    <w:rsid w:val="00C82D29"/>
    <w:rsid w:val="00CB6016"/>
    <w:rsid w:val="00CC342D"/>
    <w:rsid w:val="00E02AE5"/>
    <w:rsid w:val="00E2017E"/>
    <w:rsid w:val="00E721F9"/>
    <w:rsid w:val="00E954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D29"/>
    <w:rPr>
      <w:color w:val="808080"/>
    </w:rPr>
  </w:style>
  <w:style w:type="paragraph" w:customStyle="1" w:styleId="4BE0D162628643B782A122146D2FA79A">
    <w:name w:val="4BE0D162628643B782A122146D2FA79A"/>
    <w:rsid w:val="00C82D29"/>
    <w:pPr>
      <w:spacing w:after="200" w:line="276" w:lineRule="auto"/>
    </w:pPr>
  </w:style>
  <w:style w:type="paragraph" w:customStyle="1" w:styleId="2E8E9C60D92D4EB7B69374770B4B0C4C">
    <w:name w:val="2E8E9C60D92D4EB7B69374770B4B0C4C"/>
    <w:rsid w:val="00C82D2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18E0BDD1F7314546A944FB163ACEB71C" ma:contentTypeVersion="10" ma:contentTypeDescription="SPIRE Document" ma:contentTypeScope="" ma:versionID="9517c3cd7426ed7f9780ddff4aab9e73">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a5ccb46502d7f67011865d302baaff3"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SpireDeleted xmlns="c25cb30a-de11-40ab-bdcc-f1d56023b01d" xsi:nil="true"/>
    <SpireDeletedDate xmlns="c25cb30a-de11-40ab-bdcc-f1d56023b01d" xsi:nil="true"/>
    <SpireDeletedBy xmlns="c25cb30a-de11-40ab-bdcc-f1d56023b01d">
      <UserInfo>
        <DisplayName/>
        <AccountId xsi:nil="true"/>
        <AccountType/>
      </UserInfo>
    </SpireDeletedBy>
    <Function xmlns="c25cb30a-de11-40ab-bdcc-f1d56023b01d">Program Admin</Function>
    <IconOverlay xmlns="http://schemas.microsoft.com/sharepoint/v4" xsi:nil="true"/>
    <DocumentDescription xmlns="c25cb30a-de11-40ab-bdcc-f1d56023b01d">Technical brief</DocumentDescription>
    <RecordNumber xmlns="c25cb30a-de11-40ab-bdcc-f1d56023b01d" xsi:nil="true"/>
    <Approval xmlns="c25cb30a-de11-40ab-bdcc-f1d56023b01d" xsi:nil="true"/>
  </documentManagement>
</p:properties>
</file>

<file path=customXml/itemProps1.xml><?xml version="1.0" encoding="utf-8"?>
<ds:datastoreItem xmlns:ds="http://schemas.openxmlformats.org/officeDocument/2006/customXml" ds:itemID="{B1DF05CE-265D-4A65-B64A-B09F1A06F9B9}">
  <ds:schemaRefs>
    <ds:schemaRef ds:uri="http://schemas.openxmlformats.org/officeDocument/2006/bibliography"/>
  </ds:schemaRefs>
</ds:datastoreItem>
</file>

<file path=customXml/itemProps2.xml><?xml version="1.0" encoding="utf-8"?>
<ds:datastoreItem xmlns:ds="http://schemas.openxmlformats.org/officeDocument/2006/customXml" ds:itemID="{086CE546-3E0F-4174-A106-4E7F4E698FD2}">
  <ds:schemaRefs>
    <ds:schemaRef ds:uri="http://schemas.microsoft.com/office/2006/metadata/customXsn"/>
  </ds:schemaRefs>
</ds:datastoreItem>
</file>

<file path=customXml/itemProps3.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4.xml><?xml version="1.0" encoding="utf-8"?>
<ds:datastoreItem xmlns:ds="http://schemas.openxmlformats.org/officeDocument/2006/customXml" ds:itemID="{FDAFF9F2-B553-40B8-AE51-8E46304031DB}">
  <ds:schemaRefs>
    <ds:schemaRef ds:uri="http://schemas.microsoft.com/sharepoint/v3/contenttype/forms"/>
  </ds:schemaRefs>
</ds:datastoreItem>
</file>

<file path=customXml/itemProps5.xml><?xml version="1.0" encoding="utf-8"?>
<ds:datastoreItem xmlns:ds="http://schemas.openxmlformats.org/officeDocument/2006/customXml" ds:itemID="{632F51C3-4D88-4C23-BA06-1DA6BB0D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1D323EF-822C-4E4A-9DA5-304476EA7B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5cb30a-de11-40ab-bdcc-f1d56023b01d"/>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5645</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Metsulfuron-methyl in freshwater - Technical brief</vt:lpstr>
    </vt:vector>
  </TitlesOfParts>
  <Company/>
  <LinksUpToDate>false</LinksUpToDate>
  <CharactersWithSpaces>37748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Metsulfuron-methyl in freshwater - Technical brief</dc:title>
  <dc:creator>Department of Agriculture, Water and the Environment</dc:creator>
  <cp:lastModifiedBy>Grocott, Paul</cp:lastModifiedBy>
  <cp:revision>2</cp:revision>
  <cp:lastPrinted>1899-12-31T13:00:00Z</cp:lastPrinted>
  <dcterms:created xsi:type="dcterms:W3CDTF">2021-06-30T07:14:00Z</dcterms:created>
  <dcterms:modified xsi:type="dcterms:W3CDTF">2021-06-30T07:21:00Z</dcterms:modified>
</cp:coreProperties>
</file>