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04F57C" w14:textId="3024A130" w:rsidR="001C0D1C" w:rsidRDefault="004D52CE">
      <w:pPr>
        <w:pStyle w:val="Heading1"/>
      </w:pPr>
      <w:r>
        <w:t>Toxicant default guideline values for aquatic ecosystem protection</w:t>
      </w:r>
    </w:p>
    <w:p w14:paraId="524A81B3" w14:textId="396F84EC" w:rsidR="001C0D1C" w:rsidRDefault="00652DE2">
      <w:pPr>
        <w:pStyle w:val="Subtitle"/>
      </w:pPr>
      <w:r w:rsidRPr="00652DE2">
        <w:t xml:space="preserve">Metolachlor </w:t>
      </w:r>
      <w:r w:rsidR="00E4141D">
        <w:t>in fresh</w:t>
      </w:r>
      <w:r w:rsidR="004D52CE">
        <w:t>water</w:t>
      </w:r>
    </w:p>
    <w:p w14:paraId="0F5E9269" w14:textId="54247ED7" w:rsidR="001C0D1C" w:rsidRDefault="004D52CE">
      <w:pPr>
        <w:pStyle w:val="Documenttype"/>
      </w:pPr>
      <w:r>
        <w:t>Technical brief</w:t>
      </w:r>
    </w:p>
    <w:p w14:paraId="3A238C94" w14:textId="4C0AED7A" w:rsidR="001C0D1C" w:rsidRDefault="00690495">
      <w:pPr>
        <w:pStyle w:val="Publicationdate"/>
        <w:rPr>
          <w:highlight w:val="yellow"/>
        </w:rPr>
      </w:pPr>
      <w:r>
        <w:t>June</w:t>
      </w:r>
      <w:r w:rsidR="00D52355">
        <w:t xml:space="preserve"> 2020</w:t>
      </w:r>
      <w:r w:rsidR="004D52CE">
        <w:t xml:space="preserve"> </w:t>
      </w:r>
    </w:p>
    <w:p w14:paraId="00D4D9B8" w14:textId="77777777" w:rsidR="001C0D1C" w:rsidRDefault="00E55B1C">
      <w:pPr>
        <w:spacing w:after="0" w:line="240" w:lineRule="auto"/>
        <w:rPr>
          <w:noProof/>
          <w:lang w:eastAsia="en-AU"/>
        </w:rPr>
      </w:pPr>
      <w:r>
        <w:br w:type="page"/>
      </w:r>
    </w:p>
    <w:p w14:paraId="00B1140E" w14:textId="444B7258" w:rsidR="001C0D1C" w:rsidRDefault="00E55B1C">
      <w:pPr>
        <w:rPr>
          <w:sz w:val="18"/>
          <w:szCs w:val="18"/>
        </w:rPr>
      </w:pPr>
      <w:r>
        <w:rPr>
          <w:sz w:val="18"/>
          <w:szCs w:val="18"/>
        </w:rPr>
        <w:lastRenderedPageBreak/>
        <w:t xml:space="preserve">© Commonwealth of Australia </w:t>
      </w:r>
      <w:r w:rsidR="00D36947">
        <w:rPr>
          <w:sz w:val="18"/>
          <w:szCs w:val="18"/>
        </w:rPr>
        <w:t>20</w:t>
      </w:r>
      <w:r w:rsidR="00D52355">
        <w:rPr>
          <w:sz w:val="18"/>
          <w:szCs w:val="18"/>
        </w:rPr>
        <w:t>20</w:t>
      </w:r>
    </w:p>
    <w:p w14:paraId="245B1702" w14:textId="77777777" w:rsidR="001C0D1C" w:rsidRDefault="00E55B1C">
      <w:pPr>
        <w:spacing w:after="0"/>
        <w:rPr>
          <w:rFonts w:ascii="Calibri" w:hAnsi="Calibri"/>
          <w:b/>
          <w:sz w:val="18"/>
          <w:szCs w:val="18"/>
        </w:rPr>
      </w:pPr>
      <w:r>
        <w:rPr>
          <w:rFonts w:ascii="Calibri" w:hAnsi="Calibri"/>
          <w:b/>
          <w:sz w:val="18"/>
          <w:szCs w:val="18"/>
        </w:rPr>
        <w:t>Ownership of intellectual property rights</w:t>
      </w:r>
    </w:p>
    <w:p w14:paraId="77789ED6" w14:textId="77777777" w:rsidR="004D52CE" w:rsidRDefault="004D52CE" w:rsidP="004D52CE">
      <w:pPr>
        <w:rPr>
          <w:sz w:val="18"/>
          <w:szCs w:val="18"/>
        </w:rPr>
      </w:pPr>
      <w:r>
        <w:rPr>
          <w:sz w:val="18"/>
          <w:szCs w:val="18"/>
        </w:rPr>
        <w:t>Unless otherwise noted, copyright (and any other intellectual property rights, if any) in this publication is owned by the Commonwealth of Australia (referred to as the Commonwealth).</w:t>
      </w:r>
    </w:p>
    <w:p w14:paraId="6E4B9DFC" w14:textId="77777777" w:rsidR="00B151F6" w:rsidRDefault="00B151F6" w:rsidP="00B151F6">
      <w:pPr>
        <w:spacing w:after="0"/>
        <w:rPr>
          <w:rFonts w:ascii="Calibri" w:hAnsi="Calibri"/>
          <w:b/>
          <w:sz w:val="18"/>
          <w:szCs w:val="18"/>
        </w:rPr>
      </w:pPr>
      <w:r>
        <w:rPr>
          <w:rFonts w:ascii="Calibri" w:hAnsi="Calibri"/>
          <w:b/>
          <w:sz w:val="18"/>
          <w:szCs w:val="18"/>
        </w:rPr>
        <w:t>Creative Commons licence</w:t>
      </w:r>
    </w:p>
    <w:p w14:paraId="65F8BA2A" w14:textId="77777777" w:rsidR="00B151F6" w:rsidRDefault="00B151F6" w:rsidP="00B151F6">
      <w:pPr>
        <w:rPr>
          <w:sz w:val="18"/>
          <w:szCs w:val="18"/>
        </w:rPr>
      </w:pPr>
      <w:r>
        <w:rPr>
          <w:sz w:val="18"/>
          <w:szCs w:val="18"/>
        </w:rPr>
        <w:t>All material in this publication is licensed under a Creative Commons Attribution 4.0 Australia Licence, save for content supplied by third parties, photographic images, logos and the Commonwealth Coat of Arms.</w:t>
      </w:r>
    </w:p>
    <w:p w14:paraId="120AD393" w14:textId="77777777" w:rsidR="00B151F6" w:rsidRDefault="00B151F6" w:rsidP="00B151F6">
      <w:pPr>
        <w:rPr>
          <w:sz w:val="18"/>
          <w:szCs w:val="18"/>
        </w:rPr>
      </w:pPr>
      <w:r>
        <w:rPr>
          <w:noProof/>
          <w:sz w:val="18"/>
          <w:szCs w:val="18"/>
          <w:lang w:eastAsia="en-AU"/>
        </w:rPr>
        <w:drawing>
          <wp:anchor distT="0" distB="0" distL="114300" distR="114300" simplePos="0" relativeHeight="251659264" behindDoc="0" locked="0" layoutInCell="1" allowOverlap="1" wp14:anchorId="3297F2F5" wp14:editId="0A506425">
            <wp:simplePos x="923925" y="2400300"/>
            <wp:positionH relativeFrom="column">
              <wp:align>left</wp:align>
            </wp:positionH>
            <wp:positionV relativeFrom="paragraph">
              <wp:align>top</wp:align>
            </wp:positionV>
            <wp:extent cx="723900" cy="255905"/>
            <wp:effectExtent l="0" t="0" r="0" b="0"/>
            <wp:wrapSquare wrapText="bothSides"/>
            <wp:docPr id="3" name="Picture 1" descr="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23900" cy="255905"/>
                    </a:xfrm>
                    <a:prstGeom prst="rect">
                      <a:avLst/>
                    </a:prstGeom>
                    <a:noFill/>
                    <a:ln w="9525">
                      <a:noFill/>
                      <a:miter lim="800000"/>
                      <a:headEnd/>
                      <a:tailEnd/>
                    </a:ln>
                  </pic:spPr>
                </pic:pic>
              </a:graphicData>
            </a:graphic>
          </wp:anchor>
        </w:drawing>
      </w:r>
      <w:r>
        <w:rPr>
          <w:sz w:val="18"/>
          <w:szCs w:val="18"/>
        </w:rPr>
        <w:br w:type="textWrapping" w:clear="all"/>
        <w:t xml:space="preserve">Creative Commons Attribution 4.0 Australia Licence is a standard form licence agreement that allows you to copy, distribute, transmit and adapt this publication provided you attribute the work. See the </w:t>
      </w:r>
      <w:hyperlink r:id="rId14" w:history="1">
        <w:r>
          <w:rPr>
            <w:rStyle w:val="Hyperlink"/>
            <w:sz w:val="18"/>
            <w:szCs w:val="18"/>
          </w:rPr>
          <w:t>summary of the licence terms</w:t>
        </w:r>
      </w:hyperlink>
      <w:r>
        <w:rPr>
          <w:sz w:val="18"/>
          <w:szCs w:val="18"/>
        </w:rPr>
        <w:t xml:space="preserve"> or the </w:t>
      </w:r>
      <w:hyperlink r:id="rId15" w:history="1">
        <w:r>
          <w:rPr>
            <w:rStyle w:val="Hyperlink"/>
            <w:sz w:val="18"/>
            <w:szCs w:val="18"/>
          </w:rPr>
          <w:t>full licence terms</w:t>
        </w:r>
      </w:hyperlink>
      <w:r>
        <w:rPr>
          <w:sz w:val="18"/>
          <w:szCs w:val="18"/>
        </w:rPr>
        <w:t>.</w:t>
      </w:r>
    </w:p>
    <w:p w14:paraId="44635A9C" w14:textId="77777777" w:rsidR="00B151F6" w:rsidRDefault="00B151F6" w:rsidP="00B151F6">
      <w:pPr>
        <w:rPr>
          <w:sz w:val="18"/>
          <w:szCs w:val="18"/>
        </w:rPr>
      </w:pPr>
      <w:r>
        <w:rPr>
          <w:sz w:val="18"/>
          <w:szCs w:val="18"/>
        </w:rPr>
        <w:t xml:space="preserve">Inquiries about the licence and any use of this document should be emailed to </w:t>
      </w:r>
      <w:hyperlink r:id="rId16" w:history="1">
        <w:r>
          <w:rPr>
            <w:rStyle w:val="Hyperlink"/>
            <w:sz w:val="18"/>
            <w:szCs w:val="18"/>
          </w:rPr>
          <w:t>copyright@agriculture.gov.au</w:t>
        </w:r>
      </w:hyperlink>
      <w:r>
        <w:rPr>
          <w:sz w:val="18"/>
          <w:szCs w:val="18"/>
        </w:rPr>
        <w:t>.</w:t>
      </w:r>
    </w:p>
    <w:p w14:paraId="75C7B75A" w14:textId="77777777" w:rsidR="001C0D1C" w:rsidRDefault="00E55B1C">
      <w:pPr>
        <w:spacing w:after="0"/>
        <w:rPr>
          <w:rFonts w:ascii="Calibri" w:hAnsi="Calibri"/>
          <w:b/>
          <w:sz w:val="18"/>
          <w:szCs w:val="18"/>
        </w:rPr>
      </w:pPr>
      <w:r>
        <w:rPr>
          <w:rFonts w:ascii="Calibri" w:hAnsi="Calibri"/>
          <w:b/>
          <w:sz w:val="18"/>
          <w:szCs w:val="18"/>
        </w:rPr>
        <w:t>Cataloguing data</w:t>
      </w:r>
    </w:p>
    <w:p w14:paraId="0375D770" w14:textId="600648CC" w:rsidR="00B151F6" w:rsidRDefault="00E55B1C" w:rsidP="00B151F6">
      <w:pPr>
        <w:rPr>
          <w:sz w:val="18"/>
          <w:szCs w:val="18"/>
        </w:rPr>
      </w:pPr>
      <w:r>
        <w:rPr>
          <w:sz w:val="18"/>
          <w:szCs w:val="18"/>
        </w:rPr>
        <w:t xml:space="preserve">This publication (and any material sourced from it) should be attributed as: </w:t>
      </w:r>
      <w:r w:rsidR="00343147">
        <w:rPr>
          <w:sz w:val="18"/>
          <w:szCs w:val="18"/>
        </w:rPr>
        <w:t>ANZG</w:t>
      </w:r>
      <w:r>
        <w:rPr>
          <w:sz w:val="18"/>
          <w:szCs w:val="18"/>
        </w:rPr>
        <w:t xml:space="preserve"> </w:t>
      </w:r>
      <w:r w:rsidR="00651610">
        <w:rPr>
          <w:sz w:val="18"/>
          <w:szCs w:val="18"/>
        </w:rPr>
        <w:t>2020</w:t>
      </w:r>
      <w:r>
        <w:rPr>
          <w:sz w:val="18"/>
          <w:szCs w:val="18"/>
        </w:rPr>
        <w:t>,</w:t>
      </w:r>
      <w:r w:rsidR="00DF1801">
        <w:rPr>
          <w:sz w:val="18"/>
          <w:szCs w:val="18"/>
        </w:rPr>
        <w:t xml:space="preserve"> </w:t>
      </w:r>
      <w:r w:rsidR="00B151F6">
        <w:rPr>
          <w:i/>
          <w:sz w:val="18"/>
          <w:szCs w:val="18"/>
        </w:rPr>
        <w:t xml:space="preserve">Toxicant default guideline values for aquatic ecosystem protection: </w:t>
      </w:r>
      <w:r w:rsidR="00E4141D">
        <w:rPr>
          <w:i/>
          <w:sz w:val="18"/>
          <w:szCs w:val="18"/>
        </w:rPr>
        <w:t>Metolachlor in fresh</w:t>
      </w:r>
      <w:r w:rsidR="00D36947" w:rsidRPr="00D36947">
        <w:rPr>
          <w:i/>
          <w:sz w:val="18"/>
          <w:szCs w:val="18"/>
        </w:rPr>
        <w:t>water</w:t>
      </w:r>
      <w:r w:rsidR="00B151F6">
        <w:rPr>
          <w:i/>
          <w:sz w:val="18"/>
          <w:szCs w:val="18"/>
        </w:rPr>
        <w:t xml:space="preserve">. </w:t>
      </w:r>
      <w:r w:rsidR="00343147">
        <w:rPr>
          <w:sz w:val="18"/>
          <w:szCs w:val="18"/>
        </w:rPr>
        <w:t>Australian and New Zealand Guidelines for Fresh and Marine Water Quality.</w:t>
      </w:r>
      <w:r w:rsidR="00343147" w:rsidRPr="00D47CA4">
        <w:rPr>
          <w:sz w:val="18"/>
          <w:szCs w:val="18"/>
        </w:rPr>
        <w:t xml:space="preserve"> </w:t>
      </w:r>
      <w:r w:rsidR="00B151F6" w:rsidRPr="00D47CA4">
        <w:rPr>
          <w:sz w:val="18"/>
          <w:szCs w:val="18"/>
        </w:rPr>
        <w:t>CC BY 4.0. Australian and New Zealand Governments and Australian state and territory governments, Canberra, ACT, Australia</w:t>
      </w:r>
      <w:r w:rsidR="00B151F6">
        <w:rPr>
          <w:sz w:val="18"/>
          <w:szCs w:val="18"/>
        </w:rPr>
        <w:t>.</w:t>
      </w:r>
    </w:p>
    <w:p w14:paraId="5AD69391" w14:textId="77777777" w:rsidR="00B151F6" w:rsidRDefault="00B151F6" w:rsidP="00B151F6">
      <w:pPr>
        <w:rPr>
          <w:sz w:val="18"/>
          <w:szCs w:val="18"/>
        </w:rPr>
      </w:pPr>
      <w:r>
        <w:rPr>
          <w:sz w:val="18"/>
          <w:szCs w:val="18"/>
        </w:rPr>
        <w:t xml:space="preserve">This publication is available at </w:t>
      </w:r>
      <w:hyperlink r:id="rId17" w:history="1">
        <w:r w:rsidRPr="00017770">
          <w:rPr>
            <w:rStyle w:val="Hyperlink"/>
            <w:sz w:val="18"/>
            <w:szCs w:val="18"/>
          </w:rPr>
          <w:t>waterquality.gov.au/anz-guidelines/guideline-values/default/water-quality-toxicants/toxicants</w:t>
        </w:r>
      </w:hyperlink>
      <w:r>
        <w:rPr>
          <w:sz w:val="18"/>
          <w:szCs w:val="18"/>
        </w:rPr>
        <w:t>.</w:t>
      </w:r>
    </w:p>
    <w:p w14:paraId="3E95282B" w14:textId="77777777" w:rsidR="00824850" w:rsidRDefault="00824850" w:rsidP="00824850">
      <w:pPr>
        <w:spacing w:after="0"/>
        <w:rPr>
          <w:b/>
          <w:sz w:val="18"/>
          <w:szCs w:val="18"/>
        </w:rPr>
      </w:pPr>
      <w:r w:rsidRPr="00824850">
        <w:rPr>
          <w:b/>
          <w:sz w:val="18"/>
          <w:szCs w:val="18"/>
        </w:rPr>
        <w:t>Contact</w:t>
      </w:r>
    </w:p>
    <w:p w14:paraId="66EB3F64" w14:textId="7D994F71" w:rsidR="00824850" w:rsidRDefault="00E55B1C" w:rsidP="00824850">
      <w:pPr>
        <w:spacing w:after="0"/>
        <w:rPr>
          <w:b/>
          <w:sz w:val="18"/>
          <w:szCs w:val="18"/>
        </w:rPr>
      </w:pPr>
      <w:r>
        <w:rPr>
          <w:sz w:val="18"/>
          <w:szCs w:val="18"/>
        </w:rPr>
        <w:t>Australian Government Department of Agriculture</w:t>
      </w:r>
      <w:r w:rsidR="00920777">
        <w:rPr>
          <w:sz w:val="18"/>
          <w:szCs w:val="18"/>
        </w:rPr>
        <w:t>, Water and the Environment</w:t>
      </w:r>
      <w:r>
        <w:rPr>
          <w:sz w:val="18"/>
          <w:szCs w:val="18"/>
        </w:rPr>
        <w:t xml:space="preserve"> </w:t>
      </w:r>
    </w:p>
    <w:p w14:paraId="2C59091B" w14:textId="69EBDF01" w:rsidR="001C0D1C" w:rsidRPr="00824850" w:rsidRDefault="00E55B1C" w:rsidP="00824850">
      <w:pPr>
        <w:spacing w:after="0"/>
        <w:rPr>
          <w:b/>
          <w:sz w:val="18"/>
          <w:szCs w:val="18"/>
        </w:rPr>
      </w:pPr>
      <w:r>
        <w:rPr>
          <w:sz w:val="18"/>
          <w:szCs w:val="18"/>
        </w:rPr>
        <w:t>GPO Box 858 Canberra ACT 2601</w:t>
      </w:r>
    </w:p>
    <w:p w14:paraId="6EBF1CEF" w14:textId="77777777" w:rsidR="001C0D1C" w:rsidRDefault="00E55B1C" w:rsidP="00824850">
      <w:pPr>
        <w:spacing w:after="0"/>
        <w:rPr>
          <w:sz w:val="18"/>
          <w:szCs w:val="18"/>
        </w:rPr>
      </w:pPr>
      <w:r>
        <w:rPr>
          <w:sz w:val="18"/>
          <w:szCs w:val="18"/>
        </w:rPr>
        <w:t>Switchboard +61 2 6272 3933 or 1800 900 090</w:t>
      </w:r>
    </w:p>
    <w:p w14:paraId="34C5EBA5" w14:textId="765C1D0C" w:rsidR="001C0D1C" w:rsidRDefault="00E55B1C" w:rsidP="00824850">
      <w:pPr>
        <w:spacing w:after="120"/>
        <w:rPr>
          <w:sz w:val="18"/>
          <w:szCs w:val="18"/>
        </w:rPr>
      </w:pPr>
      <w:r>
        <w:rPr>
          <w:sz w:val="18"/>
          <w:szCs w:val="18"/>
        </w:rPr>
        <w:t xml:space="preserve">Email </w:t>
      </w:r>
      <w:hyperlink r:id="rId18" w:history="1">
        <w:r w:rsidR="00B151F6">
          <w:rPr>
            <w:rStyle w:val="Hyperlink"/>
            <w:sz w:val="18"/>
            <w:szCs w:val="18"/>
          </w:rPr>
          <w:t>waterquality@agriculture.gov.au</w:t>
        </w:r>
      </w:hyperlink>
    </w:p>
    <w:p w14:paraId="26653544" w14:textId="77777777" w:rsidR="00B151F6" w:rsidRDefault="00B151F6" w:rsidP="00B151F6">
      <w:pPr>
        <w:spacing w:after="0"/>
        <w:rPr>
          <w:rFonts w:ascii="Calibri" w:hAnsi="Calibri"/>
          <w:b/>
          <w:sz w:val="18"/>
          <w:szCs w:val="18"/>
        </w:rPr>
      </w:pPr>
      <w:r>
        <w:rPr>
          <w:rFonts w:ascii="Calibri" w:hAnsi="Calibri"/>
          <w:b/>
          <w:sz w:val="18"/>
          <w:szCs w:val="18"/>
        </w:rPr>
        <w:t>Disclaimer</w:t>
      </w:r>
    </w:p>
    <w:p w14:paraId="13B94BB2" w14:textId="77777777" w:rsidR="00B151F6" w:rsidRDefault="00B151F6" w:rsidP="00B151F6">
      <w:pPr>
        <w:spacing w:after="0"/>
        <w:rPr>
          <w:sz w:val="18"/>
          <w:szCs w:val="18"/>
        </w:rPr>
      </w:pPr>
      <w:r>
        <w:rPr>
          <w:sz w:val="18"/>
          <w:szCs w:val="18"/>
        </w:rPr>
        <w:t>The author(s) of this publication, all other entities associated with funding this publication or preparing and compiling this publication, and the publisher of this publication, and their employees and advisers, disclaim all liability, including liability for negligence and for any loss, damage, injury, expense or cost incurred by any person as a result of accessing, using or relying on any of the information or data in this publication to the maximum extent permitted by law.</w:t>
      </w:r>
    </w:p>
    <w:p w14:paraId="4699A4E9" w14:textId="77777777" w:rsidR="00B151F6" w:rsidRDefault="00B151F6" w:rsidP="00B151F6">
      <w:pPr>
        <w:spacing w:after="0"/>
        <w:rPr>
          <w:sz w:val="18"/>
          <w:szCs w:val="18"/>
        </w:rPr>
      </w:pPr>
    </w:p>
    <w:p w14:paraId="0F584FCC" w14:textId="77777777" w:rsidR="00B151F6" w:rsidRDefault="00B151F6" w:rsidP="00B151F6">
      <w:pPr>
        <w:spacing w:after="0"/>
        <w:rPr>
          <w:rFonts w:ascii="Calibri" w:hAnsi="Calibri"/>
          <w:b/>
          <w:sz w:val="18"/>
          <w:szCs w:val="18"/>
        </w:rPr>
      </w:pPr>
      <w:r>
        <w:rPr>
          <w:rFonts w:ascii="Calibri" w:hAnsi="Calibri"/>
          <w:b/>
          <w:sz w:val="18"/>
          <w:szCs w:val="18"/>
        </w:rPr>
        <w:t>Acknowledgements</w:t>
      </w:r>
    </w:p>
    <w:p w14:paraId="5D9B5F96" w14:textId="6984FDC3" w:rsidR="001C0D1C" w:rsidRDefault="00B151F6">
      <w:pPr>
        <w:rPr>
          <w:sz w:val="18"/>
          <w:szCs w:val="18"/>
        </w:rPr>
      </w:pPr>
      <w:r>
        <w:rPr>
          <w:sz w:val="18"/>
          <w:szCs w:val="18"/>
        </w:rPr>
        <w:t>These</w:t>
      </w:r>
      <w:r w:rsidRPr="002A695A">
        <w:rPr>
          <w:sz w:val="18"/>
          <w:szCs w:val="18"/>
        </w:rPr>
        <w:t xml:space="preserve"> </w:t>
      </w:r>
      <w:r>
        <w:rPr>
          <w:sz w:val="18"/>
          <w:szCs w:val="18"/>
        </w:rPr>
        <w:t xml:space="preserve">default </w:t>
      </w:r>
      <w:r w:rsidRPr="002A695A">
        <w:rPr>
          <w:sz w:val="18"/>
          <w:szCs w:val="18"/>
        </w:rPr>
        <w:t>guideline</w:t>
      </w:r>
      <w:r>
        <w:rPr>
          <w:sz w:val="18"/>
          <w:szCs w:val="18"/>
        </w:rPr>
        <w:t xml:space="preserve"> values</w:t>
      </w:r>
      <w:r w:rsidR="001B1DB2">
        <w:rPr>
          <w:sz w:val="18"/>
          <w:szCs w:val="18"/>
        </w:rPr>
        <w:t xml:space="preserve"> (</w:t>
      </w:r>
      <w:r w:rsidR="00343147">
        <w:rPr>
          <w:sz w:val="18"/>
          <w:szCs w:val="18"/>
        </w:rPr>
        <w:t>DGVs</w:t>
      </w:r>
      <w:r w:rsidR="001B1DB2">
        <w:rPr>
          <w:sz w:val="18"/>
          <w:szCs w:val="18"/>
        </w:rPr>
        <w:t>)</w:t>
      </w:r>
      <w:r>
        <w:rPr>
          <w:sz w:val="18"/>
          <w:szCs w:val="18"/>
        </w:rPr>
        <w:t xml:space="preserve"> were derived by</w:t>
      </w:r>
      <w:r w:rsidR="00D36947">
        <w:rPr>
          <w:sz w:val="18"/>
          <w:szCs w:val="18"/>
        </w:rPr>
        <w:t xml:space="preserve"> </w:t>
      </w:r>
      <w:r w:rsidR="00D36947" w:rsidRPr="00D36947">
        <w:rPr>
          <w:sz w:val="18"/>
          <w:szCs w:val="18"/>
        </w:rPr>
        <w:t>Olivia C King, Gabrielle Dern (Griffith University)</w:t>
      </w:r>
      <w:r w:rsidR="00D36947">
        <w:rPr>
          <w:sz w:val="18"/>
          <w:szCs w:val="18"/>
        </w:rPr>
        <w:t>,</w:t>
      </w:r>
      <w:r w:rsidR="00D36947" w:rsidRPr="00D36947">
        <w:rPr>
          <w:sz w:val="18"/>
          <w:szCs w:val="18"/>
        </w:rPr>
        <w:t xml:space="preserve"> Dr Rachael A Smith (Water Quality and Investigations, Environmental Monitoring and Assessment Sciences, Science Delivery, Department of Science, Information Technology and Innovation) and Dr Michael </w:t>
      </w:r>
      <w:proofErr w:type="spellStart"/>
      <w:r w:rsidR="00D36947" w:rsidRPr="00D36947">
        <w:rPr>
          <w:sz w:val="18"/>
          <w:szCs w:val="18"/>
        </w:rPr>
        <w:t>St</w:t>
      </w:r>
      <w:r w:rsidR="00D36947">
        <w:rPr>
          <w:sz w:val="18"/>
          <w:szCs w:val="18"/>
        </w:rPr>
        <w:t>J</w:t>
      </w:r>
      <w:proofErr w:type="spellEnd"/>
      <w:r w:rsidR="00D36947">
        <w:rPr>
          <w:sz w:val="18"/>
          <w:szCs w:val="18"/>
        </w:rPr>
        <w:t xml:space="preserve"> </w:t>
      </w:r>
      <w:r w:rsidR="00D36947" w:rsidRPr="00D36947">
        <w:rPr>
          <w:sz w:val="18"/>
          <w:szCs w:val="18"/>
        </w:rPr>
        <w:t>Warne (School of Earth and Environmental Sciences, University of Queensland; Centre for Agroecology, Water and Resilience, Coventry University, United Kingdom; Queensland Department of Environment and Science).</w:t>
      </w:r>
      <w:r w:rsidR="000F7122">
        <w:rPr>
          <w:sz w:val="18"/>
          <w:szCs w:val="18"/>
        </w:rPr>
        <w:t xml:space="preserve"> The DGVs were peer reviewed by two anonymous reviewers and by two contracted technical advisors, Dr Rick van Dam and Alicia Hogan</w:t>
      </w:r>
      <w:r w:rsidR="001042B2">
        <w:rPr>
          <w:sz w:val="18"/>
          <w:szCs w:val="18"/>
        </w:rPr>
        <w:t>. The DGVs were also reviewed and approved by jurisdictional technical and policy oversight groups and a National Water Reform Committee</w:t>
      </w:r>
      <w:r w:rsidR="00F26558">
        <w:rPr>
          <w:sz w:val="18"/>
          <w:szCs w:val="18"/>
        </w:rPr>
        <w:t>,</w:t>
      </w:r>
      <w:r w:rsidR="001042B2">
        <w:rPr>
          <w:sz w:val="18"/>
          <w:szCs w:val="18"/>
        </w:rPr>
        <w:t xml:space="preserve"> prior to being published. </w:t>
      </w:r>
      <w:r w:rsidR="000F7122">
        <w:rPr>
          <w:noProof/>
          <w:sz w:val="18"/>
          <w:szCs w:val="18"/>
          <w:lang w:eastAsia="en-AU"/>
        </w:rPr>
        <w:t xml:space="preserve"> </w:t>
      </w:r>
      <w:r w:rsidR="00E55B1C">
        <w:rPr>
          <w:noProof/>
          <w:sz w:val="18"/>
          <w:szCs w:val="18"/>
          <w:lang w:eastAsia="en-AU"/>
        </w:rPr>
        <w:drawing>
          <wp:inline distT="0" distB="0" distL="0" distR="0" wp14:anchorId="21C06E27" wp14:editId="0F5CC0A8">
            <wp:extent cx="5522595" cy="1882930"/>
            <wp:effectExtent l="0" t="0" r="1905" b="0"/>
            <wp:docPr id="4" name="Picture 4" descr="A joint project between the New Zealand Government, NSW Government, Victoria State Government, Government of Western Australia, Northern Territory Government, Government of South Australia, Queensland Government, Tasmanian Government and ACT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A2834_1216_Water Quality state logos.jpg"/>
                    <pic:cNvPicPr/>
                  </pic:nvPicPr>
                  <pic:blipFill rotWithShape="1">
                    <a:blip r:embed="rId19">
                      <a:extLst>
                        <a:ext uri="{28A0092B-C50C-407E-A947-70E740481C1C}">
                          <a14:useLocalDpi xmlns:a14="http://schemas.microsoft.com/office/drawing/2010/main" val="0"/>
                        </a:ext>
                      </a:extLst>
                    </a:blip>
                    <a:srcRect t="13644"/>
                    <a:stretch/>
                  </pic:blipFill>
                  <pic:spPr bwMode="auto">
                    <a:xfrm>
                      <a:off x="0" y="0"/>
                      <a:ext cx="5647967" cy="1925676"/>
                    </a:xfrm>
                    <a:prstGeom prst="rect">
                      <a:avLst/>
                    </a:prstGeom>
                    <a:ln>
                      <a:noFill/>
                    </a:ln>
                    <a:extLst>
                      <a:ext uri="{53640926-AAD7-44D8-BBD7-CCE9431645EC}">
                        <a14:shadowObscured xmlns:a14="http://schemas.microsoft.com/office/drawing/2010/main"/>
                      </a:ext>
                    </a:extLst>
                  </pic:spPr>
                </pic:pic>
              </a:graphicData>
            </a:graphic>
          </wp:inline>
        </w:drawing>
      </w:r>
    </w:p>
    <w:p w14:paraId="4A316D6E" w14:textId="77777777" w:rsidR="001C0D1C" w:rsidRDefault="00E55B1C">
      <w:pPr>
        <w:pStyle w:val="TOCHeading"/>
      </w:pPr>
      <w:r>
        <w:lastRenderedPageBreak/>
        <w:t>Contents</w:t>
      </w:r>
    </w:p>
    <w:p w14:paraId="20FF8EF3" w14:textId="743EB05E" w:rsidR="000948AD" w:rsidRDefault="00E55B1C" w:rsidP="000948AD">
      <w:pPr>
        <w:pStyle w:val="TOC1"/>
        <w:spacing w:before="0"/>
        <w:rPr>
          <w:rFonts w:eastAsiaTheme="minorEastAsia"/>
          <w:b w:val="0"/>
          <w:lang w:eastAsia="en-AU"/>
        </w:rPr>
      </w:pPr>
      <w:r>
        <w:rPr>
          <w:bCs/>
          <w:szCs w:val="24"/>
        </w:rPr>
        <w:fldChar w:fldCharType="begin"/>
      </w:r>
      <w:r>
        <w:rPr>
          <w:bCs/>
          <w:szCs w:val="24"/>
        </w:rPr>
        <w:instrText xml:space="preserve"> TOC \t "Heading 2,1,Heading 3,2" </w:instrText>
      </w:r>
      <w:r>
        <w:rPr>
          <w:bCs/>
          <w:szCs w:val="24"/>
        </w:rPr>
        <w:fldChar w:fldCharType="separate"/>
      </w:r>
      <w:r w:rsidR="000948AD">
        <w:t>Summary</w:t>
      </w:r>
      <w:r w:rsidR="000948AD">
        <w:tab/>
      </w:r>
      <w:r w:rsidR="000948AD">
        <w:fldChar w:fldCharType="begin"/>
      </w:r>
      <w:r w:rsidR="000948AD">
        <w:instrText xml:space="preserve"> PAGEREF _Toc33094985 \h </w:instrText>
      </w:r>
      <w:r w:rsidR="000948AD">
        <w:fldChar w:fldCharType="separate"/>
      </w:r>
      <w:r w:rsidR="002825D7">
        <w:t>iv</w:t>
      </w:r>
      <w:r w:rsidR="000948AD">
        <w:fldChar w:fldCharType="end"/>
      </w:r>
    </w:p>
    <w:p w14:paraId="071BC896" w14:textId="5594457E" w:rsidR="000948AD" w:rsidRDefault="000948AD">
      <w:pPr>
        <w:pStyle w:val="TOC1"/>
        <w:rPr>
          <w:rFonts w:eastAsiaTheme="minorEastAsia"/>
          <w:b w:val="0"/>
          <w:lang w:eastAsia="en-AU"/>
        </w:rPr>
      </w:pPr>
      <w:r w:rsidRPr="008C5CE0">
        <w:t>1</w:t>
      </w:r>
      <w:r>
        <w:rPr>
          <w:rFonts w:eastAsiaTheme="minorEastAsia"/>
          <w:b w:val="0"/>
          <w:lang w:eastAsia="en-AU"/>
        </w:rPr>
        <w:tab/>
      </w:r>
      <w:r>
        <w:t>Introduction</w:t>
      </w:r>
      <w:r>
        <w:tab/>
      </w:r>
      <w:r>
        <w:fldChar w:fldCharType="begin"/>
      </w:r>
      <w:r>
        <w:instrText xml:space="preserve"> PAGEREF _Toc33094986 \h </w:instrText>
      </w:r>
      <w:r>
        <w:fldChar w:fldCharType="separate"/>
      </w:r>
      <w:r w:rsidR="002825D7">
        <w:t>1</w:t>
      </w:r>
      <w:r>
        <w:fldChar w:fldCharType="end"/>
      </w:r>
    </w:p>
    <w:p w14:paraId="4FEAE0D5" w14:textId="52BF270E" w:rsidR="000948AD" w:rsidRDefault="000948AD">
      <w:pPr>
        <w:pStyle w:val="TOC1"/>
        <w:rPr>
          <w:rFonts w:eastAsiaTheme="minorEastAsia"/>
          <w:b w:val="0"/>
          <w:lang w:eastAsia="en-AU"/>
        </w:rPr>
      </w:pPr>
      <w:r w:rsidRPr="008C5CE0">
        <w:t>2</w:t>
      </w:r>
      <w:r>
        <w:rPr>
          <w:rFonts w:eastAsiaTheme="minorEastAsia"/>
          <w:b w:val="0"/>
          <w:lang w:eastAsia="en-AU"/>
        </w:rPr>
        <w:tab/>
      </w:r>
      <w:r>
        <w:t>Aquatic toxicology</w:t>
      </w:r>
      <w:r>
        <w:tab/>
      </w:r>
      <w:r>
        <w:fldChar w:fldCharType="begin"/>
      </w:r>
      <w:r>
        <w:instrText xml:space="preserve"> PAGEREF _Toc33094987 \h </w:instrText>
      </w:r>
      <w:r>
        <w:fldChar w:fldCharType="separate"/>
      </w:r>
      <w:r w:rsidR="002825D7">
        <w:t>2</w:t>
      </w:r>
      <w:r>
        <w:fldChar w:fldCharType="end"/>
      </w:r>
    </w:p>
    <w:p w14:paraId="00C02A04" w14:textId="58CF7A3E" w:rsidR="000948AD" w:rsidRDefault="000948AD">
      <w:pPr>
        <w:pStyle w:val="TOC2"/>
        <w:tabs>
          <w:tab w:val="left" w:pos="1100"/>
        </w:tabs>
        <w:rPr>
          <w:rFonts w:eastAsiaTheme="minorEastAsia"/>
          <w:lang w:eastAsia="en-AU"/>
        </w:rPr>
      </w:pPr>
      <w:r>
        <w:t>2.1</w:t>
      </w:r>
      <w:r>
        <w:rPr>
          <w:rFonts w:eastAsiaTheme="minorEastAsia"/>
          <w:lang w:eastAsia="en-AU"/>
        </w:rPr>
        <w:tab/>
      </w:r>
      <w:r>
        <w:t>Mechanism of toxicity</w:t>
      </w:r>
      <w:r>
        <w:tab/>
      </w:r>
      <w:r>
        <w:fldChar w:fldCharType="begin"/>
      </w:r>
      <w:r>
        <w:instrText xml:space="preserve"> PAGEREF _Toc33094988 \h </w:instrText>
      </w:r>
      <w:r>
        <w:fldChar w:fldCharType="separate"/>
      </w:r>
      <w:r w:rsidR="002825D7">
        <w:t>2</w:t>
      </w:r>
      <w:r>
        <w:fldChar w:fldCharType="end"/>
      </w:r>
    </w:p>
    <w:p w14:paraId="67189EBD" w14:textId="2AC6F054" w:rsidR="000948AD" w:rsidRDefault="000948AD">
      <w:pPr>
        <w:pStyle w:val="TOC2"/>
        <w:tabs>
          <w:tab w:val="left" w:pos="1100"/>
        </w:tabs>
        <w:rPr>
          <w:rFonts w:eastAsiaTheme="minorEastAsia"/>
          <w:lang w:eastAsia="en-AU"/>
        </w:rPr>
      </w:pPr>
      <w:r>
        <w:t>2.2</w:t>
      </w:r>
      <w:r>
        <w:rPr>
          <w:rFonts w:eastAsiaTheme="minorEastAsia"/>
          <w:lang w:eastAsia="en-AU"/>
        </w:rPr>
        <w:tab/>
      </w:r>
      <w:r>
        <w:t>Toxicity</w:t>
      </w:r>
      <w:r>
        <w:tab/>
      </w:r>
      <w:r>
        <w:fldChar w:fldCharType="begin"/>
      </w:r>
      <w:r>
        <w:instrText xml:space="preserve"> PAGEREF _Toc33094989 \h </w:instrText>
      </w:r>
      <w:r>
        <w:fldChar w:fldCharType="separate"/>
      </w:r>
      <w:r w:rsidR="002825D7">
        <w:t>2</w:t>
      </w:r>
      <w:r>
        <w:fldChar w:fldCharType="end"/>
      </w:r>
    </w:p>
    <w:p w14:paraId="368E96D9" w14:textId="3C04DB24" w:rsidR="000948AD" w:rsidRDefault="000948AD">
      <w:pPr>
        <w:pStyle w:val="TOC1"/>
        <w:rPr>
          <w:rFonts w:eastAsiaTheme="minorEastAsia"/>
          <w:b w:val="0"/>
          <w:lang w:eastAsia="en-AU"/>
        </w:rPr>
      </w:pPr>
      <w:r w:rsidRPr="008C5CE0">
        <w:t>3</w:t>
      </w:r>
      <w:r>
        <w:rPr>
          <w:rFonts w:eastAsiaTheme="minorEastAsia"/>
          <w:b w:val="0"/>
          <w:lang w:eastAsia="en-AU"/>
        </w:rPr>
        <w:tab/>
      </w:r>
      <w:r>
        <w:t>Factors affecting toxicity</w:t>
      </w:r>
      <w:r>
        <w:tab/>
      </w:r>
      <w:r>
        <w:fldChar w:fldCharType="begin"/>
      </w:r>
      <w:r>
        <w:instrText xml:space="preserve"> PAGEREF _Toc33094990 \h </w:instrText>
      </w:r>
      <w:r>
        <w:fldChar w:fldCharType="separate"/>
      </w:r>
      <w:r w:rsidR="002825D7">
        <w:t>4</w:t>
      </w:r>
      <w:r>
        <w:fldChar w:fldCharType="end"/>
      </w:r>
    </w:p>
    <w:p w14:paraId="173DCE23" w14:textId="3FE56928" w:rsidR="000948AD" w:rsidRDefault="000948AD">
      <w:pPr>
        <w:pStyle w:val="TOC1"/>
        <w:rPr>
          <w:rFonts w:eastAsiaTheme="minorEastAsia"/>
          <w:b w:val="0"/>
          <w:lang w:eastAsia="en-AU"/>
        </w:rPr>
      </w:pPr>
      <w:r w:rsidRPr="008C5CE0">
        <w:t>4</w:t>
      </w:r>
      <w:r>
        <w:rPr>
          <w:rFonts w:eastAsiaTheme="minorEastAsia"/>
          <w:b w:val="0"/>
          <w:lang w:eastAsia="en-AU"/>
        </w:rPr>
        <w:tab/>
      </w:r>
      <w:r>
        <w:t>Default guideline value derivation</w:t>
      </w:r>
      <w:r>
        <w:tab/>
      </w:r>
      <w:r>
        <w:fldChar w:fldCharType="begin"/>
      </w:r>
      <w:r>
        <w:instrText xml:space="preserve"> PAGEREF _Toc33094991 \h </w:instrText>
      </w:r>
      <w:r>
        <w:fldChar w:fldCharType="separate"/>
      </w:r>
      <w:r w:rsidR="002825D7">
        <w:t>4</w:t>
      </w:r>
      <w:r>
        <w:fldChar w:fldCharType="end"/>
      </w:r>
    </w:p>
    <w:p w14:paraId="3919DD3F" w14:textId="1D0F9E0A" w:rsidR="000948AD" w:rsidRDefault="000948AD">
      <w:pPr>
        <w:pStyle w:val="TOC2"/>
        <w:tabs>
          <w:tab w:val="left" w:pos="1100"/>
        </w:tabs>
        <w:rPr>
          <w:rFonts w:eastAsiaTheme="minorEastAsia"/>
          <w:lang w:eastAsia="en-AU"/>
        </w:rPr>
      </w:pPr>
      <w:r>
        <w:t>4.1</w:t>
      </w:r>
      <w:r>
        <w:rPr>
          <w:rFonts w:eastAsiaTheme="minorEastAsia"/>
          <w:lang w:eastAsia="en-AU"/>
        </w:rPr>
        <w:tab/>
      </w:r>
      <w:r>
        <w:t>Toxicity data used in derivation</w:t>
      </w:r>
      <w:r>
        <w:tab/>
      </w:r>
      <w:r>
        <w:fldChar w:fldCharType="begin"/>
      </w:r>
      <w:r>
        <w:instrText xml:space="preserve"> PAGEREF _Toc33094992 \h </w:instrText>
      </w:r>
      <w:r>
        <w:fldChar w:fldCharType="separate"/>
      </w:r>
      <w:r w:rsidR="002825D7">
        <w:t>4</w:t>
      </w:r>
      <w:r>
        <w:fldChar w:fldCharType="end"/>
      </w:r>
    </w:p>
    <w:p w14:paraId="30498D22" w14:textId="499FCBB5" w:rsidR="000948AD" w:rsidRDefault="000948AD">
      <w:pPr>
        <w:pStyle w:val="TOC2"/>
        <w:tabs>
          <w:tab w:val="left" w:pos="1100"/>
        </w:tabs>
        <w:rPr>
          <w:rFonts w:eastAsiaTheme="minorEastAsia"/>
          <w:lang w:eastAsia="en-AU"/>
        </w:rPr>
      </w:pPr>
      <w:r>
        <w:t>4.2</w:t>
      </w:r>
      <w:r>
        <w:rPr>
          <w:rFonts w:eastAsiaTheme="minorEastAsia"/>
          <w:lang w:eastAsia="en-AU"/>
        </w:rPr>
        <w:tab/>
      </w:r>
      <w:r>
        <w:t>Species sensitivity distribution</w:t>
      </w:r>
      <w:r>
        <w:tab/>
      </w:r>
      <w:r>
        <w:fldChar w:fldCharType="begin"/>
      </w:r>
      <w:r>
        <w:instrText xml:space="preserve"> PAGEREF _Toc33094993 \h </w:instrText>
      </w:r>
      <w:r>
        <w:fldChar w:fldCharType="separate"/>
      </w:r>
      <w:r w:rsidR="002825D7">
        <w:t>7</w:t>
      </w:r>
      <w:r>
        <w:fldChar w:fldCharType="end"/>
      </w:r>
    </w:p>
    <w:p w14:paraId="10B823A0" w14:textId="26D44FC9" w:rsidR="000948AD" w:rsidRDefault="000948AD">
      <w:pPr>
        <w:pStyle w:val="TOC2"/>
        <w:tabs>
          <w:tab w:val="left" w:pos="1100"/>
        </w:tabs>
        <w:rPr>
          <w:rFonts w:eastAsiaTheme="minorEastAsia"/>
          <w:lang w:eastAsia="en-AU"/>
        </w:rPr>
      </w:pPr>
      <w:r>
        <w:t>4.3</w:t>
      </w:r>
      <w:r>
        <w:rPr>
          <w:rFonts w:eastAsiaTheme="minorEastAsia"/>
          <w:lang w:eastAsia="en-AU"/>
        </w:rPr>
        <w:tab/>
      </w:r>
      <w:r>
        <w:t>Default guideline values</w:t>
      </w:r>
      <w:r>
        <w:tab/>
      </w:r>
      <w:r>
        <w:fldChar w:fldCharType="begin"/>
      </w:r>
      <w:r>
        <w:instrText xml:space="preserve"> PAGEREF _Toc33094994 \h </w:instrText>
      </w:r>
      <w:r>
        <w:fldChar w:fldCharType="separate"/>
      </w:r>
      <w:r w:rsidR="002825D7">
        <w:t>7</w:t>
      </w:r>
      <w:r>
        <w:fldChar w:fldCharType="end"/>
      </w:r>
    </w:p>
    <w:p w14:paraId="033B758A" w14:textId="03ADCA7B" w:rsidR="000948AD" w:rsidRDefault="000948AD">
      <w:pPr>
        <w:pStyle w:val="TOC2"/>
        <w:tabs>
          <w:tab w:val="left" w:pos="1100"/>
        </w:tabs>
        <w:rPr>
          <w:rFonts w:eastAsiaTheme="minorEastAsia"/>
          <w:lang w:eastAsia="en-AU"/>
        </w:rPr>
      </w:pPr>
      <w:r>
        <w:t>4.4</w:t>
      </w:r>
      <w:r>
        <w:rPr>
          <w:rFonts w:eastAsiaTheme="minorEastAsia"/>
          <w:lang w:eastAsia="en-AU"/>
        </w:rPr>
        <w:tab/>
      </w:r>
      <w:r>
        <w:t>Reliability classification</w:t>
      </w:r>
      <w:r>
        <w:tab/>
      </w:r>
      <w:r>
        <w:fldChar w:fldCharType="begin"/>
      </w:r>
      <w:r>
        <w:instrText xml:space="preserve"> PAGEREF _Toc33094995 \h </w:instrText>
      </w:r>
      <w:r>
        <w:fldChar w:fldCharType="separate"/>
      </w:r>
      <w:r w:rsidR="002825D7">
        <w:t>8</w:t>
      </w:r>
      <w:r>
        <w:fldChar w:fldCharType="end"/>
      </w:r>
    </w:p>
    <w:p w14:paraId="1B18DC64" w14:textId="7CC761C5" w:rsidR="000948AD" w:rsidRDefault="000948AD">
      <w:pPr>
        <w:pStyle w:val="TOC1"/>
        <w:rPr>
          <w:rFonts w:eastAsiaTheme="minorEastAsia"/>
          <w:b w:val="0"/>
          <w:lang w:eastAsia="en-AU"/>
        </w:rPr>
      </w:pPr>
      <w:r>
        <w:t>Glossary</w:t>
      </w:r>
      <w:r>
        <w:tab/>
      </w:r>
      <w:r>
        <w:fldChar w:fldCharType="begin"/>
      </w:r>
      <w:r>
        <w:instrText xml:space="preserve"> PAGEREF _Toc33094996 \h </w:instrText>
      </w:r>
      <w:r>
        <w:fldChar w:fldCharType="separate"/>
      </w:r>
      <w:r w:rsidR="002825D7">
        <w:t>9</w:t>
      </w:r>
      <w:r>
        <w:fldChar w:fldCharType="end"/>
      </w:r>
    </w:p>
    <w:p w14:paraId="23CBB715" w14:textId="51B12643" w:rsidR="000948AD" w:rsidRDefault="000948AD">
      <w:pPr>
        <w:pStyle w:val="TOC1"/>
        <w:rPr>
          <w:rFonts w:eastAsiaTheme="minorEastAsia"/>
          <w:b w:val="0"/>
          <w:lang w:eastAsia="en-AU"/>
        </w:rPr>
      </w:pPr>
      <w:r>
        <w:t>Appendix A: Toxicity data that passed the screening and quality assessment and were used to derive the default guideline values</w:t>
      </w:r>
      <w:r>
        <w:tab/>
      </w:r>
      <w:r>
        <w:fldChar w:fldCharType="begin"/>
      </w:r>
      <w:r>
        <w:instrText xml:space="preserve"> PAGEREF _Toc33094997 \h </w:instrText>
      </w:r>
      <w:r>
        <w:fldChar w:fldCharType="separate"/>
      </w:r>
      <w:r w:rsidR="002825D7">
        <w:t>11</w:t>
      </w:r>
      <w:r>
        <w:fldChar w:fldCharType="end"/>
      </w:r>
    </w:p>
    <w:p w14:paraId="593B676F" w14:textId="22AB9A7E" w:rsidR="000948AD" w:rsidRDefault="000948AD">
      <w:pPr>
        <w:pStyle w:val="TOC1"/>
        <w:rPr>
          <w:rFonts w:eastAsiaTheme="minorEastAsia"/>
          <w:b w:val="0"/>
          <w:lang w:eastAsia="en-AU"/>
        </w:rPr>
      </w:pPr>
      <w:r>
        <w:t xml:space="preserve">Appendix B: </w:t>
      </w:r>
      <w:r w:rsidRPr="008C5CE0">
        <w:rPr>
          <w:iCs/>
          <w:lang w:bidi="en-US"/>
        </w:rPr>
        <w:t xml:space="preserve">Modality assessment for metolachlor toxicity to freshwater </w:t>
      </w:r>
      <w:r>
        <w:t>species</w:t>
      </w:r>
      <w:r>
        <w:tab/>
      </w:r>
      <w:r>
        <w:fldChar w:fldCharType="begin"/>
      </w:r>
      <w:r>
        <w:instrText xml:space="preserve"> PAGEREF _Toc33094998 \h </w:instrText>
      </w:r>
      <w:r>
        <w:fldChar w:fldCharType="separate"/>
      </w:r>
      <w:r w:rsidR="002825D7">
        <w:t>16</w:t>
      </w:r>
      <w:r>
        <w:fldChar w:fldCharType="end"/>
      </w:r>
    </w:p>
    <w:p w14:paraId="56FC001D" w14:textId="780F71E8" w:rsidR="000948AD" w:rsidRDefault="000948AD">
      <w:pPr>
        <w:pStyle w:val="TOC1"/>
        <w:rPr>
          <w:rFonts w:eastAsiaTheme="minorEastAsia"/>
          <w:b w:val="0"/>
          <w:lang w:eastAsia="en-AU"/>
        </w:rPr>
      </w:pPr>
      <w:r>
        <w:t>Appendix C: Rationale for selecting the final dataset for deriving the default guideline values for metolachlor in freshwater</w:t>
      </w:r>
      <w:r>
        <w:tab/>
      </w:r>
      <w:r>
        <w:fldChar w:fldCharType="begin"/>
      </w:r>
      <w:r>
        <w:instrText xml:space="preserve"> PAGEREF _Toc33094999 \h </w:instrText>
      </w:r>
      <w:r>
        <w:fldChar w:fldCharType="separate"/>
      </w:r>
      <w:r w:rsidR="002825D7">
        <w:t>18</w:t>
      </w:r>
      <w:r>
        <w:fldChar w:fldCharType="end"/>
      </w:r>
    </w:p>
    <w:p w14:paraId="1C9D3CDE" w14:textId="0A9A452E" w:rsidR="000948AD" w:rsidRDefault="000948AD">
      <w:pPr>
        <w:pStyle w:val="TOC1"/>
        <w:rPr>
          <w:rFonts w:eastAsiaTheme="minorEastAsia"/>
          <w:b w:val="0"/>
          <w:lang w:eastAsia="en-AU"/>
        </w:rPr>
      </w:pPr>
      <w:r>
        <w:t>References</w:t>
      </w:r>
      <w:r>
        <w:tab/>
      </w:r>
      <w:r>
        <w:fldChar w:fldCharType="begin"/>
      </w:r>
      <w:r>
        <w:instrText xml:space="preserve"> PAGEREF _Toc33095000 \h </w:instrText>
      </w:r>
      <w:r>
        <w:fldChar w:fldCharType="separate"/>
      </w:r>
      <w:r w:rsidR="002825D7">
        <w:t>20</w:t>
      </w:r>
      <w:r>
        <w:fldChar w:fldCharType="end"/>
      </w:r>
    </w:p>
    <w:p w14:paraId="11B0DAB9" w14:textId="726A847C" w:rsidR="001C0D1C" w:rsidRDefault="00E55B1C">
      <w:pPr>
        <w:pStyle w:val="TOCHeading2"/>
      </w:pPr>
      <w:r>
        <w:rPr>
          <w:rFonts w:asciiTheme="minorHAnsi" w:eastAsiaTheme="minorHAnsi" w:hAnsiTheme="minorHAnsi" w:cstheme="minorBidi"/>
          <w:noProof/>
          <w:color w:val="auto"/>
          <w:sz w:val="22"/>
          <w:szCs w:val="24"/>
          <w:lang w:val="en-AU"/>
        </w:rPr>
        <w:fldChar w:fldCharType="end"/>
      </w:r>
      <w:r>
        <w:t>Figures</w:t>
      </w:r>
    </w:p>
    <w:p w14:paraId="42A8C6EF" w14:textId="2947701C" w:rsidR="000948AD" w:rsidRDefault="00E55B1C" w:rsidP="000948AD">
      <w:pPr>
        <w:pStyle w:val="TableofFigures"/>
        <w:tabs>
          <w:tab w:val="right" w:leader="dot" w:pos="9060"/>
        </w:tabs>
        <w:spacing w:before="80"/>
        <w:rPr>
          <w:rFonts w:eastAsiaTheme="minorEastAsia"/>
          <w:noProof/>
          <w:lang w:eastAsia="en-AU"/>
        </w:rPr>
      </w:pPr>
      <w:r>
        <w:fldChar w:fldCharType="begin"/>
      </w:r>
      <w:r>
        <w:instrText xml:space="preserve"> TOC \c "Figure" </w:instrText>
      </w:r>
      <w:r>
        <w:fldChar w:fldCharType="separate"/>
      </w:r>
      <w:r w:rsidR="000948AD">
        <w:rPr>
          <w:noProof/>
        </w:rPr>
        <w:t>Figure 1 Structure of metolachlor</w:t>
      </w:r>
      <w:r w:rsidR="000948AD">
        <w:rPr>
          <w:noProof/>
        </w:rPr>
        <w:tab/>
      </w:r>
      <w:r w:rsidR="000948AD">
        <w:rPr>
          <w:noProof/>
        </w:rPr>
        <w:fldChar w:fldCharType="begin"/>
      </w:r>
      <w:r w:rsidR="000948AD">
        <w:rPr>
          <w:noProof/>
        </w:rPr>
        <w:instrText xml:space="preserve"> PAGEREF _Toc33095001 \h </w:instrText>
      </w:r>
      <w:r w:rsidR="000948AD">
        <w:rPr>
          <w:noProof/>
        </w:rPr>
      </w:r>
      <w:r w:rsidR="000948AD">
        <w:rPr>
          <w:noProof/>
        </w:rPr>
        <w:fldChar w:fldCharType="separate"/>
      </w:r>
      <w:r w:rsidR="002825D7">
        <w:rPr>
          <w:noProof/>
        </w:rPr>
        <w:t>1</w:t>
      </w:r>
      <w:r w:rsidR="000948AD">
        <w:rPr>
          <w:noProof/>
        </w:rPr>
        <w:fldChar w:fldCharType="end"/>
      </w:r>
    </w:p>
    <w:p w14:paraId="5FE48422" w14:textId="2DAB3DD3" w:rsidR="000948AD" w:rsidRDefault="000948AD">
      <w:pPr>
        <w:pStyle w:val="TableofFigures"/>
        <w:tabs>
          <w:tab w:val="right" w:leader="dot" w:pos="9060"/>
        </w:tabs>
        <w:rPr>
          <w:rFonts w:eastAsiaTheme="minorEastAsia"/>
          <w:noProof/>
          <w:lang w:eastAsia="en-AU"/>
        </w:rPr>
      </w:pPr>
      <w:r>
        <w:rPr>
          <w:noProof/>
        </w:rPr>
        <w:t>Figure 2 Species sensitivity distribution, metolachlor in freshwater</w:t>
      </w:r>
      <w:r>
        <w:rPr>
          <w:noProof/>
        </w:rPr>
        <w:tab/>
      </w:r>
      <w:r>
        <w:rPr>
          <w:noProof/>
        </w:rPr>
        <w:fldChar w:fldCharType="begin"/>
      </w:r>
      <w:r>
        <w:rPr>
          <w:noProof/>
        </w:rPr>
        <w:instrText xml:space="preserve"> PAGEREF _Toc33095002 \h </w:instrText>
      </w:r>
      <w:r>
        <w:rPr>
          <w:noProof/>
        </w:rPr>
      </w:r>
      <w:r>
        <w:rPr>
          <w:noProof/>
        </w:rPr>
        <w:fldChar w:fldCharType="separate"/>
      </w:r>
      <w:r w:rsidR="002825D7">
        <w:rPr>
          <w:noProof/>
        </w:rPr>
        <w:t>7</w:t>
      </w:r>
      <w:r>
        <w:rPr>
          <w:noProof/>
        </w:rPr>
        <w:fldChar w:fldCharType="end"/>
      </w:r>
    </w:p>
    <w:p w14:paraId="17A22399" w14:textId="77777777" w:rsidR="001C0D1C" w:rsidRDefault="00E55B1C">
      <w:pPr>
        <w:pStyle w:val="TOCHeading2"/>
      </w:pPr>
      <w:r>
        <w:rPr>
          <w:rFonts w:ascii="Cambria" w:hAnsi="Cambria"/>
          <w:color w:val="auto"/>
          <w:sz w:val="22"/>
          <w:szCs w:val="24"/>
        </w:rPr>
        <w:fldChar w:fldCharType="end"/>
      </w:r>
      <w:r>
        <w:t>Tables</w:t>
      </w:r>
    </w:p>
    <w:p w14:paraId="0E920A33" w14:textId="5DA49B2E" w:rsidR="000948AD" w:rsidRDefault="00E55B1C" w:rsidP="000948AD">
      <w:pPr>
        <w:pStyle w:val="TableofFigures"/>
        <w:tabs>
          <w:tab w:val="right" w:leader="dot" w:pos="9060"/>
        </w:tabs>
        <w:spacing w:before="80"/>
        <w:rPr>
          <w:rFonts w:eastAsiaTheme="minorEastAsia"/>
          <w:noProof/>
          <w:lang w:eastAsia="en-AU"/>
        </w:rPr>
      </w:pPr>
      <w:r>
        <w:rPr>
          <w:bCs/>
          <w:szCs w:val="24"/>
        </w:rPr>
        <w:fldChar w:fldCharType="begin"/>
      </w:r>
      <w:r>
        <w:rPr>
          <w:bCs/>
        </w:rPr>
        <w:instrText xml:space="preserve"> TOC \c "Table" </w:instrText>
      </w:r>
      <w:r>
        <w:rPr>
          <w:bCs/>
          <w:szCs w:val="24"/>
        </w:rPr>
        <w:fldChar w:fldCharType="separate"/>
      </w:r>
      <w:r w:rsidR="000948AD">
        <w:rPr>
          <w:noProof/>
        </w:rPr>
        <w:t>Table 1 Summary of selected physico-chemical properties of metolachlor</w:t>
      </w:r>
      <w:r w:rsidR="000948AD">
        <w:rPr>
          <w:noProof/>
        </w:rPr>
        <w:tab/>
      </w:r>
      <w:r w:rsidR="000948AD">
        <w:rPr>
          <w:noProof/>
        </w:rPr>
        <w:fldChar w:fldCharType="begin"/>
      </w:r>
      <w:r w:rsidR="000948AD">
        <w:rPr>
          <w:noProof/>
        </w:rPr>
        <w:instrText xml:space="preserve"> PAGEREF _Toc33095003 \h </w:instrText>
      </w:r>
      <w:r w:rsidR="000948AD">
        <w:rPr>
          <w:noProof/>
        </w:rPr>
      </w:r>
      <w:r w:rsidR="000948AD">
        <w:rPr>
          <w:noProof/>
        </w:rPr>
        <w:fldChar w:fldCharType="separate"/>
      </w:r>
      <w:r w:rsidR="002825D7">
        <w:rPr>
          <w:noProof/>
        </w:rPr>
        <w:t>1</w:t>
      </w:r>
      <w:r w:rsidR="000948AD">
        <w:rPr>
          <w:noProof/>
        </w:rPr>
        <w:fldChar w:fldCharType="end"/>
      </w:r>
    </w:p>
    <w:p w14:paraId="139DF2AA" w14:textId="10A1D23C" w:rsidR="000948AD" w:rsidRDefault="000948AD">
      <w:pPr>
        <w:pStyle w:val="TableofFigures"/>
        <w:tabs>
          <w:tab w:val="right" w:leader="dot" w:pos="9060"/>
        </w:tabs>
        <w:rPr>
          <w:rFonts w:eastAsiaTheme="minorEastAsia"/>
          <w:noProof/>
          <w:lang w:eastAsia="en-AU"/>
        </w:rPr>
      </w:pPr>
      <w:r>
        <w:rPr>
          <w:noProof/>
        </w:rPr>
        <w:t>Table 2 Summary of single toxicity values, all species used to derive default guideline values for metolachlor in freshwater</w:t>
      </w:r>
      <w:r>
        <w:rPr>
          <w:noProof/>
        </w:rPr>
        <w:tab/>
      </w:r>
      <w:r>
        <w:rPr>
          <w:noProof/>
        </w:rPr>
        <w:fldChar w:fldCharType="begin"/>
      </w:r>
      <w:r>
        <w:rPr>
          <w:noProof/>
        </w:rPr>
        <w:instrText xml:space="preserve"> PAGEREF _Toc33095004 \h </w:instrText>
      </w:r>
      <w:r>
        <w:rPr>
          <w:noProof/>
        </w:rPr>
      </w:r>
      <w:r>
        <w:rPr>
          <w:noProof/>
        </w:rPr>
        <w:fldChar w:fldCharType="separate"/>
      </w:r>
      <w:r w:rsidR="002825D7">
        <w:rPr>
          <w:noProof/>
        </w:rPr>
        <w:t>5</w:t>
      </w:r>
      <w:r>
        <w:rPr>
          <w:noProof/>
        </w:rPr>
        <w:fldChar w:fldCharType="end"/>
      </w:r>
    </w:p>
    <w:p w14:paraId="2D7316B6" w14:textId="60C94D6B" w:rsidR="000948AD" w:rsidRDefault="000948AD">
      <w:pPr>
        <w:pStyle w:val="TableofFigures"/>
        <w:tabs>
          <w:tab w:val="right" w:leader="dot" w:pos="9060"/>
        </w:tabs>
        <w:rPr>
          <w:rFonts w:eastAsiaTheme="minorEastAsia"/>
          <w:noProof/>
          <w:lang w:eastAsia="en-AU"/>
        </w:rPr>
      </w:pPr>
      <w:r>
        <w:rPr>
          <w:noProof/>
        </w:rPr>
        <w:t>Table 3 Toxicant default guideline values, metolachlor in freshwater, very high reliability</w:t>
      </w:r>
      <w:r>
        <w:rPr>
          <w:noProof/>
        </w:rPr>
        <w:tab/>
      </w:r>
      <w:r>
        <w:rPr>
          <w:noProof/>
        </w:rPr>
        <w:fldChar w:fldCharType="begin"/>
      </w:r>
      <w:r>
        <w:rPr>
          <w:noProof/>
        </w:rPr>
        <w:instrText xml:space="preserve"> PAGEREF _Toc33095005 \h </w:instrText>
      </w:r>
      <w:r>
        <w:rPr>
          <w:noProof/>
        </w:rPr>
      </w:r>
      <w:r>
        <w:rPr>
          <w:noProof/>
        </w:rPr>
        <w:fldChar w:fldCharType="separate"/>
      </w:r>
      <w:r w:rsidR="002825D7">
        <w:rPr>
          <w:noProof/>
        </w:rPr>
        <w:t>8</w:t>
      </w:r>
      <w:r>
        <w:rPr>
          <w:noProof/>
        </w:rPr>
        <w:fldChar w:fldCharType="end"/>
      </w:r>
    </w:p>
    <w:p w14:paraId="0D6E1C80" w14:textId="53F23FF6" w:rsidR="00401C43" w:rsidRDefault="00E55B1C" w:rsidP="00401C43">
      <w:pPr>
        <w:pStyle w:val="TOCHeading2"/>
        <w:rPr>
          <w:bCs w:val="0"/>
          <w:szCs w:val="24"/>
        </w:rPr>
      </w:pPr>
      <w:r>
        <w:fldChar w:fldCharType="end"/>
      </w:r>
      <w:r w:rsidR="00401C43">
        <w:rPr>
          <w:bCs w:val="0"/>
          <w:szCs w:val="24"/>
        </w:rPr>
        <w:t>Appendix tables</w:t>
      </w:r>
    </w:p>
    <w:p w14:paraId="60C15C4C" w14:textId="4DD93E20" w:rsidR="000948AD" w:rsidRDefault="00401C43" w:rsidP="000948AD">
      <w:pPr>
        <w:pStyle w:val="TableofFigures"/>
        <w:tabs>
          <w:tab w:val="right" w:leader="dot" w:pos="9060"/>
        </w:tabs>
        <w:spacing w:before="80"/>
        <w:rPr>
          <w:noProof/>
        </w:rPr>
      </w:pPr>
      <w:r>
        <w:rPr>
          <w:bCs/>
        </w:rPr>
        <w:fldChar w:fldCharType="begin"/>
      </w:r>
      <w:r>
        <w:rPr>
          <w:bCs/>
        </w:rPr>
        <w:instrText xml:space="preserve"> TOC \h \z \c "Table A" </w:instrText>
      </w:r>
      <w:r>
        <w:rPr>
          <w:bCs/>
        </w:rPr>
        <w:fldChar w:fldCharType="separate"/>
      </w:r>
      <w:hyperlink w:anchor="_Toc33095006" w:history="1">
        <w:r w:rsidR="000948AD" w:rsidRPr="00F100BD">
          <w:rPr>
            <w:rStyle w:val="Hyperlink"/>
            <w:noProof/>
          </w:rPr>
          <w:t>Table A 1 Summary, chronic toxicity data that passed the screening and quality assurance processes, metolachlor in freshwater</w:t>
        </w:r>
        <w:r w:rsidR="000948AD">
          <w:rPr>
            <w:noProof/>
            <w:webHidden/>
          </w:rPr>
          <w:tab/>
        </w:r>
        <w:r w:rsidR="000948AD">
          <w:rPr>
            <w:noProof/>
            <w:webHidden/>
          </w:rPr>
          <w:fldChar w:fldCharType="begin"/>
        </w:r>
        <w:r w:rsidR="000948AD">
          <w:rPr>
            <w:noProof/>
            <w:webHidden/>
          </w:rPr>
          <w:instrText xml:space="preserve"> PAGEREF _Toc33095006 \h </w:instrText>
        </w:r>
        <w:r w:rsidR="000948AD">
          <w:rPr>
            <w:noProof/>
            <w:webHidden/>
          </w:rPr>
        </w:r>
        <w:r w:rsidR="000948AD">
          <w:rPr>
            <w:noProof/>
            <w:webHidden/>
          </w:rPr>
          <w:fldChar w:fldCharType="separate"/>
        </w:r>
        <w:r w:rsidR="002825D7">
          <w:rPr>
            <w:noProof/>
            <w:webHidden/>
          </w:rPr>
          <w:t>11</w:t>
        </w:r>
        <w:r w:rsidR="000948AD">
          <w:rPr>
            <w:noProof/>
            <w:webHidden/>
          </w:rPr>
          <w:fldChar w:fldCharType="end"/>
        </w:r>
      </w:hyperlink>
      <w:r>
        <w:rPr>
          <w:bCs/>
        </w:rPr>
        <w:fldChar w:fldCharType="end"/>
      </w:r>
      <w:r w:rsidR="00F42055">
        <w:rPr>
          <w:bCs/>
        </w:rPr>
        <w:fldChar w:fldCharType="begin"/>
      </w:r>
      <w:r w:rsidR="00F42055">
        <w:rPr>
          <w:bCs/>
        </w:rPr>
        <w:instrText xml:space="preserve"> TOC \h \z \c "Table C" </w:instrText>
      </w:r>
      <w:r w:rsidR="00F42055">
        <w:rPr>
          <w:bCs/>
        </w:rPr>
        <w:fldChar w:fldCharType="separate"/>
      </w:r>
    </w:p>
    <w:p w14:paraId="74FECA6A" w14:textId="5229B3BD" w:rsidR="000948AD" w:rsidRDefault="00152462">
      <w:pPr>
        <w:pStyle w:val="TableofFigures"/>
        <w:tabs>
          <w:tab w:val="right" w:leader="dot" w:pos="9060"/>
        </w:tabs>
        <w:rPr>
          <w:rFonts w:eastAsiaTheme="minorEastAsia"/>
          <w:noProof/>
          <w:lang w:eastAsia="en-AU"/>
        </w:rPr>
      </w:pPr>
      <w:hyperlink w:anchor="_Toc33095007" w:history="1">
        <w:r w:rsidR="000948AD" w:rsidRPr="00A7592A">
          <w:rPr>
            <w:rStyle w:val="Hyperlink"/>
            <w:noProof/>
          </w:rPr>
          <w:t>Table C 1</w:t>
        </w:r>
        <w:r w:rsidR="000948AD" w:rsidRPr="00A7592A">
          <w:rPr>
            <w:rStyle w:val="Hyperlink"/>
            <w:noProof/>
            <w:lang w:eastAsia="ja-JP"/>
          </w:rPr>
          <w:t xml:space="preserve"> Protective concentration values, metolachlor in freshwater, chronic EC10/NOEC/NOEL data only</w:t>
        </w:r>
        <w:r w:rsidR="000948AD">
          <w:rPr>
            <w:noProof/>
            <w:webHidden/>
          </w:rPr>
          <w:tab/>
        </w:r>
        <w:r w:rsidR="000948AD">
          <w:rPr>
            <w:noProof/>
            <w:webHidden/>
          </w:rPr>
          <w:fldChar w:fldCharType="begin"/>
        </w:r>
        <w:r w:rsidR="000948AD">
          <w:rPr>
            <w:noProof/>
            <w:webHidden/>
          </w:rPr>
          <w:instrText xml:space="preserve"> PAGEREF _Toc33095007 \h </w:instrText>
        </w:r>
        <w:r w:rsidR="000948AD">
          <w:rPr>
            <w:noProof/>
            <w:webHidden/>
          </w:rPr>
        </w:r>
        <w:r w:rsidR="000948AD">
          <w:rPr>
            <w:noProof/>
            <w:webHidden/>
          </w:rPr>
          <w:fldChar w:fldCharType="separate"/>
        </w:r>
        <w:r w:rsidR="002825D7">
          <w:rPr>
            <w:noProof/>
            <w:webHidden/>
          </w:rPr>
          <w:t>19</w:t>
        </w:r>
        <w:r w:rsidR="000948AD">
          <w:rPr>
            <w:noProof/>
            <w:webHidden/>
          </w:rPr>
          <w:fldChar w:fldCharType="end"/>
        </w:r>
      </w:hyperlink>
    </w:p>
    <w:p w14:paraId="62184E87" w14:textId="4D230C45" w:rsidR="00A8698C" w:rsidRDefault="00F42055" w:rsidP="00A8698C">
      <w:pPr>
        <w:pStyle w:val="TOCHeading2"/>
      </w:pPr>
      <w:r>
        <w:rPr>
          <w:bCs w:val="0"/>
        </w:rPr>
        <w:fldChar w:fldCharType="end"/>
      </w:r>
      <w:r>
        <w:rPr>
          <w:bCs w:val="0"/>
          <w:szCs w:val="24"/>
        </w:rPr>
        <w:t xml:space="preserve">Appendix </w:t>
      </w:r>
      <w:r w:rsidR="00AF5C1E">
        <w:t>f</w:t>
      </w:r>
      <w:r w:rsidR="00A8698C">
        <w:t>igures</w:t>
      </w:r>
    </w:p>
    <w:p w14:paraId="65370A65" w14:textId="7147873A" w:rsidR="000948AD" w:rsidRDefault="00152462" w:rsidP="000948AD">
      <w:pPr>
        <w:pStyle w:val="TableofFigures"/>
        <w:tabs>
          <w:tab w:val="right" w:leader="dot" w:pos="9060"/>
        </w:tabs>
        <w:spacing w:before="80" w:after="0"/>
        <w:rPr>
          <w:noProof/>
        </w:rPr>
      </w:pPr>
      <w:r>
        <w:fldChar w:fldCharType="begin"/>
      </w:r>
      <w:r>
        <w:instrText xml:space="preserve"> TOC \c "Figure B" </w:instrText>
      </w:r>
      <w:r>
        <w:fldChar w:fldCharType="separate"/>
      </w:r>
      <w:r w:rsidR="000948AD">
        <w:rPr>
          <w:noProof/>
        </w:rPr>
        <w:t>Figure B 1 Histogram, all metolachlor toxicity data, phototrophic and heterotrophic species</w:t>
      </w:r>
      <w:r w:rsidR="000948AD">
        <w:rPr>
          <w:noProof/>
        </w:rPr>
        <w:tab/>
      </w:r>
      <w:r w:rsidR="000948AD">
        <w:rPr>
          <w:noProof/>
        </w:rPr>
        <w:fldChar w:fldCharType="begin"/>
      </w:r>
      <w:r w:rsidR="000948AD">
        <w:rPr>
          <w:noProof/>
        </w:rPr>
        <w:instrText xml:space="preserve"> PAGEREF _Toc33095010 \h </w:instrText>
      </w:r>
      <w:r w:rsidR="000948AD">
        <w:rPr>
          <w:noProof/>
        </w:rPr>
      </w:r>
      <w:r w:rsidR="000948AD">
        <w:rPr>
          <w:noProof/>
        </w:rPr>
        <w:fldChar w:fldCharType="separate"/>
      </w:r>
      <w:r w:rsidR="002825D7">
        <w:rPr>
          <w:noProof/>
        </w:rPr>
        <w:t>16</w:t>
      </w:r>
      <w:r w:rsidR="000948AD">
        <w:rPr>
          <w:noProof/>
        </w:rPr>
        <w:fldChar w:fldCharType="end"/>
      </w:r>
      <w:r>
        <w:rPr>
          <w:noProof/>
        </w:rPr>
        <w:fldChar w:fldCharType="end"/>
      </w:r>
      <w:r w:rsidR="0087632D">
        <w:fldChar w:fldCharType="begin"/>
      </w:r>
      <w:r w:rsidR="0087632D">
        <w:instrText xml:space="preserve"> TOC \c "Figure C" </w:instrText>
      </w:r>
      <w:r w:rsidR="0087632D">
        <w:fldChar w:fldCharType="separate"/>
      </w:r>
    </w:p>
    <w:p w14:paraId="0C18E2A3" w14:textId="1FF09F30" w:rsidR="00401C43" w:rsidRDefault="000948AD" w:rsidP="000948AD">
      <w:pPr>
        <w:pStyle w:val="TableofFigures"/>
        <w:tabs>
          <w:tab w:val="right" w:leader="dot" w:pos="9060"/>
        </w:tabs>
        <w:spacing w:before="80" w:after="0"/>
      </w:pPr>
      <w:r>
        <w:rPr>
          <w:noProof/>
        </w:rPr>
        <w:t>Figure C 1</w:t>
      </w:r>
      <w:r>
        <w:rPr>
          <w:noProof/>
          <w:lang w:eastAsia="ja-JP"/>
        </w:rPr>
        <w:t xml:space="preserve"> Species sensitivity distribution, metolachlor in freshwater, chronic EC10/NOEC/NOEL data only</w:t>
      </w:r>
      <w:r>
        <w:rPr>
          <w:noProof/>
        </w:rPr>
        <w:tab/>
      </w:r>
      <w:r>
        <w:rPr>
          <w:noProof/>
        </w:rPr>
        <w:fldChar w:fldCharType="begin"/>
      </w:r>
      <w:r>
        <w:rPr>
          <w:noProof/>
        </w:rPr>
        <w:instrText xml:space="preserve"> PAGEREF _Toc33095014 \h </w:instrText>
      </w:r>
      <w:r>
        <w:rPr>
          <w:noProof/>
        </w:rPr>
      </w:r>
      <w:r>
        <w:rPr>
          <w:noProof/>
        </w:rPr>
        <w:fldChar w:fldCharType="separate"/>
      </w:r>
      <w:r w:rsidR="002825D7">
        <w:rPr>
          <w:noProof/>
        </w:rPr>
        <w:t>18</w:t>
      </w:r>
      <w:r>
        <w:rPr>
          <w:noProof/>
        </w:rPr>
        <w:fldChar w:fldCharType="end"/>
      </w:r>
      <w:r w:rsidR="0087632D">
        <w:fldChar w:fldCharType="end"/>
      </w:r>
      <w:r w:rsidR="00401C43">
        <w:br w:type="page"/>
      </w:r>
    </w:p>
    <w:p w14:paraId="5463ADEF" w14:textId="5FBB8844" w:rsidR="001C0D1C" w:rsidRDefault="00E55B1C" w:rsidP="00BF0EB3">
      <w:pPr>
        <w:pStyle w:val="Heading2"/>
        <w:numPr>
          <w:ilvl w:val="0"/>
          <w:numId w:val="0"/>
        </w:numPr>
        <w:ind w:left="680" w:hanging="680"/>
      </w:pPr>
      <w:bookmarkStart w:id="0" w:name="_Toc33094985"/>
      <w:r>
        <w:lastRenderedPageBreak/>
        <w:t>Summary</w:t>
      </w:r>
      <w:bookmarkEnd w:id="0"/>
    </w:p>
    <w:p w14:paraId="06CD922F" w14:textId="77777777" w:rsidR="00BF0280" w:rsidRDefault="00152462" w:rsidP="007336AC">
      <w:sdt>
        <w:sdtPr>
          <w:alias w:val="Compulsary - text and location locked to Summary"/>
          <w:tag w:val="Compulsary text"/>
          <w:id w:val="-1841920371"/>
          <w:lock w:val="contentLocked"/>
          <w:placeholder>
            <w:docPart w:val="A8CAEA2CD5EF472BA9D49BD4C6F996EE"/>
          </w:placeholder>
          <w:text/>
        </w:sdtPr>
        <w:sdtEndPr/>
        <w:sdtContent>
          <w:r w:rsidR="00BF0280" w:rsidRPr="00BF6347">
            <w:t xml:space="preserve">The default guideline values (DGVs) and associated information in this technical brief should be used in accordance with the detailed guidance provided in the Australian and New Zealand Guidelines for Fresh and Marine Water Quality website (www.waterquality.gov.au/anz-guidelines). </w:t>
          </w:r>
        </w:sdtContent>
      </w:sdt>
    </w:p>
    <w:p w14:paraId="41C5E775" w14:textId="2AEBFE0E" w:rsidR="00BF0EB3" w:rsidRDefault="00BF0EB3" w:rsidP="00BF0EB3">
      <w:r>
        <w:t xml:space="preserve">Metolachlor (2-Chloro-N-(2-ethyl-6-methylphenyl)-N-(-2-methoxy-1-methylethyl)acetamide, CAS No. 51218-45-2) is a selective derivative of aniline and belongs to the chloroacetanilide group within the amide family of herbicides. Other chloroacetanilide herbicides include alachlor, acetochlor and </w:t>
      </w:r>
      <w:proofErr w:type="spellStart"/>
      <w:r>
        <w:t>propachlor</w:t>
      </w:r>
      <w:proofErr w:type="spellEnd"/>
      <w:r>
        <w:t>. Metolachlor is commonly used in agriculture for broadleaf weed control in numerous different crops. It exerts toxicity by inhibiting the fatty</w:t>
      </w:r>
      <w:r w:rsidR="00162435">
        <w:t xml:space="preserve"> </w:t>
      </w:r>
      <w:r>
        <w:t>acid elongation (FAE1)-synthase enzyme</w:t>
      </w:r>
      <w:r w:rsidR="00162435">
        <w:t>,</w:t>
      </w:r>
      <w:r>
        <w:t xml:space="preserve"> which results in phytotoxic effects such as interferences of normal cell function. Non-agricultural uses of metolachlor include the application to urban and industrial situations (i.e. home garden and roadsides), as well as aquatic weed control in public waterways</w:t>
      </w:r>
      <w:r w:rsidR="00162435">
        <w:t>,</w:t>
      </w:r>
      <w:r>
        <w:t xml:space="preserve"> most commonly through the use of commercial formulations (</w:t>
      </w:r>
      <w:r w:rsidR="00162435">
        <w:t xml:space="preserve">CCME 1999, </w:t>
      </w:r>
      <w:r>
        <w:t>ANZECC</w:t>
      </w:r>
      <w:r w:rsidR="00162435">
        <w:t>/</w:t>
      </w:r>
      <w:r>
        <w:t xml:space="preserve">ARMCANZ 2000). Metolachlor was initially a racemic mixture of two enantiomers (mirror image isomers), </w:t>
      </w:r>
      <w:r w:rsidRPr="00407F46">
        <w:rPr>
          <w:rStyle w:val="Emphasis"/>
        </w:rPr>
        <w:t>S</w:t>
      </w:r>
      <w:r>
        <w:t xml:space="preserve">-metolachlor and </w:t>
      </w:r>
      <w:r w:rsidRPr="00407F46">
        <w:rPr>
          <w:rStyle w:val="Emphasis"/>
        </w:rPr>
        <w:t>R</w:t>
      </w:r>
      <w:r>
        <w:t xml:space="preserve">-metolachlor. Increasingly, the racemic mixture is being replaced with forms that contain higher concentrations of </w:t>
      </w:r>
      <w:r w:rsidRPr="00407F46">
        <w:rPr>
          <w:rStyle w:val="Emphasis"/>
        </w:rPr>
        <w:t>S</w:t>
      </w:r>
      <w:r>
        <w:t>-metolachlor (Liu et al. 2006).</w:t>
      </w:r>
    </w:p>
    <w:p w14:paraId="604D488C" w14:textId="5D23BEB3" w:rsidR="00BF0EB3" w:rsidRDefault="00BF0EB3" w:rsidP="00BF0EB3">
      <w:r>
        <w:t>The previous Australian and New Zealand default guideline value (DGV) for metolachlor in freshwater environments was a low reliability value (using the ANZECC</w:t>
      </w:r>
      <w:r w:rsidR="007469D7">
        <w:t>/</w:t>
      </w:r>
      <w:r>
        <w:t xml:space="preserve">ARMCANZ </w:t>
      </w:r>
      <w:r w:rsidR="007469D7">
        <w:t>(</w:t>
      </w:r>
      <w:r>
        <w:t>2000</w:t>
      </w:r>
      <w:r w:rsidR="007469D7">
        <w:t>)</w:t>
      </w:r>
      <w:r>
        <w:t xml:space="preserve"> reliability scheme) as it was calculated </w:t>
      </w:r>
      <w:r w:rsidR="00BB7BC4">
        <w:t>by</w:t>
      </w:r>
      <w:r w:rsidR="00C353BB">
        <w:t xml:space="preserve"> applying </w:t>
      </w:r>
      <w:r>
        <w:t>an assessment factor of 1</w:t>
      </w:r>
      <w:r w:rsidR="007469D7">
        <w:t> </w:t>
      </w:r>
      <w:r>
        <w:t xml:space="preserve">000 to one acute toxicity value for a freshwater fish, </w:t>
      </w:r>
      <w:proofErr w:type="spellStart"/>
      <w:r w:rsidRPr="00BF0EB3">
        <w:rPr>
          <w:rStyle w:val="Emphasis"/>
        </w:rPr>
        <w:t>Poecilia</w:t>
      </w:r>
      <w:proofErr w:type="spellEnd"/>
      <w:r w:rsidRPr="00BF0EB3">
        <w:rPr>
          <w:rStyle w:val="Emphasis"/>
        </w:rPr>
        <w:t xml:space="preserve"> reticulata</w:t>
      </w:r>
      <w:r>
        <w:t xml:space="preserve"> (Warne 2001). More data on metolachlor toxicity to freshwater species are now available, </w:t>
      </w:r>
      <w:r w:rsidR="000F7122" w:rsidRPr="00BA02DD">
        <w:t xml:space="preserve">which </w:t>
      </w:r>
      <w:r w:rsidR="000F7122">
        <w:t>has enabled the derivation of improved DGVs compared to those in ANZECC/ARMCANZ (2000)</w:t>
      </w:r>
      <w:r>
        <w:t>.</w:t>
      </w:r>
    </w:p>
    <w:p w14:paraId="0FE502EC" w14:textId="4246F337" w:rsidR="00BF0EB3" w:rsidRDefault="00BF0EB3" w:rsidP="00BF0EB3">
      <w:r>
        <w:t xml:space="preserve">The </w:t>
      </w:r>
      <w:r w:rsidR="00C162C0">
        <w:t xml:space="preserve">available freshwater chronic toxicity data for </w:t>
      </w:r>
      <w:r w:rsidR="003951AE">
        <w:t>metolachlor</w:t>
      </w:r>
      <w:r w:rsidR="00C162C0">
        <w:t xml:space="preserve"> ranged from </w:t>
      </w:r>
      <w:r>
        <w:t>1</w:t>
      </w:r>
      <w:r w:rsidR="007469D7">
        <w:t> </w:t>
      </w:r>
      <w:r>
        <w:t xml:space="preserve">µg/L </w:t>
      </w:r>
      <w:r w:rsidR="00C162C0">
        <w:t xml:space="preserve">for a </w:t>
      </w:r>
      <w:r>
        <w:t>microalga</w:t>
      </w:r>
      <w:r w:rsidR="00C162C0">
        <w:t xml:space="preserve"> (</w:t>
      </w:r>
      <w:r>
        <w:t>4–7 day NOEC)</w:t>
      </w:r>
      <w:r w:rsidR="00C162C0">
        <w:t xml:space="preserve"> to </w:t>
      </w:r>
      <w:r w:rsidR="003951AE">
        <w:t>310 000 µg/L for a diatom (96-hour EC50)</w:t>
      </w:r>
      <w:r>
        <w:t xml:space="preserve">. The </w:t>
      </w:r>
      <w:r w:rsidR="003951AE">
        <w:t xml:space="preserve">acute toxicity data ranged from </w:t>
      </w:r>
      <w:r>
        <w:t xml:space="preserve">5.5 µg/L </w:t>
      </w:r>
      <w:r w:rsidR="003951AE">
        <w:t xml:space="preserve">for a </w:t>
      </w:r>
      <w:r>
        <w:t>microalga</w:t>
      </w:r>
      <w:r w:rsidR="003951AE">
        <w:t xml:space="preserve"> (</w:t>
      </w:r>
      <w:r>
        <w:t>24-hour EC50)</w:t>
      </w:r>
      <w:r w:rsidR="003951AE">
        <w:t xml:space="preserve"> to 69</w:t>
      </w:r>
      <w:r w:rsidR="00D73130">
        <w:t xml:space="preserve"> 400 µg/L for a crustacean (24-hour LC50)</w:t>
      </w:r>
      <w:r>
        <w:t xml:space="preserve">. </w:t>
      </w:r>
      <w:r w:rsidR="00C162C0">
        <w:t xml:space="preserve">A parametric two-sample </w:t>
      </w:r>
      <w:r w:rsidR="00C162C0" w:rsidRPr="007469D7">
        <w:rPr>
          <w:rStyle w:val="Emphasis"/>
        </w:rPr>
        <w:t>t</w:t>
      </w:r>
      <w:r w:rsidR="00C162C0">
        <w:t xml:space="preserve"> test on all available freshwater metolachlor toxicity data indicated that the dataset was unimodal.</w:t>
      </w:r>
    </w:p>
    <w:p w14:paraId="1DBEB297" w14:textId="329DFC5D" w:rsidR="00BF0EB3" w:rsidRDefault="00BF0EB3" w:rsidP="00BF0EB3">
      <w:r>
        <w:t xml:space="preserve">Very high reliability DGVs for metolachlor in freshwater were derived based on chronic 10% effect concentration (EC10), no observed effect concentration (NOEC), no observed effect level (NOEL) and chronic estimated NOEC data for 21 freshwater species from six phyla and ten classes, with a good fit of the species sensitivity distribution (SSD) </w:t>
      </w:r>
      <w:r w:rsidR="000F7122">
        <w:t xml:space="preserve">to </w:t>
      </w:r>
      <w:r>
        <w:t xml:space="preserve">the toxicity data. </w:t>
      </w:r>
      <w:r w:rsidR="007469D7">
        <w:t>T</w:t>
      </w:r>
      <w:r>
        <w:t>he DGVs derived here are expressed in terms of the active ingredient (metolachlor) rather than commercial formulations</w:t>
      </w:r>
      <w:r w:rsidR="002A51FB">
        <w:t>, and are based on</w:t>
      </w:r>
      <w:r>
        <w:t xml:space="preserve"> toxicity data for the S- and R- enantiomers as well as</w:t>
      </w:r>
      <w:r w:rsidR="00FE3AA3">
        <w:t xml:space="preserve"> for</w:t>
      </w:r>
      <w:r>
        <w:t xml:space="preserve"> the racemic mixture. The DGVs for </w:t>
      </w:r>
      <w:r w:rsidR="000F7122">
        <w:rPr>
          <w:bCs/>
        </w:rPr>
        <w:t>99, 95, 90 and 80% species protection are</w:t>
      </w:r>
      <w:r w:rsidR="00381CDC">
        <w:t xml:space="preserve"> 0.0084 </w:t>
      </w:r>
      <w:r w:rsidR="000F7122">
        <w:rPr>
          <w:rFonts w:cstheme="minorHAnsi"/>
        </w:rPr>
        <w:t>µ</w:t>
      </w:r>
      <w:r w:rsidR="000F7122">
        <w:t>g/L, 0.46</w:t>
      </w:r>
      <w:r w:rsidR="00381CDC">
        <w:t> </w:t>
      </w:r>
      <w:r w:rsidR="000F7122">
        <w:rPr>
          <w:rFonts w:cstheme="minorHAnsi"/>
        </w:rPr>
        <w:t>µ</w:t>
      </w:r>
      <w:r w:rsidR="00381CDC">
        <w:t>g/L, 2.6 </w:t>
      </w:r>
      <w:r w:rsidR="000F7122">
        <w:rPr>
          <w:rFonts w:cstheme="minorHAnsi"/>
        </w:rPr>
        <w:t>µ</w:t>
      </w:r>
      <w:r w:rsidR="00381CDC">
        <w:t>g/L and 15 </w:t>
      </w:r>
      <w:r w:rsidR="000F7122">
        <w:rPr>
          <w:rFonts w:cstheme="minorHAnsi"/>
        </w:rPr>
        <w:t>µ</w:t>
      </w:r>
      <w:r w:rsidR="000F7122">
        <w:t xml:space="preserve">g/L, respectively. </w:t>
      </w:r>
      <w:r w:rsidR="000F7122" w:rsidRPr="001741CC">
        <w:t>The 95%</w:t>
      </w:r>
      <w:r w:rsidR="00F06DFD">
        <w:t xml:space="preserve"> </w:t>
      </w:r>
      <w:r w:rsidR="000F7122" w:rsidRPr="001741CC">
        <w:rPr>
          <w:bCs/>
        </w:rPr>
        <w:t xml:space="preserve">species protection level for </w:t>
      </w:r>
      <w:r w:rsidR="000F7122">
        <w:rPr>
          <w:bCs/>
        </w:rPr>
        <w:t>metolachlor</w:t>
      </w:r>
      <w:r w:rsidR="00381CDC">
        <w:rPr>
          <w:bCs/>
        </w:rPr>
        <w:t xml:space="preserve"> </w:t>
      </w:r>
      <w:r w:rsidR="00071AE0">
        <w:rPr>
          <w:bCs/>
        </w:rPr>
        <w:t>in freshwater</w:t>
      </w:r>
      <w:r w:rsidR="000F7122">
        <w:rPr>
          <w:bCs/>
        </w:rPr>
        <w:t xml:space="preserve"> </w:t>
      </w:r>
      <w:r w:rsidR="00071AE0">
        <w:rPr>
          <w:bCs/>
        </w:rPr>
        <w:t>(</w:t>
      </w:r>
      <w:r w:rsidR="000F7122">
        <w:rPr>
          <w:bCs/>
        </w:rPr>
        <w:t>0.46</w:t>
      </w:r>
      <w:r w:rsidR="00071AE0">
        <w:rPr>
          <w:bCs/>
        </w:rPr>
        <w:t> </w:t>
      </w:r>
      <w:r w:rsidR="000F7122">
        <w:rPr>
          <w:rFonts w:cstheme="minorHAnsi"/>
        </w:rPr>
        <w:t>µ</w:t>
      </w:r>
      <w:r w:rsidR="000F7122">
        <w:t>g/L</w:t>
      </w:r>
      <w:r w:rsidR="00071AE0">
        <w:t>)</w:t>
      </w:r>
      <w:r w:rsidR="000F7122">
        <w:rPr>
          <w:bCs/>
        </w:rPr>
        <w:t xml:space="preserve"> </w:t>
      </w:r>
      <w:r w:rsidR="000F7122" w:rsidRPr="001741CC">
        <w:rPr>
          <w:bCs/>
        </w:rPr>
        <w:t xml:space="preserve">is recommended for adoption in </w:t>
      </w:r>
      <w:r w:rsidR="000F7122">
        <w:rPr>
          <w:bCs/>
        </w:rPr>
        <w:t xml:space="preserve">the </w:t>
      </w:r>
      <w:r w:rsidR="000F7122" w:rsidRPr="001741CC">
        <w:rPr>
          <w:bCs/>
        </w:rPr>
        <w:t>assessment of slightly</w:t>
      </w:r>
      <w:r w:rsidR="00071AE0">
        <w:rPr>
          <w:bCs/>
        </w:rPr>
        <w:t>-</w:t>
      </w:r>
      <w:r w:rsidR="000F7122" w:rsidRPr="001741CC">
        <w:rPr>
          <w:bCs/>
        </w:rPr>
        <w:t>to</w:t>
      </w:r>
      <w:r w:rsidR="00071AE0">
        <w:rPr>
          <w:bCs/>
        </w:rPr>
        <w:t>-</w:t>
      </w:r>
      <w:r w:rsidR="000F7122" w:rsidRPr="001741CC">
        <w:rPr>
          <w:bCs/>
        </w:rPr>
        <w:t>moderately disturbed ecosystems</w:t>
      </w:r>
      <w:r w:rsidR="008E75FC">
        <w:t>.</w:t>
      </w:r>
    </w:p>
    <w:p w14:paraId="19C35C49" w14:textId="77777777" w:rsidR="008E75FC" w:rsidRDefault="008E75FC"/>
    <w:p w14:paraId="28BAA1CC" w14:textId="77777777" w:rsidR="001C0D1C" w:rsidRDefault="001C0D1C">
      <w:pPr>
        <w:sectPr w:rsidR="001C0D1C" w:rsidSect="001042B2">
          <w:headerReference w:type="default" r:id="rId20"/>
          <w:footerReference w:type="default" r:id="rId21"/>
          <w:headerReference w:type="first" r:id="rId22"/>
          <w:pgSz w:w="11906" w:h="16838"/>
          <w:pgMar w:top="1418" w:right="1418" w:bottom="1135" w:left="1418" w:header="567" w:footer="283" w:gutter="0"/>
          <w:pgNumType w:fmt="lowerRoman"/>
          <w:cols w:space="708"/>
          <w:titlePg/>
          <w:docGrid w:linePitch="360"/>
        </w:sectPr>
      </w:pPr>
    </w:p>
    <w:p w14:paraId="1ADDD7A4" w14:textId="711D0ACB" w:rsidR="001C0D1C" w:rsidRDefault="00BF0280">
      <w:pPr>
        <w:pStyle w:val="Heading2"/>
      </w:pPr>
      <w:bookmarkStart w:id="1" w:name="_Toc33094986"/>
      <w:r>
        <w:lastRenderedPageBreak/>
        <w:t>Introduction</w:t>
      </w:r>
      <w:bookmarkEnd w:id="1"/>
    </w:p>
    <w:p w14:paraId="20840CE6" w14:textId="5D93B363" w:rsidR="00DC0878" w:rsidRDefault="00DC0878" w:rsidP="00BF0280">
      <w:pPr>
        <w:rPr>
          <w:bCs/>
          <w:highlight w:val="yellow"/>
        </w:rPr>
      </w:pPr>
      <w:r>
        <w:rPr>
          <w:bCs/>
        </w:rPr>
        <w:t>M</w:t>
      </w:r>
      <w:r w:rsidRPr="00DC0878">
        <w:rPr>
          <w:bCs/>
        </w:rPr>
        <w:t>etolachlor (C</w:t>
      </w:r>
      <w:r w:rsidRPr="00DC0878">
        <w:rPr>
          <w:bCs/>
          <w:vertAlign w:val="subscript"/>
        </w:rPr>
        <w:t>15</w:t>
      </w:r>
      <w:r w:rsidRPr="00DC0878">
        <w:rPr>
          <w:bCs/>
        </w:rPr>
        <w:t>H</w:t>
      </w:r>
      <w:r w:rsidRPr="00DC0878">
        <w:rPr>
          <w:bCs/>
          <w:vertAlign w:val="subscript"/>
        </w:rPr>
        <w:t>22</w:t>
      </w:r>
      <w:r w:rsidRPr="00DC0878">
        <w:rPr>
          <w:bCs/>
        </w:rPr>
        <w:t>ClNO</w:t>
      </w:r>
      <w:r w:rsidRPr="00DC0878">
        <w:rPr>
          <w:bCs/>
          <w:vertAlign w:val="subscript"/>
        </w:rPr>
        <w:t>2</w:t>
      </w:r>
      <w:r w:rsidRPr="00DC0878">
        <w:rPr>
          <w:bCs/>
        </w:rPr>
        <w:t xml:space="preserve"> and </w:t>
      </w:r>
      <w:r w:rsidR="00BF7A5E">
        <w:rPr>
          <w:bCs/>
        </w:rPr>
        <w:fldChar w:fldCharType="begin"/>
      </w:r>
      <w:r w:rsidR="00BF7A5E">
        <w:rPr>
          <w:bCs/>
        </w:rPr>
        <w:instrText xml:space="preserve"> REF _Ref18492112 \h </w:instrText>
      </w:r>
      <w:r w:rsidR="00BF7A5E">
        <w:rPr>
          <w:bCs/>
        </w:rPr>
      </w:r>
      <w:r w:rsidR="00BF7A5E">
        <w:rPr>
          <w:bCs/>
        </w:rPr>
        <w:fldChar w:fldCharType="separate"/>
      </w:r>
      <w:r w:rsidR="002825D7">
        <w:t>Figure </w:t>
      </w:r>
      <w:r w:rsidR="002825D7">
        <w:rPr>
          <w:noProof/>
        </w:rPr>
        <w:t>1</w:t>
      </w:r>
      <w:r w:rsidR="00BF7A5E">
        <w:rPr>
          <w:bCs/>
        </w:rPr>
        <w:fldChar w:fldCharType="end"/>
      </w:r>
      <w:r w:rsidRPr="00DC0878">
        <w:rPr>
          <w:bCs/>
        </w:rPr>
        <w:t>) is a herbicide that</w:t>
      </w:r>
      <w:r w:rsidR="0071654D">
        <w:rPr>
          <w:bCs/>
        </w:rPr>
        <w:t>,</w:t>
      </w:r>
      <w:r w:rsidRPr="00DC0878">
        <w:rPr>
          <w:bCs/>
        </w:rPr>
        <w:t xml:space="preserve"> at room temperature</w:t>
      </w:r>
      <w:r w:rsidR="0071654D">
        <w:rPr>
          <w:bCs/>
        </w:rPr>
        <w:t>,</w:t>
      </w:r>
      <w:r w:rsidRPr="00DC0878">
        <w:rPr>
          <w:bCs/>
        </w:rPr>
        <w:t xml:space="preserve"> is a colourless</w:t>
      </w:r>
      <w:r w:rsidR="0071654D">
        <w:rPr>
          <w:bCs/>
        </w:rPr>
        <w:t>-</w:t>
      </w:r>
      <w:r w:rsidRPr="00DC0878">
        <w:rPr>
          <w:bCs/>
        </w:rPr>
        <w:t>to</w:t>
      </w:r>
      <w:r w:rsidR="0071654D">
        <w:rPr>
          <w:bCs/>
        </w:rPr>
        <w:t>-</w:t>
      </w:r>
      <w:r w:rsidRPr="00DC0878">
        <w:rPr>
          <w:bCs/>
        </w:rPr>
        <w:t>light</w:t>
      </w:r>
      <w:r w:rsidR="0071654D">
        <w:rPr>
          <w:bCs/>
        </w:rPr>
        <w:t>-</w:t>
      </w:r>
      <w:r w:rsidRPr="00DC0878">
        <w:rPr>
          <w:bCs/>
        </w:rPr>
        <w:t xml:space="preserve">tan liquid. It is the active ingredient of a variety of commercial herbicide formulations. Metolachlor is often mixed with other herbicides (e.g. alachlor as well as isomers </w:t>
      </w:r>
      <w:r w:rsidRPr="00DC0878">
        <w:rPr>
          <w:rStyle w:val="Emphasis"/>
        </w:rPr>
        <w:t>S</w:t>
      </w:r>
      <w:r w:rsidRPr="00DC0878">
        <w:rPr>
          <w:bCs/>
        </w:rPr>
        <w:t xml:space="preserve">-metolachlor and </w:t>
      </w:r>
      <w:r w:rsidRPr="00DC0878">
        <w:rPr>
          <w:rStyle w:val="Emphasis"/>
        </w:rPr>
        <w:t>R</w:t>
      </w:r>
      <w:r w:rsidRPr="00DC0878">
        <w:rPr>
          <w:bCs/>
        </w:rPr>
        <w:t>-metolachlor) to increase its efficacy (Liu et al. 2006).</w:t>
      </w:r>
      <w:r w:rsidR="002A51FB">
        <w:rPr>
          <w:bCs/>
        </w:rPr>
        <w:t xml:space="preserve"> </w:t>
      </w:r>
      <w:r w:rsidR="001649AA">
        <w:rPr>
          <w:bCs/>
        </w:rPr>
        <w:t xml:space="preserve">The </w:t>
      </w:r>
      <w:proofErr w:type="spellStart"/>
      <w:r w:rsidR="001649AA">
        <w:rPr>
          <w:bCs/>
        </w:rPr>
        <w:t>p</w:t>
      </w:r>
      <w:r w:rsidR="002A51FB" w:rsidRPr="00DC0878">
        <w:rPr>
          <w:bCs/>
        </w:rPr>
        <w:t>hysico</w:t>
      </w:r>
      <w:proofErr w:type="spellEnd"/>
      <w:r w:rsidR="002A51FB">
        <w:rPr>
          <w:bCs/>
        </w:rPr>
        <w:t>-</w:t>
      </w:r>
      <w:r w:rsidR="002A51FB" w:rsidRPr="00DC0878">
        <w:rPr>
          <w:bCs/>
        </w:rPr>
        <w:t>chemical properties of metolachlor that may affect its environmental fate and toxicity are presented in</w:t>
      </w:r>
      <w:r w:rsidR="00E57B13">
        <w:rPr>
          <w:bCs/>
        </w:rPr>
        <w:t xml:space="preserve"> </w:t>
      </w:r>
      <w:r w:rsidR="00E57B13">
        <w:rPr>
          <w:bCs/>
        </w:rPr>
        <w:fldChar w:fldCharType="begin"/>
      </w:r>
      <w:r w:rsidR="00E57B13">
        <w:rPr>
          <w:bCs/>
        </w:rPr>
        <w:instrText xml:space="preserve"> REF _Ref18492575 \h </w:instrText>
      </w:r>
      <w:r w:rsidR="00E57B13">
        <w:rPr>
          <w:bCs/>
        </w:rPr>
      </w:r>
      <w:r w:rsidR="00E57B13">
        <w:rPr>
          <w:bCs/>
        </w:rPr>
        <w:fldChar w:fldCharType="separate"/>
      </w:r>
      <w:r w:rsidR="002825D7">
        <w:t>Table </w:t>
      </w:r>
      <w:r w:rsidR="002825D7">
        <w:rPr>
          <w:noProof/>
        </w:rPr>
        <w:t>1</w:t>
      </w:r>
      <w:r w:rsidR="00E57B13">
        <w:rPr>
          <w:bCs/>
        </w:rPr>
        <w:fldChar w:fldCharType="end"/>
      </w:r>
      <w:r w:rsidR="002A51FB" w:rsidRPr="00DC0878">
        <w:rPr>
          <w:bCs/>
        </w:rPr>
        <w:t>.</w:t>
      </w:r>
    </w:p>
    <w:p w14:paraId="04EF8BAE" w14:textId="49CD2692" w:rsidR="00DC0878" w:rsidRDefault="00DC0878" w:rsidP="00BF0280">
      <w:pPr>
        <w:rPr>
          <w:bCs/>
          <w:highlight w:val="yellow"/>
        </w:rPr>
      </w:pPr>
      <w:r w:rsidRPr="000B6600">
        <w:rPr>
          <w:noProof/>
          <w:lang w:eastAsia="en-AU"/>
        </w:rPr>
        <w:drawing>
          <wp:inline distT="0" distB="0" distL="0" distR="0" wp14:anchorId="61AB6561" wp14:editId="3CE95A98">
            <wp:extent cx="2096135" cy="1190625"/>
            <wp:effectExtent l="38100" t="57150" r="37465" b="66675"/>
            <wp:docPr id="1" name="Picture 1" descr="Figure shows the structural formula of metolachlor (C15H22ClNO2)" title="Structure of metolach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extLst>
                        <a:ext uri="{28A0092B-C50C-407E-A947-70E740481C1C}">
                          <a14:useLocalDpi xmlns:a14="http://schemas.microsoft.com/office/drawing/2010/main" val="0"/>
                        </a:ext>
                      </a:extLst>
                    </a:blip>
                    <a:srcRect t="13381"/>
                    <a:stretch/>
                  </pic:blipFill>
                  <pic:spPr bwMode="auto">
                    <a:xfrm rot="21412584">
                      <a:off x="0" y="0"/>
                      <a:ext cx="2096135" cy="1190625"/>
                    </a:xfrm>
                    <a:prstGeom prst="rect">
                      <a:avLst/>
                    </a:prstGeom>
                    <a:ln>
                      <a:noFill/>
                    </a:ln>
                    <a:extLst>
                      <a:ext uri="{53640926-AAD7-44D8-BBD7-CCE9431645EC}">
                        <a14:shadowObscured xmlns:a14="http://schemas.microsoft.com/office/drawing/2010/main"/>
                      </a:ext>
                    </a:extLst>
                  </pic:spPr>
                </pic:pic>
              </a:graphicData>
            </a:graphic>
          </wp:inline>
        </w:drawing>
      </w:r>
    </w:p>
    <w:p w14:paraId="74CE478F" w14:textId="7A8849E0" w:rsidR="00DC0878" w:rsidRDefault="00BF7A5E" w:rsidP="006E41C8">
      <w:pPr>
        <w:pStyle w:val="Caption"/>
      </w:pPr>
      <w:bookmarkStart w:id="2" w:name="_Ref18492112"/>
      <w:bookmarkStart w:id="3" w:name="_Toc33095001"/>
      <w:r>
        <w:t>Figure </w:t>
      </w:r>
      <w:r w:rsidR="00152462">
        <w:fldChar w:fldCharType="begin"/>
      </w:r>
      <w:r w:rsidR="00152462">
        <w:instrText xml:space="preserve"> SEQ Figure \* ARABIC </w:instrText>
      </w:r>
      <w:r w:rsidR="00152462">
        <w:fldChar w:fldCharType="separate"/>
      </w:r>
      <w:r w:rsidR="002825D7">
        <w:rPr>
          <w:noProof/>
        </w:rPr>
        <w:t>1</w:t>
      </w:r>
      <w:r w:rsidR="00152462">
        <w:rPr>
          <w:noProof/>
        </w:rPr>
        <w:fldChar w:fldCharType="end"/>
      </w:r>
      <w:bookmarkEnd w:id="2"/>
      <w:r>
        <w:t xml:space="preserve"> </w:t>
      </w:r>
      <w:r w:rsidR="00DC0878">
        <w:t>Structure of metolachlor</w:t>
      </w:r>
      <w:bookmarkEnd w:id="3"/>
    </w:p>
    <w:p w14:paraId="14793125" w14:textId="0ADB34A1" w:rsidR="00DC0878" w:rsidRDefault="00E57B13" w:rsidP="006E41C8">
      <w:pPr>
        <w:pStyle w:val="Caption"/>
        <w:rPr>
          <w:highlight w:val="yellow"/>
        </w:rPr>
      </w:pPr>
      <w:bookmarkStart w:id="4" w:name="_Ref18492575"/>
      <w:bookmarkStart w:id="5" w:name="_Toc33095003"/>
      <w:r>
        <w:t>Table </w:t>
      </w:r>
      <w:r w:rsidR="00152462">
        <w:fldChar w:fldCharType="begin"/>
      </w:r>
      <w:r w:rsidR="00152462">
        <w:instrText xml:space="preserve"> SEQ Table \* ARABIC </w:instrText>
      </w:r>
      <w:r w:rsidR="00152462">
        <w:fldChar w:fldCharType="separate"/>
      </w:r>
      <w:r w:rsidR="002825D7">
        <w:rPr>
          <w:noProof/>
        </w:rPr>
        <w:t>1</w:t>
      </w:r>
      <w:r w:rsidR="00152462">
        <w:rPr>
          <w:noProof/>
        </w:rPr>
        <w:fldChar w:fldCharType="end"/>
      </w:r>
      <w:bookmarkEnd w:id="4"/>
      <w:r w:rsidR="00DC0878" w:rsidRPr="00DC0878">
        <w:t xml:space="preserve"> Summary of selected </w:t>
      </w:r>
      <w:proofErr w:type="spellStart"/>
      <w:r w:rsidR="00DC0878" w:rsidRPr="00DC0878">
        <w:t>physico</w:t>
      </w:r>
      <w:proofErr w:type="spellEnd"/>
      <w:r w:rsidR="00F236AB">
        <w:t>-</w:t>
      </w:r>
      <w:r w:rsidR="00DC0878" w:rsidRPr="00DC0878">
        <w:t>chemical properties of metola</w:t>
      </w:r>
      <w:r w:rsidR="00DC0878">
        <w:t>chlor</w:t>
      </w:r>
      <w:bookmarkEnd w:id="5"/>
    </w:p>
    <w:tbl>
      <w:tblPr>
        <w:tblW w:w="5000" w:type="pct"/>
        <w:tblBorders>
          <w:top w:val="single" w:sz="4" w:space="0" w:color="auto"/>
          <w:bottom w:val="single" w:sz="4" w:space="0" w:color="auto"/>
          <w:insideH w:val="single" w:sz="4" w:space="0" w:color="auto"/>
        </w:tblBorders>
        <w:tblLook w:val="04A0" w:firstRow="1" w:lastRow="0" w:firstColumn="1" w:lastColumn="0" w:noHBand="0" w:noVBand="1"/>
        <w:tblCaption w:val="Summary of selected physico-chemical properties of metolachlor"/>
        <w:tblDescription w:val="Table shows the physico-chemical properties (molecular weight, aqueous solubility, octanol-water partition coefficient, organic carbon water partition coefficient, bioconcentration factor, half-life in water, and half-life in soil) of metolachlor against their corresponding values."/>
      </w:tblPr>
      <w:tblGrid>
        <w:gridCol w:w="4535"/>
        <w:gridCol w:w="4535"/>
      </w:tblGrid>
      <w:tr w:rsidR="00DC0878" w:rsidRPr="000B6600" w14:paraId="4434EEAB" w14:textId="77777777" w:rsidTr="00117DFA">
        <w:tc>
          <w:tcPr>
            <w:tcW w:w="2500" w:type="pct"/>
            <w:tcBorders>
              <w:top w:val="single" w:sz="12" w:space="0" w:color="auto"/>
              <w:bottom w:val="single" w:sz="12" w:space="0" w:color="auto"/>
            </w:tcBorders>
            <w:shd w:val="clear" w:color="auto" w:fill="auto"/>
          </w:tcPr>
          <w:p w14:paraId="4A607A39" w14:textId="147B56E1" w:rsidR="00DC0878" w:rsidRPr="000B6600" w:rsidRDefault="00DC0878" w:rsidP="006E41C8">
            <w:pPr>
              <w:pStyle w:val="TableHeading"/>
            </w:pPr>
            <w:proofErr w:type="spellStart"/>
            <w:r w:rsidRPr="000B6600">
              <w:t>Physico</w:t>
            </w:r>
            <w:proofErr w:type="spellEnd"/>
            <w:r w:rsidR="0071654D">
              <w:t>-</w:t>
            </w:r>
            <w:r w:rsidRPr="000B6600">
              <w:t>chemical property</w:t>
            </w:r>
          </w:p>
        </w:tc>
        <w:tc>
          <w:tcPr>
            <w:tcW w:w="2500" w:type="pct"/>
            <w:tcBorders>
              <w:top w:val="single" w:sz="12" w:space="0" w:color="auto"/>
              <w:bottom w:val="single" w:sz="12" w:space="0" w:color="auto"/>
            </w:tcBorders>
            <w:shd w:val="clear" w:color="auto" w:fill="auto"/>
          </w:tcPr>
          <w:p w14:paraId="723DB425" w14:textId="77777777" w:rsidR="00DC0878" w:rsidRPr="000B6600" w:rsidRDefault="00DC0878" w:rsidP="006E41C8">
            <w:pPr>
              <w:pStyle w:val="TableHeading"/>
            </w:pPr>
            <w:r w:rsidRPr="000B6600">
              <w:t>Value</w:t>
            </w:r>
          </w:p>
        </w:tc>
      </w:tr>
      <w:tr w:rsidR="00DC0878" w:rsidRPr="000B6600" w14:paraId="1C8DBF30" w14:textId="77777777" w:rsidTr="00117DFA">
        <w:tc>
          <w:tcPr>
            <w:tcW w:w="2500" w:type="pct"/>
            <w:tcBorders>
              <w:top w:val="single" w:sz="12" w:space="0" w:color="auto"/>
            </w:tcBorders>
            <w:shd w:val="clear" w:color="auto" w:fill="auto"/>
          </w:tcPr>
          <w:p w14:paraId="3DB5004C" w14:textId="77777777" w:rsidR="00DC0878" w:rsidRPr="000B6600" w:rsidRDefault="00DC0878" w:rsidP="006E41C8">
            <w:pPr>
              <w:pStyle w:val="TableText"/>
            </w:pPr>
            <w:r w:rsidRPr="000B6600">
              <w:t>Molecular weight</w:t>
            </w:r>
          </w:p>
        </w:tc>
        <w:tc>
          <w:tcPr>
            <w:tcW w:w="2500" w:type="pct"/>
            <w:tcBorders>
              <w:top w:val="single" w:sz="12" w:space="0" w:color="auto"/>
            </w:tcBorders>
            <w:shd w:val="clear" w:color="auto" w:fill="auto"/>
          </w:tcPr>
          <w:p w14:paraId="63D925D8" w14:textId="6E8599D0" w:rsidR="00DC0878" w:rsidRPr="000B6600" w:rsidRDefault="00DC0878" w:rsidP="006E41C8">
            <w:pPr>
              <w:pStyle w:val="TableText"/>
            </w:pPr>
            <w:r w:rsidRPr="000B6600">
              <w:t>283.8</w:t>
            </w:r>
            <w:r w:rsidR="0071654D">
              <w:t> </w:t>
            </w:r>
            <w:r w:rsidRPr="000B6600">
              <w:t>amu</w:t>
            </w:r>
            <w:r w:rsidR="00016D9F">
              <w:t xml:space="preserve"> </w:t>
            </w:r>
            <w:r w:rsidR="00016D9F" w:rsidRPr="00016D9F">
              <w:rPr>
                <w:rStyle w:val="Strong"/>
                <w:vertAlign w:val="superscript"/>
              </w:rPr>
              <w:t>a</w:t>
            </w:r>
          </w:p>
        </w:tc>
      </w:tr>
      <w:tr w:rsidR="00DC0878" w:rsidRPr="000B6600" w14:paraId="145FBD5B" w14:textId="77777777" w:rsidTr="00117DFA">
        <w:tc>
          <w:tcPr>
            <w:tcW w:w="2500" w:type="pct"/>
            <w:shd w:val="clear" w:color="auto" w:fill="auto"/>
          </w:tcPr>
          <w:p w14:paraId="04EC679D" w14:textId="77777777" w:rsidR="00DC0878" w:rsidRPr="000B6600" w:rsidRDefault="00DC0878" w:rsidP="006E41C8">
            <w:pPr>
              <w:pStyle w:val="TableText"/>
            </w:pPr>
            <w:r w:rsidRPr="000B6600">
              <w:t>Aqueous solubility</w:t>
            </w:r>
          </w:p>
        </w:tc>
        <w:tc>
          <w:tcPr>
            <w:tcW w:w="2500" w:type="pct"/>
            <w:shd w:val="clear" w:color="auto" w:fill="auto"/>
          </w:tcPr>
          <w:p w14:paraId="3961DF26" w14:textId="77777777" w:rsidR="00F374B2" w:rsidRDefault="00DC0878" w:rsidP="0071654D">
            <w:pPr>
              <w:pStyle w:val="TableText"/>
              <w:rPr>
                <w:rStyle w:val="Strong"/>
                <w:vertAlign w:val="superscript"/>
              </w:rPr>
            </w:pPr>
            <w:r w:rsidRPr="000B6600">
              <w:t>488</w:t>
            </w:r>
            <w:r w:rsidR="0071654D">
              <w:t> </w:t>
            </w:r>
            <w:r w:rsidRPr="000B6600">
              <w:t xml:space="preserve">mg/L </w:t>
            </w:r>
            <w:r w:rsidR="0071654D">
              <w:t>at</w:t>
            </w:r>
            <w:r w:rsidRPr="000B6600">
              <w:t xml:space="preserve"> temperature of 25</w:t>
            </w:r>
            <w:r>
              <w:t> </w:t>
            </w:r>
            <w:proofErr w:type="spellStart"/>
            <w:r w:rsidRPr="000B6600">
              <w:rPr>
                <w:vertAlign w:val="superscript"/>
              </w:rPr>
              <w:t>o</w:t>
            </w:r>
            <w:r w:rsidRPr="000B6600">
              <w:t>C</w:t>
            </w:r>
            <w:proofErr w:type="spellEnd"/>
            <w:r w:rsidR="00016D9F">
              <w:t xml:space="preserve"> </w:t>
            </w:r>
            <w:r w:rsidR="00016D9F" w:rsidRPr="00016D9F">
              <w:rPr>
                <w:rStyle w:val="Strong"/>
                <w:vertAlign w:val="superscript"/>
              </w:rPr>
              <w:t>a</w:t>
            </w:r>
          </w:p>
          <w:p w14:paraId="7C4F96F9" w14:textId="62AB99DA" w:rsidR="00DC0878" w:rsidRPr="000B6600" w:rsidRDefault="00DC0878" w:rsidP="0071654D">
            <w:pPr>
              <w:pStyle w:val="TableText"/>
            </w:pPr>
            <w:r w:rsidRPr="000B6600">
              <w:t>530</w:t>
            </w:r>
            <w:r w:rsidR="0071654D">
              <w:t> </w:t>
            </w:r>
            <w:r w:rsidRPr="000B6600">
              <w:t xml:space="preserve">mg/L </w:t>
            </w:r>
            <w:r w:rsidR="0071654D">
              <w:t>at</w:t>
            </w:r>
            <w:r w:rsidRPr="000B6600">
              <w:t xml:space="preserve"> temperature of 20</w:t>
            </w:r>
            <w:r>
              <w:t> </w:t>
            </w:r>
            <w:proofErr w:type="spellStart"/>
            <w:r w:rsidRPr="000B6600">
              <w:rPr>
                <w:vertAlign w:val="superscript"/>
              </w:rPr>
              <w:t>o</w:t>
            </w:r>
            <w:r w:rsidRPr="000B6600">
              <w:t>C</w:t>
            </w:r>
            <w:proofErr w:type="spellEnd"/>
            <w:r w:rsidR="00016D9F">
              <w:t xml:space="preserve"> </w:t>
            </w:r>
            <w:r w:rsidR="00016D9F" w:rsidRPr="00016D9F">
              <w:rPr>
                <w:rStyle w:val="Strong"/>
                <w:vertAlign w:val="superscript"/>
              </w:rPr>
              <w:t>b</w:t>
            </w:r>
          </w:p>
        </w:tc>
      </w:tr>
      <w:tr w:rsidR="00DC0878" w:rsidRPr="000B6600" w14:paraId="5CEEEE0F" w14:textId="77777777" w:rsidTr="00117DFA">
        <w:tc>
          <w:tcPr>
            <w:tcW w:w="2500" w:type="pct"/>
            <w:shd w:val="clear" w:color="auto" w:fill="auto"/>
          </w:tcPr>
          <w:p w14:paraId="37EFF8F1" w14:textId="52B7878B" w:rsidR="00DC0878" w:rsidRPr="000B6600" w:rsidRDefault="00DC0878" w:rsidP="006E41C8">
            <w:pPr>
              <w:pStyle w:val="TableText"/>
            </w:pPr>
            <w:r w:rsidRPr="000B6600">
              <w:t>Logarithm of the octanol-water partition coefficient (log</w:t>
            </w:r>
            <w:r w:rsidR="0071654D">
              <w:t> </w:t>
            </w:r>
            <w:r w:rsidRPr="000B6600">
              <w:t>K</w:t>
            </w:r>
            <w:r w:rsidRPr="000B6600">
              <w:rPr>
                <w:vertAlign w:val="subscript"/>
              </w:rPr>
              <w:t>ow</w:t>
            </w:r>
            <w:r w:rsidRPr="000B6600">
              <w:t>)</w:t>
            </w:r>
          </w:p>
        </w:tc>
        <w:tc>
          <w:tcPr>
            <w:tcW w:w="2500" w:type="pct"/>
            <w:shd w:val="clear" w:color="auto" w:fill="auto"/>
          </w:tcPr>
          <w:p w14:paraId="6C3A2EDD" w14:textId="77777777" w:rsidR="00F374B2" w:rsidRDefault="00DC0878" w:rsidP="0071654D">
            <w:pPr>
              <w:pStyle w:val="TableText"/>
              <w:rPr>
                <w:rStyle w:val="Strong"/>
                <w:vertAlign w:val="superscript"/>
              </w:rPr>
            </w:pPr>
            <w:r w:rsidRPr="000B6600">
              <w:t xml:space="preserve">2.9 </w:t>
            </w:r>
            <w:r w:rsidR="0071654D">
              <w:t>at</w:t>
            </w:r>
            <w:r w:rsidRPr="000B6600">
              <w:t xml:space="preserve"> temperature 25</w:t>
            </w:r>
            <w:r>
              <w:t> </w:t>
            </w:r>
            <w:proofErr w:type="spellStart"/>
            <w:r w:rsidRPr="000B6600">
              <w:rPr>
                <w:vertAlign w:val="superscript"/>
              </w:rPr>
              <w:t>o</w:t>
            </w:r>
            <w:r w:rsidRPr="000B6600">
              <w:t>C</w:t>
            </w:r>
            <w:proofErr w:type="spellEnd"/>
            <w:r w:rsidR="00016D9F">
              <w:t xml:space="preserve"> </w:t>
            </w:r>
            <w:r w:rsidR="00016D9F" w:rsidRPr="00016D9F">
              <w:rPr>
                <w:rStyle w:val="Strong"/>
                <w:vertAlign w:val="superscript"/>
              </w:rPr>
              <w:t>a</w:t>
            </w:r>
          </w:p>
          <w:p w14:paraId="0C2E07D3" w14:textId="0ED9A08C" w:rsidR="00DC0878" w:rsidRPr="000B6600" w:rsidRDefault="00DC0878" w:rsidP="0071654D">
            <w:pPr>
              <w:pStyle w:val="TableText"/>
            </w:pPr>
            <w:r w:rsidRPr="000B6600">
              <w:t xml:space="preserve">3.4 </w:t>
            </w:r>
            <w:r w:rsidR="0071654D">
              <w:t>at</w:t>
            </w:r>
            <w:r w:rsidRPr="000B6600">
              <w:t xml:space="preserve"> pH</w:t>
            </w:r>
            <w:r w:rsidR="0071654D">
              <w:t> </w:t>
            </w:r>
            <w:r w:rsidRPr="000B6600">
              <w:t>7 and temperature of 20</w:t>
            </w:r>
            <w:r>
              <w:t> </w:t>
            </w:r>
            <w:proofErr w:type="spellStart"/>
            <w:r w:rsidRPr="000B6600">
              <w:rPr>
                <w:vertAlign w:val="superscript"/>
              </w:rPr>
              <w:t>o</w:t>
            </w:r>
            <w:r w:rsidRPr="000B6600">
              <w:t>C</w:t>
            </w:r>
            <w:proofErr w:type="spellEnd"/>
            <w:r w:rsidR="00016D9F">
              <w:t xml:space="preserve"> </w:t>
            </w:r>
            <w:r w:rsidR="00016D9F" w:rsidRPr="00016D9F">
              <w:rPr>
                <w:rStyle w:val="Strong"/>
                <w:vertAlign w:val="superscript"/>
              </w:rPr>
              <w:t>b</w:t>
            </w:r>
          </w:p>
        </w:tc>
      </w:tr>
      <w:tr w:rsidR="00DC0878" w:rsidRPr="000B6600" w14:paraId="7B2B2311" w14:textId="77777777" w:rsidTr="00117DFA">
        <w:tc>
          <w:tcPr>
            <w:tcW w:w="2500" w:type="pct"/>
            <w:shd w:val="clear" w:color="auto" w:fill="auto"/>
          </w:tcPr>
          <w:p w14:paraId="552FAF6E" w14:textId="229FCAE1" w:rsidR="00DC0878" w:rsidRPr="000B6600" w:rsidRDefault="00DC0878" w:rsidP="006E41C8">
            <w:pPr>
              <w:pStyle w:val="TableText"/>
            </w:pPr>
            <w:r w:rsidRPr="000B6600">
              <w:t>Logarithm of the organic carbon water partition coefficient (log</w:t>
            </w:r>
            <w:r w:rsidR="0071654D">
              <w:t> </w:t>
            </w:r>
            <w:proofErr w:type="spellStart"/>
            <w:r w:rsidRPr="000B6600">
              <w:t>K</w:t>
            </w:r>
            <w:r w:rsidRPr="000B6600">
              <w:rPr>
                <w:vertAlign w:val="subscript"/>
              </w:rPr>
              <w:t>oc</w:t>
            </w:r>
            <w:proofErr w:type="spellEnd"/>
            <w:r w:rsidRPr="000B6600">
              <w:t>)</w:t>
            </w:r>
          </w:p>
        </w:tc>
        <w:tc>
          <w:tcPr>
            <w:tcW w:w="2500" w:type="pct"/>
            <w:shd w:val="clear" w:color="auto" w:fill="auto"/>
          </w:tcPr>
          <w:p w14:paraId="4DF0DE25" w14:textId="77777777" w:rsidR="00F374B2" w:rsidRDefault="00DC0878" w:rsidP="006E41C8">
            <w:pPr>
              <w:pStyle w:val="TableText"/>
              <w:rPr>
                <w:rStyle w:val="Strong"/>
                <w:vertAlign w:val="superscript"/>
              </w:rPr>
            </w:pPr>
            <w:r w:rsidRPr="000B6600">
              <w:t>2.08–2.49</w:t>
            </w:r>
            <w:r w:rsidR="00016D9F">
              <w:t xml:space="preserve"> </w:t>
            </w:r>
            <w:r w:rsidR="00016D9F" w:rsidRPr="00016D9F">
              <w:rPr>
                <w:rStyle w:val="Strong"/>
                <w:vertAlign w:val="superscript"/>
              </w:rPr>
              <w:t>a</w:t>
            </w:r>
          </w:p>
          <w:p w14:paraId="216A0413" w14:textId="546F5354" w:rsidR="00DC0878" w:rsidRPr="000B6600" w:rsidRDefault="00DC0878" w:rsidP="006E41C8">
            <w:pPr>
              <w:pStyle w:val="TableText"/>
            </w:pPr>
            <w:r w:rsidRPr="000B6600">
              <w:t>2.08</w:t>
            </w:r>
            <w:r w:rsidR="00016D9F">
              <w:t xml:space="preserve"> </w:t>
            </w:r>
            <w:r w:rsidR="00016D9F" w:rsidRPr="00016D9F">
              <w:rPr>
                <w:rStyle w:val="Strong"/>
                <w:vertAlign w:val="superscript"/>
              </w:rPr>
              <w:t>b</w:t>
            </w:r>
          </w:p>
        </w:tc>
      </w:tr>
      <w:tr w:rsidR="00DC0878" w:rsidRPr="000B6600" w14:paraId="294AF33F" w14:textId="77777777" w:rsidTr="00117DFA">
        <w:tc>
          <w:tcPr>
            <w:tcW w:w="2500" w:type="pct"/>
            <w:shd w:val="clear" w:color="auto" w:fill="auto"/>
          </w:tcPr>
          <w:p w14:paraId="40ED3F08" w14:textId="6736D528" w:rsidR="00DC0878" w:rsidRPr="000B6600" w:rsidRDefault="00DC0878" w:rsidP="006E41C8">
            <w:pPr>
              <w:pStyle w:val="TableText"/>
            </w:pPr>
            <w:r w:rsidRPr="000B6600">
              <w:t>Logarithm of the bioconcentration factor (log</w:t>
            </w:r>
            <w:r w:rsidR="0071654D">
              <w:t> </w:t>
            </w:r>
            <w:r w:rsidRPr="000B6600">
              <w:t>BCF)</w:t>
            </w:r>
          </w:p>
        </w:tc>
        <w:tc>
          <w:tcPr>
            <w:tcW w:w="2500" w:type="pct"/>
            <w:shd w:val="clear" w:color="auto" w:fill="auto"/>
          </w:tcPr>
          <w:p w14:paraId="6897F97C" w14:textId="4F65A72F" w:rsidR="00DC0878" w:rsidRPr="000B6600" w:rsidRDefault="00DC0878" w:rsidP="006E41C8">
            <w:pPr>
              <w:pStyle w:val="TableText"/>
            </w:pPr>
            <w:r w:rsidRPr="000B6600">
              <w:t>1.84</w:t>
            </w:r>
            <w:r w:rsidR="00016D9F">
              <w:t xml:space="preserve"> </w:t>
            </w:r>
            <w:r w:rsidR="00016D9F" w:rsidRPr="00016D9F">
              <w:rPr>
                <w:rStyle w:val="Strong"/>
                <w:vertAlign w:val="superscript"/>
              </w:rPr>
              <w:t>b</w:t>
            </w:r>
          </w:p>
        </w:tc>
      </w:tr>
      <w:tr w:rsidR="00DC0878" w:rsidRPr="000B6600" w14:paraId="42E2409A" w14:textId="77777777" w:rsidTr="00117DFA">
        <w:tc>
          <w:tcPr>
            <w:tcW w:w="2500" w:type="pct"/>
            <w:tcBorders>
              <w:bottom w:val="single" w:sz="4" w:space="0" w:color="auto"/>
            </w:tcBorders>
            <w:shd w:val="clear" w:color="auto" w:fill="auto"/>
          </w:tcPr>
          <w:p w14:paraId="3B6292A0" w14:textId="77777777" w:rsidR="00DC0878" w:rsidRPr="000B6600" w:rsidRDefault="00DC0878" w:rsidP="006E41C8">
            <w:pPr>
              <w:pStyle w:val="TableText"/>
            </w:pPr>
            <w:r w:rsidRPr="000B6600">
              <w:t>Half-life (t</w:t>
            </w:r>
            <w:r w:rsidRPr="000B6600">
              <w:rPr>
                <w:vertAlign w:val="subscript"/>
              </w:rPr>
              <w:t>1/2</w:t>
            </w:r>
            <w:r w:rsidRPr="000B6600">
              <w:t>) in water</w:t>
            </w:r>
          </w:p>
        </w:tc>
        <w:tc>
          <w:tcPr>
            <w:tcW w:w="2500" w:type="pct"/>
            <w:tcBorders>
              <w:bottom w:val="single" w:sz="4" w:space="0" w:color="auto"/>
            </w:tcBorders>
            <w:shd w:val="clear" w:color="auto" w:fill="auto"/>
          </w:tcPr>
          <w:p w14:paraId="4DDC8E10" w14:textId="77777777" w:rsidR="00F374B2" w:rsidRDefault="00DC0878" w:rsidP="0071654D">
            <w:pPr>
              <w:pStyle w:val="TableText"/>
              <w:rPr>
                <w:rStyle w:val="Strong"/>
                <w:vertAlign w:val="superscript"/>
              </w:rPr>
            </w:pPr>
            <w:r w:rsidRPr="000B6600">
              <w:t xml:space="preserve">Stable </w:t>
            </w:r>
            <w:r w:rsidR="0071654D">
              <w:t>at</w:t>
            </w:r>
            <w:r w:rsidRPr="000B6600">
              <w:t xml:space="preserve"> pH</w:t>
            </w:r>
            <w:r w:rsidR="0071654D">
              <w:t> </w:t>
            </w:r>
            <w:r w:rsidRPr="000B6600">
              <w:t>7 and temperature 20</w:t>
            </w:r>
            <w:r>
              <w:t> </w:t>
            </w:r>
            <w:proofErr w:type="spellStart"/>
            <w:r w:rsidRPr="000B6600">
              <w:rPr>
                <w:vertAlign w:val="superscript"/>
              </w:rPr>
              <w:t>o</w:t>
            </w:r>
            <w:r w:rsidRPr="000B6600">
              <w:t>C</w:t>
            </w:r>
            <w:proofErr w:type="spellEnd"/>
            <w:r w:rsidR="00016D9F">
              <w:t xml:space="preserve"> </w:t>
            </w:r>
            <w:r w:rsidR="00016D9F" w:rsidRPr="00016D9F">
              <w:rPr>
                <w:rStyle w:val="Strong"/>
                <w:vertAlign w:val="superscript"/>
              </w:rPr>
              <w:t>b</w:t>
            </w:r>
          </w:p>
          <w:p w14:paraId="4F9FDCB1" w14:textId="1D8F47E2" w:rsidR="00DC0878" w:rsidRPr="000B6600" w:rsidRDefault="00DC0878" w:rsidP="0071654D">
            <w:pPr>
              <w:pStyle w:val="TableText"/>
            </w:pPr>
            <w:r w:rsidRPr="000B6600">
              <w:t>&gt;200</w:t>
            </w:r>
            <w:r w:rsidR="0071654D">
              <w:t> </w:t>
            </w:r>
            <w:r w:rsidRPr="000B6600">
              <w:t>days (pH</w:t>
            </w:r>
            <w:r w:rsidR="0071654D">
              <w:t> </w:t>
            </w:r>
            <w:r w:rsidRPr="000B6600">
              <w:t xml:space="preserve">1–9) </w:t>
            </w:r>
            <w:r w:rsidR="0071654D">
              <w:t>at</w:t>
            </w:r>
            <w:r w:rsidRPr="000B6600">
              <w:t xml:space="preserve"> 20</w:t>
            </w:r>
            <w:r w:rsidR="0071654D">
              <w:t> </w:t>
            </w:r>
            <w:proofErr w:type="spellStart"/>
            <w:r w:rsidRPr="000B6600">
              <w:rPr>
                <w:vertAlign w:val="superscript"/>
              </w:rPr>
              <w:t>o</w:t>
            </w:r>
            <w:r w:rsidRPr="000B6600">
              <w:t>C</w:t>
            </w:r>
            <w:proofErr w:type="spellEnd"/>
            <w:r w:rsidR="00016D9F">
              <w:t xml:space="preserve"> </w:t>
            </w:r>
            <w:r w:rsidR="00016D9F" w:rsidRPr="00016D9F">
              <w:rPr>
                <w:rStyle w:val="Strong"/>
                <w:vertAlign w:val="superscript"/>
              </w:rPr>
              <w:t>a, c</w:t>
            </w:r>
            <w:r w:rsidRPr="000B6600">
              <w:rPr>
                <w:vertAlign w:val="superscript"/>
              </w:rPr>
              <w:t xml:space="preserve"> </w:t>
            </w:r>
          </w:p>
        </w:tc>
      </w:tr>
      <w:tr w:rsidR="00DC0878" w:rsidRPr="000B6600" w14:paraId="65D89926" w14:textId="77777777" w:rsidTr="00117DFA">
        <w:tc>
          <w:tcPr>
            <w:tcW w:w="2500" w:type="pct"/>
            <w:tcBorders>
              <w:bottom w:val="single" w:sz="12" w:space="0" w:color="auto"/>
            </w:tcBorders>
            <w:shd w:val="clear" w:color="auto" w:fill="auto"/>
          </w:tcPr>
          <w:p w14:paraId="7CD526AA" w14:textId="77777777" w:rsidR="00DC0878" w:rsidRPr="000B6600" w:rsidRDefault="00DC0878" w:rsidP="006E41C8">
            <w:pPr>
              <w:pStyle w:val="TableText"/>
            </w:pPr>
            <w:r w:rsidRPr="000B6600">
              <w:t>Half-life (t</w:t>
            </w:r>
            <w:r w:rsidRPr="000B6600">
              <w:rPr>
                <w:vertAlign w:val="subscript"/>
              </w:rPr>
              <w:t>1/2</w:t>
            </w:r>
            <w:r w:rsidRPr="000B6600">
              <w:t>) in soil</w:t>
            </w:r>
          </w:p>
        </w:tc>
        <w:tc>
          <w:tcPr>
            <w:tcW w:w="2500" w:type="pct"/>
            <w:tcBorders>
              <w:bottom w:val="single" w:sz="12" w:space="0" w:color="auto"/>
            </w:tcBorders>
            <w:shd w:val="clear" w:color="auto" w:fill="auto"/>
          </w:tcPr>
          <w:p w14:paraId="1CC56F3D" w14:textId="77777777" w:rsidR="00F374B2" w:rsidRDefault="00DC0878" w:rsidP="0071654D">
            <w:pPr>
              <w:pStyle w:val="TableText"/>
              <w:rPr>
                <w:rStyle w:val="Strong"/>
                <w:vertAlign w:val="superscript"/>
              </w:rPr>
            </w:pPr>
            <w:r w:rsidRPr="000B6600">
              <w:t>20</w:t>
            </w:r>
            <w:r w:rsidR="0071654D">
              <w:t> </w:t>
            </w:r>
            <w:r w:rsidRPr="000B6600">
              <w:t>days (in field)</w:t>
            </w:r>
            <w:r w:rsidR="00016D9F">
              <w:t xml:space="preserve"> </w:t>
            </w:r>
            <w:r w:rsidR="00016D9F" w:rsidRPr="00016D9F">
              <w:rPr>
                <w:rStyle w:val="Strong"/>
                <w:vertAlign w:val="superscript"/>
              </w:rPr>
              <w:t>a</w:t>
            </w:r>
          </w:p>
          <w:p w14:paraId="0991ACFC" w14:textId="77777777" w:rsidR="00F374B2" w:rsidRDefault="00DC0878" w:rsidP="0071654D">
            <w:pPr>
              <w:pStyle w:val="TableText"/>
            </w:pPr>
            <w:r w:rsidRPr="000B6600">
              <w:t>Typical: 90</w:t>
            </w:r>
            <w:r w:rsidR="0071654D">
              <w:t> </w:t>
            </w:r>
            <w:r w:rsidRPr="000B6600">
              <w:t>days</w:t>
            </w:r>
          </w:p>
          <w:p w14:paraId="183935FB" w14:textId="5C1E6DB9" w:rsidR="00DC0878" w:rsidRPr="000B6600" w:rsidRDefault="00DC0878" w:rsidP="0071654D">
            <w:pPr>
              <w:pStyle w:val="TableText"/>
              <w:rPr>
                <w:vertAlign w:val="superscript"/>
              </w:rPr>
            </w:pPr>
            <w:r w:rsidRPr="000B6600">
              <w:t>(15–21</w:t>
            </w:r>
            <w:r w:rsidR="0071654D">
              <w:t> </w:t>
            </w:r>
            <w:r w:rsidRPr="000B6600">
              <w:t>days in the lab (20</w:t>
            </w:r>
            <w:r>
              <w:t> </w:t>
            </w:r>
            <w:proofErr w:type="spellStart"/>
            <w:r w:rsidRPr="000B6600">
              <w:rPr>
                <w:vertAlign w:val="superscript"/>
              </w:rPr>
              <w:t>o</w:t>
            </w:r>
            <w:r w:rsidRPr="000B6600">
              <w:t>C</w:t>
            </w:r>
            <w:proofErr w:type="spellEnd"/>
            <w:r w:rsidRPr="000B6600">
              <w:t>) and the field, respectively)</w:t>
            </w:r>
            <w:r w:rsidR="00016D9F">
              <w:t xml:space="preserve"> </w:t>
            </w:r>
            <w:r w:rsidR="00016D9F" w:rsidRPr="00016D9F">
              <w:rPr>
                <w:rStyle w:val="Strong"/>
                <w:vertAlign w:val="superscript"/>
              </w:rPr>
              <w:t>b</w:t>
            </w:r>
          </w:p>
        </w:tc>
      </w:tr>
    </w:tbl>
    <w:p w14:paraId="51D904FB" w14:textId="079B4805" w:rsidR="00DC0878" w:rsidRDefault="00016D9F" w:rsidP="00DC0878">
      <w:pPr>
        <w:pStyle w:val="FigureTableNoteSource"/>
      </w:pPr>
      <w:r w:rsidRPr="00016D9F">
        <w:rPr>
          <w:rStyle w:val="Strong"/>
        </w:rPr>
        <w:t>a</w:t>
      </w:r>
      <w:r w:rsidR="00DC0878" w:rsidRPr="00DC0878">
        <w:t xml:space="preserve"> BCPC (2012).</w:t>
      </w:r>
    </w:p>
    <w:p w14:paraId="61EA19DD" w14:textId="3A639AF9" w:rsidR="00DC0878" w:rsidRDefault="00016D9F" w:rsidP="00DC0878">
      <w:pPr>
        <w:pStyle w:val="FigureTableNoteSource"/>
      </w:pPr>
      <w:r w:rsidRPr="00016D9F">
        <w:rPr>
          <w:rStyle w:val="Strong"/>
        </w:rPr>
        <w:t>b</w:t>
      </w:r>
      <w:r w:rsidR="00DC0878" w:rsidRPr="00DC0878">
        <w:t xml:space="preserve"> University of Hertfordshire </w:t>
      </w:r>
      <w:r w:rsidR="0071654D">
        <w:t>(</w:t>
      </w:r>
      <w:r w:rsidR="00DC0878" w:rsidRPr="00DC0878">
        <w:t>2013).</w:t>
      </w:r>
    </w:p>
    <w:p w14:paraId="289C1F61" w14:textId="1A3D14BB" w:rsidR="00DC0878" w:rsidRDefault="00016D9F" w:rsidP="00DC0878">
      <w:pPr>
        <w:pStyle w:val="FigureTableNoteSource"/>
        <w:rPr>
          <w:highlight w:val="yellow"/>
        </w:rPr>
      </w:pPr>
      <w:r w:rsidRPr="00016D9F">
        <w:rPr>
          <w:rStyle w:val="Strong"/>
        </w:rPr>
        <w:t>c</w:t>
      </w:r>
      <w:r w:rsidR="00DC0878" w:rsidRPr="00DC0878">
        <w:t xml:space="preserve"> CCME (1999).</w:t>
      </w:r>
    </w:p>
    <w:p w14:paraId="11134D77" w14:textId="4D0ECF04" w:rsidR="00DC0878" w:rsidRDefault="00DC0878" w:rsidP="00BF0280">
      <w:pPr>
        <w:rPr>
          <w:bCs/>
        </w:rPr>
      </w:pPr>
      <w:r w:rsidRPr="00DC0878">
        <w:rPr>
          <w:bCs/>
        </w:rPr>
        <w:t>Metolachlor is a derivative of aniline and belongs to the chloroacetanilide group within the amide family of herbicides. Other chloroacetanilide herbicides include alachlor, acetochl</w:t>
      </w:r>
      <w:r>
        <w:rPr>
          <w:bCs/>
        </w:rPr>
        <w:t xml:space="preserve">or and </w:t>
      </w:r>
      <w:proofErr w:type="spellStart"/>
      <w:r>
        <w:rPr>
          <w:bCs/>
        </w:rPr>
        <w:t>propachlor</w:t>
      </w:r>
      <w:proofErr w:type="spellEnd"/>
      <w:r>
        <w:rPr>
          <w:bCs/>
        </w:rPr>
        <w:t xml:space="preserve">. </w:t>
      </w:r>
      <w:r w:rsidRPr="00DC0878">
        <w:rPr>
          <w:bCs/>
        </w:rPr>
        <w:t>Metolachlor is extensively used in agriculture. In Australia, it is approved for use on many crops, including barley, sweetcorn, soybeans, sorghum, cotton, sunflowers (</w:t>
      </w:r>
      <w:proofErr w:type="spellStart"/>
      <w:r w:rsidRPr="00DC0878">
        <w:rPr>
          <w:bCs/>
        </w:rPr>
        <w:t>Growcom</w:t>
      </w:r>
      <w:proofErr w:type="spellEnd"/>
      <w:r w:rsidRPr="00DC0878">
        <w:rPr>
          <w:bCs/>
        </w:rPr>
        <w:t xml:space="preserve"> Australia Pty Ltd 2019). In New Zealand, it is approved for use on maize, sweetcorn, asparagus, pumpkin and squash (New Zealand Food Safety 2019). The racemic </w:t>
      </w:r>
      <w:r w:rsidR="00E10C01">
        <w:rPr>
          <w:bCs/>
        </w:rPr>
        <w:t xml:space="preserve">(i.e. 1:1) </w:t>
      </w:r>
      <w:r w:rsidRPr="00DC0878">
        <w:rPr>
          <w:bCs/>
        </w:rPr>
        <w:t xml:space="preserve">mixture of metolachlor (containing </w:t>
      </w:r>
      <w:r w:rsidR="00407F46" w:rsidRPr="00407F46">
        <w:rPr>
          <w:rStyle w:val="Emphasis"/>
        </w:rPr>
        <w:t>S</w:t>
      </w:r>
      <w:r w:rsidR="00407F46" w:rsidRPr="00407F46">
        <w:rPr>
          <w:bCs/>
        </w:rPr>
        <w:t xml:space="preserve">-metolachlor and </w:t>
      </w:r>
      <w:r w:rsidR="00407F46" w:rsidRPr="00407F46">
        <w:rPr>
          <w:rStyle w:val="Emphasis"/>
        </w:rPr>
        <w:t>R</w:t>
      </w:r>
      <w:r w:rsidR="00407F46" w:rsidRPr="00407F46">
        <w:rPr>
          <w:bCs/>
        </w:rPr>
        <w:t>-metolachlor</w:t>
      </w:r>
      <w:r w:rsidRPr="00DC0878">
        <w:rPr>
          <w:bCs/>
        </w:rPr>
        <w:t xml:space="preserve"> isomers) does not have regulatory approval to be used within the European Union; however, approval has been granted for </w:t>
      </w:r>
      <w:r w:rsidRPr="00DC0878">
        <w:rPr>
          <w:rStyle w:val="Emphasis"/>
        </w:rPr>
        <w:t>S</w:t>
      </w:r>
      <w:r w:rsidRPr="00DC0878">
        <w:rPr>
          <w:bCs/>
        </w:rPr>
        <w:t>-</w:t>
      </w:r>
      <w:proofErr w:type="spellStart"/>
      <w:r w:rsidRPr="00DC0878">
        <w:rPr>
          <w:bCs/>
        </w:rPr>
        <w:t>metolachor</w:t>
      </w:r>
      <w:proofErr w:type="spellEnd"/>
      <w:r w:rsidRPr="00DC0878">
        <w:rPr>
          <w:bCs/>
        </w:rPr>
        <w:t xml:space="preserve"> alone (University of </w:t>
      </w:r>
      <w:r w:rsidRPr="00DC0878">
        <w:rPr>
          <w:bCs/>
        </w:rPr>
        <w:lastRenderedPageBreak/>
        <w:t>Hertfordshire 2013). Metolachlor is a selective pre-emergent and early</w:t>
      </w:r>
      <w:r w:rsidR="00407F46">
        <w:rPr>
          <w:bCs/>
        </w:rPr>
        <w:t xml:space="preserve"> </w:t>
      </w:r>
      <w:r w:rsidRPr="00DC0878">
        <w:rPr>
          <w:bCs/>
        </w:rPr>
        <w:t>post</w:t>
      </w:r>
      <w:r w:rsidR="00407F46">
        <w:rPr>
          <w:bCs/>
        </w:rPr>
        <w:t>-</w:t>
      </w:r>
      <w:r w:rsidRPr="00DC0878">
        <w:rPr>
          <w:bCs/>
        </w:rPr>
        <w:t>emergent herbicide (</w:t>
      </w:r>
      <w:r w:rsidR="00407F46" w:rsidRPr="00DC0878">
        <w:rPr>
          <w:bCs/>
        </w:rPr>
        <w:t>CCME 1999</w:t>
      </w:r>
      <w:r w:rsidR="00407F46">
        <w:rPr>
          <w:bCs/>
        </w:rPr>
        <w:t xml:space="preserve">, </w:t>
      </w:r>
      <w:r w:rsidRPr="00DC0878">
        <w:rPr>
          <w:bCs/>
        </w:rPr>
        <w:t xml:space="preserve">Liu </w:t>
      </w:r>
      <w:r w:rsidR="00407F46">
        <w:rPr>
          <w:bCs/>
        </w:rPr>
        <w:t>&amp;</w:t>
      </w:r>
      <w:r w:rsidR="00407F46" w:rsidRPr="00DC0878">
        <w:rPr>
          <w:bCs/>
        </w:rPr>
        <w:t xml:space="preserve"> </w:t>
      </w:r>
      <w:proofErr w:type="spellStart"/>
      <w:r w:rsidRPr="00DC0878">
        <w:rPr>
          <w:bCs/>
        </w:rPr>
        <w:t>Xiong</w:t>
      </w:r>
      <w:proofErr w:type="spellEnd"/>
      <w:r w:rsidRPr="00DC0878">
        <w:rPr>
          <w:bCs/>
        </w:rPr>
        <w:t xml:space="preserve"> 2009) that does not affect established plants (</w:t>
      </w:r>
      <w:proofErr w:type="spellStart"/>
      <w:r w:rsidRPr="00DC0878">
        <w:rPr>
          <w:bCs/>
        </w:rPr>
        <w:t>Vallotton</w:t>
      </w:r>
      <w:proofErr w:type="spellEnd"/>
      <w:r w:rsidRPr="00DC0878">
        <w:rPr>
          <w:bCs/>
        </w:rPr>
        <w:t xml:space="preserve"> et al. 2008).</w:t>
      </w:r>
    </w:p>
    <w:p w14:paraId="394FD82A" w14:textId="6AB8D274" w:rsidR="009D5DD5" w:rsidRPr="009D5DD5" w:rsidRDefault="009D5DD5" w:rsidP="009D5DD5">
      <w:pPr>
        <w:rPr>
          <w:bCs/>
        </w:rPr>
      </w:pPr>
      <w:r w:rsidRPr="009D5DD5">
        <w:rPr>
          <w:bCs/>
        </w:rPr>
        <w:t>Metolachlor has a low binding affinity to soil particles</w:t>
      </w:r>
      <w:r w:rsidR="00DC5B4C">
        <w:rPr>
          <w:bCs/>
        </w:rPr>
        <w:t>;</w:t>
      </w:r>
      <w:r w:rsidRPr="009D5DD5">
        <w:rPr>
          <w:bCs/>
        </w:rPr>
        <w:t xml:space="preserve"> therefore</w:t>
      </w:r>
      <w:r w:rsidR="00DC5B4C">
        <w:rPr>
          <w:bCs/>
        </w:rPr>
        <w:t>, it</w:t>
      </w:r>
      <w:r w:rsidRPr="009D5DD5">
        <w:rPr>
          <w:bCs/>
        </w:rPr>
        <w:t xml:space="preserve"> has a high capacity to leach to groundwater and end up in surface water. The typical soil degradation (aerobic) half-life of metolachlor is 90</w:t>
      </w:r>
      <w:r w:rsidR="00DC5B4C">
        <w:rPr>
          <w:bCs/>
        </w:rPr>
        <w:t> </w:t>
      </w:r>
      <w:r w:rsidRPr="009D5DD5">
        <w:rPr>
          <w:bCs/>
        </w:rPr>
        <w:t>days</w:t>
      </w:r>
      <w:r w:rsidR="00DC5B4C">
        <w:rPr>
          <w:bCs/>
        </w:rPr>
        <w:t>;</w:t>
      </w:r>
      <w:r w:rsidRPr="009D5DD5">
        <w:rPr>
          <w:bCs/>
        </w:rPr>
        <w:t xml:space="preserve"> however</w:t>
      </w:r>
      <w:r w:rsidR="00DC5B4C">
        <w:rPr>
          <w:bCs/>
        </w:rPr>
        <w:t>,</w:t>
      </w:r>
      <w:r w:rsidRPr="009D5DD5">
        <w:rPr>
          <w:bCs/>
        </w:rPr>
        <w:t xml:space="preserve"> some field studies have reported much shorter half-lives (BCPC 2012</w:t>
      </w:r>
      <w:r w:rsidR="00DC5B4C">
        <w:rPr>
          <w:bCs/>
        </w:rPr>
        <w:t>,</w:t>
      </w:r>
      <w:r w:rsidRPr="009D5DD5">
        <w:rPr>
          <w:bCs/>
        </w:rPr>
        <w:t xml:space="preserve"> University of Hertfordshire 2013) (</w:t>
      </w:r>
      <w:r w:rsidR="00E57B13">
        <w:rPr>
          <w:bCs/>
        </w:rPr>
        <w:fldChar w:fldCharType="begin"/>
      </w:r>
      <w:r w:rsidR="00E57B13">
        <w:rPr>
          <w:bCs/>
        </w:rPr>
        <w:instrText xml:space="preserve"> REF _Ref18492575 \h </w:instrText>
      </w:r>
      <w:r w:rsidR="00E57B13">
        <w:rPr>
          <w:bCs/>
        </w:rPr>
      </w:r>
      <w:r w:rsidR="00E57B13">
        <w:rPr>
          <w:bCs/>
        </w:rPr>
        <w:fldChar w:fldCharType="separate"/>
      </w:r>
      <w:r w:rsidR="002825D7">
        <w:t>Table </w:t>
      </w:r>
      <w:r w:rsidR="002825D7">
        <w:rPr>
          <w:noProof/>
        </w:rPr>
        <w:t>1</w:t>
      </w:r>
      <w:r w:rsidR="00E57B13">
        <w:rPr>
          <w:bCs/>
        </w:rPr>
        <w:fldChar w:fldCharType="end"/>
      </w:r>
      <w:r w:rsidRPr="009D5DD5">
        <w:rPr>
          <w:bCs/>
        </w:rPr>
        <w:t>). The aqueous hydrolysis of metolachlor is slow, with a half-life of 100</w:t>
      </w:r>
      <w:r w:rsidR="00DC5B4C">
        <w:rPr>
          <w:bCs/>
        </w:rPr>
        <w:t xml:space="preserve"> days</w:t>
      </w:r>
      <w:r w:rsidRPr="009D5DD5">
        <w:rPr>
          <w:bCs/>
        </w:rPr>
        <w:t xml:space="preserve"> to </w:t>
      </w:r>
      <w:r w:rsidR="00DC5B4C">
        <w:rPr>
          <w:bCs/>
        </w:rPr>
        <w:t>&gt;</w:t>
      </w:r>
      <w:r w:rsidRPr="009D5DD5">
        <w:rPr>
          <w:bCs/>
        </w:rPr>
        <w:t>200 days at pH</w:t>
      </w:r>
      <w:r w:rsidR="00DC5B4C">
        <w:rPr>
          <w:bCs/>
        </w:rPr>
        <w:t> </w:t>
      </w:r>
      <w:r w:rsidRPr="009D5DD5">
        <w:rPr>
          <w:bCs/>
        </w:rPr>
        <w:t>1 to pH</w:t>
      </w:r>
      <w:r w:rsidR="00DC5B4C">
        <w:rPr>
          <w:bCs/>
        </w:rPr>
        <w:t> </w:t>
      </w:r>
      <w:r w:rsidRPr="009D5DD5">
        <w:rPr>
          <w:bCs/>
        </w:rPr>
        <w:t>9 and a temperature of 20</w:t>
      </w:r>
      <w:r w:rsidR="00DC5B4C">
        <w:rPr>
          <w:bCs/>
        </w:rPr>
        <w:t> ˚</w:t>
      </w:r>
      <w:r w:rsidRPr="009D5DD5">
        <w:rPr>
          <w:bCs/>
        </w:rPr>
        <w:t>C (University of Hertfordshire 2013) (</w:t>
      </w:r>
      <w:r w:rsidR="00E57B13">
        <w:rPr>
          <w:bCs/>
        </w:rPr>
        <w:fldChar w:fldCharType="begin"/>
      </w:r>
      <w:r w:rsidR="00E57B13">
        <w:rPr>
          <w:bCs/>
        </w:rPr>
        <w:instrText xml:space="preserve"> REF _Ref18492575 \h </w:instrText>
      </w:r>
      <w:r w:rsidR="00E57B13">
        <w:rPr>
          <w:bCs/>
        </w:rPr>
      </w:r>
      <w:r w:rsidR="00E57B13">
        <w:rPr>
          <w:bCs/>
        </w:rPr>
        <w:fldChar w:fldCharType="separate"/>
      </w:r>
      <w:r w:rsidR="002825D7">
        <w:t>Table </w:t>
      </w:r>
      <w:r w:rsidR="002825D7">
        <w:rPr>
          <w:noProof/>
        </w:rPr>
        <w:t>1</w:t>
      </w:r>
      <w:r w:rsidR="00E57B13">
        <w:rPr>
          <w:bCs/>
        </w:rPr>
        <w:fldChar w:fldCharType="end"/>
      </w:r>
      <w:r w:rsidRPr="009D5DD5">
        <w:rPr>
          <w:bCs/>
        </w:rPr>
        <w:t>).</w:t>
      </w:r>
    </w:p>
    <w:p w14:paraId="2C8F7977" w14:textId="0412D216" w:rsidR="00DC0878" w:rsidRDefault="009D5DD5" w:rsidP="009D5DD5">
      <w:pPr>
        <w:rPr>
          <w:bCs/>
          <w:highlight w:val="yellow"/>
        </w:rPr>
      </w:pPr>
      <w:r w:rsidRPr="009D5DD5">
        <w:rPr>
          <w:bCs/>
        </w:rPr>
        <w:t>Metolachlor has been frequently detected in surface waters of Europe (</w:t>
      </w:r>
      <w:proofErr w:type="spellStart"/>
      <w:r w:rsidRPr="009D5DD5">
        <w:rPr>
          <w:bCs/>
        </w:rPr>
        <w:t>Balsiger</w:t>
      </w:r>
      <w:proofErr w:type="spellEnd"/>
      <w:r w:rsidRPr="009D5DD5">
        <w:rPr>
          <w:bCs/>
        </w:rPr>
        <w:t xml:space="preserve"> et al. 2004</w:t>
      </w:r>
      <w:r w:rsidR="00DC5B4C">
        <w:rPr>
          <w:bCs/>
        </w:rPr>
        <w:t>,</w:t>
      </w:r>
      <w:r w:rsidRPr="009D5DD5">
        <w:rPr>
          <w:bCs/>
        </w:rPr>
        <w:t xml:space="preserve"> </w:t>
      </w:r>
      <w:proofErr w:type="spellStart"/>
      <w:r w:rsidRPr="009D5DD5">
        <w:rPr>
          <w:bCs/>
        </w:rPr>
        <w:t>Konstantinou</w:t>
      </w:r>
      <w:proofErr w:type="spellEnd"/>
      <w:r w:rsidRPr="009D5DD5">
        <w:rPr>
          <w:bCs/>
        </w:rPr>
        <w:t xml:space="preserve"> et al. 2006), North America (</w:t>
      </w:r>
      <w:proofErr w:type="spellStart"/>
      <w:r w:rsidRPr="009D5DD5">
        <w:rPr>
          <w:bCs/>
        </w:rPr>
        <w:t>Battaglin</w:t>
      </w:r>
      <w:proofErr w:type="spellEnd"/>
      <w:r w:rsidRPr="009D5DD5">
        <w:rPr>
          <w:bCs/>
        </w:rPr>
        <w:t xml:space="preserve"> et al. 2000</w:t>
      </w:r>
      <w:r w:rsidR="00DC5B4C">
        <w:rPr>
          <w:bCs/>
        </w:rPr>
        <w:t>,</w:t>
      </w:r>
      <w:r w:rsidRPr="009D5DD5">
        <w:rPr>
          <w:bCs/>
        </w:rPr>
        <w:t xml:space="preserve"> </w:t>
      </w:r>
      <w:proofErr w:type="spellStart"/>
      <w:r w:rsidRPr="009D5DD5">
        <w:rPr>
          <w:bCs/>
        </w:rPr>
        <w:t>Gilliom</w:t>
      </w:r>
      <w:proofErr w:type="spellEnd"/>
      <w:r w:rsidRPr="009D5DD5">
        <w:rPr>
          <w:bCs/>
        </w:rPr>
        <w:t xml:space="preserve"> et al. 2006) and Australia (AATSE 2002).</w:t>
      </w:r>
    </w:p>
    <w:p w14:paraId="768658E0" w14:textId="1B0C7A38" w:rsidR="00BF0280" w:rsidRDefault="00BF0280" w:rsidP="00BF0280">
      <w:pPr>
        <w:pStyle w:val="Heading2"/>
      </w:pPr>
      <w:bookmarkStart w:id="6" w:name="_Toc33094987"/>
      <w:r>
        <w:t>Aquatic toxicology</w:t>
      </w:r>
      <w:bookmarkEnd w:id="6"/>
    </w:p>
    <w:p w14:paraId="5249C4E1" w14:textId="6F229092" w:rsidR="00E10C01" w:rsidRDefault="00E10C01" w:rsidP="00E10C01">
      <w:pPr>
        <w:pStyle w:val="Heading3"/>
      </w:pPr>
      <w:bookmarkStart w:id="7" w:name="_Toc33094988"/>
      <w:r>
        <w:t>Mechanism of toxicity</w:t>
      </w:r>
      <w:bookmarkEnd w:id="7"/>
    </w:p>
    <w:p w14:paraId="47A24C60" w14:textId="20AC08C9" w:rsidR="00812269" w:rsidRDefault="00E10C01" w:rsidP="00BF0280">
      <w:r w:rsidRPr="009D5DD5">
        <w:rPr>
          <w:bCs/>
        </w:rPr>
        <w:t>Metolachlor exerts its toxicity following germination, where it inhibits the growth of susceptible weeds (</w:t>
      </w:r>
      <w:proofErr w:type="spellStart"/>
      <w:r w:rsidRPr="009D5DD5">
        <w:rPr>
          <w:bCs/>
        </w:rPr>
        <w:t>Vallotton</w:t>
      </w:r>
      <w:proofErr w:type="spellEnd"/>
      <w:r w:rsidRPr="009D5DD5">
        <w:rPr>
          <w:bCs/>
        </w:rPr>
        <w:t xml:space="preserve"> et al. 2008). It acts by interfering with cell division and cell enlargement of plants when absorbed by the hypocotyls in roots, seedling shoots and cotyledons (</w:t>
      </w:r>
      <w:proofErr w:type="spellStart"/>
      <w:r w:rsidRPr="009D5DD5">
        <w:rPr>
          <w:bCs/>
        </w:rPr>
        <w:t>Böger</w:t>
      </w:r>
      <w:proofErr w:type="spellEnd"/>
      <w:r w:rsidRPr="009D5DD5">
        <w:rPr>
          <w:bCs/>
        </w:rPr>
        <w:t xml:space="preserve"> et al. 2000). Metolachlor binds strongly and irreversibly (</w:t>
      </w:r>
      <w:proofErr w:type="spellStart"/>
      <w:r w:rsidRPr="009D5DD5">
        <w:rPr>
          <w:bCs/>
        </w:rPr>
        <w:t>Götz</w:t>
      </w:r>
      <w:proofErr w:type="spellEnd"/>
      <w:r w:rsidRPr="009D5DD5">
        <w:rPr>
          <w:bCs/>
        </w:rPr>
        <w:t xml:space="preserve"> </w:t>
      </w:r>
      <w:r>
        <w:rPr>
          <w:bCs/>
        </w:rPr>
        <w:t>&amp;</w:t>
      </w:r>
      <w:r w:rsidRPr="009D5DD5">
        <w:rPr>
          <w:bCs/>
        </w:rPr>
        <w:t xml:space="preserve"> </w:t>
      </w:r>
      <w:proofErr w:type="spellStart"/>
      <w:r w:rsidRPr="009D5DD5">
        <w:rPr>
          <w:bCs/>
        </w:rPr>
        <w:t>Böger</w:t>
      </w:r>
      <w:proofErr w:type="spellEnd"/>
      <w:r w:rsidRPr="009D5DD5">
        <w:rPr>
          <w:bCs/>
        </w:rPr>
        <w:t xml:space="preserve"> 2004) to the fatty</w:t>
      </w:r>
      <w:r>
        <w:rPr>
          <w:bCs/>
        </w:rPr>
        <w:t xml:space="preserve"> </w:t>
      </w:r>
      <w:r w:rsidRPr="009D5DD5">
        <w:rPr>
          <w:bCs/>
        </w:rPr>
        <w:t>acid elongation (FAE1)-synthase enzyme</w:t>
      </w:r>
      <w:r w:rsidR="00D50462">
        <w:rPr>
          <w:bCs/>
        </w:rPr>
        <w:t>,</w:t>
      </w:r>
      <w:r w:rsidRPr="009D5DD5">
        <w:rPr>
          <w:bCs/>
        </w:rPr>
        <w:t xml:space="preserve"> to inhibit the elongation of very long chain fatty acids (VLCFA</w:t>
      </w:r>
      <w:r>
        <w:rPr>
          <w:bCs/>
        </w:rPr>
        <w:t>s</w:t>
      </w:r>
      <w:r w:rsidRPr="009D5DD5">
        <w:rPr>
          <w:bCs/>
        </w:rPr>
        <w:t>) in plants and algae (</w:t>
      </w:r>
      <w:proofErr w:type="spellStart"/>
      <w:r w:rsidRPr="009D5DD5">
        <w:rPr>
          <w:bCs/>
        </w:rPr>
        <w:t>Böger</w:t>
      </w:r>
      <w:proofErr w:type="spellEnd"/>
      <w:r w:rsidRPr="009D5DD5">
        <w:rPr>
          <w:bCs/>
        </w:rPr>
        <w:t xml:space="preserve"> 2003). Once </w:t>
      </w:r>
      <w:r w:rsidR="000372BB">
        <w:rPr>
          <w:bCs/>
        </w:rPr>
        <w:t xml:space="preserve">the elongation process has been </w:t>
      </w:r>
      <w:r w:rsidRPr="009D5DD5">
        <w:rPr>
          <w:bCs/>
        </w:rPr>
        <w:t>inhibited, the</w:t>
      </w:r>
      <w:r w:rsidR="000372BB">
        <w:rPr>
          <w:bCs/>
        </w:rPr>
        <w:t xml:space="preserve"> lack of</w:t>
      </w:r>
      <w:r w:rsidR="00671EAE">
        <w:rPr>
          <w:bCs/>
        </w:rPr>
        <w:t xml:space="preserve"> </w:t>
      </w:r>
      <w:r w:rsidRPr="009D5DD5">
        <w:rPr>
          <w:bCs/>
        </w:rPr>
        <w:t>VLCFAs (commonly C18 and C16) become</w:t>
      </w:r>
      <w:r w:rsidR="00D50462">
        <w:rPr>
          <w:bCs/>
        </w:rPr>
        <w:t>s</w:t>
      </w:r>
      <w:r w:rsidRPr="009D5DD5">
        <w:rPr>
          <w:bCs/>
        </w:rPr>
        <w:t xml:space="preserve"> phytotoxic, as they are no longer available to aid the maintenance of the rigidity and permeability of cell plasma membranes (</w:t>
      </w:r>
      <w:proofErr w:type="spellStart"/>
      <w:r w:rsidRPr="009D5DD5">
        <w:rPr>
          <w:bCs/>
        </w:rPr>
        <w:t>Böger</w:t>
      </w:r>
      <w:proofErr w:type="spellEnd"/>
      <w:r w:rsidRPr="009D5DD5">
        <w:rPr>
          <w:bCs/>
        </w:rPr>
        <w:t xml:space="preserve"> 2003</w:t>
      </w:r>
      <w:r>
        <w:rPr>
          <w:bCs/>
        </w:rPr>
        <w:t xml:space="preserve">, </w:t>
      </w:r>
      <w:proofErr w:type="spellStart"/>
      <w:r w:rsidRPr="009D5DD5">
        <w:rPr>
          <w:bCs/>
        </w:rPr>
        <w:t>Vallotton</w:t>
      </w:r>
      <w:proofErr w:type="spellEnd"/>
      <w:r w:rsidRPr="009D5DD5">
        <w:rPr>
          <w:bCs/>
        </w:rPr>
        <w:t xml:space="preserve"> et al. 2008).</w:t>
      </w:r>
    </w:p>
    <w:p w14:paraId="6E99913C" w14:textId="1A5395DA" w:rsidR="00E10C01" w:rsidRDefault="00E10C01" w:rsidP="00E10C01">
      <w:pPr>
        <w:pStyle w:val="Heading3"/>
      </w:pPr>
      <w:bookmarkStart w:id="8" w:name="_Toc33094989"/>
      <w:r w:rsidRPr="00E10C01">
        <w:t>Toxicity</w:t>
      </w:r>
      <w:bookmarkEnd w:id="8"/>
    </w:p>
    <w:p w14:paraId="13A87A21" w14:textId="0EB2DADF" w:rsidR="00E10C01" w:rsidRPr="00E10C01" w:rsidRDefault="00E10C01" w:rsidP="00E10C01">
      <w:r>
        <w:t>A summary of the acceptable quality raw chronic and acute toxicity data for all freshwater species that passed the quality assurance</w:t>
      </w:r>
      <w:r w:rsidR="00662E4C">
        <w:t xml:space="preserve"> and screening</w:t>
      </w:r>
      <w:r>
        <w:t xml:space="preserve"> processes are provided in</w:t>
      </w:r>
      <w:r w:rsidR="00C8137B">
        <w:t xml:space="preserve"> Section </w:t>
      </w:r>
      <w:r w:rsidR="00C8137B">
        <w:fldChar w:fldCharType="begin"/>
      </w:r>
      <w:r w:rsidR="00C8137B">
        <w:instrText xml:space="preserve"> REF _Ref25935138 \r \h </w:instrText>
      </w:r>
      <w:r w:rsidR="00C8137B">
        <w:fldChar w:fldCharType="separate"/>
      </w:r>
      <w:r w:rsidR="002825D7">
        <w:t>2.2.1</w:t>
      </w:r>
      <w:r w:rsidR="00C8137B">
        <w:fldChar w:fldCharType="end"/>
      </w:r>
      <w:r w:rsidR="00C8137B">
        <w:t xml:space="preserve"> </w:t>
      </w:r>
      <w:r w:rsidR="00503212">
        <w:t>and Section</w:t>
      </w:r>
      <w:r w:rsidR="00C8137B">
        <w:t> </w:t>
      </w:r>
      <w:r w:rsidR="00C8137B">
        <w:fldChar w:fldCharType="begin"/>
      </w:r>
      <w:r w:rsidR="00C8137B">
        <w:instrText xml:space="preserve"> REF _Ref25935174 \r \h </w:instrText>
      </w:r>
      <w:r w:rsidR="00C8137B">
        <w:fldChar w:fldCharType="separate"/>
      </w:r>
      <w:r w:rsidR="002825D7">
        <w:t>2.2.2</w:t>
      </w:r>
      <w:r w:rsidR="00C8137B">
        <w:fldChar w:fldCharType="end"/>
      </w:r>
      <w:r>
        <w:t>, respectively.</w:t>
      </w:r>
    </w:p>
    <w:p w14:paraId="4DCF4DEC" w14:textId="5FA15785" w:rsidR="001C0D1C" w:rsidRPr="00812269" w:rsidRDefault="00812269" w:rsidP="00E10C01">
      <w:pPr>
        <w:pStyle w:val="Heading4"/>
      </w:pPr>
      <w:bookmarkStart w:id="9" w:name="_Ref18492831"/>
      <w:bookmarkStart w:id="10" w:name="_Ref25935138"/>
      <w:r w:rsidRPr="00812269">
        <w:t>Freshwater chronic</w:t>
      </w:r>
      <w:bookmarkEnd w:id="9"/>
      <w:r w:rsidR="000372BB">
        <w:t xml:space="preserve"> toxicity data</w:t>
      </w:r>
      <w:bookmarkEnd w:id="10"/>
    </w:p>
    <w:p w14:paraId="43A87F31" w14:textId="1CCA4D02" w:rsidR="005E6F65" w:rsidRDefault="00812269" w:rsidP="00BF0280">
      <w:pPr>
        <w:rPr>
          <w:bCs/>
        </w:rPr>
      </w:pPr>
      <w:r w:rsidRPr="00812269">
        <w:rPr>
          <w:bCs/>
        </w:rPr>
        <w:t xml:space="preserve">There were freshwater chronic toxicity data for one fish, one </w:t>
      </w:r>
      <w:proofErr w:type="spellStart"/>
      <w:r w:rsidRPr="00812269">
        <w:rPr>
          <w:bCs/>
        </w:rPr>
        <w:t>cladoceran</w:t>
      </w:r>
      <w:proofErr w:type="spellEnd"/>
      <w:r w:rsidRPr="00812269">
        <w:rPr>
          <w:bCs/>
        </w:rPr>
        <w:t>, four macrophytes and 18</w:t>
      </w:r>
      <w:r w:rsidR="005E6F65">
        <w:rPr>
          <w:bCs/>
        </w:rPr>
        <w:t> </w:t>
      </w:r>
      <w:r w:rsidRPr="00812269">
        <w:rPr>
          <w:bCs/>
        </w:rPr>
        <w:t>microalgae.</w:t>
      </w:r>
    </w:p>
    <w:p w14:paraId="37EC7C73" w14:textId="488527CA" w:rsidR="005E6F65" w:rsidRPr="005E6F65" w:rsidRDefault="00812269" w:rsidP="00BF0280">
      <w:pPr>
        <w:rPr>
          <w:bCs/>
        </w:rPr>
      </w:pPr>
      <w:r w:rsidRPr="005E6F65">
        <w:rPr>
          <w:bCs/>
        </w:rPr>
        <w:t>The toxicity data for fish consisted of</w:t>
      </w:r>
      <w:r w:rsidR="005E6F65" w:rsidRPr="005E6F65">
        <w:rPr>
          <w:bCs/>
        </w:rPr>
        <w:t>:</w:t>
      </w:r>
    </w:p>
    <w:p w14:paraId="101D19B7" w14:textId="37544175" w:rsidR="005E6F65" w:rsidRDefault="00812269" w:rsidP="005E6F65">
      <w:pPr>
        <w:pStyle w:val="ListBullet"/>
      </w:pPr>
      <w:r w:rsidRPr="005E6F65">
        <w:t>a 35-day LOEC (mortality) value of 1</w:t>
      </w:r>
      <w:r w:rsidR="005E6F65">
        <w:t> </w:t>
      </w:r>
      <w:r w:rsidRPr="005E6F65">
        <w:t>600</w:t>
      </w:r>
      <w:r w:rsidR="005E6F65">
        <w:t> </w:t>
      </w:r>
      <w:r w:rsidRPr="005E6F65">
        <w:t>µg/L.</w:t>
      </w:r>
    </w:p>
    <w:p w14:paraId="7BFD34B9" w14:textId="365FED83" w:rsidR="005E6F65" w:rsidRDefault="00812269" w:rsidP="005E6F65">
      <w:r w:rsidRPr="005E6F65">
        <w:t xml:space="preserve">The toxicity data for the single </w:t>
      </w:r>
      <w:proofErr w:type="spellStart"/>
      <w:r w:rsidRPr="005E6F65">
        <w:t>cladoceran</w:t>
      </w:r>
      <w:proofErr w:type="spellEnd"/>
      <w:r w:rsidRPr="005E6F65">
        <w:t xml:space="preserve"> species were</w:t>
      </w:r>
      <w:r w:rsidR="005E6F65">
        <w:t>:</w:t>
      </w:r>
    </w:p>
    <w:p w14:paraId="38C4C8C4" w14:textId="1927836C" w:rsidR="005E6F65" w:rsidRDefault="00812269" w:rsidP="005E6F65">
      <w:pPr>
        <w:pStyle w:val="ListBullet"/>
      </w:pPr>
      <w:r w:rsidRPr="005E6F65">
        <w:t>21-day NOEC (length, longevity, broods per female, young per female) values ranging from 500</w:t>
      </w:r>
      <w:r w:rsidR="00B60283">
        <w:t> </w:t>
      </w:r>
      <w:r w:rsidR="00B60283" w:rsidRPr="005E6F65">
        <w:t>µg/L</w:t>
      </w:r>
      <w:r w:rsidRPr="005E6F65">
        <w:t xml:space="preserve"> to 15</w:t>
      </w:r>
      <w:r w:rsidR="00B60283">
        <w:t> </w:t>
      </w:r>
      <w:r w:rsidRPr="005E6F65">
        <w:t>000</w:t>
      </w:r>
      <w:r w:rsidR="00B60283">
        <w:t> </w:t>
      </w:r>
      <w:r w:rsidRPr="005E6F65">
        <w:t>µg/L</w:t>
      </w:r>
    </w:p>
    <w:p w14:paraId="4D1E9609" w14:textId="1BE98EFE" w:rsidR="005E6F65" w:rsidRDefault="00812269" w:rsidP="005E6F65">
      <w:pPr>
        <w:pStyle w:val="ListBullet"/>
      </w:pPr>
      <w:r w:rsidRPr="005E6F65">
        <w:t>21-day LOEC (immobilisation, length, longevity, broods per female, young per female) values ranging from 10</w:t>
      </w:r>
      <w:r w:rsidR="00B60283">
        <w:t> </w:t>
      </w:r>
      <w:r w:rsidR="00B60283" w:rsidRPr="005E6F65">
        <w:t>µg/L</w:t>
      </w:r>
      <w:r w:rsidRPr="005E6F65">
        <w:t xml:space="preserve"> to 10</w:t>
      </w:r>
      <w:r w:rsidR="00B60283">
        <w:t> </w:t>
      </w:r>
      <w:r w:rsidRPr="005E6F65">
        <w:t>000</w:t>
      </w:r>
      <w:r w:rsidR="00B60283">
        <w:t> </w:t>
      </w:r>
      <w:r w:rsidRPr="005E6F65">
        <w:t>µg/L</w:t>
      </w:r>
    </w:p>
    <w:p w14:paraId="14D86481" w14:textId="6A1F680F" w:rsidR="005E6F65" w:rsidRDefault="00812269" w:rsidP="005E6F65">
      <w:pPr>
        <w:pStyle w:val="ListBullet"/>
      </w:pPr>
      <w:r w:rsidRPr="005E6F65">
        <w:lastRenderedPageBreak/>
        <w:t>two 21-day EC10 (young per female) values of 100</w:t>
      </w:r>
      <w:r w:rsidR="00B60283">
        <w:t> </w:t>
      </w:r>
      <w:r w:rsidR="00B60283" w:rsidRPr="005E6F65">
        <w:t>µg/L</w:t>
      </w:r>
      <w:r w:rsidRPr="005E6F65">
        <w:t xml:space="preserve"> and 500</w:t>
      </w:r>
      <w:r w:rsidR="00B60283">
        <w:t> </w:t>
      </w:r>
      <w:r w:rsidRPr="005E6F65">
        <w:t>µg/L</w:t>
      </w:r>
    </w:p>
    <w:p w14:paraId="7478F253" w14:textId="51E7F3B8" w:rsidR="005E6F65" w:rsidRDefault="00812269" w:rsidP="005E6F65">
      <w:pPr>
        <w:pStyle w:val="ListBullet"/>
      </w:pPr>
      <w:r w:rsidRPr="005E6F65">
        <w:t>a 21-day EC50 (immobilisation) value of 12</w:t>
      </w:r>
      <w:r w:rsidR="00B60283">
        <w:t> </w:t>
      </w:r>
      <w:r w:rsidRPr="005E6F65">
        <w:t>400</w:t>
      </w:r>
      <w:r w:rsidR="00B60283">
        <w:t> </w:t>
      </w:r>
      <w:r w:rsidRPr="005E6F65">
        <w:t>µg/L.</w:t>
      </w:r>
    </w:p>
    <w:p w14:paraId="0336C23A" w14:textId="4A7DC5BD" w:rsidR="005E6F65" w:rsidRDefault="00812269" w:rsidP="005E6F65">
      <w:r w:rsidRPr="005E6F65">
        <w:t>The toxicity values for macrophytes were</w:t>
      </w:r>
      <w:r w:rsidR="005E6F65">
        <w:t>:</w:t>
      </w:r>
    </w:p>
    <w:p w14:paraId="64F7BCF8" w14:textId="5617D314" w:rsidR="005E6F65" w:rsidRDefault="00812269" w:rsidP="005E6F65">
      <w:pPr>
        <w:pStyle w:val="ListBullet"/>
      </w:pPr>
      <w:r w:rsidRPr="005E6F65">
        <w:t>a 14-day NOEL (frond number) value of 8.4</w:t>
      </w:r>
      <w:r w:rsidR="00B60283">
        <w:t> </w:t>
      </w:r>
      <w:r w:rsidRPr="005E6F65">
        <w:t>µg/L</w:t>
      </w:r>
    </w:p>
    <w:p w14:paraId="5A21E9BA" w14:textId="6B0983EC" w:rsidR="005E6F65" w:rsidRDefault="00812269" w:rsidP="005E6F65">
      <w:pPr>
        <w:pStyle w:val="ListBullet"/>
      </w:pPr>
      <w:r w:rsidRPr="005E6F65">
        <w:t>14-day EC50 (frond number, dry weight, frond area, wet weight) values ranging from 48</w:t>
      </w:r>
      <w:r w:rsidR="00B60283">
        <w:t> </w:t>
      </w:r>
      <w:r w:rsidR="00B60283" w:rsidRPr="005E6F65">
        <w:t>µg/L</w:t>
      </w:r>
      <w:r w:rsidRPr="005E6F65">
        <w:t xml:space="preserve"> to 2</w:t>
      </w:r>
      <w:r w:rsidR="00B60283">
        <w:t> </w:t>
      </w:r>
      <w:r w:rsidRPr="005E6F65">
        <w:t>360</w:t>
      </w:r>
      <w:r w:rsidR="00B60283">
        <w:t> </w:t>
      </w:r>
      <w:r w:rsidRPr="005E6F65">
        <w:t xml:space="preserve">µg/L. </w:t>
      </w:r>
    </w:p>
    <w:p w14:paraId="2A3C05B9" w14:textId="77777777" w:rsidR="005E6F65" w:rsidRDefault="00812269" w:rsidP="005E6F65">
      <w:r w:rsidRPr="005E6F65">
        <w:t>The toxicity values for microalgae were</w:t>
      </w:r>
      <w:r w:rsidR="005E6F65">
        <w:t>:</w:t>
      </w:r>
    </w:p>
    <w:p w14:paraId="71C954A3" w14:textId="6716F6E2" w:rsidR="005E6F65" w:rsidRDefault="00812269" w:rsidP="005E6F65">
      <w:pPr>
        <w:pStyle w:val="ListBullet"/>
      </w:pPr>
      <w:r w:rsidRPr="005E6F65">
        <w:t>48-hour EC50 (chlorophyll-a content, cell density) values ranging from 2.3</w:t>
      </w:r>
      <w:r w:rsidR="00EC06E7">
        <w:t> </w:t>
      </w:r>
      <w:r w:rsidR="00EC06E7" w:rsidRPr="005E6F65">
        <w:t>µg/L</w:t>
      </w:r>
      <w:r w:rsidRPr="005E6F65">
        <w:t xml:space="preserve"> to 241</w:t>
      </w:r>
      <w:r w:rsidR="00EC06E7">
        <w:t> </w:t>
      </w:r>
      <w:r w:rsidRPr="005E6F65">
        <w:t>µg/L</w:t>
      </w:r>
    </w:p>
    <w:p w14:paraId="2C846169" w14:textId="770A2992" w:rsidR="005E6F65" w:rsidRDefault="00812269" w:rsidP="005E6F65">
      <w:pPr>
        <w:pStyle w:val="ListBullet"/>
      </w:pPr>
      <w:r w:rsidRPr="005E6F65">
        <w:t>two 72-hour NOEC (cell density) values of 25</w:t>
      </w:r>
      <w:r w:rsidR="00EC06E7">
        <w:t> </w:t>
      </w:r>
      <w:r w:rsidR="00EC06E7" w:rsidRPr="005E6F65">
        <w:t>µg/L</w:t>
      </w:r>
      <w:r w:rsidRPr="005E6F65">
        <w:t xml:space="preserve"> and 30</w:t>
      </w:r>
      <w:r w:rsidR="00EC06E7">
        <w:t> </w:t>
      </w:r>
      <w:r w:rsidRPr="005E6F65">
        <w:t>µg/L</w:t>
      </w:r>
    </w:p>
    <w:p w14:paraId="4153FE50" w14:textId="2ED21374" w:rsidR="005E6F65" w:rsidRDefault="00812269" w:rsidP="005E6F65">
      <w:pPr>
        <w:pStyle w:val="ListBullet"/>
      </w:pPr>
      <w:r w:rsidRPr="005E6F65">
        <w:t>a 72-hour LOEC (cell density) value of 77</w:t>
      </w:r>
      <w:r w:rsidR="00EC06E7">
        <w:t> </w:t>
      </w:r>
      <w:r w:rsidRPr="005E6F65">
        <w:t>µg/L</w:t>
      </w:r>
    </w:p>
    <w:p w14:paraId="73D04BCF" w14:textId="75A09A20" w:rsidR="005E6F65" w:rsidRDefault="00812269" w:rsidP="005E6F65">
      <w:pPr>
        <w:pStyle w:val="ListBullet"/>
      </w:pPr>
      <w:r w:rsidRPr="005E6F65">
        <w:t>72-hour EC50 (cell density, chlorophyll-a content) values ranging from 44.3</w:t>
      </w:r>
      <w:r w:rsidR="00EC06E7">
        <w:t> </w:t>
      </w:r>
      <w:r w:rsidR="00EC06E7" w:rsidRPr="005E6F65">
        <w:t>µg/L</w:t>
      </w:r>
      <w:r w:rsidRPr="005E6F65">
        <w:t xml:space="preserve"> to 177</w:t>
      </w:r>
      <w:r w:rsidR="00EC06E7">
        <w:t> </w:t>
      </w:r>
      <w:r w:rsidRPr="005E6F65">
        <w:t>µg/L</w:t>
      </w:r>
    </w:p>
    <w:p w14:paraId="2D157CED" w14:textId="2D45BA9B" w:rsidR="005E6F65" w:rsidRDefault="00812269" w:rsidP="005E6F65">
      <w:pPr>
        <w:pStyle w:val="ListBullet"/>
      </w:pPr>
      <w:r w:rsidRPr="005E6F65">
        <w:t>96-hour EC5 (cell density) values ranging from 5.38</w:t>
      </w:r>
      <w:r w:rsidR="00EC06E7">
        <w:t> </w:t>
      </w:r>
      <w:r w:rsidR="00EC06E7" w:rsidRPr="005E6F65">
        <w:t>µg/L</w:t>
      </w:r>
      <w:r w:rsidRPr="005E6F65">
        <w:t xml:space="preserve"> to 5</w:t>
      </w:r>
      <w:r w:rsidR="00EC06E7">
        <w:t> </w:t>
      </w:r>
      <w:r w:rsidRPr="005E6F65">
        <w:t>960</w:t>
      </w:r>
      <w:r w:rsidR="00EC06E7">
        <w:t> </w:t>
      </w:r>
      <w:r w:rsidRPr="005E6F65">
        <w:t>µg/L</w:t>
      </w:r>
    </w:p>
    <w:p w14:paraId="6DC4A756" w14:textId="6714A53F" w:rsidR="005E6F65" w:rsidRDefault="00812269" w:rsidP="005E6F65">
      <w:pPr>
        <w:pStyle w:val="ListBullet"/>
      </w:pPr>
      <w:r w:rsidRPr="005E6F65">
        <w:t>96-hour EC10 (cell density, chlorophyll-a content) values ranging from 27</w:t>
      </w:r>
      <w:r w:rsidR="00EC06E7">
        <w:t> </w:t>
      </w:r>
      <w:r w:rsidR="00EC06E7" w:rsidRPr="005E6F65">
        <w:t>µg/L</w:t>
      </w:r>
      <w:r w:rsidRPr="005E6F65">
        <w:t xml:space="preserve"> to 112</w:t>
      </w:r>
      <w:r w:rsidR="00EC06E7">
        <w:t> </w:t>
      </w:r>
      <w:r w:rsidRPr="005E6F65">
        <w:t>000</w:t>
      </w:r>
      <w:r w:rsidR="00EC06E7">
        <w:t> </w:t>
      </w:r>
      <w:r w:rsidRPr="005E6F65">
        <w:t>µg/L</w:t>
      </w:r>
    </w:p>
    <w:p w14:paraId="3E071558" w14:textId="24868B4F" w:rsidR="005E6F65" w:rsidRDefault="00812269" w:rsidP="005E6F65">
      <w:pPr>
        <w:pStyle w:val="ListBullet"/>
      </w:pPr>
      <w:r w:rsidRPr="005E6F65">
        <w:t>two 96-hour NOEC (chlorophyll-a content) values of 1</w:t>
      </w:r>
      <w:r w:rsidR="00EC06E7">
        <w:rPr>
          <w:b/>
        </w:rPr>
        <w:t> </w:t>
      </w:r>
      <w:r w:rsidR="00EC06E7" w:rsidRPr="005E6F65">
        <w:t>µg/L</w:t>
      </w:r>
      <w:r w:rsidRPr="005E6F65">
        <w:t xml:space="preserve"> and 38</w:t>
      </w:r>
      <w:r w:rsidR="00EC06E7">
        <w:t> </w:t>
      </w:r>
      <w:r w:rsidRPr="005E6F65">
        <w:t>µg/L</w:t>
      </w:r>
    </w:p>
    <w:p w14:paraId="6866CB9F" w14:textId="2F3F254B" w:rsidR="005E6F65" w:rsidRDefault="00812269" w:rsidP="005E6F65">
      <w:pPr>
        <w:pStyle w:val="ListBullet"/>
      </w:pPr>
      <w:r w:rsidRPr="005E6F65">
        <w:t>96-hour LOEC (chlorophyll-a content, chlorophyll-b content) values ranging from 1</w:t>
      </w:r>
      <w:r w:rsidR="00EC06E7">
        <w:t> </w:t>
      </w:r>
      <w:r w:rsidR="00EC06E7" w:rsidRPr="005E6F65">
        <w:t>µg/L</w:t>
      </w:r>
      <w:r w:rsidRPr="005E6F65">
        <w:t xml:space="preserve"> to 75</w:t>
      </w:r>
      <w:r w:rsidR="00EC06E7">
        <w:t> </w:t>
      </w:r>
      <w:r w:rsidRPr="005E6F65">
        <w:t>µg/L</w:t>
      </w:r>
    </w:p>
    <w:p w14:paraId="3DF7DC3E" w14:textId="589B201A" w:rsidR="005E6F65" w:rsidRDefault="00812269" w:rsidP="005E6F65">
      <w:pPr>
        <w:pStyle w:val="ListBullet"/>
      </w:pPr>
      <w:r w:rsidRPr="005E6F65">
        <w:t>96-hour EC50 (cell density, chlorophyll-a content) values ranging from 68</w:t>
      </w:r>
      <w:r w:rsidR="00EC06E7">
        <w:t> </w:t>
      </w:r>
      <w:r w:rsidR="00EC06E7" w:rsidRPr="005E6F65">
        <w:t>µg/L</w:t>
      </w:r>
      <w:r w:rsidRPr="005E6F65">
        <w:t xml:space="preserve"> to </w:t>
      </w:r>
      <w:r w:rsidR="003951AE">
        <w:t>310 0</w:t>
      </w:r>
      <w:r w:rsidRPr="005E6F65">
        <w:t>00 µg/L</w:t>
      </w:r>
    </w:p>
    <w:p w14:paraId="04323536" w14:textId="522B6D72" w:rsidR="005E6F65" w:rsidRDefault="00812269" w:rsidP="005E6F65">
      <w:pPr>
        <w:pStyle w:val="ListBullet"/>
      </w:pPr>
      <w:r w:rsidRPr="005E6F65">
        <w:t>5-day EC50 (biomass yield, growth rate, area under the growth curve) values ranging from 10</w:t>
      </w:r>
      <w:r w:rsidR="00EC06E7">
        <w:t> </w:t>
      </w:r>
      <w:r w:rsidR="00EC06E7" w:rsidRPr="005E6F65">
        <w:t>µg/L</w:t>
      </w:r>
      <w:r w:rsidRPr="005E6F65">
        <w:t xml:space="preserve"> to 1</w:t>
      </w:r>
      <w:r w:rsidR="00EC06E7">
        <w:t> </w:t>
      </w:r>
      <w:r w:rsidRPr="005E6F65">
        <w:t>200</w:t>
      </w:r>
      <w:r w:rsidR="00EC06E7">
        <w:t> </w:t>
      </w:r>
      <w:r w:rsidRPr="005E6F65">
        <w:t>µg/L</w:t>
      </w:r>
    </w:p>
    <w:p w14:paraId="6FE51F89" w14:textId="67128CBF" w:rsidR="005E6F65" w:rsidRDefault="00812269" w:rsidP="005E6F65">
      <w:pPr>
        <w:pStyle w:val="ListBullet"/>
      </w:pPr>
      <w:r w:rsidRPr="005E6F65">
        <w:t>7-day NOEC (live cell density, chlorophyll-a content) values of 1</w:t>
      </w:r>
      <w:r w:rsidR="00EC06E7">
        <w:t> </w:t>
      </w:r>
      <w:r w:rsidR="00EC06E7" w:rsidRPr="005E6F65">
        <w:t>µg/L</w:t>
      </w:r>
      <w:r w:rsidRPr="005E6F65">
        <w:t xml:space="preserve"> and 10</w:t>
      </w:r>
      <w:r w:rsidR="00EC06E7">
        <w:t> </w:t>
      </w:r>
      <w:r w:rsidRPr="005E6F65">
        <w:t>µg/L, respectively</w:t>
      </w:r>
    </w:p>
    <w:p w14:paraId="776105A9" w14:textId="4DAE6F86" w:rsidR="00812269" w:rsidRPr="005E6F65" w:rsidRDefault="00812269" w:rsidP="005E6F65">
      <w:pPr>
        <w:pStyle w:val="ListBullet"/>
      </w:pPr>
      <w:r w:rsidRPr="005E6F65">
        <w:t>7-day LOEC (live cell density, chlorophyll-a content) values of 10</w:t>
      </w:r>
      <w:r w:rsidR="00EC06E7">
        <w:t> </w:t>
      </w:r>
      <w:r w:rsidR="00EC06E7" w:rsidRPr="005E6F65">
        <w:t>µg/L</w:t>
      </w:r>
      <w:r w:rsidRPr="005E6F65">
        <w:t xml:space="preserve"> and 100</w:t>
      </w:r>
      <w:r w:rsidR="00EC06E7">
        <w:t> </w:t>
      </w:r>
      <w:r w:rsidRPr="005E6F65">
        <w:t>µg/L, respectively.</w:t>
      </w:r>
    </w:p>
    <w:p w14:paraId="4D5BA95C" w14:textId="59068976" w:rsidR="00BF0280" w:rsidRPr="00812269" w:rsidRDefault="00812269" w:rsidP="00E10C01">
      <w:pPr>
        <w:pStyle w:val="Heading4"/>
      </w:pPr>
      <w:bookmarkStart w:id="11" w:name="_Ref18492849"/>
      <w:bookmarkStart w:id="12" w:name="_Ref25935174"/>
      <w:r w:rsidRPr="00812269">
        <w:t>Freshwater acute</w:t>
      </w:r>
      <w:bookmarkEnd w:id="11"/>
      <w:r w:rsidR="000372BB">
        <w:t xml:space="preserve"> toxicity data</w:t>
      </w:r>
      <w:bookmarkEnd w:id="12"/>
    </w:p>
    <w:p w14:paraId="466D80FE" w14:textId="77777777" w:rsidR="001B5212" w:rsidRDefault="00812269" w:rsidP="00BF0280">
      <w:pPr>
        <w:rPr>
          <w:bCs/>
        </w:rPr>
      </w:pPr>
      <w:r w:rsidRPr="00812269">
        <w:rPr>
          <w:bCs/>
        </w:rPr>
        <w:t xml:space="preserve">There were freshwater acute toxicity data for six fish, two </w:t>
      </w:r>
      <w:proofErr w:type="spellStart"/>
      <w:r w:rsidRPr="00812269">
        <w:rPr>
          <w:bCs/>
        </w:rPr>
        <w:t>cladocerans</w:t>
      </w:r>
      <w:proofErr w:type="spellEnd"/>
      <w:r w:rsidRPr="00812269">
        <w:rPr>
          <w:bCs/>
        </w:rPr>
        <w:t xml:space="preserve">, two insects, one macrophyte and two microalgae. </w:t>
      </w:r>
    </w:p>
    <w:p w14:paraId="2F89236A" w14:textId="77777777" w:rsidR="001B5212" w:rsidRPr="001B5212" w:rsidRDefault="00812269" w:rsidP="00BF0280">
      <w:pPr>
        <w:rPr>
          <w:bCs/>
        </w:rPr>
      </w:pPr>
      <w:r w:rsidRPr="001B5212">
        <w:rPr>
          <w:bCs/>
        </w:rPr>
        <w:t>The fish toxicity data consisted of</w:t>
      </w:r>
      <w:r w:rsidR="001B5212" w:rsidRPr="001B5212">
        <w:rPr>
          <w:bCs/>
        </w:rPr>
        <w:t>:</w:t>
      </w:r>
    </w:p>
    <w:p w14:paraId="652443F4" w14:textId="37F95659" w:rsidR="001B5212" w:rsidRDefault="00812269" w:rsidP="001B5212">
      <w:pPr>
        <w:pStyle w:val="ListBullet"/>
      </w:pPr>
      <w:r w:rsidRPr="001B5212">
        <w:t>96-hour LOEL (mortality) values ranging from 2</w:t>
      </w:r>
      <w:r w:rsidR="00E82678">
        <w:t> </w:t>
      </w:r>
      <w:r w:rsidRPr="001B5212">
        <w:t>100</w:t>
      </w:r>
      <w:r w:rsidR="00E82678">
        <w:t> </w:t>
      </w:r>
      <w:r w:rsidR="00E82678" w:rsidRPr="005E6F65">
        <w:t>µg/L</w:t>
      </w:r>
      <w:r w:rsidRPr="001B5212">
        <w:t xml:space="preserve"> to 6</w:t>
      </w:r>
      <w:r w:rsidR="00E82678">
        <w:t> </w:t>
      </w:r>
      <w:r w:rsidRPr="001B5212">
        <w:t>500</w:t>
      </w:r>
      <w:r w:rsidR="00E82678">
        <w:t> </w:t>
      </w:r>
      <w:r w:rsidRPr="001B5212">
        <w:t>µg/L</w:t>
      </w:r>
    </w:p>
    <w:p w14:paraId="7FFD437D" w14:textId="73727908" w:rsidR="001B5212" w:rsidRDefault="00812269" w:rsidP="001B5212">
      <w:pPr>
        <w:pStyle w:val="ListBullet"/>
      </w:pPr>
      <w:r w:rsidRPr="001B5212">
        <w:t>96-hour LC50 (mortality) values ranging from 3</w:t>
      </w:r>
      <w:r w:rsidR="00E82678">
        <w:t> </w:t>
      </w:r>
      <w:r w:rsidRPr="001B5212">
        <w:t>900</w:t>
      </w:r>
      <w:r w:rsidR="00E82678">
        <w:t> </w:t>
      </w:r>
      <w:r w:rsidR="00E82678" w:rsidRPr="005E6F65">
        <w:t>µg/L</w:t>
      </w:r>
      <w:r w:rsidRPr="001B5212">
        <w:t xml:space="preserve"> to 10</w:t>
      </w:r>
      <w:r w:rsidR="00E82678">
        <w:t> </w:t>
      </w:r>
      <w:r w:rsidRPr="001B5212">
        <w:t>000</w:t>
      </w:r>
      <w:r w:rsidR="00E82678">
        <w:t> </w:t>
      </w:r>
      <w:r w:rsidRPr="001B5212">
        <w:t>µg/L.</w:t>
      </w:r>
    </w:p>
    <w:p w14:paraId="1DE3C3A2" w14:textId="099A2CE8" w:rsidR="001B5212" w:rsidRDefault="00812269" w:rsidP="001B5212">
      <w:r w:rsidRPr="001B5212">
        <w:t xml:space="preserve">The toxicity values for the </w:t>
      </w:r>
      <w:proofErr w:type="spellStart"/>
      <w:r w:rsidRPr="001B5212">
        <w:t>cladoceran</w:t>
      </w:r>
      <w:proofErr w:type="spellEnd"/>
      <w:r w:rsidRPr="001B5212">
        <w:t xml:space="preserve"> species were</w:t>
      </w:r>
      <w:r w:rsidR="001B5212">
        <w:t>:</w:t>
      </w:r>
    </w:p>
    <w:p w14:paraId="130D170F" w14:textId="7AB983A3" w:rsidR="001B5212" w:rsidRDefault="00812269" w:rsidP="001B5212">
      <w:pPr>
        <w:pStyle w:val="ListBullet"/>
      </w:pPr>
      <w:r w:rsidRPr="001B5212">
        <w:t>two 24-hour LC50 (mortality) values of 51</w:t>
      </w:r>
      <w:r w:rsidR="00E82678">
        <w:t> </w:t>
      </w:r>
      <w:r w:rsidRPr="001B5212">
        <w:t>200</w:t>
      </w:r>
      <w:r w:rsidR="00E82678">
        <w:t> </w:t>
      </w:r>
      <w:r w:rsidR="00E82678" w:rsidRPr="005E6F65">
        <w:t>µg/L</w:t>
      </w:r>
      <w:r w:rsidRPr="001B5212">
        <w:t xml:space="preserve"> and 69</w:t>
      </w:r>
      <w:r w:rsidR="00E82678">
        <w:t> </w:t>
      </w:r>
      <w:r w:rsidRPr="001B5212">
        <w:t>400</w:t>
      </w:r>
      <w:r w:rsidR="00E82678">
        <w:t> </w:t>
      </w:r>
      <w:r w:rsidRPr="001B5212">
        <w:t>µg/L</w:t>
      </w:r>
    </w:p>
    <w:p w14:paraId="6F8FF17C" w14:textId="39FC0FBB" w:rsidR="001B5212" w:rsidRDefault="00812269" w:rsidP="001B5212">
      <w:pPr>
        <w:pStyle w:val="ListBullet"/>
      </w:pPr>
      <w:r w:rsidRPr="001B5212">
        <w:t>48-hour EC50 (immobilisation) values ranging from 22</w:t>
      </w:r>
      <w:r w:rsidR="00E82678">
        <w:t> </w:t>
      </w:r>
      <w:r w:rsidRPr="001B5212">
        <w:t>300</w:t>
      </w:r>
      <w:r w:rsidR="00E82678">
        <w:t> </w:t>
      </w:r>
      <w:r w:rsidR="00E82678" w:rsidRPr="005E6F65">
        <w:t>µg/L</w:t>
      </w:r>
      <w:r w:rsidRPr="001B5212">
        <w:t xml:space="preserve"> to 26</w:t>
      </w:r>
      <w:r w:rsidR="00E82678">
        <w:t> </w:t>
      </w:r>
      <w:r w:rsidRPr="001B5212">
        <w:t>000</w:t>
      </w:r>
      <w:r w:rsidR="00E82678">
        <w:t> </w:t>
      </w:r>
      <w:r w:rsidRPr="001B5212">
        <w:t>µg/L</w:t>
      </w:r>
    </w:p>
    <w:p w14:paraId="4D4934EB" w14:textId="15F45B05" w:rsidR="001B5212" w:rsidRDefault="00812269" w:rsidP="001B5212">
      <w:pPr>
        <w:pStyle w:val="ListBullet"/>
      </w:pPr>
      <w:r w:rsidRPr="001B5212">
        <w:t>a 48-hour LC50 (mortality) value of 1</w:t>
      </w:r>
      <w:r w:rsidR="00E82678">
        <w:t> </w:t>
      </w:r>
      <w:r w:rsidRPr="001B5212">
        <w:t>950</w:t>
      </w:r>
      <w:r w:rsidR="00E82678">
        <w:t> </w:t>
      </w:r>
      <w:r w:rsidRPr="001B5212">
        <w:t>µg/L.</w:t>
      </w:r>
    </w:p>
    <w:p w14:paraId="21D570DD" w14:textId="5A547960" w:rsidR="001B5212" w:rsidRDefault="00812269" w:rsidP="001B5212">
      <w:r w:rsidRPr="001B5212">
        <w:t>The toxicity values for insects consisted of</w:t>
      </w:r>
      <w:r w:rsidR="001B5212">
        <w:t>:</w:t>
      </w:r>
    </w:p>
    <w:p w14:paraId="7BD20ABE" w14:textId="75C1384E" w:rsidR="001B5212" w:rsidRDefault="00812269" w:rsidP="001B5212">
      <w:pPr>
        <w:pStyle w:val="ListBullet"/>
      </w:pPr>
      <w:r w:rsidRPr="001B5212">
        <w:t>two 48-hour LC50 (immobilisation) values of 3</w:t>
      </w:r>
      <w:r w:rsidR="0085494E">
        <w:t> </w:t>
      </w:r>
      <w:r w:rsidRPr="001B5212">
        <w:t>800</w:t>
      </w:r>
      <w:r w:rsidR="0085494E">
        <w:t> </w:t>
      </w:r>
      <w:r w:rsidR="0085494E" w:rsidRPr="005E6F65">
        <w:t>µg/L</w:t>
      </w:r>
      <w:r w:rsidRPr="001B5212">
        <w:t xml:space="preserve"> and 4</w:t>
      </w:r>
      <w:r w:rsidR="0085494E">
        <w:t> </w:t>
      </w:r>
      <w:r w:rsidRPr="001B5212">
        <w:t>400</w:t>
      </w:r>
      <w:r w:rsidR="0085494E">
        <w:t> </w:t>
      </w:r>
      <w:r w:rsidRPr="001B5212">
        <w:t>µg/L</w:t>
      </w:r>
    </w:p>
    <w:p w14:paraId="5E884757" w14:textId="1099FFC6" w:rsidR="001B5212" w:rsidRDefault="00812269" w:rsidP="001B5212">
      <w:pPr>
        <w:pStyle w:val="ListBullet"/>
      </w:pPr>
      <w:r w:rsidRPr="001B5212">
        <w:t>72-hour NOEC, EC58 and LOEC (immobilisation) values of 100</w:t>
      </w:r>
      <w:r w:rsidR="0085494E">
        <w:t> </w:t>
      </w:r>
      <w:r w:rsidR="0085494E" w:rsidRPr="005E6F65">
        <w:t>µg/L</w:t>
      </w:r>
      <w:r w:rsidRPr="001B5212">
        <w:t>, 1</w:t>
      </w:r>
      <w:r w:rsidR="0085494E">
        <w:t> </w:t>
      </w:r>
      <w:r w:rsidRPr="001B5212">
        <w:t>000</w:t>
      </w:r>
      <w:r w:rsidR="0085494E">
        <w:t> </w:t>
      </w:r>
      <w:r w:rsidR="0085494E" w:rsidRPr="005E6F65">
        <w:t>µg/L</w:t>
      </w:r>
      <w:r w:rsidRPr="001B5212">
        <w:t xml:space="preserve"> and 1</w:t>
      </w:r>
      <w:r w:rsidR="0085494E">
        <w:t> </w:t>
      </w:r>
      <w:r w:rsidRPr="001B5212">
        <w:t>000</w:t>
      </w:r>
      <w:r w:rsidR="0085494E">
        <w:t> </w:t>
      </w:r>
      <w:r w:rsidRPr="001B5212">
        <w:t xml:space="preserve">µg/L, respectively. </w:t>
      </w:r>
    </w:p>
    <w:p w14:paraId="1937C1E0" w14:textId="7EF616EF" w:rsidR="001B5212" w:rsidRDefault="00812269" w:rsidP="001B5212">
      <w:r w:rsidRPr="001B5212">
        <w:lastRenderedPageBreak/>
        <w:t xml:space="preserve">The toxicity values for </w:t>
      </w:r>
      <w:r w:rsidR="00E82678">
        <w:t xml:space="preserve">the </w:t>
      </w:r>
      <w:r w:rsidRPr="001B5212">
        <w:t>macrophyte were</w:t>
      </w:r>
      <w:r w:rsidR="001B5212">
        <w:t>:</w:t>
      </w:r>
    </w:p>
    <w:p w14:paraId="4E211C53" w14:textId="7FB88E91" w:rsidR="001B5212" w:rsidRDefault="00812269" w:rsidP="001B5212">
      <w:pPr>
        <w:pStyle w:val="ListBullet"/>
      </w:pPr>
      <w:r w:rsidRPr="001B5212">
        <w:t>96-hour NOEC and EC50 (frond number) values of 187</w:t>
      </w:r>
      <w:r w:rsidR="0085494E">
        <w:t> </w:t>
      </w:r>
      <w:r w:rsidR="0085494E" w:rsidRPr="005E6F65">
        <w:t>µg/L</w:t>
      </w:r>
      <w:r w:rsidRPr="001B5212">
        <w:t xml:space="preserve"> and 343</w:t>
      </w:r>
      <w:r w:rsidR="0085494E">
        <w:t> </w:t>
      </w:r>
      <w:r w:rsidRPr="001B5212">
        <w:t>µg/L, respectively</w:t>
      </w:r>
    </w:p>
    <w:p w14:paraId="620E8101" w14:textId="66425F30" w:rsidR="001B5212" w:rsidRDefault="00812269" w:rsidP="001B5212">
      <w:pPr>
        <w:pStyle w:val="ListBullet"/>
      </w:pPr>
      <w:r w:rsidRPr="001B5212">
        <w:t>a 96-hour EC50 (wet weight) value of 360</w:t>
      </w:r>
      <w:r w:rsidR="0085494E">
        <w:t> </w:t>
      </w:r>
      <w:r w:rsidRPr="001B5212">
        <w:t>µg/L.</w:t>
      </w:r>
    </w:p>
    <w:p w14:paraId="5098AC9A" w14:textId="1B4AA0B6" w:rsidR="001B5212" w:rsidRDefault="00812269" w:rsidP="001B5212">
      <w:r w:rsidRPr="001B5212">
        <w:t xml:space="preserve">The toxicity values for microalgae </w:t>
      </w:r>
      <w:r w:rsidR="001B5212">
        <w:t>were:</w:t>
      </w:r>
    </w:p>
    <w:p w14:paraId="1149E586" w14:textId="1B70BF4E" w:rsidR="001B5212" w:rsidRDefault="00812269" w:rsidP="001B5212">
      <w:pPr>
        <w:pStyle w:val="ListBullet"/>
      </w:pPr>
      <w:r w:rsidRPr="001B5212">
        <w:t>a 24-hour NOEC (cell density) value of 120</w:t>
      </w:r>
      <w:r w:rsidR="0085494E">
        <w:t> </w:t>
      </w:r>
      <w:r w:rsidR="0085494E" w:rsidRPr="005E6F65">
        <w:t>µg/L</w:t>
      </w:r>
    </w:p>
    <w:p w14:paraId="52CC4228" w14:textId="19042BA7" w:rsidR="001B5212" w:rsidRDefault="00812269" w:rsidP="001B5212">
      <w:pPr>
        <w:pStyle w:val="ListBullet"/>
      </w:pPr>
      <w:r w:rsidRPr="001B5212">
        <w:t>24-hour EC50 (cell density) values ranging from 5.5</w:t>
      </w:r>
      <w:r w:rsidR="0085494E">
        <w:t> </w:t>
      </w:r>
      <w:r w:rsidR="0085494E" w:rsidRPr="005E6F65">
        <w:t>µg/L</w:t>
      </w:r>
      <w:r w:rsidRPr="001B5212">
        <w:t xml:space="preserve"> to 341</w:t>
      </w:r>
      <w:r w:rsidR="0085494E">
        <w:t> </w:t>
      </w:r>
      <w:r w:rsidRPr="001B5212">
        <w:t xml:space="preserve">µg/L. </w:t>
      </w:r>
    </w:p>
    <w:p w14:paraId="60529BFF" w14:textId="21D49DD8" w:rsidR="00812269" w:rsidRPr="001B5212" w:rsidRDefault="00812269" w:rsidP="001B5212">
      <w:r w:rsidRPr="001B5212">
        <w:t xml:space="preserve">As stated in Warne et al. (2018), acute EC10/NOEC and LOEC values should not be converted to chronic EC10/NOEC values and have not been used to derive </w:t>
      </w:r>
      <w:r w:rsidR="0085494E">
        <w:t>default guideline values (</w:t>
      </w:r>
      <w:r w:rsidRPr="001B5212">
        <w:t>DGVs</w:t>
      </w:r>
      <w:r w:rsidR="0085494E">
        <w:t>)</w:t>
      </w:r>
      <w:r w:rsidRPr="001B5212">
        <w:t>.</w:t>
      </w:r>
    </w:p>
    <w:p w14:paraId="22D8B396" w14:textId="0157188C" w:rsidR="00A47617" w:rsidRPr="00AE7845" w:rsidRDefault="00A47617" w:rsidP="00A47617">
      <w:pPr>
        <w:pStyle w:val="Heading2"/>
      </w:pPr>
      <w:bookmarkStart w:id="13" w:name="_Toc33094990"/>
      <w:r>
        <w:t>Factors affecting toxicity</w:t>
      </w:r>
      <w:bookmarkEnd w:id="13"/>
    </w:p>
    <w:p w14:paraId="63584DED" w14:textId="51711970" w:rsidR="00812269" w:rsidRDefault="00812269" w:rsidP="00A47617">
      <w:r w:rsidRPr="00812269">
        <w:t>No factors have been reported as modifying the toxicity of metolachlor. As with many organic chemicals</w:t>
      </w:r>
      <w:r w:rsidR="00AC1E70">
        <w:t>,</w:t>
      </w:r>
      <w:r w:rsidRPr="00812269">
        <w:t xml:space="preserve"> it might be expected that dissolved and particulate organic matter and suspended solids would affect its bioavailability and toxicity. However, any such effect would be relatively minor given the relatively low log</w:t>
      </w:r>
      <w:r w:rsidR="00AC1E70">
        <w:t> </w:t>
      </w:r>
      <w:proofErr w:type="spellStart"/>
      <w:r w:rsidRPr="00812269">
        <w:t>K</w:t>
      </w:r>
      <w:r w:rsidRPr="00812269">
        <w:rPr>
          <w:vertAlign w:val="subscript"/>
        </w:rPr>
        <w:t>oc</w:t>
      </w:r>
      <w:proofErr w:type="spellEnd"/>
      <w:r w:rsidRPr="00812269">
        <w:t xml:space="preserve"> value of metolachlor (</w:t>
      </w:r>
      <w:r w:rsidR="00EE27B3">
        <w:fldChar w:fldCharType="begin"/>
      </w:r>
      <w:r w:rsidR="00EE27B3">
        <w:instrText xml:space="preserve"> REF _Ref18492575 \h </w:instrText>
      </w:r>
      <w:r w:rsidR="00EE27B3">
        <w:fldChar w:fldCharType="separate"/>
      </w:r>
      <w:r w:rsidR="002825D7">
        <w:t>Table </w:t>
      </w:r>
      <w:r w:rsidR="002825D7">
        <w:rPr>
          <w:noProof/>
        </w:rPr>
        <w:t>1</w:t>
      </w:r>
      <w:r w:rsidR="00EE27B3">
        <w:fldChar w:fldCharType="end"/>
      </w:r>
      <w:r w:rsidRPr="00812269">
        <w:t>).</w:t>
      </w:r>
    </w:p>
    <w:p w14:paraId="496E4DB8" w14:textId="51F6D880" w:rsidR="00BF0280" w:rsidRDefault="00A47617" w:rsidP="00A47617">
      <w:pPr>
        <w:pStyle w:val="Heading2"/>
      </w:pPr>
      <w:bookmarkStart w:id="14" w:name="_Toc33094991"/>
      <w:r>
        <w:t>Default guideline value derivation</w:t>
      </w:r>
      <w:bookmarkEnd w:id="14"/>
    </w:p>
    <w:p w14:paraId="59D60AE6" w14:textId="0CDE4C69" w:rsidR="00A47617" w:rsidRDefault="00152462" w:rsidP="00A47617">
      <w:sdt>
        <w:sdtPr>
          <w:rPr>
            <w:bCs/>
          </w:rPr>
          <w:alias w:val="Compulsary - text and location locked to 4."/>
          <w:tag w:val="Compulsary - text and location locked"/>
          <w:id w:val="1416975399"/>
          <w:placeholder>
            <w:docPart w:val="B20CCC024575420DB346A2897E1BFAA1"/>
          </w:placeholder>
          <w:text/>
        </w:sdtPr>
        <w:sdtEndPr/>
        <w:sdtContent>
          <w:r w:rsidR="0064344A" w:rsidRPr="0064344A">
            <w:rPr>
              <w:bCs/>
            </w:rPr>
            <w:t>The DGVs were derived in accordance with the method described in Warne et al. (2018) and using Burrlioz 2.0 software. Although some decisions on data selection/manipulation may reflect the Warne et al. (2015) method rather than the Warne et al. (2018) method, these were found to have no material effect on the final DGVs.</w:t>
          </w:r>
        </w:sdtContent>
      </w:sdt>
    </w:p>
    <w:p w14:paraId="59A27BA5" w14:textId="0ECAAAD1" w:rsidR="00BF0280" w:rsidRPr="00241F6F" w:rsidRDefault="001303C0" w:rsidP="001303C0">
      <w:pPr>
        <w:pStyle w:val="Heading3"/>
      </w:pPr>
      <w:bookmarkStart w:id="15" w:name="_Toc19186746"/>
      <w:bookmarkStart w:id="16" w:name="_Toc19186747"/>
      <w:bookmarkStart w:id="17" w:name="_Toc19186783"/>
      <w:bookmarkStart w:id="18" w:name="_Toc33094992"/>
      <w:bookmarkEnd w:id="15"/>
      <w:bookmarkEnd w:id="16"/>
      <w:bookmarkEnd w:id="17"/>
      <w:r w:rsidRPr="00241F6F">
        <w:t>Toxicity data used in derivation</w:t>
      </w:r>
      <w:bookmarkEnd w:id="18"/>
    </w:p>
    <w:p w14:paraId="410D022B" w14:textId="6C191B07" w:rsidR="00241F6F" w:rsidRDefault="00241F6F" w:rsidP="009D5E4A">
      <w:pPr>
        <w:spacing w:after="160"/>
      </w:pPr>
      <w:r>
        <w:t>The previous Australian and New Zealand DGV for metolachlor in freshwater environments was a low reliability value (using the ANZECC</w:t>
      </w:r>
      <w:r w:rsidR="00066946">
        <w:t>/</w:t>
      </w:r>
      <w:r>
        <w:t xml:space="preserve">ARMCANZ </w:t>
      </w:r>
      <w:r w:rsidR="00066946">
        <w:t>(</w:t>
      </w:r>
      <w:r>
        <w:t>2000</w:t>
      </w:r>
      <w:r w:rsidR="00066946">
        <w:t>)</w:t>
      </w:r>
      <w:r>
        <w:t xml:space="preserve"> reliability scheme) as it was based on one acute toxicity value for a freshwater fish species, </w:t>
      </w:r>
      <w:proofErr w:type="spellStart"/>
      <w:r w:rsidRPr="00241F6F">
        <w:rPr>
          <w:rStyle w:val="Emphasis"/>
        </w:rPr>
        <w:t>Poecilia</w:t>
      </w:r>
      <w:proofErr w:type="spellEnd"/>
      <w:r w:rsidRPr="00241F6F">
        <w:rPr>
          <w:rStyle w:val="Emphasis"/>
        </w:rPr>
        <w:t xml:space="preserve"> reticulata</w:t>
      </w:r>
      <w:r>
        <w:t xml:space="preserve"> (Warne 200</w:t>
      </w:r>
      <w:r w:rsidR="00066946">
        <w:t>1</w:t>
      </w:r>
      <w:r>
        <w:t>). This value was calculated using the assessment factor method, dividing the lowest acute toxicity value of 20</w:t>
      </w:r>
      <w:r w:rsidR="00066946">
        <w:t> </w:t>
      </w:r>
      <w:r>
        <w:t>µg/L by an assessment factor of 1 000 (Warne 200</w:t>
      </w:r>
      <w:r w:rsidR="00066946">
        <w:t>1</w:t>
      </w:r>
      <w:r>
        <w:t xml:space="preserve">). Under the new method </w:t>
      </w:r>
      <w:r w:rsidR="007B2FA9">
        <w:t>for deriving DGVs (Warne et al. </w:t>
      </w:r>
      <w:r>
        <w:t>2018)</w:t>
      </w:r>
      <w:r w:rsidR="00066946">
        <w:t>,</w:t>
      </w:r>
      <w:r>
        <w:t xml:space="preserve"> this value would be classified as having an ‘unknown’ reliability.</w:t>
      </w:r>
    </w:p>
    <w:p w14:paraId="2B18FD4B" w14:textId="062125AB" w:rsidR="00241F6F" w:rsidRDefault="00241F6F" w:rsidP="009D5E4A">
      <w:pPr>
        <w:spacing w:after="160"/>
      </w:pPr>
      <w:r>
        <w:t xml:space="preserve">To obtain toxicity data for metolachlor to freshwater organisms, an extensive search of the scientific literature was conducted. In addition, the </w:t>
      </w:r>
      <w:proofErr w:type="spellStart"/>
      <w:r w:rsidR="00CE421D" w:rsidRPr="00CE421D">
        <w:t>ECOTOXicology</w:t>
      </w:r>
      <w:proofErr w:type="spellEnd"/>
      <w:r w:rsidR="00CE421D" w:rsidRPr="00CE421D">
        <w:t xml:space="preserve"> Database System </w:t>
      </w:r>
      <w:r>
        <w:t>(USEPA 2015a), Office of Pesticide Program</w:t>
      </w:r>
      <w:r w:rsidR="00E05920">
        <w:t>s</w:t>
      </w:r>
      <w:r w:rsidR="003A5099">
        <w:t xml:space="preserve"> database</w:t>
      </w:r>
      <w:r>
        <w:t xml:space="preserve"> (USEPA 2015b), the Australasian Ecoto</w:t>
      </w:r>
      <w:r w:rsidR="007B2FA9">
        <w:t>xicology Database (Warne et al. </w:t>
      </w:r>
      <w:r>
        <w:t>1998) and the ANZECC</w:t>
      </w:r>
      <w:r w:rsidR="00E05920">
        <w:t>/</w:t>
      </w:r>
      <w:r>
        <w:t xml:space="preserve">ARMCANZ </w:t>
      </w:r>
      <w:r w:rsidR="003A5099">
        <w:t xml:space="preserve">(2000) </w:t>
      </w:r>
      <w:r>
        <w:t>toxicant databases (</w:t>
      </w:r>
      <w:proofErr w:type="spellStart"/>
      <w:r>
        <w:t>Sunderam</w:t>
      </w:r>
      <w:proofErr w:type="spellEnd"/>
      <w:r>
        <w:t xml:space="preserve"> et al. 2000) were searched. There are now considerably more metolachlor </w:t>
      </w:r>
      <w:r w:rsidR="003A5099">
        <w:t xml:space="preserve">chronic </w:t>
      </w:r>
      <w:r>
        <w:t xml:space="preserve">toxicity data available </w:t>
      </w:r>
      <w:r w:rsidR="003A5099">
        <w:t xml:space="preserve">to </w:t>
      </w:r>
      <w:r>
        <w:t xml:space="preserve">enable the </w:t>
      </w:r>
      <w:r w:rsidR="00D50462">
        <w:t>deriv</w:t>
      </w:r>
      <w:r>
        <w:t>ation of DGVs in freshwater</w:t>
      </w:r>
      <w:r w:rsidR="003A5099">
        <w:t xml:space="preserve"> based on chronic toxicity</w:t>
      </w:r>
      <w:r>
        <w:t xml:space="preserve">. </w:t>
      </w:r>
    </w:p>
    <w:p w14:paraId="78B9FFA2" w14:textId="6BE4811A" w:rsidR="00241F6F" w:rsidRDefault="0055638D" w:rsidP="009D5E4A">
      <w:pPr>
        <w:spacing w:after="160"/>
      </w:pPr>
      <w:r>
        <w:t>T</w:t>
      </w:r>
      <w:r w:rsidR="00241F6F">
        <w:t xml:space="preserve">here were freshwater toxicity data for 30 species (six phyla and 11 classes) that passed the quality assessment </w:t>
      </w:r>
      <w:r w:rsidR="003A5099">
        <w:t xml:space="preserve">and screening </w:t>
      </w:r>
      <w:r w:rsidR="00241F6F">
        <w:t xml:space="preserve">processes. The represented phyla were </w:t>
      </w:r>
      <w:r w:rsidR="000744EE">
        <w:t>Arthropoda</w:t>
      </w:r>
      <w:r w:rsidR="00241F6F">
        <w:t xml:space="preserve">, </w:t>
      </w:r>
      <w:r w:rsidR="000744EE">
        <w:t>Bacillariophyta</w:t>
      </w:r>
      <w:r>
        <w:t xml:space="preserve">, </w:t>
      </w:r>
      <w:r w:rsidR="000744EE">
        <w:t>Chlorophyta</w:t>
      </w:r>
      <w:r>
        <w:t xml:space="preserve">, </w:t>
      </w:r>
      <w:r w:rsidR="000744EE">
        <w:t>Chordata</w:t>
      </w:r>
      <w:r>
        <w:t xml:space="preserve">, </w:t>
      </w:r>
      <w:r w:rsidR="000744EE">
        <w:t xml:space="preserve">Cyanobacteria </w:t>
      </w:r>
      <w:r>
        <w:t xml:space="preserve">and </w:t>
      </w:r>
      <w:proofErr w:type="spellStart"/>
      <w:r w:rsidR="000744EE">
        <w:t>Tracheophyta</w:t>
      </w:r>
      <w:proofErr w:type="spellEnd"/>
      <w:r w:rsidR="00241F6F">
        <w:t xml:space="preserve">. The 11 classes were </w:t>
      </w:r>
      <w:r w:rsidR="00AD21B8">
        <w:t xml:space="preserve">Actinopterygii </w:t>
      </w:r>
      <w:r w:rsidR="00241F6F">
        <w:t xml:space="preserve">(which accounts for approximately 99% of fish), </w:t>
      </w:r>
      <w:r w:rsidR="00AD21B8">
        <w:t xml:space="preserve">Bacillariophyceae </w:t>
      </w:r>
      <w:r w:rsidR="00241F6F">
        <w:t xml:space="preserve">(diatoms; a major grouping of algae), </w:t>
      </w:r>
      <w:r w:rsidR="00AD21B8">
        <w:lastRenderedPageBreak/>
        <w:t xml:space="preserve">Branchiopoda </w:t>
      </w:r>
      <w:r w:rsidR="00241F6F">
        <w:t xml:space="preserve">(a grouping of crustaceans), </w:t>
      </w:r>
      <w:r w:rsidR="00AD21B8">
        <w:t xml:space="preserve">Chlorophyceae </w:t>
      </w:r>
      <w:r w:rsidR="00241F6F">
        <w:t xml:space="preserve">(a major grouping of freshwater green algae), </w:t>
      </w:r>
      <w:proofErr w:type="spellStart"/>
      <w:r w:rsidR="00AD21B8">
        <w:t>Cyanophyceae</w:t>
      </w:r>
      <w:proofErr w:type="spellEnd"/>
      <w:r w:rsidR="00AD21B8">
        <w:t xml:space="preserve"> </w:t>
      </w:r>
      <w:r w:rsidR="00241F6F">
        <w:t xml:space="preserve">(a class of </w:t>
      </w:r>
      <w:r w:rsidR="00AD21B8">
        <w:t>Cyanobacteria</w:t>
      </w:r>
      <w:r w:rsidR="00241F6F">
        <w:t xml:space="preserve">), </w:t>
      </w:r>
      <w:proofErr w:type="spellStart"/>
      <w:r w:rsidR="00AD21B8">
        <w:t>Fragilariophyceae</w:t>
      </w:r>
      <w:proofErr w:type="spellEnd"/>
      <w:r w:rsidR="00AD21B8">
        <w:t xml:space="preserve"> </w:t>
      </w:r>
      <w:r w:rsidR="00241F6F">
        <w:t xml:space="preserve">(a grouping of pennate diatoms), </w:t>
      </w:r>
      <w:proofErr w:type="spellStart"/>
      <w:r w:rsidR="00AD21B8">
        <w:t>Insecta</w:t>
      </w:r>
      <w:proofErr w:type="spellEnd"/>
      <w:r w:rsidR="00AD21B8">
        <w:t xml:space="preserve"> </w:t>
      </w:r>
      <w:r w:rsidR="00241F6F">
        <w:t xml:space="preserve">(invertebrates), </w:t>
      </w:r>
      <w:proofErr w:type="spellStart"/>
      <w:r w:rsidR="00AD21B8">
        <w:t>Liliopsida</w:t>
      </w:r>
      <w:proofErr w:type="spellEnd"/>
      <w:r w:rsidR="00AD21B8">
        <w:t xml:space="preserve"> </w:t>
      </w:r>
      <w:r w:rsidR="00241F6F">
        <w:t xml:space="preserve">(monocots), </w:t>
      </w:r>
      <w:r w:rsidR="00AD21B8">
        <w:t xml:space="preserve">Magnoliopsida </w:t>
      </w:r>
      <w:r w:rsidR="00241F6F">
        <w:t xml:space="preserve">(dicots), </w:t>
      </w:r>
      <w:proofErr w:type="spellStart"/>
      <w:r w:rsidR="00AD21B8">
        <w:t>Mediophyceae</w:t>
      </w:r>
      <w:proofErr w:type="spellEnd"/>
      <w:r w:rsidR="00AD21B8">
        <w:t xml:space="preserve"> </w:t>
      </w:r>
      <w:r w:rsidR="00241F6F">
        <w:t xml:space="preserve">(another algae grouping) and </w:t>
      </w:r>
      <w:proofErr w:type="spellStart"/>
      <w:r w:rsidR="00AD21B8">
        <w:t>Trebouxiophyceae</w:t>
      </w:r>
      <w:proofErr w:type="spellEnd"/>
      <w:r w:rsidR="00AD21B8">
        <w:t xml:space="preserve"> </w:t>
      </w:r>
      <w:r w:rsidR="00241F6F">
        <w:t>(another grouping of green algae).</w:t>
      </w:r>
      <w:r w:rsidR="003A5099">
        <w:t xml:space="preserve"> </w:t>
      </w:r>
      <w:r w:rsidR="00841F08">
        <w:rPr>
          <w:bCs/>
        </w:rPr>
        <w:t xml:space="preserve">Chronic toxicity data were available for 21 of the 30 species, comprising 19 phototrophs and two heterotrophs, while acute toxicity data only were available for nine species, </w:t>
      </w:r>
      <w:r w:rsidR="008A1B9A">
        <w:rPr>
          <w:bCs/>
        </w:rPr>
        <w:t>comprising one phototroph and eight heterotrophs</w:t>
      </w:r>
      <w:r w:rsidR="00841F08">
        <w:rPr>
          <w:bCs/>
        </w:rPr>
        <w:t>.</w:t>
      </w:r>
    </w:p>
    <w:p w14:paraId="1290DE71" w14:textId="087F19DE" w:rsidR="00241F6F" w:rsidRDefault="00241F6F" w:rsidP="009D5E4A">
      <w:pPr>
        <w:spacing w:after="160"/>
      </w:pPr>
      <w:r>
        <w:t xml:space="preserve">Based on the current understanding of the mode of action of metolachlor, it </w:t>
      </w:r>
      <w:r w:rsidR="0081081F">
        <w:t>is</w:t>
      </w:r>
      <w:r>
        <w:t xml:space="preserve"> expected that phototrophic species would be more sensitive than non-phototrophic</w:t>
      </w:r>
      <w:r w:rsidR="007A1821">
        <w:t xml:space="preserve"> (i.e. heterotrophic)</w:t>
      </w:r>
      <w:r>
        <w:t xml:space="preserve"> species, as metolachlor binds to and interferes with the FAE1-synthase enzyme </w:t>
      </w:r>
      <w:r w:rsidR="0081081F">
        <w:t xml:space="preserve">that </w:t>
      </w:r>
      <w:r>
        <w:t xml:space="preserve">is part of the normal metabolism of plants and algae. </w:t>
      </w:r>
      <w:r w:rsidR="00130887">
        <w:t>However, a</w:t>
      </w:r>
      <w:r w:rsidR="00A3580A">
        <w:t xml:space="preserve"> modality assessment of the metolachlor freshwater toxicity data, undertaken according to the approach described by Warne et al. (2015), concluded that the data were unimodal, with no significant difference between the sensitivity of phototrophic and </w:t>
      </w:r>
      <w:r w:rsidR="007A1821">
        <w:t>heter</w:t>
      </w:r>
      <w:r w:rsidR="00A3580A">
        <w:t xml:space="preserve">otrophic species (see </w:t>
      </w:r>
      <w:r w:rsidR="00EE27B3">
        <w:fldChar w:fldCharType="begin"/>
      </w:r>
      <w:r w:rsidR="00EE27B3">
        <w:instrText xml:space="preserve"> REF _Ref18493581 \h </w:instrText>
      </w:r>
      <w:r w:rsidR="00EE27B3">
        <w:fldChar w:fldCharType="separate"/>
      </w:r>
      <w:r w:rsidR="002825D7">
        <w:t>Appendix</w:t>
      </w:r>
      <w:r w:rsidR="002825D7" w:rsidRPr="00337A6C">
        <w:t xml:space="preserve"> B</w:t>
      </w:r>
      <w:r w:rsidR="002825D7">
        <w:t>:</w:t>
      </w:r>
      <w:r w:rsidR="002825D7" w:rsidRPr="00337A6C">
        <w:t xml:space="preserve"> </w:t>
      </w:r>
      <w:r w:rsidR="002825D7" w:rsidRPr="00A4302F">
        <w:rPr>
          <w:iCs/>
          <w:lang w:bidi="en-US"/>
        </w:rPr>
        <w:t xml:space="preserve">Modality assessment for </w:t>
      </w:r>
      <w:r w:rsidR="002825D7">
        <w:rPr>
          <w:iCs/>
          <w:lang w:bidi="en-US"/>
        </w:rPr>
        <w:t>metolachlor</w:t>
      </w:r>
      <w:r w:rsidR="002825D7" w:rsidRPr="00A4302F">
        <w:rPr>
          <w:iCs/>
          <w:lang w:bidi="en-US"/>
        </w:rPr>
        <w:t xml:space="preserve"> toxicity to freshwater</w:t>
      </w:r>
      <w:r w:rsidR="002825D7" w:rsidRPr="00A4302F">
        <w:rPr>
          <w:b/>
          <w:iCs/>
          <w:lang w:bidi="en-US"/>
        </w:rPr>
        <w:t xml:space="preserve"> </w:t>
      </w:r>
      <w:r w:rsidR="002825D7" w:rsidRPr="00C66A1A">
        <w:t>species</w:t>
      </w:r>
      <w:r w:rsidR="00EE27B3">
        <w:fldChar w:fldCharType="end"/>
      </w:r>
      <w:r w:rsidR="00580332">
        <w:t xml:space="preserve"> </w:t>
      </w:r>
      <w:r w:rsidR="00A3580A">
        <w:t xml:space="preserve">for details). </w:t>
      </w:r>
      <w:r>
        <w:t>Therefore, as recommended by Warne et al. (2018), the data for both phototrophs and heterotrophs were combined to calculate the DGVs for metolachlor in freshwater.</w:t>
      </w:r>
    </w:p>
    <w:p w14:paraId="74E91458" w14:textId="66A09D94" w:rsidR="00CD6AF0" w:rsidRDefault="00A3580A" w:rsidP="009D5E4A">
      <w:pPr>
        <w:spacing w:after="160"/>
      </w:pPr>
      <w:r>
        <w:t>Of the 21 freshwater species for which there were acceptable chronic toxicity data, t</w:t>
      </w:r>
      <w:r w:rsidRPr="003B13DB" w:rsidDel="00B71394">
        <w:t>here</w:t>
      </w:r>
      <w:r>
        <w:t xml:space="preserve"> </w:t>
      </w:r>
      <w:r w:rsidR="00241F6F">
        <w:t xml:space="preserve">were chronic EC10, NOEC </w:t>
      </w:r>
      <w:r w:rsidR="00130887">
        <w:t>or</w:t>
      </w:r>
      <w:r w:rsidR="00241F6F">
        <w:t xml:space="preserve"> NOEL data for 13 species belong</w:t>
      </w:r>
      <w:r w:rsidR="00130887">
        <w:t>ing</w:t>
      </w:r>
      <w:r w:rsidR="00241F6F">
        <w:t xml:space="preserve"> to four phyla and seven classes</w:t>
      </w:r>
      <w:r>
        <w:t>,</w:t>
      </w:r>
      <w:r w:rsidR="00241F6F">
        <w:t xml:space="preserve"> </w:t>
      </w:r>
      <w:r>
        <w:t>which</w:t>
      </w:r>
      <w:r w:rsidR="001718C1">
        <w:t xml:space="preserve"> met </w:t>
      </w:r>
      <w:r w:rsidR="00241F6F">
        <w:t>the minimum data requirements (i.e. at least five species belonging to at least four phyla) to use a</w:t>
      </w:r>
      <w:r w:rsidR="001718C1">
        <w:t xml:space="preserve"> species sensitivity distribution</w:t>
      </w:r>
      <w:r w:rsidR="00241F6F">
        <w:t xml:space="preserve"> </w:t>
      </w:r>
      <w:r w:rsidR="001718C1">
        <w:t>(</w:t>
      </w:r>
      <w:r w:rsidR="00241F6F">
        <w:t>SSD</w:t>
      </w:r>
      <w:r w:rsidR="001718C1">
        <w:t>)</w:t>
      </w:r>
      <w:r w:rsidR="00241F6F">
        <w:t xml:space="preserve"> to derive DGV</w:t>
      </w:r>
      <w:r>
        <w:t>s</w:t>
      </w:r>
      <w:r w:rsidR="00241F6F">
        <w:t xml:space="preserve"> (Warne et al. 2018). However, because the resulting fit of the </w:t>
      </w:r>
      <w:r>
        <w:t xml:space="preserve">model </w:t>
      </w:r>
      <w:r w:rsidR="00B40A79">
        <w:t>to</w:t>
      </w:r>
      <w:r>
        <w:t xml:space="preserve"> this dataset </w:t>
      </w:r>
      <w:r w:rsidR="00241F6F">
        <w:t xml:space="preserve">was poor, the </w:t>
      </w:r>
      <w:r w:rsidR="00B40A79">
        <w:t xml:space="preserve">effect of adding the chronic values based on LOECs and EC50s (converted to estimated chronic NOEC/EC10 equivalents) for the additional eight species was assessed. The fit of the model to the chronic toxicity dataset for 21 species (belonging to six phyla and </w:t>
      </w:r>
      <w:r w:rsidR="00453F80">
        <w:t>10</w:t>
      </w:r>
      <w:r w:rsidR="00B40A79">
        <w:t xml:space="preserve"> classes) was good</w:t>
      </w:r>
      <w:r w:rsidR="00453F80">
        <w:t>;</w:t>
      </w:r>
      <w:r w:rsidR="00B40A79">
        <w:t xml:space="preserve"> hence, this dataset was used to derive the DGVs</w:t>
      </w:r>
      <w:r w:rsidR="00241F6F">
        <w:t xml:space="preserve"> (refer to </w:t>
      </w:r>
      <w:r w:rsidR="00037688">
        <w:fldChar w:fldCharType="begin"/>
      </w:r>
      <w:r w:rsidR="00037688">
        <w:instrText xml:space="preserve"> REF _Ref18493636 \h </w:instrText>
      </w:r>
      <w:r w:rsidR="00037688">
        <w:fldChar w:fldCharType="separate"/>
      </w:r>
      <w:r w:rsidR="002825D7">
        <w:t>Appendix</w:t>
      </w:r>
      <w:r w:rsidR="002825D7" w:rsidRPr="00F75B78">
        <w:t xml:space="preserve"> C</w:t>
      </w:r>
      <w:r w:rsidR="002825D7">
        <w:t>:</w:t>
      </w:r>
      <w:r w:rsidR="002825D7" w:rsidRPr="00F75B78">
        <w:t xml:space="preserve"> Rationale for </w:t>
      </w:r>
      <w:r w:rsidR="002825D7">
        <w:t>selecting the final dataset</w:t>
      </w:r>
      <w:r w:rsidR="002825D7" w:rsidRPr="00C66A1A">
        <w:t xml:space="preserve"> for deriving the default guideline values for metolachlor in freshwater</w:t>
      </w:r>
      <w:r w:rsidR="00037688">
        <w:fldChar w:fldCharType="end"/>
      </w:r>
      <w:r w:rsidR="00AD21B8">
        <w:t xml:space="preserve"> </w:t>
      </w:r>
      <w:r w:rsidR="00241F6F">
        <w:t xml:space="preserve">for further </w:t>
      </w:r>
      <w:r w:rsidR="00B40A79">
        <w:t>details of this assessment</w:t>
      </w:r>
      <w:r w:rsidR="00241F6F">
        <w:t xml:space="preserve">). </w:t>
      </w:r>
      <w:r w:rsidR="00CD6AF0">
        <w:t>A summary of the toxicity data (one value per species) used to calculate the DGVs for metolachlor in freshwater is provided in</w:t>
      </w:r>
      <w:r w:rsidR="00EE27B3">
        <w:t xml:space="preserve"> </w:t>
      </w:r>
      <w:r w:rsidR="00EE27B3">
        <w:fldChar w:fldCharType="begin"/>
      </w:r>
      <w:r w:rsidR="00EE27B3">
        <w:instrText xml:space="preserve"> REF _Ref25934536 \h </w:instrText>
      </w:r>
      <w:r w:rsidR="00EE27B3">
        <w:fldChar w:fldCharType="separate"/>
      </w:r>
      <w:r w:rsidR="002825D7">
        <w:t>Table </w:t>
      </w:r>
      <w:r w:rsidR="002825D7">
        <w:rPr>
          <w:noProof/>
        </w:rPr>
        <w:t>2</w:t>
      </w:r>
      <w:r w:rsidR="00EE27B3">
        <w:fldChar w:fldCharType="end"/>
      </w:r>
      <w:r w:rsidR="00CD6AF0">
        <w:t xml:space="preserve">. </w:t>
      </w:r>
      <w:r w:rsidR="00CD6AF0" w:rsidRPr="003A0E6B">
        <w:t xml:space="preserve">Further details on the data that passed the quality </w:t>
      </w:r>
      <w:r w:rsidR="00CD6AF0">
        <w:t>assessment and screening process and were</w:t>
      </w:r>
      <w:r w:rsidR="00CD6AF0" w:rsidRPr="003A0E6B">
        <w:t xml:space="preserve"> used to derive</w:t>
      </w:r>
      <w:r w:rsidR="00CD6AF0">
        <w:t xml:space="preserve"> </w:t>
      </w:r>
      <w:r w:rsidR="00CD6AF0" w:rsidRPr="003A0E6B">
        <w:t>the DGVs</w:t>
      </w:r>
      <w:r w:rsidR="00CD6AF0">
        <w:t xml:space="preserve"> </w:t>
      </w:r>
      <w:r w:rsidR="00CD6AF0" w:rsidRPr="003A0E6B">
        <w:t xml:space="preserve">are presented in </w:t>
      </w:r>
      <w:r w:rsidR="00CD6AF0" w:rsidRPr="003A0E6B">
        <w:fldChar w:fldCharType="begin"/>
      </w:r>
      <w:r w:rsidR="00CD6AF0" w:rsidRPr="003A0E6B">
        <w:instrText xml:space="preserve"> REF _Ref528068976 \h  \* MERGEFORMAT </w:instrText>
      </w:r>
      <w:r w:rsidR="00CD6AF0" w:rsidRPr="003A0E6B">
        <w:fldChar w:fldCharType="separate"/>
      </w:r>
      <w:r w:rsidR="002825D7">
        <w:t>Appendix A</w:t>
      </w:r>
      <w:r w:rsidR="002825D7" w:rsidRPr="000E4B1E">
        <w:t>: Toxicity data that passed the screening and quality assessment</w:t>
      </w:r>
      <w:r w:rsidR="002825D7">
        <w:t xml:space="preserve"> and were used to derive the default guideline values</w:t>
      </w:r>
      <w:r w:rsidR="00CD6AF0" w:rsidRPr="003A0E6B">
        <w:fldChar w:fldCharType="end"/>
      </w:r>
      <w:r w:rsidR="00CD6AF0" w:rsidRPr="003A0E6B">
        <w:t>.</w:t>
      </w:r>
      <w:r w:rsidR="009D5E4A">
        <w:t xml:space="preserve"> </w:t>
      </w:r>
      <w:r w:rsidR="009D5E4A" w:rsidRPr="00152462">
        <w:t xml:space="preserve">Details of the </w:t>
      </w:r>
      <w:hyperlink r:id="rId24" w:history="1">
        <w:r w:rsidR="009D5E4A" w:rsidRPr="00152462">
          <w:rPr>
            <w:rStyle w:val="Hyperlink"/>
          </w:rPr>
          <w:t>data quality assessment</w:t>
        </w:r>
      </w:hyperlink>
      <w:r w:rsidR="009D5E4A" w:rsidRPr="00152462">
        <w:t xml:space="preserve"> and the </w:t>
      </w:r>
      <w:hyperlink r:id="rId25" w:history="1">
        <w:r w:rsidR="009D5E4A" w:rsidRPr="00152462">
          <w:rPr>
            <w:rStyle w:val="Hyperlink"/>
          </w:rPr>
          <w:t>data that passed the quality assessment</w:t>
        </w:r>
      </w:hyperlink>
      <w:r w:rsidR="009D5E4A" w:rsidRPr="00152462">
        <w:t xml:space="preserve"> are provided as supporting information.</w:t>
      </w:r>
    </w:p>
    <w:p w14:paraId="68F11AD9" w14:textId="2CEBC6A1" w:rsidR="00241F6F" w:rsidRDefault="00662E4C" w:rsidP="001303C0">
      <w:pPr>
        <w:spacing w:before="240"/>
      </w:pPr>
      <w:r w:rsidRPr="00812269">
        <w:t xml:space="preserve">To identify species that were regionally relevant to Australia and New Zealand ecosystems, a search of </w:t>
      </w:r>
      <w:proofErr w:type="spellStart"/>
      <w:r w:rsidRPr="00812269">
        <w:t>Algae</w:t>
      </w:r>
      <w:r>
        <w:t>B</w:t>
      </w:r>
      <w:r w:rsidRPr="00812269">
        <w:t>ase</w:t>
      </w:r>
      <w:proofErr w:type="spellEnd"/>
      <w:r w:rsidRPr="00812269">
        <w:t xml:space="preserve"> (</w:t>
      </w:r>
      <w:proofErr w:type="spellStart"/>
      <w:r w:rsidRPr="00812269">
        <w:t>Guiry</w:t>
      </w:r>
      <w:proofErr w:type="spellEnd"/>
      <w:r w:rsidRPr="00812269">
        <w:t xml:space="preserve"> </w:t>
      </w:r>
      <w:r>
        <w:t>&amp;</w:t>
      </w:r>
      <w:r w:rsidRPr="00812269">
        <w:t xml:space="preserve"> </w:t>
      </w:r>
      <w:proofErr w:type="spellStart"/>
      <w:r w:rsidRPr="00812269">
        <w:t>Guiry</w:t>
      </w:r>
      <w:proofErr w:type="spellEnd"/>
      <w:r w:rsidRPr="00812269">
        <w:t xml:space="preserve"> 2017), Atlas of Living Australia (ALA 2017), Catalogue of Life (</w:t>
      </w:r>
      <w:proofErr w:type="spellStart"/>
      <w:r w:rsidRPr="00812269">
        <w:t>Roskov</w:t>
      </w:r>
      <w:proofErr w:type="spellEnd"/>
      <w:r w:rsidRPr="00812269">
        <w:t xml:space="preserve"> et al. 2017), Integrated Taxonomic Information System (ITIS 2017) and the World Register of Marine Species (</w:t>
      </w:r>
      <w:proofErr w:type="spellStart"/>
      <w:r w:rsidRPr="00812269">
        <w:t>WoRMS</w:t>
      </w:r>
      <w:proofErr w:type="spellEnd"/>
      <w:r w:rsidRPr="00812269">
        <w:t xml:space="preserve"> 2017) was conducted. The dataset used in the </w:t>
      </w:r>
      <w:r>
        <w:t>DGV</w:t>
      </w:r>
      <w:r w:rsidRPr="00812269">
        <w:t xml:space="preserve"> derivation process for metolachlor in freshwater </w:t>
      </w:r>
      <w:r w:rsidR="000200A7">
        <w:t>(</w:t>
      </w:r>
      <w:r w:rsidR="00EE27B3">
        <w:fldChar w:fldCharType="begin"/>
      </w:r>
      <w:r w:rsidR="00EE27B3">
        <w:instrText xml:space="preserve"> REF _Ref25934536 \h </w:instrText>
      </w:r>
      <w:r w:rsidR="00EE27B3">
        <w:fldChar w:fldCharType="separate"/>
      </w:r>
      <w:r w:rsidR="002825D7">
        <w:t>Table </w:t>
      </w:r>
      <w:r w:rsidR="002825D7">
        <w:rPr>
          <w:noProof/>
        </w:rPr>
        <w:t>2</w:t>
      </w:r>
      <w:r w:rsidR="00EE27B3">
        <w:fldChar w:fldCharType="end"/>
      </w:r>
      <w:r w:rsidR="000200A7">
        <w:t>)</w:t>
      </w:r>
      <w:r w:rsidRPr="00812269">
        <w:t xml:space="preserve"> includes toxicity data for 12 freshwater species that either originated from or are distributed within Australia and/or New Zealand.</w:t>
      </w:r>
    </w:p>
    <w:p w14:paraId="3A44C787" w14:textId="67D96415" w:rsidR="00746EF3" w:rsidRDefault="00EE27B3" w:rsidP="008A76E8">
      <w:pPr>
        <w:pStyle w:val="Caption"/>
      </w:pPr>
      <w:bookmarkStart w:id="19" w:name="_Ref25934536"/>
      <w:bookmarkStart w:id="20" w:name="_Toc33095004"/>
      <w:r>
        <w:t>Table </w:t>
      </w:r>
      <w:r w:rsidR="00152462">
        <w:fldChar w:fldCharType="begin"/>
      </w:r>
      <w:r w:rsidR="00152462">
        <w:instrText xml:space="preserve"> SEQ Table \* ARABIC </w:instrText>
      </w:r>
      <w:r w:rsidR="00152462">
        <w:fldChar w:fldCharType="separate"/>
      </w:r>
      <w:r w:rsidR="002825D7">
        <w:rPr>
          <w:noProof/>
        </w:rPr>
        <w:t>2</w:t>
      </w:r>
      <w:r w:rsidR="00152462">
        <w:rPr>
          <w:noProof/>
        </w:rPr>
        <w:fldChar w:fldCharType="end"/>
      </w:r>
      <w:bookmarkEnd w:id="19"/>
      <w:r w:rsidR="00746EF3" w:rsidRPr="00241F6F">
        <w:t xml:space="preserve"> </w:t>
      </w:r>
      <w:r w:rsidR="00746EF3" w:rsidRPr="0073464D">
        <w:t xml:space="preserve">Summary of single </w:t>
      </w:r>
      <w:r w:rsidR="001214CD">
        <w:t xml:space="preserve">chronic </w:t>
      </w:r>
      <w:r w:rsidR="00746EF3" w:rsidRPr="0073464D">
        <w:t xml:space="preserve">toxicity values, all species used to derive default guideline values for </w:t>
      </w:r>
      <w:r w:rsidR="00746EF3" w:rsidRPr="00241F6F">
        <w:t xml:space="preserve">metolachlor </w:t>
      </w:r>
      <w:r w:rsidR="00746EF3" w:rsidRPr="0073464D">
        <w:t>in freshwater</w:t>
      </w:r>
      <w:bookmarkEnd w:id="20"/>
      <w:r w:rsidR="00746EF3" w:rsidRPr="0073464D">
        <w:t xml:space="preserve"> </w:t>
      </w:r>
    </w:p>
    <w:tbl>
      <w:tblPr>
        <w:tblW w:w="4992" w:type="pct"/>
        <w:jc w:val="center"/>
        <w:tblBorders>
          <w:top w:val="single" w:sz="4" w:space="0" w:color="auto"/>
          <w:bottom w:val="single" w:sz="4" w:space="0" w:color="auto"/>
          <w:insideH w:val="single" w:sz="4" w:space="0" w:color="auto"/>
        </w:tblBorders>
        <w:tblLayout w:type="fixed"/>
        <w:tblLook w:val="04A0" w:firstRow="1" w:lastRow="0" w:firstColumn="1" w:lastColumn="0" w:noHBand="0" w:noVBand="1"/>
        <w:tblCaption w:val="Summary of single toxicity values, all species used to derive default guideline values for metolachlor in freshwater"/>
        <w:tblDescription w:val="Table provides a list of the species used to derive the metolachlor default guideline values, with additional details such as taxonomic group (phylum), life stage, duration of test, toxicity measure, test endpoint and final toxicity value."/>
      </w:tblPr>
      <w:tblGrid>
        <w:gridCol w:w="1624"/>
        <w:gridCol w:w="1661"/>
        <w:gridCol w:w="1385"/>
        <w:gridCol w:w="967"/>
        <w:gridCol w:w="969"/>
        <w:gridCol w:w="1246"/>
        <w:gridCol w:w="1203"/>
      </w:tblGrid>
      <w:tr w:rsidR="00C40074" w:rsidRPr="000B6600" w14:paraId="5E75B53F" w14:textId="77777777" w:rsidTr="008A76E8">
        <w:trPr>
          <w:cantSplit/>
          <w:tblHeader/>
          <w:jc w:val="center"/>
        </w:trPr>
        <w:tc>
          <w:tcPr>
            <w:tcW w:w="896" w:type="pct"/>
            <w:tcBorders>
              <w:top w:val="single" w:sz="12" w:space="0" w:color="auto"/>
              <w:bottom w:val="single" w:sz="12" w:space="0" w:color="auto"/>
            </w:tcBorders>
            <w:shd w:val="clear" w:color="auto" w:fill="auto"/>
          </w:tcPr>
          <w:p w14:paraId="7BA753E4" w14:textId="77777777" w:rsidR="00746EF3" w:rsidRPr="00BC10FA" w:rsidRDefault="00746EF3" w:rsidP="008A76E8">
            <w:pPr>
              <w:pStyle w:val="TableHeading"/>
              <w:keepNext w:val="0"/>
            </w:pPr>
            <w:r w:rsidRPr="00BC10FA">
              <w:t>Taxonomic group</w:t>
            </w:r>
            <w:r>
              <w:t xml:space="preserve"> (Phylum)</w:t>
            </w:r>
          </w:p>
        </w:tc>
        <w:tc>
          <w:tcPr>
            <w:tcW w:w="917" w:type="pct"/>
            <w:tcBorders>
              <w:top w:val="single" w:sz="12" w:space="0" w:color="auto"/>
              <w:bottom w:val="single" w:sz="12" w:space="0" w:color="auto"/>
            </w:tcBorders>
            <w:shd w:val="clear" w:color="auto" w:fill="auto"/>
          </w:tcPr>
          <w:p w14:paraId="5D4A4777" w14:textId="77777777" w:rsidR="00746EF3" w:rsidRPr="00F95492" w:rsidRDefault="00746EF3" w:rsidP="008A76E8">
            <w:pPr>
              <w:pStyle w:val="TableHeading"/>
              <w:keepNext w:val="0"/>
            </w:pPr>
            <w:r w:rsidRPr="00F95492">
              <w:t>Species</w:t>
            </w:r>
          </w:p>
        </w:tc>
        <w:tc>
          <w:tcPr>
            <w:tcW w:w="765" w:type="pct"/>
            <w:tcBorders>
              <w:top w:val="single" w:sz="12" w:space="0" w:color="auto"/>
              <w:bottom w:val="single" w:sz="12" w:space="0" w:color="auto"/>
            </w:tcBorders>
            <w:shd w:val="clear" w:color="auto" w:fill="auto"/>
          </w:tcPr>
          <w:p w14:paraId="05A480D1" w14:textId="77777777" w:rsidR="00746EF3" w:rsidRPr="000B6600" w:rsidRDefault="00746EF3" w:rsidP="008A76E8">
            <w:pPr>
              <w:pStyle w:val="TableHeading"/>
              <w:keepNext w:val="0"/>
            </w:pPr>
            <w:r w:rsidRPr="000B6600">
              <w:t>Life stage</w:t>
            </w:r>
          </w:p>
        </w:tc>
        <w:tc>
          <w:tcPr>
            <w:tcW w:w="534" w:type="pct"/>
            <w:tcBorders>
              <w:top w:val="single" w:sz="12" w:space="0" w:color="auto"/>
              <w:bottom w:val="single" w:sz="12" w:space="0" w:color="auto"/>
            </w:tcBorders>
            <w:shd w:val="clear" w:color="auto" w:fill="auto"/>
          </w:tcPr>
          <w:p w14:paraId="12EE8A93" w14:textId="566F6D27" w:rsidR="00746EF3" w:rsidRPr="000B6600" w:rsidRDefault="00746EF3" w:rsidP="008A76E8">
            <w:pPr>
              <w:pStyle w:val="TableHeading"/>
              <w:keepNext w:val="0"/>
            </w:pPr>
            <w:r w:rsidRPr="000B6600">
              <w:t>Duration (d)</w:t>
            </w:r>
          </w:p>
        </w:tc>
        <w:tc>
          <w:tcPr>
            <w:tcW w:w="535" w:type="pct"/>
            <w:tcBorders>
              <w:top w:val="single" w:sz="12" w:space="0" w:color="auto"/>
              <w:bottom w:val="single" w:sz="12" w:space="0" w:color="auto"/>
            </w:tcBorders>
            <w:shd w:val="clear" w:color="auto" w:fill="auto"/>
          </w:tcPr>
          <w:p w14:paraId="6446E92A" w14:textId="0BBB5952" w:rsidR="00746EF3" w:rsidRPr="000B6600" w:rsidRDefault="00746EF3" w:rsidP="008A76E8">
            <w:pPr>
              <w:pStyle w:val="TableHeading"/>
              <w:keepNext w:val="0"/>
            </w:pPr>
            <w:r w:rsidRPr="000B6600">
              <w:t xml:space="preserve">Toxicity </w:t>
            </w:r>
            <w:r>
              <w:t xml:space="preserve">measure </w:t>
            </w:r>
            <w:r w:rsidRPr="0073464D">
              <w:rPr>
                <w:rStyle w:val="Strong"/>
                <w:vertAlign w:val="superscript"/>
              </w:rPr>
              <w:t>a</w:t>
            </w:r>
          </w:p>
        </w:tc>
        <w:tc>
          <w:tcPr>
            <w:tcW w:w="688" w:type="pct"/>
            <w:tcBorders>
              <w:top w:val="single" w:sz="12" w:space="0" w:color="auto"/>
              <w:bottom w:val="single" w:sz="12" w:space="0" w:color="auto"/>
            </w:tcBorders>
            <w:shd w:val="clear" w:color="auto" w:fill="auto"/>
          </w:tcPr>
          <w:p w14:paraId="0F6BE034" w14:textId="12AB08D0" w:rsidR="00746EF3" w:rsidRPr="000B6600" w:rsidRDefault="00746EF3" w:rsidP="008A76E8">
            <w:pPr>
              <w:pStyle w:val="TableHeading"/>
              <w:keepNext w:val="0"/>
            </w:pPr>
            <w:r>
              <w:t xml:space="preserve">Test </w:t>
            </w:r>
            <w:r w:rsidRPr="000B6600">
              <w:t>endpoint</w:t>
            </w:r>
          </w:p>
        </w:tc>
        <w:tc>
          <w:tcPr>
            <w:tcW w:w="664" w:type="pct"/>
            <w:tcBorders>
              <w:top w:val="single" w:sz="12" w:space="0" w:color="auto"/>
              <w:bottom w:val="single" w:sz="12" w:space="0" w:color="auto"/>
            </w:tcBorders>
            <w:shd w:val="clear" w:color="auto" w:fill="auto"/>
          </w:tcPr>
          <w:p w14:paraId="3884EC9B" w14:textId="467DC8FC" w:rsidR="00746EF3" w:rsidRPr="000B6600" w:rsidRDefault="00746EF3" w:rsidP="008A76E8">
            <w:pPr>
              <w:pStyle w:val="TableHeading"/>
              <w:keepNext w:val="0"/>
            </w:pPr>
            <w:r>
              <w:t>Final t</w:t>
            </w:r>
            <w:r w:rsidRPr="000B6600">
              <w:t>oxicity value (µg/L)</w:t>
            </w:r>
          </w:p>
        </w:tc>
      </w:tr>
      <w:tr w:rsidR="00C40074" w:rsidRPr="000B6600" w14:paraId="0C6D2710" w14:textId="77777777" w:rsidTr="008A76E8">
        <w:trPr>
          <w:cantSplit/>
          <w:jc w:val="center"/>
        </w:trPr>
        <w:tc>
          <w:tcPr>
            <w:tcW w:w="896" w:type="pct"/>
            <w:tcBorders>
              <w:top w:val="single" w:sz="12" w:space="0" w:color="auto"/>
            </w:tcBorders>
            <w:shd w:val="clear" w:color="auto" w:fill="auto"/>
          </w:tcPr>
          <w:p w14:paraId="64B721E7" w14:textId="77777777" w:rsidR="00746EF3" w:rsidRPr="000B6600" w:rsidRDefault="00746EF3" w:rsidP="008A76E8">
            <w:pPr>
              <w:pStyle w:val="TableText"/>
            </w:pPr>
            <w:r>
              <w:t>Diatom (</w:t>
            </w:r>
            <w:r w:rsidRPr="00385C2B">
              <w:t>Bacillariophyta</w:t>
            </w:r>
            <w:r>
              <w:t>)</w:t>
            </w:r>
          </w:p>
        </w:tc>
        <w:tc>
          <w:tcPr>
            <w:tcW w:w="917" w:type="pct"/>
            <w:tcBorders>
              <w:top w:val="single" w:sz="12" w:space="0" w:color="auto"/>
            </w:tcBorders>
            <w:shd w:val="clear" w:color="auto" w:fill="auto"/>
          </w:tcPr>
          <w:p w14:paraId="609C89F6" w14:textId="629458F1" w:rsidR="00746EF3" w:rsidRPr="00F95492" w:rsidRDefault="00746EF3" w:rsidP="008A76E8">
            <w:pPr>
              <w:pStyle w:val="TableText"/>
            </w:pPr>
            <w:proofErr w:type="spellStart"/>
            <w:r w:rsidRPr="00F95492">
              <w:rPr>
                <w:rStyle w:val="Emphasis"/>
              </w:rPr>
              <w:t>Achnanthidium</w:t>
            </w:r>
            <w:proofErr w:type="spellEnd"/>
            <w:r w:rsidRPr="00F95492">
              <w:rPr>
                <w:rStyle w:val="Emphasis"/>
              </w:rPr>
              <w:t xml:space="preserve"> </w:t>
            </w:r>
            <w:proofErr w:type="spellStart"/>
            <w:r w:rsidRPr="00F95492">
              <w:rPr>
                <w:rStyle w:val="Emphasis"/>
              </w:rPr>
              <w:t>minutissimum</w:t>
            </w:r>
            <w:proofErr w:type="spellEnd"/>
            <w:r>
              <w:t xml:space="preserve"> </w:t>
            </w:r>
            <w:r>
              <w:rPr>
                <w:rStyle w:val="Strong"/>
                <w:vertAlign w:val="superscript"/>
              </w:rPr>
              <w:t>d</w:t>
            </w:r>
          </w:p>
        </w:tc>
        <w:tc>
          <w:tcPr>
            <w:tcW w:w="765" w:type="pct"/>
            <w:tcBorders>
              <w:top w:val="single" w:sz="12" w:space="0" w:color="auto"/>
            </w:tcBorders>
            <w:shd w:val="clear" w:color="auto" w:fill="auto"/>
          </w:tcPr>
          <w:p w14:paraId="7065838C" w14:textId="77777777" w:rsidR="00746EF3" w:rsidRPr="000B6600" w:rsidRDefault="00746EF3" w:rsidP="008A76E8">
            <w:pPr>
              <w:pStyle w:val="TableText"/>
            </w:pPr>
            <w:r>
              <w:t>Exponential growth phase</w:t>
            </w:r>
          </w:p>
        </w:tc>
        <w:tc>
          <w:tcPr>
            <w:tcW w:w="534" w:type="pct"/>
            <w:tcBorders>
              <w:top w:val="single" w:sz="12" w:space="0" w:color="auto"/>
            </w:tcBorders>
            <w:shd w:val="clear" w:color="auto" w:fill="auto"/>
          </w:tcPr>
          <w:p w14:paraId="01748242" w14:textId="77777777" w:rsidR="00746EF3" w:rsidRPr="000B6600" w:rsidRDefault="00746EF3" w:rsidP="008A76E8">
            <w:pPr>
              <w:pStyle w:val="TableText"/>
            </w:pPr>
            <w:r>
              <w:t>4</w:t>
            </w:r>
          </w:p>
        </w:tc>
        <w:tc>
          <w:tcPr>
            <w:tcW w:w="535" w:type="pct"/>
            <w:tcBorders>
              <w:top w:val="single" w:sz="12" w:space="0" w:color="auto"/>
            </w:tcBorders>
            <w:shd w:val="clear" w:color="auto" w:fill="auto"/>
          </w:tcPr>
          <w:p w14:paraId="6DB5BCC5" w14:textId="77777777" w:rsidR="00746EF3" w:rsidRPr="00385C2B" w:rsidRDefault="00746EF3" w:rsidP="008A76E8">
            <w:pPr>
              <w:pStyle w:val="TableText"/>
            </w:pPr>
            <w:r w:rsidRPr="00385C2B">
              <w:t>Chronic EC10</w:t>
            </w:r>
          </w:p>
        </w:tc>
        <w:tc>
          <w:tcPr>
            <w:tcW w:w="688" w:type="pct"/>
            <w:tcBorders>
              <w:top w:val="single" w:sz="12" w:space="0" w:color="auto"/>
            </w:tcBorders>
            <w:shd w:val="clear" w:color="auto" w:fill="auto"/>
          </w:tcPr>
          <w:p w14:paraId="7017C481" w14:textId="77777777" w:rsidR="00746EF3" w:rsidRPr="000B6600" w:rsidRDefault="00746EF3" w:rsidP="008A76E8">
            <w:pPr>
              <w:pStyle w:val="TableText"/>
            </w:pPr>
            <w:r>
              <w:t>Cell density</w:t>
            </w:r>
          </w:p>
        </w:tc>
        <w:tc>
          <w:tcPr>
            <w:tcW w:w="664" w:type="pct"/>
            <w:tcBorders>
              <w:top w:val="single" w:sz="12" w:space="0" w:color="auto"/>
            </w:tcBorders>
            <w:shd w:val="clear" w:color="auto" w:fill="auto"/>
          </w:tcPr>
          <w:p w14:paraId="5ADA86AB" w14:textId="77777777" w:rsidR="00746EF3" w:rsidRPr="00385C2B" w:rsidRDefault="00746EF3" w:rsidP="008A76E8">
            <w:pPr>
              <w:pStyle w:val="TableText"/>
            </w:pPr>
            <w:r w:rsidRPr="00385C2B">
              <w:t>6</w:t>
            </w:r>
            <w:r>
              <w:t> </w:t>
            </w:r>
            <w:r w:rsidRPr="00385C2B">
              <w:t>528</w:t>
            </w:r>
          </w:p>
        </w:tc>
      </w:tr>
      <w:tr w:rsidR="00C40074" w:rsidRPr="000B6600" w14:paraId="6293B08F" w14:textId="77777777" w:rsidTr="008A76E8">
        <w:trPr>
          <w:cantSplit/>
          <w:jc w:val="center"/>
        </w:trPr>
        <w:tc>
          <w:tcPr>
            <w:tcW w:w="896" w:type="pct"/>
            <w:shd w:val="clear" w:color="auto" w:fill="auto"/>
          </w:tcPr>
          <w:p w14:paraId="52805B97" w14:textId="7024F6E1" w:rsidR="00746EF3" w:rsidRPr="00385C2B" w:rsidRDefault="00746EF3" w:rsidP="008A76E8">
            <w:pPr>
              <w:pStyle w:val="TableText"/>
            </w:pPr>
            <w:r>
              <w:lastRenderedPageBreak/>
              <w:t>Blue–green alga (</w:t>
            </w:r>
            <w:r w:rsidRPr="00385C2B">
              <w:t>Cyanobacteria</w:t>
            </w:r>
            <w:r>
              <w:t>)</w:t>
            </w:r>
          </w:p>
        </w:tc>
        <w:tc>
          <w:tcPr>
            <w:tcW w:w="917" w:type="pct"/>
            <w:shd w:val="clear" w:color="auto" w:fill="auto"/>
          </w:tcPr>
          <w:p w14:paraId="21469456" w14:textId="55201411" w:rsidR="00746EF3" w:rsidRPr="00F95492" w:rsidRDefault="00746EF3" w:rsidP="008A76E8">
            <w:pPr>
              <w:pStyle w:val="TableText"/>
              <w:rPr>
                <w:rStyle w:val="Emphasis"/>
                <w:highlight w:val="yellow"/>
              </w:rPr>
            </w:pPr>
            <w:r w:rsidRPr="00F95492">
              <w:rPr>
                <w:rStyle w:val="Emphasis"/>
              </w:rPr>
              <w:t xml:space="preserve">Anabaena </w:t>
            </w:r>
            <w:proofErr w:type="spellStart"/>
            <w:r w:rsidRPr="00F95492">
              <w:rPr>
                <w:rStyle w:val="Emphasis"/>
              </w:rPr>
              <w:t>flosaquae</w:t>
            </w:r>
            <w:proofErr w:type="spellEnd"/>
          </w:p>
        </w:tc>
        <w:tc>
          <w:tcPr>
            <w:tcW w:w="765" w:type="pct"/>
            <w:shd w:val="clear" w:color="auto" w:fill="auto"/>
          </w:tcPr>
          <w:p w14:paraId="2BB570F9" w14:textId="77777777" w:rsidR="00746EF3" w:rsidRDefault="00746EF3" w:rsidP="008A76E8">
            <w:pPr>
              <w:pStyle w:val="TableText"/>
            </w:pPr>
            <w:r>
              <w:t>Not stated</w:t>
            </w:r>
          </w:p>
        </w:tc>
        <w:tc>
          <w:tcPr>
            <w:tcW w:w="534" w:type="pct"/>
            <w:shd w:val="clear" w:color="auto" w:fill="auto"/>
          </w:tcPr>
          <w:p w14:paraId="6ABBD01B" w14:textId="77777777" w:rsidR="00746EF3" w:rsidRDefault="00746EF3" w:rsidP="008A76E8">
            <w:pPr>
              <w:pStyle w:val="TableText"/>
            </w:pPr>
            <w:r>
              <w:t>5</w:t>
            </w:r>
          </w:p>
        </w:tc>
        <w:tc>
          <w:tcPr>
            <w:tcW w:w="535" w:type="pct"/>
            <w:shd w:val="clear" w:color="auto" w:fill="auto"/>
          </w:tcPr>
          <w:p w14:paraId="422B78DF" w14:textId="76DA0667" w:rsidR="00746EF3" w:rsidRPr="00385C2B" w:rsidRDefault="00746EF3" w:rsidP="008A76E8">
            <w:pPr>
              <w:pStyle w:val="TableText"/>
            </w:pPr>
            <w:r>
              <w:t>Chronic EC50</w:t>
            </w:r>
          </w:p>
        </w:tc>
        <w:tc>
          <w:tcPr>
            <w:tcW w:w="688" w:type="pct"/>
            <w:shd w:val="clear" w:color="auto" w:fill="auto"/>
          </w:tcPr>
          <w:p w14:paraId="18C8CD6B" w14:textId="3357D78E" w:rsidR="00746EF3" w:rsidRDefault="00746EF3" w:rsidP="008A76E8">
            <w:pPr>
              <w:pStyle w:val="TableText"/>
            </w:pPr>
            <w:r>
              <w:t xml:space="preserve">Biomass yield, growth rate, AUC </w:t>
            </w:r>
            <w:r>
              <w:rPr>
                <w:rStyle w:val="Strong"/>
                <w:vertAlign w:val="superscript"/>
              </w:rPr>
              <w:t>c</w:t>
            </w:r>
          </w:p>
        </w:tc>
        <w:tc>
          <w:tcPr>
            <w:tcW w:w="664" w:type="pct"/>
            <w:shd w:val="clear" w:color="auto" w:fill="auto"/>
          </w:tcPr>
          <w:p w14:paraId="6A7D4382" w14:textId="77777777" w:rsidR="00746EF3" w:rsidRPr="00385C2B" w:rsidRDefault="00746EF3" w:rsidP="008A76E8">
            <w:pPr>
              <w:pStyle w:val="TableText"/>
            </w:pPr>
            <w:r w:rsidRPr="00385C2B">
              <w:t>240</w:t>
            </w:r>
          </w:p>
        </w:tc>
      </w:tr>
      <w:tr w:rsidR="00C40074" w:rsidRPr="000B6600" w14:paraId="1CC72EFD" w14:textId="77777777" w:rsidTr="008A76E8">
        <w:trPr>
          <w:cantSplit/>
          <w:jc w:val="center"/>
        </w:trPr>
        <w:tc>
          <w:tcPr>
            <w:tcW w:w="896" w:type="pct"/>
            <w:shd w:val="clear" w:color="auto" w:fill="auto"/>
          </w:tcPr>
          <w:p w14:paraId="56E95216" w14:textId="77777777" w:rsidR="00746EF3" w:rsidRPr="000B6600" w:rsidRDefault="00746EF3" w:rsidP="00A66E73">
            <w:pPr>
              <w:pStyle w:val="TableText"/>
            </w:pPr>
            <w:r w:rsidRPr="00385C2B">
              <w:t>Macrophyte</w:t>
            </w:r>
            <w:r>
              <w:t xml:space="preserve"> (</w:t>
            </w:r>
            <w:proofErr w:type="spellStart"/>
            <w:r w:rsidRPr="00385C2B">
              <w:t>Tracheophyta</w:t>
            </w:r>
            <w:proofErr w:type="spellEnd"/>
            <w:r>
              <w:t>)</w:t>
            </w:r>
          </w:p>
        </w:tc>
        <w:tc>
          <w:tcPr>
            <w:tcW w:w="917" w:type="pct"/>
            <w:shd w:val="clear" w:color="auto" w:fill="auto"/>
          </w:tcPr>
          <w:p w14:paraId="4FFF04A9" w14:textId="4BF5323C" w:rsidR="00746EF3" w:rsidRPr="00F95492" w:rsidRDefault="00746EF3" w:rsidP="00A66E73">
            <w:pPr>
              <w:pStyle w:val="TableText"/>
            </w:pPr>
            <w:proofErr w:type="spellStart"/>
            <w:r w:rsidRPr="00F95492">
              <w:rPr>
                <w:rStyle w:val="Emphasis"/>
              </w:rPr>
              <w:t>Ceratophyllum</w:t>
            </w:r>
            <w:proofErr w:type="spellEnd"/>
            <w:r w:rsidRPr="00F95492">
              <w:rPr>
                <w:rStyle w:val="Emphasis"/>
              </w:rPr>
              <w:t xml:space="preserve"> </w:t>
            </w:r>
            <w:proofErr w:type="spellStart"/>
            <w:r w:rsidRPr="00F95492">
              <w:rPr>
                <w:rStyle w:val="Emphasis"/>
              </w:rPr>
              <w:t>demersum</w:t>
            </w:r>
            <w:proofErr w:type="spellEnd"/>
            <w:r>
              <w:t xml:space="preserve"> </w:t>
            </w:r>
            <w:r>
              <w:rPr>
                <w:rStyle w:val="Strong"/>
                <w:vertAlign w:val="superscript"/>
              </w:rPr>
              <w:t>d</w:t>
            </w:r>
          </w:p>
        </w:tc>
        <w:tc>
          <w:tcPr>
            <w:tcW w:w="765" w:type="pct"/>
            <w:shd w:val="clear" w:color="auto" w:fill="auto"/>
          </w:tcPr>
          <w:p w14:paraId="0562AC1A" w14:textId="77777777" w:rsidR="00746EF3" w:rsidRPr="000B6600" w:rsidRDefault="00746EF3" w:rsidP="00A66E73">
            <w:pPr>
              <w:pStyle w:val="TableText"/>
            </w:pPr>
            <w:r>
              <w:t>Not stated</w:t>
            </w:r>
          </w:p>
        </w:tc>
        <w:tc>
          <w:tcPr>
            <w:tcW w:w="534" w:type="pct"/>
            <w:shd w:val="clear" w:color="auto" w:fill="auto"/>
          </w:tcPr>
          <w:p w14:paraId="357119B8" w14:textId="77777777" w:rsidR="00746EF3" w:rsidRPr="000B6600" w:rsidRDefault="00746EF3" w:rsidP="00A66E73">
            <w:pPr>
              <w:pStyle w:val="TableText"/>
            </w:pPr>
            <w:r>
              <w:t>14</w:t>
            </w:r>
          </w:p>
        </w:tc>
        <w:tc>
          <w:tcPr>
            <w:tcW w:w="535" w:type="pct"/>
            <w:shd w:val="clear" w:color="auto" w:fill="auto"/>
          </w:tcPr>
          <w:p w14:paraId="4EF46B21" w14:textId="32D90F45" w:rsidR="00746EF3" w:rsidRPr="00385C2B" w:rsidRDefault="00746EF3" w:rsidP="00A66E73">
            <w:pPr>
              <w:pStyle w:val="TableText"/>
            </w:pPr>
            <w:r>
              <w:t>Chronic EC50</w:t>
            </w:r>
          </w:p>
        </w:tc>
        <w:tc>
          <w:tcPr>
            <w:tcW w:w="688" w:type="pct"/>
            <w:shd w:val="clear" w:color="auto" w:fill="auto"/>
          </w:tcPr>
          <w:p w14:paraId="11BEAF2D" w14:textId="77777777" w:rsidR="00746EF3" w:rsidRPr="00385C2B" w:rsidRDefault="00746EF3" w:rsidP="00A66E73">
            <w:pPr>
              <w:pStyle w:val="TableText"/>
            </w:pPr>
            <w:r w:rsidRPr="00385C2B">
              <w:t>Wet weight</w:t>
            </w:r>
          </w:p>
        </w:tc>
        <w:tc>
          <w:tcPr>
            <w:tcW w:w="664" w:type="pct"/>
            <w:shd w:val="clear" w:color="auto" w:fill="auto"/>
          </w:tcPr>
          <w:p w14:paraId="5B53112F" w14:textId="77777777" w:rsidR="00746EF3" w:rsidRPr="00385C2B" w:rsidRDefault="00746EF3" w:rsidP="00A66E73">
            <w:pPr>
              <w:pStyle w:val="TableText"/>
            </w:pPr>
            <w:r w:rsidRPr="00385C2B">
              <w:t>14</w:t>
            </w:r>
          </w:p>
        </w:tc>
      </w:tr>
      <w:tr w:rsidR="00C40074" w:rsidRPr="000B6600" w14:paraId="7B80C224" w14:textId="77777777" w:rsidTr="008A76E8">
        <w:trPr>
          <w:cantSplit/>
          <w:jc w:val="center"/>
        </w:trPr>
        <w:tc>
          <w:tcPr>
            <w:tcW w:w="896" w:type="pct"/>
            <w:shd w:val="clear" w:color="auto" w:fill="auto"/>
          </w:tcPr>
          <w:p w14:paraId="20625D81" w14:textId="77777777" w:rsidR="00746EF3" w:rsidRPr="000B6600" w:rsidRDefault="00746EF3" w:rsidP="00A66E73">
            <w:pPr>
              <w:pStyle w:val="TableText"/>
            </w:pPr>
            <w:r>
              <w:t>Green alga (</w:t>
            </w:r>
            <w:r w:rsidRPr="00385C2B">
              <w:t>Chlorophyta</w:t>
            </w:r>
            <w:r>
              <w:t>)</w:t>
            </w:r>
          </w:p>
        </w:tc>
        <w:tc>
          <w:tcPr>
            <w:tcW w:w="917" w:type="pct"/>
            <w:shd w:val="clear" w:color="auto" w:fill="auto"/>
          </w:tcPr>
          <w:p w14:paraId="78A9DD2D" w14:textId="189504DC" w:rsidR="00746EF3" w:rsidRPr="00F95492" w:rsidRDefault="00746EF3" w:rsidP="00A66E73">
            <w:pPr>
              <w:pStyle w:val="TableText"/>
            </w:pPr>
            <w:r w:rsidRPr="00F95492">
              <w:rPr>
                <w:rStyle w:val="Emphasis"/>
              </w:rPr>
              <w:t xml:space="preserve">Chlamydomonas </w:t>
            </w:r>
            <w:proofErr w:type="spellStart"/>
            <w:r w:rsidRPr="00F95492">
              <w:rPr>
                <w:rStyle w:val="Emphasis"/>
              </w:rPr>
              <w:t>reinhardtii</w:t>
            </w:r>
            <w:proofErr w:type="spellEnd"/>
            <w:r w:rsidRPr="00F95492" w:rsidDel="00F83D81">
              <w:t xml:space="preserve"> </w:t>
            </w:r>
            <w:r>
              <w:rPr>
                <w:rStyle w:val="Strong"/>
                <w:vertAlign w:val="superscript"/>
              </w:rPr>
              <w:t>d</w:t>
            </w:r>
          </w:p>
        </w:tc>
        <w:tc>
          <w:tcPr>
            <w:tcW w:w="765" w:type="pct"/>
            <w:shd w:val="clear" w:color="auto" w:fill="auto"/>
          </w:tcPr>
          <w:p w14:paraId="2796F3D8" w14:textId="77777777" w:rsidR="00746EF3" w:rsidRPr="000B6600" w:rsidRDefault="00746EF3" w:rsidP="00A66E73">
            <w:pPr>
              <w:pStyle w:val="TableText"/>
            </w:pPr>
            <w:r>
              <w:t>Not stated</w:t>
            </w:r>
          </w:p>
        </w:tc>
        <w:tc>
          <w:tcPr>
            <w:tcW w:w="534" w:type="pct"/>
            <w:shd w:val="clear" w:color="auto" w:fill="auto"/>
          </w:tcPr>
          <w:p w14:paraId="65157FE8" w14:textId="77777777" w:rsidR="00746EF3" w:rsidRPr="000B6600" w:rsidRDefault="00746EF3" w:rsidP="00A66E73">
            <w:pPr>
              <w:pStyle w:val="TableText"/>
            </w:pPr>
            <w:r>
              <w:t>4</w:t>
            </w:r>
          </w:p>
        </w:tc>
        <w:tc>
          <w:tcPr>
            <w:tcW w:w="535" w:type="pct"/>
            <w:shd w:val="clear" w:color="auto" w:fill="auto"/>
          </w:tcPr>
          <w:p w14:paraId="04D8CA57" w14:textId="45BFE570" w:rsidR="00746EF3" w:rsidRPr="00385C2B" w:rsidRDefault="00746EF3" w:rsidP="00A66E73">
            <w:pPr>
              <w:pStyle w:val="TableText"/>
            </w:pPr>
            <w:r>
              <w:t>Chronic EC50</w:t>
            </w:r>
          </w:p>
        </w:tc>
        <w:tc>
          <w:tcPr>
            <w:tcW w:w="688" w:type="pct"/>
            <w:shd w:val="clear" w:color="auto" w:fill="auto"/>
          </w:tcPr>
          <w:p w14:paraId="0BD72408" w14:textId="77777777" w:rsidR="00746EF3" w:rsidRPr="00385C2B" w:rsidRDefault="00746EF3" w:rsidP="00A66E73">
            <w:pPr>
              <w:pStyle w:val="TableText"/>
            </w:pPr>
            <w:r>
              <w:t>Chlorophyll-a content</w:t>
            </w:r>
          </w:p>
        </w:tc>
        <w:tc>
          <w:tcPr>
            <w:tcW w:w="664" w:type="pct"/>
            <w:shd w:val="clear" w:color="auto" w:fill="auto"/>
          </w:tcPr>
          <w:p w14:paraId="578DF1C4" w14:textId="0DC76FA1" w:rsidR="00746EF3" w:rsidRPr="00385C2B" w:rsidRDefault="00746EF3" w:rsidP="00A66E73">
            <w:pPr>
              <w:pStyle w:val="TableText"/>
            </w:pPr>
            <w:r w:rsidRPr="00385C2B">
              <w:t>22</w:t>
            </w:r>
            <w:r>
              <w:t>8</w:t>
            </w:r>
          </w:p>
        </w:tc>
      </w:tr>
      <w:tr w:rsidR="00C40074" w:rsidRPr="000B6600" w14:paraId="00613C10" w14:textId="77777777" w:rsidTr="008A76E8">
        <w:trPr>
          <w:cantSplit/>
          <w:jc w:val="center"/>
        </w:trPr>
        <w:tc>
          <w:tcPr>
            <w:tcW w:w="896" w:type="pct"/>
            <w:shd w:val="clear" w:color="auto" w:fill="auto"/>
          </w:tcPr>
          <w:p w14:paraId="15A4EC65" w14:textId="77777777" w:rsidR="00746EF3" w:rsidRPr="000B6600" w:rsidRDefault="00746EF3" w:rsidP="00A66E73">
            <w:pPr>
              <w:pStyle w:val="TableText"/>
            </w:pPr>
            <w:r>
              <w:t>Green alga (</w:t>
            </w:r>
            <w:r w:rsidRPr="00385C2B">
              <w:t>Chlorophyta</w:t>
            </w:r>
            <w:r>
              <w:t>)</w:t>
            </w:r>
          </w:p>
        </w:tc>
        <w:tc>
          <w:tcPr>
            <w:tcW w:w="917" w:type="pct"/>
            <w:shd w:val="clear" w:color="auto" w:fill="auto"/>
          </w:tcPr>
          <w:p w14:paraId="730DA831" w14:textId="76294240" w:rsidR="00746EF3" w:rsidRPr="00F95492" w:rsidRDefault="00746EF3" w:rsidP="00A66E73">
            <w:pPr>
              <w:pStyle w:val="TableText"/>
            </w:pPr>
            <w:r w:rsidRPr="00F95492">
              <w:rPr>
                <w:rStyle w:val="Emphasis"/>
              </w:rPr>
              <w:t xml:space="preserve">Chlorella </w:t>
            </w:r>
            <w:proofErr w:type="spellStart"/>
            <w:r w:rsidRPr="00F95492">
              <w:rPr>
                <w:rStyle w:val="Emphasis"/>
              </w:rPr>
              <w:t>pyrenoidosa</w:t>
            </w:r>
            <w:proofErr w:type="spellEnd"/>
            <w:r>
              <w:t xml:space="preserve"> </w:t>
            </w:r>
            <w:r w:rsidRPr="0073464D">
              <w:rPr>
                <w:rStyle w:val="Strong"/>
                <w:vertAlign w:val="superscript"/>
              </w:rPr>
              <w:t>d</w:t>
            </w:r>
          </w:p>
        </w:tc>
        <w:tc>
          <w:tcPr>
            <w:tcW w:w="765" w:type="pct"/>
            <w:shd w:val="clear" w:color="auto" w:fill="auto"/>
          </w:tcPr>
          <w:p w14:paraId="6DFA6745" w14:textId="77777777" w:rsidR="00746EF3" w:rsidRPr="000B6600" w:rsidRDefault="00746EF3" w:rsidP="00A66E73">
            <w:pPr>
              <w:pStyle w:val="TableText"/>
            </w:pPr>
            <w:r>
              <w:t>Exponential growth phase</w:t>
            </w:r>
          </w:p>
        </w:tc>
        <w:tc>
          <w:tcPr>
            <w:tcW w:w="534" w:type="pct"/>
            <w:shd w:val="clear" w:color="auto" w:fill="auto"/>
          </w:tcPr>
          <w:p w14:paraId="3A58AB7E" w14:textId="77777777" w:rsidR="00746EF3" w:rsidRPr="000B6600" w:rsidRDefault="00746EF3" w:rsidP="00A66E73">
            <w:pPr>
              <w:pStyle w:val="TableText"/>
            </w:pPr>
            <w:r>
              <w:t>4</w:t>
            </w:r>
          </w:p>
        </w:tc>
        <w:tc>
          <w:tcPr>
            <w:tcW w:w="535" w:type="pct"/>
            <w:shd w:val="clear" w:color="auto" w:fill="auto"/>
          </w:tcPr>
          <w:p w14:paraId="76B7CA20" w14:textId="77777777" w:rsidR="00746EF3" w:rsidRPr="00385C2B" w:rsidRDefault="00746EF3" w:rsidP="00A66E73">
            <w:pPr>
              <w:pStyle w:val="TableText"/>
            </w:pPr>
            <w:r w:rsidRPr="00385C2B">
              <w:t>Chronic NOEC</w:t>
            </w:r>
          </w:p>
        </w:tc>
        <w:tc>
          <w:tcPr>
            <w:tcW w:w="688" w:type="pct"/>
            <w:shd w:val="clear" w:color="auto" w:fill="auto"/>
          </w:tcPr>
          <w:p w14:paraId="03D2272A" w14:textId="77777777" w:rsidR="00746EF3" w:rsidRPr="00385C2B" w:rsidRDefault="00746EF3" w:rsidP="00A66E73">
            <w:pPr>
              <w:pStyle w:val="TableText"/>
            </w:pPr>
            <w:r>
              <w:t>Chlorophyll-a content</w:t>
            </w:r>
          </w:p>
        </w:tc>
        <w:tc>
          <w:tcPr>
            <w:tcW w:w="664" w:type="pct"/>
            <w:shd w:val="clear" w:color="auto" w:fill="auto"/>
          </w:tcPr>
          <w:p w14:paraId="30351B33" w14:textId="77777777" w:rsidR="00746EF3" w:rsidRPr="00385C2B" w:rsidRDefault="00746EF3" w:rsidP="00A66E73">
            <w:pPr>
              <w:pStyle w:val="TableText"/>
            </w:pPr>
            <w:r w:rsidRPr="00385C2B">
              <w:t>1</w:t>
            </w:r>
          </w:p>
        </w:tc>
      </w:tr>
      <w:tr w:rsidR="00C40074" w:rsidRPr="000B6600" w14:paraId="5D109ABE" w14:textId="77777777" w:rsidTr="008A76E8">
        <w:trPr>
          <w:cantSplit/>
          <w:jc w:val="center"/>
        </w:trPr>
        <w:tc>
          <w:tcPr>
            <w:tcW w:w="896" w:type="pct"/>
            <w:shd w:val="clear" w:color="auto" w:fill="auto"/>
          </w:tcPr>
          <w:p w14:paraId="2D49DEB2" w14:textId="77777777" w:rsidR="00746EF3" w:rsidRPr="000B6600" w:rsidRDefault="00746EF3" w:rsidP="00A66E73">
            <w:pPr>
              <w:pStyle w:val="TableText"/>
            </w:pPr>
            <w:r>
              <w:t>Diatom (</w:t>
            </w:r>
            <w:r w:rsidRPr="00385C2B">
              <w:t>Bacillariophyta</w:t>
            </w:r>
            <w:r>
              <w:t>)</w:t>
            </w:r>
          </w:p>
        </w:tc>
        <w:tc>
          <w:tcPr>
            <w:tcW w:w="917" w:type="pct"/>
            <w:shd w:val="clear" w:color="auto" w:fill="auto"/>
          </w:tcPr>
          <w:p w14:paraId="05F124F1" w14:textId="49B6E2BC" w:rsidR="00746EF3" w:rsidRPr="00F95492" w:rsidRDefault="00746EF3" w:rsidP="00A66E73">
            <w:pPr>
              <w:pStyle w:val="TableText"/>
            </w:pPr>
            <w:proofErr w:type="spellStart"/>
            <w:r w:rsidRPr="00F95492">
              <w:rPr>
                <w:rStyle w:val="Emphasis"/>
              </w:rPr>
              <w:t>Craticula</w:t>
            </w:r>
            <w:proofErr w:type="spellEnd"/>
            <w:r w:rsidRPr="00F95492">
              <w:rPr>
                <w:rStyle w:val="Emphasis"/>
              </w:rPr>
              <w:t xml:space="preserve"> </w:t>
            </w:r>
            <w:proofErr w:type="spellStart"/>
            <w:r w:rsidRPr="00F95492">
              <w:rPr>
                <w:rStyle w:val="Emphasis"/>
              </w:rPr>
              <w:t>accomoda</w:t>
            </w:r>
            <w:proofErr w:type="spellEnd"/>
            <w:r w:rsidR="00C40074">
              <w:t> </w:t>
            </w:r>
            <w:r w:rsidRPr="0073464D">
              <w:rPr>
                <w:rStyle w:val="Strong"/>
                <w:vertAlign w:val="superscript"/>
              </w:rPr>
              <w:t>d</w:t>
            </w:r>
          </w:p>
        </w:tc>
        <w:tc>
          <w:tcPr>
            <w:tcW w:w="765" w:type="pct"/>
            <w:shd w:val="clear" w:color="auto" w:fill="auto"/>
          </w:tcPr>
          <w:p w14:paraId="0F22DDFD" w14:textId="77777777" w:rsidR="00746EF3" w:rsidRPr="000B6600" w:rsidRDefault="00746EF3" w:rsidP="00A66E73">
            <w:pPr>
              <w:pStyle w:val="TableText"/>
            </w:pPr>
            <w:r>
              <w:t>Exponential growth phase</w:t>
            </w:r>
          </w:p>
        </w:tc>
        <w:tc>
          <w:tcPr>
            <w:tcW w:w="534" w:type="pct"/>
            <w:shd w:val="clear" w:color="auto" w:fill="auto"/>
          </w:tcPr>
          <w:p w14:paraId="47AADB5F" w14:textId="77777777" w:rsidR="00746EF3" w:rsidRPr="000B6600" w:rsidRDefault="00746EF3" w:rsidP="00A66E73">
            <w:pPr>
              <w:pStyle w:val="TableText"/>
            </w:pPr>
            <w:r>
              <w:t>4</w:t>
            </w:r>
          </w:p>
        </w:tc>
        <w:tc>
          <w:tcPr>
            <w:tcW w:w="535" w:type="pct"/>
            <w:shd w:val="clear" w:color="auto" w:fill="auto"/>
          </w:tcPr>
          <w:p w14:paraId="00AEA8A7" w14:textId="77777777" w:rsidR="00746EF3" w:rsidRPr="000B6600" w:rsidRDefault="00746EF3" w:rsidP="00A66E73">
            <w:pPr>
              <w:pStyle w:val="TableText"/>
            </w:pPr>
            <w:r w:rsidRPr="00385C2B">
              <w:t>Chronic EC10</w:t>
            </w:r>
          </w:p>
        </w:tc>
        <w:tc>
          <w:tcPr>
            <w:tcW w:w="688" w:type="pct"/>
            <w:shd w:val="clear" w:color="auto" w:fill="auto"/>
          </w:tcPr>
          <w:p w14:paraId="4788B9AD" w14:textId="77777777" w:rsidR="00746EF3" w:rsidRPr="000B6600" w:rsidRDefault="00746EF3" w:rsidP="00A66E73">
            <w:pPr>
              <w:pStyle w:val="TableText"/>
            </w:pPr>
            <w:r>
              <w:t>Chlorophyll-a content</w:t>
            </w:r>
          </w:p>
        </w:tc>
        <w:tc>
          <w:tcPr>
            <w:tcW w:w="664" w:type="pct"/>
            <w:shd w:val="clear" w:color="auto" w:fill="auto"/>
          </w:tcPr>
          <w:p w14:paraId="634805BA" w14:textId="77777777" w:rsidR="00746EF3" w:rsidRPr="00385C2B" w:rsidRDefault="00746EF3" w:rsidP="00A66E73">
            <w:pPr>
              <w:pStyle w:val="TableText"/>
            </w:pPr>
            <w:r w:rsidRPr="00385C2B">
              <w:t>4</w:t>
            </w:r>
            <w:r>
              <w:t> </w:t>
            </w:r>
            <w:r w:rsidRPr="00385C2B">
              <w:t>016</w:t>
            </w:r>
          </w:p>
        </w:tc>
      </w:tr>
      <w:tr w:rsidR="00C40074" w:rsidRPr="000B6600" w14:paraId="7ED71862" w14:textId="77777777" w:rsidTr="008A76E8">
        <w:trPr>
          <w:cantSplit/>
          <w:jc w:val="center"/>
        </w:trPr>
        <w:tc>
          <w:tcPr>
            <w:tcW w:w="896" w:type="pct"/>
            <w:shd w:val="clear" w:color="auto" w:fill="auto"/>
          </w:tcPr>
          <w:p w14:paraId="610D539F" w14:textId="77777777" w:rsidR="00746EF3" w:rsidRPr="000B6600" w:rsidRDefault="00746EF3" w:rsidP="00A66E73">
            <w:pPr>
              <w:pStyle w:val="TableText"/>
            </w:pPr>
            <w:r>
              <w:t>Diatom (</w:t>
            </w:r>
            <w:r w:rsidRPr="00385C2B">
              <w:t>Bacillariophyta</w:t>
            </w:r>
            <w:r>
              <w:t>)</w:t>
            </w:r>
          </w:p>
        </w:tc>
        <w:tc>
          <w:tcPr>
            <w:tcW w:w="917" w:type="pct"/>
            <w:shd w:val="clear" w:color="auto" w:fill="auto"/>
          </w:tcPr>
          <w:p w14:paraId="574DEA7B" w14:textId="43F08283" w:rsidR="00746EF3" w:rsidRPr="00F95492" w:rsidRDefault="00746EF3" w:rsidP="00A66E73">
            <w:pPr>
              <w:pStyle w:val="TableText"/>
            </w:pPr>
            <w:r w:rsidRPr="00F95492">
              <w:rPr>
                <w:rStyle w:val="Emphasis"/>
              </w:rPr>
              <w:t xml:space="preserve">Cyclotella </w:t>
            </w:r>
            <w:proofErr w:type="spellStart"/>
            <w:r w:rsidRPr="00F95492">
              <w:rPr>
                <w:rStyle w:val="Emphasis"/>
              </w:rPr>
              <w:t>meneghiniana</w:t>
            </w:r>
            <w:proofErr w:type="spellEnd"/>
            <w:r>
              <w:t xml:space="preserve"> </w:t>
            </w:r>
            <w:r w:rsidRPr="0073464D">
              <w:rPr>
                <w:rStyle w:val="Strong"/>
                <w:vertAlign w:val="superscript"/>
              </w:rPr>
              <w:t>d</w:t>
            </w:r>
          </w:p>
        </w:tc>
        <w:tc>
          <w:tcPr>
            <w:tcW w:w="765" w:type="pct"/>
            <w:shd w:val="clear" w:color="auto" w:fill="auto"/>
          </w:tcPr>
          <w:p w14:paraId="632943DA" w14:textId="77777777" w:rsidR="00746EF3" w:rsidRPr="000B6600" w:rsidRDefault="00746EF3" w:rsidP="00A66E73">
            <w:pPr>
              <w:pStyle w:val="TableText"/>
            </w:pPr>
            <w:r>
              <w:t>Exponential growth phase</w:t>
            </w:r>
          </w:p>
        </w:tc>
        <w:tc>
          <w:tcPr>
            <w:tcW w:w="534" w:type="pct"/>
            <w:shd w:val="clear" w:color="auto" w:fill="auto"/>
          </w:tcPr>
          <w:p w14:paraId="411CF3DD" w14:textId="77777777" w:rsidR="00746EF3" w:rsidRPr="000B6600" w:rsidRDefault="00746EF3" w:rsidP="00A66E73">
            <w:pPr>
              <w:pStyle w:val="TableText"/>
            </w:pPr>
            <w:r>
              <w:t>4</w:t>
            </w:r>
          </w:p>
        </w:tc>
        <w:tc>
          <w:tcPr>
            <w:tcW w:w="535" w:type="pct"/>
            <w:shd w:val="clear" w:color="auto" w:fill="auto"/>
          </w:tcPr>
          <w:p w14:paraId="0EC42DD2" w14:textId="77777777" w:rsidR="00746EF3" w:rsidRPr="00385C2B" w:rsidRDefault="00746EF3" w:rsidP="00A66E73">
            <w:pPr>
              <w:pStyle w:val="TableText"/>
            </w:pPr>
            <w:r w:rsidRPr="00385C2B">
              <w:t>Chronic EC10</w:t>
            </w:r>
          </w:p>
        </w:tc>
        <w:tc>
          <w:tcPr>
            <w:tcW w:w="688" w:type="pct"/>
            <w:shd w:val="clear" w:color="auto" w:fill="auto"/>
          </w:tcPr>
          <w:p w14:paraId="171E7E2D" w14:textId="77777777" w:rsidR="00746EF3" w:rsidRPr="00385C2B" w:rsidRDefault="00746EF3" w:rsidP="00A66E73">
            <w:pPr>
              <w:pStyle w:val="TableText"/>
            </w:pPr>
            <w:r>
              <w:t>Cell density</w:t>
            </w:r>
          </w:p>
        </w:tc>
        <w:tc>
          <w:tcPr>
            <w:tcW w:w="664" w:type="pct"/>
            <w:shd w:val="clear" w:color="auto" w:fill="auto"/>
          </w:tcPr>
          <w:p w14:paraId="07DB3042" w14:textId="77777777" w:rsidR="00746EF3" w:rsidRPr="00385C2B" w:rsidRDefault="00746EF3" w:rsidP="00A66E73">
            <w:pPr>
              <w:pStyle w:val="TableText"/>
            </w:pPr>
            <w:r w:rsidRPr="00385C2B">
              <w:t>925</w:t>
            </w:r>
          </w:p>
        </w:tc>
      </w:tr>
      <w:tr w:rsidR="00C40074" w:rsidRPr="000B6600" w14:paraId="46E732B0" w14:textId="77777777" w:rsidTr="008A76E8">
        <w:trPr>
          <w:cantSplit/>
          <w:jc w:val="center"/>
        </w:trPr>
        <w:tc>
          <w:tcPr>
            <w:tcW w:w="896" w:type="pct"/>
            <w:shd w:val="clear" w:color="auto" w:fill="auto"/>
          </w:tcPr>
          <w:p w14:paraId="1CCF6196" w14:textId="77777777" w:rsidR="00746EF3" w:rsidRPr="000B6600" w:rsidRDefault="00746EF3" w:rsidP="00A66E73">
            <w:pPr>
              <w:pStyle w:val="TableText"/>
            </w:pPr>
            <w:r w:rsidRPr="00385C2B">
              <w:t>Macroinvertebrate</w:t>
            </w:r>
            <w:r>
              <w:t xml:space="preserve"> (</w:t>
            </w:r>
            <w:r w:rsidRPr="00385C2B">
              <w:t>Arthropoda</w:t>
            </w:r>
            <w:r>
              <w:t>)</w:t>
            </w:r>
          </w:p>
        </w:tc>
        <w:tc>
          <w:tcPr>
            <w:tcW w:w="917" w:type="pct"/>
            <w:shd w:val="clear" w:color="auto" w:fill="auto"/>
          </w:tcPr>
          <w:p w14:paraId="5ADF863E" w14:textId="77777777" w:rsidR="00746EF3" w:rsidRPr="00F95492" w:rsidRDefault="00746EF3" w:rsidP="00A66E73">
            <w:pPr>
              <w:pStyle w:val="TableText"/>
              <w:rPr>
                <w:rStyle w:val="Emphasis"/>
              </w:rPr>
            </w:pPr>
            <w:r w:rsidRPr="00F95492">
              <w:rPr>
                <w:rStyle w:val="Emphasis"/>
              </w:rPr>
              <w:t>Daphnia magna</w:t>
            </w:r>
          </w:p>
        </w:tc>
        <w:tc>
          <w:tcPr>
            <w:tcW w:w="765" w:type="pct"/>
            <w:shd w:val="clear" w:color="auto" w:fill="auto"/>
          </w:tcPr>
          <w:p w14:paraId="4C2DCEB1" w14:textId="77777777" w:rsidR="00746EF3" w:rsidRPr="000B6600" w:rsidRDefault="00746EF3" w:rsidP="00A66E73">
            <w:pPr>
              <w:pStyle w:val="TableText"/>
            </w:pPr>
            <w:r>
              <w:t>&lt;24 hour old</w:t>
            </w:r>
          </w:p>
        </w:tc>
        <w:tc>
          <w:tcPr>
            <w:tcW w:w="534" w:type="pct"/>
            <w:shd w:val="clear" w:color="auto" w:fill="auto"/>
          </w:tcPr>
          <w:p w14:paraId="145F31CC" w14:textId="77777777" w:rsidR="00746EF3" w:rsidRPr="000B6600" w:rsidRDefault="00746EF3" w:rsidP="00A66E73">
            <w:pPr>
              <w:pStyle w:val="TableText"/>
            </w:pPr>
            <w:r>
              <w:t>21</w:t>
            </w:r>
          </w:p>
        </w:tc>
        <w:tc>
          <w:tcPr>
            <w:tcW w:w="535" w:type="pct"/>
            <w:shd w:val="clear" w:color="auto" w:fill="auto"/>
          </w:tcPr>
          <w:p w14:paraId="23061C41" w14:textId="77777777" w:rsidR="00746EF3" w:rsidRPr="000B6600" w:rsidRDefault="00746EF3" w:rsidP="00A66E73">
            <w:pPr>
              <w:pStyle w:val="TableText"/>
            </w:pPr>
            <w:r w:rsidRPr="00385C2B">
              <w:t>Chronic EC10</w:t>
            </w:r>
          </w:p>
        </w:tc>
        <w:tc>
          <w:tcPr>
            <w:tcW w:w="688" w:type="pct"/>
            <w:shd w:val="clear" w:color="auto" w:fill="auto"/>
          </w:tcPr>
          <w:p w14:paraId="3C76A57B" w14:textId="77777777" w:rsidR="00746EF3" w:rsidRPr="00385C2B" w:rsidRDefault="00746EF3" w:rsidP="00A66E73">
            <w:pPr>
              <w:pStyle w:val="TableText"/>
            </w:pPr>
            <w:r>
              <w:t>Young per female</w:t>
            </w:r>
          </w:p>
        </w:tc>
        <w:tc>
          <w:tcPr>
            <w:tcW w:w="664" w:type="pct"/>
            <w:shd w:val="clear" w:color="auto" w:fill="auto"/>
          </w:tcPr>
          <w:p w14:paraId="2EB73E8B" w14:textId="43584FFF" w:rsidR="00746EF3" w:rsidRPr="00385C2B" w:rsidRDefault="00746EF3" w:rsidP="00A66E73">
            <w:pPr>
              <w:pStyle w:val="TableText"/>
            </w:pPr>
            <w:r>
              <w:t>224</w:t>
            </w:r>
          </w:p>
        </w:tc>
      </w:tr>
      <w:tr w:rsidR="00C40074" w:rsidRPr="000B6600" w14:paraId="1D885ED5" w14:textId="77777777" w:rsidTr="008A76E8">
        <w:trPr>
          <w:cantSplit/>
          <w:jc w:val="center"/>
        </w:trPr>
        <w:tc>
          <w:tcPr>
            <w:tcW w:w="896" w:type="pct"/>
            <w:shd w:val="clear" w:color="auto" w:fill="auto"/>
          </w:tcPr>
          <w:p w14:paraId="2E905BC3" w14:textId="77777777" w:rsidR="00746EF3" w:rsidRPr="000B6600" w:rsidRDefault="00746EF3" w:rsidP="00A66E73">
            <w:pPr>
              <w:pStyle w:val="TableText"/>
            </w:pPr>
            <w:r w:rsidRPr="00385C2B">
              <w:t>Macrophyte</w:t>
            </w:r>
            <w:r>
              <w:t xml:space="preserve"> (</w:t>
            </w:r>
            <w:proofErr w:type="spellStart"/>
            <w:r w:rsidRPr="00385C2B">
              <w:t>Tracheophyta</w:t>
            </w:r>
            <w:proofErr w:type="spellEnd"/>
            <w:r>
              <w:t>)</w:t>
            </w:r>
          </w:p>
        </w:tc>
        <w:tc>
          <w:tcPr>
            <w:tcW w:w="917" w:type="pct"/>
            <w:shd w:val="clear" w:color="auto" w:fill="auto"/>
          </w:tcPr>
          <w:p w14:paraId="731D08CD" w14:textId="6103F6F9" w:rsidR="00746EF3" w:rsidRPr="00F95492" w:rsidRDefault="00746EF3" w:rsidP="00A66E73">
            <w:pPr>
              <w:pStyle w:val="TableText"/>
            </w:pPr>
            <w:r w:rsidRPr="00F95492">
              <w:rPr>
                <w:rStyle w:val="Emphasis"/>
              </w:rPr>
              <w:t>Elodea canadensis</w:t>
            </w:r>
            <w:r>
              <w:rPr>
                <w:rStyle w:val="Emphasis"/>
              </w:rPr>
              <w:t xml:space="preserve"> </w:t>
            </w:r>
            <w:r w:rsidRPr="0073464D">
              <w:rPr>
                <w:rStyle w:val="Strong"/>
                <w:vertAlign w:val="superscript"/>
              </w:rPr>
              <w:t>d</w:t>
            </w:r>
          </w:p>
        </w:tc>
        <w:tc>
          <w:tcPr>
            <w:tcW w:w="765" w:type="pct"/>
            <w:shd w:val="clear" w:color="auto" w:fill="auto"/>
          </w:tcPr>
          <w:p w14:paraId="3BE78CD2" w14:textId="77777777" w:rsidR="00746EF3" w:rsidRPr="000B6600" w:rsidRDefault="00746EF3" w:rsidP="00A66E73">
            <w:pPr>
              <w:pStyle w:val="TableText"/>
            </w:pPr>
            <w:r>
              <w:t>Not stated</w:t>
            </w:r>
          </w:p>
        </w:tc>
        <w:tc>
          <w:tcPr>
            <w:tcW w:w="534" w:type="pct"/>
            <w:shd w:val="clear" w:color="auto" w:fill="auto"/>
          </w:tcPr>
          <w:p w14:paraId="3D1220CB" w14:textId="77777777" w:rsidR="00746EF3" w:rsidRPr="000B6600" w:rsidRDefault="00746EF3" w:rsidP="00A66E73">
            <w:pPr>
              <w:pStyle w:val="TableText"/>
            </w:pPr>
            <w:r>
              <w:t>14</w:t>
            </w:r>
          </w:p>
        </w:tc>
        <w:tc>
          <w:tcPr>
            <w:tcW w:w="535" w:type="pct"/>
            <w:shd w:val="clear" w:color="auto" w:fill="auto"/>
          </w:tcPr>
          <w:p w14:paraId="7B80D0AD" w14:textId="1E980CEF" w:rsidR="00746EF3" w:rsidRPr="000B6600" w:rsidRDefault="00746EF3" w:rsidP="00A66E73">
            <w:pPr>
              <w:pStyle w:val="TableText"/>
            </w:pPr>
            <w:r>
              <w:t>Chronic EC50</w:t>
            </w:r>
          </w:p>
        </w:tc>
        <w:tc>
          <w:tcPr>
            <w:tcW w:w="688" w:type="pct"/>
            <w:shd w:val="clear" w:color="auto" w:fill="auto"/>
          </w:tcPr>
          <w:p w14:paraId="17D28140" w14:textId="77777777" w:rsidR="00746EF3" w:rsidRPr="00385C2B" w:rsidRDefault="00746EF3" w:rsidP="00A66E73">
            <w:pPr>
              <w:pStyle w:val="TableText"/>
            </w:pPr>
            <w:r w:rsidRPr="00385C2B">
              <w:t>Wet weight</w:t>
            </w:r>
          </w:p>
        </w:tc>
        <w:tc>
          <w:tcPr>
            <w:tcW w:w="664" w:type="pct"/>
            <w:shd w:val="clear" w:color="auto" w:fill="auto"/>
          </w:tcPr>
          <w:p w14:paraId="01B5263B" w14:textId="77777777" w:rsidR="00746EF3" w:rsidRPr="00385C2B" w:rsidRDefault="00746EF3" w:rsidP="00A66E73">
            <w:pPr>
              <w:pStyle w:val="TableText"/>
            </w:pPr>
            <w:r w:rsidRPr="00385C2B">
              <w:t>471</w:t>
            </w:r>
          </w:p>
        </w:tc>
      </w:tr>
      <w:tr w:rsidR="00C40074" w:rsidRPr="000B6600" w14:paraId="4A5DA068" w14:textId="77777777" w:rsidTr="008A76E8">
        <w:trPr>
          <w:cantSplit/>
          <w:jc w:val="center"/>
        </w:trPr>
        <w:tc>
          <w:tcPr>
            <w:tcW w:w="896" w:type="pct"/>
            <w:shd w:val="clear" w:color="auto" w:fill="auto"/>
          </w:tcPr>
          <w:p w14:paraId="13AACA1B" w14:textId="77777777" w:rsidR="00746EF3" w:rsidRPr="000B6600" w:rsidRDefault="00746EF3" w:rsidP="00A66E73">
            <w:pPr>
              <w:pStyle w:val="TableText"/>
            </w:pPr>
            <w:r>
              <w:t>Diatom (</w:t>
            </w:r>
            <w:r w:rsidRPr="00385C2B">
              <w:t>Bacillariophyta</w:t>
            </w:r>
            <w:r>
              <w:t>)</w:t>
            </w:r>
          </w:p>
        </w:tc>
        <w:tc>
          <w:tcPr>
            <w:tcW w:w="917" w:type="pct"/>
            <w:shd w:val="clear" w:color="auto" w:fill="auto"/>
          </w:tcPr>
          <w:p w14:paraId="1A18252F" w14:textId="70269E06" w:rsidR="00746EF3" w:rsidRPr="00F95492" w:rsidRDefault="00746EF3" w:rsidP="00A66E73">
            <w:pPr>
              <w:pStyle w:val="TableText"/>
            </w:pPr>
            <w:proofErr w:type="spellStart"/>
            <w:r w:rsidRPr="00F95492">
              <w:rPr>
                <w:rStyle w:val="Emphasis"/>
              </w:rPr>
              <w:t>Encyonema</w:t>
            </w:r>
            <w:proofErr w:type="spellEnd"/>
            <w:r w:rsidRPr="00F95492">
              <w:rPr>
                <w:rStyle w:val="Emphasis"/>
              </w:rPr>
              <w:t xml:space="preserve"> </w:t>
            </w:r>
            <w:proofErr w:type="spellStart"/>
            <w:r w:rsidRPr="00F95492">
              <w:rPr>
                <w:rStyle w:val="Emphasis"/>
              </w:rPr>
              <w:t>silesiacum</w:t>
            </w:r>
            <w:proofErr w:type="spellEnd"/>
            <w:r>
              <w:t xml:space="preserve"> </w:t>
            </w:r>
            <w:r w:rsidRPr="0073464D">
              <w:rPr>
                <w:rStyle w:val="Strong"/>
                <w:vertAlign w:val="superscript"/>
              </w:rPr>
              <w:t>d</w:t>
            </w:r>
          </w:p>
        </w:tc>
        <w:tc>
          <w:tcPr>
            <w:tcW w:w="765" w:type="pct"/>
            <w:shd w:val="clear" w:color="auto" w:fill="auto"/>
          </w:tcPr>
          <w:p w14:paraId="2B573878" w14:textId="77777777" w:rsidR="00746EF3" w:rsidRPr="000B6600" w:rsidRDefault="00746EF3" w:rsidP="00A66E73">
            <w:pPr>
              <w:pStyle w:val="TableText"/>
            </w:pPr>
            <w:r>
              <w:t>Exponential growth phase</w:t>
            </w:r>
          </w:p>
        </w:tc>
        <w:tc>
          <w:tcPr>
            <w:tcW w:w="534" w:type="pct"/>
            <w:shd w:val="clear" w:color="auto" w:fill="auto"/>
          </w:tcPr>
          <w:p w14:paraId="4C1E1681" w14:textId="77777777" w:rsidR="00746EF3" w:rsidRPr="000B6600" w:rsidRDefault="00746EF3" w:rsidP="00A66E73">
            <w:pPr>
              <w:pStyle w:val="TableText"/>
            </w:pPr>
            <w:r>
              <w:t>4</w:t>
            </w:r>
          </w:p>
        </w:tc>
        <w:tc>
          <w:tcPr>
            <w:tcW w:w="535" w:type="pct"/>
            <w:shd w:val="clear" w:color="auto" w:fill="auto"/>
          </w:tcPr>
          <w:p w14:paraId="39523492" w14:textId="77777777" w:rsidR="00746EF3" w:rsidRPr="00385C2B" w:rsidRDefault="00746EF3" w:rsidP="00A66E73">
            <w:pPr>
              <w:pStyle w:val="TableText"/>
            </w:pPr>
            <w:r w:rsidRPr="00385C2B">
              <w:t>Chronic EC10</w:t>
            </w:r>
          </w:p>
        </w:tc>
        <w:tc>
          <w:tcPr>
            <w:tcW w:w="688" w:type="pct"/>
            <w:shd w:val="clear" w:color="auto" w:fill="auto"/>
          </w:tcPr>
          <w:p w14:paraId="21B7997C" w14:textId="77777777" w:rsidR="00746EF3" w:rsidRPr="00385C2B" w:rsidRDefault="00746EF3" w:rsidP="00A66E73">
            <w:pPr>
              <w:pStyle w:val="TableText"/>
            </w:pPr>
            <w:r>
              <w:t>Chlorophyll-a content</w:t>
            </w:r>
          </w:p>
        </w:tc>
        <w:tc>
          <w:tcPr>
            <w:tcW w:w="664" w:type="pct"/>
            <w:shd w:val="clear" w:color="auto" w:fill="auto"/>
          </w:tcPr>
          <w:p w14:paraId="1B87F8B9" w14:textId="129BE69E" w:rsidR="00746EF3" w:rsidRPr="00385C2B" w:rsidRDefault="00746EF3" w:rsidP="00A66E73">
            <w:pPr>
              <w:pStyle w:val="TableText"/>
            </w:pPr>
            <w:r w:rsidRPr="00385C2B">
              <w:t>1</w:t>
            </w:r>
            <w:r>
              <w:t> 048</w:t>
            </w:r>
          </w:p>
        </w:tc>
      </w:tr>
      <w:tr w:rsidR="00C40074" w:rsidRPr="000B6600" w14:paraId="22E9FFAE" w14:textId="77777777" w:rsidTr="008A76E8">
        <w:trPr>
          <w:cantSplit/>
          <w:jc w:val="center"/>
        </w:trPr>
        <w:tc>
          <w:tcPr>
            <w:tcW w:w="896" w:type="pct"/>
            <w:shd w:val="clear" w:color="auto" w:fill="auto"/>
          </w:tcPr>
          <w:p w14:paraId="04DF8F66" w14:textId="77777777" w:rsidR="00746EF3" w:rsidRPr="000B6600" w:rsidRDefault="00746EF3" w:rsidP="00A66E73">
            <w:pPr>
              <w:pStyle w:val="TableText"/>
            </w:pPr>
            <w:r>
              <w:t>Diatom (</w:t>
            </w:r>
            <w:r w:rsidRPr="00385C2B">
              <w:t>Bacillariophyta</w:t>
            </w:r>
            <w:r>
              <w:t>)</w:t>
            </w:r>
          </w:p>
        </w:tc>
        <w:tc>
          <w:tcPr>
            <w:tcW w:w="917" w:type="pct"/>
            <w:shd w:val="clear" w:color="auto" w:fill="auto"/>
          </w:tcPr>
          <w:p w14:paraId="0F8CF8D3" w14:textId="148937C8" w:rsidR="00746EF3" w:rsidRPr="00F95492" w:rsidRDefault="00746EF3" w:rsidP="00A66E73">
            <w:pPr>
              <w:pStyle w:val="TableText"/>
            </w:pPr>
            <w:r w:rsidRPr="00F95492">
              <w:rPr>
                <w:rStyle w:val="Emphasis"/>
              </w:rPr>
              <w:t xml:space="preserve">Fragilaria </w:t>
            </w:r>
            <w:proofErr w:type="spellStart"/>
            <w:r w:rsidRPr="00F95492">
              <w:rPr>
                <w:rStyle w:val="Emphasis"/>
              </w:rPr>
              <w:t>capucina</w:t>
            </w:r>
            <w:proofErr w:type="spellEnd"/>
            <w:r w:rsidRPr="00F95492">
              <w:t xml:space="preserve"> var </w:t>
            </w:r>
            <w:proofErr w:type="spellStart"/>
            <w:r w:rsidRPr="00F95492">
              <w:rPr>
                <w:rStyle w:val="Emphasis"/>
              </w:rPr>
              <w:t>vaucheriae</w:t>
            </w:r>
            <w:proofErr w:type="spellEnd"/>
            <w:r>
              <w:t xml:space="preserve"> </w:t>
            </w:r>
            <w:r w:rsidRPr="0073464D">
              <w:rPr>
                <w:rStyle w:val="Strong"/>
                <w:vertAlign w:val="superscript"/>
              </w:rPr>
              <w:t>d</w:t>
            </w:r>
          </w:p>
        </w:tc>
        <w:tc>
          <w:tcPr>
            <w:tcW w:w="765" w:type="pct"/>
            <w:shd w:val="clear" w:color="auto" w:fill="auto"/>
          </w:tcPr>
          <w:p w14:paraId="2E32760B" w14:textId="77777777" w:rsidR="00746EF3" w:rsidRPr="000B6600" w:rsidRDefault="00746EF3" w:rsidP="00A66E73">
            <w:pPr>
              <w:pStyle w:val="TableText"/>
            </w:pPr>
            <w:r>
              <w:t>Not stated</w:t>
            </w:r>
          </w:p>
        </w:tc>
        <w:tc>
          <w:tcPr>
            <w:tcW w:w="534" w:type="pct"/>
            <w:shd w:val="clear" w:color="auto" w:fill="auto"/>
          </w:tcPr>
          <w:p w14:paraId="60E75118" w14:textId="77777777" w:rsidR="00746EF3" w:rsidRPr="000B6600" w:rsidRDefault="00746EF3" w:rsidP="00A66E73">
            <w:pPr>
              <w:pStyle w:val="TableText"/>
            </w:pPr>
            <w:r>
              <w:t>4</w:t>
            </w:r>
          </w:p>
        </w:tc>
        <w:tc>
          <w:tcPr>
            <w:tcW w:w="535" w:type="pct"/>
            <w:shd w:val="clear" w:color="auto" w:fill="auto"/>
          </w:tcPr>
          <w:p w14:paraId="251F0267" w14:textId="77777777" w:rsidR="00746EF3" w:rsidRPr="00385C2B" w:rsidRDefault="00746EF3" w:rsidP="00A66E73">
            <w:pPr>
              <w:pStyle w:val="TableText"/>
            </w:pPr>
            <w:r w:rsidRPr="00385C2B">
              <w:t>Chronic EC10</w:t>
            </w:r>
          </w:p>
        </w:tc>
        <w:tc>
          <w:tcPr>
            <w:tcW w:w="688" w:type="pct"/>
            <w:shd w:val="clear" w:color="auto" w:fill="auto"/>
          </w:tcPr>
          <w:p w14:paraId="31ABE67C" w14:textId="77777777" w:rsidR="00746EF3" w:rsidRPr="00385C2B" w:rsidRDefault="00746EF3" w:rsidP="00A66E73">
            <w:pPr>
              <w:pStyle w:val="TableText"/>
              <w:rPr>
                <w:b/>
              </w:rPr>
            </w:pPr>
            <w:r>
              <w:t>Chlorophyll-a content</w:t>
            </w:r>
          </w:p>
        </w:tc>
        <w:tc>
          <w:tcPr>
            <w:tcW w:w="664" w:type="pct"/>
            <w:shd w:val="clear" w:color="auto" w:fill="auto"/>
          </w:tcPr>
          <w:p w14:paraId="2AB5FE50" w14:textId="77777777" w:rsidR="00746EF3" w:rsidRPr="00385C2B" w:rsidRDefault="00746EF3" w:rsidP="00A66E73">
            <w:pPr>
              <w:pStyle w:val="TableText"/>
            </w:pPr>
            <w:r w:rsidRPr="00385C2B">
              <w:t>90</w:t>
            </w:r>
          </w:p>
        </w:tc>
      </w:tr>
      <w:tr w:rsidR="00C40074" w:rsidRPr="000B6600" w14:paraId="5372C48C" w14:textId="77777777" w:rsidTr="008A76E8">
        <w:trPr>
          <w:cantSplit/>
          <w:jc w:val="center"/>
        </w:trPr>
        <w:tc>
          <w:tcPr>
            <w:tcW w:w="896" w:type="pct"/>
            <w:shd w:val="clear" w:color="auto" w:fill="auto"/>
          </w:tcPr>
          <w:p w14:paraId="06028E08" w14:textId="77777777" w:rsidR="00746EF3" w:rsidRPr="000B6600" w:rsidRDefault="00746EF3" w:rsidP="00A66E73">
            <w:pPr>
              <w:pStyle w:val="TableText"/>
            </w:pPr>
            <w:r>
              <w:t>Diatom (</w:t>
            </w:r>
            <w:r w:rsidRPr="00385C2B">
              <w:t>Bacillariophyta</w:t>
            </w:r>
            <w:r>
              <w:t>)</w:t>
            </w:r>
          </w:p>
        </w:tc>
        <w:tc>
          <w:tcPr>
            <w:tcW w:w="917" w:type="pct"/>
            <w:shd w:val="clear" w:color="auto" w:fill="auto"/>
          </w:tcPr>
          <w:p w14:paraId="2B0F77E3" w14:textId="6F2DA0D6" w:rsidR="00746EF3" w:rsidRPr="00F95492" w:rsidRDefault="00746EF3" w:rsidP="00A66E73">
            <w:pPr>
              <w:pStyle w:val="TableText"/>
            </w:pPr>
            <w:proofErr w:type="spellStart"/>
            <w:r w:rsidRPr="00F95492">
              <w:rPr>
                <w:rStyle w:val="Emphasis"/>
              </w:rPr>
              <w:t>Gomphonema</w:t>
            </w:r>
            <w:proofErr w:type="spellEnd"/>
            <w:r w:rsidRPr="00F95492">
              <w:rPr>
                <w:rStyle w:val="Emphasis"/>
              </w:rPr>
              <w:t xml:space="preserve"> gracile</w:t>
            </w:r>
            <w:r>
              <w:t xml:space="preserve"> </w:t>
            </w:r>
            <w:r w:rsidRPr="0073464D">
              <w:rPr>
                <w:rStyle w:val="Strong"/>
                <w:vertAlign w:val="superscript"/>
              </w:rPr>
              <w:t>d</w:t>
            </w:r>
          </w:p>
        </w:tc>
        <w:tc>
          <w:tcPr>
            <w:tcW w:w="765" w:type="pct"/>
            <w:shd w:val="clear" w:color="auto" w:fill="auto"/>
          </w:tcPr>
          <w:p w14:paraId="0B771509" w14:textId="77777777" w:rsidR="00746EF3" w:rsidRPr="000B6600" w:rsidRDefault="00746EF3" w:rsidP="00A66E73">
            <w:pPr>
              <w:pStyle w:val="TableText"/>
            </w:pPr>
            <w:r>
              <w:t>Exponential growth phase</w:t>
            </w:r>
          </w:p>
        </w:tc>
        <w:tc>
          <w:tcPr>
            <w:tcW w:w="534" w:type="pct"/>
            <w:shd w:val="clear" w:color="auto" w:fill="auto"/>
          </w:tcPr>
          <w:p w14:paraId="726EBE60" w14:textId="77777777" w:rsidR="00746EF3" w:rsidRPr="000B6600" w:rsidRDefault="00746EF3" w:rsidP="00A66E73">
            <w:pPr>
              <w:pStyle w:val="TableText"/>
            </w:pPr>
            <w:r>
              <w:t>7</w:t>
            </w:r>
          </w:p>
        </w:tc>
        <w:tc>
          <w:tcPr>
            <w:tcW w:w="535" w:type="pct"/>
            <w:shd w:val="clear" w:color="auto" w:fill="auto"/>
          </w:tcPr>
          <w:p w14:paraId="1D8A6D5A" w14:textId="77777777" w:rsidR="00746EF3" w:rsidRPr="000B6600" w:rsidRDefault="00746EF3" w:rsidP="00A66E73">
            <w:pPr>
              <w:pStyle w:val="TableText"/>
            </w:pPr>
            <w:r w:rsidRPr="00385C2B">
              <w:t>Chronic NOEC</w:t>
            </w:r>
          </w:p>
        </w:tc>
        <w:tc>
          <w:tcPr>
            <w:tcW w:w="688" w:type="pct"/>
            <w:shd w:val="clear" w:color="auto" w:fill="auto"/>
          </w:tcPr>
          <w:p w14:paraId="6291CE90" w14:textId="77777777" w:rsidR="00746EF3" w:rsidRPr="000B6600" w:rsidRDefault="00746EF3" w:rsidP="00A66E73">
            <w:pPr>
              <w:pStyle w:val="TableText"/>
            </w:pPr>
            <w:r>
              <w:t>Live cell density</w:t>
            </w:r>
          </w:p>
        </w:tc>
        <w:tc>
          <w:tcPr>
            <w:tcW w:w="664" w:type="pct"/>
            <w:shd w:val="clear" w:color="auto" w:fill="auto"/>
          </w:tcPr>
          <w:p w14:paraId="0EAE6559" w14:textId="77777777" w:rsidR="00746EF3" w:rsidRPr="00385C2B" w:rsidRDefault="00746EF3" w:rsidP="00A66E73">
            <w:pPr>
              <w:pStyle w:val="TableText"/>
            </w:pPr>
            <w:r w:rsidRPr="00385C2B">
              <w:t>1</w:t>
            </w:r>
          </w:p>
        </w:tc>
      </w:tr>
      <w:tr w:rsidR="00C40074" w:rsidRPr="000B6600" w14:paraId="598E6EB1" w14:textId="77777777" w:rsidTr="008A76E8">
        <w:trPr>
          <w:cantSplit/>
          <w:jc w:val="center"/>
        </w:trPr>
        <w:tc>
          <w:tcPr>
            <w:tcW w:w="896" w:type="pct"/>
            <w:shd w:val="clear" w:color="auto" w:fill="auto"/>
          </w:tcPr>
          <w:p w14:paraId="74EB180E" w14:textId="77777777" w:rsidR="00746EF3" w:rsidRPr="000B6600" w:rsidRDefault="00746EF3" w:rsidP="00A66E73">
            <w:pPr>
              <w:pStyle w:val="TableText"/>
            </w:pPr>
            <w:r>
              <w:t>Diatom (</w:t>
            </w:r>
            <w:r w:rsidRPr="00385C2B">
              <w:t>Bacillariophyta</w:t>
            </w:r>
            <w:r>
              <w:t>)</w:t>
            </w:r>
          </w:p>
        </w:tc>
        <w:tc>
          <w:tcPr>
            <w:tcW w:w="917" w:type="pct"/>
            <w:shd w:val="clear" w:color="auto" w:fill="auto"/>
          </w:tcPr>
          <w:p w14:paraId="7A06D22F" w14:textId="77777777" w:rsidR="00746EF3" w:rsidRPr="00F95492" w:rsidRDefault="00746EF3" w:rsidP="00A66E73">
            <w:pPr>
              <w:pStyle w:val="TableText"/>
              <w:rPr>
                <w:rStyle w:val="Emphasis"/>
              </w:rPr>
            </w:pPr>
            <w:proofErr w:type="spellStart"/>
            <w:r w:rsidRPr="00F95492">
              <w:rPr>
                <w:rStyle w:val="Emphasis"/>
              </w:rPr>
              <w:t>Gomphonema</w:t>
            </w:r>
            <w:proofErr w:type="spellEnd"/>
            <w:r w:rsidRPr="00F95492">
              <w:rPr>
                <w:rStyle w:val="Emphasis"/>
              </w:rPr>
              <w:t xml:space="preserve"> </w:t>
            </w:r>
            <w:proofErr w:type="spellStart"/>
            <w:r w:rsidRPr="00F95492">
              <w:rPr>
                <w:rStyle w:val="Emphasis"/>
              </w:rPr>
              <w:t>parvulum</w:t>
            </w:r>
            <w:proofErr w:type="spellEnd"/>
          </w:p>
        </w:tc>
        <w:tc>
          <w:tcPr>
            <w:tcW w:w="765" w:type="pct"/>
            <w:shd w:val="clear" w:color="auto" w:fill="auto"/>
          </w:tcPr>
          <w:p w14:paraId="72BA5413" w14:textId="77777777" w:rsidR="00746EF3" w:rsidRPr="000B6600" w:rsidRDefault="00746EF3" w:rsidP="00A66E73">
            <w:pPr>
              <w:pStyle w:val="TableText"/>
            </w:pPr>
            <w:r>
              <w:t>Exponential growth phase</w:t>
            </w:r>
          </w:p>
        </w:tc>
        <w:tc>
          <w:tcPr>
            <w:tcW w:w="534" w:type="pct"/>
            <w:shd w:val="clear" w:color="auto" w:fill="auto"/>
          </w:tcPr>
          <w:p w14:paraId="7138589B" w14:textId="77777777" w:rsidR="00746EF3" w:rsidRPr="000B6600" w:rsidRDefault="00746EF3" w:rsidP="00A66E73">
            <w:pPr>
              <w:pStyle w:val="TableText"/>
            </w:pPr>
            <w:r>
              <w:t>4</w:t>
            </w:r>
          </w:p>
        </w:tc>
        <w:tc>
          <w:tcPr>
            <w:tcW w:w="535" w:type="pct"/>
            <w:shd w:val="clear" w:color="auto" w:fill="auto"/>
          </w:tcPr>
          <w:p w14:paraId="19AC2E51" w14:textId="77777777" w:rsidR="00746EF3" w:rsidRPr="000B6600" w:rsidRDefault="00746EF3" w:rsidP="00A66E73">
            <w:pPr>
              <w:pStyle w:val="TableText"/>
            </w:pPr>
            <w:r w:rsidRPr="00385C2B">
              <w:t>Chronic EC10</w:t>
            </w:r>
          </w:p>
        </w:tc>
        <w:tc>
          <w:tcPr>
            <w:tcW w:w="688" w:type="pct"/>
            <w:shd w:val="clear" w:color="auto" w:fill="auto"/>
          </w:tcPr>
          <w:p w14:paraId="7D79A493" w14:textId="77777777" w:rsidR="00746EF3" w:rsidRPr="000B6600" w:rsidRDefault="00746EF3" w:rsidP="00A66E73">
            <w:pPr>
              <w:pStyle w:val="TableText"/>
            </w:pPr>
            <w:r>
              <w:t>Chlorophyll-a content</w:t>
            </w:r>
          </w:p>
        </w:tc>
        <w:tc>
          <w:tcPr>
            <w:tcW w:w="664" w:type="pct"/>
            <w:shd w:val="clear" w:color="auto" w:fill="auto"/>
          </w:tcPr>
          <w:p w14:paraId="3EABA2B9" w14:textId="0D03546A" w:rsidR="00746EF3" w:rsidRPr="00385C2B" w:rsidRDefault="00746EF3" w:rsidP="00A66E73">
            <w:pPr>
              <w:pStyle w:val="TableText"/>
            </w:pPr>
            <w:r w:rsidRPr="00385C2B">
              <w:t>6</w:t>
            </w:r>
            <w:r>
              <w:t> 384</w:t>
            </w:r>
          </w:p>
        </w:tc>
      </w:tr>
      <w:tr w:rsidR="00C40074" w:rsidRPr="000B6600" w14:paraId="61C73886" w14:textId="77777777" w:rsidTr="008A76E8">
        <w:trPr>
          <w:cantSplit/>
          <w:jc w:val="center"/>
        </w:trPr>
        <w:tc>
          <w:tcPr>
            <w:tcW w:w="896" w:type="pct"/>
            <w:shd w:val="clear" w:color="auto" w:fill="auto"/>
          </w:tcPr>
          <w:p w14:paraId="48397430" w14:textId="77777777" w:rsidR="00746EF3" w:rsidRPr="000B6600" w:rsidRDefault="00746EF3" w:rsidP="00A66E73">
            <w:pPr>
              <w:pStyle w:val="TableText"/>
            </w:pPr>
            <w:r w:rsidRPr="00385C2B">
              <w:t>Macrophyte</w:t>
            </w:r>
            <w:r>
              <w:t xml:space="preserve"> (</w:t>
            </w:r>
            <w:proofErr w:type="spellStart"/>
            <w:r w:rsidRPr="00385C2B">
              <w:t>Tracheophyta</w:t>
            </w:r>
            <w:proofErr w:type="spellEnd"/>
            <w:r>
              <w:t>)</w:t>
            </w:r>
          </w:p>
        </w:tc>
        <w:tc>
          <w:tcPr>
            <w:tcW w:w="917" w:type="pct"/>
            <w:shd w:val="clear" w:color="auto" w:fill="auto"/>
          </w:tcPr>
          <w:p w14:paraId="5F2B20E4" w14:textId="77777777" w:rsidR="00746EF3" w:rsidRPr="00F95492" w:rsidRDefault="00746EF3" w:rsidP="00A66E73">
            <w:pPr>
              <w:pStyle w:val="TableText"/>
              <w:rPr>
                <w:rStyle w:val="Emphasis"/>
              </w:rPr>
            </w:pPr>
            <w:proofErr w:type="spellStart"/>
            <w:r w:rsidRPr="00F95492">
              <w:rPr>
                <w:rStyle w:val="Emphasis"/>
              </w:rPr>
              <w:t>Lemna</w:t>
            </w:r>
            <w:proofErr w:type="spellEnd"/>
            <w:r w:rsidRPr="00F95492">
              <w:rPr>
                <w:rStyle w:val="Emphasis"/>
              </w:rPr>
              <w:t xml:space="preserve"> </w:t>
            </w:r>
            <w:proofErr w:type="spellStart"/>
            <w:r w:rsidRPr="00F95492">
              <w:rPr>
                <w:rStyle w:val="Emphasis"/>
              </w:rPr>
              <w:t>gibba</w:t>
            </w:r>
            <w:proofErr w:type="spellEnd"/>
          </w:p>
        </w:tc>
        <w:tc>
          <w:tcPr>
            <w:tcW w:w="765" w:type="pct"/>
            <w:shd w:val="clear" w:color="auto" w:fill="auto"/>
          </w:tcPr>
          <w:p w14:paraId="1499A14C" w14:textId="77777777" w:rsidR="00746EF3" w:rsidRPr="000B6600" w:rsidRDefault="00746EF3" w:rsidP="00A66E73">
            <w:pPr>
              <w:pStyle w:val="TableText"/>
            </w:pPr>
            <w:r>
              <w:t>Stage 3 (3 fronds/plants)</w:t>
            </w:r>
          </w:p>
        </w:tc>
        <w:tc>
          <w:tcPr>
            <w:tcW w:w="534" w:type="pct"/>
            <w:shd w:val="clear" w:color="auto" w:fill="auto"/>
          </w:tcPr>
          <w:p w14:paraId="64CDAB9C" w14:textId="77777777" w:rsidR="00746EF3" w:rsidRPr="000B6600" w:rsidRDefault="00746EF3" w:rsidP="00A66E73">
            <w:pPr>
              <w:pStyle w:val="TableText"/>
            </w:pPr>
            <w:r>
              <w:t>14</w:t>
            </w:r>
          </w:p>
        </w:tc>
        <w:tc>
          <w:tcPr>
            <w:tcW w:w="535" w:type="pct"/>
            <w:shd w:val="clear" w:color="auto" w:fill="auto"/>
          </w:tcPr>
          <w:p w14:paraId="413D790E" w14:textId="77777777" w:rsidR="00746EF3" w:rsidRPr="000B6600" w:rsidRDefault="00746EF3" w:rsidP="00A66E73">
            <w:pPr>
              <w:pStyle w:val="TableText"/>
            </w:pPr>
            <w:r w:rsidRPr="00385C2B">
              <w:t>Chronic NOEL</w:t>
            </w:r>
          </w:p>
        </w:tc>
        <w:tc>
          <w:tcPr>
            <w:tcW w:w="688" w:type="pct"/>
            <w:shd w:val="clear" w:color="auto" w:fill="auto"/>
          </w:tcPr>
          <w:p w14:paraId="6E59F1D0" w14:textId="77777777" w:rsidR="00746EF3" w:rsidRPr="000B6600" w:rsidRDefault="00746EF3" w:rsidP="00A66E73">
            <w:pPr>
              <w:pStyle w:val="TableText"/>
            </w:pPr>
            <w:r>
              <w:t>Frond number</w:t>
            </w:r>
          </w:p>
        </w:tc>
        <w:tc>
          <w:tcPr>
            <w:tcW w:w="664" w:type="pct"/>
            <w:shd w:val="clear" w:color="auto" w:fill="auto"/>
          </w:tcPr>
          <w:p w14:paraId="0B9EAFB4" w14:textId="77777777" w:rsidR="00746EF3" w:rsidRPr="00385C2B" w:rsidRDefault="00746EF3" w:rsidP="00A66E73">
            <w:pPr>
              <w:pStyle w:val="TableText"/>
            </w:pPr>
            <w:r w:rsidRPr="00385C2B">
              <w:t>8.4</w:t>
            </w:r>
          </w:p>
        </w:tc>
      </w:tr>
      <w:tr w:rsidR="00C40074" w:rsidRPr="000B6600" w14:paraId="4CDB46DB" w14:textId="77777777" w:rsidTr="008A76E8">
        <w:trPr>
          <w:cantSplit/>
          <w:jc w:val="center"/>
        </w:trPr>
        <w:tc>
          <w:tcPr>
            <w:tcW w:w="896" w:type="pct"/>
            <w:shd w:val="clear" w:color="auto" w:fill="auto"/>
          </w:tcPr>
          <w:p w14:paraId="32D045FF" w14:textId="77777777" w:rsidR="00746EF3" w:rsidRPr="000B6600" w:rsidRDefault="00746EF3" w:rsidP="00A66E73">
            <w:pPr>
              <w:pStyle w:val="TableText"/>
            </w:pPr>
            <w:r>
              <w:t>Diatom (</w:t>
            </w:r>
            <w:r w:rsidRPr="00385C2B">
              <w:t>Bacillariophyta</w:t>
            </w:r>
            <w:r>
              <w:t>)</w:t>
            </w:r>
          </w:p>
        </w:tc>
        <w:tc>
          <w:tcPr>
            <w:tcW w:w="917" w:type="pct"/>
            <w:shd w:val="clear" w:color="auto" w:fill="auto"/>
          </w:tcPr>
          <w:p w14:paraId="7B1A0EE4" w14:textId="77777777" w:rsidR="00746EF3" w:rsidRPr="00F95492" w:rsidRDefault="00746EF3" w:rsidP="00A66E73">
            <w:pPr>
              <w:pStyle w:val="TableText"/>
              <w:rPr>
                <w:rStyle w:val="Emphasis"/>
              </w:rPr>
            </w:pPr>
            <w:proofErr w:type="spellStart"/>
            <w:r w:rsidRPr="00F95492">
              <w:rPr>
                <w:rStyle w:val="Emphasis"/>
              </w:rPr>
              <w:t>Mayamaea</w:t>
            </w:r>
            <w:proofErr w:type="spellEnd"/>
            <w:r w:rsidRPr="00F95492">
              <w:rPr>
                <w:rStyle w:val="Emphasis"/>
              </w:rPr>
              <w:t xml:space="preserve"> </w:t>
            </w:r>
            <w:proofErr w:type="spellStart"/>
            <w:r w:rsidRPr="00F95492">
              <w:rPr>
                <w:rStyle w:val="Emphasis"/>
              </w:rPr>
              <w:t>fossalis</w:t>
            </w:r>
            <w:proofErr w:type="spellEnd"/>
          </w:p>
        </w:tc>
        <w:tc>
          <w:tcPr>
            <w:tcW w:w="765" w:type="pct"/>
            <w:shd w:val="clear" w:color="auto" w:fill="auto"/>
          </w:tcPr>
          <w:p w14:paraId="31BA3711" w14:textId="77777777" w:rsidR="00746EF3" w:rsidRPr="000B6600" w:rsidRDefault="00746EF3" w:rsidP="00A66E73">
            <w:pPr>
              <w:pStyle w:val="TableText"/>
            </w:pPr>
            <w:r>
              <w:t>Exponential growth phase</w:t>
            </w:r>
          </w:p>
        </w:tc>
        <w:tc>
          <w:tcPr>
            <w:tcW w:w="534" w:type="pct"/>
            <w:shd w:val="clear" w:color="auto" w:fill="auto"/>
          </w:tcPr>
          <w:p w14:paraId="4FDF52C7" w14:textId="77777777" w:rsidR="00746EF3" w:rsidRPr="000B6600" w:rsidRDefault="00746EF3" w:rsidP="00A66E73">
            <w:pPr>
              <w:pStyle w:val="TableText"/>
            </w:pPr>
            <w:r>
              <w:t>4</w:t>
            </w:r>
          </w:p>
        </w:tc>
        <w:tc>
          <w:tcPr>
            <w:tcW w:w="535" w:type="pct"/>
            <w:shd w:val="clear" w:color="auto" w:fill="auto"/>
          </w:tcPr>
          <w:p w14:paraId="457780B2" w14:textId="77777777" w:rsidR="00746EF3" w:rsidRPr="000B6600" w:rsidRDefault="00746EF3" w:rsidP="00A66E73">
            <w:pPr>
              <w:pStyle w:val="TableText"/>
            </w:pPr>
            <w:r w:rsidRPr="00385C2B">
              <w:t>Chronic EC10</w:t>
            </w:r>
          </w:p>
        </w:tc>
        <w:tc>
          <w:tcPr>
            <w:tcW w:w="688" w:type="pct"/>
            <w:shd w:val="clear" w:color="auto" w:fill="auto"/>
          </w:tcPr>
          <w:p w14:paraId="149115CB" w14:textId="77777777" w:rsidR="00746EF3" w:rsidRPr="000B6600" w:rsidRDefault="00746EF3" w:rsidP="00A66E73">
            <w:pPr>
              <w:pStyle w:val="TableText"/>
            </w:pPr>
            <w:r>
              <w:t>Chlorophyll-a content</w:t>
            </w:r>
          </w:p>
        </w:tc>
        <w:tc>
          <w:tcPr>
            <w:tcW w:w="664" w:type="pct"/>
            <w:shd w:val="clear" w:color="auto" w:fill="auto"/>
          </w:tcPr>
          <w:p w14:paraId="1CFDBA28" w14:textId="01EAF3C0" w:rsidR="00746EF3" w:rsidRPr="00385C2B" w:rsidRDefault="00746EF3" w:rsidP="00A66E73">
            <w:pPr>
              <w:pStyle w:val="TableText"/>
            </w:pPr>
            <w:r>
              <w:t>863</w:t>
            </w:r>
          </w:p>
        </w:tc>
      </w:tr>
      <w:tr w:rsidR="00C40074" w:rsidRPr="000B6600" w14:paraId="45CE5600" w14:textId="77777777" w:rsidTr="008A76E8">
        <w:trPr>
          <w:cantSplit/>
          <w:jc w:val="center"/>
        </w:trPr>
        <w:tc>
          <w:tcPr>
            <w:tcW w:w="896" w:type="pct"/>
            <w:shd w:val="clear" w:color="auto" w:fill="auto"/>
          </w:tcPr>
          <w:p w14:paraId="133A0D7D" w14:textId="77777777" w:rsidR="00746EF3" w:rsidRPr="000B6600" w:rsidRDefault="00746EF3" w:rsidP="00A66E73">
            <w:pPr>
              <w:pStyle w:val="TableText"/>
            </w:pPr>
            <w:r w:rsidRPr="00385C2B">
              <w:t>Macrophyte</w:t>
            </w:r>
            <w:r>
              <w:t xml:space="preserve"> (</w:t>
            </w:r>
            <w:proofErr w:type="spellStart"/>
            <w:r w:rsidRPr="00385C2B">
              <w:t>Tracheophyta</w:t>
            </w:r>
            <w:proofErr w:type="spellEnd"/>
            <w:r>
              <w:t>)</w:t>
            </w:r>
          </w:p>
        </w:tc>
        <w:tc>
          <w:tcPr>
            <w:tcW w:w="917" w:type="pct"/>
            <w:shd w:val="clear" w:color="auto" w:fill="auto"/>
          </w:tcPr>
          <w:p w14:paraId="3524244A" w14:textId="77777777" w:rsidR="00746EF3" w:rsidRPr="00F95492" w:rsidRDefault="00746EF3" w:rsidP="00A66E73">
            <w:pPr>
              <w:pStyle w:val="TableText"/>
            </w:pPr>
            <w:proofErr w:type="spellStart"/>
            <w:r w:rsidRPr="00F95492">
              <w:rPr>
                <w:rStyle w:val="Emphasis"/>
              </w:rPr>
              <w:t>Najas</w:t>
            </w:r>
            <w:proofErr w:type="spellEnd"/>
            <w:r w:rsidRPr="00F95492">
              <w:t xml:space="preserve"> sp.</w:t>
            </w:r>
          </w:p>
        </w:tc>
        <w:tc>
          <w:tcPr>
            <w:tcW w:w="765" w:type="pct"/>
            <w:shd w:val="clear" w:color="auto" w:fill="auto"/>
          </w:tcPr>
          <w:p w14:paraId="46910758" w14:textId="77777777" w:rsidR="00746EF3" w:rsidRPr="000B6600" w:rsidRDefault="00746EF3" w:rsidP="00A66E73">
            <w:pPr>
              <w:pStyle w:val="TableText"/>
            </w:pPr>
            <w:r>
              <w:t>Not stated</w:t>
            </w:r>
          </w:p>
        </w:tc>
        <w:tc>
          <w:tcPr>
            <w:tcW w:w="534" w:type="pct"/>
            <w:shd w:val="clear" w:color="auto" w:fill="auto"/>
          </w:tcPr>
          <w:p w14:paraId="44D39A5A" w14:textId="77777777" w:rsidR="00746EF3" w:rsidRPr="000B6600" w:rsidRDefault="00746EF3" w:rsidP="00A66E73">
            <w:pPr>
              <w:pStyle w:val="TableText"/>
            </w:pPr>
            <w:r>
              <w:t>14</w:t>
            </w:r>
          </w:p>
        </w:tc>
        <w:tc>
          <w:tcPr>
            <w:tcW w:w="535" w:type="pct"/>
            <w:shd w:val="clear" w:color="auto" w:fill="auto"/>
          </w:tcPr>
          <w:p w14:paraId="04D5514E" w14:textId="3DFA9D0B" w:rsidR="00746EF3" w:rsidRPr="000B6600" w:rsidRDefault="00746EF3" w:rsidP="00A66E73">
            <w:pPr>
              <w:pStyle w:val="TableText"/>
            </w:pPr>
            <w:r>
              <w:t>Chronic EC50</w:t>
            </w:r>
          </w:p>
        </w:tc>
        <w:tc>
          <w:tcPr>
            <w:tcW w:w="688" w:type="pct"/>
            <w:shd w:val="clear" w:color="auto" w:fill="auto"/>
          </w:tcPr>
          <w:p w14:paraId="069CD250" w14:textId="77777777" w:rsidR="00746EF3" w:rsidRPr="000B6600" w:rsidRDefault="00746EF3" w:rsidP="00A66E73">
            <w:pPr>
              <w:pStyle w:val="TableText"/>
            </w:pPr>
            <w:r>
              <w:t>Wet weight</w:t>
            </w:r>
          </w:p>
        </w:tc>
        <w:tc>
          <w:tcPr>
            <w:tcW w:w="664" w:type="pct"/>
            <w:shd w:val="clear" w:color="auto" w:fill="auto"/>
          </w:tcPr>
          <w:p w14:paraId="493D0AA6" w14:textId="77777777" w:rsidR="00746EF3" w:rsidRPr="00385C2B" w:rsidRDefault="00746EF3" w:rsidP="00A66E73">
            <w:pPr>
              <w:pStyle w:val="TableText"/>
            </w:pPr>
            <w:r w:rsidRPr="00385C2B">
              <w:t>48.4</w:t>
            </w:r>
          </w:p>
        </w:tc>
      </w:tr>
      <w:tr w:rsidR="00C40074" w:rsidRPr="000B6600" w14:paraId="28AD5446" w14:textId="77777777" w:rsidTr="008A76E8">
        <w:trPr>
          <w:cantSplit/>
          <w:jc w:val="center"/>
        </w:trPr>
        <w:tc>
          <w:tcPr>
            <w:tcW w:w="896" w:type="pct"/>
            <w:shd w:val="clear" w:color="auto" w:fill="auto"/>
          </w:tcPr>
          <w:p w14:paraId="17C613B9" w14:textId="77777777" w:rsidR="00746EF3" w:rsidRPr="000B6600" w:rsidRDefault="00746EF3" w:rsidP="00A66E73">
            <w:pPr>
              <w:pStyle w:val="TableText"/>
            </w:pPr>
            <w:r>
              <w:t>Diatom (</w:t>
            </w:r>
            <w:r w:rsidRPr="00385C2B">
              <w:t>Bacillariophyta</w:t>
            </w:r>
            <w:r>
              <w:t>)</w:t>
            </w:r>
          </w:p>
        </w:tc>
        <w:tc>
          <w:tcPr>
            <w:tcW w:w="917" w:type="pct"/>
            <w:shd w:val="clear" w:color="auto" w:fill="auto"/>
          </w:tcPr>
          <w:p w14:paraId="24EF4BE4" w14:textId="13B34BDD" w:rsidR="00746EF3" w:rsidRPr="00F95492" w:rsidRDefault="00746EF3" w:rsidP="00A66E73">
            <w:pPr>
              <w:pStyle w:val="TableText"/>
            </w:pPr>
            <w:proofErr w:type="spellStart"/>
            <w:r w:rsidRPr="00F95492">
              <w:rPr>
                <w:rStyle w:val="Emphasis"/>
              </w:rPr>
              <w:t>Navicula</w:t>
            </w:r>
            <w:proofErr w:type="spellEnd"/>
            <w:r w:rsidRPr="00F95492">
              <w:rPr>
                <w:rStyle w:val="Emphasis"/>
              </w:rPr>
              <w:t xml:space="preserve"> </w:t>
            </w:r>
            <w:proofErr w:type="spellStart"/>
            <w:r w:rsidRPr="00F95492">
              <w:rPr>
                <w:rStyle w:val="Emphasis"/>
              </w:rPr>
              <w:t>pelliculosa</w:t>
            </w:r>
            <w:proofErr w:type="spellEnd"/>
            <w:r w:rsidR="00C40074">
              <w:t> </w:t>
            </w:r>
            <w:r w:rsidRPr="0073464D">
              <w:rPr>
                <w:rStyle w:val="Strong"/>
                <w:vertAlign w:val="superscript"/>
              </w:rPr>
              <w:t>d</w:t>
            </w:r>
          </w:p>
        </w:tc>
        <w:tc>
          <w:tcPr>
            <w:tcW w:w="765" w:type="pct"/>
            <w:shd w:val="clear" w:color="auto" w:fill="auto"/>
          </w:tcPr>
          <w:p w14:paraId="0B3F3FB3" w14:textId="77777777" w:rsidR="00746EF3" w:rsidRPr="000B6600" w:rsidRDefault="00746EF3" w:rsidP="00A66E73">
            <w:pPr>
              <w:pStyle w:val="TableText"/>
            </w:pPr>
            <w:r>
              <w:t>Not stated</w:t>
            </w:r>
          </w:p>
        </w:tc>
        <w:tc>
          <w:tcPr>
            <w:tcW w:w="534" w:type="pct"/>
            <w:shd w:val="clear" w:color="auto" w:fill="auto"/>
          </w:tcPr>
          <w:p w14:paraId="147B6FA6" w14:textId="77777777" w:rsidR="00746EF3" w:rsidRPr="000B6600" w:rsidRDefault="00746EF3" w:rsidP="00A66E73">
            <w:pPr>
              <w:pStyle w:val="TableText"/>
            </w:pPr>
            <w:r>
              <w:t>5</w:t>
            </w:r>
          </w:p>
        </w:tc>
        <w:tc>
          <w:tcPr>
            <w:tcW w:w="535" w:type="pct"/>
            <w:shd w:val="clear" w:color="auto" w:fill="auto"/>
          </w:tcPr>
          <w:p w14:paraId="5E7700EE" w14:textId="2373D35D" w:rsidR="00746EF3" w:rsidRPr="000B6600" w:rsidRDefault="00746EF3" w:rsidP="00A66E73">
            <w:pPr>
              <w:pStyle w:val="TableText"/>
            </w:pPr>
            <w:r>
              <w:t>Chronic EC50</w:t>
            </w:r>
          </w:p>
        </w:tc>
        <w:tc>
          <w:tcPr>
            <w:tcW w:w="688" w:type="pct"/>
            <w:shd w:val="clear" w:color="auto" w:fill="auto"/>
          </w:tcPr>
          <w:p w14:paraId="166B8B32" w14:textId="025421C2" w:rsidR="00746EF3" w:rsidRPr="000B6600" w:rsidRDefault="00746EF3" w:rsidP="00A66E73">
            <w:pPr>
              <w:pStyle w:val="TableText"/>
            </w:pPr>
            <w:r>
              <w:t xml:space="preserve">Biomass yield, growth rate, AUC </w:t>
            </w:r>
            <w:r w:rsidRPr="0073464D">
              <w:rPr>
                <w:rStyle w:val="Strong"/>
                <w:vertAlign w:val="superscript"/>
              </w:rPr>
              <w:t>c</w:t>
            </w:r>
          </w:p>
        </w:tc>
        <w:tc>
          <w:tcPr>
            <w:tcW w:w="664" w:type="pct"/>
            <w:shd w:val="clear" w:color="auto" w:fill="auto"/>
          </w:tcPr>
          <w:p w14:paraId="36C7C3BF" w14:textId="77777777" w:rsidR="00746EF3" w:rsidRPr="00385C2B" w:rsidRDefault="00746EF3" w:rsidP="00A66E73">
            <w:pPr>
              <w:pStyle w:val="TableText"/>
            </w:pPr>
            <w:r w:rsidRPr="00385C2B">
              <w:t>76</w:t>
            </w:r>
          </w:p>
        </w:tc>
      </w:tr>
      <w:tr w:rsidR="00C40074" w:rsidRPr="000B6600" w14:paraId="4C7DA1FC" w14:textId="77777777" w:rsidTr="008A76E8">
        <w:trPr>
          <w:cantSplit/>
          <w:jc w:val="center"/>
        </w:trPr>
        <w:tc>
          <w:tcPr>
            <w:tcW w:w="896" w:type="pct"/>
            <w:shd w:val="clear" w:color="auto" w:fill="auto"/>
          </w:tcPr>
          <w:p w14:paraId="1C86CBC3" w14:textId="77777777" w:rsidR="00746EF3" w:rsidRPr="000B6600" w:rsidRDefault="00746EF3" w:rsidP="00A66E73">
            <w:pPr>
              <w:pStyle w:val="TableText"/>
            </w:pPr>
            <w:r w:rsidRPr="00385C2B">
              <w:t>Fish</w:t>
            </w:r>
            <w:r>
              <w:t xml:space="preserve"> (</w:t>
            </w:r>
            <w:r w:rsidRPr="00385C2B">
              <w:t>Chordata</w:t>
            </w:r>
            <w:r>
              <w:t>)</w:t>
            </w:r>
          </w:p>
        </w:tc>
        <w:tc>
          <w:tcPr>
            <w:tcW w:w="917" w:type="pct"/>
            <w:shd w:val="clear" w:color="auto" w:fill="auto"/>
          </w:tcPr>
          <w:p w14:paraId="7A43B281" w14:textId="77777777" w:rsidR="00746EF3" w:rsidRPr="00F95492" w:rsidRDefault="00746EF3" w:rsidP="00A66E73">
            <w:pPr>
              <w:pStyle w:val="TableText"/>
              <w:rPr>
                <w:rStyle w:val="Emphasis"/>
              </w:rPr>
            </w:pPr>
            <w:proofErr w:type="spellStart"/>
            <w:r w:rsidRPr="00F95492">
              <w:rPr>
                <w:rStyle w:val="Emphasis"/>
              </w:rPr>
              <w:t>Pimephales</w:t>
            </w:r>
            <w:proofErr w:type="spellEnd"/>
            <w:r w:rsidRPr="00F95492">
              <w:rPr>
                <w:rStyle w:val="Emphasis"/>
              </w:rPr>
              <w:t xml:space="preserve"> </w:t>
            </w:r>
            <w:proofErr w:type="spellStart"/>
            <w:r w:rsidRPr="00F95492">
              <w:rPr>
                <w:rStyle w:val="Emphasis"/>
              </w:rPr>
              <w:t>promelas</w:t>
            </w:r>
            <w:proofErr w:type="spellEnd"/>
          </w:p>
        </w:tc>
        <w:tc>
          <w:tcPr>
            <w:tcW w:w="765" w:type="pct"/>
            <w:shd w:val="clear" w:color="auto" w:fill="auto"/>
          </w:tcPr>
          <w:p w14:paraId="122407AF" w14:textId="77777777" w:rsidR="00746EF3" w:rsidRPr="000B6600" w:rsidRDefault="00746EF3" w:rsidP="00A66E73">
            <w:pPr>
              <w:pStyle w:val="TableText"/>
            </w:pPr>
            <w:r>
              <w:t>Early life stage</w:t>
            </w:r>
          </w:p>
        </w:tc>
        <w:tc>
          <w:tcPr>
            <w:tcW w:w="534" w:type="pct"/>
            <w:shd w:val="clear" w:color="auto" w:fill="auto"/>
          </w:tcPr>
          <w:p w14:paraId="0B4791FB" w14:textId="77777777" w:rsidR="00746EF3" w:rsidRPr="000B6600" w:rsidRDefault="00746EF3" w:rsidP="00A66E73">
            <w:pPr>
              <w:pStyle w:val="TableText"/>
            </w:pPr>
            <w:r>
              <w:t>35</w:t>
            </w:r>
          </w:p>
        </w:tc>
        <w:tc>
          <w:tcPr>
            <w:tcW w:w="535" w:type="pct"/>
            <w:shd w:val="clear" w:color="auto" w:fill="auto"/>
          </w:tcPr>
          <w:p w14:paraId="53B7EFA6" w14:textId="499CFFCA" w:rsidR="00746EF3" w:rsidRPr="000B6600" w:rsidRDefault="00746EF3" w:rsidP="00A66E73">
            <w:pPr>
              <w:pStyle w:val="TableText"/>
            </w:pPr>
            <w:r>
              <w:t>Chronic LOEC</w:t>
            </w:r>
          </w:p>
        </w:tc>
        <w:tc>
          <w:tcPr>
            <w:tcW w:w="688" w:type="pct"/>
            <w:shd w:val="clear" w:color="auto" w:fill="auto"/>
          </w:tcPr>
          <w:p w14:paraId="52718640" w14:textId="77777777" w:rsidR="00746EF3" w:rsidRPr="000B6600" w:rsidRDefault="00746EF3" w:rsidP="00A66E73">
            <w:pPr>
              <w:pStyle w:val="TableText"/>
            </w:pPr>
            <w:r>
              <w:t>Mortality</w:t>
            </w:r>
          </w:p>
        </w:tc>
        <w:tc>
          <w:tcPr>
            <w:tcW w:w="664" w:type="pct"/>
            <w:shd w:val="clear" w:color="auto" w:fill="auto"/>
          </w:tcPr>
          <w:p w14:paraId="68382202" w14:textId="77777777" w:rsidR="00746EF3" w:rsidRPr="00385C2B" w:rsidRDefault="00746EF3" w:rsidP="00A66E73">
            <w:pPr>
              <w:pStyle w:val="TableText"/>
            </w:pPr>
            <w:r w:rsidRPr="00385C2B">
              <w:t>640</w:t>
            </w:r>
          </w:p>
        </w:tc>
      </w:tr>
      <w:tr w:rsidR="00C40074" w:rsidRPr="000B6600" w14:paraId="20B45173" w14:textId="77777777" w:rsidTr="008A76E8">
        <w:trPr>
          <w:cantSplit/>
          <w:jc w:val="center"/>
        </w:trPr>
        <w:tc>
          <w:tcPr>
            <w:tcW w:w="896" w:type="pct"/>
            <w:shd w:val="clear" w:color="auto" w:fill="auto"/>
          </w:tcPr>
          <w:p w14:paraId="0ABC12AC" w14:textId="77777777" w:rsidR="00746EF3" w:rsidRPr="000B6600" w:rsidRDefault="00746EF3" w:rsidP="00A66E73">
            <w:pPr>
              <w:pStyle w:val="TableText"/>
            </w:pPr>
            <w:r>
              <w:t>Green alga (</w:t>
            </w:r>
            <w:r w:rsidRPr="00385C2B">
              <w:t>Chlorophyta</w:t>
            </w:r>
            <w:r>
              <w:t>)</w:t>
            </w:r>
          </w:p>
        </w:tc>
        <w:tc>
          <w:tcPr>
            <w:tcW w:w="917" w:type="pct"/>
            <w:shd w:val="clear" w:color="auto" w:fill="auto"/>
          </w:tcPr>
          <w:p w14:paraId="6C2506F4" w14:textId="77777777" w:rsidR="00746EF3" w:rsidRPr="00F95492" w:rsidRDefault="00746EF3" w:rsidP="00A66E73">
            <w:pPr>
              <w:pStyle w:val="TableText"/>
              <w:rPr>
                <w:rStyle w:val="Emphasis"/>
              </w:rPr>
            </w:pPr>
            <w:proofErr w:type="spellStart"/>
            <w:r w:rsidRPr="00F95492">
              <w:rPr>
                <w:rStyle w:val="Emphasis"/>
              </w:rPr>
              <w:t>Pseudokirchneriella</w:t>
            </w:r>
            <w:proofErr w:type="spellEnd"/>
            <w:r w:rsidRPr="00F95492">
              <w:rPr>
                <w:rStyle w:val="Emphasis"/>
              </w:rPr>
              <w:t xml:space="preserve"> </w:t>
            </w:r>
            <w:proofErr w:type="spellStart"/>
            <w:r w:rsidRPr="00F95492">
              <w:rPr>
                <w:rStyle w:val="Emphasis"/>
              </w:rPr>
              <w:t>subcapitata</w:t>
            </w:r>
            <w:proofErr w:type="spellEnd"/>
            <w:r>
              <w:rPr>
                <w:rStyle w:val="Emphasis"/>
              </w:rPr>
              <w:t xml:space="preserve"> </w:t>
            </w:r>
            <w:r w:rsidRPr="0073464D">
              <w:rPr>
                <w:rStyle w:val="Strong"/>
                <w:vertAlign w:val="superscript"/>
              </w:rPr>
              <w:t>b</w:t>
            </w:r>
          </w:p>
        </w:tc>
        <w:tc>
          <w:tcPr>
            <w:tcW w:w="765" w:type="pct"/>
            <w:shd w:val="clear" w:color="auto" w:fill="auto"/>
          </w:tcPr>
          <w:p w14:paraId="6388C0DD" w14:textId="77777777" w:rsidR="00746EF3" w:rsidRPr="000B6600" w:rsidRDefault="00746EF3" w:rsidP="00A66E73">
            <w:pPr>
              <w:pStyle w:val="TableText"/>
            </w:pPr>
            <w:r>
              <w:t>Not stated</w:t>
            </w:r>
          </w:p>
        </w:tc>
        <w:tc>
          <w:tcPr>
            <w:tcW w:w="534" w:type="pct"/>
            <w:shd w:val="clear" w:color="auto" w:fill="auto"/>
          </w:tcPr>
          <w:p w14:paraId="105BD2A7" w14:textId="77777777" w:rsidR="00746EF3" w:rsidRPr="000B6600" w:rsidRDefault="00746EF3" w:rsidP="00A66E73">
            <w:pPr>
              <w:pStyle w:val="TableText"/>
            </w:pPr>
            <w:r>
              <w:t>3</w:t>
            </w:r>
          </w:p>
        </w:tc>
        <w:tc>
          <w:tcPr>
            <w:tcW w:w="535" w:type="pct"/>
            <w:shd w:val="clear" w:color="auto" w:fill="auto"/>
          </w:tcPr>
          <w:p w14:paraId="2DAD0784" w14:textId="77777777" w:rsidR="00746EF3" w:rsidRPr="000B6600" w:rsidRDefault="00746EF3" w:rsidP="00A66E73">
            <w:pPr>
              <w:pStyle w:val="TableText"/>
            </w:pPr>
            <w:r w:rsidRPr="00385C2B">
              <w:t>Chronic NOEC</w:t>
            </w:r>
          </w:p>
        </w:tc>
        <w:tc>
          <w:tcPr>
            <w:tcW w:w="688" w:type="pct"/>
            <w:shd w:val="clear" w:color="auto" w:fill="auto"/>
          </w:tcPr>
          <w:p w14:paraId="62062B4B" w14:textId="77777777" w:rsidR="00746EF3" w:rsidRPr="000B6600" w:rsidRDefault="00746EF3" w:rsidP="00A66E73">
            <w:pPr>
              <w:pStyle w:val="TableText"/>
            </w:pPr>
            <w:r>
              <w:t>Cell density</w:t>
            </w:r>
          </w:p>
        </w:tc>
        <w:tc>
          <w:tcPr>
            <w:tcW w:w="664" w:type="pct"/>
            <w:shd w:val="clear" w:color="auto" w:fill="auto"/>
          </w:tcPr>
          <w:p w14:paraId="21B7BC02" w14:textId="77777777" w:rsidR="00746EF3" w:rsidRPr="00385C2B" w:rsidRDefault="00746EF3" w:rsidP="00A66E73">
            <w:pPr>
              <w:pStyle w:val="TableText"/>
            </w:pPr>
            <w:r>
              <w:t>27.4</w:t>
            </w:r>
          </w:p>
        </w:tc>
      </w:tr>
      <w:tr w:rsidR="00C40074" w:rsidRPr="000B6600" w14:paraId="1681B72E" w14:textId="77777777" w:rsidTr="008A76E8">
        <w:trPr>
          <w:cantSplit/>
          <w:jc w:val="center"/>
        </w:trPr>
        <w:tc>
          <w:tcPr>
            <w:tcW w:w="896" w:type="pct"/>
            <w:tcBorders>
              <w:bottom w:val="single" w:sz="4" w:space="0" w:color="auto"/>
            </w:tcBorders>
            <w:shd w:val="clear" w:color="auto" w:fill="auto"/>
          </w:tcPr>
          <w:p w14:paraId="40A56F83" w14:textId="77777777" w:rsidR="00746EF3" w:rsidRPr="000B6600" w:rsidRDefault="00746EF3" w:rsidP="00A66E73">
            <w:pPr>
              <w:pStyle w:val="TableText"/>
            </w:pPr>
            <w:r>
              <w:t>Green alga (</w:t>
            </w:r>
            <w:r w:rsidRPr="00385C2B">
              <w:t>Chlorophyta</w:t>
            </w:r>
            <w:r>
              <w:t>)</w:t>
            </w:r>
          </w:p>
        </w:tc>
        <w:tc>
          <w:tcPr>
            <w:tcW w:w="917" w:type="pct"/>
            <w:tcBorders>
              <w:bottom w:val="single" w:sz="4" w:space="0" w:color="auto"/>
            </w:tcBorders>
            <w:shd w:val="clear" w:color="auto" w:fill="auto"/>
          </w:tcPr>
          <w:p w14:paraId="25B3BA0D" w14:textId="77777777" w:rsidR="00746EF3" w:rsidRPr="00F95492" w:rsidRDefault="00746EF3" w:rsidP="00A66E73">
            <w:pPr>
              <w:pStyle w:val="TableText"/>
              <w:rPr>
                <w:rStyle w:val="Emphasis"/>
              </w:rPr>
            </w:pPr>
            <w:r w:rsidRPr="00F95492">
              <w:rPr>
                <w:rStyle w:val="Emphasis"/>
              </w:rPr>
              <w:t xml:space="preserve">Scenedesmus </w:t>
            </w:r>
            <w:proofErr w:type="spellStart"/>
            <w:r w:rsidRPr="00F95492">
              <w:rPr>
                <w:rStyle w:val="Emphasis"/>
              </w:rPr>
              <w:t>vacuolatus</w:t>
            </w:r>
            <w:proofErr w:type="spellEnd"/>
          </w:p>
        </w:tc>
        <w:tc>
          <w:tcPr>
            <w:tcW w:w="765" w:type="pct"/>
            <w:tcBorders>
              <w:bottom w:val="single" w:sz="4" w:space="0" w:color="auto"/>
            </w:tcBorders>
            <w:shd w:val="clear" w:color="auto" w:fill="auto"/>
          </w:tcPr>
          <w:p w14:paraId="7AF546CE" w14:textId="77777777" w:rsidR="00746EF3" w:rsidRPr="000B6600" w:rsidRDefault="00746EF3" w:rsidP="00A66E73">
            <w:pPr>
              <w:pStyle w:val="TableText"/>
            </w:pPr>
            <w:r>
              <w:t>Exponential growth phase</w:t>
            </w:r>
          </w:p>
        </w:tc>
        <w:tc>
          <w:tcPr>
            <w:tcW w:w="534" w:type="pct"/>
            <w:tcBorders>
              <w:bottom w:val="single" w:sz="4" w:space="0" w:color="auto"/>
            </w:tcBorders>
            <w:shd w:val="clear" w:color="auto" w:fill="auto"/>
          </w:tcPr>
          <w:p w14:paraId="2EAA54FB" w14:textId="77777777" w:rsidR="00746EF3" w:rsidRPr="000B6600" w:rsidRDefault="00746EF3" w:rsidP="00A66E73">
            <w:pPr>
              <w:pStyle w:val="TableText"/>
            </w:pPr>
            <w:r>
              <w:t>2</w:t>
            </w:r>
          </w:p>
        </w:tc>
        <w:tc>
          <w:tcPr>
            <w:tcW w:w="535" w:type="pct"/>
            <w:tcBorders>
              <w:bottom w:val="single" w:sz="4" w:space="0" w:color="auto"/>
            </w:tcBorders>
            <w:shd w:val="clear" w:color="auto" w:fill="auto"/>
          </w:tcPr>
          <w:p w14:paraId="578AFCAC" w14:textId="3FA40E0F" w:rsidR="00746EF3" w:rsidRPr="000B6600" w:rsidRDefault="00746EF3" w:rsidP="00A66E73">
            <w:pPr>
              <w:pStyle w:val="TableText"/>
            </w:pPr>
            <w:r>
              <w:t>Chronic EC50</w:t>
            </w:r>
          </w:p>
        </w:tc>
        <w:tc>
          <w:tcPr>
            <w:tcW w:w="688" w:type="pct"/>
            <w:tcBorders>
              <w:bottom w:val="single" w:sz="4" w:space="0" w:color="auto"/>
            </w:tcBorders>
            <w:shd w:val="clear" w:color="auto" w:fill="auto"/>
          </w:tcPr>
          <w:p w14:paraId="0A0C2403" w14:textId="77777777" w:rsidR="00746EF3" w:rsidRPr="000B6600" w:rsidRDefault="00746EF3" w:rsidP="00A66E73">
            <w:pPr>
              <w:pStyle w:val="TableText"/>
            </w:pPr>
            <w:r>
              <w:t>Cell density</w:t>
            </w:r>
          </w:p>
        </w:tc>
        <w:tc>
          <w:tcPr>
            <w:tcW w:w="664" w:type="pct"/>
            <w:tcBorders>
              <w:bottom w:val="single" w:sz="4" w:space="0" w:color="auto"/>
            </w:tcBorders>
            <w:shd w:val="clear" w:color="auto" w:fill="auto"/>
          </w:tcPr>
          <w:p w14:paraId="0ECE2C2F" w14:textId="77777777" w:rsidR="00746EF3" w:rsidRPr="00385C2B" w:rsidRDefault="00746EF3" w:rsidP="00A66E73">
            <w:pPr>
              <w:pStyle w:val="TableText"/>
            </w:pPr>
            <w:r>
              <w:t>0.53</w:t>
            </w:r>
          </w:p>
        </w:tc>
      </w:tr>
      <w:tr w:rsidR="00C40074" w:rsidRPr="000B6600" w14:paraId="30B8AA33" w14:textId="77777777" w:rsidTr="008A76E8">
        <w:trPr>
          <w:cantSplit/>
          <w:jc w:val="center"/>
        </w:trPr>
        <w:tc>
          <w:tcPr>
            <w:tcW w:w="896" w:type="pct"/>
            <w:tcBorders>
              <w:bottom w:val="single" w:sz="12" w:space="0" w:color="auto"/>
            </w:tcBorders>
            <w:shd w:val="clear" w:color="auto" w:fill="auto"/>
          </w:tcPr>
          <w:p w14:paraId="095D2AB8" w14:textId="77777777" w:rsidR="00746EF3" w:rsidRPr="000B6600" w:rsidRDefault="00746EF3" w:rsidP="00A66E73">
            <w:pPr>
              <w:pStyle w:val="TableText"/>
            </w:pPr>
            <w:r>
              <w:t>Diatom (</w:t>
            </w:r>
            <w:r w:rsidRPr="00385C2B">
              <w:t>Bacillariophyta</w:t>
            </w:r>
            <w:r>
              <w:t>)</w:t>
            </w:r>
          </w:p>
        </w:tc>
        <w:tc>
          <w:tcPr>
            <w:tcW w:w="917" w:type="pct"/>
            <w:tcBorders>
              <w:bottom w:val="single" w:sz="12" w:space="0" w:color="auto"/>
            </w:tcBorders>
            <w:shd w:val="clear" w:color="auto" w:fill="auto"/>
          </w:tcPr>
          <w:p w14:paraId="563C8180" w14:textId="709FBE3B" w:rsidR="00746EF3" w:rsidRPr="00F95492" w:rsidRDefault="00746EF3" w:rsidP="00A66E73">
            <w:pPr>
              <w:pStyle w:val="TableText"/>
            </w:pPr>
            <w:proofErr w:type="spellStart"/>
            <w:r w:rsidRPr="00F95492">
              <w:rPr>
                <w:rStyle w:val="Emphasis"/>
              </w:rPr>
              <w:t>Ulnaria</w:t>
            </w:r>
            <w:proofErr w:type="spellEnd"/>
            <w:r w:rsidRPr="00F95492">
              <w:rPr>
                <w:rStyle w:val="Emphasis"/>
              </w:rPr>
              <w:t xml:space="preserve"> ulna</w:t>
            </w:r>
            <w:r>
              <w:rPr>
                <w:rStyle w:val="Emphasis"/>
              </w:rPr>
              <w:t xml:space="preserve"> </w:t>
            </w:r>
            <w:r w:rsidRPr="0073464D">
              <w:rPr>
                <w:rStyle w:val="Strong"/>
                <w:vertAlign w:val="superscript"/>
              </w:rPr>
              <w:t>d</w:t>
            </w:r>
          </w:p>
        </w:tc>
        <w:tc>
          <w:tcPr>
            <w:tcW w:w="765" w:type="pct"/>
            <w:tcBorders>
              <w:bottom w:val="single" w:sz="12" w:space="0" w:color="auto"/>
            </w:tcBorders>
            <w:shd w:val="clear" w:color="auto" w:fill="auto"/>
          </w:tcPr>
          <w:p w14:paraId="6A40EF3A" w14:textId="77777777" w:rsidR="00746EF3" w:rsidRPr="000B6600" w:rsidRDefault="00746EF3" w:rsidP="00A66E73">
            <w:pPr>
              <w:pStyle w:val="TableText"/>
            </w:pPr>
            <w:r>
              <w:t>Exponential growth phase</w:t>
            </w:r>
          </w:p>
        </w:tc>
        <w:tc>
          <w:tcPr>
            <w:tcW w:w="534" w:type="pct"/>
            <w:tcBorders>
              <w:bottom w:val="single" w:sz="12" w:space="0" w:color="auto"/>
            </w:tcBorders>
            <w:shd w:val="clear" w:color="auto" w:fill="auto"/>
          </w:tcPr>
          <w:p w14:paraId="58267B35" w14:textId="77777777" w:rsidR="00746EF3" w:rsidRPr="000B6600" w:rsidRDefault="00746EF3" w:rsidP="00A66E73">
            <w:pPr>
              <w:pStyle w:val="TableText"/>
            </w:pPr>
            <w:r>
              <w:t>4</w:t>
            </w:r>
          </w:p>
        </w:tc>
        <w:tc>
          <w:tcPr>
            <w:tcW w:w="535" w:type="pct"/>
            <w:tcBorders>
              <w:bottom w:val="single" w:sz="12" w:space="0" w:color="auto"/>
            </w:tcBorders>
            <w:shd w:val="clear" w:color="auto" w:fill="auto"/>
          </w:tcPr>
          <w:p w14:paraId="575172C0" w14:textId="77777777" w:rsidR="00746EF3" w:rsidRPr="000B6600" w:rsidRDefault="00746EF3" w:rsidP="00A66E73">
            <w:pPr>
              <w:pStyle w:val="TableText"/>
            </w:pPr>
            <w:r w:rsidRPr="00385C2B">
              <w:t>Chronic EC10</w:t>
            </w:r>
          </w:p>
        </w:tc>
        <w:tc>
          <w:tcPr>
            <w:tcW w:w="688" w:type="pct"/>
            <w:tcBorders>
              <w:bottom w:val="single" w:sz="12" w:space="0" w:color="auto"/>
            </w:tcBorders>
            <w:shd w:val="clear" w:color="auto" w:fill="auto"/>
          </w:tcPr>
          <w:p w14:paraId="6AAC0910" w14:textId="77777777" w:rsidR="00746EF3" w:rsidRPr="000B6600" w:rsidRDefault="00746EF3" w:rsidP="00A66E73">
            <w:pPr>
              <w:pStyle w:val="TableText"/>
            </w:pPr>
            <w:r>
              <w:t>Chlorophyll-a content</w:t>
            </w:r>
          </w:p>
        </w:tc>
        <w:tc>
          <w:tcPr>
            <w:tcW w:w="664" w:type="pct"/>
            <w:tcBorders>
              <w:bottom w:val="single" w:sz="12" w:space="0" w:color="auto"/>
            </w:tcBorders>
            <w:shd w:val="clear" w:color="auto" w:fill="auto"/>
          </w:tcPr>
          <w:p w14:paraId="64E4986E" w14:textId="77777777" w:rsidR="00746EF3" w:rsidRPr="00385C2B" w:rsidRDefault="00746EF3" w:rsidP="00A66E73">
            <w:pPr>
              <w:pStyle w:val="TableText"/>
            </w:pPr>
            <w:r w:rsidRPr="00385C2B">
              <w:t>27</w:t>
            </w:r>
          </w:p>
        </w:tc>
      </w:tr>
    </w:tbl>
    <w:p w14:paraId="37663221" w14:textId="763C853F" w:rsidR="00746EF3" w:rsidRDefault="00746EF3" w:rsidP="008A76E8">
      <w:pPr>
        <w:pStyle w:val="FigureTableNoteSource"/>
        <w:spacing w:before="80"/>
      </w:pPr>
      <w:r w:rsidRPr="0073464D">
        <w:rPr>
          <w:rStyle w:val="Strong"/>
        </w:rPr>
        <w:t>a</w:t>
      </w:r>
      <w:r w:rsidRPr="00241F6F">
        <w:t xml:space="preserve"> Chronic NOEC/NOEL/EC10 = no conversions applied</w:t>
      </w:r>
      <w:r>
        <w:t xml:space="preserve"> to toxicity values</w:t>
      </w:r>
      <w:r w:rsidRPr="00241F6F">
        <w:t xml:space="preserve">; </w:t>
      </w:r>
      <w:r w:rsidR="00580332" w:rsidRPr="00241F6F">
        <w:t>chronic</w:t>
      </w:r>
      <w:r w:rsidR="00580332">
        <w:t xml:space="preserve"> LOEC</w:t>
      </w:r>
      <w:r w:rsidR="00580332" w:rsidRPr="00241F6F">
        <w:t xml:space="preserve"> = chronic </w:t>
      </w:r>
      <w:r w:rsidR="00580332">
        <w:t>LOEC</w:t>
      </w:r>
      <w:r w:rsidR="00580332" w:rsidRPr="00241F6F">
        <w:t xml:space="preserve"> value that w</w:t>
      </w:r>
      <w:r w:rsidR="00580332">
        <w:t>as</w:t>
      </w:r>
      <w:r w:rsidR="00580332" w:rsidRPr="00241F6F">
        <w:t xml:space="preserve"> converted to chronic NOEC</w:t>
      </w:r>
      <w:r w:rsidR="00580332">
        <w:t>/EC10-equivalent</w:t>
      </w:r>
      <w:r w:rsidR="00580332" w:rsidRPr="00241F6F">
        <w:t xml:space="preserve"> value by dividing </w:t>
      </w:r>
      <w:r w:rsidR="00146F60">
        <w:t xml:space="preserve">by </w:t>
      </w:r>
      <w:r w:rsidR="00580332">
        <w:t>2.5;</w:t>
      </w:r>
      <w:r w:rsidR="00580332" w:rsidRPr="00241F6F">
        <w:t xml:space="preserve"> </w:t>
      </w:r>
      <w:r w:rsidRPr="00241F6F">
        <w:t>chronic</w:t>
      </w:r>
      <w:r>
        <w:t xml:space="preserve"> </w:t>
      </w:r>
      <w:r w:rsidR="00580332">
        <w:t>EC50</w:t>
      </w:r>
      <w:r w:rsidRPr="00241F6F">
        <w:t xml:space="preserve"> = chronic EC50 value that </w:t>
      </w:r>
      <w:r w:rsidR="00580332" w:rsidRPr="00241F6F">
        <w:t>w</w:t>
      </w:r>
      <w:r w:rsidR="00580332">
        <w:t>as</w:t>
      </w:r>
      <w:r w:rsidR="00580332" w:rsidRPr="00241F6F">
        <w:t xml:space="preserve"> </w:t>
      </w:r>
      <w:r w:rsidRPr="00241F6F">
        <w:t>converted to chronic NOEC</w:t>
      </w:r>
      <w:r>
        <w:t>/EC10-equivalent</w:t>
      </w:r>
      <w:r w:rsidRPr="00241F6F">
        <w:t xml:space="preserve"> value by dividing </w:t>
      </w:r>
      <w:r w:rsidR="00146F60">
        <w:t xml:space="preserve">by </w:t>
      </w:r>
      <w:r w:rsidRPr="00241F6F">
        <w:t>5 (Warne et al. 2018).</w:t>
      </w:r>
    </w:p>
    <w:p w14:paraId="669E0064" w14:textId="3503C732" w:rsidR="00746EF3" w:rsidRDefault="00746EF3" w:rsidP="00746EF3">
      <w:pPr>
        <w:pStyle w:val="FigureTableNoteSource"/>
      </w:pPr>
      <w:r w:rsidRPr="0073464D">
        <w:rPr>
          <w:rStyle w:val="Strong"/>
        </w:rPr>
        <w:t>b</w:t>
      </w:r>
      <w:r w:rsidRPr="00241F6F">
        <w:t xml:space="preserve"> This species has also been called </w:t>
      </w:r>
      <w:proofErr w:type="spellStart"/>
      <w:r w:rsidRPr="007755F5">
        <w:rPr>
          <w:rStyle w:val="Emphasis"/>
        </w:rPr>
        <w:t>Raphidocelis</w:t>
      </w:r>
      <w:proofErr w:type="spellEnd"/>
      <w:r w:rsidRPr="007755F5">
        <w:rPr>
          <w:rStyle w:val="Emphasis"/>
        </w:rPr>
        <w:t xml:space="preserve"> </w:t>
      </w:r>
      <w:proofErr w:type="spellStart"/>
      <w:r w:rsidRPr="007755F5">
        <w:rPr>
          <w:rStyle w:val="Emphasis"/>
        </w:rPr>
        <w:t>subcapitata</w:t>
      </w:r>
      <w:proofErr w:type="spellEnd"/>
      <w:r w:rsidRPr="00241F6F">
        <w:t xml:space="preserve"> and </w:t>
      </w:r>
      <w:proofErr w:type="spellStart"/>
      <w:r w:rsidRPr="007755F5">
        <w:rPr>
          <w:rStyle w:val="Emphasis"/>
        </w:rPr>
        <w:t>Selenastrum</w:t>
      </w:r>
      <w:proofErr w:type="spellEnd"/>
      <w:r w:rsidRPr="007755F5">
        <w:rPr>
          <w:rStyle w:val="Emphasis"/>
        </w:rPr>
        <w:t xml:space="preserve"> </w:t>
      </w:r>
      <w:proofErr w:type="spellStart"/>
      <w:r w:rsidRPr="007755F5">
        <w:rPr>
          <w:rStyle w:val="Emphasis"/>
        </w:rPr>
        <w:t>capricornutum</w:t>
      </w:r>
      <w:proofErr w:type="spellEnd"/>
      <w:r w:rsidRPr="00241F6F">
        <w:t>.</w:t>
      </w:r>
    </w:p>
    <w:p w14:paraId="5681E574" w14:textId="6CFD8840" w:rsidR="00746EF3" w:rsidRDefault="00746EF3" w:rsidP="00746EF3">
      <w:pPr>
        <w:pStyle w:val="FigureTableNoteSource"/>
      </w:pPr>
      <w:r w:rsidRPr="0073464D">
        <w:rPr>
          <w:rStyle w:val="Strong"/>
        </w:rPr>
        <w:t>c</w:t>
      </w:r>
      <w:r w:rsidRPr="00241F6F">
        <w:t xml:space="preserve"> AUC = area under the growth curve.</w:t>
      </w:r>
    </w:p>
    <w:p w14:paraId="504C66E9" w14:textId="5560FD34" w:rsidR="00746EF3" w:rsidRDefault="00746EF3" w:rsidP="00746EF3">
      <w:pPr>
        <w:pStyle w:val="FigureTableNoteSource"/>
        <w:rPr>
          <w:highlight w:val="yellow"/>
        </w:rPr>
      </w:pPr>
      <w:r w:rsidRPr="0073464D">
        <w:rPr>
          <w:rStyle w:val="Strong"/>
        </w:rPr>
        <w:t>d</w:t>
      </w:r>
      <w:r w:rsidRPr="00241F6F">
        <w:t xml:space="preserve"> Species that originated from/are distributed in Australia and/or New Zealand.</w:t>
      </w:r>
    </w:p>
    <w:p w14:paraId="3DB2825C" w14:textId="0F8EC8FD" w:rsidR="001303C0" w:rsidRPr="00241F6F" w:rsidRDefault="001303C0" w:rsidP="001303C0">
      <w:pPr>
        <w:pStyle w:val="Heading3"/>
      </w:pPr>
      <w:bookmarkStart w:id="21" w:name="_Toc33094993"/>
      <w:r w:rsidRPr="00241F6F">
        <w:lastRenderedPageBreak/>
        <w:t>Species sensitivity distribution</w:t>
      </w:r>
      <w:bookmarkEnd w:id="21"/>
    </w:p>
    <w:p w14:paraId="2C2C9FEF" w14:textId="0580F8A1" w:rsidR="00241F6F" w:rsidRDefault="00241F6F" w:rsidP="001303C0">
      <w:pPr>
        <w:spacing w:after="120"/>
      </w:pPr>
      <w:r>
        <w:t xml:space="preserve">The </w:t>
      </w:r>
      <w:r w:rsidRPr="00241F6F">
        <w:t xml:space="preserve">SSD of the 21 freshwater </w:t>
      </w:r>
      <w:r w:rsidR="00CD6AF0">
        <w:t xml:space="preserve">metolachlor chronic toxicity data reported in </w:t>
      </w:r>
      <w:r w:rsidR="00EE27B3">
        <w:fldChar w:fldCharType="begin"/>
      </w:r>
      <w:r w:rsidR="00EE27B3">
        <w:instrText xml:space="preserve"> REF _Ref25934536 \h </w:instrText>
      </w:r>
      <w:r w:rsidR="00EE27B3">
        <w:fldChar w:fldCharType="separate"/>
      </w:r>
      <w:r w:rsidR="002825D7">
        <w:t>Table </w:t>
      </w:r>
      <w:r w:rsidR="002825D7">
        <w:rPr>
          <w:noProof/>
        </w:rPr>
        <w:t>2</w:t>
      </w:r>
      <w:r w:rsidR="00EE27B3">
        <w:fldChar w:fldCharType="end"/>
      </w:r>
      <w:r w:rsidR="009D6277">
        <w:t xml:space="preserve"> </w:t>
      </w:r>
      <w:r w:rsidRPr="00241F6F">
        <w:t xml:space="preserve">is presented in </w:t>
      </w:r>
      <w:r w:rsidR="00462574">
        <w:fldChar w:fldCharType="begin"/>
      </w:r>
      <w:r w:rsidR="00462574">
        <w:instrText xml:space="preserve"> REF _Ref18493715 \h </w:instrText>
      </w:r>
      <w:r w:rsidR="00462574">
        <w:fldChar w:fldCharType="separate"/>
      </w:r>
      <w:r w:rsidR="002825D7">
        <w:t>Figure </w:t>
      </w:r>
      <w:r w:rsidR="002825D7">
        <w:rPr>
          <w:noProof/>
        </w:rPr>
        <w:t>2</w:t>
      </w:r>
      <w:r w:rsidR="00462574">
        <w:fldChar w:fldCharType="end"/>
      </w:r>
      <w:r w:rsidRPr="00241F6F">
        <w:t>.</w:t>
      </w:r>
      <w:r w:rsidR="00616BD4">
        <w:t xml:space="preserve"> </w:t>
      </w:r>
      <w:r w:rsidR="00616BD4" w:rsidRPr="00616BD4">
        <w:t>The SSD was plotted using the Burrlioz 2.0 software.</w:t>
      </w:r>
      <w:r w:rsidR="00CD6AF0">
        <w:t xml:space="preserve"> </w:t>
      </w:r>
      <w:r w:rsidR="00CD6AF0">
        <w:rPr>
          <w:bCs/>
        </w:rPr>
        <w:t xml:space="preserve">The model was judged to provide a </w:t>
      </w:r>
      <w:r w:rsidR="00130887">
        <w:rPr>
          <w:bCs/>
        </w:rPr>
        <w:t>good</w:t>
      </w:r>
      <w:r w:rsidR="00CD6AF0">
        <w:rPr>
          <w:bCs/>
        </w:rPr>
        <w:t xml:space="preserve"> fit to the data (</w:t>
      </w:r>
      <w:r w:rsidR="00EE27B3">
        <w:rPr>
          <w:bCs/>
        </w:rPr>
        <w:fldChar w:fldCharType="begin"/>
      </w:r>
      <w:r w:rsidR="00EE27B3">
        <w:rPr>
          <w:bCs/>
        </w:rPr>
        <w:instrText xml:space="preserve"> REF _Ref18493715 \h </w:instrText>
      </w:r>
      <w:r w:rsidR="00EE27B3">
        <w:rPr>
          <w:bCs/>
        </w:rPr>
      </w:r>
      <w:r w:rsidR="00EE27B3">
        <w:rPr>
          <w:bCs/>
        </w:rPr>
        <w:fldChar w:fldCharType="separate"/>
      </w:r>
      <w:r w:rsidR="002825D7">
        <w:t>Figure </w:t>
      </w:r>
      <w:r w:rsidR="002825D7">
        <w:rPr>
          <w:noProof/>
        </w:rPr>
        <w:t>2</w:t>
      </w:r>
      <w:r w:rsidR="00EE27B3">
        <w:rPr>
          <w:bCs/>
        </w:rPr>
        <w:fldChar w:fldCharType="end"/>
      </w:r>
      <w:r w:rsidR="00CD6AF0">
        <w:rPr>
          <w:bCs/>
        </w:rPr>
        <w:t>).</w:t>
      </w:r>
    </w:p>
    <w:p w14:paraId="47006978" w14:textId="659343B5" w:rsidR="00241F6F" w:rsidRDefault="00241F6F" w:rsidP="00616BD4">
      <w:pPr>
        <w:spacing w:after="120"/>
        <w:jc w:val="center"/>
        <w:rPr>
          <w:highlight w:val="yellow"/>
        </w:rPr>
      </w:pPr>
      <w:r>
        <w:rPr>
          <w:noProof/>
          <w:lang w:eastAsia="en-AU"/>
        </w:rPr>
        <w:drawing>
          <wp:inline distT="0" distB="0" distL="0" distR="0" wp14:anchorId="70D4EAE5" wp14:editId="4002B0EE">
            <wp:extent cx="4881063" cy="4408098"/>
            <wp:effectExtent l="0" t="0" r="0" b="0"/>
            <wp:docPr id="5" name="Picture 5" descr="Figure shows the species sensitivity distribution of several species at different concentrations of metolachlor. Chronic EC10, chronic NOEC, chronic NOEL and chronic estimated NOEC values are shown on the figure." title="Species sensitivity distribution, metolachlor in fresh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4879423" cy="4406617"/>
                    </a:xfrm>
                    <a:prstGeom prst="rect">
                      <a:avLst/>
                    </a:prstGeom>
                  </pic:spPr>
                </pic:pic>
              </a:graphicData>
            </a:graphic>
          </wp:inline>
        </w:drawing>
      </w:r>
    </w:p>
    <w:p w14:paraId="75DAEBAB" w14:textId="4FFA3DE2" w:rsidR="00241F6F" w:rsidRDefault="00037688" w:rsidP="00016D9F">
      <w:pPr>
        <w:pStyle w:val="Caption"/>
        <w:rPr>
          <w:highlight w:val="yellow"/>
        </w:rPr>
      </w:pPr>
      <w:bookmarkStart w:id="22" w:name="_Ref18493715"/>
      <w:bookmarkStart w:id="23" w:name="_Toc33095002"/>
      <w:r>
        <w:t>Figure </w:t>
      </w:r>
      <w:r w:rsidR="00152462">
        <w:fldChar w:fldCharType="begin"/>
      </w:r>
      <w:r w:rsidR="00152462">
        <w:instrText xml:space="preserve"> SEQ Figure \* ARABIC </w:instrText>
      </w:r>
      <w:r w:rsidR="00152462">
        <w:fldChar w:fldCharType="separate"/>
      </w:r>
      <w:r w:rsidR="002825D7">
        <w:rPr>
          <w:noProof/>
        </w:rPr>
        <w:t>2</w:t>
      </w:r>
      <w:r w:rsidR="00152462">
        <w:rPr>
          <w:noProof/>
        </w:rPr>
        <w:fldChar w:fldCharType="end"/>
      </w:r>
      <w:bookmarkEnd w:id="22"/>
      <w:r>
        <w:t xml:space="preserve"> </w:t>
      </w:r>
      <w:r w:rsidR="00616BD4">
        <w:t>Species sensitivity distribution, metolachlor in freshwater</w:t>
      </w:r>
      <w:bookmarkEnd w:id="23"/>
    </w:p>
    <w:p w14:paraId="70630233" w14:textId="21753939" w:rsidR="001303C0" w:rsidRPr="00616BD4" w:rsidRDefault="001303C0" w:rsidP="001303C0">
      <w:pPr>
        <w:pStyle w:val="Heading3"/>
      </w:pPr>
      <w:bookmarkStart w:id="24" w:name="_Toc33094994"/>
      <w:r w:rsidRPr="00616BD4">
        <w:t>Default guideline values</w:t>
      </w:r>
      <w:bookmarkEnd w:id="24"/>
    </w:p>
    <w:p w14:paraId="7A6A7782" w14:textId="50E0BCB1" w:rsidR="001303C0" w:rsidRPr="00616BD4" w:rsidRDefault="001303C0" w:rsidP="001303C0">
      <w:r w:rsidRPr="00616BD4">
        <w:t xml:space="preserve">It is important that the DGVs </w:t>
      </w:r>
      <w:r w:rsidR="009D54BA" w:rsidRPr="00616BD4">
        <w:t>(</w:t>
      </w:r>
      <w:r w:rsidR="00F07229">
        <w:fldChar w:fldCharType="begin"/>
      </w:r>
      <w:r w:rsidR="00F07229">
        <w:instrText xml:space="preserve"> REF _Ref18493440 \h </w:instrText>
      </w:r>
      <w:r w:rsidR="00F07229">
        <w:fldChar w:fldCharType="separate"/>
      </w:r>
      <w:r w:rsidR="002825D7">
        <w:t>Table </w:t>
      </w:r>
      <w:r w:rsidR="002825D7">
        <w:rPr>
          <w:noProof/>
        </w:rPr>
        <w:t>3</w:t>
      </w:r>
      <w:r w:rsidR="00F07229">
        <w:fldChar w:fldCharType="end"/>
      </w:r>
      <w:r w:rsidR="009D54BA" w:rsidRPr="00616BD4">
        <w:t xml:space="preserve">) </w:t>
      </w:r>
      <w:r w:rsidRPr="00616BD4">
        <w:t xml:space="preserve">and associated information in this technical brief are used in accordance with the detailed guidance provided in the Australian and New Zealand Guidelines for Fresh and Marine Water Quality </w:t>
      </w:r>
      <w:hyperlink r:id="rId27" w:history="1">
        <w:r w:rsidRPr="00616BD4">
          <w:rPr>
            <w:rStyle w:val="Hyperlink"/>
          </w:rPr>
          <w:t>website</w:t>
        </w:r>
      </w:hyperlink>
      <w:r w:rsidRPr="00616BD4">
        <w:t xml:space="preserve"> </w:t>
      </w:r>
      <w:r w:rsidR="0094698D">
        <w:t>(</w:t>
      </w:r>
      <w:r w:rsidR="0094698D" w:rsidRPr="0094698D">
        <w:t>ANZG 2018</w:t>
      </w:r>
      <w:r w:rsidR="0094698D">
        <w:t>).</w:t>
      </w:r>
    </w:p>
    <w:p w14:paraId="42639BE3" w14:textId="043ECB32" w:rsidR="000372BB" w:rsidRDefault="001303C0" w:rsidP="000372BB">
      <w:r w:rsidRPr="00616BD4">
        <w:rPr>
          <w:bCs/>
        </w:rPr>
        <w:t xml:space="preserve">The DGVs for 99, 95, 90 and 80% species protection are shown in </w:t>
      </w:r>
      <w:r w:rsidR="00F07229">
        <w:rPr>
          <w:bCs/>
        </w:rPr>
        <w:fldChar w:fldCharType="begin"/>
      </w:r>
      <w:r w:rsidR="00F07229">
        <w:rPr>
          <w:bCs/>
        </w:rPr>
        <w:instrText xml:space="preserve"> REF _Ref18493440 \h </w:instrText>
      </w:r>
      <w:r w:rsidR="00F07229">
        <w:rPr>
          <w:bCs/>
        </w:rPr>
      </w:r>
      <w:r w:rsidR="00F07229">
        <w:rPr>
          <w:bCs/>
        </w:rPr>
        <w:fldChar w:fldCharType="separate"/>
      </w:r>
      <w:r w:rsidR="002825D7">
        <w:t>Table </w:t>
      </w:r>
      <w:r w:rsidR="002825D7">
        <w:rPr>
          <w:noProof/>
        </w:rPr>
        <w:t>3</w:t>
      </w:r>
      <w:r w:rsidR="00F07229">
        <w:rPr>
          <w:bCs/>
        </w:rPr>
        <w:fldChar w:fldCharType="end"/>
      </w:r>
      <w:r w:rsidR="00616BD4" w:rsidRPr="00616BD4">
        <w:rPr>
          <w:bCs/>
        </w:rPr>
        <w:t xml:space="preserve">. </w:t>
      </w:r>
      <w:r w:rsidR="00560CE8">
        <w:t>T</w:t>
      </w:r>
      <w:r w:rsidR="000372BB">
        <w:t>he DGVs for metolachlor are expressed in terms of the concentration of the active ingredient.</w:t>
      </w:r>
      <w:r w:rsidR="00560CE8">
        <w:t xml:space="preserve"> </w:t>
      </w:r>
      <w:r w:rsidR="00560CE8">
        <w:rPr>
          <w:bCs/>
        </w:rPr>
        <w:t>The 95% species protection DGV of 0.46</w:t>
      </w:r>
      <w:r w:rsidR="009350E0">
        <w:rPr>
          <w:bCs/>
        </w:rPr>
        <w:t> </w:t>
      </w:r>
      <w:r w:rsidR="00560CE8">
        <w:rPr>
          <w:rFonts w:cstheme="minorHAnsi"/>
          <w:bCs/>
        </w:rPr>
        <w:t>µ</w:t>
      </w:r>
      <w:r w:rsidR="00560CE8">
        <w:rPr>
          <w:bCs/>
        </w:rPr>
        <w:t xml:space="preserve">g/L metolachlor is recommended for application </w:t>
      </w:r>
      <w:r w:rsidR="009350E0">
        <w:rPr>
          <w:bCs/>
        </w:rPr>
        <w:t xml:space="preserve">to </w:t>
      </w:r>
      <w:r w:rsidR="00560CE8">
        <w:rPr>
          <w:bCs/>
        </w:rPr>
        <w:t>slightly</w:t>
      </w:r>
      <w:r w:rsidR="00071AE0">
        <w:rPr>
          <w:bCs/>
        </w:rPr>
        <w:t>-</w:t>
      </w:r>
      <w:r w:rsidR="00560CE8">
        <w:rPr>
          <w:bCs/>
        </w:rPr>
        <w:t>to</w:t>
      </w:r>
      <w:r w:rsidR="00071AE0">
        <w:rPr>
          <w:bCs/>
        </w:rPr>
        <w:t>-</w:t>
      </w:r>
      <w:r w:rsidR="00560CE8">
        <w:rPr>
          <w:bCs/>
        </w:rPr>
        <w:t>moderately disturbed ecosystems.</w:t>
      </w:r>
    </w:p>
    <w:p w14:paraId="0260224B" w14:textId="2B67A4EF" w:rsidR="000372BB" w:rsidRDefault="000372BB" w:rsidP="000372BB">
      <w:pPr>
        <w:rPr>
          <w:highlight w:val="yellow"/>
        </w:rPr>
      </w:pPr>
      <w:r>
        <w:t>Measured log BCF values for metolachlor are low (</w:t>
      </w:r>
      <w:r w:rsidR="00F07229">
        <w:fldChar w:fldCharType="begin"/>
      </w:r>
      <w:r w:rsidR="00F07229">
        <w:instrText xml:space="preserve"> REF _Ref18492575 \h </w:instrText>
      </w:r>
      <w:r w:rsidR="00F07229">
        <w:fldChar w:fldCharType="separate"/>
      </w:r>
      <w:r w:rsidR="002825D7">
        <w:t>Table </w:t>
      </w:r>
      <w:r w:rsidR="002825D7">
        <w:rPr>
          <w:noProof/>
        </w:rPr>
        <w:t>1</w:t>
      </w:r>
      <w:r w:rsidR="00F07229">
        <w:fldChar w:fldCharType="end"/>
      </w:r>
      <w:r>
        <w:t xml:space="preserve">) and below the threshold at which secondary poisoning must be considered (i.e. threshold log BCF = 4 (Warne et al. 2018)). Therefore, the DGVs for metolachlor do not need to account for </w:t>
      </w:r>
      <w:r w:rsidR="00602094">
        <w:t xml:space="preserve">effects due to long-term bioaccumulation or </w:t>
      </w:r>
      <w:r>
        <w:t>secondary poisoning.</w:t>
      </w:r>
    </w:p>
    <w:p w14:paraId="402ACB1C" w14:textId="613EF17B" w:rsidR="009171E3" w:rsidRDefault="00F07229" w:rsidP="009171E3">
      <w:pPr>
        <w:pStyle w:val="Caption"/>
      </w:pPr>
      <w:bookmarkStart w:id="25" w:name="_Ref18493440"/>
      <w:bookmarkStart w:id="26" w:name="_Toc33095005"/>
      <w:r>
        <w:lastRenderedPageBreak/>
        <w:t>Table </w:t>
      </w:r>
      <w:r w:rsidR="00152462">
        <w:fldChar w:fldCharType="begin"/>
      </w:r>
      <w:r w:rsidR="00152462">
        <w:instrText xml:space="preserve"> SEQ Table \* ARABIC </w:instrText>
      </w:r>
      <w:r w:rsidR="00152462">
        <w:fldChar w:fldCharType="separate"/>
      </w:r>
      <w:r w:rsidR="002825D7">
        <w:rPr>
          <w:noProof/>
        </w:rPr>
        <w:t>3</w:t>
      </w:r>
      <w:r w:rsidR="00152462">
        <w:rPr>
          <w:noProof/>
        </w:rPr>
        <w:fldChar w:fldCharType="end"/>
      </w:r>
      <w:bookmarkEnd w:id="25"/>
      <w:r w:rsidR="009171E3" w:rsidRPr="00241F6F">
        <w:t xml:space="preserve"> </w:t>
      </w:r>
      <w:r w:rsidR="009171E3" w:rsidRPr="008F76FF">
        <w:t xml:space="preserve">Toxicant default guideline values, metolachlor in freshwater, </w:t>
      </w:r>
      <w:r w:rsidR="009171E3">
        <w:t>very high</w:t>
      </w:r>
      <w:r w:rsidR="009171E3" w:rsidRPr="008F76FF">
        <w:t xml:space="preserve"> reliability</w:t>
      </w:r>
      <w:bookmarkEnd w:id="26"/>
    </w:p>
    <w:tbl>
      <w:tblPr>
        <w:tblW w:w="5000" w:type="pct"/>
        <w:jc w:val="center"/>
        <w:tblBorders>
          <w:top w:val="single" w:sz="4" w:space="0" w:color="auto"/>
          <w:bottom w:val="single" w:sz="4" w:space="0" w:color="auto"/>
          <w:insideH w:val="single" w:sz="4" w:space="0" w:color="auto"/>
        </w:tblBorders>
        <w:tblLook w:val="01E0" w:firstRow="1" w:lastRow="1" w:firstColumn="1" w:lastColumn="1" w:noHBand="0" w:noVBand="0"/>
        <w:tblCaption w:val="Toxicant default guideline values, metolachlor in freshwater, very high reliability"/>
        <w:tblDescription w:val="Table shows the guideline values for a range of protection levels for metolachlor in freshwater. The four levels of species protection are 99, 95, 90 and 80%. The corresponding default guideline values are 0.0084, 0.46, 2.6 and 15 (microgram per litre), respectively."/>
      </w:tblPr>
      <w:tblGrid>
        <w:gridCol w:w="4535"/>
        <w:gridCol w:w="4535"/>
      </w:tblGrid>
      <w:tr w:rsidR="009171E3" w:rsidRPr="00C87A8F" w14:paraId="74F7D6A5" w14:textId="77777777" w:rsidTr="009350E0">
        <w:trPr>
          <w:cantSplit/>
          <w:tblHeader/>
          <w:jc w:val="center"/>
        </w:trPr>
        <w:tc>
          <w:tcPr>
            <w:tcW w:w="2500" w:type="pct"/>
            <w:tcBorders>
              <w:top w:val="single" w:sz="12" w:space="0" w:color="auto"/>
              <w:bottom w:val="single" w:sz="12" w:space="0" w:color="auto"/>
            </w:tcBorders>
            <w:shd w:val="clear" w:color="auto" w:fill="auto"/>
            <w:vAlign w:val="center"/>
          </w:tcPr>
          <w:p w14:paraId="44BEC072" w14:textId="77777777" w:rsidR="009171E3" w:rsidRPr="00C87A8F" w:rsidRDefault="009171E3" w:rsidP="006663E8">
            <w:pPr>
              <w:pStyle w:val="TableHeading"/>
            </w:pPr>
            <w:r>
              <w:t>Level of species protection (%)</w:t>
            </w:r>
          </w:p>
        </w:tc>
        <w:tc>
          <w:tcPr>
            <w:tcW w:w="2500" w:type="pct"/>
            <w:tcBorders>
              <w:top w:val="single" w:sz="12" w:space="0" w:color="auto"/>
              <w:bottom w:val="single" w:sz="12" w:space="0" w:color="auto"/>
            </w:tcBorders>
            <w:shd w:val="clear" w:color="auto" w:fill="auto"/>
            <w:vAlign w:val="center"/>
          </w:tcPr>
          <w:p w14:paraId="64E9B5FF" w14:textId="4A4917EC" w:rsidR="009171E3" w:rsidRPr="00C87A8F" w:rsidRDefault="009171E3" w:rsidP="006663E8">
            <w:pPr>
              <w:pStyle w:val="TableHeading"/>
            </w:pPr>
            <w:r>
              <w:t>DGV for metolachlor</w:t>
            </w:r>
            <w:r w:rsidRPr="00C87A8F">
              <w:t xml:space="preserve"> </w:t>
            </w:r>
            <w:r>
              <w:t xml:space="preserve">in </w:t>
            </w:r>
            <w:r w:rsidRPr="00C87A8F">
              <w:t>freshwater (µg/L)</w:t>
            </w:r>
            <w:r w:rsidR="00616BD4">
              <w:t xml:space="preserve"> </w:t>
            </w:r>
            <w:r w:rsidR="00616BD4" w:rsidRPr="00616BD4">
              <w:rPr>
                <w:rStyle w:val="Strong"/>
                <w:vertAlign w:val="superscript"/>
              </w:rPr>
              <w:t>a</w:t>
            </w:r>
          </w:p>
        </w:tc>
      </w:tr>
      <w:tr w:rsidR="009171E3" w:rsidRPr="00C87A8F" w14:paraId="7DCE20D7" w14:textId="77777777" w:rsidTr="009350E0">
        <w:trPr>
          <w:cantSplit/>
          <w:jc w:val="center"/>
        </w:trPr>
        <w:tc>
          <w:tcPr>
            <w:tcW w:w="2500" w:type="pct"/>
            <w:tcBorders>
              <w:top w:val="single" w:sz="12" w:space="0" w:color="auto"/>
            </w:tcBorders>
            <w:shd w:val="clear" w:color="auto" w:fill="auto"/>
            <w:vAlign w:val="center"/>
          </w:tcPr>
          <w:p w14:paraId="62F25E11" w14:textId="77777777" w:rsidR="009171E3" w:rsidRPr="00C87A8F" w:rsidRDefault="009171E3" w:rsidP="006663E8">
            <w:pPr>
              <w:pStyle w:val="TableText"/>
            </w:pPr>
            <w:r w:rsidRPr="00C87A8F">
              <w:t>99</w:t>
            </w:r>
          </w:p>
        </w:tc>
        <w:tc>
          <w:tcPr>
            <w:tcW w:w="2500" w:type="pct"/>
            <w:tcBorders>
              <w:top w:val="single" w:sz="12" w:space="0" w:color="auto"/>
            </w:tcBorders>
            <w:shd w:val="clear" w:color="auto" w:fill="auto"/>
            <w:vAlign w:val="center"/>
          </w:tcPr>
          <w:p w14:paraId="070FA233" w14:textId="77777777" w:rsidR="009171E3" w:rsidRPr="00C87A8F" w:rsidRDefault="009171E3" w:rsidP="006663E8">
            <w:pPr>
              <w:pStyle w:val="TableText"/>
            </w:pPr>
            <w:r w:rsidRPr="008F76FF">
              <w:t>0.0084</w:t>
            </w:r>
          </w:p>
        </w:tc>
      </w:tr>
      <w:tr w:rsidR="009171E3" w:rsidRPr="00C87A8F" w14:paraId="31D71F0F" w14:textId="77777777" w:rsidTr="009350E0">
        <w:trPr>
          <w:cantSplit/>
          <w:jc w:val="center"/>
        </w:trPr>
        <w:tc>
          <w:tcPr>
            <w:tcW w:w="2500" w:type="pct"/>
            <w:shd w:val="clear" w:color="auto" w:fill="auto"/>
            <w:vAlign w:val="center"/>
          </w:tcPr>
          <w:p w14:paraId="67CEDFA6" w14:textId="77777777" w:rsidR="009171E3" w:rsidRPr="00C87A8F" w:rsidRDefault="009171E3" w:rsidP="006663E8">
            <w:pPr>
              <w:pStyle w:val="TableText"/>
            </w:pPr>
            <w:r>
              <w:t>95</w:t>
            </w:r>
          </w:p>
        </w:tc>
        <w:tc>
          <w:tcPr>
            <w:tcW w:w="2500" w:type="pct"/>
            <w:shd w:val="clear" w:color="auto" w:fill="auto"/>
            <w:vAlign w:val="center"/>
          </w:tcPr>
          <w:p w14:paraId="0666D3C7" w14:textId="77777777" w:rsidR="009171E3" w:rsidRPr="00C87A8F" w:rsidRDefault="009171E3" w:rsidP="006663E8">
            <w:pPr>
              <w:pStyle w:val="TableText"/>
            </w:pPr>
            <w:r w:rsidRPr="008F76FF">
              <w:t>0.46</w:t>
            </w:r>
          </w:p>
        </w:tc>
      </w:tr>
      <w:tr w:rsidR="009171E3" w:rsidRPr="00C87A8F" w14:paraId="312CAE58" w14:textId="77777777" w:rsidTr="009350E0">
        <w:trPr>
          <w:cantSplit/>
          <w:jc w:val="center"/>
        </w:trPr>
        <w:tc>
          <w:tcPr>
            <w:tcW w:w="2500" w:type="pct"/>
            <w:tcBorders>
              <w:bottom w:val="single" w:sz="4" w:space="0" w:color="auto"/>
            </w:tcBorders>
            <w:shd w:val="clear" w:color="auto" w:fill="auto"/>
            <w:vAlign w:val="center"/>
          </w:tcPr>
          <w:p w14:paraId="24CF4AE8" w14:textId="77777777" w:rsidR="009171E3" w:rsidRDefault="009171E3" w:rsidP="006663E8">
            <w:pPr>
              <w:pStyle w:val="TableText"/>
            </w:pPr>
            <w:r>
              <w:t>90</w:t>
            </w:r>
          </w:p>
        </w:tc>
        <w:tc>
          <w:tcPr>
            <w:tcW w:w="2500" w:type="pct"/>
            <w:tcBorders>
              <w:bottom w:val="single" w:sz="4" w:space="0" w:color="auto"/>
            </w:tcBorders>
            <w:shd w:val="clear" w:color="auto" w:fill="auto"/>
            <w:vAlign w:val="center"/>
          </w:tcPr>
          <w:p w14:paraId="3F79728F" w14:textId="77777777" w:rsidR="009171E3" w:rsidRDefault="009171E3" w:rsidP="006663E8">
            <w:pPr>
              <w:pStyle w:val="TableText"/>
            </w:pPr>
            <w:r>
              <w:t>2.6</w:t>
            </w:r>
          </w:p>
        </w:tc>
      </w:tr>
      <w:tr w:rsidR="009171E3" w:rsidRPr="00C87A8F" w14:paraId="20BA1B38" w14:textId="77777777" w:rsidTr="009350E0">
        <w:trPr>
          <w:cantSplit/>
          <w:jc w:val="center"/>
        </w:trPr>
        <w:tc>
          <w:tcPr>
            <w:tcW w:w="2500" w:type="pct"/>
            <w:tcBorders>
              <w:bottom w:val="single" w:sz="12" w:space="0" w:color="auto"/>
            </w:tcBorders>
            <w:shd w:val="clear" w:color="auto" w:fill="auto"/>
          </w:tcPr>
          <w:p w14:paraId="1A292A02" w14:textId="77777777" w:rsidR="009171E3" w:rsidRPr="00C87A8F" w:rsidRDefault="009171E3" w:rsidP="006663E8">
            <w:pPr>
              <w:pStyle w:val="TableText"/>
            </w:pPr>
            <w:r w:rsidRPr="00C87A8F">
              <w:t>80</w:t>
            </w:r>
          </w:p>
        </w:tc>
        <w:tc>
          <w:tcPr>
            <w:tcW w:w="2500" w:type="pct"/>
            <w:tcBorders>
              <w:bottom w:val="single" w:sz="12" w:space="0" w:color="auto"/>
            </w:tcBorders>
            <w:shd w:val="clear" w:color="auto" w:fill="auto"/>
          </w:tcPr>
          <w:p w14:paraId="383D3F81" w14:textId="77777777" w:rsidR="009171E3" w:rsidRPr="00C87A8F" w:rsidRDefault="009171E3" w:rsidP="006663E8">
            <w:pPr>
              <w:pStyle w:val="TableText"/>
            </w:pPr>
            <w:r>
              <w:t>15</w:t>
            </w:r>
          </w:p>
        </w:tc>
      </w:tr>
    </w:tbl>
    <w:p w14:paraId="0FAC76D4" w14:textId="1E2CB979" w:rsidR="009171E3" w:rsidRDefault="00616BD4" w:rsidP="00616BD4">
      <w:pPr>
        <w:pStyle w:val="FigureTableNoteSource"/>
        <w:rPr>
          <w:highlight w:val="yellow"/>
        </w:rPr>
      </w:pPr>
      <w:proofErr w:type="spellStart"/>
      <w:r w:rsidRPr="00616BD4">
        <w:rPr>
          <w:rStyle w:val="Strong"/>
        </w:rPr>
        <w:t>a</w:t>
      </w:r>
      <w:proofErr w:type="spellEnd"/>
      <w:r>
        <w:t xml:space="preserve"> </w:t>
      </w:r>
      <w:r w:rsidRPr="00616BD4">
        <w:t>The DGVs were derived using the Burrlioz 2.0 software</w:t>
      </w:r>
      <w:r w:rsidR="00E7290A">
        <w:t xml:space="preserve"> and have been repor</w:t>
      </w:r>
      <w:r w:rsidR="003911FC">
        <w:t>t</w:t>
      </w:r>
      <w:r w:rsidR="00E7290A">
        <w:t>ed to two significant figures</w:t>
      </w:r>
      <w:r w:rsidRPr="00616BD4">
        <w:t>.</w:t>
      </w:r>
    </w:p>
    <w:p w14:paraId="19D62889" w14:textId="4ED1C3FE" w:rsidR="001303C0" w:rsidRPr="002A07E0" w:rsidRDefault="001303C0" w:rsidP="001303C0">
      <w:pPr>
        <w:pStyle w:val="Heading3"/>
      </w:pPr>
      <w:bookmarkStart w:id="27" w:name="_Toc33094995"/>
      <w:bookmarkStart w:id="28" w:name="_Ref18494305"/>
      <w:r w:rsidRPr="002A07E0">
        <w:t>Reliability classification</w:t>
      </w:r>
      <w:bookmarkEnd w:id="27"/>
      <w:r w:rsidRPr="002A07E0">
        <w:t xml:space="preserve"> </w:t>
      </w:r>
      <w:bookmarkEnd w:id="28"/>
    </w:p>
    <w:p w14:paraId="5F4B44B7" w14:textId="6BC8552A" w:rsidR="001303C0" w:rsidRPr="002A07E0" w:rsidRDefault="001303C0" w:rsidP="001303C0">
      <w:pPr>
        <w:rPr>
          <w:lang w:eastAsia="ja-JP"/>
        </w:rPr>
      </w:pPr>
      <w:r w:rsidRPr="002A07E0">
        <w:rPr>
          <w:lang w:eastAsia="ja-JP"/>
        </w:rPr>
        <w:t xml:space="preserve">The </w:t>
      </w:r>
      <w:r w:rsidR="00616BD4" w:rsidRPr="002A07E0">
        <w:rPr>
          <w:lang w:eastAsia="ja-JP"/>
        </w:rPr>
        <w:t>metolachlor</w:t>
      </w:r>
      <w:r w:rsidRPr="002A07E0">
        <w:rPr>
          <w:lang w:eastAsia="ja-JP"/>
        </w:rPr>
        <w:t xml:space="preserve"> freshwater DGVs have a </w:t>
      </w:r>
      <w:r w:rsidR="00616BD4" w:rsidRPr="002A07E0">
        <w:rPr>
          <w:lang w:eastAsia="ja-JP"/>
        </w:rPr>
        <w:t>very high</w:t>
      </w:r>
      <w:r w:rsidRPr="002A07E0">
        <w:rPr>
          <w:lang w:eastAsia="ja-JP"/>
        </w:rPr>
        <w:t xml:space="preserve"> reliability classification (Warne et al. 2018) based on the outcomes for the following three criteria:</w:t>
      </w:r>
    </w:p>
    <w:p w14:paraId="6597F8E5" w14:textId="06EBC79F" w:rsidR="001303C0" w:rsidRPr="002A07E0" w:rsidRDefault="001303C0" w:rsidP="001303C0">
      <w:pPr>
        <w:pStyle w:val="ListBullet"/>
        <w:rPr>
          <w:lang w:eastAsia="ja-JP"/>
        </w:rPr>
      </w:pPr>
      <w:r w:rsidRPr="002A07E0">
        <w:rPr>
          <w:lang w:eastAsia="ja-JP"/>
        </w:rPr>
        <w:t>Sample size—</w:t>
      </w:r>
      <w:r w:rsidR="002A07E0" w:rsidRPr="002A07E0">
        <w:rPr>
          <w:lang w:eastAsia="ja-JP"/>
        </w:rPr>
        <w:t>21</w:t>
      </w:r>
      <w:r w:rsidRPr="002A07E0">
        <w:rPr>
          <w:lang w:eastAsia="ja-JP"/>
        </w:rPr>
        <w:t xml:space="preserve"> (</w:t>
      </w:r>
      <w:r w:rsidR="006060C1">
        <w:rPr>
          <w:lang w:eastAsia="ja-JP"/>
        </w:rPr>
        <w:t>preferred</w:t>
      </w:r>
      <w:r w:rsidRPr="002A07E0">
        <w:rPr>
          <w:lang w:eastAsia="ja-JP"/>
        </w:rPr>
        <w:t>)</w:t>
      </w:r>
    </w:p>
    <w:p w14:paraId="12344FEC" w14:textId="25D03B4B" w:rsidR="001303C0" w:rsidRPr="002A07E0" w:rsidRDefault="001303C0" w:rsidP="002A07E0">
      <w:pPr>
        <w:pStyle w:val="ListBullet"/>
        <w:rPr>
          <w:lang w:eastAsia="ja-JP"/>
        </w:rPr>
      </w:pPr>
      <w:r w:rsidRPr="002A07E0">
        <w:rPr>
          <w:lang w:eastAsia="ja-JP"/>
        </w:rPr>
        <w:t xml:space="preserve">Type of toxicity data—chronic </w:t>
      </w:r>
      <w:r w:rsidR="002A07E0" w:rsidRPr="002A07E0">
        <w:rPr>
          <w:lang w:eastAsia="ja-JP"/>
        </w:rPr>
        <w:t>EC10/NOEC/NOEL and chronic estimated NOEC values</w:t>
      </w:r>
    </w:p>
    <w:p w14:paraId="7BEAC555" w14:textId="5E574E5F" w:rsidR="001303C0" w:rsidRPr="002A07E0" w:rsidRDefault="001303C0" w:rsidP="001303C0">
      <w:pPr>
        <w:pStyle w:val="ListBullet"/>
        <w:rPr>
          <w:lang w:eastAsia="ja-JP"/>
        </w:rPr>
      </w:pPr>
      <w:r w:rsidRPr="002A07E0">
        <w:rPr>
          <w:lang w:eastAsia="ja-JP"/>
        </w:rPr>
        <w:t>SSD model fit—</w:t>
      </w:r>
      <w:r w:rsidR="002A07E0" w:rsidRPr="002A07E0">
        <w:rPr>
          <w:lang w:eastAsia="ja-JP"/>
        </w:rPr>
        <w:t>good</w:t>
      </w:r>
      <w:r w:rsidRPr="002A07E0">
        <w:rPr>
          <w:lang w:eastAsia="ja-JP"/>
        </w:rPr>
        <w:t xml:space="preserve"> (</w:t>
      </w:r>
      <w:r w:rsidR="00602094">
        <w:rPr>
          <w:lang w:eastAsia="ja-JP"/>
        </w:rPr>
        <w:t>Burr Type III</w:t>
      </w:r>
      <w:r w:rsidRPr="002A07E0">
        <w:rPr>
          <w:lang w:eastAsia="ja-JP"/>
        </w:rPr>
        <w:t xml:space="preserve"> model).</w:t>
      </w:r>
    </w:p>
    <w:p w14:paraId="08B1DCF0" w14:textId="28F08B77" w:rsidR="00E047F8" w:rsidRDefault="00E047F8">
      <w:pPr>
        <w:spacing w:after="0" w:line="240" w:lineRule="auto"/>
        <w:rPr>
          <w:lang w:eastAsia="ja-JP"/>
        </w:rPr>
      </w:pPr>
      <w:r>
        <w:rPr>
          <w:lang w:eastAsia="ja-JP"/>
        </w:rPr>
        <w:br w:type="page"/>
      </w:r>
    </w:p>
    <w:p w14:paraId="2A75AA25" w14:textId="668C3C2B" w:rsidR="000756BD" w:rsidRDefault="001303C0" w:rsidP="001303C0">
      <w:pPr>
        <w:pStyle w:val="Heading2"/>
        <w:numPr>
          <w:ilvl w:val="0"/>
          <w:numId w:val="0"/>
        </w:numPr>
      </w:pPr>
      <w:bookmarkStart w:id="29" w:name="_Toc33094996"/>
      <w:r>
        <w:lastRenderedPageBreak/>
        <w:t>Glossary</w:t>
      </w:r>
      <w:bookmarkEnd w:id="29"/>
    </w:p>
    <w:tbl>
      <w:tblPr>
        <w:tblW w:w="5000" w:type="pct"/>
        <w:tblBorders>
          <w:top w:val="single" w:sz="4" w:space="0" w:color="auto"/>
          <w:bottom w:val="single" w:sz="4" w:space="0" w:color="auto"/>
        </w:tblBorders>
        <w:tblLook w:val="04A0" w:firstRow="1" w:lastRow="0" w:firstColumn="1" w:lastColumn="0" w:noHBand="0" w:noVBand="1"/>
      </w:tblPr>
      <w:tblGrid>
        <w:gridCol w:w="2737"/>
        <w:gridCol w:w="6333"/>
      </w:tblGrid>
      <w:tr w:rsidR="001303C0" w:rsidRPr="00AF268A" w14:paraId="7B4234B7" w14:textId="77777777" w:rsidTr="005608F0">
        <w:trPr>
          <w:cantSplit/>
          <w:tblHeader/>
        </w:trPr>
        <w:tc>
          <w:tcPr>
            <w:tcW w:w="1509" w:type="pct"/>
            <w:tcBorders>
              <w:top w:val="single" w:sz="12" w:space="0" w:color="auto"/>
              <w:bottom w:val="single" w:sz="12" w:space="0" w:color="auto"/>
            </w:tcBorders>
          </w:tcPr>
          <w:p w14:paraId="538DCD28" w14:textId="77777777" w:rsidR="001303C0" w:rsidRPr="00691F38" w:rsidRDefault="001303C0" w:rsidP="007336AC">
            <w:pPr>
              <w:pStyle w:val="TableHeading"/>
              <w:rPr>
                <w:lang w:eastAsia="ja-JP"/>
              </w:rPr>
            </w:pPr>
            <w:r w:rsidRPr="00691F38">
              <w:rPr>
                <w:lang w:eastAsia="ja-JP"/>
              </w:rPr>
              <w:t>Term</w:t>
            </w:r>
          </w:p>
        </w:tc>
        <w:tc>
          <w:tcPr>
            <w:tcW w:w="3491" w:type="pct"/>
            <w:tcBorders>
              <w:top w:val="single" w:sz="12" w:space="0" w:color="auto"/>
              <w:bottom w:val="single" w:sz="12" w:space="0" w:color="auto"/>
            </w:tcBorders>
          </w:tcPr>
          <w:p w14:paraId="0204551F" w14:textId="77777777" w:rsidR="001303C0" w:rsidRPr="00691F38" w:rsidRDefault="001303C0" w:rsidP="007336AC">
            <w:pPr>
              <w:pStyle w:val="TableHeading"/>
              <w:rPr>
                <w:lang w:eastAsia="ja-JP"/>
              </w:rPr>
            </w:pPr>
            <w:r w:rsidRPr="00691F38">
              <w:rPr>
                <w:lang w:eastAsia="ja-JP"/>
              </w:rPr>
              <w:t>Definition</w:t>
            </w:r>
          </w:p>
        </w:tc>
      </w:tr>
      <w:tr w:rsidR="001303C0" w:rsidRPr="00AF268A" w14:paraId="14D47F02" w14:textId="77777777" w:rsidTr="005608F0">
        <w:trPr>
          <w:cantSplit/>
        </w:trPr>
        <w:tc>
          <w:tcPr>
            <w:tcW w:w="1509" w:type="pct"/>
            <w:tcBorders>
              <w:top w:val="single" w:sz="12" w:space="0" w:color="auto"/>
              <w:bottom w:val="single" w:sz="4" w:space="0" w:color="auto"/>
            </w:tcBorders>
          </w:tcPr>
          <w:p w14:paraId="35ED4200" w14:textId="77777777" w:rsidR="001303C0" w:rsidRPr="00691F38" w:rsidRDefault="001303C0" w:rsidP="007336AC">
            <w:pPr>
              <w:pStyle w:val="TableText"/>
              <w:rPr>
                <w:lang w:eastAsia="ja-JP"/>
              </w:rPr>
            </w:pPr>
            <w:r w:rsidRPr="00691F38">
              <w:rPr>
                <w:lang w:eastAsia="ja-JP"/>
              </w:rPr>
              <w:t>acute toxicity</w:t>
            </w:r>
          </w:p>
        </w:tc>
        <w:tc>
          <w:tcPr>
            <w:tcW w:w="3491" w:type="pct"/>
            <w:tcBorders>
              <w:top w:val="single" w:sz="12" w:space="0" w:color="auto"/>
              <w:bottom w:val="single" w:sz="4" w:space="0" w:color="auto"/>
            </w:tcBorders>
          </w:tcPr>
          <w:p w14:paraId="6A09CB98" w14:textId="1E55D7C9" w:rsidR="001303C0" w:rsidRPr="00AF268A" w:rsidRDefault="00FD1467" w:rsidP="007336AC">
            <w:pPr>
              <w:pStyle w:val="TableText"/>
              <w:rPr>
                <w:highlight w:val="yellow"/>
                <w:lang w:eastAsia="ja-JP"/>
              </w:rPr>
            </w:pPr>
            <w:r>
              <w:rPr>
                <w:lang w:eastAsia="ja-JP"/>
              </w:rPr>
              <w:t>A</w:t>
            </w:r>
            <w:r w:rsidRPr="00FD1467">
              <w:rPr>
                <w:lang w:eastAsia="ja-JP"/>
              </w:rPr>
              <w:t xml:space="preserve"> lethal or adverse sub-lethal effect that occurs as the result of a short exposure period to a chemical relative to the organism’s life span.</w:t>
            </w:r>
          </w:p>
        </w:tc>
      </w:tr>
      <w:tr w:rsidR="001303C0" w:rsidRPr="00AF268A" w14:paraId="2EE19981" w14:textId="77777777" w:rsidTr="005608F0">
        <w:trPr>
          <w:cantSplit/>
        </w:trPr>
        <w:tc>
          <w:tcPr>
            <w:tcW w:w="1509" w:type="pct"/>
            <w:tcBorders>
              <w:top w:val="single" w:sz="4" w:space="0" w:color="auto"/>
              <w:bottom w:val="single" w:sz="4" w:space="0" w:color="auto"/>
            </w:tcBorders>
          </w:tcPr>
          <w:p w14:paraId="37383757" w14:textId="77777777" w:rsidR="001303C0" w:rsidRPr="00691F38" w:rsidRDefault="001303C0" w:rsidP="007336AC">
            <w:pPr>
              <w:pStyle w:val="TableText"/>
              <w:rPr>
                <w:lang w:eastAsia="ja-JP"/>
              </w:rPr>
            </w:pPr>
            <w:r w:rsidRPr="00691F38">
              <w:rPr>
                <w:lang w:eastAsia="ja-JP"/>
              </w:rPr>
              <w:t>ANZECC</w:t>
            </w:r>
          </w:p>
        </w:tc>
        <w:tc>
          <w:tcPr>
            <w:tcW w:w="3491" w:type="pct"/>
            <w:tcBorders>
              <w:top w:val="single" w:sz="4" w:space="0" w:color="auto"/>
              <w:bottom w:val="single" w:sz="4" w:space="0" w:color="auto"/>
            </w:tcBorders>
          </w:tcPr>
          <w:p w14:paraId="02AFD741" w14:textId="1AB52278" w:rsidR="001303C0" w:rsidRPr="00691F38" w:rsidRDefault="001303C0" w:rsidP="007336AC">
            <w:pPr>
              <w:pStyle w:val="TableText"/>
              <w:rPr>
                <w:lang w:eastAsia="ja-JP"/>
              </w:rPr>
            </w:pPr>
            <w:r w:rsidRPr="00691F38">
              <w:rPr>
                <w:lang w:eastAsia="ja-JP"/>
              </w:rPr>
              <w:t>Australian and New Zealand Environment and Conservation Council</w:t>
            </w:r>
            <w:r w:rsidR="00FD1467">
              <w:rPr>
                <w:lang w:eastAsia="ja-JP"/>
              </w:rPr>
              <w:t>.</w:t>
            </w:r>
          </w:p>
        </w:tc>
      </w:tr>
      <w:tr w:rsidR="001303C0" w:rsidRPr="00AF268A" w14:paraId="52CA7CA4" w14:textId="77777777" w:rsidTr="005608F0">
        <w:trPr>
          <w:cantSplit/>
        </w:trPr>
        <w:tc>
          <w:tcPr>
            <w:tcW w:w="1509" w:type="pct"/>
            <w:tcBorders>
              <w:top w:val="single" w:sz="4" w:space="0" w:color="auto"/>
              <w:bottom w:val="single" w:sz="4" w:space="0" w:color="auto"/>
            </w:tcBorders>
          </w:tcPr>
          <w:p w14:paraId="1FCAA8E2" w14:textId="77777777" w:rsidR="001303C0" w:rsidRPr="00691F38" w:rsidRDefault="001303C0" w:rsidP="007336AC">
            <w:pPr>
              <w:pStyle w:val="TableText"/>
              <w:rPr>
                <w:lang w:eastAsia="ja-JP"/>
              </w:rPr>
            </w:pPr>
            <w:r w:rsidRPr="00691F38">
              <w:rPr>
                <w:lang w:eastAsia="ja-JP"/>
              </w:rPr>
              <w:t>ARMCANZ</w:t>
            </w:r>
          </w:p>
        </w:tc>
        <w:tc>
          <w:tcPr>
            <w:tcW w:w="3491" w:type="pct"/>
            <w:tcBorders>
              <w:top w:val="single" w:sz="4" w:space="0" w:color="auto"/>
              <w:bottom w:val="single" w:sz="4" w:space="0" w:color="auto"/>
            </w:tcBorders>
          </w:tcPr>
          <w:p w14:paraId="3CBDA75D" w14:textId="31F81F06" w:rsidR="001303C0" w:rsidRPr="00691F38" w:rsidRDefault="001303C0" w:rsidP="007336AC">
            <w:pPr>
              <w:pStyle w:val="TableText"/>
              <w:rPr>
                <w:lang w:eastAsia="ja-JP"/>
              </w:rPr>
            </w:pPr>
            <w:r w:rsidRPr="00691F38">
              <w:rPr>
                <w:lang w:eastAsia="ja-JP"/>
              </w:rPr>
              <w:t>Agricultural and Resource Management Council of Australia and New Zealand</w:t>
            </w:r>
            <w:r w:rsidR="00FD1467">
              <w:rPr>
                <w:lang w:eastAsia="ja-JP"/>
              </w:rPr>
              <w:t>.</w:t>
            </w:r>
          </w:p>
        </w:tc>
      </w:tr>
      <w:tr w:rsidR="00FD1467" w:rsidRPr="00AF268A" w14:paraId="5FEC2641" w14:textId="77777777" w:rsidTr="005608F0">
        <w:trPr>
          <w:cantSplit/>
        </w:trPr>
        <w:tc>
          <w:tcPr>
            <w:tcW w:w="1509" w:type="pct"/>
            <w:tcBorders>
              <w:top w:val="single" w:sz="4" w:space="0" w:color="auto"/>
              <w:bottom w:val="single" w:sz="4" w:space="0" w:color="auto"/>
            </w:tcBorders>
          </w:tcPr>
          <w:p w14:paraId="2F49445D" w14:textId="05EF994F" w:rsidR="00FD1467" w:rsidRPr="00691F38" w:rsidRDefault="005608F0" w:rsidP="007336AC">
            <w:pPr>
              <w:pStyle w:val="TableText"/>
              <w:rPr>
                <w:lang w:eastAsia="ja-JP"/>
              </w:rPr>
            </w:pPr>
            <w:r>
              <w:rPr>
                <w:lang w:eastAsia="ja-JP"/>
              </w:rPr>
              <w:t>a</w:t>
            </w:r>
            <w:r w:rsidR="00FD1467">
              <w:rPr>
                <w:lang w:eastAsia="ja-JP"/>
              </w:rPr>
              <w:t>ssessment factor (AF)</w:t>
            </w:r>
          </w:p>
        </w:tc>
        <w:tc>
          <w:tcPr>
            <w:tcW w:w="3491" w:type="pct"/>
            <w:tcBorders>
              <w:top w:val="single" w:sz="4" w:space="0" w:color="auto"/>
              <w:bottom w:val="single" w:sz="4" w:space="0" w:color="auto"/>
            </w:tcBorders>
          </w:tcPr>
          <w:p w14:paraId="28D07383" w14:textId="23CDDCCA" w:rsidR="00FD1467" w:rsidRPr="00691F38" w:rsidRDefault="00FD1467" w:rsidP="007336AC">
            <w:pPr>
              <w:pStyle w:val="TableText"/>
              <w:rPr>
                <w:lang w:eastAsia="ja-JP"/>
              </w:rPr>
            </w:pPr>
            <w:r>
              <w:rPr>
                <w:lang w:eastAsia="ja-JP"/>
              </w:rPr>
              <w:t>A</w:t>
            </w:r>
            <w:r w:rsidRPr="00FD1467">
              <w:rPr>
                <w:lang w:eastAsia="ja-JP"/>
              </w:rPr>
              <w:t xml:space="preserve"> unitless number applied to the lowest toxicity figure for a chemical to derive a concentration that should not cause adverse environmental effects. The size of the AF varies with the type of data. Also called ‘application factor’ or ‘safety factor’.</w:t>
            </w:r>
          </w:p>
        </w:tc>
      </w:tr>
      <w:tr w:rsidR="001303C0" w:rsidRPr="00AF268A" w14:paraId="2004086C" w14:textId="77777777" w:rsidTr="005608F0">
        <w:trPr>
          <w:cantSplit/>
        </w:trPr>
        <w:tc>
          <w:tcPr>
            <w:tcW w:w="1509" w:type="pct"/>
            <w:tcBorders>
              <w:top w:val="single" w:sz="4" w:space="0" w:color="auto"/>
              <w:bottom w:val="single" w:sz="4" w:space="0" w:color="auto"/>
            </w:tcBorders>
          </w:tcPr>
          <w:p w14:paraId="3D1C81F6" w14:textId="77777777" w:rsidR="001303C0" w:rsidRPr="00691F38" w:rsidRDefault="001303C0" w:rsidP="007336AC">
            <w:pPr>
              <w:pStyle w:val="TableText"/>
              <w:rPr>
                <w:lang w:eastAsia="ja-JP"/>
              </w:rPr>
            </w:pPr>
            <w:r w:rsidRPr="00691F38">
              <w:rPr>
                <w:lang w:eastAsia="ja-JP"/>
              </w:rPr>
              <w:t>chronic toxicity</w:t>
            </w:r>
          </w:p>
        </w:tc>
        <w:tc>
          <w:tcPr>
            <w:tcW w:w="3491" w:type="pct"/>
            <w:tcBorders>
              <w:top w:val="single" w:sz="4" w:space="0" w:color="auto"/>
              <w:bottom w:val="single" w:sz="4" w:space="0" w:color="auto"/>
            </w:tcBorders>
          </w:tcPr>
          <w:p w14:paraId="09B280CE" w14:textId="46B6ABA2" w:rsidR="001303C0" w:rsidRPr="00691F38" w:rsidRDefault="00FD1467" w:rsidP="007336AC">
            <w:pPr>
              <w:pStyle w:val="TableText"/>
              <w:rPr>
                <w:lang w:eastAsia="ja-JP"/>
              </w:rPr>
            </w:pPr>
            <w:r>
              <w:rPr>
                <w:lang w:eastAsia="ja-JP"/>
              </w:rPr>
              <w:t>A</w:t>
            </w:r>
            <w:r w:rsidRPr="00FD1467">
              <w:rPr>
                <w:lang w:eastAsia="ja-JP"/>
              </w:rPr>
              <w:t xml:space="preserve"> lethal or sublethal adverse effect that occurs after exposure to a chemical for a period of time that is a substantial portion of the organism’s life span or an adverse effect on a sensitive early life stage.</w:t>
            </w:r>
          </w:p>
        </w:tc>
      </w:tr>
      <w:tr w:rsidR="001303C0" w:rsidRPr="00AF268A" w14:paraId="4926BC66" w14:textId="77777777" w:rsidTr="005608F0">
        <w:trPr>
          <w:cantSplit/>
        </w:trPr>
        <w:tc>
          <w:tcPr>
            <w:tcW w:w="1509" w:type="pct"/>
            <w:tcBorders>
              <w:top w:val="single" w:sz="4" w:space="0" w:color="auto"/>
              <w:bottom w:val="single" w:sz="4" w:space="0" w:color="auto"/>
            </w:tcBorders>
          </w:tcPr>
          <w:p w14:paraId="55C3E9CE" w14:textId="77777777" w:rsidR="001303C0" w:rsidRPr="00691F38" w:rsidRDefault="001303C0" w:rsidP="007336AC">
            <w:pPr>
              <w:pStyle w:val="TableText"/>
              <w:rPr>
                <w:lang w:eastAsia="ja-JP"/>
              </w:rPr>
            </w:pPr>
            <w:r w:rsidRPr="00691F38">
              <w:rPr>
                <w:lang w:eastAsia="ja-JP"/>
              </w:rPr>
              <w:t>default guideline value (DGV)</w:t>
            </w:r>
          </w:p>
        </w:tc>
        <w:tc>
          <w:tcPr>
            <w:tcW w:w="3491" w:type="pct"/>
            <w:tcBorders>
              <w:top w:val="single" w:sz="4" w:space="0" w:color="auto"/>
              <w:bottom w:val="single" w:sz="4" w:space="0" w:color="auto"/>
            </w:tcBorders>
          </w:tcPr>
          <w:p w14:paraId="57ED641E" w14:textId="7076E1D3" w:rsidR="001303C0" w:rsidRPr="00691F38" w:rsidRDefault="00691F38" w:rsidP="00F53733">
            <w:pPr>
              <w:pStyle w:val="TableText"/>
              <w:rPr>
                <w:lang w:eastAsia="ja-JP"/>
              </w:rPr>
            </w:pPr>
            <w:r w:rsidRPr="00691F38">
              <w:rPr>
                <w:lang w:eastAsia="ja-JP"/>
              </w:rPr>
              <w:t xml:space="preserve">A guideline value recommended for generic application in the absence of a more specific guideline value (e.g. </w:t>
            </w:r>
            <w:r w:rsidR="00FD1467">
              <w:rPr>
                <w:lang w:eastAsia="ja-JP"/>
              </w:rPr>
              <w:t xml:space="preserve">a </w:t>
            </w:r>
            <w:r w:rsidRPr="00691F38">
              <w:rPr>
                <w:lang w:eastAsia="ja-JP"/>
              </w:rPr>
              <w:t>site-specific</w:t>
            </w:r>
            <w:r w:rsidR="00FD1467">
              <w:rPr>
                <w:lang w:eastAsia="ja-JP"/>
              </w:rPr>
              <w:t xml:space="preserve"> guideline value</w:t>
            </w:r>
            <w:r w:rsidRPr="00691F38">
              <w:rPr>
                <w:lang w:eastAsia="ja-JP"/>
              </w:rPr>
              <w:t>) in the Australian and New Zealand Guidelines</w:t>
            </w:r>
            <w:r w:rsidR="00F53733">
              <w:rPr>
                <w:lang w:eastAsia="ja-JP"/>
              </w:rPr>
              <w:t xml:space="preserve"> for Fresh and Marine Water Quality</w:t>
            </w:r>
            <w:r w:rsidRPr="00691F38">
              <w:rPr>
                <w:lang w:eastAsia="ja-JP"/>
              </w:rPr>
              <w:t>.</w:t>
            </w:r>
          </w:p>
        </w:tc>
      </w:tr>
      <w:tr w:rsidR="001B7666" w:rsidRPr="00AF268A" w14:paraId="34A2F159" w14:textId="77777777" w:rsidTr="005608F0">
        <w:trPr>
          <w:cantSplit/>
        </w:trPr>
        <w:tc>
          <w:tcPr>
            <w:tcW w:w="1509" w:type="pct"/>
            <w:tcBorders>
              <w:top w:val="single" w:sz="4" w:space="0" w:color="auto"/>
              <w:bottom w:val="single" w:sz="4" w:space="0" w:color="auto"/>
            </w:tcBorders>
          </w:tcPr>
          <w:p w14:paraId="6592C2F5" w14:textId="0C895C8F" w:rsidR="001B7666" w:rsidRPr="00691F38" w:rsidRDefault="001B7666" w:rsidP="007336AC">
            <w:pPr>
              <w:pStyle w:val="TableText"/>
              <w:rPr>
                <w:lang w:eastAsia="ja-JP"/>
              </w:rPr>
            </w:pPr>
            <w:r w:rsidRPr="00691F38">
              <w:rPr>
                <w:lang w:eastAsia="ja-JP"/>
              </w:rPr>
              <w:t>EC50 (median effective concentration)</w:t>
            </w:r>
          </w:p>
        </w:tc>
        <w:tc>
          <w:tcPr>
            <w:tcW w:w="3491" w:type="pct"/>
            <w:tcBorders>
              <w:top w:val="single" w:sz="4" w:space="0" w:color="auto"/>
              <w:bottom w:val="single" w:sz="4" w:space="0" w:color="auto"/>
            </w:tcBorders>
          </w:tcPr>
          <w:p w14:paraId="4A4E3062" w14:textId="08762750" w:rsidR="001B7666" w:rsidRPr="00691F38" w:rsidRDefault="001B7666" w:rsidP="007336AC">
            <w:pPr>
              <w:pStyle w:val="TableText"/>
              <w:rPr>
                <w:lang w:eastAsia="ja-JP"/>
              </w:rPr>
            </w:pPr>
            <w:r>
              <w:rPr>
                <w:lang w:eastAsia="ja-JP"/>
              </w:rPr>
              <w:t>T</w:t>
            </w:r>
            <w:r w:rsidRPr="001B7666">
              <w:rPr>
                <w:lang w:eastAsia="ja-JP"/>
              </w:rPr>
              <w:t>he concentration of a substance in water or sediment that is estimated to produce a 50% change in the response being measured or a certain effect in 50% of the test organisms relative to the control response, under specified conditions.</w:t>
            </w:r>
          </w:p>
        </w:tc>
      </w:tr>
      <w:tr w:rsidR="001B7666" w:rsidRPr="00AF268A" w14:paraId="4DC9FE69" w14:textId="77777777" w:rsidTr="005608F0">
        <w:trPr>
          <w:cantSplit/>
        </w:trPr>
        <w:tc>
          <w:tcPr>
            <w:tcW w:w="1509" w:type="pct"/>
            <w:tcBorders>
              <w:top w:val="single" w:sz="4" w:space="0" w:color="auto"/>
              <w:bottom w:val="single" w:sz="4" w:space="0" w:color="auto"/>
            </w:tcBorders>
          </w:tcPr>
          <w:p w14:paraId="4DCFDAD4" w14:textId="75F6EF43" w:rsidR="001B7666" w:rsidRPr="00691F38" w:rsidRDefault="001B7666" w:rsidP="007336AC">
            <w:pPr>
              <w:pStyle w:val="TableText"/>
              <w:rPr>
                <w:lang w:eastAsia="ja-JP"/>
              </w:rPr>
            </w:pPr>
            <w:proofErr w:type="spellStart"/>
            <w:r w:rsidRPr="00691F38">
              <w:rPr>
                <w:lang w:eastAsia="ja-JP"/>
              </w:rPr>
              <w:t>ECx</w:t>
            </w:r>
            <w:proofErr w:type="spellEnd"/>
          </w:p>
        </w:tc>
        <w:tc>
          <w:tcPr>
            <w:tcW w:w="3491" w:type="pct"/>
            <w:tcBorders>
              <w:top w:val="single" w:sz="4" w:space="0" w:color="auto"/>
              <w:bottom w:val="single" w:sz="4" w:space="0" w:color="auto"/>
            </w:tcBorders>
          </w:tcPr>
          <w:p w14:paraId="3A0ADCEB" w14:textId="18A60DD4" w:rsidR="001B7666" w:rsidRPr="00691F38" w:rsidRDefault="001B7666" w:rsidP="007336AC">
            <w:pPr>
              <w:pStyle w:val="TableText"/>
              <w:rPr>
                <w:lang w:eastAsia="ja-JP"/>
              </w:rPr>
            </w:pPr>
            <w:r>
              <w:rPr>
                <w:lang w:eastAsia="ja-JP"/>
              </w:rPr>
              <w:t>T</w:t>
            </w:r>
            <w:r w:rsidRPr="001B7666">
              <w:rPr>
                <w:lang w:eastAsia="ja-JP"/>
              </w:rPr>
              <w:t>he concentration of a substance in water or sediment that is estimated to produce an x% change in the response being measured or a certain effect in x% of the test organisms, under specified conditions.</w:t>
            </w:r>
          </w:p>
        </w:tc>
      </w:tr>
      <w:tr w:rsidR="001B7666" w:rsidRPr="00AF268A" w14:paraId="07F4616F" w14:textId="77777777" w:rsidTr="005608F0">
        <w:trPr>
          <w:cantSplit/>
        </w:trPr>
        <w:tc>
          <w:tcPr>
            <w:tcW w:w="1509" w:type="pct"/>
            <w:tcBorders>
              <w:top w:val="single" w:sz="4" w:space="0" w:color="auto"/>
              <w:bottom w:val="single" w:sz="4" w:space="0" w:color="auto"/>
            </w:tcBorders>
          </w:tcPr>
          <w:p w14:paraId="7FDCF3EE" w14:textId="77777777" w:rsidR="001B7666" w:rsidRPr="00691F38" w:rsidRDefault="001B7666" w:rsidP="007336AC">
            <w:pPr>
              <w:pStyle w:val="TableText"/>
              <w:rPr>
                <w:lang w:eastAsia="ja-JP"/>
              </w:rPr>
            </w:pPr>
            <w:r w:rsidRPr="00691F38">
              <w:rPr>
                <w:lang w:eastAsia="ja-JP"/>
              </w:rPr>
              <w:t>endpoint</w:t>
            </w:r>
          </w:p>
        </w:tc>
        <w:tc>
          <w:tcPr>
            <w:tcW w:w="3491" w:type="pct"/>
            <w:tcBorders>
              <w:top w:val="single" w:sz="4" w:space="0" w:color="auto"/>
              <w:bottom w:val="single" w:sz="4" w:space="0" w:color="auto"/>
            </w:tcBorders>
          </w:tcPr>
          <w:p w14:paraId="5A86FF13" w14:textId="3C7D3900" w:rsidR="001B7666" w:rsidRPr="00691F38" w:rsidRDefault="001B7666" w:rsidP="007336AC">
            <w:pPr>
              <w:pStyle w:val="TableText"/>
              <w:rPr>
                <w:lang w:eastAsia="ja-JP"/>
              </w:rPr>
            </w:pPr>
            <w:r>
              <w:rPr>
                <w:lang w:eastAsia="ja-JP"/>
              </w:rPr>
              <w:t>T</w:t>
            </w:r>
            <w:r w:rsidRPr="001B7666">
              <w:rPr>
                <w:lang w:eastAsia="ja-JP"/>
              </w:rPr>
              <w:t>he specific response of an organism that is measured in a toxicity test (e.g. mortality, growth, a particular biomarker).</w:t>
            </w:r>
          </w:p>
        </w:tc>
      </w:tr>
      <w:tr w:rsidR="001B7666" w:rsidRPr="00AF268A" w14:paraId="770A37F1" w14:textId="77777777" w:rsidTr="005608F0">
        <w:trPr>
          <w:cantSplit/>
        </w:trPr>
        <w:tc>
          <w:tcPr>
            <w:tcW w:w="1509" w:type="pct"/>
            <w:tcBorders>
              <w:top w:val="single" w:sz="4" w:space="0" w:color="auto"/>
              <w:bottom w:val="single" w:sz="4" w:space="0" w:color="auto"/>
            </w:tcBorders>
          </w:tcPr>
          <w:p w14:paraId="454A9785" w14:textId="77777777" w:rsidR="001B7666" w:rsidRPr="00691F38" w:rsidRDefault="001B7666" w:rsidP="007336AC">
            <w:pPr>
              <w:pStyle w:val="TableText"/>
              <w:rPr>
                <w:lang w:eastAsia="ja-JP"/>
              </w:rPr>
            </w:pPr>
            <w:r w:rsidRPr="00691F38">
              <w:rPr>
                <w:lang w:eastAsia="ja-JP"/>
              </w:rPr>
              <w:t>guideline value (GV)</w:t>
            </w:r>
          </w:p>
        </w:tc>
        <w:tc>
          <w:tcPr>
            <w:tcW w:w="3491" w:type="pct"/>
            <w:tcBorders>
              <w:top w:val="single" w:sz="4" w:space="0" w:color="auto"/>
              <w:bottom w:val="single" w:sz="4" w:space="0" w:color="auto"/>
            </w:tcBorders>
          </w:tcPr>
          <w:p w14:paraId="59A3ABFF" w14:textId="50BF30E7" w:rsidR="001B7666" w:rsidRPr="00691F38" w:rsidRDefault="001B7666" w:rsidP="001B7666">
            <w:pPr>
              <w:pStyle w:val="TableText"/>
              <w:rPr>
                <w:lang w:eastAsia="ja-JP"/>
              </w:rPr>
            </w:pPr>
            <w:r w:rsidRPr="00691F38">
              <w:rPr>
                <w:lang w:eastAsia="ja-JP"/>
              </w:rPr>
              <w:t xml:space="preserve">A measurable quantity (e.g. concentration) or condition of an indicator for a specific </w:t>
            </w:r>
            <w:r>
              <w:rPr>
                <w:lang w:eastAsia="ja-JP"/>
              </w:rPr>
              <w:t>community</w:t>
            </w:r>
            <w:r w:rsidRPr="00691F38">
              <w:rPr>
                <w:lang w:eastAsia="ja-JP"/>
              </w:rPr>
              <w:t xml:space="preserve"> value below which (or above which, in the case of stressors such as pH, dissolved oxygen and many biodiversity responses) there is considered to be a low risk of unacceptable effects occurring to that </w:t>
            </w:r>
            <w:r>
              <w:rPr>
                <w:lang w:eastAsia="ja-JP"/>
              </w:rPr>
              <w:t>community</w:t>
            </w:r>
            <w:r w:rsidRPr="00691F38">
              <w:rPr>
                <w:lang w:eastAsia="ja-JP"/>
              </w:rPr>
              <w:t xml:space="preserve"> value. Guideline values for more than one indicator should be used simultaneously in a multiple lines of evidence approach.</w:t>
            </w:r>
            <w:r>
              <w:rPr>
                <w:lang w:eastAsia="ja-JP"/>
              </w:rPr>
              <w:t xml:space="preserve"> (Also refer to default guideline value and site-specific guideline value.)</w:t>
            </w:r>
          </w:p>
        </w:tc>
      </w:tr>
      <w:tr w:rsidR="007A1821" w:rsidRPr="00AF268A" w14:paraId="64EA8E93" w14:textId="77777777" w:rsidTr="005608F0">
        <w:trPr>
          <w:cantSplit/>
        </w:trPr>
        <w:tc>
          <w:tcPr>
            <w:tcW w:w="1509" w:type="pct"/>
            <w:tcBorders>
              <w:top w:val="single" w:sz="4" w:space="0" w:color="auto"/>
              <w:bottom w:val="single" w:sz="4" w:space="0" w:color="auto"/>
            </w:tcBorders>
          </w:tcPr>
          <w:p w14:paraId="28C0651E" w14:textId="34B5B59C" w:rsidR="007A1821" w:rsidRPr="00691F38" w:rsidRDefault="007A1821" w:rsidP="007336AC">
            <w:pPr>
              <w:pStyle w:val="TableText"/>
              <w:rPr>
                <w:lang w:eastAsia="ja-JP"/>
              </w:rPr>
            </w:pPr>
            <w:r>
              <w:rPr>
                <w:lang w:eastAsia="ja-JP"/>
              </w:rPr>
              <w:t>heterotroph</w:t>
            </w:r>
          </w:p>
        </w:tc>
        <w:tc>
          <w:tcPr>
            <w:tcW w:w="3491" w:type="pct"/>
            <w:tcBorders>
              <w:top w:val="single" w:sz="4" w:space="0" w:color="auto"/>
              <w:bottom w:val="single" w:sz="4" w:space="0" w:color="auto"/>
            </w:tcBorders>
          </w:tcPr>
          <w:p w14:paraId="77F3F428" w14:textId="48D8244A" w:rsidR="007A1821" w:rsidRDefault="00266D3B" w:rsidP="007336AC">
            <w:pPr>
              <w:pStyle w:val="TableText"/>
              <w:rPr>
                <w:lang w:eastAsia="ja-JP"/>
              </w:rPr>
            </w:pPr>
            <w:r>
              <w:rPr>
                <w:lang w:eastAsia="ja-JP"/>
              </w:rPr>
              <w:t>A</w:t>
            </w:r>
            <w:r w:rsidRPr="00266D3B">
              <w:rPr>
                <w:lang w:eastAsia="ja-JP"/>
              </w:rPr>
              <w:t>n</w:t>
            </w:r>
            <w:r w:rsidR="009350E0">
              <w:rPr>
                <w:lang w:eastAsia="ja-JP"/>
              </w:rPr>
              <w:t xml:space="preserve"> </w:t>
            </w:r>
            <w:hyperlink r:id="rId28" w:tooltip="Organism" w:history="1">
              <w:r w:rsidRPr="00266D3B">
                <w:rPr>
                  <w:rStyle w:val="Hyperlink"/>
                  <w:lang w:eastAsia="ja-JP"/>
                </w:rPr>
                <w:t>organism</w:t>
              </w:r>
            </w:hyperlink>
            <w:r w:rsidR="009350E0">
              <w:rPr>
                <w:lang w:eastAsia="ja-JP"/>
              </w:rPr>
              <w:t xml:space="preserve"> </w:t>
            </w:r>
            <w:r w:rsidRPr="00266D3B">
              <w:rPr>
                <w:lang w:eastAsia="ja-JP"/>
              </w:rPr>
              <w:t>that cannot produce its own food</w:t>
            </w:r>
            <w:r>
              <w:rPr>
                <w:lang w:eastAsia="ja-JP"/>
              </w:rPr>
              <w:t xml:space="preserve"> (e.g. by photosynthesis)</w:t>
            </w:r>
            <w:r w:rsidRPr="00266D3B">
              <w:rPr>
                <w:lang w:eastAsia="ja-JP"/>
              </w:rPr>
              <w:t>, relying instead on the intake of nutrition from other sources of organic carbon, mainly plant or animal matter</w:t>
            </w:r>
            <w:r>
              <w:rPr>
                <w:lang w:eastAsia="ja-JP"/>
              </w:rPr>
              <w:t>.</w:t>
            </w:r>
          </w:p>
        </w:tc>
      </w:tr>
      <w:tr w:rsidR="001B7666" w:rsidRPr="00AF268A" w14:paraId="6CB7BFC4" w14:textId="77777777" w:rsidTr="005608F0">
        <w:trPr>
          <w:cantSplit/>
        </w:trPr>
        <w:tc>
          <w:tcPr>
            <w:tcW w:w="1509" w:type="pct"/>
            <w:tcBorders>
              <w:top w:val="single" w:sz="4" w:space="0" w:color="auto"/>
              <w:bottom w:val="single" w:sz="4" w:space="0" w:color="auto"/>
            </w:tcBorders>
          </w:tcPr>
          <w:p w14:paraId="5E10FE60" w14:textId="77777777" w:rsidR="001B7666" w:rsidRPr="00691F38" w:rsidRDefault="001B7666" w:rsidP="007336AC">
            <w:pPr>
              <w:pStyle w:val="TableText"/>
              <w:rPr>
                <w:lang w:eastAsia="ja-JP"/>
              </w:rPr>
            </w:pPr>
            <w:r w:rsidRPr="00691F38">
              <w:rPr>
                <w:lang w:eastAsia="ja-JP"/>
              </w:rPr>
              <w:t>LC50 (median lethal concentration)</w:t>
            </w:r>
          </w:p>
        </w:tc>
        <w:tc>
          <w:tcPr>
            <w:tcW w:w="3491" w:type="pct"/>
            <w:tcBorders>
              <w:top w:val="single" w:sz="4" w:space="0" w:color="auto"/>
              <w:bottom w:val="single" w:sz="4" w:space="0" w:color="auto"/>
            </w:tcBorders>
          </w:tcPr>
          <w:p w14:paraId="4CFBA362" w14:textId="1F9AEC34" w:rsidR="001B7666" w:rsidRPr="00691F38" w:rsidRDefault="005608F0" w:rsidP="007336AC">
            <w:pPr>
              <w:pStyle w:val="TableText"/>
              <w:rPr>
                <w:lang w:eastAsia="ja-JP"/>
              </w:rPr>
            </w:pPr>
            <w:r>
              <w:rPr>
                <w:lang w:eastAsia="ja-JP"/>
              </w:rPr>
              <w:t>T</w:t>
            </w:r>
            <w:r w:rsidRPr="005608F0">
              <w:rPr>
                <w:lang w:eastAsia="ja-JP"/>
              </w:rPr>
              <w:t>he concentration of a substance in water or sediment that is estimated to be lethal to 50% of a group of test organisms, relative to the control response, under specified conditions.</w:t>
            </w:r>
          </w:p>
        </w:tc>
      </w:tr>
      <w:tr w:rsidR="001B7666" w:rsidRPr="00AF268A" w14:paraId="4F9353DA" w14:textId="77777777" w:rsidTr="005608F0">
        <w:trPr>
          <w:cantSplit/>
        </w:trPr>
        <w:tc>
          <w:tcPr>
            <w:tcW w:w="1509" w:type="pct"/>
            <w:tcBorders>
              <w:top w:val="single" w:sz="4" w:space="0" w:color="auto"/>
              <w:bottom w:val="single" w:sz="4" w:space="0" w:color="auto"/>
            </w:tcBorders>
          </w:tcPr>
          <w:p w14:paraId="25E3BBCB" w14:textId="416D9654" w:rsidR="001B7666" w:rsidRDefault="001B7666" w:rsidP="005608F0">
            <w:pPr>
              <w:pStyle w:val="TableText"/>
              <w:rPr>
                <w:lang w:eastAsia="ja-JP"/>
              </w:rPr>
            </w:pPr>
            <w:r w:rsidRPr="00691F38">
              <w:rPr>
                <w:lang w:eastAsia="ja-JP"/>
              </w:rPr>
              <w:t>lowest observed effect concentration</w:t>
            </w:r>
            <w:r w:rsidR="005608F0" w:rsidRPr="00691F38">
              <w:rPr>
                <w:lang w:eastAsia="ja-JP"/>
              </w:rPr>
              <w:t xml:space="preserve"> </w:t>
            </w:r>
            <w:r w:rsidR="005608F0">
              <w:rPr>
                <w:lang w:eastAsia="ja-JP"/>
              </w:rPr>
              <w:t>(</w:t>
            </w:r>
            <w:r w:rsidR="005608F0" w:rsidRPr="00691F38">
              <w:rPr>
                <w:lang w:eastAsia="ja-JP"/>
              </w:rPr>
              <w:t>LOEC</w:t>
            </w:r>
            <w:r w:rsidR="005608F0">
              <w:rPr>
                <w:lang w:eastAsia="ja-JP"/>
              </w:rPr>
              <w:t>)</w:t>
            </w:r>
          </w:p>
          <w:p w14:paraId="3555D896" w14:textId="77777777" w:rsidR="00A40285" w:rsidRDefault="00A40285" w:rsidP="005608F0">
            <w:pPr>
              <w:pStyle w:val="TableText"/>
              <w:rPr>
                <w:lang w:eastAsia="ja-JP"/>
              </w:rPr>
            </w:pPr>
            <w:r>
              <w:rPr>
                <w:lang w:eastAsia="ja-JP"/>
              </w:rPr>
              <w:t>or</w:t>
            </w:r>
          </w:p>
          <w:p w14:paraId="6044A1E3" w14:textId="216F356A" w:rsidR="00A40285" w:rsidRPr="00691F38" w:rsidRDefault="009350E0" w:rsidP="005608F0">
            <w:pPr>
              <w:pStyle w:val="TableText"/>
              <w:rPr>
                <w:lang w:eastAsia="ja-JP"/>
              </w:rPr>
            </w:pPr>
            <w:r>
              <w:rPr>
                <w:lang w:eastAsia="ja-JP"/>
              </w:rPr>
              <w:t>l</w:t>
            </w:r>
            <w:r w:rsidR="00A40285">
              <w:rPr>
                <w:lang w:eastAsia="ja-JP"/>
              </w:rPr>
              <w:t>owest observed effect level</w:t>
            </w:r>
            <w:r>
              <w:rPr>
                <w:lang w:eastAsia="ja-JP"/>
              </w:rPr>
              <w:t xml:space="preserve"> (LOEL)</w:t>
            </w:r>
          </w:p>
        </w:tc>
        <w:tc>
          <w:tcPr>
            <w:tcW w:w="3491" w:type="pct"/>
            <w:tcBorders>
              <w:top w:val="single" w:sz="4" w:space="0" w:color="auto"/>
              <w:bottom w:val="single" w:sz="4" w:space="0" w:color="auto"/>
            </w:tcBorders>
          </w:tcPr>
          <w:p w14:paraId="440359A8" w14:textId="2369BECE" w:rsidR="001B7666" w:rsidRPr="00691F38" w:rsidRDefault="005608F0" w:rsidP="009350E0">
            <w:pPr>
              <w:pStyle w:val="TableText"/>
              <w:rPr>
                <w:lang w:eastAsia="ja-JP"/>
              </w:rPr>
            </w:pPr>
            <w:r>
              <w:rPr>
                <w:lang w:eastAsia="ja-JP"/>
              </w:rPr>
              <w:t>T</w:t>
            </w:r>
            <w:r w:rsidRPr="005608F0">
              <w:rPr>
                <w:lang w:eastAsia="ja-JP"/>
              </w:rPr>
              <w:t>he lowest concentration of a material used in a toxicity test that has a statistically significant adverse effect on the exposed population of test organisms as compared with the controls.</w:t>
            </w:r>
            <w:r w:rsidR="00A40285">
              <w:rPr>
                <w:lang w:eastAsia="ja-JP"/>
              </w:rPr>
              <w:t xml:space="preserve"> </w:t>
            </w:r>
            <w:r w:rsidR="00A40285" w:rsidRPr="00047B2E">
              <w:rPr>
                <w:lang w:eastAsia="ja-JP"/>
              </w:rPr>
              <w:t xml:space="preserve">Also sometimes referred to as a </w:t>
            </w:r>
            <w:r w:rsidR="00A40285">
              <w:rPr>
                <w:lang w:eastAsia="ja-JP"/>
              </w:rPr>
              <w:t>lowest</w:t>
            </w:r>
            <w:r w:rsidR="00A40285" w:rsidRPr="00047B2E">
              <w:rPr>
                <w:lang w:eastAsia="ja-JP"/>
              </w:rPr>
              <w:t xml:space="preserve"> observed effect level</w:t>
            </w:r>
            <w:r w:rsidR="00A40285">
              <w:rPr>
                <w:lang w:eastAsia="ja-JP"/>
              </w:rPr>
              <w:t>.</w:t>
            </w:r>
          </w:p>
        </w:tc>
      </w:tr>
      <w:tr w:rsidR="001B7666" w:rsidRPr="00AF268A" w14:paraId="4FBBB942" w14:textId="77777777" w:rsidTr="005608F0">
        <w:trPr>
          <w:cantSplit/>
        </w:trPr>
        <w:tc>
          <w:tcPr>
            <w:tcW w:w="1509" w:type="pct"/>
            <w:tcBorders>
              <w:top w:val="single" w:sz="4" w:space="0" w:color="auto"/>
              <w:bottom w:val="single" w:sz="4" w:space="0" w:color="auto"/>
            </w:tcBorders>
          </w:tcPr>
          <w:p w14:paraId="538196D3" w14:textId="71896336" w:rsidR="001B7666" w:rsidRDefault="001B7666" w:rsidP="005608F0">
            <w:pPr>
              <w:pStyle w:val="TableText"/>
              <w:rPr>
                <w:lang w:eastAsia="ja-JP"/>
              </w:rPr>
            </w:pPr>
            <w:r w:rsidRPr="00691F38">
              <w:rPr>
                <w:lang w:eastAsia="ja-JP"/>
              </w:rPr>
              <w:t>no observed effect concentration</w:t>
            </w:r>
            <w:r w:rsidR="005608F0" w:rsidRPr="00691F38">
              <w:rPr>
                <w:lang w:eastAsia="ja-JP"/>
              </w:rPr>
              <w:t xml:space="preserve"> </w:t>
            </w:r>
            <w:r w:rsidR="005608F0">
              <w:rPr>
                <w:lang w:eastAsia="ja-JP"/>
              </w:rPr>
              <w:t>(</w:t>
            </w:r>
            <w:r w:rsidR="005608F0" w:rsidRPr="00691F38">
              <w:rPr>
                <w:lang w:eastAsia="ja-JP"/>
              </w:rPr>
              <w:t>NOEC</w:t>
            </w:r>
            <w:r w:rsidR="005608F0">
              <w:rPr>
                <w:lang w:eastAsia="ja-JP"/>
              </w:rPr>
              <w:t>)</w:t>
            </w:r>
          </w:p>
          <w:p w14:paraId="2B961AB3" w14:textId="77777777" w:rsidR="00A42815" w:rsidRDefault="00A42815" w:rsidP="005608F0">
            <w:pPr>
              <w:pStyle w:val="TableText"/>
              <w:rPr>
                <w:lang w:eastAsia="ja-JP"/>
              </w:rPr>
            </w:pPr>
            <w:r>
              <w:rPr>
                <w:lang w:eastAsia="ja-JP"/>
              </w:rPr>
              <w:t>or</w:t>
            </w:r>
          </w:p>
          <w:p w14:paraId="6204B985" w14:textId="2079671D" w:rsidR="00A42815" w:rsidRPr="00691F38" w:rsidRDefault="00A42815" w:rsidP="005608F0">
            <w:pPr>
              <w:pStyle w:val="TableText"/>
              <w:rPr>
                <w:lang w:eastAsia="ja-JP"/>
              </w:rPr>
            </w:pPr>
            <w:r>
              <w:rPr>
                <w:lang w:eastAsia="ja-JP"/>
              </w:rPr>
              <w:t>no observed effect level (NOEL)</w:t>
            </w:r>
          </w:p>
        </w:tc>
        <w:tc>
          <w:tcPr>
            <w:tcW w:w="3491" w:type="pct"/>
            <w:tcBorders>
              <w:top w:val="single" w:sz="4" w:space="0" w:color="auto"/>
              <w:bottom w:val="single" w:sz="4" w:space="0" w:color="auto"/>
            </w:tcBorders>
          </w:tcPr>
          <w:p w14:paraId="6A4E0FA9" w14:textId="2AC99F22" w:rsidR="001B7666" w:rsidRPr="00691F38" w:rsidRDefault="005608F0" w:rsidP="009350E0">
            <w:pPr>
              <w:pStyle w:val="TableText"/>
              <w:rPr>
                <w:lang w:eastAsia="ja-JP"/>
              </w:rPr>
            </w:pPr>
            <w:r>
              <w:rPr>
                <w:lang w:eastAsia="ja-JP"/>
              </w:rPr>
              <w:t>T</w:t>
            </w:r>
            <w:r w:rsidRPr="005608F0">
              <w:rPr>
                <w:lang w:eastAsia="ja-JP"/>
              </w:rPr>
              <w:t>he highest concentration of a material used in a toxicity test that has no statistically significant adverse effect on the exposed population of test organisms as compared with the controls.</w:t>
            </w:r>
            <w:r w:rsidR="00A42815">
              <w:rPr>
                <w:lang w:eastAsia="ja-JP"/>
              </w:rPr>
              <w:t xml:space="preserve"> </w:t>
            </w:r>
            <w:r w:rsidR="00A42815" w:rsidRPr="00047B2E">
              <w:rPr>
                <w:lang w:eastAsia="ja-JP"/>
              </w:rPr>
              <w:t>Also sometimes referred to as a no observed effect level</w:t>
            </w:r>
            <w:r w:rsidR="00A42815">
              <w:rPr>
                <w:lang w:eastAsia="ja-JP"/>
              </w:rPr>
              <w:t>.</w:t>
            </w:r>
          </w:p>
        </w:tc>
      </w:tr>
      <w:tr w:rsidR="001B7666" w:rsidRPr="00AF268A" w14:paraId="12F36EB6" w14:textId="77777777" w:rsidTr="005608F0">
        <w:trPr>
          <w:cantSplit/>
        </w:trPr>
        <w:tc>
          <w:tcPr>
            <w:tcW w:w="1509" w:type="pct"/>
            <w:tcBorders>
              <w:top w:val="single" w:sz="4" w:space="0" w:color="auto"/>
              <w:bottom w:val="single" w:sz="4" w:space="0" w:color="auto"/>
            </w:tcBorders>
          </w:tcPr>
          <w:p w14:paraId="736A15A1" w14:textId="117C2FE7" w:rsidR="001B7666" w:rsidRPr="00691F38" w:rsidRDefault="001B7666" w:rsidP="007336AC">
            <w:pPr>
              <w:pStyle w:val="TableText"/>
              <w:rPr>
                <w:lang w:eastAsia="ja-JP"/>
              </w:rPr>
            </w:pPr>
            <w:r>
              <w:rPr>
                <w:lang w:eastAsia="ja-JP"/>
              </w:rPr>
              <w:t>p</w:t>
            </w:r>
            <w:r w:rsidRPr="00FD1467">
              <w:rPr>
                <w:lang w:eastAsia="ja-JP"/>
              </w:rPr>
              <w:t>hototroph</w:t>
            </w:r>
          </w:p>
        </w:tc>
        <w:tc>
          <w:tcPr>
            <w:tcW w:w="3491" w:type="pct"/>
            <w:tcBorders>
              <w:top w:val="single" w:sz="4" w:space="0" w:color="auto"/>
              <w:bottom w:val="single" w:sz="4" w:space="0" w:color="auto"/>
            </w:tcBorders>
          </w:tcPr>
          <w:p w14:paraId="47CCB2C8" w14:textId="79BD3CEC" w:rsidR="001B7666" w:rsidRPr="00691F38" w:rsidRDefault="00A42815" w:rsidP="007336AC">
            <w:pPr>
              <w:pStyle w:val="TableText"/>
              <w:rPr>
                <w:lang w:eastAsia="ja-JP"/>
              </w:rPr>
            </w:pPr>
            <w:r>
              <w:rPr>
                <w:lang w:eastAsia="ja-JP"/>
              </w:rPr>
              <w:t>An o</w:t>
            </w:r>
            <w:r w:rsidRPr="00FD1467">
              <w:rPr>
                <w:lang w:eastAsia="ja-JP"/>
              </w:rPr>
              <w:t xml:space="preserve">rganism </w:t>
            </w:r>
            <w:r w:rsidR="001B7666" w:rsidRPr="00FD1467">
              <w:rPr>
                <w:lang w:eastAsia="ja-JP"/>
              </w:rPr>
              <w:t>that photosynthesize</w:t>
            </w:r>
            <w:r>
              <w:rPr>
                <w:lang w:eastAsia="ja-JP"/>
              </w:rPr>
              <w:t>s</w:t>
            </w:r>
            <w:r w:rsidR="001B7666" w:rsidRPr="00FD1467">
              <w:rPr>
                <w:lang w:eastAsia="ja-JP"/>
              </w:rPr>
              <w:t xml:space="preserve"> as </w:t>
            </w:r>
            <w:r>
              <w:rPr>
                <w:lang w:eastAsia="ja-JP"/>
              </w:rPr>
              <w:t>its</w:t>
            </w:r>
            <w:r w:rsidR="001B7666" w:rsidRPr="00FD1467">
              <w:rPr>
                <w:lang w:eastAsia="ja-JP"/>
              </w:rPr>
              <w:t xml:space="preserve"> main means of obtaining energy e.g. plants and algae.</w:t>
            </w:r>
          </w:p>
        </w:tc>
      </w:tr>
      <w:tr w:rsidR="001B7666" w:rsidRPr="00AF268A" w14:paraId="290AE093" w14:textId="77777777" w:rsidTr="005608F0">
        <w:trPr>
          <w:cantSplit/>
        </w:trPr>
        <w:tc>
          <w:tcPr>
            <w:tcW w:w="1509" w:type="pct"/>
            <w:tcBorders>
              <w:top w:val="single" w:sz="4" w:space="0" w:color="auto"/>
              <w:bottom w:val="single" w:sz="4" w:space="0" w:color="auto"/>
            </w:tcBorders>
          </w:tcPr>
          <w:p w14:paraId="6FBF0445" w14:textId="7C0E468B" w:rsidR="001B7666" w:rsidRPr="00AF268A" w:rsidRDefault="001B7666" w:rsidP="007336AC">
            <w:pPr>
              <w:pStyle w:val="TableText"/>
              <w:rPr>
                <w:highlight w:val="yellow"/>
                <w:lang w:eastAsia="ja-JP"/>
              </w:rPr>
            </w:pPr>
            <w:r w:rsidRPr="00FD1467">
              <w:rPr>
                <w:lang w:eastAsia="ja-JP"/>
              </w:rPr>
              <w:t>site-specific</w:t>
            </w:r>
            <w:r w:rsidR="005608F0">
              <w:rPr>
                <w:lang w:eastAsia="ja-JP"/>
              </w:rPr>
              <w:t xml:space="preserve"> guideline value</w:t>
            </w:r>
          </w:p>
        </w:tc>
        <w:tc>
          <w:tcPr>
            <w:tcW w:w="3491" w:type="pct"/>
            <w:tcBorders>
              <w:top w:val="single" w:sz="4" w:space="0" w:color="auto"/>
              <w:bottom w:val="single" w:sz="4" w:space="0" w:color="auto"/>
            </w:tcBorders>
          </w:tcPr>
          <w:p w14:paraId="0E13CF78" w14:textId="53CF37E6" w:rsidR="001B7666" w:rsidRPr="00AF268A" w:rsidRDefault="005608F0" w:rsidP="007336AC">
            <w:pPr>
              <w:pStyle w:val="TableText"/>
              <w:rPr>
                <w:highlight w:val="yellow"/>
                <w:lang w:eastAsia="ja-JP"/>
              </w:rPr>
            </w:pPr>
            <w:r>
              <w:rPr>
                <w:lang w:eastAsia="ja-JP"/>
              </w:rPr>
              <w:t>A</w:t>
            </w:r>
            <w:r w:rsidRPr="005608F0">
              <w:rPr>
                <w:lang w:eastAsia="ja-JP"/>
              </w:rPr>
              <w:t xml:space="preserve"> guideline value that is relevant to the specific location or conditions that are the focus of a given assessment or issue.</w:t>
            </w:r>
          </w:p>
        </w:tc>
      </w:tr>
      <w:tr w:rsidR="001B7666" w:rsidRPr="00AF268A" w14:paraId="0EE171E6" w14:textId="77777777" w:rsidTr="005608F0">
        <w:trPr>
          <w:cantSplit/>
        </w:trPr>
        <w:tc>
          <w:tcPr>
            <w:tcW w:w="1509" w:type="pct"/>
            <w:tcBorders>
              <w:top w:val="single" w:sz="4" w:space="0" w:color="auto"/>
              <w:bottom w:val="single" w:sz="4" w:space="0" w:color="auto"/>
            </w:tcBorders>
          </w:tcPr>
          <w:p w14:paraId="215620CD" w14:textId="01A4FEE8" w:rsidR="001B7666" w:rsidRPr="00AF268A" w:rsidRDefault="000744EE" w:rsidP="007336AC">
            <w:pPr>
              <w:pStyle w:val="TableText"/>
              <w:rPr>
                <w:highlight w:val="yellow"/>
                <w:lang w:eastAsia="ja-JP"/>
              </w:rPr>
            </w:pPr>
            <w:r w:rsidRPr="00FD1467">
              <w:rPr>
                <w:lang w:eastAsia="ja-JP"/>
              </w:rPr>
              <w:lastRenderedPageBreak/>
              <w:t>species</w:t>
            </w:r>
            <w:r>
              <w:rPr>
                <w:lang w:eastAsia="ja-JP"/>
              </w:rPr>
              <w:t xml:space="preserve"> </w:t>
            </w:r>
            <w:r w:rsidR="005608F0">
              <w:rPr>
                <w:lang w:eastAsia="ja-JP"/>
              </w:rPr>
              <w:t>(biological)</w:t>
            </w:r>
          </w:p>
        </w:tc>
        <w:tc>
          <w:tcPr>
            <w:tcW w:w="3491" w:type="pct"/>
            <w:tcBorders>
              <w:top w:val="single" w:sz="4" w:space="0" w:color="auto"/>
              <w:bottom w:val="single" w:sz="4" w:space="0" w:color="auto"/>
            </w:tcBorders>
          </w:tcPr>
          <w:p w14:paraId="00351133" w14:textId="1BDB31E7" w:rsidR="001B7666" w:rsidRPr="00AF268A" w:rsidRDefault="001B7666" w:rsidP="007336AC">
            <w:pPr>
              <w:pStyle w:val="TableText"/>
              <w:rPr>
                <w:highlight w:val="yellow"/>
                <w:lang w:eastAsia="ja-JP"/>
              </w:rPr>
            </w:pPr>
            <w:r w:rsidRPr="00FD1467">
              <w:rPr>
                <w:lang w:eastAsia="ja-JP"/>
              </w:rPr>
              <w:t>A group of organisms that resemble each other to a greater degree than members of other groups and that form a reproductively isolated group that will not produce viable offspring if bred with members of another group.</w:t>
            </w:r>
          </w:p>
        </w:tc>
      </w:tr>
      <w:tr w:rsidR="001B7666" w:rsidRPr="00AF268A" w14:paraId="3573E836" w14:textId="77777777" w:rsidTr="005608F0">
        <w:trPr>
          <w:cantSplit/>
        </w:trPr>
        <w:tc>
          <w:tcPr>
            <w:tcW w:w="1509" w:type="pct"/>
            <w:tcBorders>
              <w:top w:val="single" w:sz="4" w:space="0" w:color="auto"/>
              <w:bottom w:val="single" w:sz="4" w:space="0" w:color="auto"/>
            </w:tcBorders>
          </w:tcPr>
          <w:p w14:paraId="79DB4A03" w14:textId="77777777" w:rsidR="001B7666" w:rsidRPr="00AF268A" w:rsidRDefault="001B7666" w:rsidP="007336AC">
            <w:pPr>
              <w:pStyle w:val="TableText"/>
              <w:rPr>
                <w:highlight w:val="yellow"/>
                <w:lang w:eastAsia="ja-JP"/>
              </w:rPr>
            </w:pPr>
            <w:r w:rsidRPr="00FD1467">
              <w:rPr>
                <w:lang w:eastAsia="ja-JP"/>
              </w:rPr>
              <w:t xml:space="preserve">species sensitivity distribution (SSD) </w:t>
            </w:r>
          </w:p>
        </w:tc>
        <w:tc>
          <w:tcPr>
            <w:tcW w:w="3491" w:type="pct"/>
            <w:tcBorders>
              <w:top w:val="single" w:sz="4" w:space="0" w:color="auto"/>
              <w:bottom w:val="single" w:sz="4" w:space="0" w:color="auto"/>
            </w:tcBorders>
          </w:tcPr>
          <w:p w14:paraId="6CB34BE8" w14:textId="56E6EA99" w:rsidR="001B7666" w:rsidRPr="00AF268A" w:rsidRDefault="001B7666" w:rsidP="005608F0">
            <w:pPr>
              <w:pStyle w:val="TableText"/>
              <w:rPr>
                <w:highlight w:val="yellow"/>
                <w:lang w:eastAsia="ja-JP"/>
              </w:rPr>
            </w:pPr>
            <w:r w:rsidRPr="00FD1467">
              <w:rPr>
                <w:lang w:eastAsia="ja-JP"/>
              </w:rPr>
              <w:t>A method that plots the cumulative frequency of species</w:t>
            </w:r>
            <w:r w:rsidR="005608F0">
              <w:rPr>
                <w:lang w:eastAsia="ja-JP"/>
              </w:rPr>
              <w:t>’</w:t>
            </w:r>
            <w:r w:rsidRPr="00FD1467">
              <w:rPr>
                <w:lang w:eastAsia="ja-JP"/>
              </w:rPr>
              <w:t xml:space="preserve"> sensitivit</w:t>
            </w:r>
            <w:r w:rsidR="005608F0">
              <w:rPr>
                <w:lang w:eastAsia="ja-JP"/>
              </w:rPr>
              <w:t>ies to a toxicant</w:t>
            </w:r>
            <w:r w:rsidRPr="00FD1467">
              <w:rPr>
                <w:lang w:eastAsia="ja-JP"/>
              </w:rPr>
              <w:t xml:space="preserve"> and fits </w:t>
            </w:r>
            <w:r w:rsidR="005608F0">
              <w:rPr>
                <w:lang w:eastAsia="ja-JP"/>
              </w:rPr>
              <w:t>a</w:t>
            </w:r>
            <w:r w:rsidRPr="00FD1467">
              <w:rPr>
                <w:lang w:eastAsia="ja-JP"/>
              </w:rPr>
              <w:t xml:space="preserve"> statistical distribution to the data. From the distribution</w:t>
            </w:r>
            <w:r w:rsidR="005608F0">
              <w:rPr>
                <w:lang w:eastAsia="ja-JP"/>
              </w:rPr>
              <w:t>,</w:t>
            </w:r>
            <w:r w:rsidRPr="00FD1467">
              <w:rPr>
                <w:lang w:eastAsia="ja-JP"/>
              </w:rPr>
              <w:t xml:space="preserve"> the concentration that should theoretically protect a selected percentage of species can be determined.</w:t>
            </w:r>
          </w:p>
        </w:tc>
      </w:tr>
      <w:tr w:rsidR="001B7666" w:rsidRPr="00AF268A" w14:paraId="71228D1A" w14:textId="77777777" w:rsidTr="005608F0">
        <w:trPr>
          <w:cantSplit/>
        </w:trPr>
        <w:tc>
          <w:tcPr>
            <w:tcW w:w="1509" w:type="pct"/>
            <w:tcBorders>
              <w:top w:val="single" w:sz="4" w:space="0" w:color="auto"/>
              <w:bottom w:val="single" w:sz="4" w:space="0" w:color="auto"/>
            </w:tcBorders>
          </w:tcPr>
          <w:p w14:paraId="3AA02CDE" w14:textId="77777777" w:rsidR="001B7666" w:rsidRPr="00FD1467" w:rsidRDefault="001B7666" w:rsidP="007336AC">
            <w:pPr>
              <w:pStyle w:val="TableText"/>
              <w:rPr>
                <w:lang w:eastAsia="ja-JP"/>
              </w:rPr>
            </w:pPr>
            <w:r w:rsidRPr="00FD1467">
              <w:rPr>
                <w:lang w:eastAsia="ja-JP"/>
              </w:rPr>
              <w:t>toxicity</w:t>
            </w:r>
          </w:p>
        </w:tc>
        <w:tc>
          <w:tcPr>
            <w:tcW w:w="3491" w:type="pct"/>
            <w:tcBorders>
              <w:top w:val="single" w:sz="4" w:space="0" w:color="auto"/>
              <w:bottom w:val="single" w:sz="4" w:space="0" w:color="auto"/>
            </w:tcBorders>
          </w:tcPr>
          <w:p w14:paraId="2DE624E7" w14:textId="77777777" w:rsidR="001B7666" w:rsidRPr="00FD1467" w:rsidRDefault="001B7666" w:rsidP="007336AC">
            <w:pPr>
              <w:pStyle w:val="TableText"/>
              <w:rPr>
                <w:lang w:eastAsia="ja-JP"/>
              </w:rPr>
            </w:pPr>
            <w:r w:rsidRPr="00FD1467">
              <w:rPr>
                <w:lang w:eastAsia="ja-JP"/>
              </w:rPr>
              <w:t>The inherent potential or capacity of a material to cause adverse effects in a living organism.</w:t>
            </w:r>
          </w:p>
        </w:tc>
      </w:tr>
      <w:tr w:rsidR="001B7666" w:rsidRPr="00585FD8" w14:paraId="0D4D2A0B" w14:textId="77777777" w:rsidTr="005608F0">
        <w:trPr>
          <w:cantSplit/>
        </w:trPr>
        <w:tc>
          <w:tcPr>
            <w:tcW w:w="1509" w:type="pct"/>
            <w:tcBorders>
              <w:top w:val="single" w:sz="4" w:space="0" w:color="auto"/>
              <w:bottom w:val="single" w:sz="12" w:space="0" w:color="auto"/>
            </w:tcBorders>
          </w:tcPr>
          <w:p w14:paraId="558C20D2" w14:textId="77777777" w:rsidR="001B7666" w:rsidRPr="00FD1467" w:rsidRDefault="001B7666" w:rsidP="007336AC">
            <w:pPr>
              <w:pStyle w:val="TableText"/>
              <w:rPr>
                <w:lang w:eastAsia="ja-JP"/>
              </w:rPr>
            </w:pPr>
            <w:r w:rsidRPr="00FD1467">
              <w:rPr>
                <w:lang w:eastAsia="ja-JP"/>
              </w:rPr>
              <w:t>toxicity test</w:t>
            </w:r>
          </w:p>
        </w:tc>
        <w:tc>
          <w:tcPr>
            <w:tcW w:w="3491" w:type="pct"/>
            <w:tcBorders>
              <w:top w:val="single" w:sz="4" w:space="0" w:color="auto"/>
              <w:bottom w:val="single" w:sz="12" w:space="0" w:color="auto"/>
            </w:tcBorders>
          </w:tcPr>
          <w:p w14:paraId="7BD3F439" w14:textId="73C2E13F" w:rsidR="001B7666" w:rsidRPr="00585FD8" w:rsidRDefault="001B7666" w:rsidP="007336AC">
            <w:pPr>
              <w:pStyle w:val="TableText"/>
              <w:rPr>
                <w:lang w:eastAsia="ja-JP"/>
              </w:rPr>
            </w:pPr>
            <w:r w:rsidRPr="00FD1467">
              <w:rPr>
                <w:lang w:eastAsia="ja-JP"/>
              </w:rPr>
              <w:t xml:space="preserve">The means by which the toxicity of a chemical or other test material is determined. A toxicity test is used to measure the degree of response produced by exposure to a </w:t>
            </w:r>
            <w:r w:rsidR="003F0092" w:rsidRPr="003F0092">
              <w:rPr>
                <w:lang w:eastAsia="ja-JP"/>
              </w:rPr>
              <w:t>specific level of stimulus (or concentration of chemical) for a specified test period.</w:t>
            </w:r>
          </w:p>
        </w:tc>
      </w:tr>
    </w:tbl>
    <w:p w14:paraId="521A1D11" w14:textId="77777777" w:rsidR="00241F6F" w:rsidRDefault="00241F6F" w:rsidP="001303C0">
      <w:pPr>
        <w:rPr>
          <w:lang w:eastAsia="ja-JP"/>
        </w:rPr>
      </w:pPr>
    </w:p>
    <w:p w14:paraId="4ED9E499" w14:textId="77777777" w:rsidR="00241F6F" w:rsidRDefault="00241F6F" w:rsidP="001303C0">
      <w:pPr>
        <w:rPr>
          <w:lang w:eastAsia="ja-JP"/>
        </w:rPr>
      </w:pPr>
    </w:p>
    <w:p w14:paraId="1823B01B" w14:textId="77777777" w:rsidR="00241F6F" w:rsidRPr="00585FD8" w:rsidRDefault="00241F6F" w:rsidP="001303C0">
      <w:pPr>
        <w:rPr>
          <w:lang w:eastAsia="ja-JP"/>
        </w:rPr>
      </w:pPr>
    </w:p>
    <w:p w14:paraId="437DA7D6" w14:textId="77777777" w:rsidR="00606A7B" w:rsidRDefault="00606A7B" w:rsidP="001303C0">
      <w:pPr>
        <w:rPr>
          <w:lang w:eastAsia="ja-JP"/>
        </w:rPr>
        <w:sectPr w:rsidR="00606A7B" w:rsidSect="00BB7BC4">
          <w:headerReference w:type="default" r:id="rId29"/>
          <w:headerReference w:type="first" r:id="rId30"/>
          <w:footerReference w:type="first" r:id="rId31"/>
          <w:pgSz w:w="11906" w:h="16838"/>
          <w:pgMar w:top="1418" w:right="1418" w:bottom="1418" w:left="1418" w:header="567" w:footer="283" w:gutter="0"/>
          <w:pgNumType w:start="1"/>
          <w:cols w:space="708"/>
          <w:titlePg/>
          <w:docGrid w:linePitch="360"/>
        </w:sectPr>
      </w:pPr>
    </w:p>
    <w:p w14:paraId="2DC47700" w14:textId="03083F12" w:rsidR="00606A7B" w:rsidRPr="00AF268A" w:rsidRDefault="000E4B1E" w:rsidP="00606A7B">
      <w:pPr>
        <w:pStyle w:val="Heading2"/>
        <w:numPr>
          <w:ilvl w:val="0"/>
          <w:numId w:val="0"/>
        </w:numPr>
        <w:rPr>
          <w:highlight w:val="yellow"/>
        </w:rPr>
      </w:pPr>
      <w:bookmarkStart w:id="30" w:name="_Ref528068779"/>
      <w:bookmarkStart w:id="31" w:name="_Ref528068976"/>
      <w:bookmarkStart w:id="32" w:name="_Toc4498837"/>
      <w:bookmarkStart w:id="33" w:name="_Ref18493309"/>
      <w:bookmarkStart w:id="34" w:name="_Ref18493316"/>
      <w:bookmarkStart w:id="35" w:name="_Ref18493477"/>
      <w:bookmarkStart w:id="36" w:name="_Toc33094997"/>
      <w:r>
        <w:lastRenderedPageBreak/>
        <w:t>Appendix A</w:t>
      </w:r>
      <w:r w:rsidRPr="000E4B1E">
        <w:t>: Toxicity data that passed the screening and quality assessment</w:t>
      </w:r>
      <w:r w:rsidR="00A72C52">
        <w:t xml:space="preserve"> and were used to derive the default guideline values</w:t>
      </w:r>
      <w:bookmarkEnd w:id="30"/>
      <w:bookmarkEnd w:id="31"/>
      <w:bookmarkEnd w:id="32"/>
      <w:bookmarkEnd w:id="33"/>
      <w:bookmarkEnd w:id="34"/>
      <w:bookmarkEnd w:id="35"/>
      <w:bookmarkEnd w:id="36"/>
    </w:p>
    <w:p w14:paraId="6515F7D7" w14:textId="0A5C1B9F" w:rsidR="00606A7B" w:rsidRDefault="00EE27B3" w:rsidP="00EE27B3">
      <w:pPr>
        <w:pStyle w:val="Caption"/>
        <w:rPr>
          <w:highlight w:val="yellow"/>
        </w:rPr>
      </w:pPr>
      <w:bookmarkStart w:id="37" w:name="_Toc33095006"/>
      <w:r>
        <w:t>Table A </w:t>
      </w:r>
      <w:r w:rsidR="00920777">
        <w:rPr>
          <w:noProof/>
        </w:rPr>
        <w:fldChar w:fldCharType="begin"/>
      </w:r>
      <w:r w:rsidR="00920777">
        <w:rPr>
          <w:noProof/>
        </w:rPr>
        <w:instrText xml:space="preserve"> SEQ Table_A \* ARABIC </w:instrText>
      </w:r>
      <w:r w:rsidR="00920777">
        <w:rPr>
          <w:noProof/>
        </w:rPr>
        <w:fldChar w:fldCharType="separate"/>
      </w:r>
      <w:r w:rsidR="002825D7">
        <w:rPr>
          <w:noProof/>
        </w:rPr>
        <w:t>1</w:t>
      </w:r>
      <w:r w:rsidR="00920777">
        <w:rPr>
          <w:noProof/>
        </w:rPr>
        <w:fldChar w:fldCharType="end"/>
      </w:r>
      <w:r>
        <w:t xml:space="preserve"> </w:t>
      </w:r>
      <w:r w:rsidR="00F95492" w:rsidRPr="00F95492">
        <w:t xml:space="preserve">Summary, </w:t>
      </w:r>
      <w:r w:rsidR="00561AFA">
        <w:t xml:space="preserve">chronic </w:t>
      </w:r>
      <w:r w:rsidR="00F95492" w:rsidRPr="00F95492">
        <w:t xml:space="preserve">toxicity data that passed the screening and quality assurance processes, </w:t>
      </w:r>
      <w:r w:rsidR="00F95492">
        <w:t>metolachlor</w:t>
      </w:r>
      <w:r w:rsidR="00F95492" w:rsidRPr="00F95492">
        <w:t xml:space="preserve"> in freshwater</w:t>
      </w:r>
      <w:bookmarkEnd w:id="37"/>
    </w:p>
    <w:tbl>
      <w:tblPr>
        <w:tblStyle w:val="LightShading"/>
        <w:tblW w:w="5000" w:type="pct"/>
        <w:tblBorders>
          <w:top w:val="single" w:sz="4" w:space="0" w:color="auto"/>
          <w:bottom w:val="single" w:sz="4" w:space="0" w:color="auto"/>
          <w:insideH w:val="single" w:sz="4" w:space="0" w:color="auto"/>
        </w:tblBorders>
        <w:tblLayout w:type="fixed"/>
        <w:tblLook w:val="0400" w:firstRow="0" w:lastRow="0" w:firstColumn="0" w:lastColumn="0" w:noHBand="0" w:noVBand="1"/>
        <w:tblCaption w:val="Summary, chronic toxicity data that passed the screening and quality assurance processes, metolachlor in freshwater"/>
        <w:tblDescription w:val="Table lists 21 species with their taxonomic group and species name. The different life stages for each species are provided with the following test information: exposure duration, toxicity measure, test medium, temperature, pH, concentration and reference."/>
      </w:tblPr>
      <w:tblGrid>
        <w:gridCol w:w="1502"/>
        <w:gridCol w:w="1673"/>
        <w:gridCol w:w="1361"/>
        <w:gridCol w:w="994"/>
        <w:gridCol w:w="1834"/>
        <w:gridCol w:w="1707"/>
        <w:gridCol w:w="1277"/>
        <w:gridCol w:w="1134"/>
        <w:gridCol w:w="1324"/>
        <w:gridCol w:w="1196"/>
      </w:tblGrid>
      <w:tr w:rsidR="00561AFA" w:rsidRPr="00F94663" w14:paraId="7C1E08DF" w14:textId="77777777" w:rsidTr="00561AFA">
        <w:trPr>
          <w:cantSplit/>
          <w:tblHeader/>
        </w:trPr>
        <w:tc>
          <w:tcPr>
            <w:tcW w:w="1525" w:type="dxa"/>
            <w:tcBorders>
              <w:top w:val="single" w:sz="12" w:space="0" w:color="auto"/>
              <w:bottom w:val="single" w:sz="12" w:space="0" w:color="auto"/>
            </w:tcBorders>
            <w:shd w:val="clear" w:color="auto" w:fill="auto"/>
          </w:tcPr>
          <w:p w14:paraId="4F7A20B5" w14:textId="1801FB22" w:rsidR="00561AFA" w:rsidRPr="001E57F2" w:rsidRDefault="00561AFA" w:rsidP="00F95492">
            <w:pPr>
              <w:pStyle w:val="TableHeading"/>
              <w:jc w:val="left"/>
              <w:rPr>
                <w:lang w:val="en-AU"/>
              </w:rPr>
            </w:pPr>
            <w:r>
              <w:rPr>
                <w:lang w:val="en-AU"/>
              </w:rPr>
              <w:t>Taxonomic group (Phylum)</w:t>
            </w:r>
          </w:p>
        </w:tc>
        <w:tc>
          <w:tcPr>
            <w:tcW w:w="1700" w:type="dxa"/>
            <w:tcBorders>
              <w:top w:val="single" w:sz="12" w:space="0" w:color="auto"/>
              <w:bottom w:val="single" w:sz="12" w:space="0" w:color="auto"/>
            </w:tcBorders>
            <w:shd w:val="clear" w:color="auto" w:fill="auto"/>
          </w:tcPr>
          <w:p w14:paraId="1B45A3A3" w14:textId="77777777" w:rsidR="00561AFA" w:rsidRPr="00F95492" w:rsidRDefault="00561AFA" w:rsidP="00F95492">
            <w:pPr>
              <w:pStyle w:val="TableHeading"/>
              <w:jc w:val="left"/>
              <w:rPr>
                <w:lang w:val="en-AU"/>
              </w:rPr>
            </w:pPr>
            <w:r w:rsidRPr="00F95492">
              <w:rPr>
                <w:lang w:val="en-AU"/>
              </w:rPr>
              <w:t>Species</w:t>
            </w:r>
          </w:p>
        </w:tc>
        <w:tc>
          <w:tcPr>
            <w:tcW w:w="1382" w:type="dxa"/>
            <w:tcBorders>
              <w:top w:val="single" w:sz="12" w:space="0" w:color="auto"/>
              <w:bottom w:val="single" w:sz="12" w:space="0" w:color="auto"/>
            </w:tcBorders>
            <w:shd w:val="clear" w:color="auto" w:fill="auto"/>
          </w:tcPr>
          <w:p w14:paraId="59A35C8F" w14:textId="77777777" w:rsidR="00561AFA" w:rsidRPr="00F94663" w:rsidRDefault="00561AFA" w:rsidP="00F95492">
            <w:pPr>
              <w:pStyle w:val="TableHeading"/>
              <w:jc w:val="left"/>
              <w:rPr>
                <w:lang w:val="en-AU"/>
              </w:rPr>
            </w:pPr>
            <w:r w:rsidRPr="00F94663">
              <w:rPr>
                <w:lang w:val="en-AU"/>
              </w:rPr>
              <w:t>Life stage</w:t>
            </w:r>
          </w:p>
        </w:tc>
        <w:tc>
          <w:tcPr>
            <w:tcW w:w="1008" w:type="dxa"/>
            <w:tcBorders>
              <w:top w:val="single" w:sz="12" w:space="0" w:color="auto"/>
              <w:bottom w:val="single" w:sz="12" w:space="0" w:color="auto"/>
            </w:tcBorders>
            <w:shd w:val="clear" w:color="auto" w:fill="auto"/>
          </w:tcPr>
          <w:p w14:paraId="6B22CA90" w14:textId="7821CCB7" w:rsidR="00561AFA" w:rsidRPr="00F94663" w:rsidRDefault="00561AFA" w:rsidP="00A5357B">
            <w:pPr>
              <w:pStyle w:val="TableHeading"/>
              <w:jc w:val="left"/>
              <w:rPr>
                <w:lang w:val="en-AU"/>
              </w:rPr>
            </w:pPr>
            <w:r w:rsidRPr="00F94663">
              <w:rPr>
                <w:lang w:val="en-AU"/>
              </w:rPr>
              <w:t>Exposure duration</w:t>
            </w:r>
            <w:r>
              <w:rPr>
                <w:lang w:val="en-AU"/>
              </w:rPr>
              <w:t xml:space="preserve"> (d)</w:t>
            </w:r>
          </w:p>
        </w:tc>
        <w:tc>
          <w:tcPr>
            <w:tcW w:w="1864" w:type="dxa"/>
            <w:tcBorders>
              <w:top w:val="single" w:sz="12" w:space="0" w:color="auto"/>
              <w:bottom w:val="single" w:sz="12" w:space="0" w:color="auto"/>
            </w:tcBorders>
            <w:shd w:val="clear" w:color="auto" w:fill="auto"/>
          </w:tcPr>
          <w:p w14:paraId="1C23973D" w14:textId="77777777" w:rsidR="00561AFA" w:rsidRPr="00F94663" w:rsidRDefault="00561AFA" w:rsidP="00F95492">
            <w:pPr>
              <w:pStyle w:val="TableHeading"/>
              <w:jc w:val="left"/>
              <w:rPr>
                <w:lang w:val="en-AU"/>
              </w:rPr>
            </w:pPr>
            <w:r w:rsidRPr="00F94663">
              <w:rPr>
                <w:lang w:val="en-AU"/>
              </w:rPr>
              <w:t xml:space="preserve">Toxicity measure </w:t>
            </w:r>
            <w:r w:rsidRPr="00F94663">
              <w:rPr>
                <w:lang w:val="en-AU"/>
              </w:rPr>
              <w:br/>
              <w:t>(test endpoint)</w:t>
            </w:r>
          </w:p>
        </w:tc>
        <w:tc>
          <w:tcPr>
            <w:tcW w:w="1734" w:type="dxa"/>
            <w:tcBorders>
              <w:top w:val="single" w:sz="12" w:space="0" w:color="auto"/>
              <w:bottom w:val="single" w:sz="12" w:space="0" w:color="auto"/>
            </w:tcBorders>
            <w:shd w:val="clear" w:color="auto" w:fill="auto"/>
          </w:tcPr>
          <w:p w14:paraId="1C6DCC30" w14:textId="77777777" w:rsidR="00561AFA" w:rsidRPr="00F94663" w:rsidRDefault="00561AFA" w:rsidP="00F95492">
            <w:pPr>
              <w:pStyle w:val="TableHeading"/>
              <w:jc w:val="left"/>
              <w:rPr>
                <w:lang w:val="en-AU"/>
              </w:rPr>
            </w:pPr>
            <w:r w:rsidRPr="00F94663">
              <w:rPr>
                <w:lang w:val="en-AU"/>
              </w:rPr>
              <w:t>Test medium</w:t>
            </w:r>
          </w:p>
        </w:tc>
        <w:tc>
          <w:tcPr>
            <w:tcW w:w="1296" w:type="dxa"/>
            <w:tcBorders>
              <w:top w:val="single" w:sz="12" w:space="0" w:color="auto"/>
              <w:bottom w:val="single" w:sz="12" w:space="0" w:color="auto"/>
            </w:tcBorders>
            <w:shd w:val="clear" w:color="auto" w:fill="auto"/>
          </w:tcPr>
          <w:p w14:paraId="3B3F1CCA" w14:textId="164D9723" w:rsidR="00561AFA" w:rsidRPr="00F94663" w:rsidRDefault="00561AFA" w:rsidP="000744EE">
            <w:pPr>
              <w:pStyle w:val="TableHeading"/>
              <w:jc w:val="left"/>
              <w:rPr>
                <w:lang w:val="en-AU"/>
              </w:rPr>
            </w:pPr>
            <w:r w:rsidRPr="00F94663">
              <w:rPr>
                <w:lang w:val="en-AU"/>
              </w:rPr>
              <w:t>Temp</w:t>
            </w:r>
            <w:r>
              <w:rPr>
                <w:lang w:val="en-AU"/>
              </w:rPr>
              <w:t xml:space="preserve">erature </w:t>
            </w:r>
            <w:r w:rsidRPr="00F94663">
              <w:rPr>
                <w:lang w:val="en-AU"/>
              </w:rPr>
              <w:t>(</w:t>
            </w:r>
            <w:r w:rsidRPr="00F94663">
              <w:rPr>
                <w:lang w:val="en-AU"/>
              </w:rPr>
              <w:sym w:font="Symbol" w:char="F0B0"/>
            </w:r>
            <w:r w:rsidRPr="00F94663">
              <w:rPr>
                <w:lang w:val="en-AU"/>
              </w:rPr>
              <w:t>C)</w:t>
            </w:r>
          </w:p>
        </w:tc>
        <w:tc>
          <w:tcPr>
            <w:tcW w:w="1151" w:type="dxa"/>
            <w:tcBorders>
              <w:top w:val="single" w:sz="12" w:space="0" w:color="auto"/>
              <w:bottom w:val="single" w:sz="12" w:space="0" w:color="auto"/>
            </w:tcBorders>
            <w:shd w:val="clear" w:color="auto" w:fill="auto"/>
          </w:tcPr>
          <w:p w14:paraId="7F403291" w14:textId="77777777" w:rsidR="00561AFA" w:rsidRPr="00F94663" w:rsidRDefault="00561AFA" w:rsidP="00F95492">
            <w:pPr>
              <w:pStyle w:val="TableHeading"/>
              <w:jc w:val="left"/>
              <w:rPr>
                <w:lang w:val="en-AU"/>
              </w:rPr>
            </w:pPr>
            <w:r w:rsidRPr="00F94663">
              <w:rPr>
                <w:lang w:val="en-AU"/>
              </w:rPr>
              <w:t>pH</w:t>
            </w:r>
          </w:p>
        </w:tc>
        <w:tc>
          <w:tcPr>
            <w:tcW w:w="1344" w:type="dxa"/>
            <w:tcBorders>
              <w:top w:val="single" w:sz="12" w:space="0" w:color="auto"/>
              <w:bottom w:val="single" w:sz="12" w:space="0" w:color="auto"/>
            </w:tcBorders>
            <w:shd w:val="clear" w:color="auto" w:fill="auto"/>
          </w:tcPr>
          <w:p w14:paraId="5CE0E5ED" w14:textId="77777777" w:rsidR="00561AFA" w:rsidRPr="00F94663" w:rsidRDefault="00561AFA" w:rsidP="00F95492">
            <w:pPr>
              <w:pStyle w:val="TableHeading"/>
              <w:jc w:val="left"/>
              <w:rPr>
                <w:lang w:val="en-AU"/>
              </w:rPr>
            </w:pPr>
            <w:r w:rsidRPr="00F94663">
              <w:rPr>
                <w:lang w:val="en-AU"/>
              </w:rPr>
              <w:t>Concentration (µg/L)</w:t>
            </w:r>
          </w:p>
        </w:tc>
        <w:tc>
          <w:tcPr>
            <w:tcW w:w="1214" w:type="dxa"/>
            <w:tcBorders>
              <w:top w:val="single" w:sz="12" w:space="0" w:color="auto"/>
              <w:bottom w:val="single" w:sz="12" w:space="0" w:color="auto"/>
            </w:tcBorders>
            <w:shd w:val="clear" w:color="auto" w:fill="auto"/>
          </w:tcPr>
          <w:p w14:paraId="3AE19BAD" w14:textId="77777777" w:rsidR="00561AFA" w:rsidRPr="00F95492" w:rsidRDefault="00561AFA" w:rsidP="00F95492">
            <w:pPr>
              <w:pStyle w:val="TableHeading"/>
              <w:jc w:val="left"/>
              <w:rPr>
                <w:lang w:val="en-AU"/>
              </w:rPr>
            </w:pPr>
            <w:r w:rsidRPr="00F95492">
              <w:rPr>
                <w:lang w:val="en-AU"/>
              </w:rPr>
              <w:t>Reference</w:t>
            </w:r>
          </w:p>
        </w:tc>
      </w:tr>
      <w:tr w:rsidR="00561AFA" w:rsidRPr="00F94663" w14:paraId="36D485AF"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vMerge w:val="restart"/>
            <w:tcBorders>
              <w:top w:val="single" w:sz="12" w:space="0" w:color="auto"/>
            </w:tcBorders>
            <w:shd w:val="clear" w:color="auto" w:fill="auto"/>
          </w:tcPr>
          <w:p w14:paraId="74BDC8D4" w14:textId="6F178B63" w:rsidR="00561AFA" w:rsidRPr="001E57F2" w:rsidRDefault="00561AFA" w:rsidP="00A5357B">
            <w:pPr>
              <w:pStyle w:val="TableText"/>
              <w:jc w:val="left"/>
              <w:rPr>
                <w:rFonts w:cs="Calibri"/>
              </w:rPr>
            </w:pPr>
            <w:r>
              <w:t>Crustacean (</w:t>
            </w:r>
            <w:r w:rsidRPr="001E57F2">
              <w:t>Arthropoda</w:t>
            </w:r>
            <w:r>
              <w:t>)</w:t>
            </w:r>
          </w:p>
        </w:tc>
        <w:tc>
          <w:tcPr>
            <w:tcW w:w="1700" w:type="dxa"/>
            <w:vMerge w:val="restart"/>
            <w:tcBorders>
              <w:top w:val="single" w:sz="12" w:space="0" w:color="auto"/>
            </w:tcBorders>
            <w:shd w:val="clear" w:color="auto" w:fill="auto"/>
          </w:tcPr>
          <w:p w14:paraId="2FCE753D" w14:textId="36B6320A" w:rsidR="00561AFA" w:rsidRPr="00F95492" w:rsidRDefault="00561AFA" w:rsidP="00A5357B">
            <w:pPr>
              <w:pStyle w:val="TableText"/>
              <w:jc w:val="left"/>
              <w:rPr>
                <w:rFonts w:cs="Calibri"/>
              </w:rPr>
            </w:pPr>
            <w:r w:rsidRPr="00BD5464">
              <w:rPr>
                <w:rStyle w:val="Emphasis"/>
              </w:rPr>
              <w:t>Daphnia magna</w:t>
            </w:r>
          </w:p>
        </w:tc>
        <w:tc>
          <w:tcPr>
            <w:tcW w:w="1382" w:type="dxa"/>
            <w:tcBorders>
              <w:top w:val="single" w:sz="12" w:space="0" w:color="auto"/>
            </w:tcBorders>
            <w:shd w:val="clear" w:color="auto" w:fill="auto"/>
          </w:tcPr>
          <w:p w14:paraId="1E74612E" w14:textId="4B31214F" w:rsidR="00561AFA" w:rsidRPr="001E57F2" w:rsidRDefault="00561AFA" w:rsidP="000E4B1E">
            <w:pPr>
              <w:pStyle w:val="TableText"/>
              <w:jc w:val="left"/>
              <w:rPr>
                <w:rFonts w:cs="Calibri"/>
              </w:rPr>
            </w:pPr>
            <w:r w:rsidRPr="001E57F2">
              <w:t>&lt;</w:t>
            </w:r>
            <w:proofErr w:type="gramStart"/>
            <w:r w:rsidRPr="001E57F2">
              <w:t>24 hour</w:t>
            </w:r>
            <w:proofErr w:type="gramEnd"/>
            <w:r w:rsidRPr="001E57F2">
              <w:t xml:space="preserve"> juveniles (neonates)</w:t>
            </w:r>
          </w:p>
        </w:tc>
        <w:tc>
          <w:tcPr>
            <w:tcW w:w="1008" w:type="dxa"/>
            <w:tcBorders>
              <w:top w:val="single" w:sz="12" w:space="0" w:color="auto"/>
            </w:tcBorders>
            <w:shd w:val="clear" w:color="auto" w:fill="auto"/>
          </w:tcPr>
          <w:p w14:paraId="71C0E824" w14:textId="77777777" w:rsidR="00561AFA" w:rsidRPr="001E57F2" w:rsidRDefault="00561AFA" w:rsidP="00F95492">
            <w:pPr>
              <w:pStyle w:val="TableText"/>
              <w:jc w:val="left"/>
              <w:rPr>
                <w:rFonts w:cs="Calibri"/>
              </w:rPr>
            </w:pPr>
            <w:r w:rsidRPr="001E57F2">
              <w:t>21</w:t>
            </w:r>
          </w:p>
        </w:tc>
        <w:tc>
          <w:tcPr>
            <w:tcW w:w="1864" w:type="dxa"/>
            <w:tcBorders>
              <w:top w:val="single" w:sz="12" w:space="0" w:color="auto"/>
            </w:tcBorders>
            <w:shd w:val="clear" w:color="auto" w:fill="auto"/>
          </w:tcPr>
          <w:p w14:paraId="7E0705F8" w14:textId="77777777" w:rsidR="00561AFA" w:rsidRPr="001E57F2" w:rsidRDefault="00561AFA" w:rsidP="00F95492">
            <w:pPr>
              <w:pStyle w:val="TableText"/>
              <w:jc w:val="left"/>
            </w:pPr>
            <w:r w:rsidRPr="001E57F2">
              <w:t>EC10</w:t>
            </w:r>
          </w:p>
          <w:p w14:paraId="6E7D08B5" w14:textId="77777777" w:rsidR="00561AFA" w:rsidRPr="001E57F2" w:rsidRDefault="00561AFA" w:rsidP="00F95492">
            <w:pPr>
              <w:pStyle w:val="TableText"/>
              <w:jc w:val="left"/>
              <w:rPr>
                <w:rFonts w:cs="Calibri"/>
              </w:rPr>
            </w:pPr>
            <w:r w:rsidRPr="001E57F2">
              <w:t>(Young per female)</w:t>
            </w:r>
          </w:p>
        </w:tc>
        <w:tc>
          <w:tcPr>
            <w:tcW w:w="1734" w:type="dxa"/>
            <w:tcBorders>
              <w:top w:val="single" w:sz="12" w:space="0" w:color="auto"/>
            </w:tcBorders>
            <w:shd w:val="clear" w:color="auto" w:fill="auto"/>
          </w:tcPr>
          <w:p w14:paraId="4DC3ED22" w14:textId="77777777" w:rsidR="00561AFA" w:rsidRPr="001E57F2" w:rsidRDefault="00561AFA" w:rsidP="00F95492">
            <w:pPr>
              <w:pStyle w:val="TableText"/>
              <w:jc w:val="left"/>
              <w:rPr>
                <w:rFonts w:cs="Calibri"/>
              </w:rPr>
            </w:pPr>
            <w:proofErr w:type="spellStart"/>
            <w:r w:rsidRPr="001E57F2">
              <w:t>Elendt</w:t>
            </w:r>
            <w:proofErr w:type="spellEnd"/>
            <w:r w:rsidRPr="001E57F2">
              <w:t xml:space="preserve"> M4 or M7</w:t>
            </w:r>
          </w:p>
        </w:tc>
        <w:tc>
          <w:tcPr>
            <w:tcW w:w="1296" w:type="dxa"/>
            <w:tcBorders>
              <w:top w:val="single" w:sz="12" w:space="0" w:color="auto"/>
            </w:tcBorders>
            <w:shd w:val="clear" w:color="auto" w:fill="auto"/>
          </w:tcPr>
          <w:p w14:paraId="706D020C" w14:textId="77777777" w:rsidR="00561AFA" w:rsidRPr="001E57F2" w:rsidRDefault="00561AFA" w:rsidP="00F95492">
            <w:pPr>
              <w:pStyle w:val="TableText"/>
              <w:jc w:val="left"/>
              <w:rPr>
                <w:rFonts w:cs="Calibri"/>
              </w:rPr>
            </w:pPr>
            <w:r w:rsidRPr="001E57F2">
              <w:t>18-22 ± 2</w:t>
            </w:r>
          </w:p>
        </w:tc>
        <w:tc>
          <w:tcPr>
            <w:tcW w:w="1151" w:type="dxa"/>
            <w:tcBorders>
              <w:top w:val="single" w:sz="12" w:space="0" w:color="auto"/>
            </w:tcBorders>
            <w:shd w:val="clear" w:color="auto" w:fill="auto"/>
          </w:tcPr>
          <w:p w14:paraId="20F47841" w14:textId="77777777" w:rsidR="00561AFA" w:rsidRPr="001E57F2" w:rsidRDefault="00561AFA" w:rsidP="00F95492">
            <w:pPr>
              <w:pStyle w:val="TableText"/>
              <w:jc w:val="left"/>
              <w:rPr>
                <w:rFonts w:cs="Calibri"/>
              </w:rPr>
            </w:pPr>
            <w:r w:rsidRPr="001E57F2">
              <w:t>Not stated</w:t>
            </w:r>
          </w:p>
        </w:tc>
        <w:tc>
          <w:tcPr>
            <w:tcW w:w="1344" w:type="dxa"/>
            <w:tcBorders>
              <w:top w:val="single" w:sz="12" w:space="0" w:color="auto"/>
            </w:tcBorders>
            <w:shd w:val="clear" w:color="auto" w:fill="auto"/>
          </w:tcPr>
          <w:p w14:paraId="5DB60CAF" w14:textId="77777777" w:rsidR="00561AFA" w:rsidRPr="001E57F2" w:rsidRDefault="00561AFA" w:rsidP="00F95492">
            <w:pPr>
              <w:pStyle w:val="TableText"/>
              <w:jc w:val="left"/>
              <w:rPr>
                <w:rFonts w:cs="Calibri"/>
              </w:rPr>
            </w:pPr>
            <w:r w:rsidRPr="001E57F2">
              <w:t>100</w:t>
            </w:r>
          </w:p>
        </w:tc>
        <w:tc>
          <w:tcPr>
            <w:tcW w:w="1214" w:type="dxa"/>
            <w:tcBorders>
              <w:top w:val="single" w:sz="12" w:space="0" w:color="auto"/>
            </w:tcBorders>
            <w:shd w:val="clear" w:color="auto" w:fill="auto"/>
          </w:tcPr>
          <w:p w14:paraId="2C1182D2" w14:textId="2ECE2C70" w:rsidR="00561AFA" w:rsidRPr="00F95492" w:rsidRDefault="00561AFA" w:rsidP="00F95492">
            <w:pPr>
              <w:pStyle w:val="TableText"/>
              <w:jc w:val="left"/>
              <w:rPr>
                <w:rFonts w:cs="Calibri"/>
              </w:rPr>
            </w:pPr>
            <w:r w:rsidRPr="00F95492">
              <w:t>Liu et al</w:t>
            </w:r>
            <w:r>
              <w:t>.</w:t>
            </w:r>
            <w:r w:rsidRPr="00F95492">
              <w:t xml:space="preserve"> (2006)</w:t>
            </w:r>
          </w:p>
        </w:tc>
      </w:tr>
      <w:tr w:rsidR="00561AFA" w:rsidRPr="00F94663" w14:paraId="27B6E674" w14:textId="77777777" w:rsidTr="00561AFA">
        <w:trPr>
          <w:cantSplit/>
        </w:trPr>
        <w:tc>
          <w:tcPr>
            <w:tcW w:w="1525" w:type="dxa"/>
            <w:vMerge/>
            <w:tcBorders>
              <w:bottom w:val="nil"/>
            </w:tcBorders>
            <w:shd w:val="clear" w:color="auto" w:fill="auto"/>
          </w:tcPr>
          <w:p w14:paraId="74225D2F" w14:textId="4EEFF8C8" w:rsidR="00561AFA" w:rsidRPr="001E57F2" w:rsidRDefault="00561AFA" w:rsidP="00F95492">
            <w:pPr>
              <w:pStyle w:val="TableText"/>
              <w:jc w:val="left"/>
              <w:rPr>
                <w:rFonts w:cs="Calibri"/>
              </w:rPr>
            </w:pPr>
          </w:p>
        </w:tc>
        <w:tc>
          <w:tcPr>
            <w:tcW w:w="1700" w:type="dxa"/>
            <w:vMerge/>
            <w:tcBorders>
              <w:bottom w:val="nil"/>
            </w:tcBorders>
            <w:shd w:val="clear" w:color="auto" w:fill="auto"/>
          </w:tcPr>
          <w:p w14:paraId="655DCECE" w14:textId="6228E00D" w:rsidR="00561AFA" w:rsidRPr="00F95492" w:rsidRDefault="00561AFA" w:rsidP="00F95492">
            <w:pPr>
              <w:pStyle w:val="TableText"/>
              <w:jc w:val="left"/>
              <w:rPr>
                <w:rFonts w:cs="Calibri"/>
              </w:rPr>
            </w:pPr>
          </w:p>
        </w:tc>
        <w:tc>
          <w:tcPr>
            <w:tcW w:w="1382" w:type="dxa"/>
            <w:tcBorders>
              <w:bottom w:val="nil"/>
            </w:tcBorders>
            <w:shd w:val="clear" w:color="auto" w:fill="auto"/>
          </w:tcPr>
          <w:p w14:paraId="5AD3A2E7" w14:textId="36D7C032" w:rsidR="00561AFA" w:rsidRPr="001E57F2" w:rsidRDefault="00561AFA" w:rsidP="00F95492">
            <w:pPr>
              <w:pStyle w:val="TableText"/>
              <w:jc w:val="left"/>
              <w:rPr>
                <w:rFonts w:cs="Calibri"/>
              </w:rPr>
            </w:pPr>
            <w:r w:rsidRPr="001E57F2">
              <w:t>&lt;</w:t>
            </w:r>
            <w:proofErr w:type="gramStart"/>
            <w:r w:rsidRPr="001E57F2">
              <w:t>24 hour</w:t>
            </w:r>
            <w:proofErr w:type="gramEnd"/>
            <w:r w:rsidRPr="001E57F2">
              <w:t xml:space="preserve"> juveniles (neonates)</w:t>
            </w:r>
          </w:p>
        </w:tc>
        <w:tc>
          <w:tcPr>
            <w:tcW w:w="1008" w:type="dxa"/>
            <w:tcBorders>
              <w:bottom w:val="nil"/>
            </w:tcBorders>
            <w:shd w:val="clear" w:color="auto" w:fill="auto"/>
          </w:tcPr>
          <w:p w14:paraId="041D719B" w14:textId="77777777" w:rsidR="00561AFA" w:rsidRPr="001E57F2" w:rsidRDefault="00561AFA" w:rsidP="00F95492">
            <w:pPr>
              <w:pStyle w:val="TableText"/>
              <w:jc w:val="left"/>
              <w:rPr>
                <w:rFonts w:cs="Calibri"/>
              </w:rPr>
            </w:pPr>
            <w:r w:rsidRPr="001E57F2">
              <w:t>21</w:t>
            </w:r>
          </w:p>
        </w:tc>
        <w:tc>
          <w:tcPr>
            <w:tcW w:w="1864" w:type="dxa"/>
            <w:tcBorders>
              <w:bottom w:val="nil"/>
            </w:tcBorders>
            <w:shd w:val="clear" w:color="auto" w:fill="auto"/>
          </w:tcPr>
          <w:p w14:paraId="12D9C3BB" w14:textId="77777777" w:rsidR="00561AFA" w:rsidRPr="001E57F2" w:rsidRDefault="00561AFA" w:rsidP="00F95492">
            <w:pPr>
              <w:pStyle w:val="TableText"/>
              <w:jc w:val="left"/>
            </w:pPr>
            <w:r w:rsidRPr="001E57F2">
              <w:t xml:space="preserve">EC10 </w:t>
            </w:r>
          </w:p>
          <w:p w14:paraId="47368A91" w14:textId="77777777" w:rsidR="00561AFA" w:rsidRPr="001E57F2" w:rsidRDefault="00561AFA" w:rsidP="00F95492">
            <w:pPr>
              <w:pStyle w:val="TableText"/>
              <w:jc w:val="left"/>
              <w:rPr>
                <w:rFonts w:cs="Calibri"/>
              </w:rPr>
            </w:pPr>
            <w:r w:rsidRPr="001E57F2">
              <w:t>(Young per female)</w:t>
            </w:r>
          </w:p>
        </w:tc>
        <w:tc>
          <w:tcPr>
            <w:tcW w:w="1734" w:type="dxa"/>
            <w:tcBorders>
              <w:bottom w:val="nil"/>
            </w:tcBorders>
            <w:shd w:val="clear" w:color="auto" w:fill="auto"/>
          </w:tcPr>
          <w:p w14:paraId="126EA7E8" w14:textId="77777777" w:rsidR="00561AFA" w:rsidRPr="001E57F2" w:rsidRDefault="00561AFA" w:rsidP="00F95492">
            <w:pPr>
              <w:pStyle w:val="TableText"/>
              <w:jc w:val="left"/>
              <w:rPr>
                <w:rFonts w:cs="Calibri"/>
              </w:rPr>
            </w:pPr>
            <w:proofErr w:type="spellStart"/>
            <w:r w:rsidRPr="001E57F2">
              <w:t>Elendt</w:t>
            </w:r>
            <w:proofErr w:type="spellEnd"/>
            <w:r w:rsidRPr="001E57F2">
              <w:t xml:space="preserve"> M4 or M7</w:t>
            </w:r>
          </w:p>
        </w:tc>
        <w:tc>
          <w:tcPr>
            <w:tcW w:w="1296" w:type="dxa"/>
            <w:tcBorders>
              <w:bottom w:val="nil"/>
            </w:tcBorders>
            <w:shd w:val="clear" w:color="auto" w:fill="auto"/>
          </w:tcPr>
          <w:p w14:paraId="3A2C30D8" w14:textId="77777777" w:rsidR="00561AFA" w:rsidRPr="001E57F2" w:rsidRDefault="00561AFA" w:rsidP="00F95492">
            <w:pPr>
              <w:pStyle w:val="TableText"/>
              <w:jc w:val="left"/>
              <w:rPr>
                <w:rFonts w:cs="Calibri"/>
              </w:rPr>
            </w:pPr>
            <w:r w:rsidRPr="001E57F2">
              <w:t>18-22 ± 2</w:t>
            </w:r>
          </w:p>
        </w:tc>
        <w:tc>
          <w:tcPr>
            <w:tcW w:w="1151" w:type="dxa"/>
            <w:tcBorders>
              <w:bottom w:val="nil"/>
            </w:tcBorders>
            <w:shd w:val="clear" w:color="auto" w:fill="auto"/>
          </w:tcPr>
          <w:p w14:paraId="4C5AA5D6"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4C98D4A3" w14:textId="77777777" w:rsidR="00561AFA" w:rsidRPr="001E57F2" w:rsidRDefault="00561AFA" w:rsidP="00F95492">
            <w:pPr>
              <w:pStyle w:val="TableText"/>
              <w:jc w:val="left"/>
              <w:rPr>
                <w:rFonts w:cs="Calibri"/>
              </w:rPr>
            </w:pPr>
            <w:r w:rsidRPr="001E57F2">
              <w:t>500</w:t>
            </w:r>
          </w:p>
        </w:tc>
        <w:tc>
          <w:tcPr>
            <w:tcW w:w="1214" w:type="dxa"/>
            <w:tcBorders>
              <w:bottom w:val="nil"/>
            </w:tcBorders>
            <w:shd w:val="clear" w:color="auto" w:fill="auto"/>
          </w:tcPr>
          <w:p w14:paraId="1E225F83" w14:textId="368B8307" w:rsidR="00561AFA" w:rsidRPr="00F95492" w:rsidRDefault="00561AFA" w:rsidP="00F95492">
            <w:pPr>
              <w:pStyle w:val="TableText"/>
              <w:jc w:val="left"/>
              <w:rPr>
                <w:rFonts w:cs="Calibri"/>
              </w:rPr>
            </w:pPr>
            <w:r w:rsidRPr="00F95492">
              <w:t>Liu et al</w:t>
            </w:r>
            <w:r>
              <w:t>.</w:t>
            </w:r>
            <w:r w:rsidRPr="00F95492">
              <w:t xml:space="preserve"> (2006)</w:t>
            </w:r>
          </w:p>
        </w:tc>
      </w:tr>
      <w:tr w:rsidR="00F95492" w:rsidRPr="00F94663" w14:paraId="0B64FA48"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1660" w:type="dxa"/>
            <w:gridSpan w:val="8"/>
            <w:tcBorders>
              <w:top w:val="nil"/>
            </w:tcBorders>
            <w:shd w:val="clear" w:color="auto" w:fill="auto"/>
          </w:tcPr>
          <w:p w14:paraId="1D0500A8" w14:textId="5EB3599E"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63F6EEAB" w14:textId="2E01BC6F" w:rsidR="00F95492" w:rsidRPr="001E57F2" w:rsidRDefault="00F95492" w:rsidP="00F95492">
            <w:pPr>
              <w:pStyle w:val="TableText"/>
              <w:jc w:val="left"/>
              <w:rPr>
                <w:rFonts w:cs="Calibri"/>
              </w:rPr>
            </w:pPr>
            <w:r w:rsidRPr="001E57F2">
              <w:rPr>
                <w:b/>
              </w:rPr>
              <w:t>22</w:t>
            </w:r>
            <w:r w:rsidR="009D6277">
              <w:rPr>
                <w:b/>
              </w:rPr>
              <w:t>4</w:t>
            </w:r>
          </w:p>
        </w:tc>
        <w:tc>
          <w:tcPr>
            <w:tcW w:w="1214" w:type="dxa"/>
            <w:tcBorders>
              <w:top w:val="nil"/>
            </w:tcBorders>
            <w:shd w:val="clear" w:color="auto" w:fill="auto"/>
          </w:tcPr>
          <w:p w14:paraId="132EF475" w14:textId="2F9B5EB5" w:rsidR="00F95492" w:rsidRPr="00F95492" w:rsidRDefault="00F95492" w:rsidP="00F95492">
            <w:pPr>
              <w:pStyle w:val="TableText"/>
              <w:jc w:val="left"/>
              <w:rPr>
                <w:rFonts w:cs="Calibri"/>
              </w:rPr>
            </w:pPr>
            <w:r w:rsidRPr="00F95492">
              <w:rPr>
                <w:b/>
              </w:rPr>
              <w:t>VALUE USED IN SSD</w:t>
            </w:r>
            <w:r w:rsidR="00B94F1F">
              <w:rPr>
                <w:b/>
              </w:rPr>
              <w:t xml:space="preserve"> (GEOMETRIC MEAN)</w:t>
            </w:r>
          </w:p>
        </w:tc>
      </w:tr>
      <w:tr w:rsidR="00561AFA" w:rsidRPr="00F94663" w14:paraId="7666599B" w14:textId="77777777" w:rsidTr="00561AFA">
        <w:trPr>
          <w:cantSplit/>
        </w:trPr>
        <w:tc>
          <w:tcPr>
            <w:tcW w:w="1525" w:type="dxa"/>
            <w:tcBorders>
              <w:bottom w:val="nil"/>
            </w:tcBorders>
            <w:shd w:val="clear" w:color="auto" w:fill="auto"/>
          </w:tcPr>
          <w:p w14:paraId="7734E791" w14:textId="465D15B0" w:rsidR="00561AFA" w:rsidRPr="001E57F2" w:rsidRDefault="00561AFA" w:rsidP="00F95492">
            <w:pPr>
              <w:pStyle w:val="TableText"/>
              <w:jc w:val="left"/>
              <w:rPr>
                <w:rFonts w:cs="Calibri"/>
              </w:rPr>
            </w:pPr>
            <w:r>
              <w:t>Diatom (</w:t>
            </w:r>
            <w:r w:rsidRPr="001E57F2">
              <w:t>Bacillariophyta</w:t>
            </w:r>
            <w:r>
              <w:t>)</w:t>
            </w:r>
          </w:p>
        </w:tc>
        <w:tc>
          <w:tcPr>
            <w:tcW w:w="1700" w:type="dxa"/>
            <w:tcBorders>
              <w:bottom w:val="nil"/>
            </w:tcBorders>
            <w:shd w:val="clear" w:color="auto" w:fill="auto"/>
          </w:tcPr>
          <w:p w14:paraId="1F347236" w14:textId="61F6BA22" w:rsidR="00561AFA" w:rsidRPr="00F95492" w:rsidRDefault="00561AFA" w:rsidP="00F95492">
            <w:pPr>
              <w:pStyle w:val="TableText"/>
              <w:jc w:val="left"/>
              <w:rPr>
                <w:rFonts w:cs="Calibri"/>
              </w:rPr>
            </w:pPr>
            <w:proofErr w:type="spellStart"/>
            <w:r w:rsidRPr="00BD5464">
              <w:rPr>
                <w:rStyle w:val="Emphasis"/>
              </w:rPr>
              <w:t>Craticula</w:t>
            </w:r>
            <w:proofErr w:type="spellEnd"/>
            <w:r w:rsidRPr="00BD5464">
              <w:rPr>
                <w:rStyle w:val="Emphasis"/>
              </w:rPr>
              <w:t xml:space="preserve"> </w:t>
            </w:r>
            <w:proofErr w:type="spellStart"/>
            <w:r w:rsidRPr="00BD5464">
              <w:rPr>
                <w:rStyle w:val="Emphasis"/>
              </w:rPr>
              <w:t>accomoda</w:t>
            </w:r>
            <w:proofErr w:type="spellEnd"/>
          </w:p>
        </w:tc>
        <w:tc>
          <w:tcPr>
            <w:tcW w:w="1382" w:type="dxa"/>
            <w:tcBorders>
              <w:bottom w:val="nil"/>
            </w:tcBorders>
            <w:shd w:val="clear" w:color="auto" w:fill="auto"/>
          </w:tcPr>
          <w:p w14:paraId="3A0E4068" w14:textId="77777777" w:rsidR="00561AFA" w:rsidRPr="001E57F2" w:rsidRDefault="00561AFA" w:rsidP="00F95492">
            <w:pPr>
              <w:pStyle w:val="TableText"/>
              <w:jc w:val="left"/>
              <w:rPr>
                <w:rFonts w:cs="Calibri"/>
              </w:rPr>
            </w:pPr>
            <w:r w:rsidRPr="001E57F2">
              <w:t>Exponential growth phase</w:t>
            </w:r>
          </w:p>
        </w:tc>
        <w:tc>
          <w:tcPr>
            <w:tcW w:w="1008" w:type="dxa"/>
            <w:tcBorders>
              <w:bottom w:val="nil"/>
            </w:tcBorders>
            <w:shd w:val="clear" w:color="auto" w:fill="auto"/>
          </w:tcPr>
          <w:p w14:paraId="4FC9B7DD" w14:textId="77777777" w:rsidR="00561AFA" w:rsidRPr="001E57F2" w:rsidRDefault="00561AFA" w:rsidP="00F95492">
            <w:pPr>
              <w:pStyle w:val="TableText"/>
              <w:jc w:val="left"/>
              <w:rPr>
                <w:rFonts w:cs="Calibri"/>
              </w:rPr>
            </w:pPr>
            <w:r w:rsidRPr="001E57F2">
              <w:t>4</w:t>
            </w:r>
          </w:p>
        </w:tc>
        <w:tc>
          <w:tcPr>
            <w:tcW w:w="1864" w:type="dxa"/>
            <w:tcBorders>
              <w:bottom w:val="nil"/>
            </w:tcBorders>
            <w:shd w:val="clear" w:color="auto" w:fill="auto"/>
          </w:tcPr>
          <w:p w14:paraId="66BA53AF" w14:textId="77777777" w:rsidR="00561AFA" w:rsidRPr="001E57F2" w:rsidRDefault="00561AFA" w:rsidP="00F95492">
            <w:pPr>
              <w:pStyle w:val="TableText"/>
              <w:jc w:val="left"/>
            </w:pPr>
            <w:r w:rsidRPr="001E57F2">
              <w:t xml:space="preserve">EC10 </w:t>
            </w:r>
          </w:p>
          <w:p w14:paraId="15295803" w14:textId="4989EC0A" w:rsidR="00561AFA" w:rsidRPr="001E57F2" w:rsidRDefault="00561AFA" w:rsidP="00F95492">
            <w:pPr>
              <w:pStyle w:val="TableText"/>
              <w:jc w:val="left"/>
              <w:rPr>
                <w:rFonts w:cs="Calibri"/>
              </w:rPr>
            </w:pPr>
            <w:r w:rsidRPr="001E57F2">
              <w:t>(Chlorophyll</w:t>
            </w:r>
            <w:r>
              <w:t>-</w:t>
            </w:r>
            <w:r w:rsidRPr="00B60283">
              <w:t xml:space="preserve">a </w:t>
            </w:r>
            <w:r w:rsidRPr="001E57F2">
              <w:t>content)</w:t>
            </w:r>
          </w:p>
        </w:tc>
        <w:tc>
          <w:tcPr>
            <w:tcW w:w="1734" w:type="dxa"/>
            <w:tcBorders>
              <w:bottom w:val="nil"/>
            </w:tcBorders>
            <w:shd w:val="clear" w:color="auto" w:fill="auto"/>
          </w:tcPr>
          <w:p w14:paraId="6E223318" w14:textId="5DECE49B" w:rsidR="00561AFA" w:rsidRPr="001E57F2" w:rsidRDefault="00561AFA" w:rsidP="00F95492">
            <w:pPr>
              <w:pStyle w:val="TableText"/>
              <w:jc w:val="left"/>
              <w:rPr>
                <w:rFonts w:cs="Calibri"/>
              </w:rPr>
            </w:pPr>
            <w:r w:rsidRPr="001E57F2">
              <w:t>DMSO dissolved in DV</w:t>
            </w:r>
            <w:r>
              <w:t xml:space="preserve"> </w:t>
            </w:r>
            <w:r w:rsidRPr="00A5357B">
              <w:rPr>
                <w:rStyle w:val="Strong"/>
                <w:vertAlign w:val="superscript"/>
              </w:rPr>
              <w:t>e</w:t>
            </w:r>
            <w:r w:rsidRPr="001E57F2">
              <w:t xml:space="preserve"> medi</w:t>
            </w:r>
            <w:r>
              <w:t>um</w:t>
            </w:r>
          </w:p>
        </w:tc>
        <w:tc>
          <w:tcPr>
            <w:tcW w:w="1296" w:type="dxa"/>
            <w:tcBorders>
              <w:bottom w:val="nil"/>
            </w:tcBorders>
            <w:shd w:val="clear" w:color="auto" w:fill="auto"/>
          </w:tcPr>
          <w:p w14:paraId="310F0EEA" w14:textId="77777777" w:rsidR="00561AFA" w:rsidRPr="001E57F2" w:rsidRDefault="00561AFA" w:rsidP="00F95492">
            <w:pPr>
              <w:pStyle w:val="TableText"/>
              <w:jc w:val="left"/>
              <w:rPr>
                <w:rFonts w:cs="Calibri"/>
              </w:rPr>
            </w:pPr>
            <w:r w:rsidRPr="001E57F2">
              <w:t>Not stated</w:t>
            </w:r>
          </w:p>
        </w:tc>
        <w:tc>
          <w:tcPr>
            <w:tcW w:w="1151" w:type="dxa"/>
            <w:tcBorders>
              <w:bottom w:val="nil"/>
            </w:tcBorders>
            <w:shd w:val="clear" w:color="auto" w:fill="auto"/>
          </w:tcPr>
          <w:p w14:paraId="29BBEFC4"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29E9F3FE" w14:textId="1F28BFE0" w:rsidR="00561AFA" w:rsidRPr="001E57F2" w:rsidRDefault="00561AFA" w:rsidP="00A250FE">
            <w:pPr>
              <w:pStyle w:val="TableText"/>
              <w:jc w:val="left"/>
              <w:rPr>
                <w:rFonts w:cs="Calibri"/>
              </w:rPr>
            </w:pPr>
            <w:r w:rsidRPr="001E57F2">
              <w:t>4</w:t>
            </w:r>
            <w:r>
              <w:t> </w:t>
            </w:r>
            <w:r w:rsidRPr="001E57F2">
              <w:t>016</w:t>
            </w:r>
          </w:p>
        </w:tc>
        <w:tc>
          <w:tcPr>
            <w:tcW w:w="1214" w:type="dxa"/>
            <w:tcBorders>
              <w:bottom w:val="nil"/>
            </w:tcBorders>
            <w:shd w:val="clear" w:color="auto" w:fill="auto"/>
          </w:tcPr>
          <w:p w14:paraId="0F421D2F" w14:textId="07DCC5F8"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(2012)</w:t>
            </w:r>
          </w:p>
        </w:tc>
      </w:tr>
      <w:tr w:rsidR="00F95492" w:rsidRPr="00F94663" w14:paraId="7C33D172"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1660" w:type="dxa"/>
            <w:gridSpan w:val="8"/>
            <w:tcBorders>
              <w:top w:val="nil"/>
            </w:tcBorders>
            <w:shd w:val="clear" w:color="auto" w:fill="auto"/>
          </w:tcPr>
          <w:p w14:paraId="42E12390" w14:textId="5C66CE96"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521E27EC" w14:textId="1C898051" w:rsidR="00F95492" w:rsidRPr="001E57F2" w:rsidRDefault="00F95492" w:rsidP="00A250FE">
            <w:pPr>
              <w:pStyle w:val="TableText"/>
              <w:jc w:val="left"/>
              <w:rPr>
                <w:rFonts w:cs="Calibri"/>
              </w:rPr>
            </w:pPr>
            <w:r w:rsidRPr="001E57F2">
              <w:rPr>
                <w:b/>
              </w:rPr>
              <w:t>4</w:t>
            </w:r>
            <w:r w:rsidR="00A250FE">
              <w:rPr>
                <w:b/>
              </w:rPr>
              <w:t> </w:t>
            </w:r>
            <w:r w:rsidRPr="001E57F2">
              <w:rPr>
                <w:b/>
              </w:rPr>
              <w:t>016</w:t>
            </w:r>
          </w:p>
        </w:tc>
        <w:tc>
          <w:tcPr>
            <w:tcW w:w="1214" w:type="dxa"/>
            <w:tcBorders>
              <w:top w:val="nil"/>
            </w:tcBorders>
            <w:shd w:val="clear" w:color="auto" w:fill="auto"/>
          </w:tcPr>
          <w:p w14:paraId="69EE760D" w14:textId="77777777" w:rsidR="00F95492" w:rsidRPr="00F95492" w:rsidRDefault="00F95492" w:rsidP="00F95492">
            <w:pPr>
              <w:pStyle w:val="TableText"/>
              <w:jc w:val="left"/>
              <w:rPr>
                <w:rFonts w:cs="Calibri"/>
              </w:rPr>
            </w:pPr>
            <w:r w:rsidRPr="00F95492">
              <w:rPr>
                <w:b/>
              </w:rPr>
              <w:t>VALUE USED IN SSD</w:t>
            </w:r>
          </w:p>
        </w:tc>
      </w:tr>
      <w:tr w:rsidR="00561AFA" w:rsidRPr="00F94663" w14:paraId="4AD8365B" w14:textId="77777777" w:rsidTr="00561AFA">
        <w:trPr>
          <w:cantSplit/>
        </w:trPr>
        <w:tc>
          <w:tcPr>
            <w:tcW w:w="1525" w:type="dxa"/>
            <w:tcBorders>
              <w:bottom w:val="nil"/>
            </w:tcBorders>
            <w:shd w:val="clear" w:color="auto" w:fill="auto"/>
          </w:tcPr>
          <w:p w14:paraId="21827545" w14:textId="2FD829A1" w:rsidR="00561AFA" w:rsidRPr="001E57F2" w:rsidRDefault="00561AFA" w:rsidP="00F95492">
            <w:pPr>
              <w:pStyle w:val="TableText"/>
              <w:jc w:val="left"/>
              <w:rPr>
                <w:rFonts w:cs="Calibri"/>
              </w:rPr>
            </w:pPr>
            <w:r>
              <w:t>Diatom</w:t>
            </w:r>
            <w:r w:rsidRPr="00B94F1F">
              <w:t xml:space="preserve"> </w:t>
            </w:r>
            <w:r>
              <w:t>(</w:t>
            </w:r>
            <w:r w:rsidRPr="00B94F1F">
              <w:t>Bacillariophyta</w:t>
            </w:r>
            <w:r>
              <w:t>)</w:t>
            </w:r>
          </w:p>
        </w:tc>
        <w:tc>
          <w:tcPr>
            <w:tcW w:w="1700" w:type="dxa"/>
            <w:tcBorders>
              <w:bottom w:val="nil"/>
            </w:tcBorders>
            <w:shd w:val="clear" w:color="auto" w:fill="auto"/>
          </w:tcPr>
          <w:p w14:paraId="24D98999" w14:textId="00FDE338" w:rsidR="00561AFA" w:rsidRPr="007D4917" w:rsidRDefault="00561AFA" w:rsidP="00FE50CF">
            <w:pPr>
              <w:pStyle w:val="TableText"/>
              <w:jc w:val="left"/>
              <w:rPr>
                <w:rFonts w:cs="Calibri"/>
                <w:i/>
                <w:iCs/>
              </w:rPr>
            </w:pPr>
            <w:proofErr w:type="spellStart"/>
            <w:r w:rsidRPr="007D4917">
              <w:rPr>
                <w:i/>
                <w:iCs/>
              </w:rPr>
              <w:t>Achnanthidium</w:t>
            </w:r>
            <w:proofErr w:type="spellEnd"/>
            <w:r w:rsidRPr="007D4917">
              <w:rPr>
                <w:i/>
                <w:iCs/>
              </w:rPr>
              <w:t xml:space="preserve"> </w:t>
            </w:r>
            <w:proofErr w:type="spellStart"/>
            <w:r w:rsidRPr="007D4917">
              <w:rPr>
                <w:i/>
                <w:iCs/>
              </w:rPr>
              <w:t>minutissimum</w:t>
            </w:r>
            <w:proofErr w:type="spellEnd"/>
          </w:p>
        </w:tc>
        <w:tc>
          <w:tcPr>
            <w:tcW w:w="1382" w:type="dxa"/>
            <w:tcBorders>
              <w:bottom w:val="nil"/>
            </w:tcBorders>
            <w:shd w:val="clear" w:color="auto" w:fill="auto"/>
          </w:tcPr>
          <w:p w14:paraId="48806888" w14:textId="77777777" w:rsidR="00561AFA" w:rsidRPr="001E57F2" w:rsidRDefault="00561AFA" w:rsidP="00F95492">
            <w:pPr>
              <w:pStyle w:val="TableText"/>
              <w:jc w:val="left"/>
              <w:rPr>
                <w:rFonts w:cs="Calibri"/>
              </w:rPr>
            </w:pPr>
            <w:r w:rsidRPr="001E57F2">
              <w:t>Exponential growth phase</w:t>
            </w:r>
          </w:p>
        </w:tc>
        <w:tc>
          <w:tcPr>
            <w:tcW w:w="1008" w:type="dxa"/>
            <w:tcBorders>
              <w:bottom w:val="nil"/>
            </w:tcBorders>
            <w:shd w:val="clear" w:color="auto" w:fill="auto"/>
          </w:tcPr>
          <w:p w14:paraId="0136FADC" w14:textId="77777777" w:rsidR="00561AFA" w:rsidRPr="001E57F2" w:rsidRDefault="00561AFA" w:rsidP="00F95492">
            <w:pPr>
              <w:pStyle w:val="TableText"/>
              <w:jc w:val="left"/>
              <w:rPr>
                <w:rFonts w:cs="Calibri"/>
              </w:rPr>
            </w:pPr>
            <w:r w:rsidRPr="001E57F2">
              <w:t>4</w:t>
            </w:r>
          </w:p>
        </w:tc>
        <w:tc>
          <w:tcPr>
            <w:tcW w:w="1864" w:type="dxa"/>
            <w:tcBorders>
              <w:bottom w:val="nil"/>
            </w:tcBorders>
            <w:shd w:val="clear" w:color="auto" w:fill="auto"/>
          </w:tcPr>
          <w:p w14:paraId="4F9E4896" w14:textId="77777777" w:rsidR="00561AFA" w:rsidRPr="001E57F2" w:rsidRDefault="00561AFA" w:rsidP="00F95492">
            <w:pPr>
              <w:pStyle w:val="TableText"/>
              <w:jc w:val="left"/>
            </w:pPr>
            <w:r w:rsidRPr="001E57F2">
              <w:t xml:space="preserve">EC10 </w:t>
            </w:r>
          </w:p>
          <w:p w14:paraId="065378A0" w14:textId="0DF5189B" w:rsidR="00561AFA" w:rsidRPr="001E57F2" w:rsidRDefault="00561AFA" w:rsidP="00B60283">
            <w:pPr>
              <w:pStyle w:val="TableText"/>
              <w:jc w:val="left"/>
              <w:rPr>
                <w:rFonts w:cs="Calibri"/>
              </w:rPr>
            </w:pPr>
            <w:r w:rsidRPr="001E57F2">
              <w:t>(Chlorophyll</w:t>
            </w:r>
            <w:r>
              <w:t>-</w:t>
            </w:r>
            <w:r w:rsidRPr="00B60283">
              <w:t>a</w:t>
            </w:r>
            <w:r w:rsidRPr="001E57F2">
              <w:t xml:space="preserve"> content)</w:t>
            </w:r>
          </w:p>
        </w:tc>
        <w:tc>
          <w:tcPr>
            <w:tcW w:w="1734" w:type="dxa"/>
            <w:tcBorders>
              <w:bottom w:val="nil"/>
            </w:tcBorders>
            <w:shd w:val="clear" w:color="auto" w:fill="auto"/>
          </w:tcPr>
          <w:p w14:paraId="4B4750FD" w14:textId="640AE872" w:rsidR="00561AFA" w:rsidRPr="001E57F2" w:rsidRDefault="00561AFA" w:rsidP="00F95492">
            <w:pPr>
              <w:pStyle w:val="TableText"/>
              <w:jc w:val="left"/>
              <w:rPr>
                <w:rFonts w:cs="Calibri"/>
              </w:rPr>
            </w:pPr>
            <w:r w:rsidRPr="001E57F2">
              <w:t>DMSO dissolved in DV medi</w:t>
            </w:r>
            <w:r>
              <w:t>um</w:t>
            </w:r>
          </w:p>
        </w:tc>
        <w:tc>
          <w:tcPr>
            <w:tcW w:w="1296" w:type="dxa"/>
            <w:tcBorders>
              <w:bottom w:val="nil"/>
            </w:tcBorders>
            <w:shd w:val="clear" w:color="auto" w:fill="auto"/>
          </w:tcPr>
          <w:p w14:paraId="09FAE2F7" w14:textId="77777777" w:rsidR="00561AFA" w:rsidRPr="001E57F2" w:rsidRDefault="00561AFA" w:rsidP="00F95492">
            <w:pPr>
              <w:pStyle w:val="TableText"/>
              <w:jc w:val="left"/>
              <w:rPr>
                <w:rFonts w:cs="Calibri"/>
              </w:rPr>
            </w:pPr>
            <w:r w:rsidRPr="001E57F2">
              <w:t>Not stated</w:t>
            </w:r>
          </w:p>
        </w:tc>
        <w:tc>
          <w:tcPr>
            <w:tcW w:w="1151" w:type="dxa"/>
            <w:tcBorders>
              <w:bottom w:val="nil"/>
            </w:tcBorders>
            <w:shd w:val="clear" w:color="auto" w:fill="auto"/>
          </w:tcPr>
          <w:p w14:paraId="78E1C42A"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082F866F" w14:textId="11B04817" w:rsidR="00561AFA" w:rsidRPr="001E57F2" w:rsidRDefault="00561AFA" w:rsidP="00A250FE">
            <w:pPr>
              <w:pStyle w:val="TableText"/>
              <w:jc w:val="left"/>
              <w:rPr>
                <w:rFonts w:cs="Calibri"/>
              </w:rPr>
            </w:pPr>
            <w:r w:rsidRPr="001E57F2">
              <w:t>6</w:t>
            </w:r>
            <w:r>
              <w:t> </w:t>
            </w:r>
            <w:r w:rsidRPr="001E57F2">
              <w:t>528</w:t>
            </w:r>
          </w:p>
        </w:tc>
        <w:tc>
          <w:tcPr>
            <w:tcW w:w="1214" w:type="dxa"/>
            <w:tcBorders>
              <w:bottom w:val="nil"/>
            </w:tcBorders>
            <w:shd w:val="clear" w:color="auto" w:fill="auto"/>
          </w:tcPr>
          <w:p w14:paraId="2244F784" w14:textId="20041141"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(2012)</w:t>
            </w:r>
          </w:p>
        </w:tc>
      </w:tr>
      <w:tr w:rsidR="00F95492" w:rsidRPr="00F94663" w14:paraId="58A371FC"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1660" w:type="dxa"/>
            <w:gridSpan w:val="8"/>
            <w:tcBorders>
              <w:top w:val="nil"/>
            </w:tcBorders>
            <w:shd w:val="clear" w:color="auto" w:fill="auto"/>
          </w:tcPr>
          <w:p w14:paraId="3B3CA3D1" w14:textId="0F8E8CB5"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2065676A" w14:textId="2E067B22" w:rsidR="00F95492" w:rsidRPr="001E57F2" w:rsidRDefault="00A250FE" w:rsidP="00F95492">
            <w:pPr>
              <w:pStyle w:val="TableText"/>
              <w:jc w:val="left"/>
              <w:rPr>
                <w:rFonts w:cs="Calibri"/>
              </w:rPr>
            </w:pPr>
            <w:r>
              <w:rPr>
                <w:b/>
              </w:rPr>
              <w:t>6 </w:t>
            </w:r>
            <w:r w:rsidR="00F95492" w:rsidRPr="001E57F2">
              <w:rPr>
                <w:b/>
              </w:rPr>
              <w:t>528</w:t>
            </w:r>
          </w:p>
        </w:tc>
        <w:tc>
          <w:tcPr>
            <w:tcW w:w="1214" w:type="dxa"/>
            <w:tcBorders>
              <w:top w:val="nil"/>
            </w:tcBorders>
            <w:shd w:val="clear" w:color="auto" w:fill="auto"/>
          </w:tcPr>
          <w:p w14:paraId="6D3D02DB" w14:textId="77777777" w:rsidR="00F95492" w:rsidRPr="00F95492" w:rsidRDefault="00F95492" w:rsidP="00F95492">
            <w:pPr>
              <w:pStyle w:val="TableText"/>
              <w:jc w:val="left"/>
              <w:rPr>
                <w:rFonts w:cs="Calibri"/>
              </w:rPr>
            </w:pPr>
            <w:r w:rsidRPr="00F95492">
              <w:rPr>
                <w:b/>
              </w:rPr>
              <w:t>VALUE USED IN SSD</w:t>
            </w:r>
          </w:p>
        </w:tc>
      </w:tr>
      <w:tr w:rsidR="00561AFA" w:rsidRPr="00F94663" w14:paraId="57426C43" w14:textId="77777777" w:rsidTr="00561AFA">
        <w:trPr>
          <w:cantSplit/>
        </w:trPr>
        <w:tc>
          <w:tcPr>
            <w:tcW w:w="1525" w:type="dxa"/>
            <w:tcBorders>
              <w:bottom w:val="nil"/>
            </w:tcBorders>
            <w:shd w:val="clear" w:color="auto" w:fill="auto"/>
          </w:tcPr>
          <w:p w14:paraId="134DD577" w14:textId="01A838F1" w:rsidR="00561AFA" w:rsidRPr="001E57F2" w:rsidRDefault="00561AFA" w:rsidP="00F95492">
            <w:pPr>
              <w:pStyle w:val="TableText"/>
              <w:jc w:val="left"/>
              <w:rPr>
                <w:rFonts w:cs="Calibri"/>
              </w:rPr>
            </w:pPr>
            <w:r>
              <w:rPr>
                <w:rFonts w:cs="Calibri"/>
              </w:rPr>
              <w:lastRenderedPageBreak/>
              <w:t>Diatom (</w:t>
            </w:r>
            <w:r w:rsidRPr="001E57F2">
              <w:rPr>
                <w:rFonts w:cs="Calibri"/>
              </w:rPr>
              <w:t>Bacillariophyta</w:t>
            </w:r>
            <w:r>
              <w:rPr>
                <w:rFonts w:cs="Calibri"/>
              </w:rPr>
              <w:t>)</w:t>
            </w:r>
          </w:p>
        </w:tc>
        <w:tc>
          <w:tcPr>
            <w:tcW w:w="1700" w:type="dxa"/>
            <w:tcBorders>
              <w:bottom w:val="nil"/>
            </w:tcBorders>
            <w:shd w:val="clear" w:color="auto" w:fill="auto"/>
          </w:tcPr>
          <w:p w14:paraId="2C02F28D" w14:textId="25877E7C" w:rsidR="00561AFA" w:rsidRPr="00F95492" w:rsidRDefault="00561AFA" w:rsidP="00FE50CF">
            <w:pPr>
              <w:pStyle w:val="TableText"/>
              <w:jc w:val="left"/>
              <w:rPr>
                <w:rFonts w:cs="Calibri"/>
              </w:rPr>
            </w:pPr>
            <w:proofErr w:type="spellStart"/>
            <w:r w:rsidRPr="00BD5464">
              <w:rPr>
                <w:rStyle w:val="Emphasis"/>
              </w:rPr>
              <w:t>Navicula</w:t>
            </w:r>
            <w:proofErr w:type="spellEnd"/>
            <w:r w:rsidRPr="00BD5464">
              <w:rPr>
                <w:rStyle w:val="Emphasis"/>
              </w:rPr>
              <w:t xml:space="preserve"> </w:t>
            </w:r>
            <w:proofErr w:type="spellStart"/>
            <w:r w:rsidRPr="00BD5464">
              <w:rPr>
                <w:rStyle w:val="Emphasis"/>
              </w:rPr>
              <w:t>pelliculosa</w:t>
            </w:r>
            <w:proofErr w:type="spellEnd"/>
          </w:p>
        </w:tc>
        <w:tc>
          <w:tcPr>
            <w:tcW w:w="1382" w:type="dxa"/>
            <w:tcBorders>
              <w:bottom w:val="nil"/>
            </w:tcBorders>
            <w:shd w:val="clear" w:color="auto" w:fill="auto"/>
          </w:tcPr>
          <w:p w14:paraId="081FC72B" w14:textId="77777777" w:rsidR="00561AFA" w:rsidRPr="001E57F2" w:rsidRDefault="00561AFA" w:rsidP="00F95492">
            <w:pPr>
              <w:pStyle w:val="TableText"/>
              <w:jc w:val="left"/>
              <w:rPr>
                <w:rFonts w:cs="Calibri"/>
              </w:rPr>
            </w:pPr>
            <w:r w:rsidRPr="001E57F2">
              <w:rPr>
                <w:rFonts w:cs="Calibri"/>
              </w:rPr>
              <w:t>Not stated</w:t>
            </w:r>
          </w:p>
        </w:tc>
        <w:tc>
          <w:tcPr>
            <w:tcW w:w="1008" w:type="dxa"/>
            <w:tcBorders>
              <w:bottom w:val="nil"/>
            </w:tcBorders>
            <w:shd w:val="clear" w:color="auto" w:fill="auto"/>
          </w:tcPr>
          <w:p w14:paraId="46287C16" w14:textId="77777777" w:rsidR="00561AFA" w:rsidRPr="001E57F2" w:rsidRDefault="00561AFA" w:rsidP="00F95492">
            <w:pPr>
              <w:pStyle w:val="TableText"/>
              <w:jc w:val="left"/>
              <w:rPr>
                <w:rFonts w:cs="Calibri"/>
              </w:rPr>
            </w:pPr>
            <w:r w:rsidRPr="001E57F2">
              <w:rPr>
                <w:rFonts w:cs="Calibri"/>
              </w:rPr>
              <w:t>5</w:t>
            </w:r>
          </w:p>
        </w:tc>
        <w:tc>
          <w:tcPr>
            <w:tcW w:w="1864" w:type="dxa"/>
            <w:tcBorders>
              <w:bottom w:val="nil"/>
            </w:tcBorders>
            <w:shd w:val="clear" w:color="auto" w:fill="auto"/>
          </w:tcPr>
          <w:p w14:paraId="52003402" w14:textId="77777777" w:rsidR="00561AFA" w:rsidRPr="001E57F2" w:rsidRDefault="00561AFA" w:rsidP="00F95492">
            <w:pPr>
              <w:pStyle w:val="TableText"/>
              <w:jc w:val="left"/>
              <w:rPr>
                <w:rFonts w:cs="Calibri"/>
              </w:rPr>
            </w:pPr>
            <w:r w:rsidRPr="001E57F2">
              <w:rPr>
                <w:rFonts w:cs="Calibri"/>
              </w:rPr>
              <w:t xml:space="preserve">EC50 </w:t>
            </w:r>
          </w:p>
          <w:p w14:paraId="6CD81487" w14:textId="48A52F41" w:rsidR="00561AFA" w:rsidRPr="001E57F2" w:rsidRDefault="00561AFA" w:rsidP="00F95492">
            <w:pPr>
              <w:pStyle w:val="TableText"/>
              <w:jc w:val="left"/>
              <w:rPr>
                <w:rFonts w:cs="Calibri"/>
              </w:rPr>
            </w:pPr>
            <w:r w:rsidRPr="001E57F2">
              <w:rPr>
                <w:rFonts w:cs="Calibri"/>
              </w:rPr>
              <w:t>(Biomass yield, growth rate, AUC</w:t>
            </w:r>
            <w:r>
              <w:rPr>
                <w:rFonts w:cs="Calibri"/>
              </w:rPr>
              <w:t xml:space="preserve"> </w:t>
            </w:r>
            <w:r w:rsidRPr="00F35AD3">
              <w:rPr>
                <w:rStyle w:val="Strong"/>
                <w:vertAlign w:val="superscript"/>
              </w:rPr>
              <w:t>a</w:t>
            </w:r>
            <w:r w:rsidRPr="001E57F2">
              <w:rPr>
                <w:rFonts w:cs="Calibri"/>
              </w:rPr>
              <w:t>)</w:t>
            </w:r>
          </w:p>
        </w:tc>
        <w:tc>
          <w:tcPr>
            <w:tcW w:w="1734" w:type="dxa"/>
            <w:tcBorders>
              <w:bottom w:val="nil"/>
            </w:tcBorders>
            <w:shd w:val="clear" w:color="auto" w:fill="auto"/>
          </w:tcPr>
          <w:p w14:paraId="38987D26" w14:textId="77777777" w:rsidR="00561AFA" w:rsidRPr="001E57F2" w:rsidRDefault="00561AFA" w:rsidP="00F95492">
            <w:pPr>
              <w:pStyle w:val="TableText"/>
              <w:jc w:val="left"/>
              <w:rPr>
                <w:rFonts w:cs="Calibri"/>
              </w:rPr>
            </w:pPr>
            <w:r w:rsidRPr="001E57F2">
              <w:rPr>
                <w:rFonts w:cs="Calibri"/>
              </w:rPr>
              <w:t>ASTM Type I water</w:t>
            </w:r>
          </w:p>
        </w:tc>
        <w:tc>
          <w:tcPr>
            <w:tcW w:w="1296" w:type="dxa"/>
            <w:tcBorders>
              <w:bottom w:val="nil"/>
            </w:tcBorders>
            <w:shd w:val="clear" w:color="auto" w:fill="auto"/>
          </w:tcPr>
          <w:p w14:paraId="4D05E941" w14:textId="77777777" w:rsidR="00561AFA" w:rsidRPr="001E57F2" w:rsidRDefault="00561AFA" w:rsidP="00F95492">
            <w:pPr>
              <w:pStyle w:val="TableText"/>
              <w:jc w:val="left"/>
              <w:rPr>
                <w:rFonts w:cs="Calibri"/>
              </w:rPr>
            </w:pPr>
            <w:r w:rsidRPr="001E57F2">
              <w:rPr>
                <w:rFonts w:cs="Calibri"/>
              </w:rPr>
              <w:t>24 ± 2</w:t>
            </w:r>
          </w:p>
        </w:tc>
        <w:tc>
          <w:tcPr>
            <w:tcW w:w="1151" w:type="dxa"/>
            <w:tcBorders>
              <w:bottom w:val="nil"/>
            </w:tcBorders>
            <w:shd w:val="clear" w:color="auto" w:fill="auto"/>
          </w:tcPr>
          <w:p w14:paraId="76D24345" w14:textId="77777777" w:rsidR="00561AFA" w:rsidRPr="001E57F2" w:rsidRDefault="00561AFA" w:rsidP="00F95492">
            <w:pPr>
              <w:pStyle w:val="TableText"/>
              <w:jc w:val="left"/>
              <w:rPr>
                <w:rFonts w:cs="Calibri"/>
              </w:rPr>
            </w:pPr>
            <w:r w:rsidRPr="001E57F2">
              <w:rPr>
                <w:rFonts w:cs="Calibri"/>
              </w:rPr>
              <w:t>7.5 ± 0.1</w:t>
            </w:r>
          </w:p>
        </w:tc>
        <w:tc>
          <w:tcPr>
            <w:tcW w:w="1344" w:type="dxa"/>
            <w:tcBorders>
              <w:bottom w:val="nil"/>
            </w:tcBorders>
            <w:shd w:val="clear" w:color="auto" w:fill="auto"/>
          </w:tcPr>
          <w:p w14:paraId="7B6B940A" w14:textId="77777777" w:rsidR="00561AFA" w:rsidRPr="001E57F2" w:rsidRDefault="00561AFA" w:rsidP="00F95492">
            <w:pPr>
              <w:pStyle w:val="TableText"/>
              <w:jc w:val="left"/>
              <w:rPr>
                <w:rFonts w:cs="Calibri"/>
              </w:rPr>
            </w:pPr>
            <w:r w:rsidRPr="001E57F2">
              <w:rPr>
                <w:rFonts w:cs="Calibri"/>
              </w:rPr>
              <w:t>380</w:t>
            </w:r>
          </w:p>
        </w:tc>
        <w:tc>
          <w:tcPr>
            <w:tcW w:w="1214" w:type="dxa"/>
            <w:tcBorders>
              <w:bottom w:val="nil"/>
            </w:tcBorders>
            <w:shd w:val="clear" w:color="auto" w:fill="auto"/>
          </w:tcPr>
          <w:p w14:paraId="691B4C13" w14:textId="55553499" w:rsidR="00561AFA" w:rsidRPr="00F95492" w:rsidRDefault="00561AFA" w:rsidP="00F95492">
            <w:pPr>
              <w:pStyle w:val="TableText"/>
              <w:jc w:val="left"/>
              <w:rPr>
                <w:rFonts w:cs="Calibri"/>
              </w:rPr>
            </w:pPr>
            <w:r w:rsidRPr="00F95492">
              <w:rPr>
                <w:rFonts w:cs="Calibri"/>
              </w:rPr>
              <w:t>USEPA (2015</w:t>
            </w:r>
            <w:r>
              <w:rPr>
                <w:rFonts w:cs="Calibri"/>
              </w:rPr>
              <w:t>a</w:t>
            </w:r>
            <w:r w:rsidRPr="00F95492">
              <w:rPr>
                <w:rFonts w:cs="Calibri"/>
              </w:rPr>
              <w:t>)</w:t>
            </w:r>
          </w:p>
        </w:tc>
      </w:tr>
      <w:tr w:rsidR="00F95492" w:rsidRPr="00F94663" w14:paraId="59FE76EA"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1660" w:type="dxa"/>
            <w:gridSpan w:val="8"/>
            <w:tcBorders>
              <w:top w:val="nil"/>
            </w:tcBorders>
            <w:shd w:val="clear" w:color="auto" w:fill="auto"/>
          </w:tcPr>
          <w:p w14:paraId="5EAE97E5" w14:textId="4118FD23"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6B061803" w14:textId="5A0C270F" w:rsidR="00F95492" w:rsidRPr="001E57F2" w:rsidRDefault="00F95492" w:rsidP="00F95492">
            <w:pPr>
              <w:pStyle w:val="TableText"/>
              <w:jc w:val="left"/>
              <w:rPr>
                <w:rFonts w:cs="Calibri"/>
              </w:rPr>
            </w:pPr>
            <w:r w:rsidRPr="001E57F2">
              <w:rPr>
                <w:b/>
              </w:rPr>
              <w:t>76</w:t>
            </w:r>
            <w:r w:rsidR="00A250FE">
              <w:rPr>
                <w:b/>
              </w:rPr>
              <w:t xml:space="preserve"> </w:t>
            </w:r>
            <w:r w:rsidR="002326A9" w:rsidRPr="002326A9">
              <w:rPr>
                <w:rStyle w:val="Strong"/>
                <w:vertAlign w:val="superscript"/>
              </w:rPr>
              <w:t>d</w:t>
            </w:r>
          </w:p>
        </w:tc>
        <w:tc>
          <w:tcPr>
            <w:tcW w:w="1214" w:type="dxa"/>
            <w:tcBorders>
              <w:top w:val="nil"/>
            </w:tcBorders>
            <w:shd w:val="clear" w:color="auto" w:fill="auto"/>
          </w:tcPr>
          <w:p w14:paraId="63D4138A" w14:textId="77777777" w:rsidR="00F95492" w:rsidRPr="00F95492" w:rsidRDefault="00F95492" w:rsidP="00F95492">
            <w:pPr>
              <w:pStyle w:val="TableText"/>
              <w:jc w:val="left"/>
              <w:rPr>
                <w:rFonts w:cs="Calibri"/>
              </w:rPr>
            </w:pPr>
            <w:r w:rsidRPr="00F95492">
              <w:rPr>
                <w:b/>
              </w:rPr>
              <w:t>VALUE USED IN SSD</w:t>
            </w:r>
          </w:p>
        </w:tc>
      </w:tr>
      <w:tr w:rsidR="00561AFA" w:rsidRPr="00F94663" w14:paraId="0243B854" w14:textId="77777777" w:rsidTr="00561AFA">
        <w:trPr>
          <w:cantSplit/>
        </w:trPr>
        <w:tc>
          <w:tcPr>
            <w:tcW w:w="1525" w:type="dxa"/>
            <w:tcBorders>
              <w:bottom w:val="nil"/>
            </w:tcBorders>
            <w:shd w:val="clear" w:color="auto" w:fill="auto"/>
          </w:tcPr>
          <w:p w14:paraId="28765BCA" w14:textId="04BD280F" w:rsidR="00561AFA" w:rsidRPr="001E57F2" w:rsidRDefault="00561AFA" w:rsidP="00F95492">
            <w:pPr>
              <w:pStyle w:val="TableText"/>
              <w:jc w:val="left"/>
              <w:rPr>
                <w:rFonts w:cs="Calibri"/>
              </w:rPr>
            </w:pPr>
            <w:r>
              <w:t>Diatom (</w:t>
            </w:r>
            <w:r w:rsidRPr="001E57F2">
              <w:t>Bacillariophyta</w:t>
            </w:r>
            <w:r>
              <w:t>)</w:t>
            </w:r>
          </w:p>
        </w:tc>
        <w:tc>
          <w:tcPr>
            <w:tcW w:w="1700" w:type="dxa"/>
            <w:tcBorders>
              <w:bottom w:val="nil"/>
            </w:tcBorders>
            <w:shd w:val="clear" w:color="auto" w:fill="auto"/>
          </w:tcPr>
          <w:p w14:paraId="5FAC23F4" w14:textId="77135950" w:rsidR="00561AFA" w:rsidRPr="00F95492" w:rsidRDefault="00561AFA" w:rsidP="00FE50CF">
            <w:pPr>
              <w:pStyle w:val="TableText"/>
              <w:jc w:val="left"/>
              <w:rPr>
                <w:rFonts w:cs="Calibri"/>
              </w:rPr>
            </w:pPr>
            <w:r w:rsidRPr="00BD5464">
              <w:rPr>
                <w:rStyle w:val="Emphasis"/>
              </w:rPr>
              <w:t xml:space="preserve">Cyclotella </w:t>
            </w:r>
            <w:proofErr w:type="spellStart"/>
            <w:r w:rsidRPr="00BD5464">
              <w:rPr>
                <w:rStyle w:val="Emphasis"/>
              </w:rPr>
              <w:t>meneghiniana</w:t>
            </w:r>
            <w:proofErr w:type="spellEnd"/>
          </w:p>
        </w:tc>
        <w:tc>
          <w:tcPr>
            <w:tcW w:w="1382" w:type="dxa"/>
            <w:tcBorders>
              <w:bottom w:val="nil"/>
            </w:tcBorders>
            <w:shd w:val="clear" w:color="auto" w:fill="auto"/>
          </w:tcPr>
          <w:p w14:paraId="69EC4418" w14:textId="77777777" w:rsidR="00561AFA" w:rsidRPr="001E57F2" w:rsidRDefault="00561AFA" w:rsidP="00F95492">
            <w:pPr>
              <w:pStyle w:val="TableText"/>
              <w:jc w:val="left"/>
              <w:rPr>
                <w:rFonts w:cs="Calibri"/>
              </w:rPr>
            </w:pPr>
            <w:r w:rsidRPr="001E57F2">
              <w:t>Exponential growth phase</w:t>
            </w:r>
          </w:p>
        </w:tc>
        <w:tc>
          <w:tcPr>
            <w:tcW w:w="1008" w:type="dxa"/>
            <w:tcBorders>
              <w:bottom w:val="nil"/>
            </w:tcBorders>
            <w:shd w:val="clear" w:color="auto" w:fill="auto"/>
          </w:tcPr>
          <w:p w14:paraId="27FD419C" w14:textId="77777777" w:rsidR="00561AFA" w:rsidRPr="001E57F2" w:rsidRDefault="00561AFA" w:rsidP="00F95492">
            <w:pPr>
              <w:pStyle w:val="TableText"/>
              <w:jc w:val="left"/>
              <w:rPr>
                <w:rFonts w:cs="Calibri"/>
              </w:rPr>
            </w:pPr>
            <w:r w:rsidRPr="001E57F2">
              <w:t>4</w:t>
            </w:r>
          </w:p>
        </w:tc>
        <w:tc>
          <w:tcPr>
            <w:tcW w:w="1864" w:type="dxa"/>
            <w:tcBorders>
              <w:bottom w:val="nil"/>
            </w:tcBorders>
            <w:shd w:val="clear" w:color="auto" w:fill="auto"/>
          </w:tcPr>
          <w:p w14:paraId="320BB8AF" w14:textId="77777777" w:rsidR="00561AFA" w:rsidRPr="001E57F2" w:rsidRDefault="00561AFA" w:rsidP="00F95492">
            <w:pPr>
              <w:pStyle w:val="TableText"/>
              <w:jc w:val="left"/>
            </w:pPr>
            <w:r w:rsidRPr="001E57F2">
              <w:t xml:space="preserve">EC10 </w:t>
            </w:r>
          </w:p>
          <w:p w14:paraId="06B8CD98" w14:textId="77777777" w:rsidR="00561AFA" w:rsidRPr="001E57F2" w:rsidRDefault="00561AFA" w:rsidP="00F95492">
            <w:pPr>
              <w:pStyle w:val="TableText"/>
              <w:jc w:val="left"/>
              <w:rPr>
                <w:rFonts w:cs="Calibri"/>
              </w:rPr>
            </w:pPr>
            <w:r w:rsidRPr="001E57F2">
              <w:t>(Cell density)</w:t>
            </w:r>
          </w:p>
        </w:tc>
        <w:tc>
          <w:tcPr>
            <w:tcW w:w="1734" w:type="dxa"/>
            <w:tcBorders>
              <w:bottom w:val="nil"/>
            </w:tcBorders>
            <w:shd w:val="clear" w:color="auto" w:fill="auto"/>
          </w:tcPr>
          <w:p w14:paraId="7AB406A6" w14:textId="11844AF6" w:rsidR="00561AFA" w:rsidRPr="001E57F2" w:rsidRDefault="00561AFA" w:rsidP="00F95492">
            <w:pPr>
              <w:pStyle w:val="TableText"/>
              <w:jc w:val="left"/>
              <w:rPr>
                <w:rFonts w:cs="Calibri"/>
              </w:rPr>
            </w:pPr>
            <w:r w:rsidRPr="001E57F2">
              <w:t>DMSO dissolved in DV medi</w:t>
            </w:r>
            <w:r>
              <w:t>um</w:t>
            </w:r>
          </w:p>
        </w:tc>
        <w:tc>
          <w:tcPr>
            <w:tcW w:w="1296" w:type="dxa"/>
            <w:tcBorders>
              <w:bottom w:val="nil"/>
            </w:tcBorders>
            <w:shd w:val="clear" w:color="auto" w:fill="auto"/>
          </w:tcPr>
          <w:p w14:paraId="6770049D" w14:textId="77777777" w:rsidR="00561AFA" w:rsidRPr="001E57F2" w:rsidRDefault="00561AFA" w:rsidP="00F95492">
            <w:pPr>
              <w:pStyle w:val="TableText"/>
              <w:jc w:val="left"/>
              <w:rPr>
                <w:rFonts w:cs="Calibri"/>
              </w:rPr>
            </w:pPr>
            <w:r w:rsidRPr="001E57F2">
              <w:t>Not stated</w:t>
            </w:r>
          </w:p>
        </w:tc>
        <w:tc>
          <w:tcPr>
            <w:tcW w:w="1151" w:type="dxa"/>
            <w:tcBorders>
              <w:bottom w:val="nil"/>
            </w:tcBorders>
            <w:shd w:val="clear" w:color="auto" w:fill="auto"/>
          </w:tcPr>
          <w:p w14:paraId="4F6DF40B"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4838313F" w14:textId="77777777" w:rsidR="00561AFA" w:rsidRPr="001E57F2" w:rsidRDefault="00561AFA" w:rsidP="00F95492">
            <w:pPr>
              <w:pStyle w:val="TableText"/>
              <w:jc w:val="left"/>
              <w:rPr>
                <w:rFonts w:cs="Calibri"/>
              </w:rPr>
            </w:pPr>
            <w:r w:rsidRPr="001E57F2">
              <w:t>925</w:t>
            </w:r>
          </w:p>
        </w:tc>
        <w:tc>
          <w:tcPr>
            <w:tcW w:w="1214" w:type="dxa"/>
            <w:tcBorders>
              <w:bottom w:val="nil"/>
            </w:tcBorders>
            <w:shd w:val="clear" w:color="auto" w:fill="auto"/>
          </w:tcPr>
          <w:p w14:paraId="2EC62344" w14:textId="43369363"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(2012)</w:t>
            </w:r>
          </w:p>
        </w:tc>
      </w:tr>
      <w:tr w:rsidR="00F95492" w:rsidRPr="00F94663" w14:paraId="34183A27"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1660" w:type="dxa"/>
            <w:gridSpan w:val="8"/>
            <w:tcBorders>
              <w:top w:val="nil"/>
            </w:tcBorders>
            <w:shd w:val="clear" w:color="auto" w:fill="auto"/>
          </w:tcPr>
          <w:p w14:paraId="2245A724" w14:textId="6270C262"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6529C87F" w14:textId="77777777" w:rsidR="00F95492" w:rsidRPr="001E57F2" w:rsidRDefault="00F95492" w:rsidP="00F95492">
            <w:pPr>
              <w:pStyle w:val="TableText"/>
              <w:jc w:val="left"/>
              <w:rPr>
                <w:rFonts w:cs="Calibri"/>
              </w:rPr>
            </w:pPr>
            <w:r w:rsidRPr="001E57F2">
              <w:rPr>
                <w:b/>
              </w:rPr>
              <w:t>925</w:t>
            </w:r>
          </w:p>
        </w:tc>
        <w:tc>
          <w:tcPr>
            <w:tcW w:w="1214" w:type="dxa"/>
            <w:tcBorders>
              <w:top w:val="nil"/>
            </w:tcBorders>
            <w:shd w:val="clear" w:color="auto" w:fill="auto"/>
          </w:tcPr>
          <w:p w14:paraId="0EFDA7BA" w14:textId="77777777" w:rsidR="00F95492" w:rsidRPr="00F95492" w:rsidRDefault="00F95492" w:rsidP="00F95492">
            <w:pPr>
              <w:pStyle w:val="TableText"/>
              <w:jc w:val="left"/>
              <w:rPr>
                <w:rFonts w:cs="Calibri"/>
              </w:rPr>
            </w:pPr>
            <w:r w:rsidRPr="00F95492">
              <w:rPr>
                <w:b/>
              </w:rPr>
              <w:t>VALUE USED IN SSD</w:t>
            </w:r>
          </w:p>
        </w:tc>
      </w:tr>
      <w:tr w:rsidR="00561AFA" w:rsidRPr="00F94663" w14:paraId="341C75FE" w14:textId="77777777" w:rsidTr="00561AFA">
        <w:trPr>
          <w:cantSplit/>
        </w:trPr>
        <w:tc>
          <w:tcPr>
            <w:tcW w:w="1525" w:type="dxa"/>
            <w:vMerge w:val="restart"/>
            <w:shd w:val="clear" w:color="auto" w:fill="auto"/>
          </w:tcPr>
          <w:p w14:paraId="43529DFB" w14:textId="5706DBAF" w:rsidR="00561AFA" w:rsidRPr="001E57F2" w:rsidRDefault="00561AFA" w:rsidP="00A5357B">
            <w:pPr>
              <w:pStyle w:val="TableText"/>
              <w:jc w:val="left"/>
              <w:rPr>
                <w:rFonts w:cs="Calibri"/>
              </w:rPr>
            </w:pPr>
            <w:r>
              <w:t>Diatom (</w:t>
            </w:r>
            <w:r w:rsidRPr="001E57F2">
              <w:t>Bacillariophyta</w:t>
            </w:r>
            <w:r>
              <w:t>)</w:t>
            </w:r>
          </w:p>
        </w:tc>
        <w:tc>
          <w:tcPr>
            <w:tcW w:w="1700" w:type="dxa"/>
            <w:vMerge w:val="restart"/>
            <w:shd w:val="clear" w:color="auto" w:fill="auto"/>
          </w:tcPr>
          <w:p w14:paraId="5383874A" w14:textId="06AA86ED" w:rsidR="00561AFA" w:rsidRPr="00F95492" w:rsidRDefault="00561AFA" w:rsidP="00A5357B">
            <w:pPr>
              <w:pStyle w:val="TableText"/>
              <w:jc w:val="left"/>
              <w:rPr>
                <w:rFonts w:cs="Calibri"/>
              </w:rPr>
            </w:pPr>
            <w:proofErr w:type="spellStart"/>
            <w:r w:rsidRPr="00BD5464">
              <w:rPr>
                <w:rStyle w:val="Emphasis"/>
              </w:rPr>
              <w:t>Encyonema</w:t>
            </w:r>
            <w:proofErr w:type="spellEnd"/>
            <w:r w:rsidRPr="00F95492">
              <w:t xml:space="preserve"> </w:t>
            </w:r>
            <w:proofErr w:type="spellStart"/>
            <w:r w:rsidRPr="00BD5464">
              <w:rPr>
                <w:rStyle w:val="Emphasis"/>
              </w:rPr>
              <w:t>silesiacum</w:t>
            </w:r>
            <w:proofErr w:type="spellEnd"/>
          </w:p>
        </w:tc>
        <w:tc>
          <w:tcPr>
            <w:tcW w:w="1382" w:type="dxa"/>
            <w:shd w:val="clear" w:color="auto" w:fill="auto"/>
          </w:tcPr>
          <w:p w14:paraId="77EA0B4E" w14:textId="77777777" w:rsidR="00561AFA" w:rsidRPr="001E57F2" w:rsidRDefault="00561AFA" w:rsidP="00F95492">
            <w:pPr>
              <w:pStyle w:val="TableText"/>
              <w:jc w:val="left"/>
              <w:rPr>
                <w:rFonts w:cs="Calibri"/>
              </w:rPr>
            </w:pPr>
            <w:r w:rsidRPr="001E57F2">
              <w:t>Exponential growth phase</w:t>
            </w:r>
          </w:p>
        </w:tc>
        <w:tc>
          <w:tcPr>
            <w:tcW w:w="1008" w:type="dxa"/>
            <w:shd w:val="clear" w:color="auto" w:fill="auto"/>
          </w:tcPr>
          <w:p w14:paraId="68C09EFA" w14:textId="77777777" w:rsidR="00561AFA" w:rsidRPr="001E57F2" w:rsidRDefault="00561AFA" w:rsidP="00F95492">
            <w:pPr>
              <w:pStyle w:val="TableText"/>
              <w:jc w:val="left"/>
              <w:rPr>
                <w:rFonts w:cs="Calibri"/>
              </w:rPr>
            </w:pPr>
            <w:r w:rsidRPr="001E57F2">
              <w:t>4</w:t>
            </w:r>
          </w:p>
        </w:tc>
        <w:tc>
          <w:tcPr>
            <w:tcW w:w="1864" w:type="dxa"/>
            <w:shd w:val="clear" w:color="auto" w:fill="auto"/>
          </w:tcPr>
          <w:p w14:paraId="4DE3D863" w14:textId="77777777" w:rsidR="00561AFA" w:rsidRPr="001E57F2" w:rsidRDefault="00561AFA" w:rsidP="00F95492">
            <w:pPr>
              <w:pStyle w:val="TableText"/>
              <w:jc w:val="left"/>
            </w:pPr>
            <w:r w:rsidRPr="001E57F2">
              <w:t xml:space="preserve">EC10 </w:t>
            </w:r>
          </w:p>
          <w:p w14:paraId="38F13C7C" w14:textId="0EBDAF01" w:rsidR="00561AFA" w:rsidRPr="001E57F2" w:rsidRDefault="00561AFA" w:rsidP="00B60283">
            <w:pPr>
              <w:pStyle w:val="TableText"/>
              <w:jc w:val="left"/>
              <w:rPr>
                <w:rFonts w:cs="Calibri"/>
              </w:rPr>
            </w:pPr>
            <w:r w:rsidRPr="001E57F2">
              <w:t>(Chlorophyll</w:t>
            </w:r>
            <w:r>
              <w:t>-</w:t>
            </w:r>
            <w:r w:rsidRPr="00B60283">
              <w:t xml:space="preserve">a </w:t>
            </w:r>
            <w:r w:rsidRPr="001E57F2">
              <w:t>content)</w:t>
            </w:r>
          </w:p>
        </w:tc>
        <w:tc>
          <w:tcPr>
            <w:tcW w:w="1734" w:type="dxa"/>
            <w:shd w:val="clear" w:color="auto" w:fill="auto"/>
          </w:tcPr>
          <w:p w14:paraId="19AA37D1" w14:textId="1B3C8846" w:rsidR="00561AFA" w:rsidRPr="001E57F2" w:rsidRDefault="00561AFA" w:rsidP="00F95492">
            <w:pPr>
              <w:pStyle w:val="TableText"/>
              <w:jc w:val="left"/>
              <w:rPr>
                <w:rFonts w:cs="Calibri"/>
              </w:rPr>
            </w:pPr>
            <w:r w:rsidRPr="001E57F2">
              <w:t>DMSO dissolved in DV medi</w:t>
            </w:r>
            <w:r>
              <w:t>um</w:t>
            </w:r>
          </w:p>
        </w:tc>
        <w:tc>
          <w:tcPr>
            <w:tcW w:w="1296" w:type="dxa"/>
            <w:shd w:val="clear" w:color="auto" w:fill="auto"/>
          </w:tcPr>
          <w:p w14:paraId="322C0D71" w14:textId="77777777" w:rsidR="00561AFA" w:rsidRPr="001E57F2" w:rsidRDefault="00561AFA" w:rsidP="00F95492">
            <w:pPr>
              <w:pStyle w:val="TableText"/>
              <w:jc w:val="left"/>
              <w:rPr>
                <w:rFonts w:cs="Calibri"/>
              </w:rPr>
            </w:pPr>
            <w:r w:rsidRPr="001E57F2">
              <w:t>Not stated</w:t>
            </w:r>
          </w:p>
        </w:tc>
        <w:tc>
          <w:tcPr>
            <w:tcW w:w="1151" w:type="dxa"/>
            <w:shd w:val="clear" w:color="auto" w:fill="auto"/>
          </w:tcPr>
          <w:p w14:paraId="5F0C6A96" w14:textId="77777777" w:rsidR="00561AFA" w:rsidRPr="001E57F2" w:rsidRDefault="00561AFA" w:rsidP="00F95492">
            <w:pPr>
              <w:pStyle w:val="TableText"/>
              <w:jc w:val="left"/>
              <w:rPr>
                <w:rFonts w:cs="Calibri"/>
              </w:rPr>
            </w:pPr>
            <w:r w:rsidRPr="001E57F2">
              <w:t>Not stated</w:t>
            </w:r>
          </w:p>
        </w:tc>
        <w:tc>
          <w:tcPr>
            <w:tcW w:w="1344" w:type="dxa"/>
            <w:shd w:val="clear" w:color="auto" w:fill="auto"/>
          </w:tcPr>
          <w:p w14:paraId="7A61E1B8" w14:textId="77777777" w:rsidR="00561AFA" w:rsidRPr="001E57F2" w:rsidRDefault="00561AFA" w:rsidP="00F95492">
            <w:pPr>
              <w:pStyle w:val="TableText"/>
              <w:jc w:val="left"/>
              <w:rPr>
                <w:rFonts w:cs="Calibri"/>
              </w:rPr>
            </w:pPr>
            <w:r w:rsidRPr="001E57F2">
              <w:t>432</w:t>
            </w:r>
          </w:p>
        </w:tc>
        <w:tc>
          <w:tcPr>
            <w:tcW w:w="1214" w:type="dxa"/>
            <w:shd w:val="clear" w:color="auto" w:fill="auto"/>
          </w:tcPr>
          <w:p w14:paraId="181D38E5" w14:textId="1FC1287D"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(2012)</w:t>
            </w:r>
          </w:p>
        </w:tc>
      </w:tr>
      <w:tr w:rsidR="00561AFA" w:rsidRPr="00F94663" w14:paraId="7EE02D68"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vMerge/>
            <w:tcBorders>
              <w:bottom w:val="nil"/>
            </w:tcBorders>
            <w:shd w:val="clear" w:color="auto" w:fill="auto"/>
          </w:tcPr>
          <w:p w14:paraId="44105D2E" w14:textId="570424B5" w:rsidR="00561AFA" w:rsidRPr="001E57F2" w:rsidRDefault="00561AFA" w:rsidP="00F95492">
            <w:pPr>
              <w:pStyle w:val="TableText"/>
              <w:jc w:val="left"/>
              <w:rPr>
                <w:rFonts w:cs="Calibri"/>
              </w:rPr>
            </w:pPr>
          </w:p>
        </w:tc>
        <w:tc>
          <w:tcPr>
            <w:tcW w:w="1700" w:type="dxa"/>
            <w:vMerge/>
            <w:tcBorders>
              <w:bottom w:val="nil"/>
            </w:tcBorders>
            <w:shd w:val="clear" w:color="auto" w:fill="auto"/>
          </w:tcPr>
          <w:p w14:paraId="42D3877A" w14:textId="01C2B412" w:rsidR="00561AFA" w:rsidRPr="00F95492" w:rsidRDefault="00561AFA" w:rsidP="00FE50CF">
            <w:pPr>
              <w:pStyle w:val="TableText"/>
              <w:jc w:val="left"/>
              <w:rPr>
                <w:rFonts w:cs="Calibri"/>
              </w:rPr>
            </w:pPr>
          </w:p>
        </w:tc>
        <w:tc>
          <w:tcPr>
            <w:tcW w:w="1382" w:type="dxa"/>
            <w:tcBorders>
              <w:bottom w:val="nil"/>
            </w:tcBorders>
            <w:shd w:val="clear" w:color="auto" w:fill="auto"/>
          </w:tcPr>
          <w:p w14:paraId="48011E06" w14:textId="77777777" w:rsidR="00561AFA" w:rsidRPr="001E57F2" w:rsidRDefault="00561AFA" w:rsidP="00F95492">
            <w:pPr>
              <w:pStyle w:val="TableText"/>
              <w:jc w:val="left"/>
              <w:rPr>
                <w:rFonts w:cs="Calibri"/>
              </w:rPr>
            </w:pPr>
            <w:r w:rsidRPr="001E57F2">
              <w:t>Exponential growth phase</w:t>
            </w:r>
          </w:p>
        </w:tc>
        <w:tc>
          <w:tcPr>
            <w:tcW w:w="1008" w:type="dxa"/>
            <w:tcBorders>
              <w:bottom w:val="nil"/>
            </w:tcBorders>
            <w:shd w:val="clear" w:color="auto" w:fill="auto"/>
          </w:tcPr>
          <w:p w14:paraId="6DE9A9B0" w14:textId="77777777" w:rsidR="00561AFA" w:rsidRPr="001E57F2" w:rsidRDefault="00561AFA" w:rsidP="00F95492">
            <w:pPr>
              <w:pStyle w:val="TableText"/>
              <w:jc w:val="left"/>
              <w:rPr>
                <w:rFonts w:cs="Calibri"/>
              </w:rPr>
            </w:pPr>
            <w:r w:rsidRPr="001E57F2">
              <w:t>4</w:t>
            </w:r>
          </w:p>
        </w:tc>
        <w:tc>
          <w:tcPr>
            <w:tcW w:w="1864" w:type="dxa"/>
            <w:tcBorders>
              <w:bottom w:val="nil"/>
            </w:tcBorders>
            <w:shd w:val="clear" w:color="auto" w:fill="auto"/>
          </w:tcPr>
          <w:p w14:paraId="340EDC85" w14:textId="77777777" w:rsidR="00561AFA" w:rsidRPr="001E57F2" w:rsidRDefault="00561AFA" w:rsidP="00F95492">
            <w:pPr>
              <w:pStyle w:val="TableText"/>
              <w:jc w:val="left"/>
            </w:pPr>
            <w:r w:rsidRPr="001E57F2">
              <w:t xml:space="preserve">EC10 </w:t>
            </w:r>
          </w:p>
          <w:p w14:paraId="392E9B81" w14:textId="1DEF71C9" w:rsidR="00561AFA" w:rsidRPr="001E57F2" w:rsidRDefault="00561AFA" w:rsidP="00B60283">
            <w:pPr>
              <w:pStyle w:val="TableText"/>
              <w:jc w:val="left"/>
              <w:rPr>
                <w:rFonts w:cs="Calibri"/>
              </w:rPr>
            </w:pPr>
            <w:r w:rsidRPr="001E57F2">
              <w:t>(Chlorophyll</w:t>
            </w:r>
            <w:r>
              <w:t>-</w:t>
            </w:r>
            <w:r w:rsidRPr="00B60283">
              <w:t>a</w:t>
            </w:r>
            <w:r w:rsidRPr="001E57F2">
              <w:t xml:space="preserve"> content)</w:t>
            </w:r>
          </w:p>
        </w:tc>
        <w:tc>
          <w:tcPr>
            <w:tcW w:w="1734" w:type="dxa"/>
            <w:tcBorders>
              <w:bottom w:val="nil"/>
            </w:tcBorders>
            <w:shd w:val="clear" w:color="auto" w:fill="auto"/>
          </w:tcPr>
          <w:p w14:paraId="4C107EC0" w14:textId="13334A44" w:rsidR="00561AFA" w:rsidRPr="001E57F2" w:rsidRDefault="00561AFA" w:rsidP="002326A9">
            <w:pPr>
              <w:pStyle w:val="TableText"/>
              <w:jc w:val="left"/>
              <w:rPr>
                <w:rFonts w:cs="Calibri"/>
              </w:rPr>
            </w:pPr>
            <w:r w:rsidRPr="001E57F2">
              <w:t>DV medi</w:t>
            </w:r>
            <w:r>
              <w:t>um</w:t>
            </w:r>
          </w:p>
        </w:tc>
        <w:tc>
          <w:tcPr>
            <w:tcW w:w="1296" w:type="dxa"/>
            <w:tcBorders>
              <w:bottom w:val="nil"/>
            </w:tcBorders>
            <w:shd w:val="clear" w:color="auto" w:fill="auto"/>
          </w:tcPr>
          <w:p w14:paraId="2FDB7241" w14:textId="77777777" w:rsidR="00561AFA" w:rsidRPr="001E57F2" w:rsidRDefault="00561AFA" w:rsidP="00F95492">
            <w:pPr>
              <w:pStyle w:val="TableText"/>
              <w:jc w:val="left"/>
              <w:rPr>
                <w:rFonts w:cs="Calibri"/>
              </w:rPr>
            </w:pPr>
            <w:r w:rsidRPr="001E57F2">
              <w:t>21 ± 2</w:t>
            </w:r>
          </w:p>
        </w:tc>
        <w:tc>
          <w:tcPr>
            <w:tcW w:w="1151" w:type="dxa"/>
            <w:tcBorders>
              <w:bottom w:val="nil"/>
            </w:tcBorders>
            <w:shd w:val="clear" w:color="auto" w:fill="auto"/>
          </w:tcPr>
          <w:p w14:paraId="10BAEDAD"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6E3CB2F4" w14:textId="5E15C275" w:rsidR="00561AFA" w:rsidRPr="001E57F2" w:rsidRDefault="00561AFA" w:rsidP="00A250FE">
            <w:pPr>
              <w:pStyle w:val="TableText"/>
              <w:jc w:val="left"/>
              <w:rPr>
                <w:rFonts w:cs="Calibri"/>
              </w:rPr>
            </w:pPr>
            <w:r w:rsidRPr="001E57F2">
              <w:t>2</w:t>
            </w:r>
            <w:r>
              <w:t> </w:t>
            </w:r>
            <w:r w:rsidRPr="001E57F2">
              <w:t>542</w:t>
            </w:r>
          </w:p>
        </w:tc>
        <w:tc>
          <w:tcPr>
            <w:tcW w:w="1214" w:type="dxa"/>
            <w:tcBorders>
              <w:bottom w:val="nil"/>
            </w:tcBorders>
            <w:shd w:val="clear" w:color="auto" w:fill="auto"/>
          </w:tcPr>
          <w:p w14:paraId="29AA21D2" w14:textId="77777777" w:rsidR="00561AFA" w:rsidRPr="00F95492" w:rsidRDefault="00561AFA" w:rsidP="00F95492">
            <w:pPr>
              <w:pStyle w:val="TableText"/>
              <w:jc w:val="left"/>
              <w:rPr>
                <w:rFonts w:cs="Calibri"/>
              </w:rPr>
            </w:pPr>
            <w:proofErr w:type="spellStart"/>
            <w:r w:rsidRPr="00F95492">
              <w:t>Larras</w:t>
            </w:r>
            <w:proofErr w:type="spellEnd"/>
            <w:r w:rsidRPr="00F95492">
              <w:t xml:space="preserve"> et al (2013)</w:t>
            </w:r>
          </w:p>
        </w:tc>
      </w:tr>
      <w:tr w:rsidR="00F95492" w:rsidRPr="00F94663" w14:paraId="14978133" w14:textId="77777777" w:rsidTr="00561AFA">
        <w:trPr>
          <w:cantSplit/>
        </w:trPr>
        <w:tc>
          <w:tcPr>
            <w:tcW w:w="11660" w:type="dxa"/>
            <w:gridSpan w:val="8"/>
            <w:tcBorders>
              <w:top w:val="nil"/>
            </w:tcBorders>
            <w:shd w:val="clear" w:color="auto" w:fill="auto"/>
          </w:tcPr>
          <w:p w14:paraId="61D7DF1F" w14:textId="6EE3D621"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319787A6" w14:textId="44D35BF4" w:rsidR="00F95492" w:rsidRPr="001E57F2" w:rsidRDefault="00F95492" w:rsidP="00A250FE">
            <w:pPr>
              <w:pStyle w:val="TableText"/>
              <w:jc w:val="left"/>
              <w:rPr>
                <w:rFonts w:cs="Calibri"/>
              </w:rPr>
            </w:pPr>
            <w:r w:rsidRPr="001E57F2">
              <w:rPr>
                <w:b/>
              </w:rPr>
              <w:t>1</w:t>
            </w:r>
            <w:r w:rsidR="00A250FE">
              <w:rPr>
                <w:b/>
              </w:rPr>
              <w:t> </w:t>
            </w:r>
            <w:r w:rsidRPr="001E57F2">
              <w:rPr>
                <w:b/>
              </w:rPr>
              <w:t>048</w:t>
            </w:r>
          </w:p>
        </w:tc>
        <w:tc>
          <w:tcPr>
            <w:tcW w:w="1214" w:type="dxa"/>
            <w:tcBorders>
              <w:top w:val="nil"/>
            </w:tcBorders>
            <w:shd w:val="clear" w:color="auto" w:fill="auto"/>
          </w:tcPr>
          <w:p w14:paraId="1D3BA78D" w14:textId="3A61577A" w:rsidR="00F95492" w:rsidRPr="00F95492" w:rsidRDefault="00F95492" w:rsidP="00F95492">
            <w:pPr>
              <w:pStyle w:val="TableText"/>
              <w:jc w:val="left"/>
              <w:rPr>
                <w:rFonts w:cs="Calibri"/>
              </w:rPr>
            </w:pPr>
            <w:r w:rsidRPr="00F95492">
              <w:rPr>
                <w:b/>
              </w:rPr>
              <w:t>VALUE USED IN SSD</w:t>
            </w:r>
            <w:r w:rsidR="00B94F1F">
              <w:rPr>
                <w:b/>
              </w:rPr>
              <w:t xml:space="preserve"> (GEOMETRIC MEAN)</w:t>
            </w:r>
          </w:p>
        </w:tc>
      </w:tr>
      <w:tr w:rsidR="00561AFA" w:rsidRPr="00F94663" w14:paraId="73205544"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3D1C3D3B" w14:textId="70DC3CFE" w:rsidR="00561AFA" w:rsidRPr="001E57F2" w:rsidRDefault="00561AFA" w:rsidP="00F95492">
            <w:pPr>
              <w:pStyle w:val="TableText"/>
              <w:jc w:val="left"/>
              <w:rPr>
                <w:rFonts w:cs="Calibri"/>
              </w:rPr>
            </w:pPr>
            <w:r>
              <w:t>Diatom (</w:t>
            </w:r>
            <w:r w:rsidRPr="001E57F2">
              <w:t>Bacillariophyta</w:t>
            </w:r>
            <w:r>
              <w:t>)</w:t>
            </w:r>
          </w:p>
        </w:tc>
        <w:tc>
          <w:tcPr>
            <w:tcW w:w="1700" w:type="dxa"/>
            <w:tcBorders>
              <w:bottom w:val="nil"/>
            </w:tcBorders>
            <w:shd w:val="clear" w:color="auto" w:fill="auto"/>
          </w:tcPr>
          <w:p w14:paraId="7F65D626" w14:textId="03F1CC5D" w:rsidR="00561AFA" w:rsidRPr="00F95492" w:rsidRDefault="00561AFA" w:rsidP="00FE50CF">
            <w:pPr>
              <w:pStyle w:val="TableText"/>
              <w:jc w:val="left"/>
              <w:rPr>
                <w:rFonts w:cs="Calibri"/>
              </w:rPr>
            </w:pPr>
            <w:r w:rsidRPr="00BD5464">
              <w:rPr>
                <w:rStyle w:val="Emphasis"/>
              </w:rPr>
              <w:t xml:space="preserve">Fragilaria </w:t>
            </w:r>
            <w:proofErr w:type="spellStart"/>
            <w:r w:rsidRPr="00BD5464">
              <w:rPr>
                <w:rStyle w:val="Emphasis"/>
              </w:rPr>
              <w:t>capucina</w:t>
            </w:r>
            <w:proofErr w:type="spellEnd"/>
            <w:r w:rsidRPr="00F95492">
              <w:t xml:space="preserve"> var </w:t>
            </w:r>
            <w:proofErr w:type="spellStart"/>
            <w:r w:rsidRPr="00BD5464">
              <w:rPr>
                <w:rStyle w:val="Emphasis"/>
              </w:rPr>
              <w:t>vaucheriae</w:t>
            </w:r>
            <w:proofErr w:type="spellEnd"/>
          </w:p>
        </w:tc>
        <w:tc>
          <w:tcPr>
            <w:tcW w:w="1382" w:type="dxa"/>
            <w:tcBorders>
              <w:bottom w:val="nil"/>
            </w:tcBorders>
            <w:shd w:val="clear" w:color="auto" w:fill="auto"/>
          </w:tcPr>
          <w:p w14:paraId="00D56838" w14:textId="77777777" w:rsidR="00561AFA" w:rsidRPr="001E57F2" w:rsidRDefault="00561AFA" w:rsidP="00F95492">
            <w:pPr>
              <w:pStyle w:val="TableText"/>
              <w:jc w:val="left"/>
              <w:rPr>
                <w:rFonts w:cs="Calibri"/>
              </w:rPr>
            </w:pPr>
            <w:r w:rsidRPr="001E57F2">
              <w:t>Not stated</w:t>
            </w:r>
          </w:p>
        </w:tc>
        <w:tc>
          <w:tcPr>
            <w:tcW w:w="1008" w:type="dxa"/>
            <w:tcBorders>
              <w:bottom w:val="nil"/>
            </w:tcBorders>
            <w:shd w:val="clear" w:color="auto" w:fill="auto"/>
          </w:tcPr>
          <w:p w14:paraId="160BDBED" w14:textId="77777777" w:rsidR="00561AFA" w:rsidRPr="001E57F2" w:rsidRDefault="00561AFA" w:rsidP="00F95492">
            <w:pPr>
              <w:pStyle w:val="TableText"/>
              <w:jc w:val="left"/>
              <w:rPr>
                <w:rFonts w:cs="Calibri"/>
              </w:rPr>
            </w:pPr>
            <w:r w:rsidRPr="001E57F2">
              <w:t>4</w:t>
            </w:r>
          </w:p>
        </w:tc>
        <w:tc>
          <w:tcPr>
            <w:tcW w:w="1864" w:type="dxa"/>
            <w:tcBorders>
              <w:bottom w:val="nil"/>
            </w:tcBorders>
            <w:shd w:val="clear" w:color="auto" w:fill="auto"/>
          </w:tcPr>
          <w:p w14:paraId="1AC5DBF2" w14:textId="77777777" w:rsidR="00561AFA" w:rsidRPr="001E57F2" w:rsidRDefault="00561AFA" w:rsidP="00F95492">
            <w:pPr>
              <w:pStyle w:val="TableText"/>
              <w:jc w:val="left"/>
            </w:pPr>
            <w:r w:rsidRPr="001E57F2">
              <w:t xml:space="preserve">EC10 </w:t>
            </w:r>
          </w:p>
          <w:p w14:paraId="33939C58" w14:textId="1BC4012F" w:rsidR="00561AFA" w:rsidRPr="001E57F2" w:rsidRDefault="00561AFA" w:rsidP="00B60283">
            <w:pPr>
              <w:pStyle w:val="TableText"/>
              <w:jc w:val="left"/>
              <w:rPr>
                <w:rFonts w:cs="Calibri"/>
              </w:rPr>
            </w:pPr>
            <w:r w:rsidRPr="001E57F2">
              <w:t>(Chlorophyll</w:t>
            </w:r>
            <w:r>
              <w:t>-</w:t>
            </w:r>
            <w:r w:rsidRPr="00B60283">
              <w:t>a</w:t>
            </w:r>
            <w:r w:rsidRPr="001E57F2">
              <w:t xml:space="preserve"> content)</w:t>
            </w:r>
          </w:p>
        </w:tc>
        <w:tc>
          <w:tcPr>
            <w:tcW w:w="1734" w:type="dxa"/>
            <w:tcBorders>
              <w:bottom w:val="nil"/>
            </w:tcBorders>
            <w:shd w:val="clear" w:color="auto" w:fill="auto"/>
          </w:tcPr>
          <w:p w14:paraId="40E1B61C" w14:textId="36D743CA" w:rsidR="00561AFA" w:rsidRPr="001E57F2" w:rsidRDefault="00561AFA" w:rsidP="002326A9">
            <w:pPr>
              <w:pStyle w:val="TableText"/>
              <w:jc w:val="left"/>
              <w:rPr>
                <w:rFonts w:cs="Calibri"/>
              </w:rPr>
            </w:pPr>
            <w:r w:rsidRPr="001E57F2">
              <w:t>DV medi</w:t>
            </w:r>
            <w:r>
              <w:t>um</w:t>
            </w:r>
          </w:p>
        </w:tc>
        <w:tc>
          <w:tcPr>
            <w:tcW w:w="1296" w:type="dxa"/>
            <w:tcBorders>
              <w:bottom w:val="nil"/>
            </w:tcBorders>
            <w:shd w:val="clear" w:color="auto" w:fill="auto"/>
          </w:tcPr>
          <w:p w14:paraId="2E14175B" w14:textId="77777777" w:rsidR="00561AFA" w:rsidRPr="001E57F2" w:rsidRDefault="00561AFA" w:rsidP="00F95492">
            <w:pPr>
              <w:pStyle w:val="TableText"/>
              <w:jc w:val="left"/>
              <w:rPr>
                <w:rFonts w:cs="Calibri"/>
              </w:rPr>
            </w:pPr>
            <w:r w:rsidRPr="001E57F2">
              <w:t>21 ± 2</w:t>
            </w:r>
          </w:p>
        </w:tc>
        <w:tc>
          <w:tcPr>
            <w:tcW w:w="1151" w:type="dxa"/>
            <w:tcBorders>
              <w:bottom w:val="nil"/>
            </w:tcBorders>
            <w:shd w:val="clear" w:color="auto" w:fill="auto"/>
          </w:tcPr>
          <w:p w14:paraId="53D0C6F7"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0B6DC175" w14:textId="77777777" w:rsidR="00561AFA" w:rsidRPr="001E57F2" w:rsidRDefault="00561AFA" w:rsidP="00F95492">
            <w:pPr>
              <w:pStyle w:val="TableText"/>
              <w:jc w:val="left"/>
              <w:rPr>
                <w:rFonts w:cs="Calibri"/>
              </w:rPr>
            </w:pPr>
            <w:r w:rsidRPr="001E57F2">
              <w:t>90</w:t>
            </w:r>
          </w:p>
        </w:tc>
        <w:tc>
          <w:tcPr>
            <w:tcW w:w="1214" w:type="dxa"/>
            <w:tcBorders>
              <w:bottom w:val="nil"/>
            </w:tcBorders>
            <w:shd w:val="clear" w:color="auto" w:fill="auto"/>
          </w:tcPr>
          <w:p w14:paraId="0CA3632C" w14:textId="56EB4775"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(2013)</w:t>
            </w:r>
          </w:p>
        </w:tc>
      </w:tr>
      <w:tr w:rsidR="00F95492" w:rsidRPr="00F94663" w14:paraId="26AD2812" w14:textId="77777777" w:rsidTr="00561AFA">
        <w:trPr>
          <w:cantSplit/>
        </w:trPr>
        <w:tc>
          <w:tcPr>
            <w:tcW w:w="11660" w:type="dxa"/>
            <w:gridSpan w:val="8"/>
            <w:tcBorders>
              <w:top w:val="nil"/>
            </w:tcBorders>
            <w:shd w:val="clear" w:color="auto" w:fill="auto"/>
          </w:tcPr>
          <w:p w14:paraId="0E248709" w14:textId="697A132A"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2A5D0EAE" w14:textId="77777777" w:rsidR="00F95492" w:rsidRPr="001E57F2" w:rsidRDefault="00F95492" w:rsidP="00F95492">
            <w:pPr>
              <w:pStyle w:val="TableText"/>
              <w:jc w:val="left"/>
              <w:rPr>
                <w:rFonts w:cs="Calibri"/>
              </w:rPr>
            </w:pPr>
            <w:r w:rsidRPr="001E57F2">
              <w:rPr>
                <w:b/>
              </w:rPr>
              <w:t>90</w:t>
            </w:r>
          </w:p>
        </w:tc>
        <w:tc>
          <w:tcPr>
            <w:tcW w:w="1214" w:type="dxa"/>
            <w:tcBorders>
              <w:top w:val="nil"/>
            </w:tcBorders>
            <w:shd w:val="clear" w:color="auto" w:fill="auto"/>
          </w:tcPr>
          <w:p w14:paraId="4F08FBB5" w14:textId="77777777" w:rsidR="00F95492" w:rsidRPr="00F95492" w:rsidRDefault="00F95492" w:rsidP="00F95492">
            <w:pPr>
              <w:pStyle w:val="TableText"/>
              <w:jc w:val="left"/>
              <w:rPr>
                <w:rFonts w:cs="Calibri"/>
              </w:rPr>
            </w:pPr>
            <w:r w:rsidRPr="00F95492">
              <w:rPr>
                <w:b/>
              </w:rPr>
              <w:t>VALUE USED IN SSD</w:t>
            </w:r>
          </w:p>
        </w:tc>
      </w:tr>
      <w:tr w:rsidR="00561AFA" w:rsidRPr="00F94663" w14:paraId="0774CFBD"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483CBEFC" w14:textId="42FF37ED" w:rsidR="00561AFA" w:rsidRPr="001E57F2" w:rsidRDefault="00561AFA" w:rsidP="00561AFA">
            <w:pPr>
              <w:pStyle w:val="TableText"/>
              <w:jc w:val="left"/>
              <w:rPr>
                <w:rFonts w:cs="Calibri"/>
              </w:rPr>
            </w:pPr>
            <w:r>
              <w:t>Diatom (</w:t>
            </w:r>
            <w:r w:rsidRPr="001E57F2">
              <w:t>Bacillariophyta</w:t>
            </w:r>
            <w:r>
              <w:t>)</w:t>
            </w:r>
          </w:p>
        </w:tc>
        <w:tc>
          <w:tcPr>
            <w:tcW w:w="1700" w:type="dxa"/>
            <w:tcBorders>
              <w:bottom w:val="nil"/>
            </w:tcBorders>
            <w:shd w:val="clear" w:color="auto" w:fill="auto"/>
          </w:tcPr>
          <w:p w14:paraId="5D779526" w14:textId="3AC1241D" w:rsidR="00561AFA" w:rsidRPr="00F95492" w:rsidRDefault="00561AFA" w:rsidP="00561AFA">
            <w:pPr>
              <w:pStyle w:val="TableText"/>
              <w:jc w:val="left"/>
              <w:rPr>
                <w:rFonts w:cs="Calibri"/>
              </w:rPr>
            </w:pPr>
            <w:proofErr w:type="spellStart"/>
            <w:r w:rsidRPr="00BD5464">
              <w:rPr>
                <w:rStyle w:val="Emphasis"/>
              </w:rPr>
              <w:t>Gomphonema</w:t>
            </w:r>
            <w:proofErr w:type="spellEnd"/>
            <w:r w:rsidRPr="00BD5464">
              <w:rPr>
                <w:rStyle w:val="Emphasis"/>
              </w:rPr>
              <w:t xml:space="preserve"> gracile</w:t>
            </w:r>
          </w:p>
        </w:tc>
        <w:tc>
          <w:tcPr>
            <w:tcW w:w="1382" w:type="dxa"/>
            <w:tcBorders>
              <w:bottom w:val="nil"/>
            </w:tcBorders>
            <w:shd w:val="clear" w:color="auto" w:fill="auto"/>
          </w:tcPr>
          <w:p w14:paraId="4FA1B735" w14:textId="77777777" w:rsidR="00561AFA" w:rsidRPr="001E57F2" w:rsidRDefault="00561AFA" w:rsidP="00561AFA">
            <w:pPr>
              <w:pStyle w:val="TableText"/>
              <w:jc w:val="left"/>
              <w:rPr>
                <w:rFonts w:cs="Calibri"/>
              </w:rPr>
            </w:pPr>
            <w:r w:rsidRPr="001E57F2">
              <w:t>Exponential growth phase</w:t>
            </w:r>
          </w:p>
        </w:tc>
        <w:tc>
          <w:tcPr>
            <w:tcW w:w="1008" w:type="dxa"/>
            <w:tcBorders>
              <w:bottom w:val="nil"/>
            </w:tcBorders>
            <w:shd w:val="clear" w:color="auto" w:fill="auto"/>
          </w:tcPr>
          <w:p w14:paraId="09FE5562" w14:textId="77777777" w:rsidR="00561AFA" w:rsidRPr="001E57F2" w:rsidRDefault="00561AFA" w:rsidP="00561AFA">
            <w:pPr>
              <w:pStyle w:val="TableText"/>
              <w:jc w:val="left"/>
              <w:rPr>
                <w:rFonts w:cs="Calibri"/>
              </w:rPr>
            </w:pPr>
            <w:r w:rsidRPr="001E57F2">
              <w:t>7</w:t>
            </w:r>
          </w:p>
        </w:tc>
        <w:tc>
          <w:tcPr>
            <w:tcW w:w="1864" w:type="dxa"/>
            <w:tcBorders>
              <w:bottom w:val="nil"/>
            </w:tcBorders>
            <w:shd w:val="clear" w:color="auto" w:fill="auto"/>
          </w:tcPr>
          <w:p w14:paraId="0C3DAF6B" w14:textId="77777777" w:rsidR="00561AFA" w:rsidRPr="001E57F2" w:rsidRDefault="00561AFA" w:rsidP="00561AFA">
            <w:pPr>
              <w:pStyle w:val="TableText"/>
              <w:jc w:val="left"/>
            </w:pPr>
            <w:r w:rsidRPr="001E57F2">
              <w:t xml:space="preserve">NOEC </w:t>
            </w:r>
          </w:p>
          <w:p w14:paraId="357F4382" w14:textId="77777777" w:rsidR="00561AFA" w:rsidRPr="001E57F2" w:rsidRDefault="00561AFA" w:rsidP="00561AFA">
            <w:pPr>
              <w:pStyle w:val="TableText"/>
              <w:jc w:val="left"/>
              <w:rPr>
                <w:rFonts w:cs="Calibri"/>
              </w:rPr>
            </w:pPr>
            <w:r w:rsidRPr="001E57F2">
              <w:t>(Live cell density)</w:t>
            </w:r>
          </w:p>
        </w:tc>
        <w:tc>
          <w:tcPr>
            <w:tcW w:w="1734" w:type="dxa"/>
            <w:tcBorders>
              <w:bottom w:val="nil"/>
            </w:tcBorders>
            <w:shd w:val="clear" w:color="auto" w:fill="auto"/>
          </w:tcPr>
          <w:p w14:paraId="6E4DAF6F" w14:textId="77777777" w:rsidR="00561AFA" w:rsidRPr="001E57F2" w:rsidRDefault="00561AFA" w:rsidP="00561AFA">
            <w:pPr>
              <w:pStyle w:val="TableText"/>
              <w:jc w:val="left"/>
              <w:rPr>
                <w:rFonts w:cs="Calibri"/>
              </w:rPr>
            </w:pPr>
            <w:proofErr w:type="spellStart"/>
            <w:r w:rsidRPr="001E57F2">
              <w:t>Dauta</w:t>
            </w:r>
            <w:proofErr w:type="spellEnd"/>
            <w:r w:rsidRPr="001E57F2">
              <w:t xml:space="preserve"> medium</w:t>
            </w:r>
          </w:p>
        </w:tc>
        <w:tc>
          <w:tcPr>
            <w:tcW w:w="1296" w:type="dxa"/>
            <w:tcBorders>
              <w:bottom w:val="nil"/>
            </w:tcBorders>
            <w:shd w:val="clear" w:color="auto" w:fill="auto"/>
          </w:tcPr>
          <w:p w14:paraId="35503407" w14:textId="77777777" w:rsidR="00561AFA" w:rsidRPr="001E57F2" w:rsidRDefault="00561AFA" w:rsidP="00561AFA">
            <w:pPr>
              <w:pStyle w:val="TableText"/>
              <w:jc w:val="left"/>
              <w:rPr>
                <w:rFonts w:cs="Calibri"/>
              </w:rPr>
            </w:pPr>
            <w:r w:rsidRPr="001E57F2">
              <w:t>20</w:t>
            </w:r>
          </w:p>
        </w:tc>
        <w:tc>
          <w:tcPr>
            <w:tcW w:w="1151" w:type="dxa"/>
            <w:tcBorders>
              <w:bottom w:val="nil"/>
            </w:tcBorders>
            <w:shd w:val="clear" w:color="auto" w:fill="auto"/>
          </w:tcPr>
          <w:p w14:paraId="60E8D060" w14:textId="77777777" w:rsidR="00561AFA" w:rsidRPr="001E57F2" w:rsidRDefault="00561AFA" w:rsidP="00561AFA">
            <w:pPr>
              <w:pStyle w:val="TableText"/>
              <w:jc w:val="left"/>
              <w:rPr>
                <w:rFonts w:cs="Calibri"/>
              </w:rPr>
            </w:pPr>
            <w:r w:rsidRPr="001E57F2">
              <w:t>Not stated</w:t>
            </w:r>
          </w:p>
        </w:tc>
        <w:tc>
          <w:tcPr>
            <w:tcW w:w="1344" w:type="dxa"/>
            <w:tcBorders>
              <w:bottom w:val="nil"/>
            </w:tcBorders>
            <w:shd w:val="clear" w:color="auto" w:fill="auto"/>
          </w:tcPr>
          <w:p w14:paraId="5E8ED8ED" w14:textId="77777777" w:rsidR="00561AFA" w:rsidRPr="001E57F2" w:rsidRDefault="00561AFA" w:rsidP="00561AFA">
            <w:pPr>
              <w:pStyle w:val="TableText"/>
              <w:jc w:val="left"/>
              <w:rPr>
                <w:rFonts w:cs="Calibri"/>
              </w:rPr>
            </w:pPr>
            <w:r w:rsidRPr="001E57F2">
              <w:t>1</w:t>
            </w:r>
          </w:p>
        </w:tc>
        <w:tc>
          <w:tcPr>
            <w:tcW w:w="1214" w:type="dxa"/>
            <w:tcBorders>
              <w:bottom w:val="nil"/>
            </w:tcBorders>
            <w:shd w:val="clear" w:color="auto" w:fill="auto"/>
          </w:tcPr>
          <w:p w14:paraId="2924E513" w14:textId="0C16098F" w:rsidR="00561AFA" w:rsidRPr="00F95492" w:rsidRDefault="00561AFA" w:rsidP="00561AFA">
            <w:pPr>
              <w:pStyle w:val="TableText"/>
              <w:jc w:val="left"/>
              <w:rPr>
                <w:rFonts w:cs="Calibri"/>
              </w:rPr>
            </w:pPr>
            <w:proofErr w:type="spellStart"/>
            <w:r w:rsidRPr="00F95492">
              <w:t>Coquillé</w:t>
            </w:r>
            <w:proofErr w:type="spellEnd"/>
            <w:r w:rsidRPr="00F95492">
              <w:t xml:space="preserve"> et al</w:t>
            </w:r>
            <w:r>
              <w:t>.</w:t>
            </w:r>
            <w:r w:rsidRPr="00F95492">
              <w:t xml:space="preserve"> (2015)</w:t>
            </w:r>
          </w:p>
        </w:tc>
      </w:tr>
      <w:tr w:rsidR="00F95492" w:rsidRPr="00F94663" w14:paraId="50421214" w14:textId="77777777" w:rsidTr="00561AFA">
        <w:trPr>
          <w:cantSplit/>
        </w:trPr>
        <w:tc>
          <w:tcPr>
            <w:tcW w:w="11660" w:type="dxa"/>
            <w:gridSpan w:val="8"/>
            <w:tcBorders>
              <w:top w:val="nil"/>
            </w:tcBorders>
            <w:shd w:val="clear" w:color="auto" w:fill="auto"/>
          </w:tcPr>
          <w:p w14:paraId="3E0C15CB" w14:textId="71194550" w:rsidR="00F95492" w:rsidRPr="001E57F2" w:rsidRDefault="00C340EC" w:rsidP="00561AFA">
            <w:pPr>
              <w:pStyle w:val="TableText"/>
              <w:jc w:val="left"/>
              <w:rPr>
                <w:rFonts w:cs="Calibri"/>
              </w:rPr>
            </w:pPr>
            <w:r>
              <w:rPr>
                <w:rFonts w:cs="Calibri"/>
              </w:rPr>
              <w:t>–</w:t>
            </w:r>
          </w:p>
        </w:tc>
        <w:tc>
          <w:tcPr>
            <w:tcW w:w="1344" w:type="dxa"/>
            <w:tcBorders>
              <w:top w:val="nil"/>
            </w:tcBorders>
            <w:shd w:val="clear" w:color="auto" w:fill="auto"/>
          </w:tcPr>
          <w:p w14:paraId="70ACE2E9" w14:textId="77777777" w:rsidR="00F95492" w:rsidRPr="001E57F2" w:rsidRDefault="00F95492" w:rsidP="00561AFA">
            <w:pPr>
              <w:pStyle w:val="TableText"/>
              <w:jc w:val="left"/>
              <w:rPr>
                <w:rFonts w:cs="Calibri"/>
              </w:rPr>
            </w:pPr>
            <w:r w:rsidRPr="001E57F2">
              <w:rPr>
                <w:b/>
              </w:rPr>
              <w:t>1</w:t>
            </w:r>
          </w:p>
        </w:tc>
        <w:tc>
          <w:tcPr>
            <w:tcW w:w="1214" w:type="dxa"/>
            <w:tcBorders>
              <w:top w:val="nil"/>
            </w:tcBorders>
            <w:shd w:val="clear" w:color="auto" w:fill="auto"/>
          </w:tcPr>
          <w:p w14:paraId="338A0081" w14:textId="77777777" w:rsidR="00F95492" w:rsidRPr="00F95492" w:rsidRDefault="00F95492" w:rsidP="00561AFA">
            <w:pPr>
              <w:pStyle w:val="TableText"/>
              <w:jc w:val="left"/>
              <w:rPr>
                <w:rFonts w:cs="Calibri"/>
              </w:rPr>
            </w:pPr>
            <w:r w:rsidRPr="00F95492">
              <w:rPr>
                <w:b/>
              </w:rPr>
              <w:t>VALUE USED IN SSD</w:t>
            </w:r>
          </w:p>
        </w:tc>
      </w:tr>
      <w:tr w:rsidR="00561AFA" w:rsidRPr="00F94663" w14:paraId="22080CCD"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vMerge w:val="restart"/>
            <w:shd w:val="clear" w:color="auto" w:fill="auto"/>
          </w:tcPr>
          <w:p w14:paraId="058019F9" w14:textId="0D1ABABA" w:rsidR="00561AFA" w:rsidRPr="001E57F2" w:rsidRDefault="00561AFA" w:rsidP="00A5357B">
            <w:pPr>
              <w:pStyle w:val="TableText"/>
              <w:jc w:val="left"/>
              <w:rPr>
                <w:rFonts w:cs="Calibri"/>
              </w:rPr>
            </w:pPr>
            <w:r>
              <w:lastRenderedPageBreak/>
              <w:t>Diatom (</w:t>
            </w:r>
            <w:r w:rsidRPr="001E57F2">
              <w:t>Bacillariophyta</w:t>
            </w:r>
            <w:r>
              <w:t>)</w:t>
            </w:r>
          </w:p>
        </w:tc>
        <w:tc>
          <w:tcPr>
            <w:tcW w:w="1700" w:type="dxa"/>
            <w:vMerge w:val="restart"/>
            <w:shd w:val="clear" w:color="auto" w:fill="auto"/>
          </w:tcPr>
          <w:p w14:paraId="1E7117A9" w14:textId="3D269B25" w:rsidR="00561AFA" w:rsidRPr="00F95492" w:rsidRDefault="00561AFA" w:rsidP="00A5357B">
            <w:pPr>
              <w:pStyle w:val="TableText"/>
              <w:jc w:val="left"/>
              <w:rPr>
                <w:rFonts w:cs="Calibri"/>
              </w:rPr>
            </w:pPr>
            <w:proofErr w:type="spellStart"/>
            <w:r w:rsidRPr="00BD5464">
              <w:rPr>
                <w:rStyle w:val="Emphasis"/>
              </w:rPr>
              <w:t>Gomphonema</w:t>
            </w:r>
            <w:proofErr w:type="spellEnd"/>
            <w:r w:rsidRPr="00BD5464">
              <w:rPr>
                <w:rStyle w:val="Emphasis"/>
              </w:rPr>
              <w:t xml:space="preserve"> </w:t>
            </w:r>
            <w:proofErr w:type="spellStart"/>
            <w:r w:rsidRPr="00BD5464">
              <w:rPr>
                <w:rStyle w:val="Emphasis"/>
              </w:rPr>
              <w:t>parvulum</w:t>
            </w:r>
            <w:proofErr w:type="spellEnd"/>
          </w:p>
        </w:tc>
        <w:tc>
          <w:tcPr>
            <w:tcW w:w="1382" w:type="dxa"/>
            <w:shd w:val="clear" w:color="auto" w:fill="auto"/>
          </w:tcPr>
          <w:p w14:paraId="73A57CB1" w14:textId="77777777" w:rsidR="00561AFA" w:rsidRPr="001E57F2" w:rsidRDefault="00561AFA" w:rsidP="00F95492">
            <w:pPr>
              <w:pStyle w:val="TableText"/>
              <w:jc w:val="left"/>
              <w:rPr>
                <w:rFonts w:cs="Calibri"/>
              </w:rPr>
            </w:pPr>
            <w:r w:rsidRPr="001E57F2">
              <w:t>Exponential growth phase</w:t>
            </w:r>
          </w:p>
        </w:tc>
        <w:tc>
          <w:tcPr>
            <w:tcW w:w="1008" w:type="dxa"/>
            <w:shd w:val="clear" w:color="auto" w:fill="auto"/>
          </w:tcPr>
          <w:p w14:paraId="2EAD8B63" w14:textId="77777777" w:rsidR="00561AFA" w:rsidRPr="001E57F2" w:rsidRDefault="00561AFA" w:rsidP="00F95492">
            <w:pPr>
              <w:pStyle w:val="TableText"/>
              <w:jc w:val="left"/>
              <w:rPr>
                <w:rFonts w:cs="Calibri"/>
              </w:rPr>
            </w:pPr>
            <w:r w:rsidRPr="001E57F2">
              <w:t>4</w:t>
            </w:r>
          </w:p>
        </w:tc>
        <w:tc>
          <w:tcPr>
            <w:tcW w:w="1864" w:type="dxa"/>
            <w:shd w:val="clear" w:color="auto" w:fill="auto"/>
          </w:tcPr>
          <w:p w14:paraId="0863858D" w14:textId="77777777" w:rsidR="00561AFA" w:rsidRPr="001E57F2" w:rsidRDefault="00561AFA" w:rsidP="00F95492">
            <w:pPr>
              <w:pStyle w:val="TableText"/>
              <w:jc w:val="left"/>
            </w:pPr>
            <w:r w:rsidRPr="001E57F2">
              <w:t xml:space="preserve">EC10 </w:t>
            </w:r>
          </w:p>
          <w:p w14:paraId="6D071CDB" w14:textId="3BAFE370" w:rsidR="00561AFA" w:rsidRPr="001E57F2" w:rsidRDefault="00561AFA" w:rsidP="00B60283">
            <w:pPr>
              <w:pStyle w:val="TableText"/>
              <w:jc w:val="left"/>
              <w:rPr>
                <w:rFonts w:cs="Calibri"/>
              </w:rPr>
            </w:pPr>
            <w:r w:rsidRPr="001E57F2">
              <w:t>(Chlorophyll</w:t>
            </w:r>
            <w:r>
              <w:t>-</w:t>
            </w:r>
            <w:r w:rsidRPr="00B60283">
              <w:t>a</w:t>
            </w:r>
            <w:r w:rsidRPr="001E57F2">
              <w:t xml:space="preserve"> content)</w:t>
            </w:r>
          </w:p>
        </w:tc>
        <w:tc>
          <w:tcPr>
            <w:tcW w:w="1734" w:type="dxa"/>
            <w:shd w:val="clear" w:color="auto" w:fill="auto"/>
          </w:tcPr>
          <w:p w14:paraId="44EAE4F6" w14:textId="7B507E16" w:rsidR="00561AFA" w:rsidRPr="001E57F2" w:rsidRDefault="00561AFA" w:rsidP="00F95492">
            <w:pPr>
              <w:pStyle w:val="TableText"/>
              <w:jc w:val="left"/>
              <w:rPr>
                <w:rFonts w:cs="Calibri"/>
              </w:rPr>
            </w:pPr>
            <w:r w:rsidRPr="001E57F2">
              <w:t>DMSO dissolved in DV medi</w:t>
            </w:r>
            <w:r>
              <w:t>um</w:t>
            </w:r>
          </w:p>
        </w:tc>
        <w:tc>
          <w:tcPr>
            <w:tcW w:w="1296" w:type="dxa"/>
            <w:shd w:val="clear" w:color="auto" w:fill="auto"/>
          </w:tcPr>
          <w:p w14:paraId="025E7E53" w14:textId="77777777" w:rsidR="00561AFA" w:rsidRPr="001E57F2" w:rsidRDefault="00561AFA" w:rsidP="00F95492">
            <w:pPr>
              <w:pStyle w:val="TableText"/>
              <w:jc w:val="left"/>
              <w:rPr>
                <w:rFonts w:cs="Calibri"/>
              </w:rPr>
            </w:pPr>
            <w:r w:rsidRPr="001E57F2">
              <w:t>Not stated</w:t>
            </w:r>
          </w:p>
        </w:tc>
        <w:tc>
          <w:tcPr>
            <w:tcW w:w="1151" w:type="dxa"/>
            <w:shd w:val="clear" w:color="auto" w:fill="auto"/>
          </w:tcPr>
          <w:p w14:paraId="7E20D82B" w14:textId="77777777" w:rsidR="00561AFA" w:rsidRPr="001E57F2" w:rsidRDefault="00561AFA" w:rsidP="00F95492">
            <w:pPr>
              <w:pStyle w:val="TableText"/>
              <w:jc w:val="left"/>
              <w:rPr>
                <w:rFonts w:cs="Calibri"/>
              </w:rPr>
            </w:pPr>
            <w:r w:rsidRPr="001E57F2">
              <w:t>Not stated</w:t>
            </w:r>
          </w:p>
        </w:tc>
        <w:tc>
          <w:tcPr>
            <w:tcW w:w="1344" w:type="dxa"/>
            <w:shd w:val="clear" w:color="auto" w:fill="auto"/>
          </w:tcPr>
          <w:p w14:paraId="4D11D54B" w14:textId="77777777" w:rsidR="00561AFA" w:rsidRPr="001E57F2" w:rsidRDefault="00561AFA" w:rsidP="00F95492">
            <w:pPr>
              <w:pStyle w:val="TableText"/>
              <w:jc w:val="left"/>
              <w:rPr>
                <w:rFonts w:cs="Calibri"/>
              </w:rPr>
            </w:pPr>
            <w:r w:rsidRPr="001E57F2">
              <w:t>365</w:t>
            </w:r>
          </w:p>
        </w:tc>
        <w:tc>
          <w:tcPr>
            <w:tcW w:w="1214" w:type="dxa"/>
            <w:shd w:val="clear" w:color="auto" w:fill="auto"/>
          </w:tcPr>
          <w:p w14:paraId="40308FC3" w14:textId="44796646"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(2012)</w:t>
            </w:r>
          </w:p>
        </w:tc>
      </w:tr>
      <w:tr w:rsidR="00561AFA" w:rsidRPr="00F94663" w14:paraId="250C633A" w14:textId="77777777" w:rsidTr="00561AFA">
        <w:trPr>
          <w:cantSplit/>
        </w:trPr>
        <w:tc>
          <w:tcPr>
            <w:tcW w:w="1525" w:type="dxa"/>
            <w:vMerge/>
            <w:tcBorders>
              <w:bottom w:val="nil"/>
            </w:tcBorders>
            <w:shd w:val="clear" w:color="auto" w:fill="auto"/>
          </w:tcPr>
          <w:p w14:paraId="0945C41C" w14:textId="0340B06A" w:rsidR="00561AFA" w:rsidRPr="001E57F2" w:rsidRDefault="00561AFA" w:rsidP="00F95492">
            <w:pPr>
              <w:pStyle w:val="TableText"/>
              <w:jc w:val="left"/>
              <w:rPr>
                <w:rFonts w:cs="Calibri"/>
              </w:rPr>
            </w:pPr>
          </w:p>
        </w:tc>
        <w:tc>
          <w:tcPr>
            <w:tcW w:w="1700" w:type="dxa"/>
            <w:vMerge/>
            <w:tcBorders>
              <w:bottom w:val="nil"/>
            </w:tcBorders>
            <w:shd w:val="clear" w:color="auto" w:fill="auto"/>
          </w:tcPr>
          <w:p w14:paraId="54810B43" w14:textId="2B6819F0" w:rsidR="00561AFA" w:rsidRPr="00F95492" w:rsidRDefault="00561AFA" w:rsidP="00FE50CF">
            <w:pPr>
              <w:pStyle w:val="TableText"/>
              <w:jc w:val="left"/>
              <w:rPr>
                <w:rFonts w:cs="Calibri"/>
              </w:rPr>
            </w:pPr>
          </w:p>
        </w:tc>
        <w:tc>
          <w:tcPr>
            <w:tcW w:w="1382" w:type="dxa"/>
            <w:tcBorders>
              <w:bottom w:val="nil"/>
            </w:tcBorders>
            <w:shd w:val="clear" w:color="auto" w:fill="auto"/>
          </w:tcPr>
          <w:p w14:paraId="7599DFCE" w14:textId="77777777" w:rsidR="00561AFA" w:rsidRPr="001E57F2" w:rsidRDefault="00561AFA" w:rsidP="00F95492">
            <w:pPr>
              <w:pStyle w:val="TableText"/>
              <w:jc w:val="left"/>
              <w:rPr>
                <w:rFonts w:cs="Calibri"/>
              </w:rPr>
            </w:pPr>
            <w:r w:rsidRPr="001E57F2">
              <w:t>Exponential growth phase</w:t>
            </w:r>
          </w:p>
        </w:tc>
        <w:tc>
          <w:tcPr>
            <w:tcW w:w="1008" w:type="dxa"/>
            <w:tcBorders>
              <w:bottom w:val="nil"/>
            </w:tcBorders>
            <w:shd w:val="clear" w:color="auto" w:fill="auto"/>
          </w:tcPr>
          <w:p w14:paraId="2B2BD334" w14:textId="77777777" w:rsidR="00561AFA" w:rsidRPr="001E57F2" w:rsidRDefault="00561AFA" w:rsidP="00F95492">
            <w:pPr>
              <w:pStyle w:val="TableText"/>
              <w:jc w:val="left"/>
              <w:rPr>
                <w:rFonts w:cs="Calibri"/>
              </w:rPr>
            </w:pPr>
            <w:r w:rsidRPr="001E57F2">
              <w:t>4</w:t>
            </w:r>
          </w:p>
        </w:tc>
        <w:tc>
          <w:tcPr>
            <w:tcW w:w="1864" w:type="dxa"/>
            <w:tcBorders>
              <w:bottom w:val="nil"/>
            </w:tcBorders>
            <w:shd w:val="clear" w:color="auto" w:fill="auto"/>
          </w:tcPr>
          <w:p w14:paraId="2E2D623F" w14:textId="77777777" w:rsidR="00561AFA" w:rsidRPr="001E57F2" w:rsidRDefault="00561AFA" w:rsidP="00F95492">
            <w:pPr>
              <w:pStyle w:val="TableText"/>
              <w:jc w:val="left"/>
            </w:pPr>
            <w:r w:rsidRPr="001E57F2">
              <w:t xml:space="preserve">EC10 </w:t>
            </w:r>
          </w:p>
          <w:p w14:paraId="1E1ED78A" w14:textId="65B508F7" w:rsidR="00561AFA" w:rsidRPr="001E57F2" w:rsidRDefault="00561AFA" w:rsidP="00B60283">
            <w:pPr>
              <w:pStyle w:val="TableText"/>
              <w:jc w:val="left"/>
              <w:rPr>
                <w:rFonts w:cs="Calibri"/>
              </w:rPr>
            </w:pPr>
            <w:r w:rsidRPr="001E57F2">
              <w:t>(Chlorophyll</w:t>
            </w:r>
            <w:r>
              <w:t>-</w:t>
            </w:r>
            <w:r w:rsidRPr="00B60283">
              <w:t>a</w:t>
            </w:r>
            <w:r w:rsidRPr="001E57F2">
              <w:t xml:space="preserve"> content)</w:t>
            </w:r>
          </w:p>
        </w:tc>
        <w:tc>
          <w:tcPr>
            <w:tcW w:w="1734" w:type="dxa"/>
            <w:tcBorders>
              <w:bottom w:val="nil"/>
            </w:tcBorders>
            <w:shd w:val="clear" w:color="auto" w:fill="auto"/>
          </w:tcPr>
          <w:p w14:paraId="203F9C01" w14:textId="59653732" w:rsidR="00561AFA" w:rsidRPr="001E57F2" w:rsidRDefault="00561AFA" w:rsidP="002326A9">
            <w:pPr>
              <w:pStyle w:val="TableText"/>
              <w:jc w:val="left"/>
              <w:rPr>
                <w:rFonts w:cs="Calibri"/>
              </w:rPr>
            </w:pPr>
            <w:r w:rsidRPr="001E57F2">
              <w:t>DV medi</w:t>
            </w:r>
            <w:r>
              <w:t>um</w:t>
            </w:r>
          </w:p>
        </w:tc>
        <w:tc>
          <w:tcPr>
            <w:tcW w:w="1296" w:type="dxa"/>
            <w:tcBorders>
              <w:bottom w:val="nil"/>
            </w:tcBorders>
            <w:shd w:val="clear" w:color="auto" w:fill="auto"/>
          </w:tcPr>
          <w:p w14:paraId="4350A828" w14:textId="77777777" w:rsidR="00561AFA" w:rsidRPr="001E57F2" w:rsidRDefault="00561AFA" w:rsidP="00F95492">
            <w:pPr>
              <w:pStyle w:val="TableText"/>
              <w:jc w:val="left"/>
              <w:rPr>
                <w:rFonts w:cs="Calibri"/>
              </w:rPr>
            </w:pPr>
            <w:r w:rsidRPr="001E57F2">
              <w:t>21 ± 2</w:t>
            </w:r>
          </w:p>
        </w:tc>
        <w:tc>
          <w:tcPr>
            <w:tcW w:w="1151" w:type="dxa"/>
            <w:tcBorders>
              <w:bottom w:val="nil"/>
            </w:tcBorders>
            <w:shd w:val="clear" w:color="auto" w:fill="auto"/>
          </w:tcPr>
          <w:p w14:paraId="084FDF8D"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7B3FCF9A" w14:textId="4D79D821" w:rsidR="00561AFA" w:rsidRPr="001E57F2" w:rsidRDefault="00561AFA" w:rsidP="00A250FE">
            <w:pPr>
              <w:pStyle w:val="TableText"/>
              <w:jc w:val="left"/>
              <w:rPr>
                <w:rFonts w:cs="Calibri"/>
              </w:rPr>
            </w:pPr>
            <w:r w:rsidRPr="001E57F2">
              <w:t>111</w:t>
            </w:r>
            <w:r>
              <w:t> </w:t>
            </w:r>
            <w:r w:rsidRPr="001E57F2">
              <w:t>666</w:t>
            </w:r>
          </w:p>
        </w:tc>
        <w:tc>
          <w:tcPr>
            <w:tcW w:w="1214" w:type="dxa"/>
            <w:tcBorders>
              <w:bottom w:val="nil"/>
            </w:tcBorders>
            <w:shd w:val="clear" w:color="auto" w:fill="auto"/>
          </w:tcPr>
          <w:p w14:paraId="5A0C4DAA" w14:textId="349FA50F"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(2013)</w:t>
            </w:r>
          </w:p>
        </w:tc>
      </w:tr>
      <w:tr w:rsidR="00F95492" w:rsidRPr="00F94663" w14:paraId="12DB9CA9"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1660" w:type="dxa"/>
            <w:gridSpan w:val="8"/>
            <w:tcBorders>
              <w:top w:val="nil"/>
            </w:tcBorders>
            <w:shd w:val="clear" w:color="auto" w:fill="auto"/>
          </w:tcPr>
          <w:p w14:paraId="045E349E" w14:textId="381E4D48"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2D154A6C" w14:textId="49E4C21E" w:rsidR="00F95492" w:rsidRPr="001E57F2" w:rsidRDefault="00A250FE" w:rsidP="00F95492">
            <w:pPr>
              <w:pStyle w:val="TableText"/>
              <w:jc w:val="left"/>
              <w:rPr>
                <w:rFonts w:cs="Calibri"/>
              </w:rPr>
            </w:pPr>
            <w:r>
              <w:rPr>
                <w:b/>
              </w:rPr>
              <w:t>6 </w:t>
            </w:r>
            <w:r w:rsidR="00F95492" w:rsidRPr="001E57F2">
              <w:rPr>
                <w:b/>
              </w:rPr>
              <w:t>384</w:t>
            </w:r>
          </w:p>
        </w:tc>
        <w:tc>
          <w:tcPr>
            <w:tcW w:w="1214" w:type="dxa"/>
            <w:tcBorders>
              <w:top w:val="nil"/>
            </w:tcBorders>
            <w:shd w:val="clear" w:color="auto" w:fill="auto"/>
          </w:tcPr>
          <w:p w14:paraId="24D4CD7B" w14:textId="5CDE3955" w:rsidR="00F95492" w:rsidRPr="00F95492" w:rsidRDefault="00F95492" w:rsidP="00F95492">
            <w:pPr>
              <w:pStyle w:val="TableText"/>
              <w:jc w:val="left"/>
              <w:rPr>
                <w:rFonts w:cs="Calibri"/>
              </w:rPr>
            </w:pPr>
            <w:r w:rsidRPr="00F95492">
              <w:rPr>
                <w:b/>
              </w:rPr>
              <w:t>VALUE USED IN SSD</w:t>
            </w:r>
            <w:r w:rsidR="00B94F1F">
              <w:rPr>
                <w:b/>
              </w:rPr>
              <w:t xml:space="preserve"> (GEOMETRIC MEAN)</w:t>
            </w:r>
          </w:p>
        </w:tc>
      </w:tr>
      <w:tr w:rsidR="00561AFA" w:rsidRPr="00F94663" w14:paraId="70C8AB4A" w14:textId="77777777" w:rsidTr="00561AFA">
        <w:trPr>
          <w:cantSplit/>
        </w:trPr>
        <w:tc>
          <w:tcPr>
            <w:tcW w:w="1525" w:type="dxa"/>
            <w:vMerge w:val="restart"/>
            <w:shd w:val="clear" w:color="auto" w:fill="auto"/>
          </w:tcPr>
          <w:p w14:paraId="73E5EAE0" w14:textId="557A34B5" w:rsidR="00561AFA" w:rsidRPr="001E57F2" w:rsidRDefault="00561AFA" w:rsidP="00A5357B">
            <w:pPr>
              <w:pStyle w:val="TableText"/>
              <w:jc w:val="left"/>
              <w:rPr>
                <w:rFonts w:cs="Calibri"/>
              </w:rPr>
            </w:pPr>
            <w:r>
              <w:t>Diatom (</w:t>
            </w:r>
            <w:r w:rsidRPr="001E57F2">
              <w:t>Bacillariophyta</w:t>
            </w:r>
            <w:r>
              <w:t>)</w:t>
            </w:r>
          </w:p>
        </w:tc>
        <w:tc>
          <w:tcPr>
            <w:tcW w:w="1700" w:type="dxa"/>
            <w:vMerge w:val="restart"/>
            <w:shd w:val="clear" w:color="auto" w:fill="auto"/>
          </w:tcPr>
          <w:p w14:paraId="56708F75" w14:textId="4C44D400" w:rsidR="00561AFA" w:rsidRPr="00F95492" w:rsidRDefault="00561AFA" w:rsidP="00A5357B">
            <w:pPr>
              <w:pStyle w:val="TableText"/>
              <w:jc w:val="left"/>
              <w:rPr>
                <w:rFonts w:cs="Calibri"/>
              </w:rPr>
            </w:pPr>
            <w:proofErr w:type="spellStart"/>
            <w:r w:rsidRPr="00BD5464">
              <w:rPr>
                <w:rStyle w:val="Emphasis"/>
              </w:rPr>
              <w:t>Mayamaea</w:t>
            </w:r>
            <w:proofErr w:type="spellEnd"/>
            <w:r w:rsidRPr="00F95492">
              <w:t xml:space="preserve"> </w:t>
            </w:r>
            <w:proofErr w:type="spellStart"/>
            <w:r w:rsidRPr="00BD5464">
              <w:rPr>
                <w:rStyle w:val="Emphasis"/>
              </w:rPr>
              <w:t>fossalis</w:t>
            </w:r>
            <w:proofErr w:type="spellEnd"/>
          </w:p>
        </w:tc>
        <w:tc>
          <w:tcPr>
            <w:tcW w:w="1382" w:type="dxa"/>
            <w:shd w:val="clear" w:color="auto" w:fill="auto"/>
          </w:tcPr>
          <w:p w14:paraId="373C4D8D" w14:textId="77777777" w:rsidR="00561AFA" w:rsidRPr="001E57F2" w:rsidRDefault="00561AFA" w:rsidP="00F95492">
            <w:pPr>
              <w:pStyle w:val="TableText"/>
              <w:jc w:val="left"/>
              <w:rPr>
                <w:rFonts w:cs="Calibri"/>
              </w:rPr>
            </w:pPr>
            <w:r w:rsidRPr="001E57F2">
              <w:t>Exponential growth phase</w:t>
            </w:r>
          </w:p>
        </w:tc>
        <w:tc>
          <w:tcPr>
            <w:tcW w:w="1008" w:type="dxa"/>
            <w:shd w:val="clear" w:color="auto" w:fill="auto"/>
          </w:tcPr>
          <w:p w14:paraId="1F77F018" w14:textId="77777777" w:rsidR="00561AFA" w:rsidRPr="001E57F2" w:rsidRDefault="00561AFA" w:rsidP="00F95492">
            <w:pPr>
              <w:pStyle w:val="TableText"/>
              <w:jc w:val="left"/>
              <w:rPr>
                <w:rFonts w:cs="Calibri"/>
              </w:rPr>
            </w:pPr>
            <w:r w:rsidRPr="001E57F2">
              <w:t>4</w:t>
            </w:r>
          </w:p>
        </w:tc>
        <w:tc>
          <w:tcPr>
            <w:tcW w:w="1864" w:type="dxa"/>
            <w:shd w:val="clear" w:color="auto" w:fill="auto"/>
          </w:tcPr>
          <w:p w14:paraId="2D8F113C" w14:textId="77777777" w:rsidR="00561AFA" w:rsidRPr="001E57F2" w:rsidRDefault="00561AFA" w:rsidP="00F95492">
            <w:pPr>
              <w:pStyle w:val="TableText"/>
              <w:jc w:val="left"/>
            </w:pPr>
            <w:r w:rsidRPr="001E57F2">
              <w:t xml:space="preserve">EC10 </w:t>
            </w:r>
          </w:p>
          <w:p w14:paraId="6494E52A" w14:textId="69F98A5D" w:rsidR="00561AFA" w:rsidRPr="001E57F2" w:rsidRDefault="00561AFA" w:rsidP="00B60283">
            <w:pPr>
              <w:pStyle w:val="TableText"/>
              <w:jc w:val="left"/>
              <w:rPr>
                <w:rFonts w:cs="Calibri"/>
              </w:rPr>
            </w:pPr>
            <w:r w:rsidRPr="001E57F2">
              <w:t>(Chlorophyll</w:t>
            </w:r>
            <w:r>
              <w:t>-</w:t>
            </w:r>
            <w:r w:rsidRPr="00B60283">
              <w:t>a</w:t>
            </w:r>
            <w:r w:rsidRPr="001E57F2">
              <w:t xml:space="preserve"> content)</w:t>
            </w:r>
          </w:p>
        </w:tc>
        <w:tc>
          <w:tcPr>
            <w:tcW w:w="1734" w:type="dxa"/>
            <w:shd w:val="clear" w:color="auto" w:fill="auto"/>
          </w:tcPr>
          <w:p w14:paraId="3F286934" w14:textId="1B03715A" w:rsidR="00561AFA" w:rsidRPr="001E57F2" w:rsidRDefault="00561AFA" w:rsidP="00F95492">
            <w:pPr>
              <w:pStyle w:val="TableText"/>
              <w:jc w:val="left"/>
              <w:rPr>
                <w:rFonts w:cs="Calibri"/>
              </w:rPr>
            </w:pPr>
            <w:r w:rsidRPr="001E57F2">
              <w:t>DMSO dissolved in DV medi</w:t>
            </w:r>
            <w:r>
              <w:t>um</w:t>
            </w:r>
          </w:p>
        </w:tc>
        <w:tc>
          <w:tcPr>
            <w:tcW w:w="1296" w:type="dxa"/>
            <w:shd w:val="clear" w:color="auto" w:fill="auto"/>
          </w:tcPr>
          <w:p w14:paraId="0C58CDC7" w14:textId="77777777" w:rsidR="00561AFA" w:rsidRPr="001E57F2" w:rsidRDefault="00561AFA" w:rsidP="00F95492">
            <w:pPr>
              <w:pStyle w:val="TableText"/>
              <w:jc w:val="left"/>
              <w:rPr>
                <w:rFonts w:cs="Calibri"/>
              </w:rPr>
            </w:pPr>
            <w:r w:rsidRPr="001E57F2">
              <w:t>Not stated</w:t>
            </w:r>
          </w:p>
        </w:tc>
        <w:tc>
          <w:tcPr>
            <w:tcW w:w="1151" w:type="dxa"/>
            <w:shd w:val="clear" w:color="auto" w:fill="auto"/>
          </w:tcPr>
          <w:p w14:paraId="45DB159F" w14:textId="77777777" w:rsidR="00561AFA" w:rsidRPr="001E57F2" w:rsidRDefault="00561AFA" w:rsidP="00F95492">
            <w:pPr>
              <w:pStyle w:val="TableText"/>
              <w:jc w:val="left"/>
              <w:rPr>
                <w:rFonts w:cs="Calibri"/>
              </w:rPr>
            </w:pPr>
            <w:r w:rsidRPr="001E57F2">
              <w:t>Not stated</w:t>
            </w:r>
          </w:p>
        </w:tc>
        <w:tc>
          <w:tcPr>
            <w:tcW w:w="1344" w:type="dxa"/>
            <w:shd w:val="clear" w:color="auto" w:fill="auto"/>
          </w:tcPr>
          <w:p w14:paraId="00D955CC" w14:textId="77777777" w:rsidR="00561AFA" w:rsidRPr="001E57F2" w:rsidRDefault="00561AFA" w:rsidP="00F95492">
            <w:pPr>
              <w:pStyle w:val="TableText"/>
              <w:jc w:val="left"/>
              <w:rPr>
                <w:rFonts w:cs="Calibri"/>
              </w:rPr>
            </w:pPr>
            <w:r w:rsidRPr="001E57F2">
              <w:t>979</w:t>
            </w:r>
          </w:p>
        </w:tc>
        <w:tc>
          <w:tcPr>
            <w:tcW w:w="1214" w:type="dxa"/>
            <w:shd w:val="clear" w:color="auto" w:fill="auto"/>
          </w:tcPr>
          <w:p w14:paraId="2CBD2F34" w14:textId="6192A5D3"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(2012)</w:t>
            </w:r>
          </w:p>
        </w:tc>
      </w:tr>
      <w:tr w:rsidR="00561AFA" w:rsidRPr="00F94663" w14:paraId="35044D7C" w14:textId="77777777" w:rsidTr="00561AFA">
        <w:trPr>
          <w:cnfStyle w:val="000000100000" w:firstRow="0" w:lastRow="0" w:firstColumn="0" w:lastColumn="0" w:oddVBand="0" w:evenVBand="0" w:oddHBand="1" w:evenHBand="0" w:firstRowFirstColumn="0" w:firstRowLastColumn="0" w:lastRowFirstColumn="0" w:lastRowLastColumn="0"/>
          <w:cantSplit/>
          <w:trHeight w:val="579"/>
        </w:trPr>
        <w:tc>
          <w:tcPr>
            <w:tcW w:w="1525" w:type="dxa"/>
            <w:vMerge/>
            <w:tcBorders>
              <w:bottom w:val="nil"/>
            </w:tcBorders>
            <w:shd w:val="clear" w:color="auto" w:fill="auto"/>
          </w:tcPr>
          <w:p w14:paraId="4EA77009" w14:textId="2C751F60" w:rsidR="00561AFA" w:rsidRPr="001E57F2" w:rsidRDefault="00561AFA" w:rsidP="00F95492">
            <w:pPr>
              <w:pStyle w:val="TableText"/>
              <w:jc w:val="left"/>
              <w:rPr>
                <w:rFonts w:cs="Calibri"/>
              </w:rPr>
            </w:pPr>
          </w:p>
        </w:tc>
        <w:tc>
          <w:tcPr>
            <w:tcW w:w="1700" w:type="dxa"/>
            <w:vMerge/>
            <w:tcBorders>
              <w:bottom w:val="nil"/>
            </w:tcBorders>
            <w:shd w:val="clear" w:color="auto" w:fill="auto"/>
          </w:tcPr>
          <w:p w14:paraId="0881D6C0" w14:textId="41811081" w:rsidR="00561AFA" w:rsidRPr="00F95492" w:rsidRDefault="00561AFA" w:rsidP="00FE50CF">
            <w:pPr>
              <w:pStyle w:val="TableText"/>
              <w:jc w:val="left"/>
              <w:rPr>
                <w:rFonts w:cs="Calibri"/>
              </w:rPr>
            </w:pPr>
          </w:p>
        </w:tc>
        <w:tc>
          <w:tcPr>
            <w:tcW w:w="1382" w:type="dxa"/>
            <w:tcBorders>
              <w:bottom w:val="nil"/>
            </w:tcBorders>
            <w:shd w:val="clear" w:color="auto" w:fill="auto"/>
          </w:tcPr>
          <w:p w14:paraId="7818302E" w14:textId="77777777" w:rsidR="00561AFA" w:rsidRPr="001E57F2" w:rsidRDefault="00561AFA" w:rsidP="00F95492">
            <w:pPr>
              <w:pStyle w:val="TableText"/>
              <w:jc w:val="left"/>
              <w:rPr>
                <w:rFonts w:cs="Calibri"/>
              </w:rPr>
            </w:pPr>
            <w:r w:rsidRPr="001E57F2">
              <w:t>Exponential growth phase</w:t>
            </w:r>
          </w:p>
        </w:tc>
        <w:tc>
          <w:tcPr>
            <w:tcW w:w="1008" w:type="dxa"/>
            <w:tcBorders>
              <w:bottom w:val="nil"/>
            </w:tcBorders>
            <w:shd w:val="clear" w:color="auto" w:fill="auto"/>
          </w:tcPr>
          <w:p w14:paraId="52FD49E6" w14:textId="77777777" w:rsidR="00561AFA" w:rsidRPr="001E57F2" w:rsidRDefault="00561AFA" w:rsidP="00F95492">
            <w:pPr>
              <w:pStyle w:val="TableText"/>
              <w:jc w:val="left"/>
              <w:rPr>
                <w:rFonts w:cs="Calibri"/>
              </w:rPr>
            </w:pPr>
            <w:r w:rsidRPr="001E57F2">
              <w:t>4</w:t>
            </w:r>
          </w:p>
        </w:tc>
        <w:tc>
          <w:tcPr>
            <w:tcW w:w="1864" w:type="dxa"/>
            <w:tcBorders>
              <w:bottom w:val="nil"/>
            </w:tcBorders>
            <w:shd w:val="clear" w:color="auto" w:fill="auto"/>
          </w:tcPr>
          <w:p w14:paraId="20942CAD" w14:textId="77777777" w:rsidR="00561AFA" w:rsidRPr="001E57F2" w:rsidRDefault="00561AFA" w:rsidP="00F95492">
            <w:pPr>
              <w:pStyle w:val="TableText"/>
              <w:jc w:val="left"/>
            </w:pPr>
            <w:r w:rsidRPr="001E57F2">
              <w:t xml:space="preserve">EC10 </w:t>
            </w:r>
          </w:p>
          <w:p w14:paraId="6F82A65C" w14:textId="253DF8AA" w:rsidR="00561AFA" w:rsidRPr="001E57F2" w:rsidRDefault="00561AFA" w:rsidP="00B60283">
            <w:pPr>
              <w:pStyle w:val="TableText"/>
              <w:jc w:val="left"/>
              <w:rPr>
                <w:rFonts w:cs="Calibri"/>
              </w:rPr>
            </w:pPr>
            <w:r w:rsidRPr="001E57F2">
              <w:t>(Chlorophyll</w:t>
            </w:r>
            <w:r>
              <w:t>-</w:t>
            </w:r>
            <w:r w:rsidRPr="00B60283">
              <w:t>a</w:t>
            </w:r>
            <w:r w:rsidRPr="001E57F2">
              <w:t xml:space="preserve"> content)</w:t>
            </w:r>
          </w:p>
        </w:tc>
        <w:tc>
          <w:tcPr>
            <w:tcW w:w="1734" w:type="dxa"/>
            <w:tcBorders>
              <w:bottom w:val="nil"/>
            </w:tcBorders>
            <w:shd w:val="clear" w:color="auto" w:fill="auto"/>
          </w:tcPr>
          <w:p w14:paraId="02351C80" w14:textId="2CC1C611" w:rsidR="00561AFA" w:rsidRPr="001E57F2" w:rsidRDefault="00561AFA" w:rsidP="002326A9">
            <w:pPr>
              <w:pStyle w:val="TableText"/>
              <w:jc w:val="left"/>
              <w:rPr>
                <w:rFonts w:cs="Calibri"/>
              </w:rPr>
            </w:pPr>
            <w:r w:rsidRPr="001E57F2">
              <w:t>DV medi</w:t>
            </w:r>
            <w:r>
              <w:t>um</w:t>
            </w:r>
          </w:p>
        </w:tc>
        <w:tc>
          <w:tcPr>
            <w:tcW w:w="1296" w:type="dxa"/>
            <w:tcBorders>
              <w:bottom w:val="nil"/>
            </w:tcBorders>
            <w:shd w:val="clear" w:color="auto" w:fill="auto"/>
          </w:tcPr>
          <w:p w14:paraId="4A92FE64" w14:textId="77777777" w:rsidR="00561AFA" w:rsidRPr="001E57F2" w:rsidRDefault="00561AFA" w:rsidP="00F95492">
            <w:pPr>
              <w:pStyle w:val="TableText"/>
              <w:jc w:val="left"/>
              <w:rPr>
                <w:rFonts w:cs="Calibri"/>
              </w:rPr>
            </w:pPr>
            <w:r w:rsidRPr="001E57F2">
              <w:t>21 ± 2</w:t>
            </w:r>
          </w:p>
        </w:tc>
        <w:tc>
          <w:tcPr>
            <w:tcW w:w="1151" w:type="dxa"/>
            <w:tcBorders>
              <w:bottom w:val="nil"/>
            </w:tcBorders>
            <w:shd w:val="clear" w:color="auto" w:fill="auto"/>
          </w:tcPr>
          <w:p w14:paraId="04361C66"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2AEC25E9" w14:textId="77777777" w:rsidR="00561AFA" w:rsidRPr="001E57F2" w:rsidRDefault="00561AFA" w:rsidP="00F95492">
            <w:pPr>
              <w:pStyle w:val="TableText"/>
              <w:jc w:val="left"/>
              <w:rPr>
                <w:rFonts w:cs="Calibri"/>
              </w:rPr>
            </w:pPr>
            <w:r w:rsidRPr="001E57F2">
              <w:t>760</w:t>
            </w:r>
          </w:p>
        </w:tc>
        <w:tc>
          <w:tcPr>
            <w:tcW w:w="1214" w:type="dxa"/>
            <w:tcBorders>
              <w:bottom w:val="nil"/>
            </w:tcBorders>
            <w:shd w:val="clear" w:color="auto" w:fill="auto"/>
          </w:tcPr>
          <w:p w14:paraId="40771F9B" w14:textId="48A44908"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(2013)</w:t>
            </w:r>
          </w:p>
        </w:tc>
      </w:tr>
      <w:tr w:rsidR="00F95492" w:rsidRPr="00F94663" w14:paraId="07C6AF24" w14:textId="77777777" w:rsidTr="00561AFA">
        <w:trPr>
          <w:cantSplit/>
        </w:trPr>
        <w:tc>
          <w:tcPr>
            <w:tcW w:w="11660" w:type="dxa"/>
            <w:gridSpan w:val="8"/>
            <w:tcBorders>
              <w:top w:val="nil"/>
            </w:tcBorders>
            <w:shd w:val="clear" w:color="auto" w:fill="auto"/>
          </w:tcPr>
          <w:p w14:paraId="40037377" w14:textId="1D791C3C"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5F716429" w14:textId="2D95B0A4" w:rsidR="00F95492" w:rsidRPr="001E57F2" w:rsidRDefault="00F95492" w:rsidP="00F95492">
            <w:pPr>
              <w:pStyle w:val="TableText"/>
              <w:jc w:val="left"/>
              <w:rPr>
                <w:rFonts w:cs="Calibri"/>
              </w:rPr>
            </w:pPr>
            <w:r w:rsidRPr="001E57F2">
              <w:rPr>
                <w:b/>
              </w:rPr>
              <w:t>86</w:t>
            </w:r>
            <w:r w:rsidR="009D6277">
              <w:rPr>
                <w:b/>
              </w:rPr>
              <w:t>3</w:t>
            </w:r>
          </w:p>
        </w:tc>
        <w:tc>
          <w:tcPr>
            <w:tcW w:w="1214" w:type="dxa"/>
            <w:tcBorders>
              <w:top w:val="nil"/>
            </w:tcBorders>
            <w:shd w:val="clear" w:color="auto" w:fill="auto"/>
          </w:tcPr>
          <w:p w14:paraId="1C1C611F" w14:textId="6D91A3EC" w:rsidR="00F95492" w:rsidRPr="00F95492" w:rsidRDefault="00F95492" w:rsidP="00F95492">
            <w:pPr>
              <w:pStyle w:val="TableText"/>
              <w:jc w:val="left"/>
              <w:rPr>
                <w:rFonts w:cs="Calibri"/>
              </w:rPr>
            </w:pPr>
            <w:r w:rsidRPr="00F95492">
              <w:rPr>
                <w:b/>
              </w:rPr>
              <w:t>VALUE USED IN SSD</w:t>
            </w:r>
            <w:r w:rsidR="00B94F1F">
              <w:rPr>
                <w:b/>
              </w:rPr>
              <w:t xml:space="preserve"> (GEOMETRIC MEAN)</w:t>
            </w:r>
          </w:p>
        </w:tc>
      </w:tr>
      <w:tr w:rsidR="00561AFA" w:rsidRPr="00F94663" w14:paraId="305A7DD9"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7D8DE033" w14:textId="044D37D9" w:rsidR="00561AFA" w:rsidRPr="001E57F2" w:rsidRDefault="00561AFA" w:rsidP="00F95492">
            <w:pPr>
              <w:pStyle w:val="TableText"/>
              <w:jc w:val="left"/>
              <w:rPr>
                <w:rFonts w:cs="Calibri"/>
              </w:rPr>
            </w:pPr>
            <w:r>
              <w:t>Diatom (</w:t>
            </w:r>
            <w:r w:rsidRPr="001E57F2">
              <w:t>Bacillariophyta</w:t>
            </w:r>
            <w:r>
              <w:t>)</w:t>
            </w:r>
          </w:p>
        </w:tc>
        <w:tc>
          <w:tcPr>
            <w:tcW w:w="1700" w:type="dxa"/>
            <w:tcBorders>
              <w:bottom w:val="nil"/>
            </w:tcBorders>
            <w:shd w:val="clear" w:color="auto" w:fill="auto"/>
          </w:tcPr>
          <w:p w14:paraId="74D0CB29" w14:textId="79E1B6B8" w:rsidR="00561AFA" w:rsidRPr="00F95492" w:rsidRDefault="00561AFA" w:rsidP="00F95492">
            <w:pPr>
              <w:pStyle w:val="TableText"/>
              <w:jc w:val="left"/>
              <w:rPr>
                <w:rFonts w:cs="Calibri"/>
              </w:rPr>
            </w:pPr>
            <w:proofErr w:type="spellStart"/>
            <w:r w:rsidRPr="00BD5464">
              <w:rPr>
                <w:rStyle w:val="Emphasis"/>
              </w:rPr>
              <w:t>Ulnaria</w:t>
            </w:r>
            <w:proofErr w:type="spellEnd"/>
            <w:r w:rsidRPr="00BD5464">
              <w:rPr>
                <w:rStyle w:val="Emphasis"/>
              </w:rPr>
              <w:t xml:space="preserve"> ulna</w:t>
            </w:r>
          </w:p>
        </w:tc>
        <w:tc>
          <w:tcPr>
            <w:tcW w:w="1382" w:type="dxa"/>
            <w:tcBorders>
              <w:bottom w:val="nil"/>
            </w:tcBorders>
            <w:shd w:val="clear" w:color="auto" w:fill="auto"/>
          </w:tcPr>
          <w:p w14:paraId="090EDA23" w14:textId="77777777" w:rsidR="00561AFA" w:rsidRPr="001E57F2" w:rsidRDefault="00561AFA" w:rsidP="00F95492">
            <w:pPr>
              <w:pStyle w:val="TableText"/>
              <w:jc w:val="left"/>
              <w:rPr>
                <w:rFonts w:cs="Calibri"/>
              </w:rPr>
            </w:pPr>
            <w:r w:rsidRPr="001E57F2">
              <w:t>Exponential growth phase</w:t>
            </w:r>
          </w:p>
        </w:tc>
        <w:tc>
          <w:tcPr>
            <w:tcW w:w="1008" w:type="dxa"/>
            <w:tcBorders>
              <w:bottom w:val="nil"/>
            </w:tcBorders>
            <w:shd w:val="clear" w:color="auto" w:fill="auto"/>
          </w:tcPr>
          <w:p w14:paraId="19D315F5" w14:textId="77777777" w:rsidR="00561AFA" w:rsidRPr="001E57F2" w:rsidRDefault="00561AFA" w:rsidP="00F95492">
            <w:pPr>
              <w:pStyle w:val="TableText"/>
              <w:jc w:val="left"/>
              <w:rPr>
                <w:rFonts w:cs="Calibri"/>
              </w:rPr>
            </w:pPr>
            <w:r w:rsidRPr="001E57F2">
              <w:t>4</w:t>
            </w:r>
          </w:p>
        </w:tc>
        <w:tc>
          <w:tcPr>
            <w:tcW w:w="1864" w:type="dxa"/>
            <w:tcBorders>
              <w:bottom w:val="nil"/>
            </w:tcBorders>
            <w:shd w:val="clear" w:color="auto" w:fill="auto"/>
          </w:tcPr>
          <w:p w14:paraId="1BA08D1F" w14:textId="77777777" w:rsidR="00561AFA" w:rsidRPr="001E57F2" w:rsidRDefault="00561AFA" w:rsidP="00F95492">
            <w:pPr>
              <w:pStyle w:val="TableText"/>
              <w:jc w:val="left"/>
            </w:pPr>
            <w:r w:rsidRPr="001E57F2">
              <w:t xml:space="preserve">EC10 </w:t>
            </w:r>
          </w:p>
          <w:p w14:paraId="7952B207" w14:textId="63365901" w:rsidR="00561AFA" w:rsidRPr="001E57F2" w:rsidRDefault="00561AFA" w:rsidP="00B60283">
            <w:pPr>
              <w:pStyle w:val="TableText"/>
              <w:jc w:val="left"/>
              <w:rPr>
                <w:rFonts w:cs="Calibri"/>
              </w:rPr>
            </w:pPr>
            <w:r w:rsidRPr="001E57F2">
              <w:t>(Chlorophyll</w:t>
            </w:r>
            <w:r>
              <w:t>-</w:t>
            </w:r>
            <w:r w:rsidRPr="00B60283">
              <w:t>a</w:t>
            </w:r>
            <w:r w:rsidRPr="001E57F2">
              <w:t xml:space="preserve"> content)</w:t>
            </w:r>
          </w:p>
        </w:tc>
        <w:tc>
          <w:tcPr>
            <w:tcW w:w="1734" w:type="dxa"/>
            <w:tcBorders>
              <w:bottom w:val="nil"/>
            </w:tcBorders>
            <w:shd w:val="clear" w:color="auto" w:fill="auto"/>
          </w:tcPr>
          <w:p w14:paraId="7484B997" w14:textId="3D994E06" w:rsidR="00561AFA" w:rsidRPr="001E57F2" w:rsidRDefault="00561AFA" w:rsidP="00F95492">
            <w:pPr>
              <w:pStyle w:val="TableText"/>
              <w:jc w:val="left"/>
              <w:rPr>
                <w:rFonts w:cs="Calibri"/>
              </w:rPr>
            </w:pPr>
            <w:r w:rsidRPr="001E57F2">
              <w:t>DV medi</w:t>
            </w:r>
            <w:r>
              <w:t>um</w:t>
            </w:r>
          </w:p>
        </w:tc>
        <w:tc>
          <w:tcPr>
            <w:tcW w:w="1296" w:type="dxa"/>
            <w:tcBorders>
              <w:bottom w:val="nil"/>
            </w:tcBorders>
            <w:shd w:val="clear" w:color="auto" w:fill="auto"/>
          </w:tcPr>
          <w:p w14:paraId="22D0CA39" w14:textId="77777777" w:rsidR="00561AFA" w:rsidRPr="001E57F2" w:rsidRDefault="00561AFA" w:rsidP="00F95492">
            <w:pPr>
              <w:pStyle w:val="TableText"/>
              <w:jc w:val="left"/>
              <w:rPr>
                <w:rFonts w:cs="Calibri"/>
              </w:rPr>
            </w:pPr>
            <w:r w:rsidRPr="001E57F2">
              <w:t>21 ± 2</w:t>
            </w:r>
          </w:p>
        </w:tc>
        <w:tc>
          <w:tcPr>
            <w:tcW w:w="1151" w:type="dxa"/>
            <w:tcBorders>
              <w:bottom w:val="nil"/>
            </w:tcBorders>
            <w:shd w:val="clear" w:color="auto" w:fill="auto"/>
          </w:tcPr>
          <w:p w14:paraId="3EEAA3A1"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4A9436CC" w14:textId="77777777" w:rsidR="00561AFA" w:rsidRPr="001E57F2" w:rsidRDefault="00561AFA" w:rsidP="00F95492">
            <w:pPr>
              <w:pStyle w:val="TableText"/>
              <w:jc w:val="left"/>
              <w:rPr>
                <w:rFonts w:cs="Calibri"/>
              </w:rPr>
            </w:pPr>
            <w:r w:rsidRPr="001E57F2">
              <w:t>27</w:t>
            </w:r>
          </w:p>
        </w:tc>
        <w:tc>
          <w:tcPr>
            <w:tcW w:w="1214" w:type="dxa"/>
            <w:tcBorders>
              <w:bottom w:val="nil"/>
            </w:tcBorders>
            <w:shd w:val="clear" w:color="auto" w:fill="auto"/>
          </w:tcPr>
          <w:p w14:paraId="33070BBF" w14:textId="51F07B66" w:rsidR="00561AFA" w:rsidRPr="00F95492" w:rsidRDefault="00561AFA" w:rsidP="00F95492">
            <w:pPr>
              <w:pStyle w:val="TableText"/>
              <w:jc w:val="left"/>
              <w:rPr>
                <w:rFonts w:cs="Calibri"/>
              </w:rPr>
            </w:pPr>
            <w:proofErr w:type="spellStart"/>
            <w:r w:rsidRPr="00F95492">
              <w:t>Larras</w:t>
            </w:r>
            <w:proofErr w:type="spellEnd"/>
            <w:r w:rsidRPr="00F95492">
              <w:t xml:space="preserve"> et al</w:t>
            </w:r>
            <w:r>
              <w:t>.</w:t>
            </w:r>
            <w:r w:rsidRPr="00F95492">
              <w:t xml:space="preserve"> (2013)</w:t>
            </w:r>
          </w:p>
        </w:tc>
      </w:tr>
      <w:tr w:rsidR="00F95492" w:rsidRPr="00F94663" w14:paraId="24ACD270" w14:textId="77777777" w:rsidTr="00561AFA">
        <w:trPr>
          <w:cantSplit/>
        </w:trPr>
        <w:tc>
          <w:tcPr>
            <w:tcW w:w="11660" w:type="dxa"/>
            <w:gridSpan w:val="8"/>
            <w:tcBorders>
              <w:top w:val="nil"/>
            </w:tcBorders>
            <w:shd w:val="clear" w:color="auto" w:fill="auto"/>
          </w:tcPr>
          <w:p w14:paraId="37B624E8" w14:textId="4C220BB5"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61B29AAA" w14:textId="77777777" w:rsidR="00F95492" w:rsidRPr="001E57F2" w:rsidRDefault="00F95492" w:rsidP="00F95492">
            <w:pPr>
              <w:pStyle w:val="TableText"/>
              <w:jc w:val="left"/>
              <w:rPr>
                <w:rFonts w:cs="Calibri"/>
              </w:rPr>
            </w:pPr>
            <w:r w:rsidRPr="001E57F2">
              <w:rPr>
                <w:b/>
              </w:rPr>
              <w:t>27</w:t>
            </w:r>
          </w:p>
        </w:tc>
        <w:tc>
          <w:tcPr>
            <w:tcW w:w="1214" w:type="dxa"/>
            <w:tcBorders>
              <w:top w:val="nil"/>
            </w:tcBorders>
            <w:shd w:val="clear" w:color="auto" w:fill="auto"/>
          </w:tcPr>
          <w:p w14:paraId="1BE4696A" w14:textId="77777777" w:rsidR="00F95492" w:rsidRPr="00F95492" w:rsidRDefault="00F95492" w:rsidP="00F95492">
            <w:pPr>
              <w:pStyle w:val="TableText"/>
              <w:jc w:val="left"/>
              <w:rPr>
                <w:rFonts w:cs="Calibri"/>
              </w:rPr>
            </w:pPr>
            <w:r w:rsidRPr="00F95492">
              <w:rPr>
                <w:b/>
              </w:rPr>
              <w:t>VALUE USED IN SSD</w:t>
            </w:r>
          </w:p>
        </w:tc>
      </w:tr>
      <w:tr w:rsidR="00561AFA" w:rsidRPr="00F94663" w14:paraId="0B70B82B"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699AE082" w14:textId="25C8820B" w:rsidR="00561AFA" w:rsidRPr="001E57F2" w:rsidRDefault="00561AFA" w:rsidP="00F374B2">
            <w:pPr>
              <w:pStyle w:val="TableText"/>
              <w:jc w:val="left"/>
              <w:rPr>
                <w:rFonts w:cs="Calibri"/>
              </w:rPr>
            </w:pPr>
            <w:r>
              <w:rPr>
                <w:rFonts w:cs="Calibri"/>
              </w:rPr>
              <w:t>Green alga (</w:t>
            </w:r>
            <w:r w:rsidRPr="001E57F2">
              <w:rPr>
                <w:rFonts w:cs="Calibri"/>
              </w:rPr>
              <w:t>Chlorophyta</w:t>
            </w:r>
            <w:r>
              <w:rPr>
                <w:rFonts w:cs="Calibri"/>
              </w:rPr>
              <w:t>)</w:t>
            </w:r>
          </w:p>
        </w:tc>
        <w:tc>
          <w:tcPr>
            <w:tcW w:w="1700" w:type="dxa"/>
            <w:tcBorders>
              <w:bottom w:val="nil"/>
            </w:tcBorders>
            <w:shd w:val="clear" w:color="auto" w:fill="auto"/>
          </w:tcPr>
          <w:p w14:paraId="75A3D1FC" w14:textId="1A9374CE" w:rsidR="00561AFA" w:rsidRPr="00F95492" w:rsidRDefault="00561AFA" w:rsidP="00F374B2">
            <w:pPr>
              <w:pStyle w:val="TableText"/>
              <w:jc w:val="left"/>
              <w:rPr>
                <w:rFonts w:cs="Calibri"/>
              </w:rPr>
            </w:pPr>
            <w:r w:rsidRPr="00BD5464">
              <w:rPr>
                <w:rStyle w:val="Emphasis"/>
              </w:rPr>
              <w:t xml:space="preserve">Chlamydomonas </w:t>
            </w:r>
            <w:proofErr w:type="spellStart"/>
            <w:r w:rsidRPr="00BD5464">
              <w:rPr>
                <w:rStyle w:val="Emphasis"/>
              </w:rPr>
              <w:t>reinhardtii</w:t>
            </w:r>
            <w:proofErr w:type="spellEnd"/>
          </w:p>
        </w:tc>
        <w:tc>
          <w:tcPr>
            <w:tcW w:w="1382" w:type="dxa"/>
            <w:tcBorders>
              <w:bottom w:val="nil"/>
            </w:tcBorders>
            <w:shd w:val="clear" w:color="auto" w:fill="auto"/>
          </w:tcPr>
          <w:p w14:paraId="28BBACEE" w14:textId="77777777" w:rsidR="00561AFA" w:rsidRPr="001E57F2" w:rsidRDefault="00561AFA" w:rsidP="00F374B2">
            <w:pPr>
              <w:pStyle w:val="TableText"/>
              <w:jc w:val="left"/>
              <w:rPr>
                <w:rFonts w:cs="Calibri"/>
              </w:rPr>
            </w:pPr>
            <w:r w:rsidRPr="001E57F2">
              <w:rPr>
                <w:rFonts w:cs="Calibri"/>
              </w:rPr>
              <w:t>Not stated</w:t>
            </w:r>
          </w:p>
        </w:tc>
        <w:tc>
          <w:tcPr>
            <w:tcW w:w="1008" w:type="dxa"/>
            <w:tcBorders>
              <w:bottom w:val="nil"/>
            </w:tcBorders>
            <w:shd w:val="clear" w:color="auto" w:fill="auto"/>
          </w:tcPr>
          <w:p w14:paraId="42E5EE05" w14:textId="77777777" w:rsidR="00561AFA" w:rsidRPr="001E57F2" w:rsidRDefault="00561AFA" w:rsidP="00F374B2">
            <w:pPr>
              <w:pStyle w:val="TableText"/>
              <w:jc w:val="left"/>
              <w:rPr>
                <w:rFonts w:cs="Calibri"/>
              </w:rPr>
            </w:pPr>
            <w:r w:rsidRPr="001E57F2">
              <w:rPr>
                <w:rFonts w:cs="Calibri"/>
              </w:rPr>
              <w:t>4</w:t>
            </w:r>
          </w:p>
        </w:tc>
        <w:tc>
          <w:tcPr>
            <w:tcW w:w="1864" w:type="dxa"/>
            <w:tcBorders>
              <w:bottom w:val="nil"/>
            </w:tcBorders>
            <w:shd w:val="clear" w:color="auto" w:fill="auto"/>
          </w:tcPr>
          <w:p w14:paraId="49F9B502" w14:textId="77777777" w:rsidR="00561AFA" w:rsidRPr="001E57F2" w:rsidRDefault="00561AFA" w:rsidP="00F374B2">
            <w:pPr>
              <w:pStyle w:val="TableText"/>
              <w:jc w:val="left"/>
              <w:rPr>
                <w:rFonts w:cs="Calibri"/>
              </w:rPr>
            </w:pPr>
            <w:r w:rsidRPr="001E57F2">
              <w:rPr>
                <w:rFonts w:cs="Calibri"/>
              </w:rPr>
              <w:t xml:space="preserve">EC50 </w:t>
            </w:r>
          </w:p>
          <w:p w14:paraId="0BA1F3A2" w14:textId="77777777" w:rsidR="00561AFA" w:rsidRPr="001E57F2" w:rsidRDefault="00561AFA" w:rsidP="00F374B2">
            <w:pPr>
              <w:pStyle w:val="TableText"/>
              <w:jc w:val="left"/>
              <w:rPr>
                <w:rFonts w:cs="Calibri"/>
              </w:rPr>
            </w:pPr>
            <w:r w:rsidRPr="001E57F2">
              <w:rPr>
                <w:rFonts w:cs="Calibri"/>
              </w:rPr>
              <w:t>(Chlorophyll-a content)</w:t>
            </w:r>
          </w:p>
        </w:tc>
        <w:tc>
          <w:tcPr>
            <w:tcW w:w="1734" w:type="dxa"/>
            <w:tcBorders>
              <w:bottom w:val="nil"/>
            </w:tcBorders>
            <w:shd w:val="clear" w:color="auto" w:fill="auto"/>
          </w:tcPr>
          <w:p w14:paraId="5F0C4286" w14:textId="77777777" w:rsidR="00561AFA" w:rsidRPr="001E57F2" w:rsidRDefault="00561AFA" w:rsidP="00F374B2">
            <w:pPr>
              <w:pStyle w:val="TableText"/>
              <w:jc w:val="left"/>
              <w:rPr>
                <w:rFonts w:cs="Calibri"/>
              </w:rPr>
            </w:pPr>
            <w:r w:rsidRPr="001E57F2">
              <w:rPr>
                <w:rFonts w:cs="Calibri"/>
              </w:rPr>
              <w:t>ASTM medium</w:t>
            </w:r>
          </w:p>
        </w:tc>
        <w:tc>
          <w:tcPr>
            <w:tcW w:w="1296" w:type="dxa"/>
            <w:tcBorders>
              <w:bottom w:val="nil"/>
            </w:tcBorders>
            <w:shd w:val="clear" w:color="auto" w:fill="auto"/>
          </w:tcPr>
          <w:p w14:paraId="7461031E" w14:textId="77777777" w:rsidR="00561AFA" w:rsidRPr="001E57F2" w:rsidRDefault="00561AFA" w:rsidP="00F374B2">
            <w:pPr>
              <w:pStyle w:val="TableText"/>
              <w:jc w:val="left"/>
              <w:rPr>
                <w:rFonts w:cs="Calibri"/>
              </w:rPr>
            </w:pPr>
            <w:r w:rsidRPr="001E57F2">
              <w:rPr>
                <w:rFonts w:cs="Calibri"/>
              </w:rPr>
              <w:t>25</w:t>
            </w:r>
          </w:p>
        </w:tc>
        <w:tc>
          <w:tcPr>
            <w:tcW w:w="1151" w:type="dxa"/>
            <w:tcBorders>
              <w:bottom w:val="nil"/>
            </w:tcBorders>
            <w:shd w:val="clear" w:color="auto" w:fill="auto"/>
          </w:tcPr>
          <w:p w14:paraId="48C17A14" w14:textId="77777777" w:rsidR="00561AFA" w:rsidRPr="001E57F2" w:rsidRDefault="00561AFA" w:rsidP="00F374B2">
            <w:pPr>
              <w:pStyle w:val="TableText"/>
              <w:jc w:val="left"/>
              <w:rPr>
                <w:rFonts w:cs="Calibri"/>
              </w:rPr>
            </w:pPr>
            <w:r w:rsidRPr="001E57F2">
              <w:rPr>
                <w:rFonts w:cs="Calibri"/>
              </w:rPr>
              <w:t>Not stated</w:t>
            </w:r>
          </w:p>
        </w:tc>
        <w:tc>
          <w:tcPr>
            <w:tcW w:w="1344" w:type="dxa"/>
            <w:tcBorders>
              <w:bottom w:val="nil"/>
            </w:tcBorders>
            <w:shd w:val="clear" w:color="auto" w:fill="auto"/>
          </w:tcPr>
          <w:p w14:paraId="4175258F" w14:textId="5FF472AC" w:rsidR="00561AFA" w:rsidRPr="001E57F2" w:rsidRDefault="00561AFA" w:rsidP="00F374B2">
            <w:pPr>
              <w:pStyle w:val="TableText"/>
              <w:jc w:val="left"/>
              <w:rPr>
                <w:rFonts w:cs="Calibri"/>
              </w:rPr>
            </w:pPr>
            <w:r>
              <w:rPr>
                <w:rFonts w:cs="Calibri"/>
              </w:rPr>
              <w:t>1 </w:t>
            </w:r>
            <w:r w:rsidRPr="001E57F2">
              <w:rPr>
                <w:rFonts w:cs="Calibri"/>
              </w:rPr>
              <w:t>138</w:t>
            </w:r>
          </w:p>
        </w:tc>
        <w:tc>
          <w:tcPr>
            <w:tcW w:w="1214" w:type="dxa"/>
            <w:tcBorders>
              <w:bottom w:val="nil"/>
            </w:tcBorders>
            <w:shd w:val="clear" w:color="auto" w:fill="auto"/>
          </w:tcPr>
          <w:p w14:paraId="462EC60D" w14:textId="43D9275D" w:rsidR="00561AFA" w:rsidRPr="00F95492" w:rsidRDefault="00561AFA" w:rsidP="00F374B2">
            <w:pPr>
              <w:pStyle w:val="TableText"/>
              <w:jc w:val="left"/>
              <w:rPr>
                <w:rFonts w:cs="Calibri"/>
              </w:rPr>
            </w:pPr>
            <w:r w:rsidRPr="00F95492">
              <w:rPr>
                <w:rFonts w:cs="Calibri"/>
              </w:rPr>
              <w:t>Fairchild et al</w:t>
            </w:r>
            <w:r>
              <w:rPr>
                <w:rFonts w:cs="Calibri"/>
              </w:rPr>
              <w:t>.</w:t>
            </w:r>
            <w:r w:rsidRPr="00F95492">
              <w:rPr>
                <w:rFonts w:cs="Calibri"/>
              </w:rPr>
              <w:t xml:space="preserve"> (1998)</w:t>
            </w:r>
          </w:p>
        </w:tc>
      </w:tr>
      <w:tr w:rsidR="00F95492" w:rsidRPr="00F94663" w14:paraId="0EC5F2B4" w14:textId="77777777" w:rsidTr="00561AFA">
        <w:trPr>
          <w:cantSplit/>
        </w:trPr>
        <w:tc>
          <w:tcPr>
            <w:tcW w:w="11660" w:type="dxa"/>
            <w:gridSpan w:val="8"/>
            <w:tcBorders>
              <w:top w:val="nil"/>
            </w:tcBorders>
            <w:shd w:val="clear" w:color="auto" w:fill="auto"/>
          </w:tcPr>
          <w:p w14:paraId="66DF6471" w14:textId="443B6162" w:rsidR="00F95492" w:rsidRPr="001E57F2" w:rsidRDefault="00C340EC" w:rsidP="00F374B2">
            <w:pPr>
              <w:pStyle w:val="TableText"/>
              <w:jc w:val="left"/>
              <w:rPr>
                <w:rFonts w:cs="Calibri"/>
              </w:rPr>
            </w:pPr>
            <w:r>
              <w:rPr>
                <w:rFonts w:cs="Calibri"/>
              </w:rPr>
              <w:t>–</w:t>
            </w:r>
          </w:p>
        </w:tc>
        <w:tc>
          <w:tcPr>
            <w:tcW w:w="1344" w:type="dxa"/>
            <w:tcBorders>
              <w:top w:val="nil"/>
            </w:tcBorders>
            <w:shd w:val="clear" w:color="auto" w:fill="auto"/>
          </w:tcPr>
          <w:p w14:paraId="231D3A7D" w14:textId="72ABC959" w:rsidR="00F95492" w:rsidRPr="001E57F2" w:rsidRDefault="00F95492" w:rsidP="00F374B2">
            <w:pPr>
              <w:pStyle w:val="TableText"/>
              <w:jc w:val="left"/>
              <w:rPr>
                <w:rFonts w:cs="Calibri"/>
              </w:rPr>
            </w:pPr>
            <w:r w:rsidRPr="001E57F2">
              <w:rPr>
                <w:b/>
              </w:rPr>
              <w:t>22</w:t>
            </w:r>
            <w:r w:rsidR="009D6277">
              <w:rPr>
                <w:b/>
              </w:rPr>
              <w:t>8</w:t>
            </w:r>
            <w:r w:rsidR="00A250FE">
              <w:rPr>
                <w:b/>
              </w:rPr>
              <w:t xml:space="preserve"> </w:t>
            </w:r>
            <w:r w:rsidR="002326A9" w:rsidRPr="002326A9">
              <w:rPr>
                <w:rStyle w:val="Strong"/>
                <w:vertAlign w:val="superscript"/>
              </w:rPr>
              <w:t>d</w:t>
            </w:r>
          </w:p>
        </w:tc>
        <w:tc>
          <w:tcPr>
            <w:tcW w:w="1214" w:type="dxa"/>
            <w:tcBorders>
              <w:top w:val="nil"/>
            </w:tcBorders>
            <w:shd w:val="clear" w:color="auto" w:fill="auto"/>
          </w:tcPr>
          <w:p w14:paraId="3359956B" w14:textId="77777777" w:rsidR="00F95492" w:rsidRPr="00F95492" w:rsidRDefault="00F95492" w:rsidP="00F374B2">
            <w:pPr>
              <w:pStyle w:val="TableText"/>
              <w:jc w:val="left"/>
              <w:rPr>
                <w:rFonts w:cs="Calibri"/>
              </w:rPr>
            </w:pPr>
            <w:r w:rsidRPr="00F95492">
              <w:rPr>
                <w:b/>
              </w:rPr>
              <w:t>VALUE USED IN SSD</w:t>
            </w:r>
          </w:p>
        </w:tc>
      </w:tr>
      <w:tr w:rsidR="00561AFA" w:rsidRPr="00F94663" w14:paraId="10CB3205"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2A64EF98" w14:textId="2600A588" w:rsidR="00561AFA" w:rsidRPr="00A5357B" w:rsidRDefault="00561AFA" w:rsidP="00A5357B">
            <w:pPr>
              <w:pStyle w:val="TableText"/>
              <w:jc w:val="left"/>
            </w:pPr>
            <w:r w:rsidRPr="00A5357B">
              <w:lastRenderedPageBreak/>
              <w:t>Green alga (Chlorophyta)</w:t>
            </w:r>
          </w:p>
        </w:tc>
        <w:tc>
          <w:tcPr>
            <w:tcW w:w="1700" w:type="dxa"/>
            <w:tcBorders>
              <w:bottom w:val="nil"/>
            </w:tcBorders>
            <w:shd w:val="clear" w:color="auto" w:fill="auto"/>
          </w:tcPr>
          <w:p w14:paraId="7D486020" w14:textId="4BF54255" w:rsidR="00561AFA" w:rsidRPr="00F95492" w:rsidRDefault="00561AFA" w:rsidP="00F35AD3">
            <w:pPr>
              <w:pStyle w:val="TableText"/>
              <w:jc w:val="left"/>
              <w:rPr>
                <w:rFonts w:cs="Calibri"/>
              </w:rPr>
            </w:pPr>
            <w:r w:rsidRPr="00BD5464">
              <w:rPr>
                <w:rStyle w:val="Emphasis"/>
              </w:rPr>
              <w:t xml:space="preserve">Chlorella </w:t>
            </w:r>
            <w:proofErr w:type="spellStart"/>
            <w:r w:rsidRPr="00BD5464">
              <w:rPr>
                <w:rStyle w:val="Emphasis"/>
              </w:rPr>
              <w:t>pyrenoidosa</w:t>
            </w:r>
            <w:proofErr w:type="spellEnd"/>
            <w:r>
              <w:rPr>
                <w:vertAlign w:val="superscript"/>
              </w:rPr>
              <w:t xml:space="preserve"> </w:t>
            </w:r>
            <w:r w:rsidRPr="00F35AD3">
              <w:rPr>
                <w:rStyle w:val="Strong"/>
                <w:vertAlign w:val="superscript"/>
              </w:rPr>
              <w:t>b</w:t>
            </w:r>
          </w:p>
        </w:tc>
        <w:tc>
          <w:tcPr>
            <w:tcW w:w="1382" w:type="dxa"/>
            <w:tcBorders>
              <w:bottom w:val="nil"/>
            </w:tcBorders>
            <w:shd w:val="clear" w:color="auto" w:fill="auto"/>
          </w:tcPr>
          <w:p w14:paraId="5C9C9785" w14:textId="77777777" w:rsidR="00561AFA" w:rsidRPr="001E57F2" w:rsidRDefault="00561AFA" w:rsidP="00F95492">
            <w:pPr>
              <w:pStyle w:val="TableText"/>
              <w:jc w:val="left"/>
              <w:rPr>
                <w:rFonts w:cs="Calibri"/>
              </w:rPr>
            </w:pPr>
            <w:r w:rsidRPr="001E57F2">
              <w:t>Exponential growth phase</w:t>
            </w:r>
          </w:p>
        </w:tc>
        <w:tc>
          <w:tcPr>
            <w:tcW w:w="1008" w:type="dxa"/>
            <w:tcBorders>
              <w:bottom w:val="nil"/>
            </w:tcBorders>
            <w:shd w:val="clear" w:color="auto" w:fill="auto"/>
          </w:tcPr>
          <w:p w14:paraId="7E6DB8BB" w14:textId="77777777" w:rsidR="00561AFA" w:rsidRPr="001E57F2" w:rsidRDefault="00561AFA" w:rsidP="00F95492">
            <w:pPr>
              <w:pStyle w:val="TableText"/>
              <w:jc w:val="left"/>
              <w:rPr>
                <w:rFonts w:cs="Calibri"/>
              </w:rPr>
            </w:pPr>
            <w:r w:rsidRPr="001E57F2">
              <w:t>4</w:t>
            </w:r>
          </w:p>
        </w:tc>
        <w:tc>
          <w:tcPr>
            <w:tcW w:w="1864" w:type="dxa"/>
            <w:tcBorders>
              <w:bottom w:val="nil"/>
            </w:tcBorders>
            <w:shd w:val="clear" w:color="auto" w:fill="auto"/>
          </w:tcPr>
          <w:p w14:paraId="1D6D4FCB" w14:textId="77777777" w:rsidR="00561AFA" w:rsidRPr="001E57F2" w:rsidRDefault="00561AFA" w:rsidP="00F95492">
            <w:pPr>
              <w:pStyle w:val="TableText"/>
              <w:jc w:val="left"/>
            </w:pPr>
            <w:r w:rsidRPr="001E57F2">
              <w:t xml:space="preserve">NOEC </w:t>
            </w:r>
          </w:p>
          <w:p w14:paraId="059AE5C8" w14:textId="308BA5BF" w:rsidR="00561AFA" w:rsidRPr="001E57F2" w:rsidRDefault="00561AFA" w:rsidP="00B60283">
            <w:pPr>
              <w:pStyle w:val="TableText"/>
              <w:jc w:val="left"/>
              <w:rPr>
                <w:rFonts w:cs="Calibri"/>
              </w:rPr>
            </w:pPr>
            <w:r w:rsidRPr="001E57F2">
              <w:t>(Chlorophyll</w:t>
            </w:r>
            <w:r>
              <w:t>-</w:t>
            </w:r>
            <w:r w:rsidRPr="00B60283">
              <w:t>a</w:t>
            </w:r>
            <w:r w:rsidRPr="001E57F2">
              <w:t xml:space="preserve"> content)</w:t>
            </w:r>
          </w:p>
        </w:tc>
        <w:tc>
          <w:tcPr>
            <w:tcW w:w="1734" w:type="dxa"/>
            <w:tcBorders>
              <w:bottom w:val="nil"/>
            </w:tcBorders>
            <w:shd w:val="clear" w:color="auto" w:fill="auto"/>
          </w:tcPr>
          <w:p w14:paraId="226DE4A0" w14:textId="77777777" w:rsidR="00561AFA" w:rsidRPr="001E57F2" w:rsidRDefault="00561AFA" w:rsidP="00F95492">
            <w:pPr>
              <w:pStyle w:val="TableText"/>
              <w:jc w:val="left"/>
              <w:rPr>
                <w:rFonts w:cs="Calibri"/>
              </w:rPr>
            </w:pPr>
            <w:r w:rsidRPr="001E57F2">
              <w:t>HB-4 medium</w:t>
            </w:r>
          </w:p>
        </w:tc>
        <w:tc>
          <w:tcPr>
            <w:tcW w:w="1296" w:type="dxa"/>
            <w:tcBorders>
              <w:bottom w:val="nil"/>
            </w:tcBorders>
            <w:shd w:val="clear" w:color="auto" w:fill="auto"/>
          </w:tcPr>
          <w:p w14:paraId="6CE8A617" w14:textId="77777777" w:rsidR="00561AFA" w:rsidRPr="001E57F2" w:rsidRDefault="00561AFA" w:rsidP="00F95492">
            <w:pPr>
              <w:pStyle w:val="TableText"/>
              <w:jc w:val="left"/>
              <w:rPr>
                <w:rFonts w:cs="Calibri"/>
              </w:rPr>
            </w:pPr>
            <w:r w:rsidRPr="001E57F2">
              <w:t>25</w:t>
            </w:r>
          </w:p>
        </w:tc>
        <w:tc>
          <w:tcPr>
            <w:tcW w:w="1151" w:type="dxa"/>
            <w:tcBorders>
              <w:bottom w:val="nil"/>
            </w:tcBorders>
            <w:shd w:val="clear" w:color="auto" w:fill="auto"/>
          </w:tcPr>
          <w:p w14:paraId="3438A3A3" w14:textId="77777777" w:rsidR="00561AFA" w:rsidRPr="001E57F2" w:rsidRDefault="00561AFA" w:rsidP="00F95492">
            <w:pPr>
              <w:pStyle w:val="TableText"/>
              <w:jc w:val="left"/>
              <w:rPr>
                <w:rFonts w:cs="Calibri"/>
              </w:rPr>
            </w:pPr>
            <w:r w:rsidRPr="001E57F2">
              <w:t>Not stated</w:t>
            </w:r>
          </w:p>
        </w:tc>
        <w:tc>
          <w:tcPr>
            <w:tcW w:w="1344" w:type="dxa"/>
            <w:tcBorders>
              <w:bottom w:val="nil"/>
            </w:tcBorders>
            <w:shd w:val="clear" w:color="auto" w:fill="auto"/>
          </w:tcPr>
          <w:p w14:paraId="7BEA719D" w14:textId="77777777" w:rsidR="00561AFA" w:rsidRPr="001E57F2" w:rsidRDefault="00561AFA" w:rsidP="00F95492">
            <w:pPr>
              <w:pStyle w:val="TableText"/>
              <w:jc w:val="left"/>
              <w:rPr>
                <w:rFonts w:cs="Calibri"/>
                <w:b/>
              </w:rPr>
            </w:pPr>
            <w:r w:rsidRPr="001E57F2">
              <w:t>1</w:t>
            </w:r>
          </w:p>
        </w:tc>
        <w:tc>
          <w:tcPr>
            <w:tcW w:w="1214" w:type="dxa"/>
            <w:tcBorders>
              <w:bottom w:val="nil"/>
            </w:tcBorders>
            <w:shd w:val="clear" w:color="auto" w:fill="auto"/>
          </w:tcPr>
          <w:p w14:paraId="6C158639" w14:textId="77777777" w:rsidR="00561AFA" w:rsidRPr="00F95492" w:rsidRDefault="00561AFA" w:rsidP="00F95492">
            <w:pPr>
              <w:pStyle w:val="TableText"/>
              <w:jc w:val="left"/>
              <w:rPr>
                <w:rFonts w:cs="Calibri"/>
              </w:rPr>
            </w:pPr>
            <w:r w:rsidRPr="00F95492">
              <w:t xml:space="preserve">Liu and </w:t>
            </w:r>
            <w:proofErr w:type="spellStart"/>
            <w:r w:rsidRPr="00F95492">
              <w:t>Xiong</w:t>
            </w:r>
            <w:proofErr w:type="spellEnd"/>
            <w:r w:rsidRPr="00F95492">
              <w:t xml:space="preserve"> (2009)</w:t>
            </w:r>
          </w:p>
        </w:tc>
      </w:tr>
      <w:tr w:rsidR="00F95492" w:rsidRPr="00F94663" w14:paraId="30ADB220" w14:textId="77777777" w:rsidTr="00561AFA">
        <w:trPr>
          <w:cantSplit/>
        </w:trPr>
        <w:tc>
          <w:tcPr>
            <w:tcW w:w="11660" w:type="dxa"/>
            <w:gridSpan w:val="8"/>
            <w:tcBorders>
              <w:top w:val="nil"/>
            </w:tcBorders>
            <w:shd w:val="clear" w:color="auto" w:fill="auto"/>
          </w:tcPr>
          <w:p w14:paraId="362B3FEF" w14:textId="14B52307"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34407F6E" w14:textId="77777777" w:rsidR="00F95492" w:rsidRPr="001E57F2" w:rsidRDefault="00F95492" w:rsidP="00F95492">
            <w:pPr>
              <w:pStyle w:val="TableText"/>
              <w:jc w:val="left"/>
              <w:rPr>
                <w:rFonts w:cs="Calibri"/>
              </w:rPr>
            </w:pPr>
            <w:r w:rsidRPr="001E57F2">
              <w:rPr>
                <w:b/>
              </w:rPr>
              <w:t>1</w:t>
            </w:r>
          </w:p>
        </w:tc>
        <w:tc>
          <w:tcPr>
            <w:tcW w:w="1214" w:type="dxa"/>
            <w:tcBorders>
              <w:top w:val="nil"/>
            </w:tcBorders>
            <w:shd w:val="clear" w:color="auto" w:fill="auto"/>
          </w:tcPr>
          <w:p w14:paraId="29655D01" w14:textId="77777777" w:rsidR="00F95492" w:rsidRPr="00F95492" w:rsidRDefault="00F95492" w:rsidP="00F95492">
            <w:pPr>
              <w:pStyle w:val="TableText"/>
              <w:jc w:val="left"/>
              <w:rPr>
                <w:rFonts w:cs="Calibri"/>
              </w:rPr>
            </w:pPr>
            <w:r w:rsidRPr="00F95492">
              <w:rPr>
                <w:b/>
              </w:rPr>
              <w:t>VALUE USED IN SSD</w:t>
            </w:r>
          </w:p>
        </w:tc>
      </w:tr>
      <w:tr w:rsidR="00561AFA" w:rsidRPr="00F94663" w14:paraId="7D3FA012"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vMerge w:val="restart"/>
            <w:shd w:val="clear" w:color="auto" w:fill="auto"/>
          </w:tcPr>
          <w:p w14:paraId="50E78461" w14:textId="38B2CF37" w:rsidR="00561AFA" w:rsidRPr="001E57F2" w:rsidRDefault="00561AFA" w:rsidP="00A5357B">
            <w:pPr>
              <w:pStyle w:val="TableText"/>
              <w:jc w:val="left"/>
              <w:rPr>
                <w:rFonts w:cs="Calibri"/>
              </w:rPr>
            </w:pPr>
            <w:r>
              <w:t>Green alga (</w:t>
            </w:r>
            <w:r w:rsidRPr="001E57F2">
              <w:t>Chlorophyta</w:t>
            </w:r>
            <w:r>
              <w:t>)</w:t>
            </w:r>
          </w:p>
        </w:tc>
        <w:tc>
          <w:tcPr>
            <w:tcW w:w="1700" w:type="dxa"/>
            <w:vMerge w:val="restart"/>
            <w:shd w:val="clear" w:color="auto" w:fill="auto"/>
          </w:tcPr>
          <w:p w14:paraId="5CCE4B2A" w14:textId="0785F273" w:rsidR="00561AFA" w:rsidRPr="00F95492" w:rsidRDefault="00561AFA" w:rsidP="00A5357B">
            <w:pPr>
              <w:pStyle w:val="TableText"/>
              <w:jc w:val="left"/>
              <w:rPr>
                <w:rFonts w:cs="Calibri"/>
              </w:rPr>
            </w:pPr>
            <w:proofErr w:type="spellStart"/>
            <w:r w:rsidRPr="00BD5464">
              <w:rPr>
                <w:rStyle w:val="Emphasis"/>
              </w:rPr>
              <w:t>Pseudokirchneriella</w:t>
            </w:r>
            <w:proofErr w:type="spellEnd"/>
            <w:r w:rsidRPr="00BD5464">
              <w:rPr>
                <w:rStyle w:val="Emphasis"/>
              </w:rPr>
              <w:t xml:space="preserve"> </w:t>
            </w:r>
            <w:proofErr w:type="spellStart"/>
            <w:r w:rsidRPr="00BD5464">
              <w:rPr>
                <w:rStyle w:val="Emphasis"/>
              </w:rPr>
              <w:t>subcapitata</w:t>
            </w:r>
            <w:proofErr w:type="spellEnd"/>
            <w:r>
              <w:rPr>
                <w:vertAlign w:val="superscript"/>
              </w:rPr>
              <w:t xml:space="preserve"> </w:t>
            </w:r>
            <w:r w:rsidRPr="00F35AD3">
              <w:rPr>
                <w:rStyle w:val="Strong"/>
                <w:vertAlign w:val="superscript"/>
              </w:rPr>
              <w:t>c</w:t>
            </w:r>
          </w:p>
        </w:tc>
        <w:tc>
          <w:tcPr>
            <w:tcW w:w="1382" w:type="dxa"/>
            <w:shd w:val="clear" w:color="auto" w:fill="auto"/>
          </w:tcPr>
          <w:p w14:paraId="7126607F" w14:textId="77777777" w:rsidR="00561AFA" w:rsidRPr="001E57F2" w:rsidRDefault="00561AFA" w:rsidP="00F95492">
            <w:pPr>
              <w:pStyle w:val="TableText"/>
              <w:jc w:val="left"/>
              <w:rPr>
                <w:rFonts w:cs="Calibri"/>
              </w:rPr>
            </w:pPr>
            <w:r w:rsidRPr="001E57F2">
              <w:t>Exponential growth phase</w:t>
            </w:r>
          </w:p>
        </w:tc>
        <w:tc>
          <w:tcPr>
            <w:tcW w:w="1008" w:type="dxa"/>
            <w:shd w:val="clear" w:color="auto" w:fill="auto"/>
          </w:tcPr>
          <w:p w14:paraId="6850EAF6" w14:textId="77777777" w:rsidR="00561AFA" w:rsidRPr="001E57F2" w:rsidRDefault="00561AFA" w:rsidP="00F95492">
            <w:pPr>
              <w:pStyle w:val="TableText"/>
              <w:jc w:val="left"/>
              <w:rPr>
                <w:rFonts w:cs="Calibri"/>
              </w:rPr>
            </w:pPr>
            <w:r w:rsidRPr="001E57F2">
              <w:t>3</w:t>
            </w:r>
          </w:p>
        </w:tc>
        <w:tc>
          <w:tcPr>
            <w:tcW w:w="1864" w:type="dxa"/>
            <w:shd w:val="clear" w:color="auto" w:fill="auto"/>
          </w:tcPr>
          <w:p w14:paraId="186CAE5C" w14:textId="77777777" w:rsidR="00561AFA" w:rsidRPr="001E57F2" w:rsidRDefault="00561AFA" w:rsidP="00F95492">
            <w:pPr>
              <w:pStyle w:val="TableText"/>
              <w:jc w:val="left"/>
            </w:pPr>
            <w:r w:rsidRPr="001E57F2">
              <w:t xml:space="preserve">NOEC </w:t>
            </w:r>
          </w:p>
          <w:p w14:paraId="1C69B467" w14:textId="77777777" w:rsidR="00561AFA" w:rsidRPr="001E57F2" w:rsidRDefault="00561AFA" w:rsidP="00F95492">
            <w:pPr>
              <w:pStyle w:val="TableText"/>
              <w:jc w:val="left"/>
              <w:rPr>
                <w:rFonts w:cs="Calibri"/>
              </w:rPr>
            </w:pPr>
            <w:r w:rsidRPr="001E57F2">
              <w:t>(Cell density)</w:t>
            </w:r>
          </w:p>
        </w:tc>
        <w:tc>
          <w:tcPr>
            <w:tcW w:w="1734" w:type="dxa"/>
            <w:shd w:val="clear" w:color="auto" w:fill="auto"/>
          </w:tcPr>
          <w:p w14:paraId="1E3A87A5" w14:textId="3CE140DA" w:rsidR="00561AFA" w:rsidRPr="001E57F2" w:rsidRDefault="00561AFA" w:rsidP="00453267">
            <w:pPr>
              <w:pStyle w:val="TableText"/>
              <w:jc w:val="left"/>
              <w:rPr>
                <w:rFonts w:cs="Calibri"/>
              </w:rPr>
            </w:pPr>
            <w:r w:rsidRPr="001E57F2">
              <w:t>Marine biological laboratory medium</w:t>
            </w:r>
          </w:p>
        </w:tc>
        <w:tc>
          <w:tcPr>
            <w:tcW w:w="1296" w:type="dxa"/>
            <w:shd w:val="clear" w:color="auto" w:fill="auto"/>
          </w:tcPr>
          <w:p w14:paraId="46728F92" w14:textId="77777777" w:rsidR="00561AFA" w:rsidRPr="001E57F2" w:rsidRDefault="00561AFA" w:rsidP="00F95492">
            <w:pPr>
              <w:pStyle w:val="TableText"/>
              <w:jc w:val="left"/>
              <w:rPr>
                <w:rFonts w:cs="Calibri"/>
              </w:rPr>
            </w:pPr>
            <w:r w:rsidRPr="001E57F2">
              <w:t>21 ± 2</w:t>
            </w:r>
          </w:p>
        </w:tc>
        <w:tc>
          <w:tcPr>
            <w:tcW w:w="1151" w:type="dxa"/>
            <w:shd w:val="clear" w:color="auto" w:fill="auto"/>
          </w:tcPr>
          <w:p w14:paraId="33FAAA95" w14:textId="77777777" w:rsidR="00561AFA" w:rsidRPr="001E57F2" w:rsidRDefault="00561AFA" w:rsidP="00F95492">
            <w:pPr>
              <w:pStyle w:val="TableText"/>
              <w:jc w:val="left"/>
              <w:rPr>
                <w:rFonts w:cs="Calibri"/>
              </w:rPr>
            </w:pPr>
            <w:r w:rsidRPr="001E57F2">
              <w:t>Not stated</w:t>
            </w:r>
          </w:p>
        </w:tc>
        <w:tc>
          <w:tcPr>
            <w:tcW w:w="1344" w:type="dxa"/>
            <w:shd w:val="clear" w:color="auto" w:fill="auto"/>
          </w:tcPr>
          <w:p w14:paraId="326EE81A" w14:textId="77777777" w:rsidR="00561AFA" w:rsidRPr="001E57F2" w:rsidRDefault="00561AFA" w:rsidP="00F95492">
            <w:pPr>
              <w:pStyle w:val="TableText"/>
              <w:jc w:val="left"/>
              <w:rPr>
                <w:rFonts w:cs="Calibri"/>
                <w:b/>
              </w:rPr>
            </w:pPr>
            <w:r w:rsidRPr="001E57F2">
              <w:t>25</w:t>
            </w:r>
          </w:p>
        </w:tc>
        <w:tc>
          <w:tcPr>
            <w:tcW w:w="1214" w:type="dxa"/>
            <w:shd w:val="clear" w:color="auto" w:fill="auto"/>
          </w:tcPr>
          <w:p w14:paraId="63CAFC58" w14:textId="50D510FA" w:rsidR="00561AFA" w:rsidRPr="00F95492" w:rsidRDefault="00561AFA" w:rsidP="00F95492">
            <w:pPr>
              <w:pStyle w:val="TableText"/>
              <w:jc w:val="left"/>
              <w:rPr>
                <w:rFonts w:cs="Calibri"/>
              </w:rPr>
            </w:pPr>
            <w:r w:rsidRPr="00F95492">
              <w:t>Perez et al</w:t>
            </w:r>
            <w:r>
              <w:t>.</w:t>
            </w:r>
            <w:r w:rsidRPr="00F95492">
              <w:t xml:space="preserve"> (2011)</w:t>
            </w:r>
          </w:p>
        </w:tc>
      </w:tr>
      <w:tr w:rsidR="00561AFA" w:rsidRPr="00F94663" w14:paraId="09A7C6E8" w14:textId="77777777" w:rsidTr="00561AFA">
        <w:trPr>
          <w:cantSplit/>
        </w:trPr>
        <w:tc>
          <w:tcPr>
            <w:tcW w:w="1525" w:type="dxa"/>
            <w:vMerge/>
            <w:tcBorders>
              <w:bottom w:val="nil"/>
            </w:tcBorders>
            <w:shd w:val="clear" w:color="auto" w:fill="auto"/>
          </w:tcPr>
          <w:p w14:paraId="727AAA7F" w14:textId="0AC44EE6" w:rsidR="00561AFA" w:rsidRPr="001E57F2" w:rsidRDefault="00561AFA" w:rsidP="00F95492">
            <w:pPr>
              <w:pStyle w:val="TableText"/>
              <w:jc w:val="left"/>
              <w:rPr>
                <w:rFonts w:cs="Calibri"/>
              </w:rPr>
            </w:pPr>
          </w:p>
        </w:tc>
        <w:tc>
          <w:tcPr>
            <w:tcW w:w="1700" w:type="dxa"/>
            <w:vMerge/>
            <w:tcBorders>
              <w:bottom w:val="nil"/>
            </w:tcBorders>
            <w:shd w:val="clear" w:color="auto" w:fill="auto"/>
          </w:tcPr>
          <w:p w14:paraId="66EBAC4A" w14:textId="73280BC6" w:rsidR="00561AFA" w:rsidRPr="00F95492" w:rsidRDefault="00561AFA" w:rsidP="00FE50CF">
            <w:pPr>
              <w:pStyle w:val="TableText"/>
              <w:jc w:val="left"/>
              <w:rPr>
                <w:rFonts w:cs="Calibri"/>
              </w:rPr>
            </w:pPr>
          </w:p>
        </w:tc>
        <w:tc>
          <w:tcPr>
            <w:tcW w:w="1382" w:type="dxa"/>
            <w:tcBorders>
              <w:bottom w:val="nil"/>
            </w:tcBorders>
            <w:shd w:val="clear" w:color="auto" w:fill="auto"/>
          </w:tcPr>
          <w:p w14:paraId="7A3D9122" w14:textId="77777777" w:rsidR="00561AFA" w:rsidRPr="001E57F2" w:rsidRDefault="00561AFA" w:rsidP="00F95492">
            <w:pPr>
              <w:pStyle w:val="TableText"/>
              <w:jc w:val="left"/>
              <w:rPr>
                <w:rFonts w:cs="Calibri"/>
              </w:rPr>
            </w:pPr>
            <w:r w:rsidRPr="001E57F2">
              <w:t>Exponential growth phase</w:t>
            </w:r>
          </w:p>
        </w:tc>
        <w:tc>
          <w:tcPr>
            <w:tcW w:w="1008" w:type="dxa"/>
            <w:tcBorders>
              <w:bottom w:val="nil"/>
            </w:tcBorders>
            <w:shd w:val="clear" w:color="auto" w:fill="auto"/>
          </w:tcPr>
          <w:p w14:paraId="26F5C807" w14:textId="77777777" w:rsidR="00561AFA" w:rsidRPr="001E57F2" w:rsidRDefault="00561AFA" w:rsidP="00F95492">
            <w:pPr>
              <w:pStyle w:val="TableText"/>
              <w:jc w:val="left"/>
              <w:rPr>
                <w:rFonts w:cs="Calibri"/>
              </w:rPr>
            </w:pPr>
            <w:r w:rsidRPr="001E57F2">
              <w:t>3</w:t>
            </w:r>
          </w:p>
        </w:tc>
        <w:tc>
          <w:tcPr>
            <w:tcW w:w="1864" w:type="dxa"/>
            <w:tcBorders>
              <w:bottom w:val="nil"/>
            </w:tcBorders>
            <w:shd w:val="clear" w:color="auto" w:fill="auto"/>
          </w:tcPr>
          <w:p w14:paraId="41AC25C2" w14:textId="77777777" w:rsidR="00561AFA" w:rsidRPr="001E57F2" w:rsidRDefault="00561AFA" w:rsidP="00F95492">
            <w:pPr>
              <w:pStyle w:val="TableText"/>
              <w:jc w:val="left"/>
            </w:pPr>
            <w:r w:rsidRPr="001E57F2">
              <w:t xml:space="preserve">NOEC </w:t>
            </w:r>
          </w:p>
          <w:p w14:paraId="04315E12" w14:textId="77777777" w:rsidR="00561AFA" w:rsidRPr="001E57F2" w:rsidRDefault="00561AFA" w:rsidP="00F95492">
            <w:pPr>
              <w:pStyle w:val="TableText"/>
              <w:jc w:val="left"/>
              <w:rPr>
                <w:rFonts w:cs="Calibri"/>
              </w:rPr>
            </w:pPr>
            <w:r w:rsidRPr="001E57F2">
              <w:t>(Cell density)</w:t>
            </w:r>
          </w:p>
        </w:tc>
        <w:tc>
          <w:tcPr>
            <w:tcW w:w="1734" w:type="dxa"/>
            <w:tcBorders>
              <w:bottom w:val="nil"/>
            </w:tcBorders>
            <w:shd w:val="clear" w:color="auto" w:fill="auto"/>
          </w:tcPr>
          <w:p w14:paraId="74F27CCD" w14:textId="77777777" w:rsidR="00561AFA" w:rsidRPr="001E57F2" w:rsidRDefault="00561AFA" w:rsidP="00F95492">
            <w:pPr>
              <w:pStyle w:val="TableText"/>
              <w:jc w:val="left"/>
              <w:rPr>
                <w:rFonts w:cs="Calibri"/>
              </w:rPr>
            </w:pPr>
            <w:r w:rsidRPr="001E57F2">
              <w:t>ASTM Type I water</w:t>
            </w:r>
          </w:p>
        </w:tc>
        <w:tc>
          <w:tcPr>
            <w:tcW w:w="1296" w:type="dxa"/>
            <w:tcBorders>
              <w:bottom w:val="nil"/>
            </w:tcBorders>
            <w:shd w:val="clear" w:color="auto" w:fill="auto"/>
          </w:tcPr>
          <w:p w14:paraId="15AAC162" w14:textId="77777777" w:rsidR="00561AFA" w:rsidRPr="001E57F2" w:rsidRDefault="00561AFA" w:rsidP="00F95492">
            <w:pPr>
              <w:pStyle w:val="TableText"/>
              <w:jc w:val="left"/>
              <w:rPr>
                <w:rFonts w:cs="Calibri"/>
              </w:rPr>
            </w:pPr>
            <w:r w:rsidRPr="001E57F2">
              <w:t>24 ± 2</w:t>
            </w:r>
          </w:p>
        </w:tc>
        <w:tc>
          <w:tcPr>
            <w:tcW w:w="1151" w:type="dxa"/>
            <w:tcBorders>
              <w:bottom w:val="nil"/>
            </w:tcBorders>
            <w:shd w:val="clear" w:color="auto" w:fill="auto"/>
          </w:tcPr>
          <w:p w14:paraId="52C97849" w14:textId="77777777" w:rsidR="00561AFA" w:rsidRPr="001E57F2" w:rsidRDefault="00561AFA" w:rsidP="00F95492">
            <w:pPr>
              <w:pStyle w:val="TableText"/>
              <w:jc w:val="left"/>
              <w:rPr>
                <w:rFonts w:cs="Calibri"/>
              </w:rPr>
            </w:pPr>
            <w:r w:rsidRPr="001E57F2">
              <w:t>6.5–8.5</w:t>
            </w:r>
          </w:p>
        </w:tc>
        <w:tc>
          <w:tcPr>
            <w:tcW w:w="1344" w:type="dxa"/>
            <w:tcBorders>
              <w:bottom w:val="nil"/>
            </w:tcBorders>
            <w:shd w:val="clear" w:color="auto" w:fill="auto"/>
          </w:tcPr>
          <w:p w14:paraId="16185E64" w14:textId="77777777" w:rsidR="00561AFA" w:rsidRPr="001E57F2" w:rsidRDefault="00561AFA" w:rsidP="00F95492">
            <w:pPr>
              <w:pStyle w:val="TableText"/>
              <w:jc w:val="left"/>
              <w:rPr>
                <w:rFonts w:cs="Calibri"/>
              </w:rPr>
            </w:pPr>
            <w:r w:rsidRPr="001E57F2">
              <w:t>30</w:t>
            </w:r>
          </w:p>
        </w:tc>
        <w:tc>
          <w:tcPr>
            <w:tcW w:w="1214" w:type="dxa"/>
            <w:tcBorders>
              <w:bottom w:val="nil"/>
            </w:tcBorders>
            <w:shd w:val="clear" w:color="auto" w:fill="auto"/>
          </w:tcPr>
          <w:p w14:paraId="3FE9DBF3" w14:textId="18F92BE7" w:rsidR="00561AFA" w:rsidRPr="00F95492" w:rsidRDefault="00561AFA" w:rsidP="00F95492">
            <w:pPr>
              <w:pStyle w:val="TableText"/>
              <w:jc w:val="left"/>
              <w:rPr>
                <w:rFonts w:cs="Calibri"/>
              </w:rPr>
            </w:pPr>
            <w:proofErr w:type="spellStart"/>
            <w:r w:rsidRPr="00F95492">
              <w:t>Sbrilli</w:t>
            </w:r>
            <w:proofErr w:type="spellEnd"/>
            <w:r w:rsidRPr="00F95492">
              <w:t xml:space="preserve"> et al</w:t>
            </w:r>
            <w:r>
              <w:t>.</w:t>
            </w:r>
            <w:r w:rsidRPr="00F95492">
              <w:t xml:space="preserve"> (2005)</w:t>
            </w:r>
          </w:p>
        </w:tc>
      </w:tr>
      <w:tr w:rsidR="00F95492" w:rsidRPr="00F94663" w14:paraId="1F5E2F96"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1660" w:type="dxa"/>
            <w:gridSpan w:val="8"/>
            <w:tcBorders>
              <w:top w:val="nil"/>
            </w:tcBorders>
            <w:shd w:val="clear" w:color="auto" w:fill="auto"/>
          </w:tcPr>
          <w:p w14:paraId="4AE78121" w14:textId="75169C07"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2E51B39E" w14:textId="77777777" w:rsidR="00F95492" w:rsidRPr="001E57F2" w:rsidRDefault="00F95492" w:rsidP="00F95492">
            <w:pPr>
              <w:pStyle w:val="TableText"/>
              <w:jc w:val="left"/>
              <w:rPr>
                <w:rFonts w:cs="Calibri"/>
                <w:b/>
              </w:rPr>
            </w:pPr>
            <w:r w:rsidRPr="001E57F2">
              <w:rPr>
                <w:b/>
              </w:rPr>
              <w:t>27.4</w:t>
            </w:r>
          </w:p>
        </w:tc>
        <w:tc>
          <w:tcPr>
            <w:tcW w:w="1214" w:type="dxa"/>
            <w:tcBorders>
              <w:top w:val="nil"/>
            </w:tcBorders>
            <w:shd w:val="clear" w:color="auto" w:fill="auto"/>
          </w:tcPr>
          <w:p w14:paraId="0F648C11" w14:textId="4D27EC33" w:rsidR="00F95492" w:rsidRPr="00F95492" w:rsidRDefault="00F95492" w:rsidP="00F95492">
            <w:pPr>
              <w:pStyle w:val="TableText"/>
              <w:jc w:val="left"/>
              <w:rPr>
                <w:rFonts w:cs="Calibri"/>
                <w:b/>
              </w:rPr>
            </w:pPr>
            <w:r w:rsidRPr="00F95492">
              <w:rPr>
                <w:b/>
              </w:rPr>
              <w:t>VALUE USED IN SSD</w:t>
            </w:r>
            <w:r w:rsidR="002C58FC">
              <w:rPr>
                <w:b/>
              </w:rPr>
              <w:t xml:space="preserve"> (GEOMETRIC MEAN)</w:t>
            </w:r>
          </w:p>
        </w:tc>
      </w:tr>
      <w:tr w:rsidR="00561AFA" w:rsidRPr="00F94663" w14:paraId="2B189EF0" w14:textId="77777777" w:rsidTr="00561AFA">
        <w:trPr>
          <w:cantSplit/>
        </w:trPr>
        <w:tc>
          <w:tcPr>
            <w:tcW w:w="1525" w:type="dxa"/>
            <w:vMerge w:val="restart"/>
            <w:shd w:val="clear" w:color="auto" w:fill="auto"/>
          </w:tcPr>
          <w:p w14:paraId="6AE594E9" w14:textId="3EC4359D" w:rsidR="00561AFA" w:rsidRPr="001E57F2" w:rsidRDefault="00561AFA" w:rsidP="00A5357B">
            <w:pPr>
              <w:pStyle w:val="TableText"/>
              <w:jc w:val="left"/>
              <w:rPr>
                <w:rFonts w:cs="Calibri"/>
              </w:rPr>
            </w:pPr>
            <w:r>
              <w:rPr>
                <w:rFonts w:cs="Calibri"/>
              </w:rPr>
              <w:t>Green alga (</w:t>
            </w:r>
            <w:r w:rsidRPr="001E57F2">
              <w:rPr>
                <w:rFonts w:cs="Calibri"/>
              </w:rPr>
              <w:t>Chlorophyta</w:t>
            </w:r>
            <w:r>
              <w:rPr>
                <w:rFonts w:cs="Calibri"/>
              </w:rPr>
              <w:t>)</w:t>
            </w:r>
          </w:p>
        </w:tc>
        <w:tc>
          <w:tcPr>
            <w:tcW w:w="1700" w:type="dxa"/>
            <w:vMerge w:val="restart"/>
            <w:shd w:val="clear" w:color="auto" w:fill="auto"/>
          </w:tcPr>
          <w:p w14:paraId="048E93E0" w14:textId="0849B090" w:rsidR="00561AFA" w:rsidRPr="00F95492" w:rsidRDefault="00561AFA" w:rsidP="00A5357B">
            <w:pPr>
              <w:pStyle w:val="TableText"/>
              <w:jc w:val="left"/>
              <w:rPr>
                <w:rFonts w:cs="Calibri"/>
              </w:rPr>
            </w:pPr>
            <w:r w:rsidRPr="00BD5464">
              <w:rPr>
                <w:rStyle w:val="Emphasis"/>
              </w:rPr>
              <w:t xml:space="preserve">Scenedesmus </w:t>
            </w:r>
            <w:proofErr w:type="spellStart"/>
            <w:r w:rsidRPr="00BD5464">
              <w:rPr>
                <w:rStyle w:val="Emphasis"/>
              </w:rPr>
              <w:t>vacuolatus</w:t>
            </w:r>
            <w:proofErr w:type="spellEnd"/>
          </w:p>
        </w:tc>
        <w:tc>
          <w:tcPr>
            <w:tcW w:w="1382" w:type="dxa"/>
            <w:shd w:val="clear" w:color="auto" w:fill="auto"/>
          </w:tcPr>
          <w:p w14:paraId="6CCBBB22" w14:textId="77777777" w:rsidR="00561AFA" w:rsidRPr="001E57F2" w:rsidRDefault="00561AFA" w:rsidP="00F95492">
            <w:pPr>
              <w:pStyle w:val="TableText"/>
              <w:jc w:val="left"/>
              <w:rPr>
                <w:rFonts w:cs="Calibri"/>
              </w:rPr>
            </w:pPr>
            <w:r w:rsidRPr="001E57F2">
              <w:rPr>
                <w:rFonts w:cs="Calibri"/>
              </w:rPr>
              <w:t>Exponential growth phase</w:t>
            </w:r>
          </w:p>
        </w:tc>
        <w:tc>
          <w:tcPr>
            <w:tcW w:w="1008" w:type="dxa"/>
            <w:shd w:val="clear" w:color="auto" w:fill="auto"/>
          </w:tcPr>
          <w:p w14:paraId="5ED7017C" w14:textId="77777777" w:rsidR="00561AFA" w:rsidRPr="001E57F2" w:rsidRDefault="00561AFA" w:rsidP="00F95492">
            <w:pPr>
              <w:pStyle w:val="TableText"/>
              <w:jc w:val="left"/>
              <w:rPr>
                <w:rFonts w:cs="Calibri"/>
              </w:rPr>
            </w:pPr>
            <w:r w:rsidRPr="001E57F2">
              <w:rPr>
                <w:rFonts w:cs="Calibri"/>
              </w:rPr>
              <w:t>2</w:t>
            </w:r>
          </w:p>
        </w:tc>
        <w:tc>
          <w:tcPr>
            <w:tcW w:w="1864" w:type="dxa"/>
            <w:shd w:val="clear" w:color="auto" w:fill="auto"/>
          </w:tcPr>
          <w:p w14:paraId="11E7D03A" w14:textId="77777777" w:rsidR="00561AFA" w:rsidRPr="001E57F2" w:rsidRDefault="00561AFA" w:rsidP="00F95492">
            <w:pPr>
              <w:pStyle w:val="TableText"/>
              <w:jc w:val="left"/>
              <w:rPr>
                <w:rFonts w:cs="Calibri"/>
              </w:rPr>
            </w:pPr>
            <w:r w:rsidRPr="001E57F2">
              <w:rPr>
                <w:rFonts w:cs="Calibri"/>
              </w:rPr>
              <w:t xml:space="preserve">EC50 </w:t>
            </w:r>
          </w:p>
          <w:p w14:paraId="052BF0F4" w14:textId="77777777" w:rsidR="00561AFA" w:rsidRPr="001E57F2" w:rsidRDefault="00561AFA" w:rsidP="00F95492">
            <w:pPr>
              <w:pStyle w:val="TableText"/>
              <w:jc w:val="left"/>
              <w:rPr>
                <w:rFonts w:cs="Calibri"/>
              </w:rPr>
            </w:pPr>
            <w:r w:rsidRPr="001E57F2">
              <w:rPr>
                <w:rFonts w:cs="Calibri"/>
              </w:rPr>
              <w:t>(Cell density)</w:t>
            </w:r>
          </w:p>
        </w:tc>
        <w:tc>
          <w:tcPr>
            <w:tcW w:w="1734" w:type="dxa"/>
            <w:shd w:val="clear" w:color="auto" w:fill="auto"/>
          </w:tcPr>
          <w:p w14:paraId="01C776BE" w14:textId="77777777" w:rsidR="00561AFA" w:rsidRPr="001E57F2" w:rsidRDefault="00561AFA" w:rsidP="00F95492">
            <w:pPr>
              <w:pStyle w:val="TableText"/>
              <w:jc w:val="left"/>
              <w:rPr>
                <w:rFonts w:cs="Calibri"/>
              </w:rPr>
            </w:pPr>
            <w:r w:rsidRPr="001E57F2">
              <w:rPr>
                <w:rFonts w:cs="Calibri"/>
              </w:rPr>
              <w:t>Sterile inorganic medium</w:t>
            </w:r>
          </w:p>
        </w:tc>
        <w:tc>
          <w:tcPr>
            <w:tcW w:w="1296" w:type="dxa"/>
            <w:shd w:val="clear" w:color="auto" w:fill="auto"/>
          </w:tcPr>
          <w:p w14:paraId="5C23100B" w14:textId="77777777" w:rsidR="00561AFA" w:rsidRPr="001E57F2" w:rsidRDefault="00561AFA" w:rsidP="00F95492">
            <w:pPr>
              <w:pStyle w:val="TableText"/>
              <w:jc w:val="left"/>
              <w:rPr>
                <w:rFonts w:cs="Calibri"/>
              </w:rPr>
            </w:pPr>
            <w:r w:rsidRPr="001E57F2">
              <w:rPr>
                <w:rFonts w:cs="Calibri"/>
              </w:rPr>
              <w:t>25</w:t>
            </w:r>
          </w:p>
        </w:tc>
        <w:tc>
          <w:tcPr>
            <w:tcW w:w="1151" w:type="dxa"/>
            <w:shd w:val="clear" w:color="auto" w:fill="auto"/>
          </w:tcPr>
          <w:p w14:paraId="482B589B" w14:textId="77777777" w:rsidR="00561AFA" w:rsidRPr="001E57F2" w:rsidRDefault="00561AFA" w:rsidP="00F95492">
            <w:pPr>
              <w:pStyle w:val="TableText"/>
              <w:jc w:val="left"/>
              <w:rPr>
                <w:rFonts w:cs="Calibri"/>
              </w:rPr>
            </w:pPr>
            <w:r w:rsidRPr="001E57F2">
              <w:rPr>
                <w:rFonts w:cs="Calibri"/>
              </w:rPr>
              <w:t>Not stated</w:t>
            </w:r>
          </w:p>
        </w:tc>
        <w:tc>
          <w:tcPr>
            <w:tcW w:w="1344" w:type="dxa"/>
            <w:shd w:val="clear" w:color="auto" w:fill="auto"/>
          </w:tcPr>
          <w:p w14:paraId="41F2FE49" w14:textId="77777777" w:rsidR="00561AFA" w:rsidRPr="001E57F2" w:rsidRDefault="00561AFA" w:rsidP="00F95492">
            <w:pPr>
              <w:pStyle w:val="TableText"/>
              <w:jc w:val="left"/>
              <w:rPr>
                <w:rFonts w:cs="Calibri"/>
                <w:b/>
              </w:rPr>
            </w:pPr>
            <w:r w:rsidRPr="001E57F2">
              <w:rPr>
                <w:rFonts w:cs="Calibri"/>
              </w:rPr>
              <w:t>2.3</w:t>
            </w:r>
          </w:p>
        </w:tc>
        <w:tc>
          <w:tcPr>
            <w:tcW w:w="1214" w:type="dxa"/>
            <w:shd w:val="clear" w:color="auto" w:fill="auto"/>
          </w:tcPr>
          <w:p w14:paraId="22121767" w14:textId="79C3228D" w:rsidR="00561AFA" w:rsidRPr="00F95492" w:rsidRDefault="00561AFA" w:rsidP="00F95492">
            <w:pPr>
              <w:pStyle w:val="TableText"/>
              <w:jc w:val="left"/>
              <w:rPr>
                <w:rFonts w:cs="Calibri"/>
                <w:b/>
              </w:rPr>
            </w:pPr>
            <w:proofErr w:type="spellStart"/>
            <w:r w:rsidRPr="00F95492">
              <w:rPr>
                <w:rFonts w:cs="Calibri"/>
              </w:rPr>
              <w:t>Vallotton</w:t>
            </w:r>
            <w:proofErr w:type="spellEnd"/>
            <w:r w:rsidRPr="00F95492">
              <w:rPr>
                <w:rFonts w:cs="Calibri"/>
              </w:rPr>
              <w:t xml:space="preserve"> et al</w:t>
            </w:r>
            <w:r>
              <w:rPr>
                <w:rFonts w:cs="Calibri"/>
              </w:rPr>
              <w:t>.</w:t>
            </w:r>
            <w:r w:rsidRPr="00F95492">
              <w:rPr>
                <w:rFonts w:cs="Calibri"/>
              </w:rPr>
              <w:t xml:space="preserve"> (2008)</w:t>
            </w:r>
          </w:p>
        </w:tc>
      </w:tr>
      <w:tr w:rsidR="00561AFA" w:rsidRPr="00F94663" w14:paraId="4FBC14B4"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vMerge/>
            <w:tcBorders>
              <w:bottom w:val="nil"/>
            </w:tcBorders>
            <w:shd w:val="clear" w:color="auto" w:fill="auto"/>
          </w:tcPr>
          <w:p w14:paraId="1F28E076" w14:textId="7D795787" w:rsidR="00561AFA" w:rsidRPr="001E57F2" w:rsidRDefault="00561AFA" w:rsidP="00F95492">
            <w:pPr>
              <w:pStyle w:val="TableText"/>
              <w:jc w:val="left"/>
              <w:rPr>
                <w:rFonts w:cs="Calibri"/>
              </w:rPr>
            </w:pPr>
          </w:p>
        </w:tc>
        <w:tc>
          <w:tcPr>
            <w:tcW w:w="1700" w:type="dxa"/>
            <w:vMerge/>
            <w:tcBorders>
              <w:bottom w:val="nil"/>
            </w:tcBorders>
            <w:shd w:val="clear" w:color="auto" w:fill="auto"/>
          </w:tcPr>
          <w:p w14:paraId="7E37C27D" w14:textId="0C149E54" w:rsidR="00561AFA" w:rsidRPr="00F95492" w:rsidRDefault="00561AFA" w:rsidP="00FE50CF">
            <w:pPr>
              <w:pStyle w:val="TableText"/>
              <w:jc w:val="left"/>
              <w:rPr>
                <w:rFonts w:cs="Calibri"/>
              </w:rPr>
            </w:pPr>
          </w:p>
        </w:tc>
        <w:tc>
          <w:tcPr>
            <w:tcW w:w="1382" w:type="dxa"/>
            <w:tcBorders>
              <w:bottom w:val="nil"/>
            </w:tcBorders>
            <w:shd w:val="clear" w:color="auto" w:fill="auto"/>
          </w:tcPr>
          <w:p w14:paraId="3C2D3B62" w14:textId="77777777" w:rsidR="00561AFA" w:rsidRPr="001E57F2" w:rsidRDefault="00561AFA" w:rsidP="00F95492">
            <w:pPr>
              <w:pStyle w:val="TableText"/>
              <w:jc w:val="left"/>
              <w:rPr>
                <w:rFonts w:cs="Calibri"/>
              </w:rPr>
            </w:pPr>
            <w:r w:rsidRPr="001E57F2">
              <w:rPr>
                <w:rFonts w:cs="Calibri"/>
              </w:rPr>
              <w:t>Exponential growth phase</w:t>
            </w:r>
          </w:p>
        </w:tc>
        <w:tc>
          <w:tcPr>
            <w:tcW w:w="1008" w:type="dxa"/>
            <w:tcBorders>
              <w:bottom w:val="nil"/>
            </w:tcBorders>
            <w:shd w:val="clear" w:color="auto" w:fill="auto"/>
          </w:tcPr>
          <w:p w14:paraId="2E4BEFC0" w14:textId="77777777" w:rsidR="00561AFA" w:rsidRPr="001E57F2" w:rsidRDefault="00561AFA" w:rsidP="00F95492">
            <w:pPr>
              <w:pStyle w:val="TableText"/>
              <w:jc w:val="left"/>
              <w:rPr>
                <w:rFonts w:cs="Calibri"/>
              </w:rPr>
            </w:pPr>
            <w:r w:rsidRPr="001E57F2">
              <w:rPr>
                <w:rFonts w:cs="Calibri"/>
              </w:rPr>
              <w:t>2</w:t>
            </w:r>
          </w:p>
        </w:tc>
        <w:tc>
          <w:tcPr>
            <w:tcW w:w="1864" w:type="dxa"/>
            <w:tcBorders>
              <w:bottom w:val="nil"/>
            </w:tcBorders>
            <w:shd w:val="clear" w:color="auto" w:fill="auto"/>
          </w:tcPr>
          <w:p w14:paraId="5F4D0F47" w14:textId="77777777" w:rsidR="00561AFA" w:rsidRPr="001E57F2" w:rsidRDefault="00561AFA" w:rsidP="00F95492">
            <w:pPr>
              <w:pStyle w:val="TableText"/>
              <w:jc w:val="left"/>
              <w:rPr>
                <w:rFonts w:cs="Calibri"/>
              </w:rPr>
            </w:pPr>
            <w:r w:rsidRPr="001E57F2">
              <w:rPr>
                <w:rFonts w:cs="Calibri"/>
              </w:rPr>
              <w:t xml:space="preserve">EC50 </w:t>
            </w:r>
          </w:p>
          <w:p w14:paraId="2A50064A" w14:textId="77777777" w:rsidR="00561AFA" w:rsidRPr="001E57F2" w:rsidRDefault="00561AFA" w:rsidP="00F95492">
            <w:pPr>
              <w:pStyle w:val="TableText"/>
              <w:jc w:val="left"/>
              <w:rPr>
                <w:rFonts w:cs="Calibri"/>
              </w:rPr>
            </w:pPr>
            <w:r w:rsidRPr="001E57F2">
              <w:rPr>
                <w:rFonts w:cs="Calibri"/>
              </w:rPr>
              <w:t>(Cell density)</w:t>
            </w:r>
          </w:p>
        </w:tc>
        <w:tc>
          <w:tcPr>
            <w:tcW w:w="1734" w:type="dxa"/>
            <w:tcBorders>
              <w:bottom w:val="nil"/>
            </w:tcBorders>
            <w:shd w:val="clear" w:color="auto" w:fill="auto"/>
          </w:tcPr>
          <w:p w14:paraId="5B0E0326" w14:textId="77777777" w:rsidR="00561AFA" w:rsidRPr="001E57F2" w:rsidRDefault="00561AFA" w:rsidP="00F95492">
            <w:pPr>
              <w:pStyle w:val="TableText"/>
              <w:jc w:val="left"/>
              <w:rPr>
                <w:rFonts w:cs="Calibri"/>
              </w:rPr>
            </w:pPr>
            <w:r w:rsidRPr="001E57F2">
              <w:rPr>
                <w:rFonts w:cs="Calibri"/>
              </w:rPr>
              <w:t>Sterile inorganic medium</w:t>
            </w:r>
          </w:p>
        </w:tc>
        <w:tc>
          <w:tcPr>
            <w:tcW w:w="1296" w:type="dxa"/>
            <w:tcBorders>
              <w:bottom w:val="nil"/>
            </w:tcBorders>
            <w:shd w:val="clear" w:color="auto" w:fill="auto"/>
          </w:tcPr>
          <w:p w14:paraId="439BA079" w14:textId="77777777" w:rsidR="00561AFA" w:rsidRPr="001E57F2" w:rsidRDefault="00561AFA" w:rsidP="00F95492">
            <w:pPr>
              <w:pStyle w:val="TableText"/>
              <w:jc w:val="left"/>
              <w:rPr>
                <w:rFonts w:cs="Calibri"/>
              </w:rPr>
            </w:pPr>
            <w:r w:rsidRPr="001E57F2">
              <w:rPr>
                <w:rFonts w:cs="Calibri"/>
              </w:rPr>
              <w:t>25</w:t>
            </w:r>
          </w:p>
        </w:tc>
        <w:tc>
          <w:tcPr>
            <w:tcW w:w="1151" w:type="dxa"/>
            <w:tcBorders>
              <w:bottom w:val="nil"/>
            </w:tcBorders>
            <w:shd w:val="clear" w:color="auto" w:fill="auto"/>
          </w:tcPr>
          <w:p w14:paraId="4468095D" w14:textId="77777777" w:rsidR="00561AFA" w:rsidRPr="001E57F2" w:rsidRDefault="00561AFA" w:rsidP="00F95492">
            <w:pPr>
              <w:pStyle w:val="TableText"/>
              <w:jc w:val="left"/>
              <w:rPr>
                <w:rFonts w:cs="Calibri"/>
              </w:rPr>
            </w:pPr>
            <w:r w:rsidRPr="001E57F2">
              <w:rPr>
                <w:rFonts w:cs="Calibri"/>
              </w:rPr>
              <w:t>Not stated</w:t>
            </w:r>
          </w:p>
        </w:tc>
        <w:tc>
          <w:tcPr>
            <w:tcW w:w="1344" w:type="dxa"/>
            <w:tcBorders>
              <w:bottom w:val="nil"/>
            </w:tcBorders>
            <w:shd w:val="clear" w:color="auto" w:fill="auto"/>
          </w:tcPr>
          <w:p w14:paraId="663C1298" w14:textId="77777777" w:rsidR="00561AFA" w:rsidRPr="001E57F2" w:rsidRDefault="00561AFA" w:rsidP="00F95492">
            <w:pPr>
              <w:pStyle w:val="TableText"/>
              <w:jc w:val="left"/>
              <w:rPr>
                <w:rFonts w:cs="Calibri"/>
              </w:rPr>
            </w:pPr>
            <w:r w:rsidRPr="001E57F2">
              <w:rPr>
                <w:rFonts w:cs="Calibri"/>
              </w:rPr>
              <w:t>3</w:t>
            </w:r>
          </w:p>
        </w:tc>
        <w:tc>
          <w:tcPr>
            <w:tcW w:w="1214" w:type="dxa"/>
            <w:tcBorders>
              <w:bottom w:val="nil"/>
            </w:tcBorders>
            <w:shd w:val="clear" w:color="auto" w:fill="auto"/>
          </w:tcPr>
          <w:p w14:paraId="29A23AF2" w14:textId="4E1180F8" w:rsidR="00561AFA" w:rsidRPr="00F95492" w:rsidRDefault="00561AFA" w:rsidP="00F95492">
            <w:pPr>
              <w:pStyle w:val="TableText"/>
              <w:jc w:val="left"/>
              <w:rPr>
                <w:rFonts w:cs="Calibri"/>
              </w:rPr>
            </w:pPr>
            <w:proofErr w:type="spellStart"/>
            <w:r w:rsidRPr="00F95492">
              <w:rPr>
                <w:rFonts w:cs="Calibri"/>
              </w:rPr>
              <w:t>Vallotton</w:t>
            </w:r>
            <w:proofErr w:type="spellEnd"/>
            <w:r w:rsidRPr="00F95492">
              <w:rPr>
                <w:rFonts w:cs="Calibri"/>
              </w:rPr>
              <w:t xml:space="preserve"> et al</w:t>
            </w:r>
            <w:r>
              <w:rPr>
                <w:rFonts w:cs="Calibri"/>
              </w:rPr>
              <w:t>.</w:t>
            </w:r>
            <w:r w:rsidRPr="00F95492">
              <w:rPr>
                <w:rFonts w:cs="Calibri"/>
              </w:rPr>
              <w:t xml:space="preserve"> (2008)</w:t>
            </w:r>
          </w:p>
        </w:tc>
      </w:tr>
      <w:tr w:rsidR="00F95492" w:rsidRPr="00F94663" w14:paraId="51C6685B" w14:textId="77777777" w:rsidTr="00561AFA">
        <w:trPr>
          <w:cantSplit/>
        </w:trPr>
        <w:tc>
          <w:tcPr>
            <w:tcW w:w="11660" w:type="dxa"/>
            <w:gridSpan w:val="8"/>
            <w:tcBorders>
              <w:top w:val="nil"/>
            </w:tcBorders>
            <w:shd w:val="clear" w:color="auto" w:fill="auto"/>
          </w:tcPr>
          <w:p w14:paraId="0730534C" w14:textId="7DF71511"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63F84BA5" w14:textId="43628D8D" w:rsidR="00F95492" w:rsidRPr="001E57F2" w:rsidRDefault="00F95492" w:rsidP="00F95492">
            <w:pPr>
              <w:pStyle w:val="TableText"/>
              <w:jc w:val="left"/>
              <w:rPr>
                <w:rFonts w:cs="Calibri"/>
                <w:b/>
              </w:rPr>
            </w:pPr>
            <w:r w:rsidRPr="001E57F2">
              <w:rPr>
                <w:rFonts w:cs="Calibri"/>
                <w:b/>
              </w:rPr>
              <w:t>0.</w:t>
            </w:r>
            <w:r w:rsidR="00CD7067" w:rsidRPr="001E57F2">
              <w:rPr>
                <w:rFonts w:cs="Calibri"/>
                <w:b/>
              </w:rPr>
              <w:t>5</w:t>
            </w:r>
            <w:r w:rsidR="00CD7067">
              <w:rPr>
                <w:rFonts w:cs="Calibri"/>
                <w:b/>
              </w:rPr>
              <w:t xml:space="preserve">3 </w:t>
            </w:r>
            <w:r w:rsidR="002326A9" w:rsidRPr="002326A9">
              <w:rPr>
                <w:rStyle w:val="Strong"/>
                <w:vertAlign w:val="superscript"/>
              </w:rPr>
              <w:t>d</w:t>
            </w:r>
          </w:p>
        </w:tc>
        <w:tc>
          <w:tcPr>
            <w:tcW w:w="1214" w:type="dxa"/>
            <w:tcBorders>
              <w:top w:val="nil"/>
            </w:tcBorders>
            <w:shd w:val="clear" w:color="auto" w:fill="auto"/>
          </w:tcPr>
          <w:p w14:paraId="477AEC42" w14:textId="674C6198" w:rsidR="00F95492" w:rsidRPr="00F95492" w:rsidRDefault="00F95492" w:rsidP="00F95492">
            <w:pPr>
              <w:pStyle w:val="TableText"/>
              <w:jc w:val="left"/>
              <w:rPr>
                <w:rFonts w:cs="Calibri"/>
                <w:b/>
              </w:rPr>
            </w:pPr>
            <w:r w:rsidRPr="00F95492">
              <w:rPr>
                <w:b/>
              </w:rPr>
              <w:t>VALUE USED IN SSD</w:t>
            </w:r>
            <w:r w:rsidR="00457272">
              <w:rPr>
                <w:b/>
              </w:rPr>
              <w:t xml:space="preserve"> (GEOMETRIC MEAN)</w:t>
            </w:r>
          </w:p>
        </w:tc>
      </w:tr>
      <w:tr w:rsidR="00561AFA" w:rsidRPr="00F94663" w14:paraId="4DC53B5A"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2C721E73" w14:textId="7E613DE0" w:rsidR="00561AFA" w:rsidRPr="001E57F2" w:rsidRDefault="00561AFA" w:rsidP="00F95492">
            <w:pPr>
              <w:pStyle w:val="TableText"/>
              <w:jc w:val="left"/>
              <w:rPr>
                <w:rFonts w:cs="Calibri"/>
              </w:rPr>
            </w:pPr>
            <w:r>
              <w:rPr>
                <w:rFonts w:cs="Calibri"/>
              </w:rPr>
              <w:t>Fish (</w:t>
            </w:r>
            <w:r w:rsidRPr="001E57F2">
              <w:rPr>
                <w:rFonts w:cs="Calibri"/>
              </w:rPr>
              <w:t>Chordata</w:t>
            </w:r>
            <w:r>
              <w:rPr>
                <w:rFonts w:cs="Calibri"/>
              </w:rPr>
              <w:t>)</w:t>
            </w:r>
          </w:p>
        </w:tc>
        <w:tc>
          <w:tcPr>
            <w:tcW w:w="1700" w:type="dxa"/>
            <w:tcBorders>
              <w:bottom w:val="nil"/>
            </w:tcBorders>
            <w:shd w:val="clear" w:color="auto" w:fill="auto"/>
          </w:tcPr>
          <w:p w14:paraId="3106E570" w14:textId="5D1DB2C3" w:rsidR="00561AFA" w:rsidRPr="00F95492" w:rsidRDefault="00561AFA" w:rsidP="00FE50CF">
            <w:pPr>
              <w:pStyle w:val="TableText"/>
              <w:jc w:val="left"/>
              <w:rPr>
                <w:rFonts w:cs="Calibri"/>
              </w:rPr>
            </w:pPr>
            <w:proofErr w:type="spellStart"/>
            <w:r w:rsidRPr="00BD5464">
              <w:rPr>
                <w:rStyle w:val="Emphasis"/>
              </w:rPr>
              <w:t>Pimephales</w:t>
            </w:r>
            <w:proofErr w:type="spellEnd"/>
            <w:r w:rsidRPr="00BD5464">
              <w:rPr>
                <w:rStyle w:val="Emphasis"/>
              </w:rPr>
              <w:t xml:space="preserve"> </w:t>
            </w:r>
            <w:proofErr w:type="spellStart"/>
            <w:r w:rsidRPr="00BD5464">
              <w:rPr>
                <w:rStyle w:val="Emphasis"/>
              </w:rPr>
              <w:t>promelas</w:t>
            </w:r>
            <w:proofErr w:type="spellEnd"/>
          </w:p>
        </w:tc>
        <w:tc>
          <w:tcPr>
            <w:tcW w:w="1382" w:type="dxa"/>
            <w:tcBorders>
              <w:bottom w:val="nil"/>
            </w:tcBorders>
            <w:shd w:val="clear" w:color="auto" w:fill="auto"/>
          </w:tcPr>
          <w:p w14:paraId="709CD459" w14:textId="77777777" w:rsidR="00561AFA" w:rsidRPr="001E57F2" w:rsidRDefault="00561AFA" w:rsidP="00F95492">
            <w:pPr>
              <w:pStyle w:val="TableText"/>
              <w:jc w:val="left"/>
              <w:rPr>
                <w:rFonts w:cs="Calibri"/>
              </w:rPr>
            </w:pPr>
            <w:r w:rsidRPr="001E57F2">
              <w:rPr>
                <w:rFonts w:cs="Calibri"/>
              </w:rPr>
              <w:t>Early life</w:t>
            </w:r>
          </w:p>
        </w:tc>
        <w:tc>
          <w:tcPr>
            <w:tcW w:w="1008" w:type="dxa"/>
            <w:tcBorders>
              <w:bottom w:val="nil"/>
            </w:tcBorders>
            <w:shd w:val="clear" w:color="auto" w:fill="auto"/>
          </w:tcPr>
          <w:p w14:paraId="4B8B524B" w14:textId="77777777" w:rsidR="00561AFA" w:rsidRPr="001E57F2" w:rsidRDefault="00561AFA" w:rsidP="00F95492">
            <w:pPr>
              <w:pStyle w:val="TableText"/>
              <w:jc w:val="left"/>
              <w:rPr>
                <w:rFonts w:cs="Calibri"/>
              </w:rPr>
            </w:pPr>
            <w:r w:rsidRPr="001E57F2">
              <w:rPr>
                <w:rFonts w:cs="Calibri"/>
              </w:rPr>
              <w:t>35</w:t>
            </w:r>
          </w:p>
        </w:tc>
        <w:tc>
          <w:tcPr>
            <w:tcW w:w="1864" w:type="dxa"/>
            <w:tcBorders>
              <w:bottom w:val="nil"/>
            </w:tcBorders>
            <w:shd w:val="clear" w:color="auto" w:fill="auto"/>
          </w:tcPr>
          <w:p w14:paraId="5F0E2756" w14:textId="77777777" w:rsidR="00561AFA" w:rsidRPr="001E57F2" w:rsidRDefault="00561AFA" w:rsidP="00F95492">
            <w:pPr>
              <w:pStyle w:val="TableText"/>
              <w:jc w:val="left"/>
              <w:rPr>
                <w:rFonts w:cs="Calibri"/>
              </w:rPr>
            </w:pPr>
            <w:r w:rsidRPr="001E57F2">
              <w:rPr>
                <w:rFonts w:cs="Calibri"/>
              </w:rPr>
              <w:t xml:space="preserve">LOEC </w:t>
            </w:r>
          </w:p>
          <w:p w14:paraId="3D07FBDD" w14:textId="77777777" w:rsidR="00561AFA" w:rsidRPr="001E57F2" w:rsidRDefault="00561AFA" w:rsidP="00F95492">
            <w:pPr>
              <w:pStyle w:val="TableText"/>
              <w:jc w:val="left"/>
              <w:rPr>
                <w:rFonts w:cs="Calibri"/>
              </w:rPr>
            </w:pPr>
            <w:r w:rsidRPr="001E57F2">
              <w:rPr>
                <w:rFonts w:cs="Calibri"/>
              </w:rPr>
              <w:t>(Mortality)</w:t>
            </w:r>
          </w:p>
        </w:tc>
        <w:tc>
          <w:tcPr>
            <w:tcW w:w="1734" w:type="dxa"/>
            <w:tcBorders>
              <w:bottom w:val="nil"/>
            </w:tcBorders>
            <w:shd w:val="clear" w:color="auto" w:fill="auto"/>
          </w:tcPr>
          <w:p w14:paraId="76561D28" w14:textId="575FC91E" w:rsidR="00561AFA" w:rsidRPr="001E57F2" w:rsidRDefault="00561AFA" w:rsidP="00F95492">
            <w:pPr>
              <w:pStyle w:val="TableText"/>
              <w:jc w:val="left"/>
              <w:rPr>
                <w:rFonts w:cs="Calibri"/>
              </w:rPr>
            </w:pPr>
            <w:proofErr w:type="spellStart"/>
            <w:r w:rsidRPr="001E57F2">
              <w:rPr>
                <w:rFonts w:cs="Calibri"/>
              </w:rPr>
              <w:t>Deioni</w:t>
            </w:r>
            <w:r>
              <w:rPr>
                <w:rFonts w:cs="Calibri"/>
              </w:rPr>
              <w:t>s</w:t>
            </w:r>
            <w:r w:rsidRPr="001E57F2">
              <w:rPr>
                <w:rFonts w:cs="Calibri"/>
              </w:rPr>
              <w:t>ed</w:t>
            </w:r>
            <w:proofErr w:type="spellEnd"/>
            <w:r w:rsidRPr="001E57F2">
              <w:rPr>
                <w:rFonts w:cs="Calibri"/>
              </w:rPr>
              <w:t xml:space="preserve"> water</w:t>
            </w:r>
          </w:p>
        </w:tc>
        <w:tc>
          <w:tcPr>
            <w:tcW w:w="1296" w:type="dxa"/>
            <w:tcBorders>
              <w:bottom w:val="nil"/>
            </w:tcBorders>
            <w:shd w:val="clear" w:color="auto" w:fill="auto"/>
          </w:tcPr>
          <w:p w14:paraId="60A9797F" w14:textId="77777777" w:rsidR="00561AFA" w:rsidRPr="001E57F2" w:rsidRDefault="00561AFA" w:rsidP="00F95492">
            <w:pPr>
              <w:pStyle w:val="TableText"/>
              <w:jc w:val="left"/>
              <w:rPr>
                <w:rFonts w:cs="Calibri"/>
              </w:rPr>
            </w:pPr>
            <w:r w:rsidRPr="001E57F2">
              <w:rPr>
                <w:rFonts w:cs="Calibri"/>
              </w:rPr>
              <w:t>25 ± 2</w:t>
            </w:r>
          </w:p>
        </w:tc>
        <w:tc>
          <w:tcPr>
            <w:tcW w:w="1151" w:type="dxa"/>
            <w:tcBorders>
              <w:bottom w:val="nil"/>
            </w:tcBorders>
            <w:shd w:val="clear" w:color="auto" w:fill="auto"/>
          </w:tcPr>
          <w:p w14:paraId="60A6E19D" w14:textId="77777777" w:rsidR="00561AFA" w:rsidRPr="001E57F2" w:rsidRDefault="00561AFA" w:rsidP="00F95492">
            <w:pPr>
              <w:pStyle w:val="TableText"/>
              <w:jc w:val="left"/>
              <w:rPr>
                <w:rFonts w:cs="Calibri"/>
              </w:rPr>
            </w:pPr>
            <w:r w:rsidRPr="001E57F2">
              <w:rPr>
                <w:rFonts w:cs="Calibri"/>
              </w:rPr>
              <w:t>Not stated</w:t>
            </w:r>
          </w:p>
        </w:tc>
        <w:tc>
          <w:tcPr>
            <w:tcW w:w="1344" w:type="dxa"/>
            <w:tcBorders>
              <w:bottom w:val="nil"/>
            </w:tcBorders>
            <w:shd w:val="clear" w:color="auto" w:fill="auto"/>
          </w:tcPr>
          <w:p w14:paraId="7D2A3420" w14:textId="796F05BB" w:rsidR="00561AFA" w:rsidRPr="001E57F2" w:rsidRDefault="00561AFA" w:rsidP="00F95492">
            <w:pPr>
              <w:pStyle w:val="TableText"/>
              <w:jc w:val="left"/>
              <w:rPr>
                <w:rFonts w:cs="Calibri"/>
              </w:rPr>
            </w:pPr>
            <w:r>
              <w:rPr>
                <w:rFonts w:cs="Calibri"/>
              </w:rPr>
              <w:t>1 </w:t>
            </w:r>
            <w:r w:rsidRPr="001E57F2">
              <w:rPr>
                <w:rFonts w:cs="Calibri"/>
              </w:rPr>
              <w:t>600</w:t>
            </w:r>
          </w:p>
        </w:tc>
        <w:tc>
          <w:tcPr>
            <w:tcW w:w="1214" w:type="dxa"/>
            <w:tcBorders>
              <w:bottom w:val="nil"/>
            </w:tcBorders>
            <w:shd w:val="clear" w:color="auto" w:fill="auto"/>
          </w:tcPr>
          <w:p w14:paraId="571EA5A3" w14:textId="087DF23E" w:rsidR="00561AFA" w:rsidRPr="00F95492" w:rsidRDefault="00561AFA" w:rsidP="00F95492">
            <w:pPr>
              <w:pStyle w:val="TableText"/>
              <w:jc w:val="left"/>
              <w:rPr>
                <w:rFonts w:cs="Calibri"/>
              </w:rPr>
            </w:pPr>
            <w:r w:rsidRPr="00F95492">
              <w:rPr>
                <w:rFonts w:cs="Calibri"/>
              </w:rPr>
              <w:t>USEPA (2015</w:t>
            </w:r>
            <w:r>
              <w:rPr>
                <w:rFonts w:cs="Calibri"/>
              </w:rPr>
              <w:t>b</w:t>
            </w:r>
            <w:r w:rsidRPr="00F95492">
              <w:rPr>
                <w:rFonts w:cs="Calibri"/>
              </w:rPr>
              <w:t>)</w:t>
            </w:r>
          </w:p>
        </w:tc>
      </w:tr>
      <w:tr w:rsidR="00F95492" w:rsidRPr="00F94663" w14:paraId="0A2DD7A2" w14:textId="77777777" w:rsidTr="00561AFA">
        <w:trPr>
          <w:cantSplit/>
        </w:trPr>
        <w:tc>
          <w:tcPr>
            <w:tcW w:w="11660" w:type="dxa"/>
            <w:gridSpan w:val="8"/>
            <w:tcBorders>
              <w:top w:val="nil"/>
            </w:tcBorders>
            <w:shd w:val="clear" w:color="auto" w:fill="auto"/>
          </w:tcPr>
          <w:p w14:paraId="4F28DFBA" w14:textId="3CDDF87A"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6E1BC686" w14:textId="10B35B6B" w:rsidR="00F95492" w:rsidRPr="001E57F2" w:rsidRDefault="00F95492" w:rsidP="00F95492">
            <w:pPr>
              <w:pStyle w:val="TableText"/>
              <w:jc w:val="left"/>
              <w:rPr>
                <w:rFonts w:cs="Calibri"/>
                <w:i/>
              </w:rPr>
            </w:pPr>
            <w:r w:rsidRPr="001E57F2">
              <w:rPr>
                <w:rFonts w:cs="Calibri"/>
                <w:b/>
              </w:rPr>
              <w:t>640</w:t>
            </w:r>
            <w:r w:rsidR="00A250FE">
              <w:rPr>
                <w:rFonts w:cs="Calibri"/>
                <w:b/>
              </w:rPr>
              <w:t xml:space="preserve"> </w:t>
            </w:r>
            <w:r w:rsidR="002326A9" w:rsidRPr="002326A9">
              <w:rPr>
                <w:rStyle w:val="Strong"/>
                <w:vertAlign w:val="superscript"/>
              </w:rPr>
              <w:t>d</w:t>
            </w:r>
          </w:p>
        </w:tc>
        <w:tc>
          <w:tcPr>
            <w:tcW w:w="1214" w:type="dxa"/>
            <w:tcBorders>
              <w:top w:val="nil"/>
            </w:tcBorders>
            <w:shd w:val="clear" w:color="auto" w:fill="auto"/>
          </w:tcPr>
          <w:p w14:paraId="3A9BE85C" w14:textId="77777777" w:rsidR="00F95492" w:rsidRPr="00F95492" w:rsidRDefault="00F95492" w:rsidP="00F95492">
            <w:pPr>
              <w:pStyle w:val="TableText"/>
              <w:jc w:val="left"/>
              <w:rPr>
                <w:rFonts w:cs="Calibri"/>
              </w:rPr>
            </w:pPr>
            <w:r w:rsidRPr="00F95492">
              <w:rPr>
                <w:b/>
              </w:rPr>
              <w:t>VALUE USED IN SSD</w:t>
            </w:r>
          </w:p>
        </w:tc>
      </w:tr>
      <w:tr w:rsidR="00561AFA" w:rsidRPr="00F94663" w14:paraId="72521914"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347F5C20" w14:textId="4E8E78B5" w:rsidR="00561AFA" w:rsidRPr="001E57F2" w:rsidRDefault="00561AFA" w:rsidP="002E2651">
            <w:pPr>
              <w:pStyle w:val="TableText"/>
              <w:keepNext/>
              <w:keepLines/>
              <w:jc w:val="left"/>
              <w:rPr>
                <w:rFonts w:cs="Calibri"/>
              </w:rPr>
            </w:pPr>
            <w:r>
              <w:rPr>
                <w:rFonts w:cs="Calibri"/>
              </w:rPr>
              <w:lastRenderedPageBreak/>
              <w:t>Blue–green alga (</w:t>
            </w:r>
            <w:r w:rsidRPr="001E57F2">
              <w:rPr>
                <w:rFonts w:cs="Calibri"/>
              </w:rPr>
              <w:t>Cyanobacteria</w:t>
            </w:r>
            <w:r>
              <w:rPr>
                <w:rFonts w:cs="Calibri"/>
              </w:rPr>
              <w:t>)</w:t>
            </w:r>
          </w:p>
        </w:tc>
        <w:tc>
          <w:tcPr>
            <w:tcW w:w="1700" w:type="dxa"/>
            <w:tcBorders>
              <w:bottom w:val="nil"/>
            </w:tcBorders>
            <w:shd w:val="clear" w:color="auto" w:fill="auto"/>
          </w:tcPr>
          <w:p w14:paraId="14FE16C9" w14:textId="12696850" w:rsidR="00561AFA" w:rsidRPr="00F95492" w:rsidRDefault="00561AFA" w:rsidP="002E2651">
            <w:pPr>
              <w:pStyle w:val="TableText"/>
              <w:keepNext/>
              <w:keepLines/>
              <w:jc w:val="left"/>
              <w:rPr>
                <w:rFonts w:cs="Calibri"/>
              </w:rPr>
            </w:pPr>
            <w:r w:rsidRPr="00BD5464">
              <w:rPr>
                <w:rStyle w:val="Emphasis"/>
              </w:rPr>
              <w:t xml:space="preserve">Anabaena </w:t>
            </w:r>
            <w:proofErr w:type="spellStart"/>
            <w:r w:rsidRPr="00BD5464">
              <w:rPr>
                <w:rStyle w:val="Emphasis"/>
              </w:rPr>
              <w:t>flosaquae</w:t>
            </w:r>
            <w:proofErr w:type="spellEnd"/>
          </w:p>
        </w:tc>
        <w:tc>
          <w:tcPr>
            <w:tcW w:w="1382" w:type="dxa"/>
            <w:tcBorders>
              <w:bottom w:val="nil"/>
            </w:tcBorders>
            <w:shd w:val="clear" w:color="auto" w:fill="auto"/>
          </w:tcPr>
          <w:p w14:paraId="72BCEAB8" w14:textId="77777777" w:rsidR="00561AFA" w:rsidRPr="001E57F2" w:rsidRDefault="00561AFA" w:rsidP="002E2651">
            <w:pPr>
              <w:pStyle w:val="TableText"/>
              <w:keepNext/>
              <w:keepLines/>
              <w:jc w:val="left"/>
              <w:rPr>
                <w:rFonts w:cs="Calibri"/>
              </w:rPr>
            </w:pPr>
            <w:r w:rsidRPr="001E57F2">
              <w:rPr>
                <w:rFonts w:cs="Calibri"/>
              </w:rPr>
              <w:t>Not stated</w:t>
            </w:r>
          </w:p>
        </w:tc>
        <w:tc>
          <w:tcPr>
            <w:tcW w:w="1008" w:type="dxa"/>
            <w:tcBorders>
              <w:bottom w:val="nil"/>
            </w:tcBorders>
            <w:shd w:val="clear" w:color="auto" w:fill="auto"/>
          </w:tcPr>
          <w:p w14:paraId="54857C8B" w14:textId="77777777" w:rsidR="00561AFA" w:rsidRPr="001E57F2" w:rsidRDefault="00561AFA" w:rsidP="002E2651">
            <w:pPr>
              <w:pStyle w:val="TableText"/>
              <w:keepNext/>
              <w:keepLines/>
              <w:jc w:val="left"/>
              <w:rPr>
                <w:rFonts w:cs="Calibri"/>
              </w:rPr>
            </w:pPr>
            <w:r w:rsidRPr="001E57F2">
              <w:rPr>
                <w:rFonts w:cs="Calibri"/>
              </w:rPr>
              <w:t>5</w:t>
            </w:r>
          </w:p>
        </w:tc>
        <w:tc>
          <w:tcPr>
            <w:tcW w:w="1864" w:type="dxa"/>
            <w:tcBorders>
              <w:bottom w:val="nil"/>
            </w:tcBorders>
            <w:shd w:val="clear" w:color="auto" w:fill="auto"/>
          </w:tcPr>
          <w:p w14:paraId="65C32D0C" w14:textId="77777777" w:rsidR="00561AFA" w:rsidRPr="001E57F2" w:rsidRDefault="00561AFA" w:rsidP="002E2651">
            <w:pPr>
              <w:pStyle w:val="TableText"/>
              <w:keepNext/>
              <w:keepLines/>
              <w:jc w:val="left"/>
              <w:rPr>
                <w:rFonts w:cs="Calibri"/>
              </w:rPr>
            </w:pPr>
            <w:r w:rsidRPr="001E57F2">
              <w:rPr>
                <w:rFonts w:cs="Calibri"/>
              </w:rPr>
              <w:t xml:space="preserve">EC50 </w:t>
            </w:r>
            <w:r w:rsidRPr="001E57F2">
              <w:rPr>
                <w:rFonts w:cs="Calibri"/>
              </w:rPr>
              <w:br/>
              <w:t>(Growth, growth rate)</w:t>
            </w:r>
          </w:p>
        </w:tc>
        <w:tc>
          <w:tcPr>
            <w:tcW w:w="1734" w:type="dxa"/>
            <w:tcBorders>
              <w:bottom w:val="nil"/>
            </w:tcBorders>
            <w:shd w:val="clear" w:color="auto" w:fill="auto"/>
          </w:tcPr>
          <w:p w14:paraId="0BA41289" w14:textId="77777777" w:rsidR="00561AFA" w:rsidRPr="001E57F2" w:rsidRDefault="00561AFA" w:rsidP="002E2651">
            <w:pPr>
              <w:pStyle w:val="TableText"/>
              <w:keepNext/>
              <w:keepLines/>
              <w:jc w:val="left"/>
              <w:rPr>
                <w:rFonts w:cs="Calibri"/>
              </w:rPr>
            </w:pPr>
            <w:r w:rsidRPr="001E57F2">
              <w:rPr>
                <w:rFonts w:cs="Calibri"/>
              </w:rPr>
              <w:t>ASTM Type I water</w:t>
            </w:r>
          </w:p>
        </w:tc>
        <w:tc>
          <w:tcPr>
            <w:tcW w:w="1296" w:type="dxa"/>
            <w:tcBorders>
              <w:bottom w:val="nil"/>
            </w:tcBorders>
            <w:shd w:val="clear" w:color="auto" w:fill="auto"/>
          </w:tcPr>
          <w:p w14:paraId="3067B7D6" w14:textId="77777777" w:rsidR="00561AFA" w:rsidRPr="001E57F2" w:rsidRDefault="00561AFA" w:rsidP="002E2651">
            <w:pPr>
              <w:pStyle w:val="TableText"/>
              <w:keepNext/>
              <w:keepLines/>
              <w:jc w:val="left"/>
              <w:rPr>
                <w:rFonts w:cs="Calibri"/>
              </w:rPr>
            </w:pPr>
            <w:r w:rsidRPr="001E57F2">
              <w:rPr>
                <w:rFonts w:cs="Calibri"/>
              </w:rPr>
              <w:t>24 ± 2</w:t>
            </w:r>
          </w:p>
        </w:tc>
        <w:tc>
          <w:tcPr>
            <w:tcW w:w="1151" w:type="dxa"/>
            <w:tcBorders>
              <w:bottom w:val="nil"/>
            </w:tcBorders>
            <w:shd w:val="clear" w:color="auto" w:fill="auto"/>
          </w:tcPr>
          <w:p w14:paraId="16044AB6" w14:textId="77777777" w:rsidR="00561AFA" w:rsidRPr="001E57F2" w:rsidRDefault="00561AFA" w:rsidP="002E2651">
            <w:pPr>
              <w:pStyle w:val="TableText"/>
              <w:keepNext/>
              <w:keepLines/>
              <w:jc w:val="left"/>
              <w:rPr>
                <w:rFonts w:cs="Calibri"/>
              </w:rPr>
            </w:pPr>
            <w:r w:rsidRPr="001E57F2">
              <w:rPr>
                <w:rFonts w:cs="Calibri"/>
              </w:rPr>
              <w:t>7.5 ± 0.1</w:t>
            </w:r>
          </w:p>
        </w:tc>
        <w:tc>
          <w:tcPr>
            <w:tcW w:w="1344" w:type="dxa"/>
            <w:tcBorders>
              <w:bottom w:val="nil"/>
            </w:tcBorders>
            <w:shd w:val="clear" w:color="auto" w:fill="auto"/>
          </w:tcPr>
          <w:p w14:paraId="3DB2E3E9" w14:textId="02273067" w:rsidR="00561AFA" w:rsidRPr="001E57F2" w:rsidRDefault="00561AFA" w:rsidP="002E2651">
            <w:pPr>
              <w:pStyle w:val="TableText"/>
              <w:keepNext/>
              <w:keepLines/>
              <w:jc w:val="left"/>
              <w:rPr>
                <w:rFonts w:cs="Calibri"/>
                <w:b/>
              </w:rPr>
            </w:pPr>
            <w:r w:rsidRPr="001E57F2">
              <w:rPr>
                <w:rFonts w:cs="Calibri"/>
              </w:rPr>
              <w:t>1</w:t>
            </w:r>
            <w:r>
              <w:rPr>
                <w:rFonts w:cs="Calibri"/>
              </w:rPr>
              <w:t> </w:t>
            </w:r>
            <w:r w:rsidRPr="001E57F2">
              <w:rPr>
                <w:rFonts w:cs="Calibri"/>
              </w:rPr>
              <w:t>200</w:t>
            </w:r>
          </w:p>
        </w:tc>
        <w:tc>
          <w:tcPr>
            <w:tcW w:w="1214" w:type="dxa"/>
            <w:tcBorders>
              <w:bottom w:val="nil"/>
            </w:tcBorders>
            <w:shd w:val="clear" w:color="auto" w:fill="auto"/>
          </w:tcPr>
          <w:p w14:paraId="12DE398A" w14:textId="3D13F2C3" w:rsidR="00561AFA" w:rsidRPr="00F95492" w:rsidRDefault="00561AFA" w:rsidP="002E2651">
            <w:pPr>
              <w:pStyle w:val="TableText"/>
              <w:keepNext/>
              <w:keepLines/>
              <w:jc w:val="left"/>
              <w:rPr>
                <w:rFonts w:cs="Calibri"/>
              </w:rPr>
            </w:pPr>
            <w:r w:rsidRPr="00F95492">
              <w:rPr>
                <w:rFonts w:cs="Calibri"/>
              </w:rPr>
              <w:t>USEPA (2015</w:t>
            </w:r>
            <w:r>
              <w:rPr>
                <w:rFonts w:cs="Calibri"/>
              </w:rPr>
              <w:t>a</w:t>
            </w:r>
            <w:r w:rsidRPr="00F95492">
              <w:rPr>
                <w:rFonts w:cs="Calibri"/>
              </w:rPr>
              <w:t>)</w:t>
            </w:r>
          </w:p>
        </w:tc>
      </w:tr>
      <w:tr w:rsidR="00F95492" w:rsidRPr="00F94663" w14:paraId="2CCD4382" w14:textId="77777777" w:rsidTr="00561AFA">
        <w:trPr>
          <w:cantSplit/>
        </w:trPr>
        <w:tc>
          <w:tcPr>
            <w:tcW w:w="11660" w:type="dxa"/>
            <w:gridSpan w:val="8"/>
            <w:tcBorders>
              <w:top w:val="nil"/>
            </w:tcBorders>
            <w:shd w:val="clear" w:color="auto" w:fill="auto"/>
          </w:tcPr>
          <w:p w14:paraId="183EBF12" w14:textId="1E89AEB1" w:rsidR="00F95492" w:rsidRPr="001E57F2" w:rsidRDefault="00C340EC" w:rsidP="002E2651">
            <w:pPr>
              <w:pStyle w:val="TableText"/>
              <w:keepNext/>
              <w:keepLines/>
              <w:jc w:val="left"/>
              <w:rPr>
                <w:rFonts w:cs="Calibri"/>
              </w:rPr>
            </w:pPr>
            <w:r>
              <w:rPr>
                <w:rFonts w:cs="Calibri"/>
              </w:rPr>
              <w:t>–</w:t>
            </w:r>
          </w:p>
        </w:tc>
        <w:tc>
          <w:tcPr>
            <w:tcW w:w="1344" w:type="dxa"/>
            <w:tcBorders>
              <w:top w:val="nil"/>
            </w:tcBorders>
            <w:shd w:val="clear" w:color="auto" w:fill="auto"/>
          </w:tcPr>
          <w:p w14:paraId="3A34D920" w14:textId="70D38606" w:rsidR="00F95492" w:rsidRPr="001E57F2" w:rsidRDefault="00F95492" w:rsidP="002E2651">
            <w:pPr>
              <w:pStyle w:val="TableText"/>
              <w:keepNext/>
              <w:keepLines/>
              <w:jc w:val="left"/>
              <w:rPr>
                <w:rFonts w:cs="Calibri"/>
              </w:rPr>
            </w:pPr>
            <w:r w:rsidRPr="001E57F2">
              <w:rPr>
                <w:b/>
              </w:rPr>
              <w:t>240</w:t>
            </w:r>
            <w:r w:rsidR="00A250FE">
              <w:rPr>
                <w:b/>
              </w:rPr>
              <w:t xml:space="preserve"> </w:t>
            </w:r>
            <w:r w:rsidR="002326A9" w:rsidRPr="002326A9">
              <w:rPr>
                <w:rStyle w:val="Strong"/>
                <w:vertAlign w:val="superscript"/>
              </w:rPr>
              <w:t>d</w:t>
            </w:r>
          </w:p>
        </w:tc>
        <w:tc>
          <w:tcPr>
            <w:tcW w:w="1214" w:type="dxa"/>
            <w:tcBorders>
              <w:top w:val="nil"/>
            </w:tcBorders>
            <w:shd w:val="clear" w:color="auto" w:fill="auto"/>
          </w:tcPr>
          <w:p w14:paraId="187A7453" w14:textId="77777777" w:rsidR="00F95492" w:rsidRPr="00F95492" w:rsidRDefault="00F95492" w:rsidP="002E2651">
            <w:pPr>
              <w:pStyle w:val="TableText"/>
              <w:keepNext/>
              <w:keepLines/>
              <w:jc w:val="left"/>
              <w:rPr>
                <w:rFonts w:cs="Calibri"/>
              </w:rPr>
            </w:pPr>
            <w:r w:rsidRPr="00F95492">
              <w:rPr>
                <w:b/>
              </w:rPr>
              <w:t>VALUE USED IN SSD</w:t>
            </w:r>
          </w:p>
        </w:tc>
      </w:tr>
      <w:tr w:rsidR="00561AFA" w:rsidRPr="00F94663" w14:paraId="7396B68B"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75E1E74B" w14:textId="6022782F" w:rsidR="00561AFA" w:rsidRPr="00F35AD3" w:rsidRDefault="00561AFA" w:rsidP="00F35AD3">
            <w:pPr>
              <w:pStyle w:val="TableText"/>
            </w:pPr>
            <w:r>
              <w:t>Macrophyte (</w:t>
            </w:r>
            <w:proofErr w:type="spellStart"/>
            <w:r w:rsidRPr="002C58FC">
              <w:t>Tracheophyta</w:t>
            </w:r>
            <w:proofErr w:type="spellEnd"/>
            <w:r>
              <w:t>)</w:t>
            </w:r>
          </w:p>
        </w:tc>
        <w:tc>
          <w:tcPr>
            <w:tcW w:w="1700" w:type="dxa"/>
            <w:tcBorders>
              <w:bottom w:val="nil"/>
            </w:tcBorders>
            <w:shd w:val="clear" w:color="auto" w:fill="auto"/>
          </w:tcPr>
          <w:p w14:paraId="76732E97" w14:textId="63E0CADE" w:rsidR="00561AFA" w:rsidRPr="00F95492" w:rsidRDefault="00561AFA" w:rsidP="003F4DB0">
            <w:pPr>
              <w:pStyle w:val="TableText"/>
              <w:jc w:val="left"/>
              <w:rPr>
                <w:rFonts w:cs="Calibri"/>
              </w:rPr>
            </w:pPr>
            <w:proofErr w:type="spellStart"/>
            <w:r w:rsidRPr="00BD5464">
              <w:rPr>
                <w:rStyle w:val="Emphasis"/>
              </w:rPr>
              <w:t>Ceratophyllum</w:t>
            </w:r>
            <w:proofErr w:type="spellEnd"/>
            <w:r w:rsidRPr="00F95492">
              <w:rPr>
                <w:rFonts w:cs="Calibri"/>
              </w:rPr>
              <w:t xml:space="preserve"> </w:t>
            </w:r>
            <w:proofErr w:type="spellStart"/>
            <w:r w:rsidRPr="00BD5464">
              <w:rPr>
                <w:rStyle w:val="Emphasis"/>
              </w:rPr>
              <w:t>demersum</w:t>
            </w:r>
            <w:proofErr w:type="spellEnd"/>
          </w:p>
        </w:tc>
        <w:tc>
          <w:tcPr>
            <w:tcW w:w="1382" w:type="dxa"/>
            <w:tcBorders>
              <w:bottom w:val="nil"/>
            </w:tcBorders>
            <w:shd w:val="clear" w:color="auto" w:fill="auto"/>
          </w:tcPr>
          <w:p w14:paraId="3BCF4AEC" w14:textId="77777777" w:rsidR="00561AFA" w:rsidRPr="001E57F2" w:rsidRDefault="00561AFA" w:rsidP="00F95492">
            <w:pPr>
              <w:pStyle w:val="TableText"/>
              <w:jc w:val="left"/>
              <w:rPr>
                <w:rFonts w:cs="Calibri"/>
              </w:rPr>
            </w:pPr>
            <w:r w:rsidRPr="001E57F2">
              <w:rPr>
                <w:rFonts w:cs="Calibri"/>
              </w:rPr>
              <w:t>Not stated</w:t>
            </w:r>
          </w:p>
        </w:tc>
        <w:tc>
          <w:tcPr>
            <w:tcW w:w="1008" w:type="dxa"/>
            <w:tcBorders>
              <w:bottom w:val="nil"/>
            </w:tcBorders>
            <w:shd w:val="clear" w:color="auto" w:fill="auto"/>
          </w:tcPr>
          <w:p w14:paraId="1A7A0126" w14:textId="08868FCF" w:rsidR="00561AFA" w:rsidRPr="001E57F2" w:rsidRDefault="00561AFA" w:rsidP="00561AFA">
            <w:pPr>
              <w:pStyle w:val="TableText"/>
              <w:jc w:val="left"/>
              <w:rPr>
                <w:rFonts w:cs="Calibri"/>
              </w:rPr>
            </w:pPr>
            <w:r w:rsidRPr="001E57F2">
              <w:rPr>
                <w:rFonts w:cs="Calibri"/>
              </w:rPr>
              <w:t>14</w:t>
            </w:r>
          </w:p>
        </w:tc>
        <w:tc>
          <w:tcPr>
            <w:tcW w:w="1864" w:type="dxa"/>
            <w:tcBorders>
              <w:bottom w:val="nil"/>
            </w:tcBorders>
            <w:shd w:val="clear" w:color="auto" w:fill="auto"/>
          </w:tcPr>
          <w:p w14:paraId="4A964FEF" w14:textId="77777777" w:rsidR="00561AFA" w:rsidRPr="001E57F2" w:rsidRDefault="00561AFA" w:rsidP="00F95492">
            <w:pPr>
              <w:pStyle w:val="TableText"/>
              <w:jc w:val="left"/>
              <w:rPr>
                <w:rFonts w:cs="Calibri"/>
              </w:rPr>
            </w:pPr>
            <w:r w:rsidRPr="001E57F2">
              <w:rPr>
                <w:rFonts w:cs="Calibri"/>
              </w:rPr>
              <w:t xml:space="preserve">EC50 </w:t>
            </w:r>
          </w:p>
          <w:p w14:paraId="03857160" w14:textId="77777777" w:rsidR="00561AFA" w:rsidRPr="001E57F2" w:rsidRDefault="00561AFA" w:rsidP="00F95492">
            <w:pPr>
              <w:pStyle w:val="TableText"/>
              <w:jc w:val="left"/>
              <w:rPr>
                <w:rFonts w:cs="Calibri"/>
              </w:rPr>
            </w:pPr>
            <w:r w:rsidRPr="001E57F2">
              <w:rPr>
                <w:rFonts w:cs="Calibri"/>
              </w:rPr>
              <w:t>(Wet weight)</w:t>
            </w:r>
          </w:p>
        </w:tc>
        <w:tc>
          <w:tcPr>
            <w:tcW w:w="1734" w:type="dxa"/>
            <w:tcBorders>
              <w:bottom w:val="nil"/>
            </w:tcBorders>
            <w:shd w:val="clear" w:color="auto" w:fill="auto"/>
          </w:tcPr>
          <w:p w14:paraId="315B126B" w14:textId="77777777" w:rsidR="00561AFA" w:rsidRPr="001E57F2" w:rsidRDefault="00561AFA" w:rsidP="00F95492">
            <w:pPr>
              <w:pStyle w:val="TableText"/>
              <w:jc w:val="left"/>
              <w:rPr>
                <w:rFonts w:cs="Calibri"/>
              </w:rPr>
            </w:pPr>
            <w:r w:rsidRPr="001E57F2">
              <w:rPr>
                <w:rFonts w:cs="Calibri"/>
              </w:rPr>
              <w:t>ASTM medium with sediment layer</w:t>
            </w:r>
          </w:p>
        </w:tc>
        <w:tc>
          <w:tcPr>
            <w:tcW w:w="1296" w:type="dxa"/>
            <w:tcBorders>
              <w:bottom w:val="nil"/>
            </w:tcBorders>
            <w:shd w:val="clear" w:color="auto" w:fill="auto"/>
          </w:tcPr>
          <w:p w14:paraId="0DDE6299" w14:textId="77777777" w:rsidR="00561AFA" w:rsidRPr="001E57F2" w:rsidRDefault="00561AFA" w:rsidP="00F95492">
            <w:pPr>
              <w:pStyle w:val="TableText"/>
              <w:jc w:val="left"/>
              <w:rPr>
                <w:rFonts w:cs="Calibri"/>
              </w:rPr>
            </w:pPr>
            <w:r w:rsidRPr="001E57F2">
              <w:rPr>
                <w:rFonts w:cs="Calibri"/>
              </w:rPr>
              <w:t>25</w:t>
            </w:r>
          </w:p>
        </w:tc>
        <w:tc>
          <w:tcPr>
            <w:tcW w:w="1151" w:type="dxa"/>
            <w:tcBorders>
              <w:bottom w:val="nil"/>
            </w:tcBorders>
            <w:shd w:val="clear" w:color="auto" w:fill="auto"/>
          </w:tcPr>
          <w:p w14:paraId="27794540" w14:textId="77777777" w:rsidR="00561AFA" w:rsidRPr="001E57F2" w:rsidRDefault="00561AFA" w:rsidP="00F95492">
            <w:pPr>
              <w:pStyle w:val="TableText"/>
              <w:jc w:val="left"/>
              <w:rPr>
                <w:rFonts w:cs="Calibri"/>
              </w:rPr>
            </w:pPr>
            <w:r w:rsidRPr="001E57F2">
              <w:rPr>
                <w:rFonts w:cs="Calibri"/>
              </w:rPr>
              <w:t>7.2</w:t>
            </w:r>
          </w:p>
        </w:tc>
        <w:tc>
          <w:tcPr>
            <w:tcW w:w="1344" w:type="dxa"/>
            <w:tcBorders>
              <w:bottom w:val="nil"/>
            </w:tcBorders>
            <w:shd w:val="clear" w:color="auto" w:fill="auto"/>
          </w:tcPr>
          <w:p w14:paraId="72626E88" w14:textId="77777777" w:rsidR="00561AFA" w:rsidRPr="001E57F2" w:rsidRDefault="00561AFA" w:rsidP="00F95492">
            <w:pPr>
              <w:pStyle w:val="TableText"/>
              <w:jc w:val="left"/>
              <w:rPr>
                <w:rFonts w:cs="Calibri"/>
                <w:i/>
              </w:rPr>
            </w:pPr>
            <w:r w:rsidRPr="001E57F2">
              <w:rPr>
                <w:rFonts w:cs="Calibri"/>
              </w:rPr>
              <w:t>70</w:t>
            </w:r>
          </w:p>
        </w:tc>
        <w:tc>
          <w:tcPr>
            <w:tcW w:w="1214" w:type="dxa"/>
            <w:tcBorders>
              <w:bottom w:val="nil"/>
            </w:tcBorders>
            <w:shd w:val="clear" w:color="auto" w:fill="auto"/>
          </w:tcPr>
          <w:p w14:paraId="45373FC8" w14:textId="2367B3A2" w:rsidR="00561AFA" w:rsidRPr="00F95492" w:rsidRDefault="00561AFA" w:rsidP="00F95492">
            <w:pPr>
              <w:pStyle w:val="TableText"/>
              <w:jc w:val="left"/>
              <w:rPr>
                <w:rFonts w:cs="Calibri"/>
              </w:rPr>
            </w:pPr>
            <w:r w:rsidRPr="00F95492">
              <w:rPr>
                <w:rFonts w:cs="Calibri"/>
              </w:rPr>
              <w:t>Fairchild et al</w:t>
            </w:r>
            <w:r>
              <w:rPr>
                <w:rFonts w:cs="Calibri"/>
              </w:rPr>
              <w:t>.</w:t>
            </w:r>
            <w:r w:rsidRPr="00F95492">
              <w:rPr>
                <w:rFonts w:cs="Calibri"/>
              </w:rPr>
              <w:t xml:space="preserve"> (1998)</w:t>
            </w:r>
          </w:p>
        </w:tc>
      </w:tr>
      <w:tr w:rsidR="00F95492" w:rsidRPr="00F94663" w14:paraId="7DCD4E13" w14:textId="77777777" w:rsidTr="00561AFA">
        <w:trPr>
          <w:cantSplit/>
        </w:trPr>
        <w:tc>
          <w:tcPr>
            <w:tcW w:w="11660" w:type="dxa"/>
            <w:gridSpan w:val="8"/>
            <w:tcBorders>
              <w:top w:val="nil"/>
            </w:tcBorders>
            <w:shd w:val="clear" w:color="auto" w:fill="auto"/>
          </w:tcPr>
          <w:p w14:paraId="3BF74EB2" w14:textId="3CF877EC"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1992D922" w14:textId="41D38BA7" w:rsidR="00F95492" w:rsidRPr="001E57F2" w:rsidRDefault="00F95492" w:rsidP="00F95492">
            <w:pPr>
              <w:pStyle w:val="TableText"/>
              <w:jc w:val="left"/>
              <w:rPr>
                <w:rFonts w:cs="Calibri"/>
              </w:rPr>
            </w:pPr>
            <w:r w:rsidRPr="001E57F2">
              <w:rPr>
                <w:b/>
              </w:rPr>
              <w:t>14</w:t>
            </w:r>
            <w:r w:rsidR="00A250FE">
              <w:rPr>
                <w:b/>
              </w:rPr>
              <w:t xml:space="preserve"> </w:t>
            </w:r>
            <w:r w:rsidR="002326A9" w:rsidRPr="002326A9">
              <w:rPr>
                <w:rStyle w:val="Strong"/>
                <w:vertAlign w:val="superscript"/>
              </w:rPr>
              <w:t>d</w:t>
            </w:r>
          </w:p>
        </w:tc>
        <w:tc>
          <w:tcPr>
            <w:tcW w:w="1214" w:type="dxa"/>
            <w:tcBorders>
              <w:top w:val="nil"/>
            </w:tcBorders>
            <w:shd w:val="clear" w:color="auto" w:fill="auto"/>
          </w:tcPr>
          <w:p w14:paraId="31A0B85B" w14:textId="77777777" w:rsidR="00F95492" w:rsidRPr="00F95492" w:rsidRDefault="00F95492" w:rsidP="00F95492">
            <w:pPr>
              <w:pStyle w:val="TableText"/>
              <w:jc w:val="left"/>
              <w:rPr>
                <w:rFonts w:cs="Calibri"/>
              </w:rPr>
            </w:pPr>
            <w:r w:rsidRPr="00F95492">
              <w:rPr>
                <w:b/>
              </w:rPr>
              <w:t>VALUE USED IN SSD</w:t>
            </w:r>
          </w:p>
        </w:tc>
      </w:tr>
      <w:tr w:rsidR="00561AFA" w:rsidRPr="00F94663" w14:paraId="160516A6"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564C5F7C" w14:textId="5711BA80" w:rsidR="00561AFA" w:rsidRPr="001E57F2" w:rsidRDefault="00561AFA" w:rsidP="00F95492">
            <w:pPr>
              <w:pStyle w:val="TableText"/>
              <w:jc w:val="left"/>
              <w:rPr>
                <w:rFonts w:cs="Calibri"/>
              </w:rPr>
            </w:pPr>
            <w:r>
              <w:rPr>
                <w:rFonts w:cs="Calibri"/>
              </w:rPr>
              <w:t>Macrophyte (</w:t>
            </w:r>
            <w:proofErr w:type="spellStart"/>
            <w:r w:rsidRPr="001E57F2">
              <w:rPr>
                <w:rFonts w:cs="Calibri"/>
              </w:rPr>
              <w:t>Tracheophyta</w:t>
            </w:r>
            <w:proofErr w:type="spellEnd"/>
            <w:r>
              <w:rPr>
                <w:rFonts w:cs="Calibri"/>
              </w:rPr>
              <w:t>)</w:t>
            </w:r>
          </w:p>
        </w:tc>
        <w:tc>
          <w:tcPr>
            <w:tcW w:w="1700" w:type="dxa"/>
            <w:tcBorders>
              <w:bottom w:val="nil"/>
            </w:tcBorders>
            <w:shd w:val="clear" w:color="auto" w:fill="auto"/>
          </w:tcPr>
          <w:p w14:paraId="24F903C9" w14:textId="586FD9BA" w:rsidR="00561AFA" w:rsidRPr="00F95492" w:rsidRDefault="00561AFA" w:rsidP="00F95492">
            <w:pPr>
              <w:pStyle w:val="TableText"/>
              <w:jc w:val="left"/>
              <w:rPr>
                <w:rFonts w:cs="Calibri"/>
              </w:rPr>
            </w:pPr>
            <w:r w:rsidRPr="00BD5464">
              <w:rPr>
                <w:rStyle w:val="Emphasis"/>
              </w:rPr>
              <w:t>Elodea</w:t>
            </w:r>
            <w:r w:rsidRPr="00F95492">
              <w:rPr>
                <w:rFonts w:cs="Calibri"/>
              </w:rPr>
              <w:t xml:space="preserve"> </w:t>
            </w:r>
            <w:r w:rsidRPr="00BD5464">
              <w:rPr>
                <w:rStyle w:val="Emphasis"/>
              </w:rPr>
              <w:t>canadensis</w:t>
            </w:r>
          </w:p>
        </w:tc>
        <w:tc>
          <w:tcPr>
            <w:tcW w:w="1382" w:type="dxa"/>
            <w:tcBorders>
              <w:bottom w:val="nil"/>
            </w:tcBorders>
            <w:shd w:val="clear" w:color="auto" w:fill="auto"/>
          </w:tcPr>
          <w:p w14:paraId="0012FDA8" w14:textId="77777777" w:rsidR="00561AFA" w:rsidRPr="001E57F2" w:rsidRDefault="00561AFA" w:rsidP="00F95492">
            <w:pPr>
              <w:pStyle w:val="TableText"/>
              <w:jc w:val="left"/>
              <w:rPr>
                <w:rFonts w:cs="Calibri"/>
              </w:rPr>
            </w:pPr>
            <w:r w:rsidRPr="001E57F2">
              <w:rPr>
                <w:rFonts w:cs="Calibri"/>
              </w:rPr>
              <w:t>Not stated</w:t>
            </w:r>
          </w:p>
        </w:tc>
        <w:tc>
          <w:tcPr>
            <w:tcW w:w="1008" w:type="dxa"/>
            <w:tcBorders>
              <w:bottom w:val="nil"/>
            </w:tcBorders>
            <w:shd w:val="clear" w:color="auto" w:fill="auto"/>
          </w:tcPr>
          <w:p w14:paraId="7399BC04" w14:textId="77777777" w:rsidR="00561AFA" w:rsidRPr="001E57F2" w:rsidRDefault="00561AFA" w:rsidP="00F95492">
            <w:pPr>
              <w:pStyle w:val="TableText"/>
              <w:jc w:val="left"/>
              <w:rPr>
                <w:rFonts w:cs="Calibri"/>
              </w:rPr>
            </w:pPr>
            <w:r w:rsidRPr="001E57F2">
              <w:rPr>
                <w:rFonts w:cs="Calibri"/>
              </w:rPr>
              <w:t>14</w:t>
            </w:r>
          </w:p>
        </w:tc>
        <w:tc>
          <w:tcPr>
            <w:tcW w:w="1864" w:type="dxa"/>
            <w:tcBorders>
              <w:bottom w:val="nil"/>
            </w:tcBorders>
            <w:shd w:val="clear" w:color="auto" w:fill="auto"/>
          </w:tcPr>
          <w:p w14:paraId="7BD45742" w14:textId="77777777" w:rsidR="00561AFA" w:rsidRPr="001E57F2" w:rsidRDefault="00561AFA" w:rsidP="00F95492">
            <w:pPr>
              <w:pStyle w:val="TableText"/>
              <w:jc w:val="left"/>
              <w:rPr>
                <w:rFonts w:cs="Calibri"/>
              </w:rPr>
            </w:pPr>
            <w:r w:rsidRPr="001E57F2">
              <w:rPr>
                <w:rFonts w:cs="Calibri"/>
              </w:rPr>
              <w:t xml:space="preserve">EC50 </w:t>
            </w:r>
          </w:p>
          <w:p w14:paraId="1C247F2E" w14:textId="77777777" w:rsidR="00561AFA" w:rsidRPr="001E57F2" w:rsidRDefault="00561AFA" w:rsidP="00F95492">
            <w:pPr>
              <w:pStyle w:val="TableText"/>
              <w:jc w:val="left"/>
              <w:rPr>
                <w:rFonts w:cs="Calibri"/>
              </w:rPr>
            </w:pPr>
            <w:r w:rsidRPr="001E57F2">
              <w:rPr>
                <w:rFonts w:cs="Calibri"/>
              </w:rPr>
              <w:t>(Wet weight)</w:t>
            </w:r>
          </w:p>
        </w:tc>
        <w:tc>
          <w:tcPr>
            <w:tcW w:w="1734" w:type="dxa"/>
            <w:tcBorders>
              <w:bottom w:val="nil"/>
            </w:tcBorders>
            <w:shd w:val="clear" w:color="auto" w:fill="auto"/>
          </w:tcPr>
          <w:p w14:paraId="3F2FD975" w14:textId="77777777" w:rsidR="00561AFA" w:rsidRPr="001E57F2" w:rsidRDefault="00561AFA" w:rsidP="00F95492">
            <w:pPr>
              <w:pStyle w:val="TableText"/>
              <w:jc w:val="left"/>
              <w:rPr>
                <w:rFonts w:cs="Calibri"/>
              </w:rPr>
            </w:pPr>
            <w:r w:rsidRPr="001E57F2">
              <w:rPr>
                <w:rFonts w:cs="Calibri"/>
              </w:rPr>
              <w:t>ASTM medium with sediment layer</w:t>
            </w:r>
          </w:p>
        </w:tc>
        <w:tc>
          <w:tcPr>
            <w:tcW w:w="1296" w:type="dxa"/>
            <w:tcBorders>
              <w:bottom w:val="nil"/>
            </w:tcBorders>
            <w:shd w:val="clear" w:color="auto" w:fill="auto"/>
          </w:tcPr>
          <w:p w14:paraId="29B63DDD" w14:textId="77777777" w:rsidR="00561AFA" w:rsidRPr="001E57F2" w:rsidRDefault="00561AFA" w:rsidP="00F95492">
            <w:pPr>
              <w:pStyle w:val="TableText"/>
              <w:jc w:val="left"/>
              <w:rPr>
                <w:rFonts w:cs="Calibri"/>
              </w:rPr>
            </w:pPr>
            <w:r w:rsidRPr="001E57F2">
              <w:rPr>
                <w:rFonts w:cs="Calibri"/>
              </w:rPr>
              <w:t>25</w:t>
            </w:r>
          </w:p>
        </w:tc>
        <w:tc>
          <w:tcPr>
            <w:tcW w:w="1151" w:type="dxa"/>
            <w:tcBorders>
              <w:bottom w:val="nil"/>
            </w:tcBorders>
            <w:shd w:val="clear" w:color="auto" w:fill="auto"/>
          </w:tcPr>
          <w:p w14:paraId="4F701163" w14:textId="77777777" w:rsidR="00561AFA" w:rsidRPr="001E57F2" w:rsidRDefault="00561AFA" w:rsidP="00F95492">
            <w:pPr>
              <w:pStyle w:val="TableText"/>
              <w:jc w:val="left"/>
              <w:rPr>
                <w:rFonts w:cs="Calibri"/>
              </w:rPr>
            </w:pPr>
            <w:r w:rsidRPr="001E57F2">
              <w:rPr>
                <w:rFonts w:cs="Calibri"/>
              </w:rPr>
              <w:t>7.2</w:t>
            </w:r>
          </w:p>
        </w:tc>
        <w:tc>
          <w:tcPr>
            <w:tcW w:w="1344" w:type="dxa"/>
            <w:tcBorders>
              <w:bottom w:val="nil"/>
            </w:tcBorders>
            <w:shd w:val="clear" w:color="auto" w:fill="auto"/>
          </w:tcPr>
          <w:p w14:paraId="1957F575" w14:textId="152C4677" w:rsidR="00561AFA" w:rsidRPr="001E57F2" w:rsidRDefault="00561AFA" w:rsidP="00A250FE">
            <w:pPr>
              <w:pStyle w:val="TableText"/>
              <w:jc w:val="left"/>
              <w:rPr>
                <w:rFonts w:cs="Calibri"/>
                <w:i/>
              </w:rPr>
            </w:pPr>
            <w:r w:rsidRPr="001E57F2">
              <w:rPr>
                <w:rFonts w:cs="Calibri"/>
              </w:rPr>
              <w:t>2</w:t>
            </w:r>
            <w:r>
              <w:rPr>
                <w:rFonts w:cs="Calibri"/>
              </w:rPr>
              <w:t> </w:t>
            </w:r>
            <w:r w:rsidRPr="001E57F2">
              <w:rPr>
                <w:rFonts w:cs="Calibri"/>
              </w:rPr>
              <w:t>355</w:t>
            </w:r>
          </w:p>
        </w:tc>
        <w:tc>
          <w:tcPr>
            <w:tcW w:w="1214" w:type="dxa"/>
            <w:tcBorders>
              <w:bottom w:val="nil"/>
            </w:tcBorders>
            <w:shd w:val="clear" w:color="auto" w:fill="auto"/>
          </w:tcPr>
          <w:p w14:paraId="5E7051F5" w14:textId="5C630320" w:rsidR="00561AFA" w:rsidRPr="00F95492" w:rsidRDefault="00561AFA" w:rsidP="00F95492">
            <w:pPr>
              <w:pStyle w:val="TableText"/>
              <w:jc w:val="left"/>
              <w:rPr>
                <w:rFonts w:cs="Calibri"/>
              </w:rPr>
            </w:pPr>
            <w:r w:rsidRPr="00F95492">
              <w:rPr>
                <w:rFonts w:cs="Calibri"/>
              </w:rPr>
              <w:t>Fairchild et al</w:t>
            </w:r>
            <w:r>
              <w:rPr>
                <w:rFonts w:cs="Calibri"/>
              </w:rPr>
              <w:t>.</w:t>
            </w:r>
            <w:r w:rsidRPr="00F95492">
              <w:rPr>
                <w:rFonts w:cs="Calibri"/>
              </w:rPr>
              <w:t xml:space="preserve"> (1998)</w:t>
            </w:r>
          </w:p>
        </w:tc>
      </w:tr>
      <w:tr w:rsidR="00F95492" w:rsidRPr="00F94663" w14:paraId="295E349D" w14:textId="77777777" w:rsidTr="00561AFA">
        <w:trPr>
          <w:cantSplit/>
        </w:trPr>
        <w:tc>
          <w:tcPr>
            <w:tcW w:w="11660" w:type="dxa"/>
            <w:gridSpan w:val="8"/>
            <w:tcBorders>
              <w:top w:val="nil"/>
            </w:tcBorders>
            <w:shd w:val="clear" w:color="auto" w:fill="auto"/>
          </w:tcPr>
          <w:p w14:paraId="4C90BC2C" w14:textId="6F320763" w:rsidR="00F95492" w:rsidRPr="001E57F2" w:rsidRDefault="00C340EC" w:rsidP="00F95492">
            <w:pPr>
              <w:pStyle w:val="TableText"/>
              <w:jc w:val="left"/>
              <w:rPr>
                <w:rFonts w:cs="Calibri"/>
              </w:rPr>
            </w:pPr>
            <w:r>
              <w:rPr>
                <w:rFonts w:cs="Calibri"/>
              </w:rPr>
              <w:t>–</w:t>
            </w:r>
          </w:p>
        </w:tc>
        <w:tc>
          <w:tcPr>
            <w:tcW w:w="1344" w:type="dxa"/>
            <w:tcBorders>
              <w:top w:val="nil"/>
            </w:tcBorders>
            <w:shd w:val="clear" w:color="auto" w:fill="auto"/>
          </w:tcPr>
          <w:p w14:paraId="678FCA1C" w14:textId="5600A5C9" w:rsidR="00F95492" w:rsidRPr="001E57F2" w:rsidRDefault="00F95492" w:rsidP="00F95492">
            <w:pPr>
              <w:pStyle w:val="TableText"/>
              <w:jc w:val="left"/>
              <w:rPr>
                <w:rFonts w:cs="Calibri"/>
              </w:rPr>
            </w:pPr>
            <w:r w:rsidRPr="001E57F2">
              <w:rPr>
                <w:b/>
              </w:rPr>
              <w:t>471</w:t>
            </w:r>
            <w:r w:rsidR="00A250FE">
              <w:rPr>
                <w:b/>
              </w:rPr>
              <w:t xml:space="preserve"> </w:t>
            </w:r>
            <w:r w:rsidR="002326A9" w:rsidRPr="002326A9">
              <w:rPr>
                <w:rStyle w:val="Strong"/>
                <w:vertAlign w:val="superscript"/>
              </w:rPr>
              <w:t>d</w:t>
            </w:r>
          </w:p>
        </w:tc>
        <w:tc>
          <w:tcPr>
            <w:tcW w:w="1214" w:type="dxa"/>
            <w:tcBorders>
              <w:top w:val="nil"/>
            </w:tcBorders>
            <w:shd w:val="clear" w:color="auto" w:fill="auto"/>
          </w:tcPr>
          <w:p w14:paraId="1249841E" w14:textId="77777777" w:rsidR="00F95492" w:rsidRPr="00F95492" w:rsidRDefault="00F95492" w:rsidP="00F95492">
            <w:pPr>
              <w:pStyle w:val="TableText"/>
              <w:jc w:val="left"/>
              <w:rPr>
                <w:rFonts w:cs="Calibri"/>
              </w:rPr>
            </w:pPr>
            <w:r w:rsidRPr="00F95492">
              <w:rPr>
                <w:b/>
              </w:rPr>
              <w:t>VALUE USED IN SSD</w:t>
            </w:r>
          </w:p>
        </w:tc>
      </w:tr>
      <w:tr w:rsidR="00561AFA" w:rsidRPr="00F94663" w14:paraId="2505D421"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2CF8257A" w14:textId="39CDEFC1" w:rsidR="00561AFA" w:rsidRPr="001E57F2" w:rsidRDefault="00561AFA" w:rsidP="00F95492">
            <w:pPr>
              <w:pStyle w:val="TableText"/>
              <w:jc w:val="left"/>
              <w:rPr>
                <w:rFonts w:cs="Calibri"/>
              </w:rPr>
            </w:pPr>
            <w:r>
              <w:t>Macrophyte (</w:t>
            </w:r>
            <w:proofErr w:type="spellStart"/>
            <w:r w:rsidRPr="001E57F2">
              <w:t>Tracheophyta</w:t>
            </w:r>
            <w:proofErr w:type="spellEnd"/>
            <w:r>
              <w:t>)</w:t>
            </w:r>
          </w:p>
        </w:tc>
        <w:tc>
          <w:tcPr>
            <w:tcW w:w="1700" w:type="dxa"/>
            <w:tcBorders>
              <w:bottom w:val="nil"/>
            </w:tcBorders>
            <w:shd w:val="clear" w:color="auto" w:fill="auto"/>
          </w:tcPr>
          <w:p w14:paraId="2F021B2F" w14:textId="7DBE2C7D" w:rsidR="00561AFA" w:rsidRPr="00F95492" w:rsidRDefault="00561AFA" w:rsidP="00F95492">
            <w:pPr>
              <w:pStyle w:val="TableText"/>
              <w:jc w:val="left"/>
              <w:rPr>
                <w:rFonts w:cs="Calibri"/>
              </w:rPr>
            </w:pPr>
            <w:proofErr w:type="spellStart"/>
            <w:r w:rsidRPr="00BD5464">
              <w:rPr>
                <w:rStyle w:val="Emphasis"/>
              </w:rPr>
              <w:t>Lemna</w:t>
            </w:r>
            <w:proofErr w:type="spellEnd"/>
            <w:r w:rsidRPr="00BD5464">
              <w:rPr>
                <w:rStyle w:val="Emphasis"/>
              </w:rPr>
              <w:t xml:space="preserve"> </w:t>
            </w:r>
            <w:proofErr w:type="spellStart"/>
            <w:r w:rsidRPr="00BD5464">
              <w:rPr>
                <w:rStyle w:val="Emphasis"/>
              </w:rPr>
              <w:t>gibba</w:t>
            </w:r>
            <w:proofErr w:type="spellEnd"/>
          </w:p>
        </w:tc>
        <w:tc>
          <w:tcPr>
            <w:tcW w:w="1382" w:type="dxa"/>
            <w:tcBorders>
              <w:bottom w:val="nil"/>
            </w:tcBorders>
            <w:shd w:val="clear" w:color="auto" w:fill="auto"/>
          </w:tcPr>
          <w:p w14:paraId="7ED9A41A" w14:textId="03BDBCC9" w:rsidR="00561AFA" w:rsidRPr="001E57F2" w:rsidRDefault="00561AFA" w:rsidP="00F35AD3">
            <w:pPr>
              <w:pStyle w:val="TableText"/>
              <w:jc w:val="left"/>
              <w:rPr>
                <w:rFonts w:cs="Calibri"/>
              </w:rPr>
            </w:pPr>
            <w:r w:rsidRPr="001E57F2">
              <w:t xml:space="preserve">Stage 3 </w:t>
            </w:r>
            <w:r>
              <w:t>(</w:t>
            </w:r>
            <w:r w:rsidRPr="001E57F2">
              <w:t>3 fronds/plant</w:t>
            </w:r>
            <w:r>
              <w:t>s)</w:t>
            </w:r>
          </w:p>
        </w:tc>
        <w:tc>
          <w:tcPr>
            <w:tcW w:w="1008" w:type="dxa"/>
            <w:tcBorders>
              <w:bottom w:val="nil"/>
            </w:tcBorders>
            <w:shd w:val="clear" w:color="auto" w:fill="auto"/>
          </w:tcPr>
          <w:p w14:paraId="7E7964F7" w14:textId="77777777" w:rsidR="00561AFA" w:rsidRPr="001E57F2" w:rsidRDefault="00561AFA" w:rsidP="00F95492">
            <w:pPr>
              <w:pStyle w:val="TableText"/>
              <w:jc w:val="left"/>
              <w:rPr>
                <w:rFonts w:cs="Calibri"/>
              </w:rPr>
            </w:pPr>
            <w:r w:rsidRPr="001E57F2">
              <w:t>14</w:t>
            </w:r>
          </w:p>
        </w:tc>
        <w:tc>
          <w:tcPr>
            <w:tcW w:w="1864" w:type="dxa"/>
            <w:tcBorders>
              <w:bottom w:val="nil"/>
            </w:tcBorders>
            <w:shd w:val="clear" w:color="auto" w:fill="auto"/>
          </w:tcPr>
          <w:p w14:paraId="6EF75454" w14:textId="77777777" w:rsidR="00561AFA" w:rsidRPr="001E57F2" w:rsidRDefault="00561AFA" w:rsidP="00F95492">
            <w:pPr>
              <w:pStyle w:val="TableText"/>
              <w:jc w:val="left"/>
            </w:pPr>
            <w:r w:rsidRPr="001E57F2">
              <w:t xml:space="preserve">NOEL </w:t>
            </w:r>
          </w:p>
          <w:p w14:paraId="216B1DA4" w14:textId="77777777" w:rsidR="00561AFA" w:rsidRPr="001E57F2" w:rsidRDefault="00561AFA" w:rsidP="00F95492">
            <w:pPr>
              <w:pStyle w:val="TableText"/>
              <w:jc w:val="left"/>
              <w:rPr>
                <w:rFonts w:cs="Calibri"/>
              </w:rPr>
            </w:pPr>
            <w:r w:rsidRPr="001E57F2">
              <w:t>(Frond number)</w:t>
            </w:r>
          </w:p>
        </w:tc>
        <w:tc>
          <w:tcPr>
            <w:tcW w:w="1734" w:type="dxa"/>
            <w:tcBorders>
              <w:bottom w:val="nil"/>
            </w:tcBorders>
            <w:shd w:val="clear" w:color="auto" w:fill="auto"/>
          </w:tcPr>
          <w:p w14:paraId="255CF179" w14:textId="21002AC9" w:rsidR="00561AFA" w:rsidRPr="001E57F2" w:rsidRDefault="00561AFA" w:rsidP="00453267">
            <w:pPr>
              <w:pStyle w:val="TableText"/>
              <w:jc w:val="left"/>
              <w:rPr>
                <w:rFonts w:cs="Calibri"/>
              </w:rPr>
            </w:pPr>
            <w:r w:rsidRPr="001E57F2">
              <w:t xml:space="preserve">M-Hoagland’s or 20X-AAP with </w:t>
            </w:r>
            <w:proofErr w:type="spellStart"/>
            <w:r w:rsidRPr="001E57F2">
              <w:t>deioni</w:t>
            </w:r>
            <w:r>
              <w:t>s</w:t>
            </w:r>
            <w:r w:rsidRPr="001E57F2">
              <w:t>ed</w:t>
            </w:r>
            <w:proofErr w:type="spellEnd"/>
            <w:r w:rsidRPr="001E57F2">
              <w:t xml:space="preserve"> water/ASTM Type I water</w:t>
            </w:r>
          </w:p>
        </w:tc>
        <w:tc>
          <w:tcPr>
            <w:tcW w:w="1296" w:type="dxa"/>
            <w:tcBorders>
              <w:bottom w:val="nil"/>
            </w:tcBorders>
            <w:shd w:val="clear" w:color="auto" w:fill="auto"/>
          </w:tcPr>
          <w:p w14:paraId="79A88113" w14:textId="77777777" w:rsidR="00561AFA" w:rsidRPr="001E57F2" w:rsidRDefault="00561AFA" w:rsidP="00F95492">
            <w:pPr>
              <w:pStyle w:val="TableText"/>
              <w:jc w:val="left"/>
              <w:rPr>
                <w:rFonts w:cs="Calibri"/>
              </w:rPr>
            </w:pPr>
            <w:r w:rsidRPr="001E57F2">
              <w:t>25 ± 2</w:t>
            </w:r>
          </w:p>
        </w:tc>
        <w:tc>
          <w:tcPr>
            <w:tcW w:w="1151" w:type="dxa"/>
            <w:tcBorders>
              <w:bottom w:val="nil"/>
            </w:tcBorders>
            <w:shd w:val="clear" w:color="auto" w:fill="auto"/>
          </w:tcPr>
          <w:p w14:paraId="506CB91A" w14:textId="77777777" w:rsidR="00561AFA" w:rsidRPr="001E57F2" w:rsidRDefault="00561AFA" w:rsidP="00F95492">
            <w:pPr>
              <w:pStyle w:val="TableText"/>
              <w:jc w:val="left"/>
              <w:rPr>
                <w:rFonts w:cs="Calibri"/>
              </w:rPr>
            </w:pPr>
            <w:r w:rsidRPr="001E57F2">
              <w:t>4.8-5.2 (Hoagland’s)/7.5 ± 0.1 (20X-AAP)</w:t>
            </w:r>
          </w:p>
        </w:tc>
        <w:tc>
          <w:tcPr>
            <w:tcW w:w="1344" w:type="dxa"/>
            <w:tcBorders>
              <w:bottom w:val="nil"/>
            </w:tcBorders>
            <w:shd w:val="clear" w:color="auto" w:fill="auto"/>
          </w:tcPr>
          <w:p w14:paraId="7605F661" w14:textId="77777777" w:rsidR="00561AFA" w:rsidRPr="001E57F2" w:rsidRDefault="00561AFA" w:rsidP="00F95492">
            <w:pPr>
              <w:pStyle w:val="TableText"/>
              <w:jc w:val="left"/>
              <w:rPr>
                <w:rFonts w:cs="Calibri"/>
              </w:rPr>
            </w:pPr>
            <w:r w:rsidRPr="001E57F2">
              <w:t>8.4</w:t>
            </w:r>
          </w:p>
        </w:tc>
        <w:tc>
          <w:tcPr>
            <w:tcW w:w="1214" w:type="dxa"/>
            <w:tcBorders>
              <w:bottom w:val="nil"/>
            </w:tcBorders>
            <w:shd w:val="clear" w:color="auto" w:fill="auto"/>
          </w:tcPr>
          <w:p w14:paraId="5DC9E292" w14:textId="7856E20A" w:rsidR="00561AFA" w:rsidRPr="00F95492" w:rsidRDefault="00561AFA" w:rsidP="00F95492">
            <w:pPr>
              <w:pStyle w:val="TableText"/>
              <w:jc w:val="left"/>
              <w:rPr>
                <w:rFonts w:cs="Calibri"/>
              </w:rPr>
            </w:pPr>
            <w:r w:rsidRPr="00F95492">
              <w:t>USEPA (2015</w:t>
            </w:r>
            <w:r>
              <w:t>a</w:t>
            </w:r>
            <w:r w:rsidRPr="00F95492">
              <w:t>)</w:t>
            </w:r>
          </w:p>
        </w:tc>
      </w:tr>
      <w:tr w:rsidR="00F95492" w:rsidRPr="00F94663" w14:paraId="239F8B7F" w14:textId="77777777" w:rsidTr="00561AFA">
        <w:trPr>
          <w:cantSplit/>
        </w:trPr>
        <w:tc>
          <w:tcPr>
            <w:tcW w:w="11660" w:type="dxa"/>
            <w:gridSpan w:val="8"/>
            <w:tcBorders>
              <w:top w:val="nil"/>
              <w:bottom w:val="single" w:sz="4" w:space="0" w:color="auto"/>
            </w:tcBorders>
            <w:shd w:val="clear" w:color="auto" w:fill="auto"/>
          </w:tcPr>
          <w:p w14:paraId="31271D40" w14:textId="2C0E43F3" w:rsidR="00F95492" w:rsidRPr="001E57F2" w:rsidRDefault="00C340EC" w:rsidP="00F95492">
            <w:pPr>
              <w:pStyle w:val="TableText"/>
              <w:jc w:val="left"/>
              <w:rPr>
                <w:rFonts w:cs="Calibri"/>
              </w:rPr>
            </w:pPr>
            <w:r>
              <w:rPr>
                <w:rFonts w:cs="Calibri"/>
              </w:rPr>
              <w:t>–</w:t>
            </w:r>
          </w:p>
        </w:tc>
        <w:tc>
          <w:tcPr>
            <w:tcW w:w="1344" w:type="dxa"/>
            <w:tcBorders>
              <w:top w:val="nil"/>
              <w:bottom w:val="single" w:sz="4" w:space="0" w:color="auto"/>
            </w:tcBorders>
            <w:shd w:val="clear" w:color="auto" w:fill="auto"/>
          </w:tcPr>
          <w:p w14:paraId="4499FA64" w14:textId="77777777" w:rsidR="00F95492" w:rsidRPr="001E57F2" w:rsidRDefault="00F95492" w:rsidP="00F95492">
            <w:pPr>
              <w:pStyle w:val="TableText"/>
              <w:jc w:val="left"/>
              <w:rPr>
                <w:rFonts w:cs="Calibri"/>
                <w:i/>
              </w:rPr>
            </w:pPr>
            <w:r w:rsidRPr="001E57F2">
              <w:rPr>
                <w:b/>
              </w:rPr>
              <w:t>8.4</w:t>
            </w:r>
          </w:p>
        </w:tc>
        <w:tc>
          <w:tcPr>
            <w:tcW w:w="1214" w:type="dxa"/>
            <w:tcBorders>
              <w:top w:val="nil"/>
              <w:bottom w:val="single" w:sz="4" w:space="0" w:color="auto"/>
            </w:tcBorders>
            <w:shd w:val="clear" w:color="auto" w:fill="auto"/>
          </w:tcPr>
          <w:p w14:paraId="62279582" w14:textId="77777777" w:rsidR="00F95492" w:rsidRPr="00F95492" w:rsidRDefault="00F95492" w:rsidP="00F95492">
            <w:pPr>
              <w:pStyle w:val="TableText"/>
              <w:jc w:val="left"/>
              <w:rPr>
                <w:rFonts w:cs="Calibri"/>
              </w:rPr>
            </w:pPr>
            <w:r w:rsidRPr="00F95492">
              <w:rPr>
                <w:b/>
              </w:rPr>
              <w:t>VALUE USED IN SSD</w:t>
            </w:r>
          </w:p>
        </w:tc>
      </w:tr>
      <w:tr w:rsidR="00561AFA" w:rsidRPr="00F94663" w14:paraId="7728EF25" w14:textId="77777777" w:rsidTr="00561AFA">
        <w:trPr>
          <w:cnfStyle w:val="000000100000" w:firstRow="0" w:lastRow="0" w:firstColumn="0" w:lastColumn="0" w:oddVBand="0" w:evenVBand="0" w:oddHBand="1" w:evenHBand="0" w:firstRowFirstColumn="0" w:firstRowLastColumn="0" w:lastRowFirstColumn="0" w:lastRowLastColumn="0"/>
          <w:cantSplit/>
        </w:trPr>
        <w:tc>
          <w:tcPr>
            <w:tcW w:w="1525" w:type="dxa"/>
            <w:tcBorders>
              <w:bottom w:val="nil"/>
            </w:tcBorders>
            <w:shd w:val="clear" w:color="auto" w:fill="auto"/>
          </w:tcPr>
          <w:p w14:paraId="268C19F4" w14:textId="2795F831" w:rsidR="00561AFA" w:rsidRPr="001E57F2" w:rsidRDefault="00561AFA" w:rsidP="00561AFA">
            <w:pPr>
              <w:pStyle w:val="TableText"/>
              <w:jc w:val="left"/>
              <w:rPr>
                <w:rFonts w:cs="Calibri"/>
              </w:rPr>
            </w:pPr>
            <w:proofErr w:type="spellStart"/>
            <w:r w:rsidRPr="001E57F2">
              <w:rPr>
                <w:rFonts w:cs="Calibri"/>
              </w:rPr>
              <w:t>Tracheophyta</w:t>
            </w:r>
            <w:proofErr w:type="spellEnd"/>
          </w:p>
        </w:tc>
        <w:tc>
          <w:tcPr>
            <w:tcW w:w="1700" w:type="dxa"/>
            <w:tcBorders>
              <w:bottom w:val="nil"/>
            </w:tcBorders>
            <w:shd w:val="clear" w:color="auto" w:fill="auto"/>
          </w:tcPr>
          <w:p w14:paraId="2855251C" w14:textId="541C45E5" w:rsidR="00561AFA" w:rsidRPr="00F95492" w:rsidRDefault="00561AFA" w:rsidP="00561AFA">
            <w:pPr>
              <w:pStyle w:val="TableText"/>
              <w:jc w:val="left"/>
              <w:rPr>
                <w:rFonts w:cs="Calibri"/>
              </w:rPr>
            </w:pPr>
            <w:proofErr w:type="spellStart"/>
            <w:r w:rsidRPr="00BD5464">
              <w:rPr>
                <w:rStyle w:val="Emphasis"/>
              </w:rPr>
              <w:t>Najas</w:t>
            </w:r>
            <w:proofErr w:type="spellEnd"/>
            <w:r w:rsidRPr="00F95492">
              <w:rPr>
                <w:rFonts w:cs="Calibri"/>
              </w:rPr>
              <w:t xml:space="preserve"> sp.</w:t>
            </w:r>
          </w:p>
        </w:tc>
        <w:tc>
          <w:tcPr>
            <w:tcW w:w="1382" w:type="dxa"/>
            <w:tcBorders>
              <w:bottom w:val="nil"/>
            </w:tcBorders>
            <w:shd w:val="clear" w:color="auto" w:fill="auto"/>
          </w:tcPr>
          <w:p w14:paraId="657D7DFC" w14:textId="77777777" w:rsidR="00561AFA" w:rsidRPr="001E57F2" w:rsidRDefault="00561AFA" w:rsidP="00561AFA">
            <w:pPr>
              <w:pStyle w:val="TableText"/>
              <w:jc w:val="left"/>
              <w:rPr>
                <w:rFonts w:cs="Calibri"/>
              </w:rPr>
            </w:pPr>
            <w:r w:rsidRPr="001E57F2">
              <w:rPr>
                <w:rFonts w:cs="Calibri"/>
              </w:rPr>
              <w:t>Not stated</w:t>
            </w:r>
          </w:p>
        </w:tc>
        <w:tc>
          <w:tcPr>
            <w:tcW w:w="1008" w:type="dxa"/>
            <w:tcBorders>
              <w:bottom w:val="nil"/>
            </w:tcBorders>
            <w:shd w:val="clear" w:color="auto" w:fill="auto"/>
          </w:tcPr>
          <w:p w14:paraId="1A570C15" w14:textId="77777777" w:rsidR="00561AFA" w:rsidRPr="001E57F2" w:rsidRDefault="00561AFA" w:rsidP="00561AFA">
            <w:pPr>
              <w:pStyle w:val="TableText"/>
              <w:jc w:val="left"/>
              <w:rPr>
                <w:rFonts w:cs="Calibri"/>
              </w:rPr>
            </w:pPr>
            <w:r w:rsidRPr="001E57F2">
              <w:rPr>
                <w:rFonts w:cs="Calibri"/>
              </w:rPr>
              <w:t>14</w:t>
            </w:r>
          </w:p>
        </w:tc>
        <w:tc>
          <w:tcPr>
            <w:tcW w:w="1864" w:type="dxa"/>
            <w:tcBorders>
              <w:bottom w:val="nil"/>
            </w:tcBorders>
            <w:shd w:val="clear" w:color="auto" w:fill="auto"/>
          </w:tcPr>
          <w:p w14:paraId="33A4174C" w14:textId="77777777" w:rsidR="00561AFA" w:rsidRPr="001E57F2" w:rsidRDefault="00561AFA" w:rsidP="00561AFA">
            <w:pPr>
              <w:pStyle w:val="TableText"/>
              <w:jc w:val="left"/>
              <w:rPr>
                <w:rFonts w:cs="Calibri"/>
              </w:rPr>
            </w:pPr>
            <w:r w:rsidRPr="001E57F2">
              <w:rPr>
                <w:rFonts w:cs="Calibri"/>
              </w:rPr>
              <w:t xml:space="preserve">EC50 </w:t>
            </w:r>
          </w:p>
          <w:p w14:paraId="391E82F2" w14:textId="77777777" w:rsidR="00561AFA" w:rsidRPr="001E57F2" w:rsidRDefault="00561AFA" w:rsidP="00561AFA">
            <w:pPr>
              <w:pStyle w:val="TableText"/>
              <w:jc w:val="left"/>
              <w:rPr>
                <w:rFonts w:cs="Calibri"/>
              </w:rPr>
            </w:pPr>
            <w:r w:rsidRPr="001E57F2">
              <w:rPr>
                <w:rFonts w:cs="Calibri"/>
              </w:rPr>
              <w:t>(Wet weight)</w:t>
            </w:r>
          </w:p>
        </w:tc>
        <w:tc>
          <w:tcPr>
            <w:tcW w:w="1734" w:type="dxa"/>
            <w:tcBorders>
              <w:bottom w:val="nil"/>
            </w:tcBorders>
            <w:shd w:val="clear" w:color="auto" w:fill="auto"/>
          </w:tcPr>
          <w:p w14:paraId="62924A90" w14:textId="77777777" w:rsidR="00561AFA" w:rsidRPr="001E57F2" w:rsidRDefault="00561AFA" w:rsidP="00561AFA">
            <w:pPr>
              <w:pStyle w:val="TableText"/>
              <w:jc w:val="left"/>
              <w:rPr>
                <w:rFonts w:cs="Calibri"/>
              </w:rPr>
            </w:pPr>
            <w:r w:rsidRPr="001E57F2">
              <w:rPr>
                <w:rFonts w:cs="Calibri"/>
              </w:rPr>
              <w:t>ASTM medium</w:t>
            </w:r>
          </w:p>
        </w:tc>
        <w:tc>
          <w:tcPr>
            <w:tcW w:w="1296" w:type="dxa"/>
            <w:tcBorders>
              <w:bottom w:val="nil"/>
            </w:tcBorders>
            <w:shd w:val="clear" w:color="auto" w:fill="auto"/>
          </w:tcPr>
          <w:p w14:paraId="21436F8C" w14:textId="77777777" w:rsidR="00561AFA" w:rsidRPr="001E57F2" w:rsidRDefault="00561AFA" w:rsidP="00561AFA">
            <w:pPr>
              <w:pStyle w:val="TableText"/>
              <w:jc w:val="left"/>
              <w:rPr>
                <w:rFonts w:cs="Calibri"/>
              </w:rPr>
            </w:pPr>
            <w:r w:rsidRPr="001E57F2">
              <w:rPr>
                <w:rFonts w:cs="Calibri"/>
              </w:rPr>
              <w:t>25</w:t>
            </w:r>
          </w:p>
        </w:tc>
        <w:tc>
          <w:tcPr>
            <w:tcW w:w="1151" w:type="dxa"/>
            <w:tcBorders>
              <w:bottom w:val="nil"/>
            </w:tcBorders>
            <w:shd w:val="clear" w:color="auto" w:fill="auto"/>
          </w:tcPr>
          <w:p w14:paraId="331B23A7" w14:textId="77777777" w:rsidR="00561AFA" w:rsidRPr="001E57F2" w:rsidRDefault="00561AFA" w:rsidP="00561AFA">
            <w:pPr>
              <w:pStyle w:val="TableText"/>
              <w:jc w:val="left"/>
              <w:rPr>
                <w:rFonts w:cs="Calibri"/>
              </w:rPr>
            </w:pPr>
            <w:r w:rsidRPr="001E57F2">
              <w:rPr>
                <w:rFonts w:cs="Calibri"/>
              </w:rPr>
              <w:t>Not stated</w:t>
            </w:r>
          </w:p>
        </w:tc>
        <w:tc>
          <w:tcPr>
            <w:tcW w:w="1344" w:type="dxa"/>
            <w:tcBorders>
              <w:bottom w:val="nil"/>
            </w:tcBorders>
            <w:shd w:val="clear" w:color="auto" w:fill="auto"/>
          </w:tcPr>
          <w:p w14:paraId="333396AF" w14:textId="77777777" w:rsidR="00561AFA" w:rsidRPr="001E57F2" w:rsidRDefault="00561AFA" w:rsidP="00561AFA">
            <w:pPr>
              <w:pStyle w:val="TableText"/>
              <w:jc w:val="left"/>
              <w:rPr>
                <w:rFonts w:cs="Calibri"/>
              </w:rPr>
            </w:pPr>
            <w:r w:rsidRPr="001E57F2">
              <w:rPr>
                <w:rFonts w:cs="Calibri"/>
              </w:rPr>
              <w:t>242</w:t>
            </w:r>
          </w:p>
        </w:tc>
        <w:tc>
          <w:tcPr>
            <w:tcW w:w="1214" w:type="dxa"/>
            <w:tcBorders>
              <w:bottom w:val="nil"/>
            </w:tcBorders>
            <w:shd w:val="clear" w:color="auto" w:fill="auto"/>
          </w:tcPr>
          <w:p w14:paraId="5D288952" w14:textId="3177061A" w:rsidR="00561AFA" w:rsidRPr="00F95492" w:rsidRDefault="00561AFA" w:rsidP="00561AFA">
            <w:pPr>
              <w:pStyle w:val="TableText"/>
              <w:jc w:val="left"/>
              <w:rPr>
                <w:rFonts w:cs="Calibri"/>
              </w:rPr>
            </w:pPr>
            <w:r w:rsidRPr="00F95492">
              <w:rPr>
                <w:rFonts w:cs="Calibri"/>
              </w:rPr>
              <w:t>Fairchild et al</w:t>
            </w:r>
            <w:r>
              <w:rPr>
                <w:rFonts w:cs="Calibri"/>
              </w:rPr>
              <w:t>.</w:t>
            </w:r>
            <w:r w:rsidRPr="00F95492">
              <w:rPr>
                <w:rFonts w:cs="Calibri"/>
              </w:rPr>
              <w:t xml:space="preserve"> (1998)</w:t>
            </w:r>
          </w:p>
        </w:tc>
      </w:tr>
      <w:tr w:rsidR="00130887" w:rsidRPr="00F94663" w14:paraId="18320FB6" w14:textId="77777777" w:rsidTr="00561AFA">
        <w:trPr>
          <w:cantSplit/>
        </w:trPr>
        <w:tc>
          <w:tcPr>
            <w:tcW w:w="11660" w:type="dxa"/>
            <w:gridSpan w:val="8"/>
            <w:tcBorders>
              <w:top w:val="nil"/>
              <w:bottom w:val="single" w:sz="12" w:space="0" w:color="auto"/>
            </w:tcBorders>
            <w:shd w:val="clear" w:color="auto" w:fill="auto"/>
          </w:tcPr>
          <w:p w14:paraId="1D254E9C" w14:textId="77777777" w:rsidR="00130887" w:rsidRPr="001E57F2" w:rsidRDefault="00130887" w:rsidP="00561AFA">
            <w:pPr>
              <w:pStyle w:val="TableText"/>
              <w:jc w:val="left"/>
              <w:rPr>
                <w:rFonts w:cs="Calibri"/>
              </w:rPr>
            </w:pPr>
            <w:r>
              <w:rPr>
                <w:rFonts w:cs="Calibri"/>
              </w:rPr>
              <w:t>–</w:t>
            </w:r>
          </w:p>
        </w:tc>
        <w:tc>
          <w:tcPr>
            <w:tcW w:w="1344" w:type="dxa"/>
            <w:tcBorders>
              <w:top w:val="nil"/>
              <w:bottom w:val="single" w:sz="12" w:space="0" w:color="auto"/>
            </w:tcBorders>
            <w:shd w:val="clear" w:color="auto" w:fill="auto"/>
          </w:tcPr>
          <w:p w14:paraId="3B45863F" w14:textId="23416029" w:rsidR="00130887" w:rsidRPr="001E57F2" w:rsidRDefault="00130887" w:rsidP="00561AFA">
            <w:pPr>
              <w:pStyle w:val="TableText"/>
              <w:jc w:val="left"/>
              <w:rPr>
                <w:rFonts w:cs="Calibri"/>
                <w:i/>
              </w:rPr>
            </w:pPr>
            <w:r>
              <w:rPr>
                <w:b/>
              </w:rPr>
              <w:t>48.4</w:t>
            </w:r>
            <w:r w:rsidR="00457272" w:rsidRPr="002E0B04">
              <w:t xml:space="preserve"> </w:t>
            </w:r>
            <w:r w:rsidR="00457272" w:rsidRPr="002E0B04">
              <w:rPr>
                <w:rStyle w:val="Strong"/>
                <w:vertAlign w:val="superscript"/>
              </w:rPr>
              <w:t>d</w:t>
            </w:r>
          </w:p>
        </w:tc>
        <w:tc>
          <w:tcPr>
            <w:tcW w:w="1214" w:type="dxa"/>
            <w:tcBorders>
              <w:top w:val="nil"/>
              <w:bottom w:val="single" w:sz="12" w:space="0" w:color="auto"/>
            </w:tcBorders>
            <w:shd w:val="clear" w:color="auto" w:fill="auto"/>
          </w:tcPr>
          <w:p w14:paraId="753BF4FA" w14:textId="77777777" w:rsidR="00130887" w:rsidRPr="00F95492" w:rsidRDefault="00130887" w:rsidP="00561AFA">
            <w:pPr>
              <w:pStyle w:val="TableText"/>
              <w:jc w:val="left"/>
              <w:rPr>
                <w:rFonts w:cs="Calibri"/>
              </w:rPr>
            </w:pPr>
            <w:r w:rsidRPr="00F95492">
              <w:rPr>
                <w:b/>
              </w:rPr>
              <w:t>VALUE USED IN SSD</w:t>
            </w:r>
          </w:p>
        </w:tc>
      </w:tr>
    </w:tbl>
    <w:p w14:paraId="4AE1FA3C" w14:textId="41434E3E" w:rsidR="00A250FE" w:rsidRDefault="00C03E31" w:rsidP="00A250FE">
      <w:pPr>
        <w:pStyle w:val="FigureTableNoteSource"/>
      </w:pPr>
      <w:r w:rsidRPr="00C03E31">
        <w:rPr>
          <w:rStyle w:val="Strong"/>
        </w:rPr>
        <w:t>a</w:t>
      </w:r>
      <w:r w:rsidR="00241F6F" w:rsidRPr="00241F6F">
        <w:t xml:space="preserve"> AUC</w:t>
      </w:r>
      <w:r w:rsidR="00A250FE">
        <w:t xml:space="preserve"> = area under the growth curve.</w:t>
      </w:r>
    </w:p>
    <w:p w14:paraId="65ED6FF7" w14:textId="1D731127" w:rsidR="00A250FE" w:rsidRDefault="00C03E31" w:rsidP="00A250FE">
      <w:pPr>
        <w:pStyle w:val="FigureTableNoteSource"/>
      </w:pPr>
      <w:r w:rsidRPr="00C03E31">
        <w:rPr>
          <w:rStyle w:val="Strong"/>
        </w:rPr>
        <w:t>b</w:t>
      </w:r>
      <w:r w:rsidR="00241F6F" w:rsidRPr="00241F6F">
        <w:t xml:space="preserve"> This species has also </w:t>
      </w:r>
      <w:r w:rsidR="009D6277">
        <w:t xml:space="preserve">been </w:t>
      </w:r>
      <w:r w:rsidR="00241F6F" w:rsidRPr="00241F6F">
        <w:t xml:space="preserve">called </w:t>
      </w:r>
      <w:r w:rsidR="00241F6F" w:rsidRPr="00C03E31">
        <w:rPr>
          <w:rStyle w:val="Emphasis"/>
        </w:rPr>
        <w:t>Chlorella vulg</w:t>
      </w:r>
      <w:r w:rsidR="00A250FE" w:rsidRPr="00C03E31">
        <w:rPr>
          <w:rStyle w:val="Emphasis"/>
        </w:rPr>
        <w:t>aris</w:t>
      </w:r>
      <w:r w:rsidR="00A250FE">
        <w:t xml:space="preserve"> and </w:t>
      </w:r>
      <w:r w:rsidR="00A250FE" w:rsidRPr="00C03E31">
        <w:rPr>
          <w:rStyle w:val="Emphasis"/>
        </w:rPr>
        <w:t xml:space="preserve">Chlorella </w:t>
      </w:r>
      <w:proofErr w:type="spellStart"/>
      <w:r w:rsidR="00A250FE" w:rsidRPr="00C03E31">
        <w:rPr>
          <w:rStyle w:val="Emphasis"/>
        </w:rPr>
        <w:t>pyrenoidosa</w:t>
      </w:r>
      <w:proofErr w:type="spellEnd"/>
      <w:r w:rsidR="00A250FE">
        <w:t>.</w:t>
      </w:r>
    </w:p>
    <w:p w14:paraId="2B574917" w14:textId="37B80360" w:rsidR="00A250FE" w:rsidRDefault="00C03E31" w:rsidP="00783B6A">
      <w:pPr>
        <w:pStyle w:val="FigureTableNoteSource"/>
      </w:pPr>
      <w:r w:rsidRPr="00C03E31">
        <w:rPr>
          <w:rStyle w:val="Strong"/>
        </w:rPr>
        <w:t>c</w:t>
      </w:r>
      <w:r w:rsidR="00241F6F" w:rsidRPr="00241F6F">
        <w:t xml:space="preserve"> This species has </w:t>
      </w:r>
      <w:r w:rsidR="009D6277">
        <w:t xml:space="preserve">also </w:t>
      </w:r>
      <w:r w:rsidR="00241F6F" w:rsidRPr="00241F6F">
        <w:t xml:space="preserve">been called </w:t>
      </w:r>
      <w:proofErr w:type="spellStart"/>
      <w:r w:rsidR="00241F6F" w:rsidRPr="00C03E31">
        <w:rPr>
          <w:rStyle w:val="Emphasis"/>
        </w:rPr>
        <w:t>Raphidocelis</w:t>
      </w:r>
      <w:proofErr w:type="spellEnd"/>
      <w:r w:rsidR="00241F6F" w:rsidRPr="00C03E31">
        <w:rPr>
          <w:rStyle w:val="Emphasis"/>
        </w:rPr>
        <w:t xml:space="preserve"> </w:t>
      </w:r>
      <w:proofErr w:type="spellStart"/>
      <w:r w:rsidR="00241F6F" w:rsidRPr="00C03E31">
        <w:rPr>
          <w:rStyle w:val="Emphasis"/>
        </w:rPr>
        <w:t>subcapitata</w:t>
      </w:r>
      <w:proofErr w:type="spellEnd"/>
      <w:r w:rsidR="00241F6F" w:rsidRPr="00241F6F">
        <w:t xml:space="preserve">, </w:t>
      </w:r>
      <w:proofErr w:type="spellStart"/>
      <w:r w:rsidR="00241F6F" w:rsidRPr="00C03E31">
        <w:rPr>
          <w:rStyle w:val="Emphasis"/>
        </w:rPr>
        <w:t>Pseudokirchneriella</w:t>
      </w:r>
      <w:proofErr w:type="spellEnd"/>
      <w:r w:rsidR="00241F6F" w:rsidRPr="00C03E31">
        <w:rPr>
          <w:rStyle w:val="Emphasis"/>
        </w:rPr>
        <w:t xml:space="preserve"> </w:t>
      </w:r>
      <w:proofErr w:type="spellStart"/>
      <w:r w:rsidR="00241F6F" w:rsidRPr="00C03E31">
        <w:rPr>
          <w:rStyle w:val="Emphasis"/>
        </w:rPr>
        <w:t>subcapitata</w:t>
      </w:r>
      <w:proofErr w:type="spellEnd"/>
      <w:r w:rsidR="00241F6F" w:rsidRPr="00241F6F">
        <w:t xml:space="preserve"> </w:t>
      </w:r>
      <w:r w:rsidR="00A250FE">
        <w:t xml:space="preserve">and </w:t>
      </w:r>
      <w:proofErr w:type="spellStart"/>
      <w:r w:rsidR="00A250FE" w:rsidRPr="00C03E31">
        <w:rPr>
          <w:rStyle w:val="Emphasis"/>
        </w:rPr>
        <w:t>Selenastrum</w:t>
      </w:r>
      <w:proofErr w:type="spellEnd"/>
      <w:r w:rsidR="00A250FE" w:rsidRPr="00C03E31">
        <w:rPr>
          <w:rStyle w:val="Emphasis"/>
        </w:rPr>
        <w:t xml:space="preserve"> </w:t>
      </w:r>
      <w:proofErr w:type="spellStart"/>
      <w:r w:rsidR="00A250FE" w:rsidRPr="00C03E31">
        <w:rPr>
          <w:rStyle w:val="Emphasis"/>
        </w:rPr>
        <w:t>capricornutum</w:t>
      </w:r>
      <w:proofErr w:type="spellEnd"/>
      <w:r w:rsidR="00A250FE">
        <w:t xml:space="preserve">. </w:t>
      </w:r>
    </w:p>
    <w:p w14:paraId="79AC2E5A" w14:textId="6D713D4B" w:rsidR="00241F6F" w:rsidRDefault="00C03E31" w:rsidP="00A250FE">
      <w:pPr>
        <w:pStyle w:val="FigureTableNoteSource"/>
      </w:pPr>
      <w:r w:rsidRPr="00C03E31">
        <w:rPr>
          <w:rStyle w:val="Strong"/>
        </w:rPr>
        <w:t>d</w:t>
      </w:r>
      <w:r w:rsidR="00241F6F" w:rsidRPr="00241F6F">
        <w:t xml:space="preserve"> Values were chronic LOEC and EC50 values that were converted to chronic NOEC/EC10 values by dividing by 2.5 and 5, respectively (Warne et al. 2018).</w:t>
      </w:r>
    </w:p>
    <w:p w14:paraId="19099717" w14:textId="3FCFB309" w:rsidR="00605097" w:rsidRDefault="00783B6A" w:rsidP="002E2651">
      <w:pPr>
        <w:pStyle w:val="FigureTableNoteSource"/>
      </w:pPr>
      <w:r w:rsidRPr="00E047F8">
        <w:rPr>
          <w:rStyle w:val="Strong"/>
        </w:rPr>
        <w:t>e</w:t>
      </w:r>
      <w:r w:rsidRPr="00783B6A">
        <w:t xml:space="preserve"> </w:t>
      </w:r>
      <w:r>
        <w:t xml:space="preserve">DV: </w:t>
      </w:r>
      <w:r w:rsidR="00E047F8">
        <w:t>‘</w:t>
      </w:r>
      <w:r>
        <w:t xml:space="preserve">Diatom medium + </w:t>
      </w:r>
      <w:proofErr w:type="spellStart"/>
      <w:r>
        <w:t>vitamines</w:t>
      </w:r>
      <w:proofErr w:type="spellEnd"/>
      <w:r w:rsidR="00E047F8">
        <w:t>’</w:t>
      </w:r>
      <w:r w:rsidR="00A04B98">
        <w:t>.</w:t>
      </w:r>
    </w:p>
    <w:p w14:paraId="1FF61DAE" w14:textId="77777777" w:rsidR="00605097" w:rsidRPr="00605097" w:rsidRDefault="00605097" w:rsidP="00605097">
      <w:pPr>
        <w:sectPr w:rsidR="00605097" w:rsidRPr="00605097" w:rsidSect="007336AC">
          <w:headerReference w:type="default" r:id="rId32"/>
          <w:pgSz w:w="16838" w:h="11906" w:orient="landscape"/>
          <w:pgMar w:top="1418" w:right="1418" w:bottom="1418" w:left="1418" w:header="567" w:footer="283" w:gutter="0"/>
          <w:cols w:space="708"/>
          <w:docGrid w:linePitch="360"/>
        </w:sectPr>
      </w:pPr>
    </w:p>
    <w:p w14:paraId="7F685EEE" w14:textId="27B08037" w:rsidR="00606A7B" w:rsidRPr="00AF268A" w:rsidRDefault="00DD0E2B" w:rsidP="00606A7B">
      <w:pPr>
        <w:pStyle w:val="Heading2"/>
        <w:numPr>
          <w:ilvl w:val="0"/>
          <w:numId w:val="0"/>
        </w:numPr>
        <w:rPr>
          <w:highlight w:val="yellow"/>
        </w:rPr>
      </w:pPr>
      <w:bookmarkStart w:id="38" w:name="_Ref528068950"/>
      <w:bookmarkStart w:id="39" w:name="_Toc4498838"/>
      <w:bookmarkStart w:id="40" w:name="_Ref18493581"/>
      <w:bookmarkStart w:id="41" w:name="_Toc33094998"/>
      <w:r>
        <w:lastRenderedPageBreak/>
        <w:t>Appendix</w:t>
      </w:r>
      <w:r w:rsidR="00337A6C" w:rsidRPr="00337A6C">
        <w:t xml:space="preserve"> B</w:t>
      </w:r>
      <w:r>
        <w:t>:</w:t>
      </w:r>
      <w:r w:rsidR="00606A7B" w:rsidRPr="00337A6C">
        <w:t xml:space="preserve"> </w:t>
      </w:r>
      <w:bookmarkEnd w:id="38"/>
      <w:bookmarkEnd w:id="39"/>
      <w:r w:rsidR="00A4302F" w:rsidRPr="00A4302F">
        <w:rPr>
          <w:bCs w:val="0"/>
          <w:iCs/>
          <w:lang w:bidi="en-US"/>
        </w:rPr>
        <w:t xml:space="preserve">Modality assessment for </w:t>
      </w:r>
      <w:r w:rsidR="00A4302F">
        <w:rPr>
          <w:bCs w:val="0"/>
          <w:iCs/>
          <w:lang w:bidi="en-US"/>
        </w:rPr>
        <w:t>metolachlor</w:t>
      </w:r>
      <w:r w:rsidR="00A4302F" w:rsidRPr="00A4302F">
        <w:rPr>
          <w:bCs w:val="0"/>
          <w:iCs/>
          <w:lang w:bidi="en-US"/>
        </w:rPr>
        <w:t xml:space="preserve"> toxicity to freshwater</w:t>
      </w:r>
      <w:r w:rsidR="00A4302F" w:rsidRPr="00A4302F">
        <w:rPr>
          <w:b/>
          <w:iCs/>
          <w:lang w:bidi="en-US"/>
        </w:rPr>
        <w:t xml:space="preserve"> </w:t>
      </w:r>
      <w:r w:rsidR="00C66A1A" w:rsidRPr="00C66A1A">
        <w:t>species</w:t>
      </w:r>
      <w:bookmarkEnd w:id="40"/>
      <w:bookmarkEnd w:id="41"/>
    </w:p>
    <w:p w14:paraId="04D8E8D1" w14:textId="77750275" w:rsidR="00A4302F" w:rsidRDefault="00A4302F" w:rsidP="00C66A1A">
      <w:r w:rsidRPr="00B7164F">
        <w:t xml:space="preserve">A modality assessment was undertaken for </w:t>
      </w:r>
      <w:r>
        <w:t>metolachlor</w:t>
      </w:r>
      <w:r w:rsidRPr="00B7164F">
        <w:t xml:space="preserve"> according to the </w:t>
      </w:r>
      <w:r>
        <w:t>weight of evidence approach specified</w:t>
      </w:r>
      <w:r w:rsidRPr="00B7164F">
        <w:t xml:space="preserve"> in Warne</w:t>
      </w:r>
      <w:r w:rsidRPr="00B7164F">
        <w:rPr>
          <w:i/>
        </w:rPr>
        <w:t xml:space="preserve"> </w:t>
      </w:r>
      <w:r w:rsidRPr="00984E1D">
        <w:rPr>
          <w:iCs/>
        </w:rPr>
        <w:t>et al.</w:t>
      </w:r>
      <w:r w:rsidRPr="00B7164F">
        <w:t xml:space="preserve"> (201</w:t>
      </w:r>
      <w:r>
        <w:t>5</w:t>
      </w:r>
      <w:r w:rsidRPr="00B7164F">
        <w:t>).</w:t>
      </w:r>
    </w:p>
    <w:p w14:paraId="51A4BFBE" w14:textId="3D871468" w:rsidR="00C66A1A" w:rsidRDefault="00C66A1A" w:rsidP="00C66A1A">
      <w:r>
        <w:t xml:space="preserve">Statistical analysis of the metolachlor ecotoxicity data for freshwater and marine species indicated that there was no difference in the sensitivities of the two groups. The parametric two-sample </w:t>
      </w:r>
      <w:r w:rsidRPr="00C66A1A">
        <w:rPr>
          <w:rStyle w:val="Emphasis"/>
        </w:rPr>
        <w:t>t</w:t>
      </w:r>
      <w:r>
        <w:t xml:space="preserve"> test was used because the transformed metolachlor freshwater and marine concentration data had equal variances (Fisher’s F-Test</w:t>
      </w:r>
      <w:r w:rsidR="00337A6C">
        <w:t>,</w:t>
      </w:r>
      <w:r>
        <w:t xml:space="preserve"> p = 0.911) and followed a normal distribution (Anderson</w:t>
      </w:r>
      <w:r w:rsidR="00337A6C">
        <w:t>–</w:t>
      </w:r>
      <w:r>
        <w:t>Darling</w:t>
      </w:r>
      <w:r w:rsidR="00337A6C">
        <w:t>,</w:t>
      </w:r>
      <w:r>
        <w:t xml:space="preserve"> p</w:t>
      </w:r>
      <w:r w:rsidR="00337A6C">
        <w:t> </w:t>
      </w:r>
      <w:r>
        <w:t>=</w:t>
      </w:r>
      <w:r w:rsidR="00337A6C">
        <w:t> </w:t>
      </w:r>
      <w:r>
        <w:t xml:space="preserve">0.524). Results from the two-sample </w:t>
      </w:r>
      <w:r w:rsidRPr="00337A6C">
        <w:rPr>
          <w:rStyle w:val="Emphasis"/>
        </w:rPr>
        <w:t xml:space="preserve">t </w:t>
      </w:r>
      <w:r>
        <w:t>test indicated that the two groups were not significantly different (p = 0.896); therefore, the freshwater and the marine metolachlor ecotoxicity data can be pooled for further analysis.</w:t>
      </w:r>
    </w:p>
    <w:p w14:paraId="2A81DAE5" w14:textId="401E7F1A" w:rsidR="00C66A1A" w:rsidRDefault="00C66A1A" w:rsidP="00C66A1A">
      <w:pPr>
        <w:rPr>
          <w:highlight w:val="yellow"/>
        </w:rPr>
      </w:pPr>
      <w:r>
        <w:t xml:space="preserve">The toxicity data for metolachlor to all freshwater and marine species that passed the screening and quality assessment schemes were combined to create a larger dataset </w:t>
      </w:r>
      <w:r w:rsidR="00A4302F">
        <w:t xml:space="preserve">(n = 33) </w:t>
      </w:r>
      <w:r>
        <w:t>to determine the modality of the data. All data that were not chronic NOEC or EC10 values were first converted to this type of data using the methods recommended by Warne et al. (2018). A natural logarithmic (</w:t>
      </w:r>
      <w:r w:rsidR="00A4302F">
        <w:t>Ln</w:t>
      </w:r>
      <w:r>
        <w:t>) transformation was then applied to normalise the data. Visual examination of the histogram of the transformed data indicated that the distribution of the metolachlor ecotoxicity data may be bimodal (</w:t>
      </w:r>
      <w:r w:rsidR="0060674F">
        <w:fldChar w:fldCharType="begin"/>
      </w:r>
      <w:r w:rsidR="0060674F">
        <w:instrText xml:space="preserve"> REF _Ref18494051 \h </w:instrText>
      </w:r>
      <w:r w:rsidR="0060674F">
        <w:fldChar w:fldCharType="separate"/>
      </w:r>
      <w:r w:rsidR="002825D7">
        <w:t>Figure B </w:t>
      </w:r>
      <w:r w:rsidR="002825D7">
        <w:rPr>
          <w:noProof/>
        </w:rPr>
        <w:t>1</w:t>
      </w:r>
      <w:r w:rsidR="0060674F">
        <w:fldChar w:fldCharType="end"/>
      </w:r>
      <w:r>
        <w:t>).</w:t>
      </w:r>
    </w:p>
    <w:p w14:paraId="52B74341" w14:textId="3F26B343" w:rsidR="00C66A1A" w:rsidRDefault="00C66A1A" w:rsidP="00606A7B">
      <w:pPr>
        <w:rPr>
          <w:highlight w:val="yellow"/>
        </w:rPr>
      </w:pPr>
      <w:r>
        <w:rPr>
          <w:noProof/>
          <w:lang w:eastAsia="en-AU"/>
        </w:rPr>
        <w:drawing>
          <wp:inline distT="0" distB="0" distL="0" distR="0" wp14:anchorId="6065CF08" wp14:editId="61154861">
            <wp:extent cx="4173440" cy="3285461"/>
            <wp:effectExtent l="0" t="0" r="5080" b="4445"/>
            <wp:docPr id="6" name="Picture 6" descr="This figure shows natural logarithmic toxicity values (horizontal axis) and the relative frequency (vertical axis)." title="Histogram, all metolachlor toxicity data, phototrophic and non-phototrophic spec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181288" cy="3291639"/>
                    </a:xfrm>
                    <a:prstGeom prst="rect">
                      <a:avLst/>
                    </a:prstGeom>
                    <a:noFill/>
                  </pic:spPr>
                </pic:pic>
              </a:graphicData>
            </a:graphic>
          </wp:inline>
        </w:drawing>
      </w:r>
    </w:p>
    <w:p w14:paraId="09D535C5" w14:textId="60098564" w:rsidR="00C66A1A" w:rsidRDefault="0060674F" w:rsidP="00DC2C68">
      <w:pPr>
        <w:pStyle w:val="Caption"/>
      </w:pPr>
      <w:bookmarkStart w:id="42" w:name="_Ref18494051"/>
      <w:bookmarkStart w:id="43" w:name="_Toc33095010"/>
      <w:r>
        <w:t>Figure B </w:t>
      </w:r>
      <w:r w:rsidR="00152462">
        <w:fldChar w:fldCharType="begin"/>
      </w:r>
      <w:r w:rsidR="00152462">
        <w:instrText xml:space="preserve"> SEQ Figure_B \* ARABIC </w:instrText>
      </w:r>
      <w:r w:rsidR="00152462">
        <w:fldChar w:fldCharType="separate"/>
      </w:r>
      <w:r w:rsidR="002825D7">
        <w:rPr>
          <w:noProof/>
        </w:rPr>
        <w:t>1</w:t>
      </w:r>
      <w:r w:rsidR="00152462">
        <w:rPr>
          <w:noProof/>
        </w:rPr>
        <w:fldChar w:fldCharType="end"/>
      </w:r>
      <w:bookmarkEnd w:id="42"/>
      <w:r w:rsidR="00C66A1A" w:rsidRPr="00C66A1A">
        <w:t xml:space="preserve"> Histogram</w:t>
      </w:r>
      <w:r w:rsidR="004D0126">
        <w:t>,</w:t>
      </w:r>
      <w:r w:rsidR="00C66A1A" w:rsidRPr="00C66A1A">
        <w:t xml:space="preserve"> all metolachlor toxicity data</w:t>
      </w:r>
      <w:r w:rsidR="004D0126">
        <w:t>,</w:t>
      </w:r>
      <w:r w:rsidR="00C66A1A" w:rsidRPr="00C66A1A">
        <w:t xml:space="preserve"> phototrophic and </w:t>
      </w:r>
      <w:r w:rsidR="00016E84">
        <w:t>heter</w:t>
      </w:r>
      <w:r w:rsidR="00DC2C68">
        <w:t>otrophic species</w:t>
      </w:r>
      <w:bookmarkEnd w:id="43"/>
    </w:p>
    <w:p w14:paraId="108EAB3E" w14:textId="77777777" w:rsidR="00A66E73" w:rsidRPr="00A66E73" w:rsidRDefault="00A66E73" w:rsidP="00A66E73">
      <w:pPr>
        <w:rPr>
          <w:highlight w:val="yellow"/>
        </w:rPr>
      </w:pPr>
    </w:p>
    <w:p w14:paraId="537C8701" w14:textId="0C1BB331" w:rsidR="00C66A1A" w:rsidRDefault="00C66A1A" w:rsidP="00606A7B">
      <w:r w:rsidRPr="00C66A1A">
        <w:lastRenderedPageBreak/>
        <w:t xml:space="preserve">The metolachlor ecotoxicity data for phototrophic and </w:t>
      </w:r>
      <w:r w:rsidR="00016E84">
        <w:t>heter</w:t>
      </w:r>
      <w:r w:rsidRPr="00C66A1A">
        <w:t>otrophic species were tested to see if they came from the same population. To test for significant differences, (i.e. p-value ≤0.05) between the two groups, the non-parametric Mann</w:t>
      </w:r>
      <w:r w:rsidR="004D0126">
        <w:t>–</w:t>
      </w:r>
      <w:r w:rsidRPr="00C66A1A">
        <w:t>Whitney test was used because the transformed metolachlor concentration data failed tests for normality (Anderson</w:t>
      </w:r>
      <w:r w:rsidR="004D0126">
        <w:t>–</w:t>
      </w:r>
      <w:r w:rsidRPr="00C66A1A">
        <w:t>Darling</w:t>
      </w:r>
      <w:r w:rsidR="004D0126">
        <w:t>,</w:t>
      </w:r>
      <w:r w:rsidRPr="00C66A1A">
        <w:t xml:space="preserve"> p</w:t>
      </w:r>
      <w:r w:rsidR="004D0126">
        <w:t> </w:t>
      </w:r>
      <w:r w:rsidRPr="00C66A1A">
        <w:t>=</w:t>
      </w:r>
      <w:r w:rsidR="004D0126">
        <w:t> </w:t>
      </w:r>
      <w:r w:rsidRPr="00C66A1A">
        <w:t>0.067) and ha</w:t>
      </w:r>
      <w:r>
        <w:t>d unequal variances (Fisher’s F-</w:t>
      </w:r>
      <w:r w:rsidRPr="00C66A1A">
        <w:t>Test</w:t>
      </w:r>
      <w:r w:rsidR="004D0126">
        <w:t>,</w:t>
      </w:r>
      <w:r w:rsidR="00A66E73">
        <w:t xml:space="preserve"> p </w:t>
      </w:r>
      <w:r w:rsidR="004D0126">
        <w:t>=</w:t>
      </w:r>
      <w:r w:rsidR="00A66E73">
        <w:t> </w:t>
      </w:r>
      <w:r w:rsidRPr="00C66A1A">
        <w:t>&lt;0.0001). Results from the Mann</w:t>
      </w:r>
      <w:r w:rsidR="004D0126">
        <w:t>–</w:t>
      </w:r>
      <w:r w:rsidRPr="00C66A1A">
        <w:t xml:space="preserve">Whitney test indicated that the two groups were not significantly different (p = 0.118). In addition, the three species that appeared to form a more sensitive group were from taxa that are well represented across the SSD (i.e. all data </w:t>
      </w:r>
      <w:r w:rsidR="00BA6DF5">
        <w:t>we</w:t>
      </w:r>
      <w:r w:rsidRPr="00C66A1A">
        <w:t>re for plant species, with the exception</w:t>
      </w:r>
      <w:r w:rsidR="00DC2C68">
        <w:t xml:space="preserve"> of two points)</w:t>
      </w:r>
      <w:r w:rsidR="004D0126">
        <w:t>,</w:t>
      </w:r>
      <w:r w:rsidR="00DC2C68">
        <w:t xml:space="preserve"> and there </w:t>
      </w:r>
      <w:r w:rsidR="00BA6DF5">
        <w:t>wa</w:t>
      </w:r>
      <w:r w:rsidR="00DC2C68">
        <w:t xml:space="preserve">s </w:t>
      </w:r>
      <w:r w:rsidR="00BA6DF5">
        <w:t xml:space="preserve">only </w:t>
      </w:r>
      <w:r w:rsidR="004D0126">
        <w:t xml:space="preserve">a </w:t>
      </w:r>
      <w:r w:rsidR="00DC2C68">
        <w:t>7</w:t>
      </w:r>
      <w:r w:rsidR="004D0126">
        <w:t> </w:t>
      </w:r>
      <w:r w:rsidR="00DC2C68">
        <w:t>µ</w:t>
      </w:r>
      <w:r w:rsidRPr="00C66A1A">
        <w:t>g/L difference between the two groups, which is small compared to errors associated with toxicity testing and chemical analysis. Therefore, it was concluded that the distribution of the metolachlor concentration data is unimodal.</w:t>
      </w:r>
    </w:p>
    <w:p w14:paraId="7E9CB546" w14:textId="77777777" w:rsidR="00606A7B" w:rsidRDefault="00606A7B" w:rsidP="00606A7B">
      <w:pPr>
        <w:pStyle w:val="FigureTableNoteSource"/>
        <w:rPr>
          <w:lang w:eastAsia="ja-JP"/>
        </w:rPr>
      </w:pPr>
      <w:r>
        <w:rPr>
          <w:lang w:eastAsia="ja-JP"/>
        </w:rPr>
        <w:br w:type="page"/>
      </w:r>
    </w:p>
    <w:p w14:paraId="1FE03EF9" w14:textId="1AA308C2" w:rsidR="00C66A1A" w:rsidRDefault="00037688" w:rsidP="00C66A1A">
      <w:pPr>
        <w:pStyle w:val="Heading2"/>
        <w:numPr>
          <w:ilvl w:val="0"/>
          <w:numId w:val="0"/>
        </w:numPr>
      </w:pPr>
      <w:bookmarkStart w:id="44" w:name="_Ref18493636"/>
      <w:bookmarkStart w:id="45" w:name="_Toc33094999"/>
      <w:bookmarkStart w:id="46" w:name="_Toc4498839"/>
      <w:r>
        <w:lastRenderedPageBreak/>
        <w:t>Appendix</w:t>
      </w:r>
      <w:r w:rsidRPr="00F75B78">
        <w:t xml:space="preserve"> </w:t>
      </w:r>
      <w:r w:rsidR="00F75B78" w:rsidRPr="00F75B78">
        <w:t>C</w:t>
      </w:r>
      <w:r w:rsidR="0071629E">
        <w:t>:</w:t>
      </w:r>
      <w:r w:rsidR="00C66A1A" w:rsidRPr="00F75B78">
        <w:t xml:space="preserve"> Rationale for </w:t>
      </w:r>
      <w:r w:rsidR="00A4302F">
        <w:t>selecting the final dataset</w:t>
      </w:r>
      <w:r w:rsidR="00C66A1A" w:rsidRPr="00C66A1A">
        <w:t xml:space="preserve"> for deriving the </w:t>
      </w:r>
      <w:r w:rsidR="0071629E" w:rsidRPr="00C66A1A">
        <w:t xml:space="preserve">default guideline values </w:t>
      </w:r>
      <w:r w:rsidR="00C66A1A" w:rsidRPr="00C66A1A">
        <w:t>for metolachlor in freshwater</w:t>
      </w:r>
      <w:bookmarkEnd w:id="44"/>
      <w:bookmarkEnd w:id="45"/>
    </w:p>
    <w:p w14:paraId="622FB457" w14:textId="7B93C7B9" w:rsidR="00C66A1A" w:rsidRDefault="00C66A1A" w:rsidP="00C66A1A">
      <w:pPr>
        <w:rPr>
          <w:lang w:eastAsia="ja-JP"/>
        </w:rPr>
      </w:pPr>
      <w:r>
        <w:rPr>
          <w:lang w:eastAsia="ja-JP"/>
        </w:rPr>
        <w:t>The preference of ecotoxicity data used to derive the protective concentration (PC) values and/or DGVs of metolachlor to freshwater species is</w:t>
      </w:r>
      <w:r w:rsidR="00BA6DF5">
        <w:rPr>
          <w:lang w:eastAsia="ja-JP"/>
        </w:rPr>
        <w:t xml:space="preserve"> (Warne et al. 2018)</w:t>
      </w:r>
      <w:r>
        <w:rPr>
          <w:lang w:eastAsia="ja-JP"/>
        </w:rPr>
        <w:t>:</w:t>
      </w:r>
    </w:p>
    <w:p w14:paraId="5B265B4D" w14:textId="2B520894" w:rsidR="00C66A1A" w:rsidRDefault="00C66A1A" w:rsidP="00DC2C68">
      <w:pPr>
        <w:pStyle w:val="ListNumber"/>
        <w:rPr>
          <w:lang w:eastAsia="ja-JP"/>
        </w:rPr>
      </w:pPr>
      <w:r>
        <w:rPr>
          <w:lang w:eastAsia="ja-JP"/>
        </w:rPr>
        <w:t>chronic NOEC/EC10 ecotoxicity data for phototrophs and heterotrophs</w:t>
      </w:r>
    </w:p>
    <w:p w14:paraId="3FA6F216" w14:textId="6F620ED2" w:rsidR="00C66A1A" w:rsidRDefault="00C66A1A" w:rsidP="00DC2C68">
      <w:pPr>
        <w:pStyle w:val="ListNumber"/>
        <w:rPr>
          <w:lang w:eastAsia="ja-JP"/>
        </w:rPr>
      </w:pPr>
      <w:r>
        <w:rPr>
          <w:lang w:eastAsia="ja-JP"/>
        </w:rPr>
        <w:t>chronic NOEC/EC10 and chronic estimated NOEC values for phototrophs and heterotrophs</w:t>
      </w:r>
      <w:r w:rsidR="00872DD9">
        <w:rPr>
          <w:lang w:eastAsia="ja-JP"/>
        </w:rPr>
        <w:t>.</w:t>
      </w:r>
    </w:p>
    <w:p w14:paraId="4AC9948F" w14:textId="77777777" w:rsidR="002825D7" w:rsidRDefault="00C66A1A" w:rsidP="00A66E73">
      <w:r>
        <w:rPr>
          <w:lang w:eastAsia="ja-JP"/>
        </w:rPr>
        <w:t xml:space="preserve">In </w:t>
      </w:r>
      <w:r w:rsidRPr="00C66A1A">
        <w:rPr>
          <w:lang w:eastAsia="ja-JP"/>
        </w:rPr>
        <w:t>total, there were chronic EC10/NOEC/NOEL data for 1</w:t>
      </w:r>
      <w:r w:rsidR="00BA6DF5">
        <w:rPr>
          <w:lang w:eastAsia="ja-JP"/>
        </w:rPr>
        <w:t>2</w:t>
      </w:r>
      <w:r w:rsidRPr="00C66A1A">
        <w:rPr>
          <w:lang w:eastAsia="ja-JP"/>
        </w:rPr>
        <w:t xml:space="preserve"> phototrophic and </w:t>
      </w:r>
      <w:r w:rsidR="00BA6DF5">
        <w:rPr>
          <w:lang w:eastAsia="ja-JP"/>
        </w:rPr>
        <w:t xml:space="preserve">one </w:t>
      </w:r>
      <w:r w:rsidRPr="00C66A1A">
        <w:rPr>
          <w:lang w:eastAsia="ja-JP"/>
        </w:rPr>
        <w:t xml:space="preserve">heterotrophic freshwater species (four phyla and seven classes) that passed the quality assessment </w:t>
      </w:r>
      <w:r w:rsidR="00A4302F">
        <w:rPr>
          <w:lang w:eastAsia="ja-JP"/>
        </w:rPr>
        <w:t xml:space="preserve">and screening </w:t>
      </w:r>
      <w:r w:rsidRPr="00C66A1A">
        <w:rPr>
          <w:lang w:eastAsia="ja-JP"/>
        </w:rPr>
        <w:t xml:space="preserve">processes. The represented phyla were </w:t>
      </w:r>
      <w:r w:rsidR="00AD21B8" w:rsidRPr="00C66A1A">
        <w:rPr>
          <w:lang w:eastAsia="ja-JP"/>
        </w:rPr>
        <w:t>Arthropoda</w:t>
      </w:r>
      <w:r w:rsidR="002528AE" w:rsidRPr="00C66A1A">
        <w:rPr>
          <w:lang w:eastAsia="ja-JP"/>
        </w:rPr>
        <w:t xml:space="preserve">, </w:t>
      </w:r>
      <w:r w:rsidR="00AD21B8" w:rsidRPr="00C66A1A">
        <w:rPr>
          <w:lang w:eastAsia="ja-JP"/>
        </w:rPr>
        <w:t>Bacillariophyta</w:t>
      </w:r>
      <w:r w:rsidR="002528AE" w:rsidRPr="00C66A1A">
        <w:rPr>
          <w:lang w:eastAsia="ja-JP"/>
        </w:rPr>
        <w:t xml:space="preserve">, </w:t>
      </w:r>
      <w:r w:rsidR="00AD21B8" w:rsidRPr="00C66A1A">
        <w:rPr>
          <w:lang w:eastAsia="ja-JP"/>
        </w:rPr>
        <w:t xml:space="preserve">Chlorophyta </w:t>
      </w:r>
      <w:r w:rsidR="002528AE" w:rsidRPr="00C66A1A">
        <w:rPr>
          <w:lang w:eastAsia="ja-JP"/>
        </w:rPr>
        <w:t xml:space="preserve">and </w:t>
      </w:r>
      <w:proofErr w:type="spellStart"/>
      <w:r w:rsidR="00AD21B8" w:rsidRPr="00C66A1A">
        <w:rPr>
          <w:lang w:eastAsia="ja-JP"/>
        </w:rPr>
        <w:t>Tracheoyphyta</w:t>
      </w:r>
      <w:proofErr w:type="spellEnd"/>
      <w:r w:rsidR="002528AE" w:rsidRPr="00C66A1A">
        <w:rPr>
          <w:lang w:eastAsia="ja-JP"/>
        </w:rPr>
        <w:t xml:space="preserve">. </w:t>
      </w:r>
      <w:r w:rsidRPr="00C66A1A">
        <w:rPr>
          <w:lang w:eastAsia="ja-JP"/>
        </w:rPr>
        <w:t xml:space="preserve">The represented classes were </w:t>
      </w:r>
      <w:r w:rsidR="00AD21B8" w:rsidRPr="00C66A1A">
        <w:rPr>
          <w:lang w:eastAsia="ja-JP"/>
        </w:rPr>
        <w:t xml:space="preserve">Bacillariophyceae </w:t>
      </w:r>
      <w:r w:rsidRPr="00C66A1A">
        <w:rPr>
          <w:lang w:eastAsia="ja-JP"/>
        </w:rPr>
        <w:t xml:space="preserve">(a major grouping of green algae diatoms), </w:t>
      </w:r>
      <w:r w:rsidR="00AD21B8" w:rsidRPr="00C66A1A">
        <w:rPr>
          <w:lang w:eastAsia="ja-JP"/>
        </w:rPr>
        <w:t xml:space="preserve">Branchiopoda </w:t>
      </w:r>
      <w:r w:rsidRPr="00C66A1A">
        <w:rPr>
          <w:lang w:eastAsia="ja-JP"/>
        </w:rPr>
        <w:t xml:space="preserve">(a grouping of crustaceans), </w:t>
      </w:r>
      <w:r w:rsidR="00AD21B8" w:rsidRPr="00C66A1A">
        <w:rPr>
          <w:lang w:eastAsia="ja-JP"/>
        </w:rPr>
        <w:t xml:space="preserve">Chlorophyceae </w:t>
      </w:r>
      <w:r w:rsidRPr="00C66A1A">
        <w:rPr>
          <w:lang w:eastAsia="ja-JP"/>
        </w:rPr>
        <w:t xml:space="preserve">(a major grouping of freshwater green algae), </w:t>
      </w:r>
      <w:proofErr w:type="spellStart"/>
      <w:r w:rsidR="00AD21B8" w:rsidRPr="00C66A1A">
        <w:rPr>
          <w:lang w:eastAsia="ja-JP"/>
        </w:rPr>
        <w:t>Fragilariophyceae</w:t>
      </w:r>
      <w:proofErr w:type="spellEnd"/>
      <w:r w:rsidR="00AD21B8" w:rsidRPr="00C66A1A">
        <w:rPr>
          <w:lang w:eastAsia="ja-JP"/>
        </w:rPr>
        <w:t xml:space="preserve"> </w:t>
      </w:r>
      <w:r w:rsidRPr="00C66A1A">
        <w:rPr>
          <w:lang w:eastAsia="ja-JP"/>
        </w:rPr>
        <w:t xml:space="preserve">(a grouping of pennate diatoms), </w:t>
      </w:r>
      <w:proofErr w:type="spellStart"/>
      <w:r w:rsidR="00AD21B8" w:rsidRPr="00C66A1A">
        <w:rPr>
          <w:lang w:eastAsia="ja-JP"/>
        </w:rPr>
        <w:t>Liliopsida</w:t>
      </w:r>
      <w:proofErr w:type="spellEnd"/>
      <w:r w:rsidR="00AD21B8" w:rsidRPr="00C66A1A">
        <w:rPr>
          <w:lang w:eastAsia="ja-JP"/>
        </w:rPr>
        <w:t xml:space="preserve"> </w:t>
      </w:r>
      <w:r w:rsidRPr="00C66A1A">
        <w:rPr>
          <w:lang w:eastAsia="ja-JP"/>
        </w:rPr>
        <w:t xml:space="preserve">(monocots), </w:t>
      </w:r>
      <w:proofErr w:type="spellStart"/>
      <w:r w:rsidR="00AD21B8" w:rsidRPr="00C66A1A">
        <w:rPr>
          <w:lang w:eastAsia="ja-JP"/>
        </w:rPr>
        <w:t>Mediophyceae</w:t>
      </w:r>
      <w:proofErr w:type="spellEnd"/>
      <w:r w:rsidR="00AD21B8" w:rsidRPr="00C66A1A">
        <w:rPr>
          <w:lang w:eastAsia="ja-JP"/>
        </w:rPr>
        <w:t xml:space="preserve"> </w:t>
      </w:r>
      <w:r w:rsidRPr="00C66A1A">
        <w:rPr>
          <w:lang w:eastAsia="ja-JP"/>
        </w:rPr>
        <w:t xml:space="preserve">(another algae grouping) and </w:t>
      </w:r>
      <w:proofErr w:type="spellStart"/>
      <w:r w:rsidR="00AD21B8" w:rsidRPr="00C66A1A">
        <w:rPr>
          <w:lang w:eastAsia="ja-JP"/>
        </w:rPr>
        <w:t>Trebouxiophyceae</w:t>
      </w:r>
      <w:proofErr w:type="spellEnd"/>
      <w:r w:rsidR="00AD21B8" w:rsidRPr="00C66A1A">
        <w:rPr>
          <w:lang w:eastAsia="ja-JP"/>
        </w:rPr>
        <w:t xml:space="preserve"> </w:t>
      </w:r>
      <w:r w:rsidRPr="00C66A1A">
        <w:rPr>
          <w:lang w:eastAsia="ja-JP"/>
        </w:rPr>
        <w:t xml:space="preserve">(another grouping of green algae). These data </w:t>
      </w:r>
      <w:r w:rsidR="002528AE">
        <w:rPr>
          <w:lang w:eastAsia="ja-JP"/>
        </w:rPr>
        <w:t>met</w:t>
      </w:r>
      <w:r w:rsidR="002528AE" w:rsidRPr="00C66A1A">
        <w:rPr>
          <w:lang w:eastAsia="ja-JP"/>
        </w:rPr>
        <w:t xml:space="preserve"> </w:t>
      </w:r>
      <w:r w:rsidRPr="00C66A1A">
        <w:rPr>
          <w:lang w:eastAsia="ja-JP"/>
        </w:rPr>
        <w:t xml:space="preserve">the minimum data requirements of the SSD method (Warne et al. 2018). The resulting SSD and PC values using only </w:t>
      </w:r>
      <w:r w:rsidR="00A4302F" w:rsidRPr="00C66A1A">
        <w:rPr>
          <w:lang w:eastAsia="ja-JP"/>
        </w:rPr>
        <w:t>th</w:t>
      </w:r>
      <w:r w:rsidR="00A4302F">
        <w:rPr>
          <w:lang w:eastAsia="ja-JP"/>
        </w:rPr>
        <w:t>ese</w:t>
      </w:r>
      <w:r w:rsidR="00A4302F" w:rsidRPr="00C66A1A">
        <w:rPr>
          <w:lang w:eastAsia="ja-JP"/>
        </w:rPr>
        <w:t xml:space="preserve"> </w:t>
      </w:r>
      <w:r w:rsidRPr="00C66A1A">
        <w:rPr>
          <w:lang w:eastAsia="ja-JP"/>
        </w:rPr>
        <w:t xml:space="preserve">data are presented in </w:t>
      </w:r>
      <w:r w:rsidR="0060674F">
        <w:rPr>
          <w:lang w:eastAsia="ja-JP"/>
        </w:rPr>
        <w:fldChar w:fldCharType="begin"/>
      </w:r>
      <w:r w:rsidR="0060674F">
        <w:rPr>
          <w:lang w:eastAsia="ja-JP"/>
        </w:rPr>
        <w:instrText xml:space="preserve"> REF _Ref18494104 \h </w:instrText>
      </w:r>
      <w:r w:rsidR="0060674F">
        <w:rPr>
          <w:lang w:eastAsia="ja-JP"/>
        </w:rPr>
      </w:r>
      <w:r w:rsidR="0060674F">
        <w:rPr>
          <w:lang w:eastAsia="ja-JP"/>
        </w:rPr>
        <w:fldChar w:fldCharType="separate"/>
      </w:r>
    </w:p>
    <w:p w14:paraId="305BCF2A" w14:textId="4C23F7E7" w:rsidR="00C66A1A" w:rsidRDefault="002825D7" w:rsidP="00C66A1A">
      <w:r>
        <w:t>Figure C </w:t>
      </w:r>
      <w:r>
        <w:rPr>
          <w:noProof/>
        </w:rPr>
        <w:t>1</w:t>
      </w:r>
      <w:r w:rsidR="0060674F">
        <w:rPr>
          <w:lang w:eastAsia="ja-JP"/>
        </w:rPr>
        <w:fldChar w:fldCharType="end"/>
      </w:r>
      <w:r w:rsidR="002E2651">
        <w:rPr>
          <w:lang w:eastAsia="ja-JP"/>
        </w:rPr>
        <w:t xml:space="preserve"> </w:t>
      </w:r>
      <w:r w:rsidR="00C66A1A" w:rsidRPr="00C66A1A">
        <w:rPr>
          <w:lang w:eastAsia="ja-JP"/>
        </w:rPr>
        <w:t xml:space="preserve">and </w:t>
      </w:r>
      <w:r w:rsidR="0060674F">
        <w:rPr>
          <w:lang w:eastAsia="ja-JP"/>
        </w:rPr>
        <w:fldChar w:fldCharType="begin"/>
      </w:r>
      <w:r w:rsidR="0060674F">
        <w:rPr>
          <w:lang w:eastAsia="ja-JP"/>
        </w:rPr>
        <w:instrText xml:space="preserve"> REF _Ref18494184 \h </w:instrText>
      </w:r>
      <w:r w:rsidR="0060674F">
        <w:rPr>
          <w:lang w:eastAsia="ja-JP"/>
        </w:rPr>
      </w:r>
      <w:r w:rsidR="0060674F">
        <w:rPr>
          <w:lang w:eastAsia="ja-JP"/>
        </w:rPr>
        <w:fldChar w:fldCharType="separate"/>
      </w:r>
      <w:r>
        <w:t>Table C </w:t>
      </w:r>
      <w:r>
        <w:rPr>
          <w:noProof/>
        </w:rPr>
        <w:t>1</w:t>
      </w:r>
      <w:r w:rsidR="0060674F">
        <w:rPr>
          <w:lang w:eastAsia="ja-JP"/>
        </w:rPr>
        <w:fldChar w:fldCharType="end"/>
      </w:r>
      <w:r w:rsidR="00C66A1A" w:rsidRPr="00C66A1A">
        <w:rPr>
          <w:lang w:eastAsia="ja-JP"/>
        </w:rPr>
        <w:t>, respectively.</w:t>
      </w:r>
    </w:p>
    <w:p w14:paraId="39A2C0E1" w14:textId="77777777" w:rsidR="00A66E73" w:rsidRDefault="00FB3B93" w:rsidP="00A66E73">
      <w:r>
        <w:rPr>
          <w:noProof/>
          <w:lang w:eastAsia="en-AU"/>
        </w:rPr>
        <w:drawing>
          <wp:inline distT="0" distB="0" distL="0" distR="0" wp14:anchorId="294F46DA" wp14:editId="3438F922">
            <wp:extent cx="3776429" cy="3339547"/>
            <wp:effectExtent l="0" t="0" r="0" b="0"/>
            <wp:docPr id="8" name="Picture 8" descr="Figure shows the species sensitivity distribution of several species at different concentrations of metolachlor. Chronic EC10, chronic NOEC and chronic NOEL values are shown on the figure." title="Species sensitivity distribution, metolachlor in freshwater, chronic EC10/NOEC/NOEL data on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igure C 1.pdf"/>
                    <pic:cNvPicPr/>
                  </pic:nvPicPr>
                  <pic:blipFill rotWithShape="1">
                    <a:blip r:embed="rId34">
                      <a:extLst>
                        <a:ext uri="{28A0092B-C50C-407E-A947-70E740481C1C}">
                          <a14:useLocalDpi xmlns:a14="http://schemas.microsoft.com/office/drawing/2010/main" val="0"/>
                        </a:ext>
                      </a:extLst>
                    </a:blip>
                    <a:srcRect b="1131"/>
                    <a:stretch/>
                  </pic:blipFill>
                  <pic:spPr bwMode="auto">
                    <a:xfrm>
                      <a:off x="0" y="0"/>
                      <a:ext cx="3821077" cy="3379030"/>
                    </a:xfrm>
                    <a:prstGeom prst="rect">
                      <a:avLst/>
                    </a:prstGeom>
                    <a:ln>
                      <a:noFill/>
                    </a:ln>
                    <a:extLst>
                      <a:ext uri="{53640926-AAD7-44D8-BBD7-CCE9431645EC}">
                        <a14:shadowObscured xmlns:a14="http://schemas.microsoft.com/office/drawing/2010/main"/>
                      </a:ext>
                    </a:extLst>
                  </pic:spPr>
                </pic:pic>
              </a:graphicData>
            </a:graphic>
          </wp:inline>
        </w:drawing>
      </w:r>
      <w:bookmarkStart w:id="47" w:name="_Ref18494104"/>
    </w:p>
    <w:p w14:paraId="0E600729" w14:textId="3ABAD0C8" w:rsidR="00C66A1A" w:rsidRDefault="0060674F" w:rsidP="00A66E73">
      <w:pPr>
        <w:pStyle w:val="Caption"/>
        <w:rPr>
          <w:lang w:eastAsia="ja-JP"/>
        </w:rPr>
      </w:pPr>
      <w:bookmarkStart w:id="48" w:name="_Toc33095014"/>
      <w:r>
        <w:lastRenderedPageBreak/>
        <w:t>Figure C </w:t>
      </w:r>
      <w:r w:rsidR="00152462">
        <w:fldChar w:fldCharType="begin"/>
      </w:r>
      <w:r w:rsidR="00152462">
        <w:instrText xml:space="preserve"> SEQ Figure_C \* ARABIC </w:instrText>
      </w:r>
      <w:r w:rsidR="00152462">
        <w:fldChar w:fldCharType="separate"/>
      </w:r>
      <w:r w:rsidR="002825D7">
        <w:rPr>
          <w:noProof/>
        </w:rPr>
        <w:t>1</w:t>
      </w:r>
      <w:r w:rsidR="00152462">
        <w:rPr>
          <w:noProof/>
        </w:rPr>
        <w:fldChar w:fldCharType="end"/>
      </w:r>
      <w:bookmarkEnd w:id="47"/>
      <w:r>
        <w:rPr>
          <w:lang w:eastAsia="ja-JP"/>
        </w:rPr>
        <w:t xml:space="preserve"> </w:t>
      </w:r>
      <w:r w:rsidR="002528AE">
        <w:rPr>
          <w:lang w:eastAsia="ja-JP"/>
        </w:rPr>
        <w:t>Species sensitivity</w:t>
      </w:r>
      <w:r w:rsidR="00C66A1A" w:rsidRPr="00C66A1A">
        <w:rPr>
          <w:lang w:eastAsia="ja-JP"/>
        </w:rPr>
        <w:t xml:space="preserve"> distribution,</w:t>
      </w:r>
      <w:r w:rsidR="002528AE">
        <w:rPr>
          <w:lang w:eastAsia="ja-JP"/>
        </w:rPr>
        <w:t xml:space="preserve"> metolachlor in freshwater</w:t>
      </w:r>
      <w:r w:rsidR="00FB3B93">
        <w:rPr>
          <w:lang w:eastAsia="ja-JP"/>
        </w:rPr>
        <w:t>, chronic EC10/NOEC/NOEL data only</w:t>
      </w:r>
      <w:bookmarkEnd w:id="48"/>
    </w:p>
    <w:p w14:paraId="50BAD862" w14:textId="77777777" w:rsidR="00FB3B93" w:rsidRDefault="00FB3B93" w:rsidP="00FB3B93">
      <w:pPr>
        <w:rPr>
          <w:lang w:eastAsia="ja-JP"/>
        </w:rPr>
      </w:pPr>
    </w:p>
    <w:p w14:paraId="66C65B13" w14:textId="49EE0F4C" w:rsidR="00C66A1A" w:rsidRDefault="0060674F" w:rsidP="00DC2C68">
      <w:pPr>
        <w:pStyle w:val="Caption"/>
        <w:rPr>
          <w:lang w:eastAsia="ja-JP"/>
        </w:rPr>
      </w:pPr>
      <w:bookmarkStart w:id="49" w:name="_Ref18494184"/>
      <w:bookmarkStart w:id="50" w:name="_Toc33095007"/>
      <w:r>
        <w:t>Table C </w:t>
      </w:r>
      <w:r w:rsidR="00152462">
        <w:fldChar w:fldCharType="begin"/>
      </w:r>
      <w:r w:rsidR="00152462">
        <w:instrText xml:space="preserve"> SEQ Table_C \* ARABIC </w:instrText>
      </w:r>
      <w:r w:rsidR="00152462">
        <w:fldChar w:fldCharType="separate"/>
      </w:r>
      <w:r w:rsidR="002825D7">
        <w:rPr>
          <w:noProof/>
        </w:rPr>
        <w:t>1</w:t>
      </w:r>
      <w:r w:rsidR="00152462">
        <w:rPr>
          <w:noProof/>
        </w:rPr>
        <w:fldChar w:fldCharType="end"/>
      </w:r>
      <w:bookmarkEnd w:id="49"/>
      <w:r w:rsidR="00C66A1A" w:rsidRPr="00C66A1A">
        <w:rPr>
          <w:lang w:eastAsia="ja-JP"/>
        </w:rPr>
        <w:t xml:space="preserve"> Protective concentration values</w:t>
      </w:r>
      <w:r w:rsidR="002528AE">
        <w:rPr>
          <w:lang w:eastAsia="ja-JP"/>
        </w:rPr>
        <w:t>,</w:t>
      </w:r>
      <w:r w:rsidR="002528AE" w:rsidRPr="00C66A1A" w:rsidDel="002528AE">
        <w:rPr>
          <w:lang w:eastAsia="ja-JP"/>
        </w:rPr>
        <w:t xml:space="preserve"> </w:t>
      </w:r>
      <w:r w:rsidR="00C66A1A" w:rsidRPr="00C66A1A">
        <w:rPr>
          <w:lang w:eastAsia="ja-JP"/>
        </w:rPr>
        <w:t xml:space="preserve">metolachlor </w:t>
      </w:r>
      <w:r w:rsidR="002528AE">
        <w:rPr>
          <w:lang w:eastAsia="ja-JP"/>
        </w:rPr>
        <w:t>in</w:t>
      </w:r>
      <w:r w:rsidR="00C66A1A" w:rsidRPr="00C66A1A">
        <w:rPr>
          <w:lang w:eastAsia="ja-JP"/>
        </w:rPr>
        <w:t xml:space="preserve"> freshwater</w:t>
      </w:r>
      <w:r w:rsidR="00FB3B93">
        <w:rPr>
          <w:lang w:eastAsia="ja-JP"/>
        </w:rPr>
        <w:t>, chronic EC10/NOEC/NOEL data only</w:t>
      </w:r>
      <w:bookmarkEnd w:id="50"/>
      <w:r w:rsidR="00C66A1A" w:rsidRPr="00C66A1A">
        <w:rPr>
          <w:lang w:eastAsia="ja-JP"/>
        </w:rPr>
        <w:t xml:space="preserve"> </w:t>
      </w:r>
    </w:p>
    <w:tbl>
      <w:tblPr>
        <w:tblW w:w="5000" w:type="pct"/>
        <w:tblBorders>
          <w:top w:val="single" w:sz="4" w:space="0" w:color="auto"/>
          <w:bottom w:val="single" w:sz="4" w:space="0" w:color="auto"/>
          <w:insideH w:val="single" w:sz="4" w:space="0" w:color="auto"/>
        </w:tblBorders>
        <w:tblLook w:val="0000" w:firstRow="0" w:lastRow="0" w:firstColumn="0" w:lastColumn="0" w:noHBand="0" w:noVBand="0"/>
        <w:tblCaption w:val="Protective concentration values, metolachlor in freshwater, chronic EC10/NOEC/NOEL data only"/>
        <w:tblDescription w:val="Table shows the reliability classification and species protection values for a range of protection levels for metolachlor in freshwater. The four levels of percent species protection are 99, 95, 90 and 80%. The corresponding values are 0.00081, 0.079, 1.1 and 15 (microgram per litre), respectively. These values apply to chronic EC10, NOEC and NOEL data."/>
      </w:tblPr>
      <w:tblGrid>
        <w:gridCol w:w="2267"/>
        <w:gridCol w:w="2267"/>
        <w:gridCol w:w="2268"/>
        <w:gridCol w:w="2268"/>
      </w:tblGrid>
      <w:tr w:rsidR="00DC2C68" w:rsidRPr="002E17B9" w14:paraId="645786EB" w14:textId="77777777" w:rsidTr="00573D82">
        <w:trPr>
          <w:tblHeader/>
        </w:trPr>
        <w:tc>
          <w:tcPr>
            <w:tcW w:w="2499" w:type="pct"/>
            <w:gridSpan w:val="2"/>
            <w:tcBorders>
              <w:top w:val="single" w:sz="12" w:space="0" w:color="auto"/>
              <w:bottom w:val="single" w:sz="12" w:space="0" w:color="auto"/>
            </w:tcBorders>
            <w:shd w:val="clear" w:color="auto" w:fill="auto"/>
          </w:tcPr>
          <w:p w14:paraId="41C83B3F" w14:textId="404C8D43" w:rsidR="00DC2C68" w:rsidRPr="002E17B9" w:rsidRDefault="00DC2C68" w:rsidP="0083732E">
            <w:pPr>
              <w:pStyle w:val="TableHeading"/>
            </w:pPr>
            <w:r>
              <w:t>Metolachlor</w:t>
            </w:r>
            <w:r w:rsidRPr="002E17B9">
              <w:t xml:space="preserve"> protective concentration values</w:t>
            </w:r>
            <w:r w:rsidR="0083732E">
              <w:t xml:space="preserve"> </w:t>
            </w:r>
            <w:r w:rsidR="0083732E" w:rsidRPr="0083732E">
              <w:rPr>
                <w:rStyle w:val="Strong"/>
                <w:vertAlign w:val="superscript"/>
              </w:rPr>
              <w:t>a</w:t>
            </w:r>
          </w:p>
        </w:tc>
        <w:tc>
          <w:tcPr>
            <w:tcW w:w="2501" w:type="pct"/>
            <w:gridSpan w:val="2"/>
            <w:tcBorders>
              <w:top w:val="single" w:sz="12" w:space="0" w:color="auto"/>
              <w:bottom w:val="single" w:sz="12" w:space="0" w:color="auto"/>
            </w:tcBorders>
            <w:shd w:val="clear" w:color="auto" w:fill="auto"/>
          </w:tcPr>
          <w:p w14:paraId="3D3CE630" w14:textId="53D40CB2" w:rsidR="00DC2C68" w:rsidRPr="002E17B9" w:rsidRDefault="00DC2C68" w:rsidP="0083732E">
            <w:pPr>
              <w:pStyle w:val="TableHeading"/>
            </w:pPr>
            <w:r w:rsidRPr="002E17B9">
              <w:t>Reliability classification</w:t>
            </w:r>
            <w:r w:rsidR="0083732E">
              <w:rPr>
                <w:vertAlign w:val="superscript"/>
              </w:rPr>
              <w:t xml:space="preserve"> </w:t>
            </w:r>
            <w:r w:rsidR="0083732E" w:rsidRPr="0083732E">
              <w:rPr>
                <w:rStyle w:val="Strong"/>
                <w:vertAlign w:val="superscript"/>
              </w:rPr>
              <w:t>b</w:t>
            </w:r>
          </w:p>
        </w:tc>
      </w:tr>
      <w:tr w:rsidR="00DC2C68" w:rsidRPr="002E17B9" w14:paraId="1219B182" w14:textId="77777777" w:rsidTr="00573D82">
        <w:trPr>
          <w:tblHeader/>
        </w:trPr>
        <w:tc>
          <w:tcPr>
            <w:tcW w:w="1250" w:type="pct"/>
            <w:tcBorders>
              <w:top w:val="single" w:sz="12" w:space="0" w:color="auto"/>
              <w:bottom w:val="single" w:sz="12" w:space="0" w:color="auto"/>
            </w:tcBorders>
            <w:shd w:val="clear" w:color="auto" w:fill="auto"/>
          </w:tcPr>
          <w:p w14:paraId="0CDFCA27" w14:textId="77777777" w:rsidR="00DC2C68" w:rsidRPr="002E17B9" w:rsidRDefault="00DC2C68" w:rsidP="00DC2C68">
            <w:pPr>
              <w:pStyle w:val="TableHeading"/>
            </w:pPr>
            <w:r w:rsidRPr="002E17B9">
              <w:t>Percent species protection</w:t>
            </w:r>
          </w:p>
        </w:tc>
        <w:tc>
          <w:tcPr>
            <w:tcW w:w="1250" w:type="pct"/>
            <w:tcBorders>
              <w:top w:val="single" w:sz="12" w:space="0" w:color="auto"/>
              <w:bottom w:val="single" w:sz="12" w:space="0" w:color="auto"/>
            </w:tcBorders>
            <w:shd w:val="clear" w:color="auto" w:fill="auto"/>
          </w:tcPr>
          <w:p w14:paraId="005AF969" w14:textId="5F4130D8" w:rsidR="00DC2C68" w:rsidRPr="002E17B9" w:rsidRDefault="00DC2C68" w:rsidP="00DC2C68">
            <w:pPr>
              <w:pStyle w:val="TableHeading"/>
            </w:pPr>
            <w:r w:rsidRPr="002E17B9">
              <w:t>Concentration (</w:t>
            </w:r>
            <w:r w:rsidRPr="002E17B9">
              <w:rPr>
                <w:rFonts w:ascii="Corbel" w:hAnsi="Corbel"/>
              </w:rPr>
              <w:t>µ</w:t>
            </w:r>
            <w:r w:rsidRPr="002E17B9">
              <w:t>g/L)</w:t>
            </w:r>
          </w:p>
        </w:tc>
        <w:tc>
          <w:tcPr>
            <w:tcW w:w="1250" w:type="pct"/>
            <w:tcBorders>
              <w:top w:val="single" w:sz="12" w:space="0" w:color="auto"/>
              <w:bottom w:val="single" w:sz="12" w:space="0" w:color="auto"/>
            </w:tcBorders>
            <w:shd w:val="clear" w:color="auto" w:fill="auto"/>
          </w:tcPr>
          <w:p w14:paraId="74EF951B" w14:textId="3526E998" w:rsidR="00DC2C68" w:rsidRPr="002E17B9" w:rsidRDefault="00DC2C68" w:rsidP="00DC2C68">
            <w:pPr>
              <w:pStyle w:val="TableHeading"/>
            </w:pPr>
            <w:r w:rsidRPr="002E17B9">
              <w:t>Criterion</w:t>
            </w:r>
          </w:p>
        </w:tc>
        <w:tc>
          <w:tcPr>
            <w:tcW w:w="1250" w:type="pct"/>
            <w:tcBorders>
              <w:top w:val="single" w:sz="12" w:space="0" w:color="auto"/>
              <w:bottom w:val="single" w:sz="12" w:space="0" w:color="auto"/>
            </w:tcBorders>
            <w:shd w:val="clear" w:color="auto" w:fill="auto"/>
          </w:tcPr>
          <w:p w14:paraId="0269060C" w14:textId="3248FD37" w:rsidR="00DC2C68" w:rsidRPr="002E17B9" w:rsidRDefault="00DC2C68" w:rsidP="00DC2C68">
            <w:pPr>
              <w:pStyle w:val="TableText"/>
              <w:rPr>
                <w:b/>
              </w:rPr>
            </w:pPr>
            <w:r w:rsidRPr="002E17B9">
              <w:rPr>
                <w:b/>
              </w:rPr>
              <w:t>Result</w:t>
            </w:r>
          </w:p>
        </w:tc>
      </w:tr>
      <w:tr w:rsidR="00DC2C68" w:rsidRPr="002E17B9" w14:paraId="192EAA17" w14:textId="77777777" w:rsidTr="00573D82">
        <w:tc>
          <w:tcPr>
            <w:tcW w:w="1250" w:type="pct"/>
            <w:tcBorders>
              <w:top w:val="single" w:sz="12" w:space="0" w:color="auto"/>
            </w:tcBorders>
            <w:shd w:val="clear" w:color="auto" w:fill="auto"/>
          </w:tcPr>
          <w:p w14:paraId="7EBB9613" w14:textId="77777777" w:rsidR="00DC2C68" w:rsidRPr="002E17B9" w:rsidRDefault="00DC2C68" w:rsidP="00DC2C68">
            <w:pPr>
              <w:pStyle w:val="TableText"/>
            </w:pPr>
            <w:r w:rsidRPr="002E17B9">
              <w:t>99%</w:t>
            </w:r>
          </w:p>
        </w:tc>
        <w:tc>
          <w:tcPr>
            <w:tcW w:w="1250" w:type="pct"/>
            <w:tcBorders>
              <w:top w:val="single" w:sz="12" w:space="0" w:color="auto"/>
            </w:tcBorders>
            <w:shd w:val="clear" w:color="auto" w:fill="auto"/>
          </w:tcPr>
          <w:p w14:paraId="7D79638A" w14:textId="77777777" w:rsidR="00DC2C68" w:rsidRPr="002E17B9" w:rsidRDefault="00DC2C68" w:rsidP="00DC2C68">
            <w:pPr>
              <w:pStyle w:val="TableText"/>
            </w:pPr>
            <w:r w:rsidRPr="002E17B9">
              <w:t>0.</w:t>
            </w:r>
            <w:r>
              <w:t>00018</w:t>
            </w:r>
          </w:p>
        </w:tc>
        <w:tc>
          <w:tcPr>
            <w:tcW w:w="1250" w:type="pct"/>
            <w:tcBorders>
              <w:top w:val="single" w:sz="12" w:space="0" w:color="auto"/>
            </w:tcBorders>
            <w:shd w:val="clear" w:color="auto" w:fill="auto"/>
          </w:tcPr>
          <w:p w14:paraId="4992E47C" w14:textId="20E0BD12" w:rsidR="00DC2C68" w:rsidRPr="002E17B9" w:rsidRDefault="00DC2C68" w:rsidP="00DC2C68">
            <w:pPr>
              <w:pStyle w:val="TableText"/>
            </w:pPr>
            <w:r w:rsidRPr="002E17B9">
              <w:t>Sample size</w:t>
            </w:r>
          </w:p>
        </w:tc>
        <w:tc>
          <w:tcPr>
            <w:tcW w:w="1250" w:type="pct"/>
            <w:tcBorders>
              <w:top w:val="single" w:sz="12" w:space="0" w:color="auto"/>
            </w:tcBorders>
            <w:shd w:val="clear" w:color="auto" w:fill="auto"/>
          </w:tcPr>
          <w:p w14:paraId="369F528D" w14:textId="1260A683" w:rsidR="00DC2C68" w:rsidRPr="002E17B9" w:rsidRDefault="00DC2C68" w:rsidP="00DC2C68">
            <w:pPr>
              <w:pStyle w:val="TableText"/>
            </w:pPr>
            <w:r>
              <w:t>13</w:t>
            </w:r>
          </w:p>
        </w:tc>
      </w:tr>
      <w:tr w:rsidR="00DC2C68" w:rsidRPr="002E17B9" w14:paraId="2DA30F34" w14:textId="77777777" w:rsidTr="00573D82">
        <w:tc>
          <w:tcPr>
            <w:tcW w:w="1250" w:type="pct"/>
            <w:shd w:val="clear" w:color="auto" w:fill="auto"/>
          </w:tcPr>
          <w:p w14:paraId="2E3FF70B" w14:textId="77777777" w:rsidR="00DC2C68" w:rsidRPr="002E17B9" w:rsidRDefault="00DC2C68" w:rsidP="00DC2C68">
            <w:pPr>
              <w:pStyle w:val="TableText"/>
            </w:pPr>
            <w:r w:rsidRPr="002E17B9">
              <w:t>95%</w:t>
            </w:r>
          </w:p>
        </w:tc>
        <w:tc>
          <w:tcPr>
            <w:tcW w:w="1250" w:type="pct"/>
            <w:shd w:val="clear" w:color="auto" w:fill="auto"/>
          </w:tcPr>
          <w:p w14:paraId="66F52DCC" w14:textId="77777777" w:rsidR="00DC2C68" w:rsidRPr="002E17B9" w:rsidRDefault="00DC2C68" w:rsidP="00DC2C68">
            <w:pPr>
              <w:pStyle w:val="TableText"/>
            </w:pPr>
            <w:r>
              <w:t>0.079</w:t>
            </w:r>
          </w:p>
        </w:tc>
        <w:tc>
          <w:tcPr>
            <w:tcW w:w="1250" w:type="pct"/>
            <w:shd w:val="clear" w:color="auto" w:fill="auto"/>
          </w:tcPr>
          <w:p w14:paraId="589DC3EC" w14:textId="77777777" w:rsidR="00DC2C68" w:rsidRPr="002E17B9" w:rsidRDefault="00DC2C68" w:rsidP="00DC2C68">
            <w:pPr>
              <w:pStyle w:val="TableText"/>
            </w:pPr>
            <w:r w:rsidRPr="002E17B9">
              <w:t>Type of toxicity data</w:t>
            </w:r>
          </w:p>
        </w:tc>
        <w:tc>
          <w:tcPr>
            <w:tcW w:w="1250" w:type="pct"/>
            <w:shd w:val="clear" w:color="auto" w:fill="auto"/>
          </w:tcPr>
          <w:p w14:paraId="37720E80" w14:textId="08F7DBD7" w:rsidR="00DC2C68" w:rsidRPr="002E17B9" w:rsidRDefault="00DC2C68" w:rsidP="00573D82">
            <w:pPr>
              <w:pStyle w:val="TableText"/>
            </w:pPr>
            <w:r>
              <w:t xml:space="preserve">Chronic EC10/NOEC/NOEL </w:t>
            </w:r>
          </w:p>
        </w:tc>
      </w:tr>
      <w:tr w:rsidR="00DC2C68" w:rsidRPr="002E17B9" w14:paraId="223B0F8B" w14:textId="77777777" w:rsidTr="00573D82">
        <w:tc>
          <w:tcPr>
            <w:tcW w:w="1250" w:type="pct"/>
            <w:tcBorders>
              <w:bottom w:val="single" w:sz="4" w:space="0" w:color="auto"/>
            </w:tcBorders>
            <w:shd w:val="clear" w:color="auto" w:fill="auto"/>
          </w:tcPr>
          <w:p w14:paraId="638B1B66" w14:textId="77777777" w:rsidR="00DC2C68" w:rsidRPr="002E17B9" w:rsidRDefault="00DC2C68" w:rsidP="00DC2C68">
            <w:pPr>
              <w:pStyle w:val="TableText"/>
            </w:pPr>
            <w:r w:rsidRPr="002E17B9">
              <w:t>90%</w:t>
            </w:r>
          </w:p>
        </w:tc>
        <w:tc>
          <w:tcPr>
            <w:tcW w:w="1250" w:type="pct"/>
            <w:tcBorders>
              <w:bottom w:val="single" w:sz="4" w:space="0" w:color="auto"/>
            </w:tcBorders>
            <w:shd w:val="clear" w:color="auto" w:fill="auto"/>
          </w:tcPr>
          <w:p w14:paraId="6AA70C44" w14:textId="77777777" w:rsidR="00DC2C68" w:rsidRPr="002E17B9" w:rsidRDefault="00DC2C68" w:rsidP="00DC2C68">
            <w:pPr>
              <w:pStyle w:val="TableText"/>
            </w:pPr>
            <w:r>
              <w:t>1.1</w:t>
            </w:r>
          </w:p>
        </w:tc>
        <w:tc>
          <w:tcPr>
            <w:tcW w:w="1250" w:type="pct"/>
            <w:tcBorders>
              <w:bottom w:val="single" w:sz="4" w:space="0" w:color="auto"/>
            </w:tcBorders>
            <w:shd w:val="clear" w:color="auto" w:fill="auto"/>
          </w:tcPr>
          <w:p w14:paraId="672B2430" w14:textId="77777777" w:rsidR="00DC2C68" w:rsidRPr="002E17B9" w:rsidRDefault="00DC2C68" w:rsidP="00DC2C68">
            <w:pPr>
              <w:pStyle w:val="TableText"/>
            </w:pPr>
            <w:r w:rsidRPr="002E17B9">
              <w:t>SSD model fit</w:t>
            </w:r>
          </w:p>
        </w:tc>
        <w:tc>
          <w:tcPr>
            <w:tcW w:w="1250" w:type="pct"/>
            <w:tcBorders>
              <w:bottom w:val="single" w:sz="4" w:space="0" w:color="auto"/>
            </w:tcBorders>
            <w:shd w:val="clear" w:color="auto" w:fill="auto"/>
          </w:tcPr>
          <w:p w14:paraId="7D182471" w14:textId="77777777" w:rsidR="00DC2C68" w:rsidRPr="002E17B9" w:rsidRDefault="00DC2C68" w:rsidP="00DC2C68">
            <w:pPr>
              <w:pStyle w:val="TableText"/>
            </w:pPr>
            <w:r w:rsidRPr="002E17B9">
              <w:t>Poor</w:t>
            </w:r>
          </w:p>
        </w:tc>
      </w:tr>
      <w:tr w:rsidR="00DC2C68" w:rsidRPr="002E17B9" w14:paraId="14B185D5" w14:textId="77777777" w:rsidTr="00573D82">
        <w:tc>
          <w:tcPr>
            <w:tcW w:w="1250" w:type="pct"/>
            <w:tcBorders>
              <w:bottom w:val="single" w:sz="12" w:space="0" w:color="auto"/>
            </w:tcBorders>
            <w:shd w:val="clear" w:color="auto" w:fill="auto"/>
          </w:tcPr>
          <w:p w14:paraId="4ED01126" w14:textId="77777777" w:rsidR="00DC2C68" w:rsidRPr="002E17B9" w:rsidRDefault="00DC2C68" w:rsidP="00DC2C68">
            <w:pPr>
              <w:pStyle w:val="TableText"/>
            </w:pPr>
            <w:r w:rsidRPr="002E17B9">
              <w:t>80%</w:t>
            </w:r>
          </w:p>
        </w:tc>
        <w:tc>
          <w:tcPr>
            <w:tcW w:w="1250" w:type="pct"/>
            <w:tcBorders>
              <w:bottom w:val="single" w:sz="12" w:space="0" w:color="auto"/>
            </w:tcBorders>
            <w:shd w:val="clear" w:color="auto" w:fill="auto"/>
          </w:tcPr>
          <w:p w14:paraId="1F2ECDDA" w14:textId="77777777" w:rsidR="00DC2C68" w:rsidRPr="002E17B9" w:rsidRDefault="00DC2C68" w:rsidP="00DC2C68">
            <w:pPr>
              <w:pStyle w:val="TableText"/>
            </w:pPr>
            <w:r>
              <w:t>15</w:t>
            </w:r>
          </w:p>
        </w:tc>
        <w:tc>
          <w:tcPr>
            <w:tcW w:w="1250" w:type="pct"/>
            <w:tcBorders>
              <w:bottom w:val="single" w:sz="12" w:space="0" w:color="auto"/>
            </w:tcBorders>
            <w:shd w:val="clear" w:color="auto" w:fill="auto"/>
          </w:tcPr>
          <w:p w14:paraId="33C7667C" w14:textId="77777777" w:rsidR="00DC2C68" w:rsidRPr="00DC2C68" w:rsidRDefault="00DC2C68" w:rsidP="00DC2C68">
            <w:pPr>
              <w:pStyle w:val="TableText"/>
            </w:pPr>
            <w:r w:rsidRPr="00DC2C68">
              <w:t>Reliability</w:t>
            </w:r>
          </w:p>
        </w:tc>
        <w:tc>
          <w:tcPr>
            <w:tcW w:w="1250" w:type="pct"/>
            <w:tcBorders>
              <w:bottom w:val="single" w:sz="12" w:space="0" w:color="auto"/>
            </w:tcBorders>
            <w:shd w:val="clear" w:color="auto" w:fill="auto"/>
          </w:tcPr>
          <w:p w14:paraId="03B36836" w14:textId="77777777" w:rsidR="00DC2C68" w:rsidRPr="002E17B9" w:rsidRDefault="00DC2C68" w:rsidP="00DC2C68">
            <w:pPr>
              <w:pStyle w:val="TableText"/>
            </w:pPr>
            <w:r>
              <w:t>Moderate</w:t>
            </w:r>
          </w:p>
        </w:tc>
      </w:tr>
    </w:tbl>
    <w:p w14:paraId="12BC4A09" w14:textId="0F72D0E5" w:rsidR="00C66A1A" w:rsidRDefault="0083732E" w:rsidP="00DC2C68">
      <w:pPr>
        <w:pStyle w:val="FigureTableNoteSource"/>
        <w:rPr>
          <w:lang w:eastAsia="ja-JP"/>
        </w:rPr>
      </w:pPr>
      <w:r w:rsidRPr="0083732E">
        <w:rPr>
          <w:rStyle w:val="Strong"/>
        </w:rPr>
        <w:t>a</w:t>
      </w:r>
      <w:r w:rsidR="00C66A1A">
        <w:rPr>
          <w:lang w:eastAsia="ja-JP"/>
        </w:rPr>
        <w:t xml:space="preserve"> Protective concentration values were derived using the Burrlioz 2.0 software.</w:t>
      </w:r>
    </w:p>
    <w:p w14:paraId="2A76C280" w14:textId="3E501FC2" w:rsidR="00C66A1A" w:rsidRDefault="0083732E" w:rsidP="00DC2C68">
      <w:pPr>
        <w:pStyle w:val="FigureTableNoteSource"/>
        <w:rPr>
          <w:lang w:eastAsia="ja-JP"/>
        </w:rPr>
      </w:pPr>
      <w:r w:rsidRPr="0083732E">
        <w:rPr>
          <w:rStyle w:val="Strong"/>
        </w:rPr>
        <w:t>b</w:t>
      </w:r>
      <w:r w:rsidR="00C66A1A">
        <w:rPr>
          <w:lang w:eastAsia="ja-JP"/>
        </w:rPr>
        <w:t xml:space="preserve"> See Warne et al</w:t>
      </w:r>
      <w:r w:rsidR="00573D82">
        <w:rPr>
          <w:lang w:eastAsia="ja-JP"/>
        </w:rPr>
        <w:t>.</w:t>
      </w:r>
      <w:r w:rsidR="00C66A1A">
        <w:rPr>
          <w:lang w:eastAsia="ja-JP"/>
        </w:rPr>
        <w:t xml:space="preserve"> (2018) for definitions of protective concentration value </w:t>
      </w:r>
      <w:r w:rsidR="00573D82">
        <w:rPr>
          <w:lang w:eastAsia="ja-JP"/>
        </w:rPr>
        <w:t>‘</w:t>
      </w:r>
      <w:r w:rsidR="00C66A1A">
        <w:rPr>
          <w:lang w:eastAsia="ja-JP"/>
        </w:rPr>
        <w:t>reliability</w:t>
      </w:r>
      <w:r w:rsidR="00573D82">
        <w:rPr>
          <w:lang w:eastAsia="ja-JP"/>
        </w:rPr>
        <w:t>’</w:t>
      </w:r>
      <w:r w:rsidR="00C66A1A">
        <w:rPr>
          <w:lang w:eastAsia="ja-JP"/>
        </w:rPr>
        <w:t>.</w:t>
      </w:r>
    </w:p>
    <w:p w14:paraId="5D23DE3C" w14:textId="15BBEABA" w:rsidR="00C66A1A" w:rsidRDefault="00C66A1A" w:rsidP="00B54696">
      <w:pPr>
        <w:rPr>
          <w:lang w:eastAsia="ja-JP"/>
        </w:rPr>
      </w:pPr>
      <w:r>
        <w:rPr>
          <w:lang w:eastAsia="ja-JP"/>
        </w:rPr>
        <w:t xml:space="preserve">The resulting PC values were considered to be of </w:t>
      </w:r>
      <w:r w:rsidRPr="00C66A1A">
        <w:rPr>
          <w:rStyle w:val="Emphasis"/>
          <w:lang w:eastAsia="ja-JP"/>
        </w:rPr>
        <w:t>moderate reliability</w:t>
      </w:r>
      <w:r>
        <w:rPr>
          <w:lang w:eastAsia="ja-JP"/>
        </w:rPr>
        <w:t xml:space="preserve"> (</w:t>
      </w:r>
      <w:r w:rsidR="0060674F">
        <w:rPr>
          <w:lang w:eastAsia="ja-JP"/>
        </w:rPr>
        <w:fldChar w:fldCharType="begin"/>
      </w:r>
      <w:r w:rsidR="0060674F">
        <w:rPr>
          <w:lang w:eastAsia="ja-JP"/>
        </w:rPr>
        <w:instrText xml:space="preserve"> REF _Ref18494184 \h </w:instrText>
      </w:r>
      <w:r w:rsidR="0060674F">
        <w:rPr>
          <w:lang w:eastAsia="ja-JP"/>
        </w:rPr>
      </w:r>
      <w:r w:rsidR="0060674F">
        <w:rPr>
          <w:lang w:eastAsia="ja-JP"/>
        </w:rPr>
        <w:fldChar w:fldCharType="separate"/>
      </w:r>
      <w:r w:rsidR="002825D7">
        <w:t>Table C </w:t>
      </w:r>
      <w:r w:rsidR="002825D7">
        <w:rPr>
          <w:noProof/>
        </w:rPr>
        <w:t>1</w:t>
      </w:r>
      <w:r w:rsidR="0060674F">
        <w:rPr>
          <w:lang w:eastAsia="ja-JP"/>
        </w:rPr>
        <w:fldChar w:fldCharType="end"/>
      </w:r>
      <w:r>
        <w:rPr>
          <w:lang w:eastAsia="ja-JP"/>
        </w:rPr>
        <w:t>) according to the method of Warne et al. (2018)</w:t>
      </w:r>
      <w:r w:rsidR="00FB3B93">
        <w:rPr>
          <w:lang w:eastAsia="ja-JP"/>
        </w:rPr>
        <w:t>,</w:t>
      </w:r>
      <w:r>
        <w:rPr>
          <w:lang w:eastAsia="ja-JP"/>
        </w:rPr>
        <w:t xml:space="preserve"> because the dataset consisted of chronic EC10/NOEC/NOEL values for 13 species and the </w:t>
      </w:r>
      <w:r w:rsidR="00573D82">
        <w:rPr>
          <w:lang w:eastAsia="ja-JP"/>
        </w:rPr>
        <w:t>SSD</w:t>
      </w:r>
      <w:r>
        <w:rPr>
          <w:lang w:eastAsia="ja-JP"/>
        </w:rPr>
        <w:t xml:space="preserve"> had a poor fit to the data (</w:t>
      </w:r>
      <w:r w:rsidR="00B54696">
        <w:rPr>
          <w:lang w:eastAsia="ja-JP"/>
        </w:rPr>
        <w:t>Figure C 1</w:t>
      </w:r>
      <w:r>
        <w:rPr>
          <w:lang w:eastAsia="ja-JP"/>
        </w:rPr>
        <w:t xml:space="preserve">). However, due to the fit and shape of the distribution model </w:t>
      </w:r>
      <w:r w:rsidR="00FB3B93">
        <w:rPr>
          <w:lang w:eastAsia="ja-JP"/>
        </w:rPr>
        <w:t xml:space="preserve">to </w:t>
      </w:r>
      <w:r>
        <w:rPr>
          <w:lang w:eastAsia="ja-JP"/>
        </w:rPr>
        <w:t xml:space="preserve">the data, there was a high level of uncertainty in the estimation of the PC99 and PC95 values. That is, the </w:t>
      </w:r>
      <w:r w:rsidR="004E6FF1">
        <w:rPr>
          <w:lang w:eastAsia="ja-JP"/>
        </w:rPr>
        <w:t xml:space="preserve">estimated </w:t>
      </w:r>
      <w:r>
        <w:rPr>
          <w:lang w:eastAsia="ja-JP"/>
        </w:rPr>
        <w:t>PC99 and PC95 were ~</w:t>
      </w:r>
      <w:r w:rsidR="00BA6DF5">
        <w:rPr>
          <w:lang w:eastAsia="ja-JP"/>
        </w:rPr>
        <w:t>5</w:t>
      </w:r>
      <w:r w:rsidR="00A66E73">
        <w:rPr>
          <w:lang w:eastAsia="ja-JP"/>
        </w:rPr>
        <w:t> </w:t>
      </w:r>
      <w:r w:rsidR="00BA6DF5">
        <w:rPr>
          <w:lang w:eastAsia="ja-JP"/>
        </w:rPr>
        <w:t>5</w:t>
      </w:r>
      <w:r>
        <w:rPr>
          <w:lang w:eastAsia="ja-JP"/>
        </w:rPr>
        <w:t>00 and ~</w:t>
      </w:r>
      <w:r w:rsidR="00BA6DF5">
        <w:rPr>
          <w:lang w:eastAsia="ja-JP"/>
        </w:rPr>
        <w:t>13</w:t>
      </w:r>
      <w:r>
        <w:rPr>
          <w:lang w:eastAsia="ja-JP"/>
        </w:rPr>
        <w:t xml:space="preserve"> times less than the lowest chronic </w:t>
      </w:r>
      <w:r w:rsidR="00A04B98">
        <w:rPr>
          <w:lang w:eastAsia="ja-JP"/>
        </w:rPr>
        <w:t xml:space="preserve">EC10/NOEC/NOEL </w:t>
      </w:r>
      <w:r>
        <w:rPr>
          <w:lang w:eastAsia="ja-JP"/>
        </w:rPr>
        <w:t>ecotoxicity value of 1</w:t>
      </w:r>
      <w:r w:rsidR="00573D82">
        <w:rPr>
          <w:lang w:eastAsia="ja-JP"/>
        </w:rPr>
        <w:t> </w:t>
      </w:r>
      <w:r>
        <w:rPr>
          <w:lang w:eastAsia="ja-JP"/>
        </w:rPr>
        <w:t xml:space="preserve">µg/L (respectively), which suggested the PC values might be </w:t>
      </w:r>
      <w:r w:rsidR="00AC0009">
        <w:rPr>
          <w:lang w:eastAsia="ja-JP"/>
        </w:rPr>
        <w:t xml:space="preserve">overly </w:t>
      </w:r>
      <w:r>
        <w:rPr>
          <w:lang w:eastAsia="ja-JP"/>
        </w:rPr>
        <w:t>conservative. The conservative estimat</w:t>
      </w:r>
      <w:r w:rsidR="004E6FF1">
        <w:rPr>
          <w:lang w:eastAsia="ja-JP"/>
        </w:rPr>
        <w:t>e</w:t>
      </w:r>
      <w:r>
        <w:rPr>
          <w:lang w:eastAsia="ja-JP"/>
        </w:rPr>
        <w:t xml:space="preserve">s of the PC99 and PC95 values occur because the fitted </w:t>
      </w:r>
      <w:r w:rsidR="00AC0009">
        <w:rPr>
          <w:lang w:eastAsia="ja-JP"/>
        </w:rPr>
        <w:t xml:space="preserve">model </w:t>
      </w:r>
      <w:r>
        <w:rPr>
          <w:lang w:eastAsia="ja-JP"/>
        </w:rPr>
        <w:t>sits relatively high on the y-axis where x</w:t>
      </w:r>
      <w:r w:rsidR="0001727E">
        <w:rPr>
          <w:lang w:eastAsia="ja-JP"/>
        </w:rPr>
        <w:t> </w:t>
      </w:r>
      <w:r>
        <w:rPr>
          <w:lang w:eastAsia="ja-JP"/>
        </w:rPr>
        <w:t>=</w:t>
      </w:r>
      <w:r w:rsidR="0001727E">
        <w:rPr>
          <w:lang w:eastAsia="ja-JP"/>
        </w:rPr>
        <w:t> </w:t>
      </w:r>
      <w:r>
        <w:rPr>
          <w:lang w:eastAsia="ja-JP"/>
        </w:rPr>
        <w:t>1</w:t>
      </w:r>
      <w:r w:rsidR="00DC2C68">
        <w:rPr>
          <w:lang w:eastAsia="ja-JP"/>
        </w:rPr>
        <w:t> </w:t>
      </w:r>
      <w:r>
        <w:rPr>
          <w:lang w:eastAsia="ja-JP"/>
        </w:rPr>
        <w:t>µg/L (i.e. the lowest toxicity value). The lowest toxicity value would be equivalent to a PC90.</w:t>
      </w:r>
    </w:p>
    <w:p w14:paraId="6D4FFA40" w14:textId="02C98E57" w:rsidR="002A5DB2" w:rsidRDefault="00FB3B93" w:rsidP="00C66A1A">
      <w:pPr>
        <w:rPr>
          <w:lang w:eastAsia="ja-JP"/>
        </w:rPr>
      </w:pPr>
      <w:r>
        <w:rPr>
          <w:lang w:eastAsia="ja-JP"/>
        </w:rPr>
        <w:t>To try to improve the reliability of the DGVs</w:t>
      </w:r>
      <w:r w:rsidR="00C66A1A">
        <w:rPr>
          <w:lang w:eastAsia="ja-JP"/>
        </w:rPr>
        <w:t>, the ecotoxicity dataset was expanded to also include the chronic estimated NOEC data (estimated from chronic LOEC and EC50 data</w:t>
      </w:r>
      <w:r w:rsidR="0001727E">
        <w:rPr>
          <w:lang w:eastAsia="ja-JP"/>
        </w:rPr>
        <w:t xml:space="preserve"> </w:t>
      </w:r>
      <w:r w:rsidR="0001727E" w:rsidRPr="0001727E">
        <w:rPr>
          <w:lang w:eastAsia="ja-JP"/>
        </w:rPr>
        <w:t>using the methods in Warne et al. (2018)</w:t>
      </w:r>
      <w:r w:rsidR="00C66A1A">
        <w:rPr>
          <w:lang w:eastAsia="ja-JP"/>
        </w:rPr>
        <w:t xml:space="preserve">), resulting in </w:t>
      </w:r>
      <w:r w:rsidR="00A05F93">
        <w:rPr>
          <w:lang w:eastAsia="ja-JP"/>
        </w:rPr>
        <w:t xml:space="preserve">data for </w:t>
      </w:r>
      <w:r w:rsidR="00C66A1A">
        <w:rPr>
          <w:lang w:eastAsia="ja-JP"/>
        </w:rPr>
        <w:t>a total of 21 species from six phyla (</w:t>
      </w:r>
      <w:r w:rsidR="00394F2F">
        <w:rPr>
          <w:lang w:eastAsia="ja-JP"/>
        </w:rPr>
        <w:fldChar w:fldCharType="begin"/>
      </w:r>
      <w:r w:rsidR="00394F2F">
        <w:rPr>
          <w:lang w:eastAsia="ja-JP"/>
        </w:rPr>
        <w:instrText xml:space="preserve"> REF _Ref25934536 \h </w:instrText>
      </w:r>
      <w:r w:rsidR="00394F2F">
        <w:rPr>
          <w:lang w:eastAsia="ja-JP"/>
        </w:rPr>
      </w:r>
      <w:r w:rsidR="00394F2F">
        <w:rPr>
          <w:lang w:eastAsia="ja-JP"/>
        </w:rPr>
        <w:fldChar w:fldCharType="separate"/>
      </w:r>
      <w:r w:rsidR="002825D7">
        <w:t>Table </w:t>
      </w:r>
      <w:r w:rsidR="002825D7">
        <w:rPr>
          <w:noProof/>
        </w:rPr>
        <w:t>2</w:t>
      </w:r>
      <w:r w:rsidR="00394F2F">
        <w:rPr>
          <w:lang w:eastAsia="ja-JP"/>
        </w:rPr>
        <w:fldChar w:fldCharType="end"/>
      </w:r>
      <w:r w:rsidR="00C66A1A">
        <w:rPr>
          <w:lang w:eastAsia="ja-JP"/>
        </w:rPr>
        <w:t>). Expanding the dataset markedly improved the fit of the model to the ecotoxicity data (</w:t>
      </w:r>
      <w:r w:rsidR="0060674F">
        <w:rPr>
          <w:lang w:eastAsia="ja-JP"/>
        </w:rPr>
        <w:fldChar w:fldCharType="begin"/>
      </w:r>
      <w:r w:rsidR="0060674F">
        <w:rPr>
          <w:lang w:eastAsia="ja-JP"/>
        </w:rPr>
        <w:instrText xml:space="preserve"> REF _Ref18493715 \h </w:instrText>
      </w:r>
      <w:r w:rsidR="0060674F">
        <w:rPr>
          <w:lang w:eastAsia="ja-JP"/>
        </w:rPr>
      </w:r>
      <w:r w:rsidR="0060674F">
        <w:rPr>
          <w:lang w:eastAsia="ja-JP"/>
        </w:rPr>
        <w:fldChar w:fldCharType="separate"/>
      </w:r>
      <w:r w:rsidR="002825D7">
        <w:t>Figure </w:t>
      </w:r>
      <w:r w:rsidR="002825D7">
        <w:rPr>
          <w:noProof/>
        </w:rPr>
        <w:t>2</w:t>
      </w:r>
      <w:r w:rsidR="0060674F">
        <w:rPr>
          <w:lang w:eastAsia="ja-JP"/>
        </w:rPr>
        <w:fldChar w:fldCharType="end"/>
      </w:r>
      <w:r w:rsidR="00C66A1A">
        <w:rPr>
          <w:lang w:eastAsia="ja-JP"/>
        </w:rPr>
        <w:t xml:space="preserve">), which subsequently generated PC99 and PC95 </w:t>
      </w:r>
      <w:r w:rsidR="004E6FF1">
        <w:rPr>
          <w:lang w:eastAsia="ja-JP"/>
        </w:rPr>
        <w:t xml:space="preserve">estimates </w:t>
      </w:r>
      <w:r w:rsidR="00C66A1A">
        <w:rPr>
          <w:lang w:eastAsia="ja-JP"/>
        </w:rPr>
        <w:t>(</w:t>
      </w:r>
      <w:r w:rsidR="00394F2F">
        <w:rPr>
          <w:lang w:eastAsia="ja-JP"/>
        </w:rPr>
        <w:fldChar w:fldCharType="begin"/>
      </w:r>
      <w:r w:rsidR="00394F2F">
        <w:rPr>
          <w:lang w:eastAsia="ja-JP"/>
        </w:rPr>
        <w:instrText xml:space="preserve"> REF _Ref18493440 \h </w:instrText>
      </w:r>
      <w:r w:rsidR="00394F2F">
        <w:rPr>
          <w:lang w:eastAsia="ja-JP"/>
        </w:rPr>
      </w:r>
      <w:r w:rsidR="00394F2F">
        <w:rPr>
          <w:lang w:eastAsia="ja-JP"/>
        </w:rPr>
        <w:fldChar w:fldCharType="separate"/>
      </w:r>
      <w:r w:rsidR="002825D7">
        <w:t>Table </w:t>
      </w:r>
      <w:r w:rsidR="002825D7">
        <w:rPr>
          <w:noProof/>
        </w:rPr>
        <w:t>3</w:t>
      </w:r>
      <w:r w:rsidR="00394F2F">
        <w:rPr>
          <w:lang w:eastAsia="ja-JP"/>
        </w:rPr>
        <w:fldChar w:fldCharType="end"/>
      </w:r>
      <w:r w:rsidR="00C66A1A">
        <w:rPr>
          <w:lang w:eastAsia="ja-JP"/>
        </w:rPr>
        <w:t>) much closer to the lowest ecotoxicity value of this expanded dataset (0.53</w:t>
      </w:r>
      <w:r w:rsidR="002A5DB2">
        <w:rPr>
          <w:lang w:eastAsia="ja-JP"/>
        </w:rPr>
        <w:t> </w:t>
      </w:r>
      <w:r w:rsidR="00C66A1A">
        <w:rPr>
          <w:lang w:eastAsia="ja-JP"/>
        </w:rPr>
        <w:t>µg/L)</w:t>
      </w:r>
      <w:r w:rsidR="002A5DB2">
        <w:rPr>
          <w:lang w:eastAsia="ja-JP"/>
        </w:rPr>
        <w:t>—</w:t>
      </w:r>
      <w:r w:rsidR="00C66A1A">
        <w:rPr>
          <w:lang w:eastAsia="ja-JP"/>
        </w:rPr>
        <w:t>~</w:t>
      </w:r>
      <w:r w:rsidR="004E6FF1">
        <w:rPr>
          <w:lang w:eastAsia="ja-JP"/>
        </w:rPr>
        <w:t xml:space="preserve">60 times less than </w:t>
      </w:r>
      <w:r w:rsidR="00C66A1A">
        <w:rPr>
          <w:lang w:eastAsia="ja-JP"/>
        </w:rPr>
        <w:t xml:space="preserve">and </w:t>
      </w:r>
      <w:r w:rsidR="004E6FF1">
        <w:rPr>
          <w:lang w:eastAsia="ja-JP"/>
        </w:rPr>
        <w:t>similar to</w:t>
      </w:r>
      <w:r w:rsidR="00BA6DF5">
        <w:rPr>
          <w:lang w:eastAsia="ja-JP"/>
        </w:rPr>
        <w:t xml:space="preserve"> the lowest value</w:t>
      </w:r>
      <w:r w:rsidR="00C66A1A">
        <w:rPr>
          <w:lang w:eastAsia="ja-JP"/>
        </w:rPr>
        <w:t xml:space="preserve">, respectively. Additionally, </w:t>
      </w:r>
      <w:r w:rsidR="004E6FF1">
        <w:rPr>
          <w:lang w:eastAsia="ja-JP"/>
        </w:rPr>
        <w:t xml:space="preserve">the resulting PC values were considered to be of </w:t>
      </w:r>
      <w:r w:rsidR="004E6FF1">
        <w:rPr>
          <w:rStyle w:val="Emphasis"/>
          <w:lang w:eastAsia="ja-JP"/>
        </w:rPr>
        <w:t>very high</w:t>
      </w:r>
      <w:r w:rsidR="004E6FF1" w:rsidRPr="00C66A1A">
        <w:rPr>
          <w:rStyle w:val="Emphasis"/>
          <w:lang w:eastAsia="ja-JP"/>
        </w:rPr>
        <w:t xml:space="preserve"> reliability</w:t>
      </w:r>
      <w:r w:rsidR="004E6FF1">
        <w:rPr>
          <w:lang w:eastAsia="ja-JP"/>
        </w:rPr>
        <w:t xml:space="preserve"> </w:t>
      </w:r>
      <w:r w:rsidR="00C66A1A">
        <w:rPr>
          <w:lang w:eastAsia="ja-JP"/>
        </w:rPr>
        <w:t xml:space="preserve">according to </w:t>
      </w:r>
      <w:r w:rsidR="004E6FF1">
        <w:rPr>
          <w:lang w:eastAsia="ja-JP"/>
        </w:rPr>
        <w:t xml:space="preserve">the method of </w:t>
      </w:r>
      <w:r w:rsidR="00C66A1A">
        <w:rPr>
          <w:lang w:eastAsia="ja-JP"/>
        </w:rPr>
        <w:t>Warne et al. (2018) (see Section</w:t>
      </w:r>
      <w:r w:rsidR="0060674F">
        <w:rPr>
          <w:lang w:eastAsia="ja-JP"/>
        </w:rPr>
        <w:t> </w:t>
      </w:r>
      <w:r w:rsidR="0060674F">
        <w:rPr>
          <w:lang w:eastAsia="ja-JP"/>
        </w:rPr>
        <w:fldChar w:fldCharType="begin"/>
      </w:r>
      <w:r w:rsidR="0060674F">
        <w:rPr>
          <w:lang w:eastAsia="ja-JP"/>
        </w:rPr>
        <w:instrText xml:space="preserve"> REF _Ref18494305 \r \h </w:instrText>
      </w:r>
      <w:r w:rsidR="0060674F">
        <w:rPr>
          <w:lang w:eastAsia="ja-JP"/>
        </w:rPr>
      </w:r>
      <w:r w:rsidR="0060674F">
        <w:rPr>
          <w:lang w:eastAsia="ja-JP"/>
        </w:rPr>
        <w:fldChar w:fldCharType="separate"/>
      </w:r>
      <w:r w:rsidR="002825D7">
        <w:rPr>
          <w:lang w:eastAsia="ja-JP"/>
        </w:rPr>
        <w:t>4.4</w:t>
      </w:r>
      <w:r w:rsidR="0060674F">
        <w:rPr>
          <w:lang w:eastAsia="ja-JP"/>
        </w:rPr>
        <w:fldChar w:fldCharType="end"/>
      </w:r>
      <w:r w:rsidR="00C66A1A">
        <w:rPr>
          <w:lang w:eastAsia="ja-JP"/>
        </w:rPr>
        <w:t xml:space="preserve">). </w:t>
      </w:r>
    </w:p>
    <w:p w14:paraId="722256F7" w14:textId="654E1B64" w:rsidR="00C66A1A" w:rsidRDefault="00C66A1A" w:rsidP="00C66A1A">
      <w:pPr>
        <w:rPr>
          <w:lang w:eastAsia="ja-JP"/>
        </w:rPr>
      </w:pPr>
      <w:r>
        <w:rPr>
          <w:lang w:eastAsia="ja-JP"/>
        </w:rPr>
        <w:t xml:space="preserve">Statistical methods, including the SSD methods, become more accurate and reliable as the amount of </w:t>
      </w:r>
      <w:r w:rsidR="004E6FF1">
        <w:rPr>
          <w:lang w:eastAsia="ja-JP"/>
        </w:rPr>
        <w:t xml:space="preserve">(acceptable quality) </w:t>
      </w:r>
      <w:r>
        <w:rPr>
          <w:lang w:eastAsia="ja-JP"/>
        </w:rPr>
        <w:t xml:space="preserve">data available to analyse increases. All these factors combined led to the recommendation that the PC values derived using both </w:t>
      </w:r>
      <w:r w:rsidR="00BA6DF5">
        <w:rPr>
          <w:lang w:eastAsia="ja-JP"/>
        </w:rPr>
        <w:t xml:space="preserve">the </w:t>
      </w:r>
      <w:r>
        <w:rPr>
          <w:lang w:eastAsia="ja-JP"/>
        </w:rPr>
        <w:t>chronic and chronic estimated ecotoxicity data be adopted as the DGVs for metolachlor in freshwater.</w:t>
      </w:r>
    </w:p>
    <w:p w14:paraId="21A4D305" w14:textId="2B1EF432" w:rsidR="00394F2F" w:rsidRDefault="00394F2F">
      <w:pPr>
        <w:spacing w:after="0" w:line="240" w:lineRule="auto"/>
        <w:rPr>
          <w:lang w:eastAsia="ja-JP"/>
        </w:rPr>
      </w:pPr>
      <w:r>
        <w:rPr>
          <w:lang w:eastAsia="ja-JP"/>
        </w:rPr>
        <w:br w:type="page"/>
      </w:r>
    </w:p>
    <w:p w14:paraId="5CE3283A" w14:textId="77777777" w:rsidR="00606A7B" w:rsidRPr="00241F6F" w:rsidRDefault="00606A7B" w:rsidP="00606A7B">
      <w:pPr>
        <w:pStyle w:val="Heading2"/>
        <w:numPr>
          <w:ilvl w:val="0"/>
          <w:numId w:val="0"/>
        </w:numPr>
        <w:ind w:left="680" w:hanging="680"/>
      </w:pPr>
      <w:bookmarkStart w:id="51" w:name="_Toc33095000"/>
      <w:r w:rsidRPr="00241F6F">
        <w:lastRenderedPageBreak/>
        <w:t>References</w:t>
      </w:r>
      <w:bookmarkEnd w:id="46"/>
      <w:bookmarkEnd w:id="51"/>
    </w:p>
    <w:p w14:paraId="0289553C" w14:textId="77777777" w:rsidR="002E2651" w:rsidRDefault="002E2651" w:rsidP="00241F6F">
      <w:r>
        <w:t>AATSE 2002. Pesticide use in Australia. A review undertaken by the Australian Academy of Technological Sciences and Engineering. Australian Academy of Technological Sciences and Engineering, Parkville, Victoria, Australia, 309.</w:t>
      </w:r>
    </w:p>
    <w:p w14:paraId="69978742" w14:textId="77777777" w:rsidR="002E2651" w:rsidRDefault="002E2651" w:rsidP="00241F6F">
      <w:r>
        <w:t xml:space="preserve">ALA 2017. </w:t>
      </w:r>
      <w:hyperlink r:id="rId35" w:history="1">
        <w:r w:rsidRPr="00A776D9">
          <w:rPr>
            <w:rStyle w:val="Hyperlink"/>
          </w:rPr>
          <w:t>Atlas of Living Australia</w:t>
        </w:r>
      </w:hyperlink>
      <w:r>
        <w:t>. Developed by the National Research Infrastructure for Australia (NCRIS) and the Commonwealth Scientific and Industrial Research Organisation (CSIRO). Accessed May 2017.</w:t>
      </w:r>
    </w:p>
    <w:p w14:paraId="752CCC1D" w14:textId="77777777" w:rsidR="002E2651" w:rsidRDefault="002E2651" w:rsidP="00241F6F">
      <w:r>
        <w:t>ANZECC/ARMCANZ 2000. Australian and New Zealand Guidelines for fresh and marine water quality/aquatic ecosystems: Rationale and background information (Chapter 8). Australian and New Zealand Environment and Conservation Council and Agriculture and Resource Management Council of Australia and New Zealand, Canberra, 678.</w:t>
      </w:r>
    </w:p>
    <w:p w14:paraId="529F5CE9" w14:textId="77777777" w:rsidR="002E2651" w:rsidRDefault="002E2651" w:rsidP="00D772AC">
      <w:r w:rsidRPr="00E02F1A">
        <w:t xml:space="preserve">ANZG 2018. </w:t>
      </w:r>
      <w:hyperlink r:id="rId36" w:history="1">
        <w:r w:rsidRPr="00537432">
          <w:rPr>
            <w:rStyle w:val="Hyperlink"/>
          </w:rPr>
          <w:t>Australian and New Zealand Guidelines for Fresh and Marine Water Quality</w:t>
        </w:r>
      </w:hyperlink>
      <w:r w:rsidRPr="00E02F1A">
        <w:t>. Australian</w:t>
      </w:r>
      <w:r>
        <w:t xml:space="preserve"> </w:t>
      </w:r>
      <w:r w:rsidRPr="00E02F1A">
        <w:t xml:space="preserve">and New Zealand Governments and Australian state and territory governments, Canberra, ACT, Australia. Viewed </w:t>
      </w:r>
      <w:r>
        <w:t>13/09/2019.</w:t>
      </w:r>
    </w:p>
    <w:p w14:paraId="46BC3188" w14:textId="77777777" w:rsidR="002E2651" w:rsidRDefault="002E2651" w:rsidP="00241F6F">
      <w:proofErr w:type="spellStart"/>
      <w:r>
        <w:t>Balsiger</w:t>
      </w:r>
      <w:proofErr w:type="spellEnd"/>
      <w:r>
        <w:t xml:space="preserve">, C, </w:t>
      </w:r>
      <w:proofErr w:type="spellStart"/>
      <w:r>
        <w:t>Niederhauser</w:t>
      </w:r>
      <w:proofErr w:type="spellEnd"/>
      <w:r>
        <w:t xml:space="preserve">, P, </w:t>
      </w:r>
      <w:proofErr w:type="spellStart"/>
      <w:r>
        <w:t>Jäggi</w:t>
      </w:r>
      <w:proofErr w:type="spellEnd"/>
      <w:r>
        <w:t xml:space="preserve">, O &amp; Meier, W 2004. </w:t>
      </w:r>
      <w:proofErr w:type="spellStart"/>
      <w:r>
        <w:t>Pestizide</w:t>
      </w:r>
      <w:proofErr w:type="spellEnd"/>
      <w:r>
        <w:t xml:space="preserve"> in </w:t>
      </w:r>
      <w:proofErr w:type="spellStart"/>
      <w:r>
        <w:t>Fliessgewässern</w:t>
      </w:r>
      <w:proofErr w:type="spellEnd"/>
      <w:r>
        <w:t xml:space="preserve"> des </w:t>
      </w:r>
      <w:proofErr w:type="spellStart"/>
      <w:r>
        <w:t>Kantons</w:t>
      </w:r>
      <w:proofErr w:type="spellEnd"/>
      <w:r>
        <w:t xml:space="preserve"> Zürich – </w:t>
      </w:r>
      <w:proofErr w:type="spellStart"/>
      <w:r>
        <w:t>Auswertung</w:t>
      </w:r>
      <w:proofErr w:type="spellEnd"/>
      <w:r>
        <w:t xml:space="preserve"> der </w:t>
      </w:r>
      <w:proofErr w:type="spellStart"/>
      <w:r>
        <w:t>Untersuchungen</w:t>
      </w:r>
      <w:proofErr w:type="spellEnd"/>
      <w:r>
        <w:t xml:space="preserve"> von 1999 bis 2003. Amt </w:t>
      </w:r>
      <w:proofErr w:type="spellStart"/>
      <w:r>
        <w:t>für</w:t>
      </w:r>
      <w:proofErr w:type="spellEnd"/>
      <w:r>
        <w:t xml:space="preserve"> </w:t>
      </w:r>
      <w:proofErr w:type="spellStart"/>
      <w:r>
        <w:t>Abfall</w:t>
      </w:r>
      <w:proofErr w:type="spellEnd"/>
      <w:r>
        <w:t xml:space="preserve">, Wasser, </w:t>
      </w:r>
      <w:proofErr w:type="spellStart"/>
      <w:r>
        <w:t>Energie</w:t>
      </w:r>
      <w:proofErr w:type="spellEnd"/>
      <w:r>
        <w:t xml:space="preserve"> und </w:t>
      </w:r>
      <w:proofErr w:type="spellStart"/>
      <w:r>
        <w:t>Luft</w:t>
      </w:r>
      <w:proofErr w:type="spellEnd"/>
      <w:r>
        <w:t xml:space="preserve"> (AWEL), Zurich, Switzerland. </w:t>
      </w:r>
    </w:p>
    <w:p w14:paraId="3CC514E9" w14:textId="77777777" w:rsidR="002E2651" w:rsidRDefault="002E2651" w:rsidP="00241F6F">
      <w:proofErr w:type="spellStart"/>
      <w:r>
        <w:t>Battaglin</w:t>
      </w:r>
      <w:proofErr w:type="spellEnd"/>
      <w:r>
        <w:t xml:space="preserve">, WA, Furlong, ET, Burkhardt, MR &amp; Peter, CJ 2000. Occurrence of sulfonylurea, </w:t>
      </w:r>
      <w:proofErr w:type="spellStart"/>
      <w:r>
        <w:t>sulfonamide</w:t>
      </w:r>
      <w:proofErr w:type="spellEnd"/>
      <w:r>
        <w:t xml:space="preserve">, </w:t>
      </w:r>
      <w:proofErr w:type="spellStart"/>
      <w:r>
        <w:t>imidazolinone</w:t>
      </w:r>
      <w:proofErr w:type="spellEnd"/>
      <w:r>
        <w:t xml:space="preserve">, and other herbicides in rivers, reservoirs and ground water in the Midwestern United States, 1998. </w:t>
      </w:r>
      <w:r w:rsidRPr="0098135D">
        <w:rPr>
          <w:rStyle w:val="Emphasis"/>
        </w:rPr>
        <w:t>Science of the Total Environment</w:t>
      </w:r>
      <w:r>
        <w:t>, 248, 123–133.</w:t>
      </w:r>
    </w:p>
    <w:p w14:paraId="6FBFF4B3" w14:textId="77777777" w:rsidR="002E2651" w:rsidRDefault="002E2651" w:rsidP="00241F6F">
      <w:r>
        <w:t xml:space="preserve">BCPC 2012. A world compendium. The Pesticide Manual. Sixteenth Edition. C </w:t>
      </w:r>
      <w:proofErr w:type="spellStart"/>
      <w:r>
        <w:t>MacBean</w:t>
      </w:r>
      <w:proofErr w:type="spellEnd"/>
      <w:r>
        <w:t xml:space="preserve"> (ed), British Crop Production Council, Alton, United Kingdom, 772–775.</w:t>
      </w:r>
    </w:p>
    <w:p w14:paraId="321B70DD" w14:textId="77777777" w:rsidR="002E2651" w:rsidRDefault="002E2651" w:rsidP="00241F6F">
      <w:proofErr w:type="spellStart"/>
      <w:r>
        <w:t>Böger</w:t>
      </w:r>
      <w:proofErr w:type="spellEnd"/>
      <w:r>
        <w:t xml:space="preserve">, P 2003. Mode of action for </w:t>
      </w:r>
      <w:proofErr w:type="spellStart"/>
      <w:r>
        <w:t>chloroacetamides</w:t>
      </w:r>
      <w:proofErr w:type="spellEnd"/>
      <w:r>
        <w:t xml:space="preserve"> and functionally related compounds. </w:t>
      </w:r>
      <w:r w:rsidRPr="0098135D">
        <w:rPr>
          <w:rStyle w:val="Emphasis"/>
        </w:rPr>
        <w:t>Journal of Pesticide Science</w:t>
      </w:r>
      <w:r>
        <w:t>, 28, 324–329.</w:t>
      </w:r>
    </w:p>
    <w:p w14:paraId="61C58F19" w14:textId="77777777" w:rsidR="002E2651" w:rsidRDefault="002E2651" w:rsidP="00241F6F">
      <w:proofErr w:type="spellStart"/>
      <w:r>
        <w:t>Böger</w:t>
      </w:r>
      <w:proofErr w:type="spellEnd"/>
      <w:r>
        <w:t xml:space="preserve">, P, </w:t>
      </w:r>
      <w:proofErr w:type="spellStart"/>
      <w:r>
        <w:t>Matthes</w:t>
      </w:r>
      <w:proofErr w:type="spellEnd"/>
      <w:r>
        <w:t xml:space="preserve">, B &amp; </w:t>
      </w:r>
      <w:proofErr w:type="spellStart"/>
      <w:r>
        <w:t>Schmalfuß</w:t>
      </w:r>
      <w:proofErr w:type="spellEnd"/>
      <w:r>
        <w:t xml:space="preserve">, J 2000. Towards the primary target of </w:t>
      </w:r>
      <w:proofErr w:type="spellStart"/>
      <w:r>
        <w:t>chloroacetamides</w:t>
      </w:r>
      <w:proofErr w:type="spellEnd"/>
      <w:r>
        <w:t xml:space="preserve"> –new findings pave the way. </w:t>
      </w:r>
      <w:r w:rsidRPr="0098135D">
        <w:rPr>
          <w:rStyle w:val="Emphasis"/>
        </w:rPr>
        <w:t>Pest Management Science</w:t>
      </w:r>
      <w:r>
        <w:t>, 56(6), 497–508.</w:t>
      </w:r>
    </w:p>
    <w:p w14:paraId="730F907D" w14:textId="77777777" w:rsidR="002E2651" w:rsidRDefault="002E2651" w:rsidP="00241F6F">
      <w:r>
        <w:t xml:space="preserve">CCME 1999. </w:t>
      </w:r>
      <w:hyperlink r:id="rId37" w:history="1">
        <w:r w:rsidRPr="0098135D">
          <w:rPr>
            <w:rStyle w:val="Hyperlink"/>
          </w:rPr>
          <w:t>Canadian Water Quality Guidelines for the protection of aquatic life – Metolachlor</w:t>
        </w:r>
      </w:hyperlink>
      <w:r>
        <w:t>. Canadian Council of Ministers of the Environment. Accessed 9 September 2015.</w:t>
      </w:r>
    </w:p>
    <w:p w14:paraId="37270685" w14:textId="77777777" w:rsidR="002E2651" w:rsidRDefault="002E2651" w:rsidP="00C66A1A">
      <w:proofErr w:type="spellStart"/>
      <w:r>
        <w:t>Coquillé</w:t>
      </w:r>
      <w:proofErr w:type="spellEnd"/>
      <w:r>
        <w:t xml:space="preserve">, N, Jan, G, Moreira, A &amp; Morin, S 2015. Use of diatom motility features as endpoints of metolachlor toxicity. </w:t>
      </w:r>
      <w:r w:rsidRPr="0098135D">
        <w:rPr>
          <w:rStyle w:val="Emphasis"/>
        </w:rPr>
        <w:t>Aquatic Toxicology</w:t>
      </w:r>
      <w:r>
        <w:t>, 158, 202–210.</w:t>
      </w:r>
    </w:p>
    <w:p w14:paraId="6F31E093" w14:textId="77777777" w:rsidR="002E2651" w:rsidRDefault="002E2651" w:rsidP="00C66A1A">
      <w:r>
        <w:t xml:space="preserve">Fairchild, JF, </w:t>
      </w:r>
      <w:proofErr w:type="spellStart"/>
      <w:r>
        <w:t>Ruessler</w:t>
      </w:r>
      <w:proofErr w:type="spellEnd"/>
      <w:r>
        <w:t xml:space="preserve">, DS &amp; Carlson, AR 1998. Comparative sensitivity of five species of macrophytes and six species of algae to atrazine, metribuzin, alachlor, and metolachlor. </w:t>
      </w:r>
      <w:r w:rsidRPr="0098135D">
        <w:rPr>
          <w:rStyle w:val="Emphasis"/>
        </w:rPr>
        <w:t>Environmental Toxicology and Chemistry</w:t>
      </w:r>
      <w:r>
        <w:t>, 17, 1830–1834.</w:t>
      </w:r>
    </w:p>
    <w:p w14:paraId="67815372" w14:textId="77777777" w:rsidR="002E2651" w:rsidRDefault="002E2651" w:rsidP="00241F6F">
      <w:proofErr w:type="spellStart"/>
      <w:r>
        <w:lastRenderedPageBreak/>
        <w:t>Gilliom</w:t>
      </w:r>
      <w:proofErr w:type="spellEnd"/>
      <w:r>
        <w:t xml:space="preserve">, RJ, </w:t>
      </w:r>
      <w:proofErr w:type="spellStart"/>
      <w:r>
        <w:t>Barbash</w:t>
      </w:r>
      <w:proofErr w:type="spellEnd"/>
      <w:r>
        <w:t xml:space="preserve">, JE, Crawford, CG, Hamilton, PA, Martin, JD, </w:t>
      </w:r>
      <w:proofErr w:type="spellStart"/>
      <w:r>
        <w:t>Nakagaki</w:t>
      </w:r>
      <w:proofErr w:type="spellEnd"/>
      <w:r>
        <w:t xml:space="preserve">, N, Nowell, LH, Scott, JC, Stackelberg, PE, </w:t>
      </w:r>
      <w:proofErr w:type="spellStart"/>
      <w:r>
        <w:t>Thelin</w:t>
      </w:r>
      <w:proofErr w:type="spellEnd"/>
      <w:r>
        <w:t xml:space="preserve">, GP &amp; </w:t>
      </w:r>
      <w:proofErr w:type="spellStart"/>
      <w:r>
        <w:t>Wolock</w:t>
      </w:r>
      <w:proofErr w:type="spellEnd"/>
      <w:r>
        <w:t>, DM 2006. The quality of our nation’s waters-Pesticides in the nation’s streams and ground water, 1992–2001. U.S. Geological Survey Circular 1291, USA, 172.</w:t>
      </w:r>
    </w:p>
    <w:p w14:paraId="676B39C4" w14:textId="77777777" w:rsidR="002E2651" w:rsidRDefault="002E2651" w:rsidP="00241F6F">
      <w:proofErr w:type="spellStart"/>
      <w:r>
        <w:t>Götz</w:t>
      </w:r>
      <w:proofErr w:type="spellEnd"/>
      <w:r>
        <w:t xml:space="preserve">, T &amp; </w:t>
      </w:r>
      <w:proofErr w:type="spellStart"/>
      <w:r>
        <w:t>Böger</w:t>
      </w:r>
      <w:proofErr w:type="spellEnd"/>
      <w:r>
        <w:t xml:space="preserve">, P 2004. The very-long-chain fatty acid synthase is inhibited by </w:t>
      </w:r>
      <w:proofErr w:type="spellStart"/>
      <w:r>
        <w:t>chloroacetamides</w:t>
      </w:r>
      <w:proofErr w:type="spellEnd"/>
      <w:r>
        <w:t xml:space="preserve">. </w:t>
      </w:r>
      <w:r w:rsidRPr="0098135D">
        <w:rPr>
          <w:rStyle w:val="Emphasis"/>
        </w:rPr>
        <w:t>Z </w:t>
      </w:r>
      <w:proofErr w:type="spellStart"/>
      <w:r w:rsidRPr="0098135D">
        <w:rPr>
          <w:rStyle w:val="Emphasis"/>
        </w:rPr>
        <w:t>Naturforsch</w:t>
      </w:r>
      <w:proofErr w:type="spellEnd"/>
      <w:r w:rsidRPr="0098135D">
        <w:rPr>
          <w:rStyle w:val="Emphasis"/>
        </w:rPr>
        <w:t xml:space="preserve"> (C)</w:t>
      </w:r>
      <w:r>
        <w:t>, 59, 549–553.</w:t>
      </w:r>
    </w:p>
    <w:p w14:paraId="17940FFD" w14:textId="77777777" w:rsidR="002E2651" w:rsidRDefault="002E2651" w:rsidP="00241F6F">
      <w:proofErr w:type="spellStart"/>
      <w:r>
        <w:t>Growcom</w:t>
      </w:r>
      <w:proofErr w:type="spellEnd"/>
      <w:r>
        <w:t xml:space="preserve"> Australia Pty Ltd 2019. </w:t>
      </w:r>
      <w:hyperlink r:id="rId38" w:history="1">
        <w:proofErr w:type="spellStart"/>
        <w:r w:rsidRPr="0098135D">
          <w:rPr>
            <w:rStyle w:val="Hyperlink"/>
          </w:rPr>
          <w:t>Infopest</w:t>
        </w:r>
        <w:proofErr w:type="spellEnd"/>
      </w:hyperlink>
      <w:r>
        <w:t>. Accessed 26 March 2019.</w:t>
      </w:r>
    </w:p>
    <w:p w14:paraId="26361316" w14:textId="77777777" w:rsidR="002E2651" w:rsidRDefault="002E2651" w:rsidP="00241F6F">
      <w:proofErr w:type="spellStart"/>
      <w:r>
        <w:t>Guiry</w:t>
      </w:r>
      <w:proofErr w:type="spellEnd"/>
      <w:r>
        <w:t xml:space="preserve">, MD &amp; </w:t>
      </w:r>
      <w:proofErr w:type="spellStart"/>
      <w:r>
        <w:t>Guiry</w:t>
      </w:r>
      <w:proofErr w:type="spellEnd"/>
      <w:r>
        <w:t xml:space="preserve">, GM 2017. </w:t>
      </w:r>
      <w:hyperlink r:id="rId39" w:history="1">
        <w:proofErr w:type="spellStart"/>
        <w:r w:rsidRPr="0098135D">
          <w:rPr>
            <w:rStyle w:val="Hyperlink"/>
          </w:rPr>
          <w:t>AlgaeBase</w:t>
        </w:r>
        <w:proofErr w:type="spellEnd"/>
      </w:hyperlink>
      <w:r>
        <w:t xml:space="preserve">. World-wide electronic publication, National University of Ireland, Galway. Accessed May 2017. </w:t>
      </w:r>
    </w:p>
    <w:p w14:paraId="0386F2FC" w14:textId="77777777" w:rsidR="002E2651" w:rsidRDefault="002E2651" w:rsidP="00241F6F">
      <w:r>
        <w:t xml:space="preserve">ITIS 2017. </w:t>
      </w:r>
      <w:hyperlink r:id="rId40" w:history="1">
        <w:r w:rsidRPr="0098135D">
          <w:rPr>
            <w:rStyle w:val="Hyperlink"/>
          </w:rPr>
          <w:t>Integrated Taxonomic Information System</w:t>
        </w:r>
      </w:hyperlink>
      <w:r>
        <w:t xml:space="preserve">. Accessed May 2017. </w:t>
      </w:r>
    </w:p>
    <w:p w14:paraId="6B2465AA" w14:textId="77777777" w:rsidR="002E2651" w:rsidRDefault="002E2651" w:rsidP="00241F6F">
      <w:proofErr w:type="spellStart"/>
      <w:r>
        <w:t>Konstantinou</w:t>
      </w:r>
      <w:proofErr w:type="spellEnd"/>
      <w:r>
        <w:t xml:space="preserve">, IK, Hela, DG &amp; </w:t>
      </w:r>
      <w:proofErr w:type="spellStart"/>
      <w:r>
        <w:t>Albanis</w:t>
      </w:r>
      <w:proofErr w:type="spellEnd"/>
      <w:r>
        <w:t xml:space="preserve">, TA 2006. The status of pesticide pollution in surface waters (rivers and lakes) of Greece. Part I. Review on occurrence and levels. </w:t>
      </w:r>
      <w:r w:rsidRPr="0098135D">
        <w:rPr>
          <w:rStyle w:val="Emphasis"/>
        </w:rPr>
        <w:t>Environmental Pollution</w:t>
      </w:r>
      <w:r>
        <w:t>, 141, 555–570.</w:t>
      </w:r>
    </w:p>
    <w:p w14:paraId="6E5D2CD5" w14:textId="77777777" w:rsidR="002E2651" w:rsidRDefault="002E2651" w:rsidP="00C66A1A">
      <w:proofErr w:type="spellStart"/>
      <w:r>
        <w:t>Larras</w:t>
      </w:r>
      <w:proofErr w:type="spellEnd"/>
      <w:r>
        <w:t xml:space="preserve">, F, </w:t>
      </w:r>
      <w:proofErr w:type="spellStart"/>
      <w:r>
        <w:t>Bouchez</w:t>
      </w:r>
      <w:proofErr w:type="spellEnd"/>
      <w:r>
        <w:t xml:space="preserve">, A, Rimet, F &amp; </w:t>
      </w:r>
      <w:proofErr w:type="spellStart"/>
      <w:r>
        <w:t>Montuelle</w:t>
      </w:r>
      <w:proofErr w:type="spellEnd"/>
      <w:r>
        <w:t xml:space="preserve">, B 2012. Using bioassays and species sensitivity distributions to assess herbicide toxicity towards benthic diatoms, </w:t>
      </w:r>
      <w:proofErr w:type="spellStart"/>
      <w:r w:rsidRPr="00715E0C">
        <w:rPr>
          <w:rStyle w:val="Emphasis"/>
        </w:rPr>
        <w:t>PLoS</w:t>
      </w:r>
      <w:proofErr w:type="spellEnd"/>
      <w:r w:rsidRPr="00715E0C">
        <w:rPr>
          <w:rStyle w:val="Emphasis"/>
        </w:rPr>
        <w:t xml:space="preserve"> One</w:t>
      </w:r>
      <w:r>
        <w:t>, 7(8), 1–9.</w:t>
      </w:r>
    </w:p>
    <w:p w14:paraId="078DCDCF" w14:textId="77777777" w:rsidR="002E2651" w:rsidRDefault="002E2651" w:rsidP="00C66A1A">
      <w:proofErr w:type="spellStart"/>
      <w:r>
        <w:t>Larras</w:t>
      </w:r>
      <w:proofErr w:type="spellEnd"/>
      <w:r>
        <w:t xml:space="preserve">, F, </w:t>
      </w:r>
      <w:proofErr w:type="spellStart"/>
      <w:r>
        <w:t>Montuelle</w:t>
      </w:r>
      <w:proofErr w:type="spellEnd"/>
      <w:r>
        <w:t xml:space="preserve">, B &amp; </w:t>
      </w:r>
      <w:proofErr w:type="spellStart"/>
      <w:r>
        <w:t>Bouchez</w:t>
      </w:r>
      <w:proofErr w:type="spellEnd"/>
      <w:r>
        <w:t xml:space="preserve">, A 2013. Assessment of toxicity thresholds in aquatic environments: Does benthic growth of diatoms affect their exposure and sensitivity to herbicides? </w:t>
      </w:r>
      <w:r w:rsidRPr="00715E0C">
        <w:rPr>
          <w:rStyle w:val="Emphasis"/>
        </w:rPr>
        <w:t>Science of the Total Environment</w:t>
      </w:r>
      <w:r>
        <w:t>, 463–464, 469–477.</w:t>
      </w:r>
    </w:p>
    <w:p w14:paraId="661D3D5D" w14:textId="77777777" w:rsidR="002E2651" w:rsidRDefault="002E2651" w:rsidP="00241F6F">
      <w:r>
        <w:t xml:space="preserve">Liu, H &amp; </w:t>
      </w:r>
      <w:proofErr w:type="spellStart"/>
      <w:r>
        <w:t>Xiong</w:t>
      </w:r>
      <w:proofErr w:type="spellEnd"/>
      <w:r>
        <w:t xml:space="preserve">, M 2009. Comparative toxicity of racemic metolachlor and S-metolachlor to </w:t>
      </w:r>
      <w:r w:rsidRPr="00715E0C">
        <w:rPr>
          <w:rStyle w:val="Emphasis"/>
        </w:rPr>
        <w:t xml:space="preserve">Chlorella </w:t>
      </w:r>
      <w:proofErr w:type="spellStart"/>
      <w:r w:rsidRPr="00715E0C">
        <w:rPr>
          <w:rStyle w:val="Emphasis"/>
        </w:rPr>
        <w:t>pyrenoidosa</w:t>
      </w:r>
      <w:proofErr w:type="spellEnd"/>
      <w:r>
        <w:t xml:space="preserve">. </w:t>
      </w:r>
      <w:r w:rsidRPr="00715E0C">
        <w:rPr>
          <w:rStyle w:val="Emphasis"/>
        </w:rPr>
        <w:t>Aquatic Toxicology</w:t>
      </w:r>
      <w:r>
        <w:t>, 93(2), 100–106.</w:t>
      </w:r>
    </w:p>
    <w:p w14:paraId="0AC7F759" w14:textId="77777777" w:rsidR="002E2651" w:rsidRDefault="002E2651" w:rsidP="00241F6F">
      <w:r>
        <w:t xml:space="preserve">Liu, H, Ye, W, Zhan, X &amp; Liu, W 2006. A comparative study of </w:t>
      </w:r>
      <w:proofErr w:type="spellStart"/>
      <w:r>
        <w:t>rac</w:t>
      </w:r>
      <w:proofErr w:type="spellEnd"/>
      <w:r>
        <w:t xml:space="preserve">- and s-metolachlor toxicity to </w:t>
      </w:r>
      <w:r w:rsidRPr="00715E0C">
        <w:rPr>
          <w:rStyle w:val="Emphasis"/>
        </w:rPr>
        <w:t>Daphnia magna</w:t>
      </w:r>
      <w:r>
        <w:t xml:space="preserve">. </w:t>
      </w:r>
      <w:r w:rsidRPr="00715E0C">
        <w:rPr>
          <w:rStyle w:val="Emphasis"/>
        </w:rPr>
        <w:t>Ecotoxicology and Environmental Safety</w:t>
      </w:r>
      <w:r>
        <w:t>, 63(3), 451–455.</w:t>
      </w:r>
    </w:p>
    <w:p w14:paraId="3468CDA6" w14:textId="77777777" w:rsidR="002E2651" w:rsidRDefault="002E2651" w:rsidP="00241F6F">
      <w:r>
        <w:t xml:space="preserve">New Zealand Food Safety 2019. </w:t>
      </w:r>
      <w:hyperlink r:id="rId41" w:history="1">
        <w:r w:rsidRPr="00715E0C">
          <w:rPr>
            <w:rStyle w:val="Hyperlink"/>
          </w:rPr>
          <w:t>Agricultural compounds and veterinary medicines (ACVM) register</w:t>
        </w:r>
      </w:hyperlink>
      <w:r>
        <w:t xml:space="preserve">. Ministry for Primary Industries. Accessed 26 March 2019. </w:t>
      </w:r>
    </w:p>
    <w:p w14:paraId="33A63B9D" w14:textId="77777777" w:rsidR="002E2651" w:rsidRDefault="002E2651" w:rsidP="00C66A1A">
      <w:r>
        <w:t xml:space="preserve">Perez, J, </w:t>
      </w:r>
      <w:proofErr w:type="spellStart"/>
      <w:r>
        <w:t>Domingues</w:t>
      </w:r>
      <w:proofErr w:type="spellEnd"/>
      <w:r>
        <w:t xml:space="preserve">, I, Soares, AMVM &amp; Loureiro, S 2011. Growth rate of </w:t>
      </w:r>
      <w:proofErr w:type="spellStart"/>
      <w:r w:rsidRPr="00715E0C">
        <w:rPr>
          <w:rStyle w:val="Emphasis"/>
        </w:rPr>
        <w:t>Pseudokirchneriella</w:t>
      </w:r>
      <w:proofErr w:type="spellEnd"/>
      <w:r w:rsidRPr="00715E0C">
        <w:rPr>
          <w:rStyle w:val="Emphasis"/>
        </w:rPr>
        <w:t xml:space="preserve"> </w:t>
      </w:r>
      <w:proofErr w:type="spellStart"/>
      <w:r w:rsidRPr="00715E0C">
        <w:rPr>
          <w:rStyle w:val="Emphasis"/>
        </w:rPr>
        <w:t>subcapitata</w:t>
      </w:r>
      <w:proofErr w:type="spellEnd"/>
      <w:r>
        <w:t xml:space="preserve"> exposed to herbicides found in surface waters in the </w:t>
      </w:r>
      <w:proofErr w:type="spellStart"/>
      <w:r>
        <w:t>Alqueva</w:t>
      </w:r>
      <w:proofErr w:type="spellEnd"/>
      <w:r>
        <w:t xml:space="preserve"> Reservoir (Portugal): A Bottom-up approach using binary mixtures. </w:t>
      </w:r>
      <w:r w:rsidRPr="00715E0C">
        <w:rPr>
          <w:rStyle w:val="Emphasis"/>
        </w:rPr>
        <w:t>Ecotoxicology</w:t>
      </w:r>
      <w:r>
        <w:t>, 20(6), 1167–1175.</w:t>
      </w:r>
    </w:p>
    <w:p w14:paraId="0B49B581" w14:textId="77777777" w:rsidR="002E2651" w:rsidRDefault="002E2651" w:rsidP="00241F6F">
      <w:proofErr w:type="spellStart"/>
      <w:r>
        <w:t>Roskov</w:t>
      </w:r>
      <w:proofErr w:type="spellEnd"/>
      <w:r>
        <w:t xml:space="preserve">, Y, </w:t>
      </w:r>
      <w:proofErr w:type="spellStart"/>
      <w:r>
        <w:t>Abucay</w:t>
      </w:r>
      <w:proofErr w:type="spellEnd"/>
      <w:r>
        <w:t xml:space="preserve">, L, </w:t>
      </w:r>
      <w:proofErr w:type="spellStart"/>
      <w:r>
        <w:t>Orrell</w:t>
      </w:r>
      <w:proofErr w:type="spellEnd"/>
      <w:r>
        <w:t xml:space="preserve">, T, Nicolson, D, Bailly, N, Kirk, PM, Bourgoin, T, DeWalt, RE, </w:t>
      </w:r>
      <w:proofErr w:type="spellStart"/>
      <w:r>
        <w:t>Decock</w:t>
      </w:r>
      <w:proofErr w:type="spellEnd"/>
      <w:r>
        <w:t xml:space="preserve">, W, De </w:t>
      </w:r>
      <w:proofErr w:type="spellStart"/>
      <w:r>
        <w:t>Wever</w:t>
      </w:r>
      <w:proofErr w:type="spellEnd"/>
      <w:r>
        <w:t xml:space="preserve">, A, </w:t>
      </w:r>
      <w:proofErr w:type="spellStart"/>
      <w:r>
        <w:t>Nieukerken</w:t>
      </w:r>
      <w:proofErr w:type="spellEnd"/>
      <w:r>
        <w:t xml:space="preserve">, E, </w:t>
      </w:r>
      <w:proofErr w:type="spellStart"/>
      <w:r>
        <w:t>Zarucchi</w:t>
      </w:r>
      <w:proofErr w:type="spellEnd"/>
      <w:r>
        <w:t xml:space="preserve">, J, </w:t>
      </w:r>
      <w:proofErr w:type="spellStart"/>
      <w:r>
        <w:t>Penev</w:t>
      </w:r>
      <w:proofErr w:type="spellEnd"/>
      <w:r>
        <w:t xml:space="preserve">, L (eds.) 2017. </w:t>
      </w:r>
      <w:hyperlink r:id="rId42" w:history="1">
        <w:r w:rsidRPr="008B25EF">
          <w:rPr>
            <w:rStyle w:val="Hyperlink"/>
          </w:rPr>
          <w:t>Species 2000 &amp; ITIS Catalogue of Life, 30th April 2017</w:t>
        </w:r>
      </w:hyperlink>
      <w:r>
        <w:t>. Species 2000: Naturalis, Leiden, the Netherlands. ISSN 2405-8858. Accessed May 2017.</w:t>
      </w:r>
    </w:p>
    <w:p w14:paraId="25C4C392" w14:textId="77777777" w:rsidR="002E2651" w:rsidRDefault="002E2651" w:rsidP="00C66A1A">
      <w:proofErr w:type="spellStart"/>
      <w:r>
        <w:t>Sbrilli</w:t>
      </w:r>
      <w:proofErr w:type="spellEnd"/>
      <w:r>
        <w:t xml:space="preserve">, G, Bimbi, B, </w:t>
      </w:r>
      <w:proofErr w:type="spellStart"/>
      <w:r>
        <w:t>Cioni</w:t>
      </w:r>
      <w:proofErr w:type="spellEnd"/>
      <w:r>
        <w:t xml:space="preserve">, F, </w:t>
      </w:r>
      <w:proofErr w:type="spellStart"/>
      <w:r>
        <w:t>Pagliai</w:t>
      </w:r>
      <w:proofErr w:type="spellEnd"/>
      <w:r>
        <w:t xml:space="preserve">, L, </w:t>
      </w:r>
      <w:proofErr w:type="spellStart"/>
      <w:r>
        <w:t>Luchi</w:t>
      </w:r>
      <w:proofErr w:type="spellEnd"/>
      <w:r>
        <w:t xml:space="preserve">, F &amp; </w:t>
      </w:r>
      <w:proofErr w:type="spellStart"/>
      <w:r>
        <w:t>Lanciotti</w:t>
      </w:r>
      <w:proofErr w:type="spellEnd"/>
      <w:r>
        <w:t xml:space="preserve">, E 2005. Surface and ground waters characterization in Tuscany (Italy) by using algal bioassay and pesticide determinations: Comparative evaluation of the results and hazard assessment of the pesticides impact on primary product. </w:t>
      </w:r>
      <w:r w:rsidRPr="008B25EF">
        <w:rPr>
          <w:rStyle w:val="Emphasis"/>
        </w:rPr>
        <w:t>Chemosphere</w:t>
      </w:r>
      <w:r>
        <w:t>, 58(5), 571–578.</w:t>
      </w:r>
    </w:p>
    <w:p w14:paraId="088F8A3D" w14:textId="77777777" w:rsidR="002E2651" w:rsidRDefault="002E2651" w:rsidP="002E2651">
      <w:pPr>
        <w:keepNext/>
        <w:keepLines/>
      </w:pPr>
      <w:proofErr w:type="spellStart"/>
      <w:r>
        <w:lastRenderedPageBreak/>
        <w:t>Sunderam</w:t>
      </w:r>
      <w:proofErr w:type="spellEnd"/>
      <w:r>
        <w:t xml:space="preserve">, RIM, Warne, </w:t>
      </w:r>
      <w:proofErr w:type="spellStart"/>
      <w:r>
        <w:t>MStJ</w:t>
      </w:r>
      <w:proofErr w:type="spellEnd"/>
      <w:r>
        <w:t xml:space="preserve">, Chapman, JC, Pablo, F, Hawkins, J, Rose, RM &amp; Patra, RW 2000. The ANZECC and ARMCANZ water quality guideline database for toxicants. Supplied as part of a </w:t>
      </w:r>
      <w:proofErr w:type="spellStart"/>
      <w:r>
        <w:t>CD-rom</w:t>
      </w:r>
      <w:proofErr w:type="spellEnd"/>
      <w:r>
        <w:t xml:space="preserve"> in the ANZECC/ARMCANZ (2000) Australian and New Zealand Guidelines for Fresh and Marine Water Quality.</w:t>
      </w:r>
    </w:p>
    <w:p w14:paraId="05B7039B" w14:textId="77777777" w:rsidR="002E2651" w:rsidRDefault="002E2651" w:rsidP="00241F6F">
      <w:r>
        <w:t xml:space="preserve">University of Hertfordshire 2013. </w:t>
      </w:r>
      <w:hyperlink r:id="rId43" w:history="1">
        <w:r w:rsidRPr="00C3140E">
          <w:rPr>
            <w:rStyle w:val="Hyperlink"/>
          </w:rPr>
          <w:t>The Pesticide Properties Data Base (PPDB)</w:t>
        </w:r>
      </w:hyperlink>
      <w:r>
        <w:t>. Developed by the Agriculture &amp; Environment Research Unit (AERU), University of Hertfordshire, 2006–2013. Accessed May 2015.</w:t>
      </w:r>
    </w:p>
    <w:p w14:paraId="591202AF" w14:textId="77777777" w:rsidR="002E2651" w:rsidRDefault="002E2651" w:rsidP="00241F6F">
      <w:r>
        <w:t xml:space="preserve">USEPA 2015a. </w:t>
      </w:r>
      <w:hyperlink r:id="rId44" w:history="1">
        <w:r w:rsidRPr="00C3140E">
          <w:rPr>
            <w:rStyle w:val="Hyperlink"/>
          </w:rPr>
          <w:t xml:space="preserve">ECOTOX User Guide: </w:t>
        </w:r>
        <w:proofErr w:type="spellStart"/>
        <w:r w:rsidRPr="00C3140E">
          <w:rPr>
            <w:rStyle w:val="Hyperlink"/>
          </w:rPr>
          <w:t>ECOTOXicology</w:t>
        </w:r>
        <w:proofErr w:type="spellEnd"/>
        <w:r w:rsidRPr="00C3140E">
          <w:rPr>
            <w:rStyle w:val="Hyperlink"/>
          </w:rPr>
          <w:t xml:space="preserve"> Database System</w:t>
        </w:r>
      </w:hyperlink>
      <w:r>
        <w:t xml:space="preserve">. Version 4.0. United States Environmental Protection Agency. Accessed: May–September 2015. </w:t>
      </w:r>
    </w:p>
    <w:p w14:paraId="22FDE851" w14:textId="77777777" w:rsidR="002E2651" w:rsidRDefault="002E2651" w:rsidP="00241F6F">
      <w:r>
        <w:t xml:space="preserve">USEPA 2015b. </w:t>
      </w:r>
      <w:hyperlink r:id="rId45" w:history="1">
        <w:r w:rsidRPr="00537432">
          <w:rPr>
            <w:rStyle w:val="Hyperlink"/>
          </w:rPr>
          <w:t>Office of Pesticide Programs Database</w:t>
        </w:r>
      </w:hyperlink>
      <w:r>
        <w:t>. United States Environmental Protection Agency, Office of Prevention, Pesticides, and Toxic Substances. Office of Pesticide Programs. Washington, D.C. January 23, 2004. Accessed May–September 2015.</w:t>
      </w:r>
    </w:p>
    <w:p w14:paraId="01C61EC1" w14:textId="77777777" w:rsidR="002E2651" w:rsidRDefault="002E2651" w:rsidP="00241F6F">
      <w:proofErr w:type="spellStart"/>
      <w:r>
        <w:t>Vallotton</w:t>
      </w:r>
      <w:proofErr w:type="spellEnd"/>
      <w:r>
        <w:t xml:space="preserve">, N, Moser, D, Eggen, RIL, </w:t>
      </w:r>
      <w:proofErr w:type="spellStart"/>
      <w:r>
        <w:t>Junghans</w:t>
      </w:r>
      <w:proofErr w:type="spellEnd"/>
      <w:r>
        <w:t xml:space="preserve">, M &amp; Chèvre, N 2008. S-metolachlor pulse exposure on the alga </w:t>
      </w:r>
      <w:r w:rsidRPr="00513F89">
        <w:rPr>
          <w:rStyle w:val="Emphasis"/>
        </w:rPr>
        <w:t xml:space="preserve">Scenedesmus </w:t>
      </w:r>
      <w:proofErr w:type="spellStart"/>
      <w:r w:rsidRPr="00513F89">
        <w:rPr>
          <w:rStyle w:val="Emphasis"/>
        </w:rPr>
        <w:t>vacuolatus</w:t>
      </w:r>
      <w:proofErr w:type="spellEnd"/>
      <w:r>
        <w:t xml:space="preserve">: Effects during exposure and the subsequent recovery. </w:t>
      </w:r>
      <w:r w:rsidRPr="00513F89">
        <w:rPr>
          <w:rStyle w:val="Emphasis"/>
        </w:rPr>
        <w:t>Chemosphere</w:t>
      </w:r>
      <w:r>
        <w:t>, 73(3), 395–400.</w:t>
      </w:r>
    </w:p>
    <w:p w14:paraId="289695DA" w14:textId="77777777" w:rsidR="002E2651" w:rsidRDefault="002E2651" w:rsidP="00241F6F">
      <w:r>
        <w:t xml:space="preserve">Warne </w:t>
      </w:r>
      <w:proofErr w:type="spellStart"/>
      <w:r>
        <w:t>MStJ</w:t>
      </w:r>
      <w:proofErr w:type="spellEnd"/>
      <w:r>
        <w:t xml:space="preserve">, Batley GE, van Dam RA, Chapman JC, Fox DR, Hickey CW and </w:t>
      </w:r>
      <w:proofErr w:type="spellStart"/>
      <w:r>
        <w:t>Stauber</w:t>
      </w:r>
      <w:proofErr w:type="spellEnd"/>
      <w:r>
        <w:t xml:space="preserve"> JL 2015. Revised Method for Deriving Australian and New Zealand Water Quality Guideline Values for Toxicants – update of the 2014 version. Prepared for the revision of the Australian and New Zealand Guidelines for Fresh and Marine Water Quality, Department of Science, Information Technology and Innovation, Brisbane, Queensland, 41 pp.</w:t>
      </w:r>
    </w:p>
    <w:p w14:paraId="33FF8778" w14:textId="77777777" w:rsidR="002E2651" w:rsidRDefault="002E2651" w:rsidP="00241F6F">
      <w:r>
        <w:t xml:space="preserve">Warne </w:t>
      </w:r>
      <w:proofErr w:type="spellStart"/>
      <w:r>
        <w:t>MStJ</w:t>
      </w:r>
      <w:proofErr w:type="spellEnd"/>
      <w:r>
        <w:t xml:space="preserve">, Batley GE, van Dam RA, Chapman JC, Fox DR, Hickey CW &amp; </w:t>
      </w:r>
      <w:proofErr w:type="spellStart"/>
      <w:r>
        <w:t>Stauber</w:t>
      </w:r>
      <w:proofErr w:type="spellEnd"/>
      <w:r>
        <w:t xml:space="preserve"> JL 2018. Revised Method for Deriving Australian and New Zealand Water Quality Guideline Values for Toxicants – update of 2015 version. Prepared for the revision of the Australian and New Zealand Guidelines for Fresh and Marine Water Quality. Australian and New Zealand Governments and Australian state and territory governments, Canberra, 48 pp.</w:t>
      </w:r>
    </w:p>
    <w:p w14:paraId="6CFCC4B5" w14:textId="77777777" w:rsidR="002E2651" w:rsidRDefault="002E2651" w:rsidP="00241F6F">
      <w:r>
        <w:t xml:space="preserve">Warne, </w:t>
      </w:r>
      <w:proofErr w:type="spellStart"/>
      <w:r>
        <w:t>MStJ</w:t>
      </w:r>
      <w:proofErr w:type="spellEnd"/>
      <w:r>
        <w:t xml:space="preserve"> 2001. Description of how each toxicant trigger value was derived. CD-ROM in the ANZECC/ARMCANZ (2000) Australian and New Zealand Guidelines for Fresh and Marine Water Quality, Canberra, Australia.</w:t>
      </w:r>
    </w:p>
    <w:p w14:paraId="381343D9" w14:textId="77777777" w:rsidR="002E2651" w:rsidRDefault="002E2651" w:rsidP="00241F6F">
      <w:r>
        <w:t xml:space="preserve">Warne, </w:t>
      </w:r>
      <w:proofErr w:type="spellStart"/>
      <w:r>
        <w:t>MStJ</w:t>
      </w:r>
      <w:proofErr w:type="spellEnd"/>
      <w:r>
        <w:t xml:space="preserve">, Westbury, A-M &amp; </w:t>
      </w:r>
      <w:proofErr w:type="spellStart"/>
      <w:r>
        <w:t>Sunderam</w:t>
      </w:r>
      <w:proofErr w:type="spellEnd"/>
      <w:r>
        <w:t xml:space="preserve">, R 1998. A compilation of toxicity data for chemicals to Australasian aquatic species. Part 1: Pesticides. </w:t>
      </w:r>
      <w:r w:rsidRPr="003A498F">
        <w:rPr>
          <w:rStyle w:val="Emphasis"/>
        </w:rPr>
        <w:t>Australasian Journal of Ecotoxicology</w:t>
      </w:r>
      <w:r>
        <w:t xml:space="preserve">, 4, 93–144. </w:t>
      </w:r>
    </w:p>
    <w:p w14:paraId="561EAB7B" w14:textId="77777777" w:rsidR="002E2651" w:rsidRDefault="002E2651" w:rsidP="00241F6F">
      <w:pPr>
        <w:rPr>
          <w:highlight w:val="yellow"/>
        </w:rPr>
      </w:pPr>
      <w:proofErr w:type="spellStart"/>
      <w:r>
        <w:t>WoRMS</w:t>
      </w:r>
      <w:proofErr w:type="spellEnd"/>
      <w:r>
        <w:t xml:space="preserve"> Editorial Board 2017. </w:t>
      </w:r>
      <w:hyperlink r:id="rId46" w:history="1">
        <w:r w:rsidRPr="003A498F">
          <w:rPr>
            <w:rStyle w:val="Hyperlink"/>
          </w:rPr>
          <w:t>World Register of Marine Species</w:t>
        </w:r>
      </w:hyperlink>
      <w:r>
        <w:t xml:space="preserve">. VLIZ. doi:10.14284/170. Accessed May 2017. </w:t>
      </w:r>
    </w:p>
    <w:p w14:paraId="00463BCC" w14:textId="77777777" w:rsidR="00C66A1A" w:rsidRDefault="00C66A1A" w:rsidP="00606A7B">
      <w:pPr>
        <w:rPr>
          <w:highlight w:val="yellow"/>
        </w:rPr>
      </w:pPr>
    </w:p>
    <w:sectPr w:rsidR="00C66A1A" w:rsidSect="00606A7B">
      <w:pgSz w:w="11906" w:h="16838"/>
      <w:pgMar w:top="1418" w:right="1418" w:bottom="1418" w:left="1418" w:header="567"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D58A8B" w14:textId="77777777" w:rsidR="00E86CF4" w:rsidRDefault="00E86CF4">
      <w:pPr>
        <w:spacing w:after="0" w:line="240" w:lineRule="auto"/>
      </w:pPr>
      <w:r>
        <w:separator/>
      </w:r>
    </w:p>
  </w:endnote>
  <w:endnote w:type="continuationSeparator" w:id="0">
    <w:p w14:paraId="468FBB16" w14:textId="77777777" w:rsidR="00E86CF4" w:rsidRDefault="00E86CF4">
      <w:pPr>
        <w:spacing w:after="0" w:line="240" w:lineRule="auto"/>
      </w:pPr>
      <w:r>
        <w:continuationSeparator/>
      </w:r>
    </w:p>
  </w:endnote>
  <w:endnote w:type="continuationNotice" w:id="1">
    <w:p w14:paraId="5D6E4CB0" w14:textId="77777777" w:rsidR="00E86CF4" w:rsidRDefault="00E86CF4">
      <w:pPr>
        <w:pStyle w:val="Footer"/>
        <w:jc w:val="lef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yriad Pro">
    <w:altName w:val="Arial"/>
    <w:panose1 w:val="00000000000000000000"/>
    <w:charset w:val="00"/>
    <w:family w:val="swiss"/>
    <w:notTrueType/>
    <w:pitch w:val="variable"/>
    <w:sig w:usb0="00000001"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rbel">
    <w:panose1 w:val="020B0503020204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A901FD" w14:textId="77777777" w:rsidR="00561AFA" w:rsidRDefault="00561AFA" w:rsidP="00554201">
    <w:pPr>
      <w:pStyle w:val="Footer"/>
      <w:tabs>
        <w:tab w:val="clear" w:pos="4536"/>
        <w:tab w:val="left" w:pos="8647"/>
        <w:tab w:val="left" w:pos="14034"/>
      </w:tabs>
      <w:spacing w:before="120"/>
    </w:pPr>
    <w:r>
      <w:t>Australian and New Zealand Guidelines for Fresh and Marine Water Quality</w:t>
    </w:r>
    <w:r>
      <w:tab/>
    </w:r>
    <w:r>
      <w:fldChar w:fldCharType="begin"/>
    </w:r>
    <w:r>
      <w:instrText xml:space="preserve"> PAGE   \* MERGEFORMAT </w:instrText>
    </w:r>
    <w:r>
      <w:fldChar w:fldCharType="separate"/>
    </w:r>
    <w:r w:rsidR="00920777">
      <w:rPr>
        <w:noProof/>
      </w:rPr>
      <w:t>iv</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BC826" w14:textId="77777777" w:rsidR="00561AFA" w:rsidRDefault="00561AFA" w:rsidP="00146F60">
    <w:pPr>
      <w:pStyle w:val="Footer"/>
      <w:tabs>
        <w:tab w:val="clear" w:pos="4536"/>
        <w:tab w:val="left" w:pos="8647"/>
        <w:tab w:val="left" w:pos="14034"/>
      </w:tabs>
      <w:spacing w:before="120"/>
    </w:pPr>
    <w:r>
      <w:t>Australian and New Zealand Guidelines for Fresh and Marine Water Quality</w:t>
    </w:r>
    <w:r>
      <w:tab/>
    </w:r>
    <w:r>
      <w:fldChar w:fldCharType="begin"/>
    </w:r>
    <w:r>
      <w:instrText xml:space="preserve"> PAGE   \* MERGEFORMAT </w:instrText>
    </w:r>
    <w:r>
      <w:fldChar w:fldCharType="separate"/>
    </w:r>
    <w:r w:rsidR="0092077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FBCC6A" w14:textId="77777777" w:rsidR="00E86CF4" w:rsidRDefault="00E86CF4">
      <w:pPr>
        <w:spacing w:after="0" w:line="240" w:lineRule="auto"/>
      </w:pPr>
      <w:r>
        <w:separator/>
      </w:r>
    </w:p>
  </w:footnote>
  <w:footnote w:type="continuationSeparator" w:id="0">
    <w:p w14:paraId="4A37FD3B" w14:textId="77777777" w:rsidR="00E86CF4" w:rsidRDefault="00E86CF4">
      <w:pPr>
        <w:spacing w:after="0" w:line="240" w:lineRule="auto"/>
      </w:pPr>
      <w:r>
        <w:continuationSeparator/>
      </w:r>
    </w:p>
  </w:footnote>
  <w:footnote w:type="continuationNotice" w:id="1">
    <w:p w14:paraId="0A842F84" w14:textId="77777777" w:rsidR="00E86CF4" w:rsidRDefault="00E86CF4">
      <w:pPr>
        <w:pStyle w:val="Foote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AC935" w14:textId="587A8C3B" w:rsidR="00561AFA" w:rsidRDefault="00561AFA">
    <w:pPr>
      <w:pStyle w:val="Header"/>
    </w:pPr>
    <w:r>
      <w:t>Toxicant default guideline values for aquatic ecosystem protection: Metolachlor in fresh</w:t>
    </w:r>
    <w:r w:rsidRPr="00D36947">
      <w:t>water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D83671" w14:textId="77777777" w:rsidR="00561AFA" w:rsidRDefault="00561AFA">
    <w:pPr>
      <w:pStyle w:val="Header"/>
    </w:pPr>
    <w:r>
      <w:rPr>
        <w:noProof/>
        <w:lang w:eastAsia="en-AU"/>
      </w:rPr>
      <w:drawing>
        <wp:anchor distT="0" distB="0" distL="114300" distR="114300" simplePos="0" relativeHeight="251658240" behindDoc="1" locked="0" layoutInCell="1" allowOverlap="1" wp14:anchorId="3B3AB162" wp14:editId="55B3CA4D">
          <wp:simplePos x="0" y="0"/>
          <wp:positionH relativeFrom="column">
            <wp:posOffset>-895406</wp:posOffset>
          </wp:positionH>
          <wp:positionV relativeFrom="paragraph">
            <wp:posOffset>-355021</wp:posOffset>
          </wp:positionV>
          <wp:extent cx="7556361" cy="10687529"/>
          <wp:effectExtent l="0" t="0" r="6985" b="0"/>
          <wp:wrapNone/>
          <wp:docPr id="10" name="Picture 10" descr="Water Quality Guidelines is a joint initiative of the Australian and New Zealand governments, in partnership with the Australian states and territo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A2834_1216_Water Quality guidelines-blank-Wed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2472" cy="10710316"/>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675B7A" w14:textId="0F0F10E6" w:rsidR="00561AFA" w:rsidRPr="001303C0" w:rsidRDefault="00561AFA" w:rsidP="001303C0">
    <w:pPr>
      <w:pStyle w:val="Header"/>
    </w:pPr>
    <w:r>
      <w:t>Toxicant default guideline values for aquatic ecosystem protection: Metolachlor in fresh</w:t>
    </w:r>
    <w:r w:rsidRPr="00D36947">
      <w:t>water</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F1163" w14:textId="61E1A332" w:rsidR="00561AFA" w:rsidRPr="001303C0" w:rsidRDefault="00561AFA" w:rsidP="001303C0">
    <w:pPr>
      <w:pStyle w:val="Header"/>
    </w:pPr>
    <w:r>
      <w:t>Toxicant default guideline values for aquatic ecosystem protection: Metolachlor in fresh</w:t>
    </w:r>
    <w:r w:rsidRPr="00D36947">
      <w:t>water</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34E45E" w14:textId="03150A22" w:rsidR="00561AFA" w:rsidRPr="000756BD" w:rsidRDefault="00561AFA" w:rsidP="000756BD">
    <w:pPr>
      <w:pStyle w:val="Header"/>
    </w:pPr>
    <w:r>
      <w:t>Toxicant default guideline values for aquatic ecosystem protection: Metolachlor in fresh</w:t>
    </w:r>
    <w:r w:rsidRPr="00D36947">
      <w:t>water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E56884"/>
    <w:multiLevelType w:val="hybridMultilevel"/>
    <w:tmpl w:val="C400C60E"/>
    <w:lvl w:ilvl="0" w:tplc="CB0E8898">
      <w:start w:val="1"/>
      <w:numFmt w:val="bullet"/>
      <w:pStyle w:val="NRATablebullet"/>
      <w:lvlText w:val=""/>
      <w:lvlJc w:val="left"/>
      <w:pPr>
        <w:tabs>
          <w:tab w:val="num" w:pos="170"/>
        </w:tabs>
        <w:ind w:left="170" w:hanging="170"/>
      </w:pPr>
      <w:rPr>
        <w:rFonts w:ascii="Symbol" w:hAnsi="Symbol" w:hint="default"/>
        <w:b w:val="0"/>
        <w:i w:val="0"/>
        <w:caps w:val="0"/>
        <w:strike w:val="0"/>
        <w:dstrike w:val="0"/>
        <w:vanish w:val="0"/>
        <w:color w:val="000000"/>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A831E8"/>
    <w:multiLevelType w:val="multilevel"/>
    <w:tmpl w:val="88964F4C"/>
    <w:styleLink w:val="heading"/>
    <w:lvl w:ilvl="0">
      <w:start w:val="1"/>
      <w:numFmt w:val="decimal"/>
      <w:lvlText w:val="%1"/>
      <w:lvlJc w:val="left"/>
      <w:pPr>
        <w:tabs>
          <w:tab w:val="num" w:pos="794"/>
        </w:tabs>
        <w:ind w:left="794" w:hanging="794"/>
      </w:pPr>
      <w:rPr>
        <w:rFonts w:hint="default"/>
      </w:rPr>
    </w:lvl>
    <w:lvl w:ilvl="1">
      <w:start w:val="1"/>
      <w:numFmt w:val="decimal"/>
      <w:lvlText w:val="%1.%2"/>
      <w:lvlJc w:val="left"/>
      <w:pPr>
        <w:tabs>
          <w:tab w:val="num" w:pos="794"/>
        </w:tabs>
        <w:ind w:left="794" w:hanging="794"/>
      </w:pPr>
      <w:rPr>
        <w:rFonts w:hint="default"/>
      </w:rPr>
    </w:lvl>
    <w:lvl w:ilvl="2">
      <w:start w:val="1"/>
      <w:numFmt w:val="decimal"/>
      <w:lvlText w:val="%1.%2.%3"/>
      <w:lvlJc w:val="left"/>
      <w:pPr>
        <w:tabs>
          <w:tab w:val="num" w:pos="794"/>
        </w:tabs>
        <w:ind w:left="794" w:hanging="794"/>
      </w:pPr>
      <w:rPr>
        <w:rFonts w:hint="default"/>
      </w:rPr>
    </w:lvl>
    <w:lvl w:ilvl="3">
      <w:start w:val="1"/>
      <w:numFmt w:val="decimal"/>
      <w:lvlText w:val="(%4)"/>
      <w:lvlJc w:val="left"/>
      <w:pPr>
        <w:tabs>
          <w:tab w:val="num" w:pos="567"/>
        </w:tabs>
        <w:ind w:left="567" w:hanging="567"/>
      </w:pPr>
      <w:rPr>
        <w:rFonts w:hint="default"/>
      </w:rPr>
    </w:lvl>
    <w:lvl w:ilvl="4">
      <w:start w:val="1"/>
      <w:numFmt w:val="lowerLetter"/>
      <w:lvlText w:val="(%5)"/>
      <w:lvlJc w:val="left"/>
      <w:pPr>
        <w:tabs>
          <w:tab w:val="num" w:pos="567"/>
        </w:tabs>
        <w:ind w:left="567" w:hanging="567"/>
      </w:pPr>
      <w:rPr>
        <w:rFonts w:hint="default"/>
      </w:rPr>
    </w:lvl>
    <w:lvl w:ilvl="5">
      <w:start w:val="1"/>
      <w:numFmt w:val="lowerRoman"/>
      <w:lvlText w:val="(%6)"/>
      <w:lvlJc w:val="lef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left"/>
      <w:pPr>
        <w:tabs>
          <w:tab w:val="num" w:pos="567"/>
        </w:tabs>
        <w:ind w:left="567" w:hanging="567"/>
      </w:pPr>
      <w:rPr>
        <w:rFonts w:hint="default"/>
      </w:rPr>
    </w:lvl>
  </w:abstractNum>
  <w:abstractNum w:abstractNumId="2" w15:restartNumberingAfterBreak="0">
    <w:nsid w:val="0FF73C7F"/>
    <w:multiLevelType w:val="multilevel"/>
    <w:tmpl w:val="757ED760"/>
    <w:styleLink w:val="Style1"/>
    <w:lvl w:ilvl="0">
      <w:start w:val="1"/>
      <w:numFmt w:val="decimal"/>
      <w:pStyle w:val="Heading2"/>
      <w:lvlText w:val="%1"/>
      <w:lvlJc w:val="left"/>
      <w:pPr>
        <w:ind w:left="680" w:hanging="680"/>
      </w:pPr>
      <w:rPr>
        <w:rFonts w:hint="default"/>
        <w:b w:val="0"/>
        <w:bCs w:val="0"/>
        <w:i w:val="0"/>
        <w:iCs w:val="0"/>
        <w:caps w:val="0"/>
        <w:smallCaps w:val="0"/>
        <w:strike w:val="0"/>
        <w:dstrike w:val="0"/>
        <w:noProof w:val="0"/>
        <w:vanish w:val="0"/>
        <w:color w:val="427BA1"/>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eading3"/>
      <w:lvlText w:val="%1.%2"/>
      <w:lvlJc w:val="left"/>
      <w:pPr>
        <w:ind w:left="680" w:hanging="680"/>
      </w:pPr>
      <w:rPr>
        <w:rFonts w:hint="default"/>
      </w:rPr>
    </w:lvl>
    <w:lvl w:ilvl="2">
      <w:start w:val="1"/>
      <w:numFmt w:val="decimal"/>
      <w:pStyle w:val="Heading4"/>
      <w:lvlText w:val="%1.%2.%3"/>
      <w:lvlJc w:val="left"/>
      <w:pPr>
        <w:ind w:left="680" w:hanging="680"/>
      </w:pPr>
      <w:rPr>
        <w:rFonts w:hint="default"/>
      </w:rPr>
    </w:lvl>
    <w:lvl w:ilvl="3">
      <w:start w:val="1"/>
      <w:numFmt w:val="decimal"/>
      <w:lvlText w:val="%4."/>
      <w:lvlJc w:val="left"/>
      <w:pPr>
        <w:ind w:left="680" w:hanging="680"/>
      </w:pPr>
      <w:rPr>
        <w:rFonts w:hint="default"/>
      </w:rPr>
    </w:lvl>
    <w:lvl w:ilvl="4">
      <w:start w:val="1"/>
      <w:numFmt w:val="lowerLetter"/>
      <w:lvlText w:val="%5."/>
      <w:lvlJc w:val="left"/>
      <w:pPr>
        <w:ind w:left="680" w:hanging="680"/>
      </w:pPr>
      <w:rPr>
        <w:rFonts w:hint="default"/>
      </w:rPr>
    </w:lvl>
    <w:lvl w:ilvl="5">
      <w:start w:val="1"/>
      <w:numFmt w:val="lowerRoman"/>
      <w:lvlText w:val="%6."/>
      <w:lvlJc w:val="right"/>
      <w:pPr>
        <w:ind w:left="680" w:hanging="680"/>
      </w:pPr>
      <w:rPr>
        <w:rFonts w:hint="default"/>
      </w:rPr>
    </w:lvl>
    <w:lvl w:ilvl="6">
      <w:start w:val="1"/>
      <w:numFmt w:val="decimal"/>
      <w:lvlText w:val="%7."/>
      <w:lvlJc w:val="left"/>
      <w:pPr>
        <w:ind w:left="680" w:hanging="680"/>
      </w:pPr>
      <w:rPr>
        <w:rFonts w:hint="default"/>
      </w:rPr>
    </w:lvl>
    <w:lvl w:ilvl="7">
      <w:start w:val="1"/>
      <w:numFmt w:val="lowerLetter"/>
      <w:lvlText w:val="%8."/>
      <w:lvlJc w:val="left"/>
      <w:pPr>
        <w:ind w:left="680" w:hanging="680"/>
      </w:pPr>
      <w:rPr>
        <w:rFonts w:hint="default"/>
      </w:rPr>
    </w:lvl>
    <w:lvl w:ilvl="8">
      <w:start w:val="1"/>
      <w:numFmt w:val="lowerRoman"/>
      <w:lvlText w:val="%9."/>
      <w:lvlJc w:val="right"/>
      <w:pPr>
        <w:ind w:left="680" w:hanging="680"/>
      </w:pPr>
      <w:rPr>
        <w:rFonts w:hint="default"/>
      </w:rPr>
    </w:lvl>
  </w:abstractNum>
  <w:abstractNum w:abstractNumId="3" w15:restartNumberingAfterBreak="0">
    <w:nsid w:val="17FA091E"/>
    <w:multiLevelType w:val="multilevel"/>
    <w:tmpl w:val="757ED760"/>
    <w:numStyleLink w:val="Style1"/>
  </w:abstractNum>
  <w:abstractNum w:abstractNumId="4" w15:restartNumberingAfterBreak="0">
    <w:nsid w:val="196B606F"/>
    <w:multiLevelType w:val="hybridMultilevel"/>
    <w:tmpl w:val="E0560262"/>
    <w:lvl w:ilvl="0" w:tplc="A9884604">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9636E79"/>
    <w:multiLevelType w:val="multilevel"/>
    <w:tmpl w:val="C32AB9AA"/>
    <w:styleLink w:val="Headings"/>
    <w:lvl w:ilvl="0">
      <w:start w:val="1"/>
      <w:numFmt w:val="decimal"/>
      <w:lvlText w:val="%1)"/>
      <w:lvlJc w:val="left"/>
      <w:pPr>
        <w:tabs>
          <w:tab w:val="num" w:pos="397"/>
        </w:tabs>
        <w:ind w:left="397" w:hanging="397"/>
      </w:pPr>
      <w:rPr>
        <w:rFonts w:hint="default"/>
        <w:color w:val="auto"/>
      </w:rPr>
    </w:lvl>
    <w:lvl w:ilvl="1">
      <w:start w:val="1"/>
      <w:numFmt w:val="lowerLetter"/>
      <w:lvlText w:val="%2)"/>
      <w:lvlJc w:val="left"/>
      <w:pPr>
        <w:tabs>
          <w:tab w:val="num" w:pos="794"/>
        </w:tabs>
        <w:ind w:left="794" w:hanging="397"/>
      </w:pPr>
      <w:rPr>
        <w:rFonts w:hint="default"/>
      </w:rPr>
    </w:lvl>
    <w:lvl w:ilvl="2">
      <w:start w:val="1"/>
      <w:numFmt w:val="lowerRoman"/>
      <w:lvlText w:val="%3."/>
      <w:lvlJc w:val="right"/>
      <w:pPr>
        <w:tabs>
          <w:tab w:val="num" w:pos="1191"/>
        </w:tabs>
        <w:ind w:left="1191" w:hanging="284"/>
      </w:pPr>
      <w:rPr>
        <w:rFonts w:hint="default"/>
      </w:rPr>
    </w:lvl>
    <w:lvl w:ilvl="3">
      <w:start w:val="1"/>
      <w:numFmt w:val="decimal"/>
      <w:lvlText w:val="%4."/>
      <w:lvlJc w:val="left"/>
      <w:pPr>
        <w:tabs>
          <w:tab w:val="num" w:pos="397"/>
        </w:tabs>
        <w:ind w:left="397" w:hanging="397"/>
      </w:pPr>
      <w:rPr>
        <w:rFonts w:hint="default"/>
      </w:rPr>
    </w:lvl>
    <w:lvl w:ilvl="4">
      <w:start w:val="1"/>
      <w:numFmt w:val="lowerLetter"/>
      <w:lvlText w:val="%5."/>
      <w:lvlJc w:val="left"/>
      <w:pPr>
        <w:tabs>
          <w:tab w:val="num" w:pos="397"/>
        </w:tabs>
        <w:ind w:left="397" w:hanging="397"/>
      </w:pPr>
      <w:rPr>
        <w:rFonts w:hint="default"/>
      </w:rPr>
    </w:lvl>
    <w:lvl w:ilvl="5">
      <w:start w:val="1"/>
      <w:numFmt w:val="lowerRoman"/>
      <w:lvlText w:val="%6."/>
      <w:lvlJc w:val="right"/>
      <w:pPr>
        <w:tabs>
          <w:tab w:val="num" w:pos="397"/>
        </w:tabs>
        <w:ind w:left="397" w:hanging="397"/>
      </w:pPr>
      <w:rPr>
        <w:rFonts w:hint="default"/>
      </w:rPr>
    </w:lvl>
    <w:lvl w:ilvl="6">
      <w:start w:val="1"/>
      <w:numFmt w:val="decimal"/>
      <w:lvlText w:val="%7."/>
      <w:lvlJc w:val="left"/>
      <w:pPr>
        <w:tabs>
          <w:tab w:val="num" w:pos="397"/>
        </w:tabs>
        <w:ind w:left="397" w:hanging="397"/>
      </w:pPr>
      <w:rPr>
        <w:rFonts w:hint="default"/>
      </w:rPr>
    </w:lvl>
    <w:lvl w:ilvl="7">
      <w:start w:val="1"/>
      <w:numFmt w:val="lowerLetter"/>
      <w:lvlText w:val="%8."/>
      <w:lvlJc w:val="left"/>
      <w:pPr>
        <w:tabs>
          <w:tab w:val="num" w:pos="397"/>
        </w:tabs>
        <w:ind w:left="397" w:hanging="397"/>
      </w:pPr>
      <w:rPr>
        <w:rFonts w:hint="default"/>
      </w:rPr>
    </w:lvl>
    <w:lvl w:ilvl="8">
      <w:start w:val="1"/>
      <w:numFmt w:val="lowerRoman"/>
      <w:lvlText w:val="%9."/>
      <w:lvlJc w:val="right"/>
      <w:pPr>
        <w:tabs>
          <w:tab w:val="num" w:pos="397"/>
        </w:tabs>
        <w:ind w:left="397" w:hanging="397"/>
      </w:pPr>
      <w:rPr>
        <w:rFonts w:hint="default"/>
      </w:rPr>
    </w:lvl>
  </w:abstractNum>
  <w:abstractNum w:abstractNumId="6" w15:restartNumberingAfterBreak="0">
    <w:nsid w:val="29FA1896"/>
    <w:multiLevelType w:val="hybridMultilevel"/>
    <w:tmpl w:val="AAD08D5E"/>
    <w:lvl w:ilvl="0" w:tplc="E110C1F6">
      <w:start w:val="4"/>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4F0A88"/>
    <w:multiLevelType w:val="hybridMultilevel"/>
    <w:tmpl w:val="4C54A3DC"/>
    <w:lvl w:ilvl="0" w:tplc="517A2462">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D595B46"/>
    <w:multiLevelType w:val="multilevel"/>
    <w:tmpl w:val="C32AB9AA"/>
    <w:numStyleLink w:val="ListNumber1"/>
  </w:abstractNum>
  <w:abstractNum w:abstractNumId="9" w15:restartNumberingAfterBreak="0">
    <w:nsid w:val="32E825F9"/>
    <w:multiLevelType w:val="multilevel"/>
    <w:tmpl w:val="311EB4D2"/>
    <w:styleLink w:val="captions"/>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lowerRoman"/>
      <w:lvlText w:val="%3)"/>
      <w:lvlJc w:val="left"/>
      <w:pPr>
        <w:ind w:left="357" w:hanging="357"/>
      </w:pPr>
      <w:rPr>
        <w:rFonts w:hint="default"/>
      </w:rPr>
    </w:lvl>
    <w:lvl w:ilvl="3">
      <w:start w:val="1"/>
      <w:numFmt w:val="decimal"/>
      <w:lvlText w:val="(%4)"/>
      <w:lvlJc w:val="left"/>
      <w:pPr>
        <w:ind w:left="357" w:hanging="357"/>
      </w:pPr>
      <w:rPr>
        <w:rFonts w:hint="default"/>
      </w:rPr>
    </w:lvl>
    <w:lvl w:ilvl="4">
      <w:start w:val="1"/>
      <w:numFmt w:val="lowerLetter"/>
      <w:lvlText w:val="(%5)"/>
      <w:lvlJc w:val="left"/>
      <w:pPr>
        <w:ind w:left="357" w:hanging="357"/>
      </w:pPr>
      <w:rPr>
        <w:rFonts w:hint="default"/>
      </w:rPr>
    </w:lvl>
    <w:lvl w:ilvl="5">
      <w:start w:val="1"/>
      <w:numFmt w:val="lowerRoman"/>
      <w:lvlText w:val="(%6)"/>
      <w:lvlJc w:val="left"/>
      <w:pPr>
        <w:ind w:left="357" w:hanging="357"/>
      </w:pPr>
      <w:rPr>
        <w:rFonts w:hint="default"/>
      </w:rPr>
    </w:lvl>
    <w:lvl w:ilvl="6">
      <w:start w:val="1"/>
      <w:numFmt w:val="decimal"/>
      <w:lvlText w:val="%7."/>
      <w:lvlJc w:val="left"/>
      <w:pPr>
        <w:ind w:left="357" w:hanging="357"/>
      </w:pPr>
      <w:rPr>
        <w:rFonts w:hint="default"/>
      </w:rPr>
    </w:lvl>
    <w:lvl w:ilvl="7">
      <w:start w:val="1"/>
      <w:numFmt w:val="lowerLetter"/>
      <w:lvlText w:val="%8."/>
      <w:lvlJc w:val="left"/>
      <w:pPr>
        <w:ind w:left="357" w:hanging="357"/>
      </w:pPr>
      <w:rPr>
        <w:rFonts w:hint="default"/>
      </w:rPr>
    </w:lvl>
    <w:lvl w:ilvl="8">
      <w:start w:val="1"/>
      <w:numFmt w:val="lowerRoman"/>
      <w:lvlText w:val="%9."/>
      <w:lvlJc w:val="left"/>
      <w:pPr>
        <w:ind w:left="357" w:hanging="357"/>
      </w:pPr>
      <w:rPr>
        <w:rFonts w:hint="default"/>
      </w:rPr>
    </w:lvl>
  </w:abstractNum>
  <w:abstractNum w:abstractNumId="10" w15:restartNumberingAfterBreak="0">
    <w:nsid w:val="3BB54DEF"/>
    <w:multiLevelType w:val="multilevel"/>
    <w:tmpl w:val="C32AB9AA"/>
    <w:styleLink w:val="ListNumber1"/>
    <w:lvl w:ilvl="0">
      <w:start w:val="1"/>
      <w:numFmt w:val="decimal"/>
      <w:pStyle w:val="ListNumber"/>
      <w:lvlText w:val="%1)"/>
      <w:lvlJc w:val="left"/>
      <w:pPr>
        <w:tabs>
          <w:tab w:val="num" w:pos="397"/>
        </w:tabs>
        <w:ind w:left="397" w:hanging="397"/>
      </w:pPr>
      <w:rPr>
        <w:rFonts w:hint="default"/>
        <w:color w:val="auto"/>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right"/>
      <w:pPr>
        <w:tabs>
          <w:tab w:val="num" w:pos="1191"/>
        </w:tabs>
        <w:ind w:left="1191" w:hanging="284"/>
      </w:pPr>
      <w:rPr>
        <w:rFonts w:hint="default"/>
      </w:rPr>
    </w:lvl>
    <w:lvl w:ilvl="3">
      <w:start w:val="1"/>
      <w:numFmt w:val="decimal"/>
      <w:lvlText w:val="%4."/>
      <w:lvlJc w:val="left"/>
      <w:pPr>
        <w:tabs>
          <w:tab w:val="num" w:pos="397"/>
        </w:tabs>
        <w:ind w:left="397" w:hanging="397"/>
      </w:pPr>
      <w:rPr>
        <w:rFonts w:hint="default"/>
      </w:rPr>
    </w:lvl>
    <w:lvl w:ilvl="4">
      <w:start w:val="1"/>
      <w:numFmt w:val="lowerLetter"/>
      <w:lvlText w:val="%5."/>
      <w:lvlJc w:val="left"/>
      <w:pPr>
        <w:tabs>
          <w:tab w:val="num" w:pos="397"/>
        </w:tabs>
        <w:ind w:left="397" w:hanging="397"/>
      </w:pPr>
      <w:rPr>
        <w:rFonts w:hint="default"/>
      </w:rPr>
    </w:lvl>
    <w:lvl w:ilvl="5">
      <w:start w:val="1"/>
      <w:numFmt w:val="lowerRoman"/>
      <w:lvlText w:val="%6."/>
      <w:lvlJc w:val="right"/>
      <w:pPr>
        <w:tabs>
          <w:tab w:val="num" w:pos="397"/>
        </w:tabs>
        <w:ind w:left="397" w:hanging="397"/>
      </w:pPr>
      <w:rPr>
        <w:rFonts w:hint="default"/>
      </w:rPr>
    </w:lvl>
    <w:lvl w:ilvl="6">
      <w:start w:val="1"/>
      <w:numFmt w:val="decimal"/>
      <w:lvlText w:val="%7."/>
      <w:lvlJc w:val="left"/>
      <w:pPr>
        <w:tabs>
          <w:tab w:val="num" w:pos="397"/>
        </w:tabs>
        <w:ind w:left="397" w:hanging="397"/>
      </w:pPr>
      <w:rPr>
        <w:rFonts w:hint="default"/>
      </w:rPr>
    </w:lvl>
    <w:lvl w:ilvl="7">
      <w:start w:val="1"/>
      <w:numFmt w:val="lowerLetter"/>
      <w:lvlText w:val="%8."/>
      <w:lvlJc w:val="left"/>
      <w:pPr>
        <w:tabs>
          <w:tab w:val="num" w:pos="397"/>
        </w:tabs>
        <w:ind w:left="397" w:hanging="397"/>
      </w:pPr>
      <w:rPr>
        <w:rFonts w:hint="default"/>
      </w:rPr>
    </w:lvl>
    <w:lvl w:ilvl="8">
      <w:start w:val="1"/>
      <w:numFmt w:val="lowerRoman"/>
      <w:lvlText w:val="%9."/>
      <w:lvlJc w:val="right"/>
      <w:pPr>
        <w:tabs>
          <w:tab w:val="num" w:pos="397"/>
        </w:tabs>
        <w:ind w:left="397" w:hanging="397"/>
      </w:pPr>
      <w:rPr>
        <w:rFonts w:hint="default"/>
      </w:rPr>
    </w:lvl>
  </w:abstractNum>
  <w:abstractNum w:abstractNumId="11" w15:restartNumberingAfterBreak="0">
    <w:nsid w:val="48DE2E4A"/>
    <w:multiLevelType w:val="hybridMultilevel"/>
    <w:tmpl w:val="B7086130"/>
    <w:lvl w:ilvl="0" w:tplc="AAB465F0">
      <w:start w:val="1"/>
      <w:numFmt w:val="bullet"/>
      <w:pStyle w:val="BoxTex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B861DE6"/>
    <w:multiLevelType w:val="multilevel"/>
    <w:tmpl w:val="6346ED0E"/>
    <w:styleLink w:val="listbullets"/>
    <w:lvl w:ilvl="0">
      <w:start w:val="1"/>
      <w:numFmt w:val="bullet"/>
      <w:pStyle w:val="ListBullet"/>
      <w:lvlText w:val=""/>
      <w:lvlJc w:val="left"/>
      <w:pPr>
        <w:tabs>
          <w:tab w:val="num" w:pos="567"/>
        </w:tabs>
        <w:ind w:left="397" w:hanging="397"/>
      </w:pPr>
      <w:rPr>
        <w:rFonts w:ascii="Symbol" w:hAnsi="Symbol" w:hint="default"/>
        <w:color w:val="auto"/>
      </w:rPr>
    </w:lvl>
    <w:lvl w:ilvl="1">
      <w:start w:val="1"/>
      <w:numFmt w:val="bullet"/>
      <w:pStyle w:val="ListBullet2"/>
      <w:lvlText w:val=""/>
      <w:lvlJc w:val="left"/>
      <w:pPr>
        <w:tabs>
          <w:tab w:val="num" w:pos="794"/>
        </w:tabs>
        <w:ind w:left="397" w:firstLine="0"/>
      </w:pPr>
      <w:rPr>
        <w:rFonts w:ascii="Symbol" w:hAnsi="Symbol" w:hint="default"/>
      </w:rPr>
    </w:lvl>
    <w:lvl w:ilvl="2">
      <w:start w:val="1"/>
      <w:numFmt w:val="bullet"/>
      <w:lvlText w:val=""/>
      <w:lvlJc w:val="left"/>
      <w:pPr>
        <w:tabs>
          <w:tab w:val="num" w:pos="567"/>
        </w:tabs>
        <w:ind w:left="567" w:hanging="567"/>
      </w:pPr>
      <w:rPr>
        <w:rFonts w:ascii="Wingdings" w:hAnsi="Wingdings" w:hint="default"/>
      </w:rPr>
    </w:lvl>
    <w:lvl w:ilvl="3">
      <w:start w:val="1"/>
      <w:numFmt w:val="bullet"/>
      <w:lvlText w:val=""/>
      <w:lvlJc w:val="left"/>
      <w:pPr>
        <w:tabs>
          <w:tab w:val="num" w:pos="567"/>
        </w:tabs>
        <w:ind w:left="567" w:hanging="567"/>
      </w:pPr>
      <w:rPr>
        <w:rFonts w:ascii="Symbol" w:hAnsi="Symbol" w:hint="default"/>
      </w:rPr>
    </w:lvl>
    <w:lvl w:ilvl="4">
      <w:start w:val="1"/>
      <w:numFmt w:val="bullet"/>
      <w:lvlText w:val="o"/>
      <w:lvlJc w:val="left"/>
      <w:pPr>
        <w:tabs>
          <w:tab w:val="num" w:pos="567"/>
        </w:tabs>
        <w:ind w:left="567" w:hanging="567"/>
      </w:pPr>
      <w:rPr>
        <w:rFonts w:ascii="Courier New" w:hAnsi="Courier New" w:cs="Courier New" w:hint="default"/>
      </w:rPr>
    </w:lvl>
    <w:lvl w:ilvl="5">
      <w:start w:val="1"/>
      <w:numFmt w:val="bullet"/>
      <w:lvlText w:val=""/>
      <w:lvlJc w:val="left"/>
      <w:pPr>
        <w:tabs>
          <w:tab w:val="num" w:pos="567"/>
        </w:tabs>
        <w:ind w:left="567" w:hanging="567"/>
      </w:pPr>
      <w:rPr>
        <w:rFonts w:ascii="Wingdings" w:hAnsi="Wingdings" w:hint="default"/>
      </w:rPr>
    </w:lvl>
    <w:lvl w:ilvl="6">
      <w:start w:val="1"/>
      <w:numFmt w:val="bullet"/>
      <w:lvlText w:val=""/>
      <w:lvlJc w:val="left"/>
      <w:pPr>
        <w:tabs>
          <w:tab w:val="num" w:pos="567"/>
        </w:tabs>
        <w:ind w:left="567" w:hanging="567"/>
      </w:pPr>
      <w:rPr>
        <w:rFonts w:ascii="Symbol" w:hAnsi="Symbol" w:hint="default"/>
      </w:rPr>
    </w:lvl>
    <w:lvl w:ilvl="7">
      <w:start w:val="1"/>
      <w:numFmt w:val="bullet"/>
      <w:lvlText w:val="o"/>
      <w:lvlJc w:val="left"/>
      <w:pPr>
        <w:tabs>
          <w:tab w:val="num" w:pos="567"/>
        </w:tabs>
        <w:ind w:left="567" w:hanging="567"/>
      </w:pPr>
      <w:rPr>
        <w:rFonts w:ascii="Courier New" w:hAnsi="Courier New" w:cs="Courier New" w:hint="default"/>
      </w:rPr>
    </w:lvl>
    <w:lvl w:ilvl="8">
      <w:start w:val="1"/>
      <w:numFmt w:val="bullet"/>
      <w:lvlText w:val=""/>
      <w:lvlJc w:val="left"/>
      <w:pPr>
        <w:tabs>
          <w:tab w:val="num" w:pos="567"/>
        </w:tabs>
        <w:ind w:left="567" w:hanging="567"/>
      </w:pPr>
      <w:rPr>
        <w:rFonts w:ascii="Wingdings" w:hAnsi="Wingdings" w:hint="default"/>
      </w:rPr>
    </w:lvl>
  </w:abstractNum>
  <w:abstractNum w:abstractNumId="13" w15:restartNumberingAfterBreak="0">
    <w:nsid w:val="5AA12966"/>
    <w:multiLevelType w:val="multilevel"/>
    <w:tmpl w:val="DA322B0E"/>
    <w:styleLink w:val="List1"/>
    <w:lvl w:ilvl="0">
      <w:start w:val="1"/>
      <w:numFmt w:val="bullet"/>
      <w:lvlText w:val=""/>
      <w:lvlJc w:val="left"/>
      <w:pPr>
        <w:ind w:left="765" w:hanging="360"/>
      </w:pPr>
      <w:rPr>
        <w:rFonts w:ascii="Symbol" w:hAnsi="Symbol" w:cs="Times New Roman" w:hint="default"/>
        <w:color w:val="auto"/>
      </w:rPr>
    </w:lvl>
    <w:lvl w:ilvl="1">
      <w:start w:val="1"/>
      <w:numFmt w:val="bullet"/>
      <w:lvlText w:val="o"/>
      <w:lvlJc w:val="left"/>
      <w:pPr>
        <w:ind w:left="1485" w:hanging="360"/>
      </w:pPr>
      <w:rPr>
        <w:rFonts w:ascii="Courier New" w:hAnsi="Courier New" w:cs="Courier New" w:hint="default"/>
      </w:rPr>
    </w:lvl>
    <w:lvl w:ilvl="2">
      <w:start w:val="1"/>
      <w:numFmt w:val="bullet"/>
      <w:lvlText w:val=""/>
      <w:lvlJc w:val="left"/>
      <w:pPr>
        <w:ind w:left="2205" w:hanging="360"/>
      </w:pPr>
      <w:rPr>
        <w:rFonts w:ascii="Wingdings" w:hAnsi="Wingdings"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abstractNum w:abstractNumId="14" w15:restartNumberingAfterBreak="0">
    <w:nsid w:val="7636387C"/>
    <w:multiLevelType w:val="multilevel"/>
    <w:tmpl w:val="6346ED0E"/>
    <w:numStyleLink w:val="listbullets"/>
  </w:abstractNum>
  <w:num w:numId="1">
    <w:abstractNumId w:val="11"/>
  </w:num>
  <w:num w:numId="2">
    <w:abstractNumId w:val="4"/>
  </w:num>
  <w:num w:numId="3">
    <w:abstractNumId w:val="13"/>
  </w:num>
  <w:num w:numId="4">
    <w:abstractNumId w:val="5"/>
  </w:num>
  <w:num w:numId="5">
    <w:abstractNumId w:val="9"/>
  </w:num>
  <w:num w:numId="6">
    <w:abstractNumId w:val="12"/>
  </w:num>
  <w:num w:numId="7">
    <w:abstractNumId w:val="14"/>
  </w:num>
  <w:num w:numId="8">
    <w:abstractNumId w:val="10"/>
  </w:num>
  <w:num w:numId="9">
    <w:abstractNumId w:val="8"/>
  </w:num>
  <w:num w:numId="10">
    <w:abstractNumId w:val="1"/>
  </w:num>
  <w:num w:numId="11">
    <w:abstractNumId w:val="2"/>
  </w:num>
  <w:num w:numId="12">
    <w:abstractNumId w:val="3"/>
  </w:num>
  <w:num w:numId="13">
    <w:abstractNumId w:val="3"/>
    <w:lvlOverride w:ilvl="0">
      <w:lvl w:ilvl="0">
        <w:start w:val="1"/>
        <w:numFmt w:val="decimal"/>
        <w:pStyle w:val="Heading2"/>
        <w:lvlText w:val="%1"/>
        <w:lvlJc w:val="left"/>
        <w:pPr>
          <w:ind w:left="680" w:hanging="680"/>
        </w:pPr>
        <w:rPr>
          <w:rFonts w:hint="default"/>
          <w:b w:val="0"/>
          <w:bCs w:val="0"/>
          <w:i w:val="0"/>
          <w:iCs w:val="0"/>
          <w:caps w:val="0"/>
          <w:smallCaps w:val="0"/>
          <w:strike w:val="0"/>
          <w:dstrike w:val="0"/>
          <w:noProof w:val="0"/>
          <w:vanish w:val="0"/>
          <w:color w:val="427BA1"/>
          <w:spacing w:val="0"/>
          <w:kern w:val="0"/>
          <w:position w:val="0"/>
          <w:u w:val="none"/>
          <w:vertAlign w:val="baseline"/>
          <w:em w:val="none"/>
        </w:rPr>
      </w:lvl>
    </w:lvlOverride>
    <w:lvlOverride w:ilvl="1">
      <w:lvl w:ilvl="1">
        <w:start w:val="1"/>
        <w:numFmt w:val="decimal"/>
        <w:pStyle w:val="Heading3"/>
        <w:lvlText w:val="%1.%2"/>
        <w:lvlJc w:val="left"/>
        <w:pPr>
          <w:ind w:left="680" w:hanging="680"/>
        </w:pPr>
        <w:rPr>
          <w:rFonts w:hint="default"/>
        </w:rPr>
      </w:lvl>
    </w:lvlOverride>
    <w:lvlOverride w:ilvl="2">
      <w:lvl w:ilvl="2">
        <w:start w:val="1"/>
        <w:numFmt w:val="decimal"/>
        <w:pStyle w:val="Heading4"/>
        <w:lvlText w:val="%1.%2.%3"/>
        <w:lvlJc w:val="left"/>
        <w:pPr>
          <w:ind w:left="680" w:hanging="680"/>
        </w:pPr>
        <w:rPr>
          <w:rFonts w:hint="default"/>
        </w:rPr>
      </w:lvl>
    </w:lvlOverride>
    <w:lvlOverride w:ilvl="3">
      <w:lvl w:ilvl="3">
        <w:start w:val="1"/>
        <w:numFmt w:val="decimal"/>
        <w:lvlText w:val="%4."/>
        <w:lvlJc w:val="left"/>
        <w:pPr>
          <w:ind w:left="680" w:hanging="680"/>
        </w:pPr>
        <w:rPr>
          <w:rFonts w:hint="default"/>
        </w:rPr>
      </w:lvl>
    </w:lvlOverride>
    <w:lvlOverride w:ilvl="4">
      <w:lvl w:ilvl="4">
        <w:start w:val="1"/>
        <w:numFmt w:val="lowerLetter"/>
        <w:lvlText w:val="%5."/>
        <w:lvlJc w:val="left"/>
        <w:pPr>
          <w:ind w:left="680" w:hanging="680"/>
        </w:pPr>
        <w:rPr>
          <w:rFonts w:hint="default"/>
        </w:rPr>
      </w:lvl>
    </w:lvlOverride>
    <w:lvlOverride w:ilvl="5">
      <w:lvl w:ilvl="5">
        <w:start w:val="1"/>
        <w:numFmt w:val="lowerRoman"/>
        <w:lvlText w:val="%6."/>
        <w:lvlJc w:val="right"/>
        <w:pPr>
          <w:ind w:left="680" w:hanging="680"/>
        </w:pPr>
        <w:rPr>
          <w:rFonts w:hint="default"/>
        </w:rPr>
      </w:lvl>
    </w:lvlOverride>
    <w:lvlOverride w:ilvl="6">
      <w:lvl w:ilvl="6">
        <w:start w:val="1"/>
        <w:numFmt w:val="decimal"/>
        <w:lvlText w:val="%7."/>
        <w:lvlJc w:val="left"/>
        <w:pPr>
          <w:ind w:left="680" w:hanging="680"/>
        </w:pPr>
        <w:rPr>
          <w:rFonts w:hint="default"/>
        </w:rPr>
      </w:lvl>
    </w:lvlOverride>
    <w:lvlOverride w:ilvl="7">
      <w:lvl w:ilvl="7">
        <w:start w:val="1"/>
        <w:numFmt w:val="lowerLetter"/>
        <w:lvlText w:val="%8."/>
        <w:lvlJc w:val="left"/>
        <w:pPr>
          <w:ind w:left="680" w:hanging="680"/>
        </w:pPr>
        <w:rPr>
          <w:rFonts w:hint="default"/>
        </w:rPr>
      </w:lvl>
    </w:lvlOverride>
    <w:lvlOverride w:ilvl="8">
      <w:lvl w:ilvl="8">
        <w:start w:val="1"/>
        <w:numFmt w:val="lowerRoman"/>
        <w:lvlText w:val="%9."/>
        <w:lvlJc w:val="right"/>
        <w:pPr>
          <w:ind w:left="680" w:hanging="680"/>
        </w:pPr>
        <w:rPr>
          <w:rFonts w:hint="default"/>
        </w:rPr>
      </w:lvl>
    </w:lvlOverride>
  </w:num>
  <w:num w:numId="14">
    <w:abstractNumId w:val="0"/>
  </w:num>
  <w:num w:numId="15">
    <w:abstractNumId w:val="6"/>
  </w:num>
  <w:num w:numId="16">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hideSpellingErrors/>
  <w:hideGrammaticalErrors/>
  <w:proofState w:spelling="clean" w:grammar="clean"/>
  <w:stylePaneSortMethod w:val="0000"/>
  <w:trackRevisions/>
  <w:doNotTrackFormatting/>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REFMGR.InstantFormat" w:val="&lt;InstantFormat&gt;&lt;Enabled&gt;0&lt;/Enabled&gt;&lt;ScanUnformatted&gt;1&lt;/ScanUnformatted&gt;&lt;ScanChanges&gt;1&lt;/ScanChanges&gt;&lt;/InstantFormat&gt;"/>
    <w:docVar w:name="REFMGR.Layout" w:val="&lt;Layout&gt;&lt;StartingRefnum&gt;J:\Common\RefManager Catalogues\Styles\BA Output Style.os&lt;/StartingRefnum&gt;&lt;FontName&gt;Cambria&lt;/FontName&gt;&lt;FontSize&gt;11&lt;/FontSize&gt;&lt;ReflistTitle&gt;Reference List&lt;/ReflistTitle&gt;&lt;SpaceAfter&gt;1&lt;/SpaceAfter&gt;&lt;ReflistOrder&gt;1&lt;/ReflistOrder&gt;&lt;CitationOrder&gt;2&lt;/CitationOrder&gt;&lt;NumberReferences&gt;0&lt;/NumberReferences&gt;&lt;FirstLineIndent&gt;0&lt;/FirstLineIndent&gt;&lt;HangingIndent&gt;0&lt;/HangingIndent&gt;&lt;LineSpacing&gt;0&lt;/LineSpacing&gt;&lt;ShowReprint&gt;1&lt;/ShowReprint&gt;&lt;ShowNotes&gt;0&lt;/ShowNotes&gt;&lt;ShowKeywords&gt;0&lt;/ShowKeywords&gt;&lt;ShortFormFields&gt;0&lt;/ShortFormFields&gt;&lt;ShowRecordID&gt;0&lt;/ShowRecordID&gt;&lt;ShowAbstract&gt;0&lt;/ShowAbstract&gt;&lt;/Layout&gt;"/>
    <w:docVar w:name="REFMGR.Libraries" w:val="&lt;Databases&gt;&lt;Libraries&gt;&lt;item&gt;Clean Plant Database&lt;/item&gt;&lt;/Libraries&gt;&lt;/Databases&gt;"/>
  </w:docVars>
  <w:rsids>
    <w:rsidRoot w:val="001C0D1C"/>
    <w:rsid w:val="00016D9F"/>
    <w:rsid w:val="00016E84"/>
    <w:rsid w:val="0001727E"/>
    <w:rsid w:val="000200A7"/>
    <w:rsid w:val="000372BB"/>
    <w:rsid w:val="00037688"/>
    <w:rsid w:val="000479EA"/>
    <w:rsid w:val="00047EFD"/>
    <w:rsid w:val="00061882"/>
    <w:rsid w:val="00062058"/>
    <w:rsid w:val="00066946"/>
    <w:rsid w:val="00071AE0"/>
    <w:rsid w:val="000744EE"/>
    <w:rsid w:val="000756BD"/>
    <w:rsid w:val="000771F9"/>
    <w:rsid w:val="00082EBA"/>
    <w:rsid w:val="000931E1"/>
    <w:rsid w:val="000948AD"/>
    <w:rsid w:val="000A1123"/>
    <w:rsid w:val="000A3D79"/>
    <w:rsid w:val="000A68FE"/>
    <w:rsid w:val="000B0AE0"/>
    <w:rsid w:val="000C583A"/>
    <w:rsid w:val="000E40C1"/>
    <w:rsid w:val="000E4B1E"/>
    <w:rsid w:val="000F7122"/>
    <w:rsid w:val="00101B23"/>
    <w:rsid w:val="001042B2"/>
    <w:rsid w:val="00112C24"/>
    <w:rsid w:val="00117DFA"/>
    <w:rsid w:val="001214CD"/>
    <w:rsid w:val="001303C0"/>
    <w:rsid w:val="00130887"/>
    <w:rsid w:val="00146F60"/>
    <w:rsid w:val="00152462"/>
    <w:rsid w:val="00162435"/>
    <w:rsid w:val="001649AA"/>
    <w:rsid w:val="0016777B"/>
    <w:rsid w:val="001718C1"/>
    <w:rsid w:val="00174A76"/>
    <w:rsid w:val="0017678F"/>
    <w:rsid w:val="001B1DB2"/>
    <w:rsid w:val="001B5212"/>
    <w:rsid w:val="001B7666"/>
    <w:rsid w:val="001C0D1C"/>
    <w:rsid w:val="001C4040"/>
    <w:rsid w:val="001C4070"/>
    <w:rsid w:val="001E2B69"/>
    <w:rsid w:val="002326A9"/>
    <w:rsid w:val="00241F6F"/>
    <w:rsid w:val="002528AE"/>
    <w:rsid w:val="00266D3B"/>
    <w:rsid w:val="002825D7"/>
    <w:rsid w:val="00287AA6"/>
    <w:rsid w:val="002A07E0"/>
    <w:rsid w:val="002A51FB"/>
    <w:rsid w:val="002A5DB2"/>
    <w:rsid w:val="002B188A"/>
    <w:rsid w:val="002C58FC"/>
    <w:rsid w:val="002E0B04"/>
    <w:rsid w:val="002E2651"/>
    <w:rsid w:val="002E462D"/>
    <w:rsid w:val="003022D5"/>
    <w:rsid w:val="00337A6C"/>
    <w:rsid w:val="00343147"/>
    <w:rsid w:val="0035770F"/>
    <w:rsid w:val="00363C9F"/>
    <w:rsid w:val="00377A54"/>
    <w:rsid w:val="00381CDC"/>
    <w:rsid w:val="00385153"/>
    <w:rsid w:val="003876F4"/>
    <w:rsid w:val="003911FC"/>
    <w:rsid w:val="00394F2F"/>
    <w:rsid w:val="003951AE"/>
    <w:rsid w:val="003A498F"/>
    <w:rsid w:val="003A5099"/>
    <w:rsid w:val="003B085D"/>
    <w:rsid w:val="003B1E47"/>
    <w:rsid w:val="003C4D43"/>
    <w:rsid w:val="003D4A96"/>
    <w:rsid w:val="003F0092"/>
    <w:rsid w:val="003F4DB0"/>
    <w:rsid w:val="00401C43"/>
    <w:rsid w:val="00407F46"/>
    <w:rsid w:val="00410D94"/>
    <w:rsid w:val="00424F0C"/>
    <w:rsid w:val="00432392"/>
    <w:rsid w:val="0044285E"/>
    <w:rsid w:val="00453267"/>
    <w:rsid w:val="00453F80"/>
    <w:rsid w:val="00457272"/>
    <w:rsid w:val="00462574"/>
    <w:rsid w:val="00470816"/>
    <w:rsid w:val="004A3032"/>
    <w:rsid w:val="004D0126"/>
    <w:rsid w:val="004D52CE"/>
    <w:rsid w:val="004D77B0"/>
    <w:rsid w:val="004E6FF1"/>
    <w:rsid w:val="004F6114"/>
    <w:rsid w:val="005023A0"/>
    <w:rsid w:val="00503212"/>
    <w:rsid w:val="00513F89"/>
    <w:rsid w:val="00516A4E"/>
    <w:rsid w:val="00517D00"/>
    <w:rsid w:val="00522EF7"/>
    <w:rsid w:val="0053311B"/>
    <w:rsid w:val="005347DF"/>
    <w:rsid w:val="00535E7A"/>
    <w:rsid w:val="00537432"/>
    <w:rsid w:val="00543DFA"/>
    <w:rsid w:val="00551387"/>
    <w:rsid w:val="00554201"/>
    <w:rsid w:val="0055638D"/>
    <w:rsid w:val="00557258"/>
    <w:rsid w:val="005608F0"/>
    <w:rsid w:val="00560CE8"/>
    <w:rsid w:val="00561AFA"/>
    <w:rsid w:val="00566C32"/>
    <w:rsid w:val="00573D82"/>
    <w:rsid w:val="005755B2"/>
    <w:rsid w:val="00580332"/>
    <w:rsid w:val="0058244E"/>
    <w:rsid w:val="0058555C"/>
    <w:rsid w:val="005A2F9B"/>
    <w:rsid w:val="005A324F"/>
    <w:rsid w:val="005D5582"/>
    <w:rsid w:val="005E6A81"/>
    <w:rsid w:val="005E6F65"/>
    <w:rsid w:val="005E7F8E"/>
    <w:rsid w:val="00602094"/>
    <w:rsid w:val="00605097"/>
    <w:rsid w:val="006060C1"/>
    <w:rsid w:val="0060674F"/>
    <w:rsid w:val="00606A7B"/>
    <w:rsid w:val="00616BD4"/>
    <w:rsid w:val="00620280"/>
    <w:rsid w:val="0064021D"/>
    <w:rsid w:val="0064344A"/>
    <w:rsid w:val="00651610"/>
    <w:rsid w:val="00652DE2"/>
    <w:rsid w:val="006623C5"/>
    <w:rsid w:val="00662E4C"/>
    <w:rsid w:val="006663E8"/>
    <w:rsid w:val="00671EAE"/>
    <w:rsid w:val="00672130"/>
    <w:rsid w:val="0068457D"/>
    <w:rsid w:val="006868D0"/>
    <w:rsid w:val="00690495"/>
    <w:rsid w:val="00691F38"/>
    <w:rsid w:val="006A1182"/>
    <w:rsid w:val="006A42F4"/>
    <w:rsid w:val="006A6920"/>
    <w:rsid w:val="006B50DA"/>
    <w:rsid w:val="006E41C8"/>
    <w:rsid w:val="00715E0C"/>
    <w:rsid w:val="0071629E"/>
    <w:rsid w:val="0071654D"/>
    <w:rsid w:val="007336AC"/>
    <w:rsid w:val="0073464D"/>
    <w:rsid w:val="00740624"/>
    <w:rsid w:val="007469D7"/>
    <w:rsid w:val="00746EF3"/>
    <w:rsid w:val="007755F5"/>
    <w:rsid w:val="00783B6A"/>
    <w:rsid w:val="007A1821"/>
    <w:rsid w:val="007B2FA9"/>
    <w:rsid w:val="007B77BB"/>
    <w:rsid w:val="007C3BD5"/>
    <w:rsid w:val="007D4917"/>
    <w:rsid w:val="007E081C"/>
    <w:rsid w:val="007E5D50"/>
    <w:rsid w:val="007F3DB3"/>
    <w:rsid w:val="0081081F"/>
    <w:rsid w:val="00812269"/>
    <w:rsid w:val="00824850"/>
    <w:rsid w:val="008357AB"/>
    <w:rsid w:val="0083732E"/>
    <w:rsid w:val="00841F08"/>
    <w:rsid w:val="0085494E"/>
    <w:rsid w:val="00863B22"/>
    <w:rsid w:val="0087187E"/>
    <w:rsid w:val="00871AA9"/>
    <w:rsid w:val="00872DD9"/>
    <w:rsid w:val="0087632D"/>
    <w:rsid w:val="008863EE"/>
    <w:rsid w:val="00891983"/>
    <w:rsid w:val="008A1B9A"/>
    <w:rsid w:val="008A76E8"/>
    <w:rsid w:val="008B25EF"/>
    <w:rsid w:val="008C6682"/>
    <w:rsid w:val="008D0CB0"/>
    <w:rsid w:val="008E75FC"/>
    <w:rsid w:val="008F15ED"/>
    <w:rsid w:val="008F76FF"/>
    <w:rsid w:val="00911E54"/>
    <w:rsid w:val="009171E3"/>
    <w:rsid w:val="00920777"/>
    <w:rsid w:val="009350E0"/>
    <w:rsid w:val="0094698D"/>
    <w:rsid w:val="009477FA"/>
    <w:rsid w:val="009510BF"/>
    <w:rsid w:val="00964377"/>
    <w:rsid w:val="009772D7"/>
    <w:rsid w:val="0098135D"/>
    <w:rsid w:val="009912E4"/>
    <w:rsid w:val="00992439"/>
    <w:rsid w:val="009A04BC"/>
    <w:rsid w:val="009B2BC4"/>
    <w:rsid w:val="009C07ED"/>
    <w:rsid w:val="009C3B0F"/>
    <w:rsid w:val="009D54BA"/>
    <w:rsid w:val="009D5DD5"/>
    <w:rsid w:val="009D5E4A"/>
    <w:rsid w:val="009D6277"/>
    <w:rsid w:val="00A03B0F"/>
    <w:rsid w:val="00A04B98"/>
    <w:rsid w:val="00A05F93"/>
    <w:rsid w:val="00A14BBA"/>
    <w:rsid w:val="00A250FE"/>
    <w:rsid w:val="00A25C50"/>
    <w:rsid w:val="00A31048"/>
    <w:rsid w:val="00A3580A"/>
    <w:rsid w:val="00A40285"/>
    <w:rsid w:val="00A42815"/>
    <w:rsid w:val="00A4302F"/>
    <w:rsid w:val="00A47617"/>
    <w:rsid w:val="00A52844"/>
    <w:rsid w:val="00A5357B"/>
    <w:rsid w:val="00A550AB"/>
    <w:rsid w:val="00A66E73"/>
    <w:rsid w:val="00A721A9"/>
    <w:rsid w:val="00A72C52"/>
    <w:rsid w:val="00A776D9"/>
    <w:rsid w:val="00A8698C"/>
    <w:rsid w:val="00AB59C6"/>
    <w:rsid w:val="00AC0009"/>
    <w:rsid w:val="00AC1E70"/>
    <w:rsid w:val="00AD21B8"/>
    <w:rsid w:val="00AD268A"/>
    <w:rsid w:val="00AF268A"/>
    <w:rsid w:val="00AF5C1E"/>
    <w:rsid w:val="00B151F6"/>
    <w:rsid w:val="00B309FD"/>
    <w:rsid w:val="00B40A79"/>
    <w:rsid w:val="00B526B8"/>
    <w:rsid w:val="00B54696"/>
    <w:rsid w:val="00B60283"/>
    <w:rsid w:val="00B80D1F"/>
    <w:rsid w:val="00B84EFD"/>
    <w:rsid w:val="00B9125E"/>
    <w:rsid w:val="00B94F1F"/>
    <w:rsid w:val="00BA6DF5"/>
    <w:rsid w:val="00BB7BC4"/>
    <w:rsid w:val="00BD3A70"/>
    <w:rsid w:val="00BD5464"/>
    <w:rsid w:val="00BF0280"/>
    <w:rsid w:val="00BF0EB3"/>
    <w:rsid w:val="00BF7A5E"/>
    <w:rsid w:val="00C01D05"/>
    <w:rsid w:val="00C03E31"/>
    <w:rsid w:val="00C11AF4"/>
    <w:rsid w:val="00C162C0"/>
    <w:rsid w:val="00C23F71"/>
    <w:rsid w:val="00C3140E"/>
    <w:rsid w:val="00C340EC"/>
    <w:rsid w:val="00C353BB"/>
    <w:rsid w:val="00C40074"/>
    <w:rsid w:val="00C57B8B"/>
    <w:rsid w:val="00C6571B"/>
    <w:rsid w:val="00C66A1A"/>
    <w:rsid w:val="00C802A4"/>
    <w:rsid w:val="00C8137B"/>
    <w:rsid w:val="00C824A7"/>
    <w:rsid w:val="00C8514D"/>
    <w:rsid w:val="00C942AA"/>
    <w:rsid w:val="00CA6BDF"/>
    <w:rsid w:val="00CB21A5"/>
    <w:rsid w:val="00CC36D1"/>
    <w:rsid w:val="00CD5D9B"/>
    <w:rsid w:val="00CD6AF0"/>
    <w:rsid w:val="00CD7067"/>
    <w:rsid w:val="00CE421D"/>
    <w:rsid w:val="00CE74BD"/>
    <w:rsid w:val="00CE76B8"/>
    <w:rsid w:val="00CF3B06"/>
    <w:rsid w:val="00D05115"/>
    <w:rsid w:val="00D14E1B"/>
    <w:rsid w:val="00D1603C"/>
    <w:rsid w:val="00D33A07"/>
    <w:rsid w:val="00D36947"/>
    <w:rsid w:val="00D47F84"/>
    <w:rsid w:val="00D50462"/>
    <w:rsid w:val="00D52355"/>
    <w:rsid w:val="00D65697"/>
    <w:rsid w:val="00D73130"/>
    <w:rsid w:val="00D75C5B"/>
    <w:rsid w:val="00D772AC"/>
    <w:rsid w:val="00D800E5"/>
    <w:rsid w:val="00DC0878"/>
    <w:rsid w:val="00DC2C68"/>
    <w:rsid w:val="00DC5B4C"/>
    <w:rsid w:val="00DD0E2B"/>
    <w:rsid w:val="00DD1822"/>
    <w:rsid w:val="00DD3EA4"/>
    <w:rsid w:val="00DD614F"/>
    <w:rsid w:val="00DD7301"/>
    <w:rsid w:val="00DE61E3"/>
    <w:rsid w:val="00DF1801"/>
    <w:rsid w:val="00DF41B5"/>
    <w:rsid w:val="00E00D37"/>
    <w:rsid w:val="00E045F9"/>
    <w:rsid w:val="00E047F8"/>
    <w:rsid w:val="00E05920"/>
    <w:rsid w:val="00E07DA9"/>
    <w:rsid w:val="00E10C01"/>
    <w:rsid w:val="00E34D35"/>
    <w:rsid w:val="00E4141D"/>
    <w:rsid w:val="00E55B1C"/>
    <w:rsid w:val="00E57B13"/>
    <w:rsid w:val="00E66C55"/>
    <w:rsid w:val="00E7290A"/>
    <w:rsid w:val="00E80CC9"/>
    <w:rsid w:val="00E82678"/>
    <w:rsid w:val="00E86CF4"/>
    <w:rsid w:val="00EC06E7"/>
    <w:rsid w:val="00EC5099"/>
    <w:rsid w:val="00ED3BAF"/>
    <w:rsid w:val="00ED59F5"/>
    <w:rsid w:val="00EE27B3"/>
    <w:rsid w:val="00EE7040"/>
    <w:rsid w:val="00EE7779"/>
    <w:rsid w:val="00F0101E"/>
    <w:rsid w:val="00F06DFD"/>
    <w:rsid w:val="00F07229"/>
    <w:rsid w:val="00F1791A"/>
    <w:rsid w:val="00F236AB"/>
    <w:rsid w:val="00F26558"/>
    <w:rsid w:val="00F35AD3"/>
    <w:rsid w:val="00F374B2"/>
    <w:rsid w:val="00F42055"/>
    <w:rsid w:val="00F53733"/>
    <w:rsid w:val="00F75B78"/>
    <w:rsid w:val="00F857B0"/>
    <w:rsid w:val="00F87CB0"/>
    <w:rsid w:val="00F95492"/>
    <w:rsid w:val="00FB3B93"/>
    <w:rsid w:val="00FC4C8A"/>
    <w:rsid w:val="00FD1467"/>
    <w:rsid w:val="00FD3FB5"/>
    <w:rsid w:val="00FD5142"/>
    <w:rsid w:val="00FE3AA3"/>
    <w:rsid w:val="00FE50C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019564F"/>
  <w15:docId w15:val="{4CB3FAFA-7265-914E-8958-0520C1873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Cambria" w:hAnsi="Cambria"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qFormat="1"/>
    <w:lsdException w:name="heading 7" w:semiHidden="1"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7"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8" w:unhideWhenUsed="1" w:qFormat="1"/>
    <w:lsdException w:name="List Bullet 3" w:semiHidden="1"/>
    <w:lsdException w:name="List Bullet 4" w:semiHidden="1"/>
    <w:lsdException w:name="List Bullet 5" w:semiHidden="1"/>
    <w:lsdException w:name="List Number 2" w:semiHidden="1" w:unhideWhenUsed="1" w:qFormat="1"/>
    <w:lsdException w:name="List Number 3" w:semiHidden="1" w:unhideWhenUsed="1" w:qFormat="1"/>
    <w:lsdException w:name="List Number 4" w:semiHidden="1"/>
    <w:lsdException w:name="List Number 5" w:semiHidden="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rFonts w:asciiTheme="minorHAnsi" w:eastAsiaTheme="minorHAnsi" w:hAnsiTheme="minorHAnsi" w:cstheme="minorBidi"/>
      <w:sz w:val="22"/>
      <w:szCs w:val="22"/>
      <w:lang w:eastAsia="en-US"/>
    </w:rPr>
  </w:style>
  <w:style w:type="paragraph" w:styleId="Heading1">
    <w:name w:val="heading 1"/>
    <w:next w:val="Normal"/>
    <w:link w:val="Heading1Char"/>
    <w:uiPriority w:val="9"/>
    <w:qFormat/>
    <w:pPr>
      <w:keepNext/>
      <w:keepLines/>
      <w:spacing w:before="1440" w:after="120"/>
      <w:outlineLvl w:val="0"/>
    </w:pPr>
    <w:rPr>
      <w:rFonts w:ascii="Calibri" w:eastAsiaTheme="majorEastAsia" w:hAnsi="Calibri" w:cstheme="majorBidi"/>
      <w:b/>
      <w:bCs/>
      <w:color w:val="3C4B55"/>
      <w:sz w:val="70"/>
      <w:szCs w:val="28"/>
      <w:lang w:eastAsia="en-US"/>
    </w:rPr>
  </w:style>
  <w:style w:type="paragraph" w:styleId="Heading2">
    <w:name w:val="heading 2"/>
    <w:basedOn w:val="Normal"/>
    <w:next w:val="Normal"/>
    <w:link w:val="Heading2Char"/>
    <w:uiPriority w:val="9"/>
    <w:qFormat/>
    <w:rsid w:val="00671EAE"/>
    <w:pPr>
      <w:keepNext/>
      <w:keepLines/>
      <w:numPr>
        <w:numId w:val="12"/>
      </w:numPr>
      <w:spacing w:after="240" w:line="240" w:lineRule="auto"/>
      <w:outlineLvl w:val="1"/>
    </w:pPr>
    <w:rPr>
      <w:rFonts w:ascii="Calibri" w:eastAsiaTheme="minorEastAsia" w:hAnsi="Calibri"/>
      <w:bCs/>
      <w:color w:val="427BA1"/>
      <w:sz w:val="56"/>
      <w:szCs w:val="28"/>
      <w:lang w:eastAsia="ja-JP"/>
    </w:rPr>
  </w:style>
  <w:style w:type="paragraph" w:styleId="Heading3">
    <w:name w:val="heading 3"/>
    <w:next w:val="Normal"/>
    <w:link w:val="Heading3Char"/>
    <w:uiPriority w:val="9"/>
    <w:qFormat/>
    <w:rsid w:val="00BF0280"/>
    <w:pPr>
      <w:keepNext/>
      <w:keepLines/>
      <w:numPr>
        <w:ilvl w:val="1"/>
        <w:numId w:val="12"/>
      </w:numPr>
      <w:spacing w:before="240" w:after="240"/>
      <w:outlineLvl w:val="2"/>
    </w:pPr>
    <w:rPr>
      <w:rFonts w:ascii="Calibri" w:eastAsiaTheme="minorHAnsi" w:hAnsi="Calibri" w:cstheme="minorBidi"/>
      <w:b/>
      <w:bCs/>
      <w:sz w:val="28"/>
      <w:szCs w:val="22"/>
      <w:lang w:eastAsia="en-US"/>
    </w:rPr>
  </w:style>
  <w:style w:type="paragraph" w:styleId="Heading4">
    <w:name w:val="heading 4"/>
    <w:next w:val="Normal"/>
    <w:link w:val="Heading4Char"/>
    <w:uiPriority w:val="9"/>
    <w:qFormat/>
    <w:pPr>
      <w:keepNext/>
      <w:keepLines/>
      <w:numPr>
        <w:ilvl w:val="2"/>
        <w:numId w:val="12"/>
      </w:numPr>
      <w:spacing w:before="120"/>
      <w:outlineLvl w:val="3"/>
    </w:pPr>
    <w:rPr>
      <w:rFonts w:ascii="Calibri" w:eastAsiaTheme="minorHAnsi" w:hAnsi="Calibri" w:cstheme="minorBidi"/>
      <w:b/>
      <w:bCs/>
      <w:iCs/>
      <w:color w:val="427BA1"/>
      <w:sz w:val="24"/>
      <w:szCs w:val="22"/>
      <w:lang w:eastAsia="en-US"/>
    </w:rPr>
  </w:style>
  <w:style w:type="paragraph" w:styleId="Heading5">
    <w:name w:val="heading 5"/>
    <w:next w:val="Normal"/>
    <w:link w:val="Heading5Char"/>
    <w:uiPriority w:val="9"/>
    <w:qFormat/>
    <w:pPr>
      <w:keepNext/>
      <w:keepLines/>
      <w:spacing w:before="120"/>
      <w:outlineLvl w:val="4"/>
    </w:pPr>
    <w:rPr>
      <w:rFonts w:ascii="Calibri" w:eastAsiaTheme="minorHAnsi" w:hAnsi="Calibri" w:cstheme="minorBidi"/>
      <w:b/>
      <w:sz w:val="22"/>
      <w:szCs w:val="22"/>
      <w:lang w:eastAsia="en-US"/>
    </w:rPr>
  </w:style>
  <w:style w:type="paragraph" w:styleId="Heading6">
    <w:name w:val="heading 6"/>
    <w:next w:val="Normal"/>
    <w:link w:val="Heading6Char"/>
    <w:uiPriority w:val="9"/>
    <w:qFormat/>
    <w:pPr>
      <w:keepNext/>
      <w:keepLines/>
      <w:spacing w:before="40"/>
      <w:outlineLvl w:val="5"/>
    </w:pPr>
    <w:rPr>
      <w:rFonts w:asciiTheme="minorHAnsi" w:eastAsiaTheme="majorEastAsia" w:hAnsiTheme="minorHAnsi" w:cstheme="majorBidi"/>
      <w:i/>
      <w:sz w:val="22"/>
      <w:szCs w:val="22"/>
      <w:lang w:eastAsia="en-US"/>
    </w:rPr>
  </w:style>
  <w:style w:type="paragraph" w:styleId="Heading7">
    <w:name w:val="heading 7"/>
    <w:next w:val="Normal"/>
    <w:link w:val="Heading7Char"/>
    <w:uiPriority w:val="9"/>
    <w:qFormat/>
    <w:pPr>
      <w:outlineLvl w:val="6"/>
    </w:pPr>
    <w:rPr>
      <w:rFonts w:asciiTheme="minorHAnsi" w:eastAsiaTheme="majorEastAsia" w:hAnsiTheme="minorHAnsi" w:cstheme="majorBidi"/>
      <w:i/>
      <w:color w:val="243F60" w:themeColor="accent1" w:themeShade="7F"/>
      <w:sz w:val="22"/>
      <w:szCs w:val="22"/>
      <w:lang w:eastAsia="en-US"/>
    </w:rPr>
  </w:style>
  <w:style w:type="paragraph" w:styleId="Heading8">
    <w:name w:val="heading 8"/>
    <w:basedOn w:val="Normal"/>
    <w:next w:val="Normal"/>
    <w:link w:val="Heading8Char"/>
    <w:uiPriority w:val="9"/>
    <w:semiHidden/>
    <w:unhideWhenUsed/>
    <w:qFormat/>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241F6F"/>
    <w:pPr>
      <w:spacing w:after="0"/>
      <w:outlineLvl w:val="8"/>
    </w:pPr>
    <w:rPr>
      <w:rFonts w:ascii="Garamond" w:eastAsiaTheme="minorEastAsia" w:hAnsi="Garamond"/>
      <w:b/>
      <w:i/>
      <w:smallCaps/>
      <w:color w:val="622423" w:themeColor="accent2" w:themeShade="7F"/>
      <w:szCs w:val="20"/>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rFonts w:eastAsia="Times New Roman"/>
      <w:sz w:val="20"/>
      <w:szCs w:val="20"/>
    </w:rPr>
  </w:style>
  <w:style w:type="paragraph" w:styleId="Header">
    <w:name w:val="header"/>
    <w:basedOn w:val="Normal"/>
    <w:link w:val="HeaderChar"/>
    <w:pPr>
      <w:tabs>
        <w:tab w:val="center" w:pos="8505"/>
        <w:tab w:val="center" w:pos="13041"/>
      </w:tabs>
      <w:spacing w:line="360" w:lineRule="auto"/>
      <w:jc w:val="center"/>
    </w:pPr>
    <w:rPr>
      <w:rFonts w:ascii="Calibri" w:hAnsi="Calibri"/>
      <w:sz w:val="20"/>
    </w:rPr>
  </w:style>
  <w:style w:type="character" w:customStyle="1" w:styleId="HeaderChar">
    <w:name w:val="Header Char"/>
    <w:basedOn w:val="DefaultParagraphFont"/>
    <w:link w:val="Header"/>
    <w:rPr>
      <w:rFonts w:ascii="Calibri" w:eastAsiaTheme="minorHAnsi" w:hAnsi="Calibri" w:cstheme="minorBidi"/>
      <w:szCs w:val="22"/>
      <w:lang w:eastAsia="en-US"/>
    </w:rPr>
  </w:style>
  <w:style w:type="paragraph" w:styleId="Footer">
    <w:name w:val="footer"/>
    <w:basedOn w:val="Normal"/>
    <w:link w:val="FooterChar"/>
    <w:pPr>
      <w:tabs>
        <w:tab w:val="center" w:pos="4536"/>
      </w:tabs>
      <w:spacing w:after="120" w:line="240" w:lineRule="auto"/>
      <w:jc w:val="center"/>
    </w:pPr>
    <w:rPr>
      <w:rFonts w:ascii="Calibri" w:hAnsi="Calibri"/>
      <w:sz w:val="20"/>
    </w:rPr>
  </w:style>
  <w:style w:type="character" w:customStyle="1" w:styleId="FooterChar">
    <w:name w:val="Footer Char"/>
    <w:basedOn w:val="DefaultParagraphFont"/>
    <w:link w:val="Footer"/>
    <w:rPr>
      <w:rFonts w:ascii="Calibri" w:eastAsia="Times New Roman" w:hAnsi="Calibri"/>
      <w:sz w:val="20"/>
      <w:szCs w:val="24"/>
      <w:lang w:eastAsia="en-US"/>
    </w:rPr>
  </w:style>
  <w:style w:type="character" w:styleId="CommentReference">
    <w:name w:val="annotation reference"/>
    <w:basedOn w:val="DefaultParagraphFont"/>
    <w:semiHidden/>
    <w:unhideWhenUsed/>
    <w:rPr>
      <w:sz w:val="16"/>
      <w:szCs w:val="16"/>
    </w:rPr>
  </w:style>
  <w:style w:type="paragraph" w:styleId="CommentSubject">
    <w:name w:val="annotation subject"/>
    <w:basedOn w:val="CommentText"/>
    <w:next w:val="CommentText"/>
    <w:link w:val="CommentSubjectChar"/>
    <w:semiHidden/>
    <w:unhideWhenUsed/>
    <w:rPr>
      <w:b/>
      <w:bCs/>
    </w:rPr>
  </w:style>
  <w:style w:type="character" w:customStyle="1" w:styleId="CommentSubjectChar">
    <w:name w:val="Comment Subject Char"/>
    <w:basedOn w:val="CommentTextChar"/>
    <w:link w:val="CommentSubject"/>
    <w:semiHidden/>
    <w:rPr>
      <w:rFonts w:eastAsia="Times New Roman"/>
      <w:b/>
      <w:bCs/>
      <w:sz w:val="20"/>
      <w:szCs w:val="20"/>
    </w:rPr>
  </w:style>
  <w:style w:type="paragraph" w:styleId="BalloonText">
    <w:name w:val="Balloon Text"/>
    <w:basedOn w:val="Normal"/>
    <w:link w:val="BalloonTextChar"/>
    <w:semiHidden/>
    <w:unhideWhenUsed/>
    <w:rPr>
      <w:rFonts w:ascii="Calibri" w:hAnsi="Calibri"/>
      <w:sz w:val="18"/>
      <w:szCs w:val="18"/>
    </w:rPr>
  </w:style>
  <w:style w:type="character" w:customStyle="1" w:styleId="BalloonTextChar">
    <w:name w:val="Balloon Text Char"/>
    <w:basedOn w:val="DefaultParagraphFont"/>
    <w:link w:val="BalloonText"/>
    <w:semiHidden/>
    <w:rPr>
      <w:rFonts w:ascii="Calibri" w:eastAsia="Times New Roman" w:hAnsi="Calibri"/>
      <w:sz w:val="18"/>
      <w:szCs w:val="18"/>
      <w:lang w:eastAsia="en-US"/>
    </w:rPr>
  </w:style>
  <w:style w:type="table" w:styleId="TableGrid">
    <w:name w:val="Table Grid"/>
    <w:basedOn w:val="TableNormal"/>
    <w:pPr>
      <w:spacing w:before="60" w:after="60"/>
    </w:pPr>
    <w:rPr>
      <w:rFonts w:eastAsia="Times New Roman"/>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address">
    <w:name w:val="Footer address"/>
    <w:basedOn w:val="Footer"/>
    <w:semiHidden/>
    <w:qFormat/>
    <w:rPr>
      <w:sz w:val="16"/>
    </w:rPr>
  </w:style>
  <w:style w:type="numbering" w:customStyle="1" w:styleId="Headings">
    <w:name w:val="Headings"/>
    <w:uiPriority w:val="99"/>
    <w:pPr>
      <w:numPr>
        <w:numId w:val="4"/>
      </w:numPr>
    </w:pPr>
  </w:style>
  <w:style w:type="character" w:customStyle="1" w:styleId="Heading1Char">
    <w:name w:val="Heading 1 Char"/>
    <w:basedOn w:val="DefaultParagraphFont"/>
    <w:link w:val="Heading1"/>
    <w:uiPriority w:val="9"/>
    <w:rPr>
      <w:rFonts w:ascii="Calibri" w:eastAsiaTheme="majorEastAsia" w:hAnsi="Calibri" w:cstheme="majorBidi"/>
      <w:b/>
      <w:bCs/>
      <w:color w:val="3C4B55"/>
      <w:sz w:val="70"/>
      <w:szCs w:val="28"/>
      <w:lang w:eastAsia="en-US"/>
    </w:rPr>
  </w:style>
  <w:style w:type="paragraph" w:styleId="ListParagraph">
    <w:name w:val="List Paragraph"/>
    <w:basedOn w:val="Normal"/>
    <w:uiPriority w:val="99"/>
    <w:qFormat/>
    <w:pPr>
      <w:ind w:left="720"/>
    </w:pPr>
  </w:style>
  <w:style w:type="character" w:customStyle="1" w:styleId="Heading2Char">
    <w:name w:val="Heading 2 Char"/>
    <w:basedOn w:val="DefaultParagraphFont"/>
    <w:link w:val="Heading2"/>
    <w:uiPriority w:val="9"/>
    <w:rsid w:val="00671EAE"/>
    <w:rPr>
      <w:rFonts w:ascii="Calibri" w:eastAsiaTheme="minorEastAsia" w:hAnsi="Calibri" w:cstheme="minorBidi"/>
      <w:bCs/>
      <w:color w:val="427BA1"/>
      <w:sz w:val="56"/>
      <w:szCs w:val="28"/>
      <w:lang w:eastAsia="ja-JP"/>
    </w:rPr>
  </w:style>
  <w:style w:type="character" w:customStyle="1" w:styleId="Heading3Char">
    <w:name w:val="Heading 3 Char"/>
    <w:basedOn w:val="DefaultParagraphFont"/>
    <w:link w:val="Heading3"/>
    <w:uiPriority w:val="9"/>
    <w:rsid w:val="00BF0280"/>
    <w:rPr>
      <w:rFonts w:ascii="Calibri" w:eastAsiaTheme="minorHAnsi" w:hAnsi="Calibri" w:cstheme="minorBidi"/>
      <w:b/>
      <w:bCs/>
      <w:sz w:val="28"/>
      <w:szCs w:val="22"/>
      <w:lang w:eastAsia="en-US"/>
    </w:rPr>
  </w:style>
  <w:style w:type="character" w:customStyle="1" w:styleId="Heading4Char">
    <w:name w:val="Heading 4 Char"/>
    <w:basedOn w:val="DefaultParagraphFont"/>
    <w:link w:val="Heading4"/>
    <w:uiPriority w:val="9"/>
    <w:rPr>
      <w:rFonts w:ascii="Calibri" w:eastAsiaTheme="minorHAnsi" w:hAnsi="Calibri" w:cstheme="minorBidi"/>
      <w:b/>
      <w:bCs/>
      <w:iCs/>
      <w:color w:val="427BA1"/>
      <w:sz w:val="24"/>
      <w:szCs w:val="22"/>
      <w:lang w:eastAsia="en-US"/>
    </w:rPr>
  </w:style>
  <w:style w:type="character" w:customStyle="1" w:styleId="Heading5Char">
    <w:name w:val="Heading 5 Char"/>
    <w:basedOn w:val="DefaultParagraphFont"/>
    <w:link w:val="Heading5"/>
    <w:uiPriority w:val="9"/>
    <w:rPr>
      <w:rFonts w:ascii="Calibri" w:eastAsiaTheme="minorHAnsi" w:hAnsi="Calibri" w:cstheme="minorBidi"/>
      <w:b/>
      <w:sz w:val="22"/>
      <w:szCs w:val="22"/>
      <w:lang w:eastAsia="en-US"/>
    </w:rPr>
  </w:style>
  <w:style w:type="paragraph" w:styleId="Quote">
    <w:name w:val="Quote"/>
    <w:basedOn w:val="Normal"/>
    <w:next w:val="Normal"/>
    <w:link w:val="QuoteChar"/>
    <w:uiPriority w:val="29"/>
    <w:qFormat/>
    <w:pPr>
      <w:ind w:left="709" w:right="567"/>
    </w:pPr>
    <w:rPr>
      <w:iCs/>
      <w:color w:val="000000"/>
    </w:rPr>
  </w:style>
  <w:style w:type="character" w:customStyle="1" w:styleId="QuoteChar">
    <w:name w:val="Quote Char"/>
    <w:basedOn w:val="DefaultParagraphFont"/>
    <w:link w:val="Quote"/>
    <w:uiPriority w:val="29"/>
    <w:rPr>
      <w:rFonts w:eastAsia="Times New Roman"/>
      <w:iCs/>
      <w:color w:val="000000"/>
      <w:szCs w:val="24"/>
      <w:lang w:eastAsia="en-US"/>
    </w:rPr>
  </w:style>
  <w:style w:type="paragraph" w:customStyle="1" w:styleId="BoxText">
    <w:name w:val="Box Text"/>
    <w:basedOn w:val="Normal"/>
    <w:uiPriority w:val="19"/>
    <w:qFormat/>
    <w:pPr>
      <w:pBdr>
        <w:top w:val="single" w:sz="4" w:space="10" w:color="auto"/>
        <w:left w:val="single" w:sz="4" w:space="10" w:color="auto"/>
        <w:bottom w:val="single" w:sz="4" w:space="10" w:color="auto"/>
        <w:right w:val="single" w:sz="4" w:space="10" w:color="auto"/>
      </w:pBdr>
      <w:spacing w:before="120" w:after="120"/>
    </w:pPr>
    <w:rPr>
      <w:sz w:val="20"/>
    </w:rPr>
  </w:style>
  <w:style w:type="paragraph" w:styleId="Caption">
    <w:name w:val="caption"/>
    <w:next w:val="Normal"/>
    <w:link w:val="CaptionChar"/>
    <w:uiPriority w:val="35"/>
    <w:qFormat/>
    <w:pPr>
      <w:keepNext/>
      <w:spacing w:after="120"/>
    </w:pPr>
    <w:rPr>
      <w:rFonts w:asciiTheme="minorHAnsi" w:eastAsiaTheme="majorEastAsia" w:hAnsiTheme="minorHAnsi" w:cstheme="majorBidi"/>
      <w:b/>
      <w:bCs/>
      <w:color w:val="000000" w:themeColor="text1"/>
      <w:sz w:val="22"/>
      <w:szCs w:val="18"/>
      <w:lang w:eastAsia="en-US"/>
    </w:rPr>
  </w:style>
  <w:style w:type="paragraph" w:customStyle="1" w:styleId="FigureTableNoteSource">
    <w:name w:val="Figure/Table Note/Source"/>
    <w:basedOn w:val="Normal"/>
    <w:next w:val="Normal"/>
    <w:uiPriority w:val="16"/>
    <w:qFormat/>
    <w:pPr>
      <w:spacing w:before="120" w:line="264" w:lineRule="auto"/>
      <w:contextualSpacing/>
    </w:pPr>
    <w:rPr>
      <w:rFonts w:ascii="Calibri" w:hAnsi="Calibri"/>
      <w:sz w:val="18"/>
    </w:rPr>
  </w:style>
  <w:style w:type="paragraph" w:styleId="TOCHeading">
    <w:name w:val="TOC Heading"/>
    <w:next w:val="Normal"/>
    <w:uiPriority w:val="39"/>
    <w:qFormat/>
    <w:rPr>
      <w:rFonts w:ascii="Calibri" w:eastAsiaTheme="majorEastAsia" w:hAnsi="Calibri" w:cstheme="majorBidi"/>
      <w:bCs/>
      <w:color w:val="427BA1"/>
      <w:sz w:val="56"/>
      <w:szCs w:val="28"/>
      <w:lang w:val="en-US" w:eastAsia="en-US"/>
    </w:rPr>
  </w:style>
  <w:style w:type="paragraph" w:styleId="TOC1">
    <w:name w:val="toc 1"/>
    <w:next w:val="Normal"/>
    <w:uiPriority w:val="39"/>
    <w:unhideWhenUsed/>
    <w:pPr>
      <w:tabs>
        <w:tab w:val="left" w:pos="426"/>
        <w:tab w:val="right" w:leader="dot" w:pos="9072"/>
      </w:tabs>
      <w:spacing w:before="120" w:after="120"/>
    </w:pPr>
    <w:rPr>
      <w:rFonts w:asciiTheme="minorHAnsi" w:eastAsiaTheme="minorHAnsi" w:hAnsiTheme="minorHAnsi" w:cstheme="minorBidi"/>
      <w:b/>
      <w:noProof/>
      <w:sz w:val="22"/>
      <w:szCs w:val="22"/>
      <w:lang w:eastAsia="en-US"/>
    </w:rPr>
  </w:style>
  <w:style w:type="paragraph" w:styleId="TOC2">
    <w:name w:val="toc 2"/>
    <w:basedOn w:val="Normal"/>
    <w:next w:val="Normal"/>
    <w:uiPriority w:val="39"/>
    <w:unhideWhenUsed/>
    <w:pPr>
      <w:tabs>
        <w:tab w:val="right" w:leader="dot" w:pos="9060"/>
      </w:tabs>
      <w:spacing w:before="120" w:after="120" w:line="240" w:lineRule="auto"/>
      <w:ind w:firstLine="425"/>
    </w:pPr>
    <w:rPr>
      <w:noProof/>
    </w:rPr>
  </w:style>
  <w:style w:type="paragraph" w:styleId="TOC3">
    <w:name w:val="toc 3"/>
    <w:basedOn w:val="Normal"/>
    <w:next w:val="Normal"/>
    <w:uiPriority w:val="39"/>
    <w:unhideWhenUsed/>
    <w:pPr>
      <w:tabs>
        <w:tab w:val="right" w:leader="dot" w:pos="9072"/>
      </w:tabs>
      <w:spacing w:before="120" w:after="120" w:line="240" w:lineRule="auto"/>
      <w:ind w:firstLine="851"/>
    </w:pPr>
    <w:rPr>
      <w:noProof/>
    </w:rPr>
  </w:style>
  <w:style w:type="character" w:styleId="Hyperlink">
    <w:name w:val="Hyperlink"/>
    <w:basedOn w:val="DefaultParagraphFont"/>
    <w:uiPriority w:val="99"/>
    <w:qFormat/>
    <w:rPr>
      <w:color w:val="165788"/>
      <w:u w:val="single"/>
    </w:rPr>
  </w:style>
  <w:style w:type="paragraph" w:styleId="ListBullet">
    <w:name w:val="List Bullet"/>
    <w:uiPriority w:val="7"/>
    <w:qFormat/>
    <w:pPr>
      <w:numPr>
        <w:numId w:val="7"/>
      </w:numPr>
      <w:spacing w:before="120" w:after="120"/>
    </w:pPr>
    <w:rPr>
      <w:rFonts w:asciiTheme="minorHAnsi" w:eastAsiaTheme="minorHAnsi" w:hAnsiTheme="minorHAnsi" w:cstheme="minorBidi"/>
      <w:sz w:val="22"/>
      <w:szCs w:val="22"/>
      <w:lang w:eastAsia="en-US"/>
    </w:rPr>
  </w:style>
  <w:style w:type="paragraph" w:styleId="TableofFigures">
    <w:name w:val="table of figures"/>
    <w:basedOn w:val="Normal"/>
    <w:next w:val="Normal"/>
    <w:uiPriority w:val="99"/>
    <w:pPr>
      <w:spacing w:before="120" w:after="120" w:line="240" w:lineRule="auto"/>
    </w:pPr>
  </w:style>
  <w:style w:type="paragraph" w:styleId="ListBullet2">
    <w:name w:val="List Bullet 2"/>
    <w:uiPriority w:val="8"/>
    <w:qFormat/>
    <w:pPr>
      <w:numPr>
        <w:ilvl w:val="1"/>
        <w:numId w:val="7"/>
      </w:numPr>
      <w:spacing w:before="120" w:after="120"/>
      <w:contextualSpacing/>
    </w:pPr>
    <w:rPr>
      <w:rFonts w:asciiTheme="minorHAnsi" w:eastAsiaTheme="minorHAnsi" w:hAnsiTheme="minorHAnsi" w:cstheme="minorBidi"/>
      <w:sz w:val="22"/>
      <w:szCs w:val="22"/>
      <w:lang w:eastAsia="en-US"/>
    </w:rPr>
  </w:style>
  <w:style w:type="paragraph" w:styleId="ListNumber">
    <w:name w:val="List Number"/>
    <w:basedOn w:val="Normal"/>
    <w:uiPriority w:val="9"/>
    <w:qFormat/>
    <w:pPr>
      <w:numPr>
        <w:numId w:val="9"/>
      </w:numPr>
      <w:spacing w:before="120" w:after="120" w:line="280" w:lineRule="atLeast"/>
    </w:pPr>
    <w:rPr>
      <w:szCs w:val="20"/>
    </w:rPr>
  </w:style>
  <w:style w:type="paragraph" w:styleId="ListNumber2">
    <w:name w:val="List Number 2"/>
    <w:uiPriority w:val="10"/>
    <w:qFormat/>
    <w:pPr>
      <w:numPr>
        <w:ilvl w:val="1"/>
        <w:numId w:val="9"/>
      </w:numPr>
      <w:spacing w:before="120" w:after="120" w:line="264" w:lineRule="auto"/>
    </w:pPr>
    <w:rPr>
      <w:rFonts w:asciiTheme="minorHAnsi" w:eastAsia="Times New Roman" w:hAnsiTheme="minorHAnsi"/>
      <w:sz w:val="22"/>
      <w:szCs w:val="24"/>
      <w:lang w:eastAsia="en-US"/>
    </w:rPr>
  </w:style>
  <w:style w:type="paragraph" w:styleId="ListNumber3">
    <w:name w:val="List Number 3"/>
    <w:uiPriority w:val="11"/>
    <w:qFormat/>
    <w:pPr>
      <w:numPr>
        <w:ilvl w:val="2"/>
        <w:numId w:val="9"/>
      </w:numPr>
      <w:spacing w:before="120" w:after="120" w:line="264" w:lineRule="auto"/>
    </w:pPr>
    <w:rPr>
      <w:rFonts w:asciiTheme="minorHAnsi" w:eastAsia="Times New Roman" w:hAnsiTheme="minorHAnsi"/>
      <w:sz w:val="22"/>
      <w:szCs w:val="24"/>
      <w:lang w:eastAsia="en-US"/>
    </w:rPr>
  </w:style>
  <w:style w:type="table" w:customStyle="1" w:styleId="LightShading1">
    <w:name w:val="Light Shading1"/>
    <w:basedOn w:val="TableNormal"/>
    <w:uiPriority w:val="6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6">
    <w:name w:val="Light Shading Accent 6"/>
    <w:basedOn w:val="TableGrid1"/>
    <w:uiPriority w:val="60"/>
    <w:rPr>
      <w:color w:val="E36C0A"/>
      <w:lang w:eastAsia="zh-CN"/>
    </w:rPr>
    <w:tblPr>
      <w:tblStyleRowBandSize w:val="1"/>
      <w:tblStyleColBandSize w:val="1"/>
      <w:tblBorders>
        <w:top w:val="single" w:sz="8" w:space="0" w:color="F79646"/>
        <w:left w:val="none" w:sz="0" w:space="0" w:color="auto"/>
        <w:bottom w:val="single" w:sz="8" w:space="0" w:color="F79646"/>
        <w:right w:val="none" w:sz="0" w:space="0" w:color="auto"/>
        <w:insideH w:val="none" w:sz="0" w:space="0" w:color="auto"/>
        <w:insideV w:val="none" w:sz="0" w:space="0" w:color="auto"/>
      </w:tblBorders>
    </w:tblPr>
    <w:tcPr>
      <w:shd w:val="clear" w:color="auto" w:fill="auto"/>
    </w:tc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i/>
        <w:iCs/>
      </w:rPr>
      <w:tblPr/>
      <w:tcPr>
        <w:tcBorders>
          <w:top w:val="single" w:sz="8" w:space="0" w:color="F79646"/>
          <w:left w:val="nil"/>
          <w:bottom w:val="single" w:sz="8" w:space="0" w:color="F79646"/>
          <w:right w:val="nil"/>
          <w:insideH w:val="nil"/>
          <w:insideV w:val="nil"/>
          <w:tl2br w:val="none" w:sz="0" w:space="0" w:color="auto"/>
          <w:tr2bl w:val="none" w:sz="0" w:space="0" w:color="auto"/>
        </w:tcBorders>
      </w:tcPr>
    </w:tblStylePr>
    <w:tblStylePr w:type="firstCol">
      <w:rPr>
        <w:b/>
        <w:bCs/>
      </w:rPr>
    </w:tblStylePr>
    <w:tblStylePr w:type="lastCol">
      <w:rPr>
        <w:b/>
        <w:bCs/>
        <w:i/>
        <w:iCs/>
      </w:rPr>
      <w:tblPr/>
      <w:tcPr>
        <w:tcBorders>
          <w:tl2br w:val="none" w:sz="0" w:space="0" w:color="auto"/>
          <w:tr2bl w:val="none" w:sz="0" w:space="0" w:color="auto"/>
        </w:tcBorders>
      </w:tc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customStyle="1" w:styleId="TableText">
    <w:name w:val="Table Text"/>
    <w:link w:val="TableTextChar"/>
    <w:uiPriority w:val="13"/>
    <w:qFormat/>
    <w:pPr>
      <w:spacing w:before="60" w:after="60"/>
    </w:pPr>
    <w:rPr>
      <w:rFonts w:asciiTheme="minorHAnsi" w:eastAsiaTheme="minorHAnsi" w:hAnsiTheme="minorHAnsi" w:cstheme="minorBidi"/>
      <w:sz w:val="18"/>
      <w:szCs w:val="22"/>
      <w:lang w:eastAsia="en-US"/>
    </w:rPr>
  </w:style>
  <w:style w:type="table" w:styleId="TableGrid1">
    <w:name w:val="Table Grid 1"/>
    <w:basedOn w:val="TableNormal"/>
    <w:uiPriority w:val="99"/>
    <w:semiHidden/>
    <w:unhideWhenUsed/>
    <w:pPr>
      <w:spacing w:after="200"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ableHeading">
    <w:name w:val="Table Heading"/>
    <w:basedOn w:val="TableText"/>
    <w:uiPriority w:val="14"/>
    <w:qFormat/>
    <w:pPr>
      <w:keepNext/>
    </w:pPr>
    <w:rPr>
      <w:b/>
    </w:rPr>
  </w:style>
  <w:style w:type="character" w:styleId="PlaceholderText">
    <w:name w:val="Placeholder Text"/>
    <w:basedOn w:val="DefaultParagraphFont"/>
    <w:uiPriority w:val="99"/>
    <w:semiHidden/>
    <w:rPr>
      <w:color w:val="808080"/>
    </w:rPr>
  </w:style>
  <w:style w:type="paragraph" w:customStyle="1" w:styleId="Author">
    <w:name w:val="Author"/>
    <w:basedOn w:val="Normal"/>
    <w:next w:val="Normal"/>
    <w:uiPriority w:val="24"/>
    <w:qFormat/>
    <w:pPr>
      <w:spacing w:after="60"/>
    </w:pPr>
    <w:rPr>
      <w:b/>
      <w:sz w:val="28"/>
      <w:szCs w:val="28"/>
    </w:rPr>
  </w:style>
  <w:style w:type="paragraph" w:customStyle="1" w:styleId="AuthorOrganisationAffiliation">
    <w:name w:val="Author Organisation/Affiliation"/>
    <w:basedOn w:val="Normal"/>
    <w:next w:val="Normal"/>
    <w:uiPriority w:val="25"/>
    <w:qFormat/>
    <w:pPr>
      <w:spacing w:after="720"/>
    </w:pPr>
  </w:style>
  <w:style w:type="character" w:styleId="Strong">
    <w:name w:val="Strong"/>
    <w:uiPriority w:val="22"/>
    <w:qFormat/>
    <w:rPr>
      <w:b/>
      <w:bCs/>
    </w:rPr>
  </w:style>
  <w:style w:type="character" w:styleId="Emphasis">
    <w:name w:val="Emphasis"/>
    <w:basedOn w:val="DefaultParagraphFont"/>
    <w:uiPriority w:val="20"/>
    <w:qFormat/>
    <w:rPr>
      <w:i/>
      <w:iCs/>
    </w:rPr>
  </w:style>
  <w:style w:type="paragraph" w:styleId="TOAHeading">
    <w:name w:val="toa heading"/>
    <w:basedOn w:val="Heading1"/>
    <w:next w:val="Normal"/>
    <w:uiPriority w:val="99"/>
    <w:semiHidden/>
    <w:unhideWhenUsed/>
    <w:pPr>
      <w:spacing w:before="120"/>
    </w:pPr>
    <w:rPr>
      <w:bCs w:val="0"/>
      <w:sz w:val="24"/>
    </w:rPr>
  </w:style>
  <w:style w:type="paragraph" w:styleId="NormalWeb">
    <w:name w:val="Normal (Web)"/>
    <w:basedOn w:val="Normal"/>
    <w:uiPriority w:val="99"/>
    <w:unhideWhenUsed/>
    <w:pPr>
      <w:spacing w:after="168" w:line="168" w:lineRule="atLeast"/>
      <w:jc w:val="both"/>
    </w:pPr>
    <w:rPr>
      <w:rFonts w:ascii="Times New Roman" w:hAnsi="Times New Roman"/>
      <w:sz w:val="13"/>
      <w:szCs w:val="13"/>
      <w:lang w:eastAsia="en-AU"/>
    </w:rPr>
  </w:style>
  <w:style w:type="paragraph" w:customStyle="1" w:styleId="BoxTextBullet">
    <w:name w:val="Box Text Bullet"/>
    <w:basedOn w:val="BoxText"/>
    <w:uiPriority w:val="21"/>
    <w:qFormat/>
    <w:pPr>
      <w:numPr>
        <w:numId w:val="1"/>
      </w:numPr>
      <w:ind w:left="357" w:hanging="357"/>
    </w:pPr>
  </w:style>
  <w:style w:type="paragraph" w:customStyle="1" w:styleId="TableBullet">
    <w:name w:val="Table Bullet"/>
    <w:basedOn w:val="TableText"/>
    <w:uiPriority w:val="15"/>
    <w:qFormat/>
    <w:pPr>
      <w:numPr>
        <w:numId w:val="2"/>
      </w:numPr>
      <w:ind w:left="284" w:hanging="284"/>
    </w:pPr>
  </w:style>
  <w:style w:type="paragraph" w:styleId="DocumentMap">
    <w:name w:val="Document Map"/>
    <w:basedOn w:val="Normal"/>
    <w:link w:val="DocumentMapChar"/>
    <w:semiHidden/>
    <w:unhideWhenUsed/>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semiHidden/>
    <w:rPr>
      <w:rFonts w:ascii="Tahoma" w:eastAsia="Times New Roman" w:hAnsi="Tahoma" w:cs="Tahoma"/>
      <w:sz w:val="16"/>
      <w:szCs w:val="16"/>
    </w:rPr>
  </w:style>
  <w:style w:type="paragraph" w:customStyle="1" w:styleId="TOCHeadingsamepage">
    <w:name w:val="TOC Heading (same page)"/>
    <w:basedOn w:val="TOCHeading"/>
    <w:next w:val="Normal"/>
    <w:uiPriority w:val="39"/>
  </w:style>
  <w:style w:type="paragraph" w:customStyle="1" w:styleId="BoxHeading">
    <w:name w:val="Box Heading"/>
    <w:basedOn w:val="BoxText"/>
    <w:uiPriority w:val="20"/>
    <w:qFormat/>
    <w:pPr>
      <w:spacing w:line="240" w:lineRule="auto"/>
    </w:pPr>
    <w:rPr>
      <w:b/>
    </w:rPr>
  </w:style>
  <w:style w:type="paragraph" w:customStyle="1" w:styleId="Picture">
    <w:name w:val="Picture"/>
    <w:basedOn w:val="Normal"/>
    <w:uiPriority w:val="17"/>
    <w:qFormat/>
    <w:pPr>
      <w:spacing w:before="120" w:after="120" w:line="240" w:lineRule="auto"/>
    </w:pPr>
    <w:rPr>
      <w:noProof/>
      <w:lang w:eastAsia="en-AU"/>
    </w:rPr>
  </w:style>
  <w:style w:type="paragraph" w:customStyle="1" w:styleId="Securityclassification">
    <w:name w:val="Security classification"/>
    <w:basedOn w:val="Header"/>
    <w:next w:val="Header"/>
    <w:uiPriority w:val="26"/>
    <w:qFormat/>
    <w:pPr>
      <w:spacing w:after="0"/>
    </w:pPr>
    <w:rPr>
      <w:b/>
      <w:caps/>
      <w:sz w:val="36"/>
      <w:szCs w:val="36"/>
    </w:rPr>
  </w:style>
  <w:style w:type="paragraph" w:customStyle="1" w:styleId="DisseminationLimitingMarker">
    <w:name w:val="Dissemination Limiting Marker"/>
    <w:basedOn w:val="Header"/>
    <w:next w:val="Header"/>
    <w:uiPriority w:val="27"/>
    <w:qFormat/>
    <w:pPr>
      <w:spacing w:after="0"/>
    </w:pPr>
    <w:rPr>
      <w:b/>
      <w:sz w:val="36"/>
      <w:szCs w:val="36"/>
    </w:rPr>
  </w:style>
  <w:style w:type="character" w:styleId="FootnoteReference">
    <w:name w:val="footnote reference"/>
    <w:basedOn w:val="DefaultParagraphFont"/>
    <w:semiHidden/>
    <w:unhideWhenUsed/>
    <w:rPr>
      <w:vertAlign w:val="superscript"/>
    </w:rPr>
  </w:style>
  <w:style w:type="character" w:styleId="EndnoteReference">
    <w:name w:val="endnote reference"/>
    <w:basedOn w:val="DefaultParagraphFont"/>
    <w:uiPriority w:val="99"/>
    <w:semiHidden/>
    <w:unhideWhenUsed/>
    <w:rPr>
      <w:vertAlign w:val="superscript"/>
    </w:rPr>
  </w:style>
  <w:style w:type="character" w:styleId="FollowedHyperlink">
    <w:name w:val="FollowedHyperlink"/>
    <w:basedOn w:val="DefaultParagraphFont"/>
    <w:uiPriority w:val="99"/>
    <w:semiHidden/>
    <w:unhideWhenUsed/>
    <w:rPr>
      <w:color w:val="800080"/>
      <w:u w:val="single"/>
    </w:rPr>
  </w:style>
  <w:style w:type="paragraph" w:customStyle="1" w:styleId="BoxSource">
    <w:name w:val="Box Source"/>
    <w:basedOn w:val="FigureTableNoteSource"/>
    <w:uiPriority w:val="22"/>
    <w:qFormat/>
    <w:pPr>
      <w:pBdr>
        <w:top w:val="single" w:sz="4" w:space="10" w:color="auto"/>
        <w:left w:val="single" w:sz="4" w:space="10" w:color="auto"/>
        <w:bottom w:val="single" w:sz="4" w:space="10" w:color="auto"/>
        <w:right w:val="single" w:sz="4" w:space="10" w:color="auto"/>
      </w:pBdr>
    </w:pPr>
    <w:rPr>
      <w:lang w:val="en-US"/>
    </w:rPr>
  </w:style>
  <w:style w:type="numbering" w:customStyle="1" w:styleId="heading">
    <w:name w:val="heading"/>
    <w:uiPriority w:val="99"/>
    <w:pPr>
      <w:numPr>
        <w:numId w:val="10"/>
      </w:numPr>
    </w:pPr>
  </w:style>
  <w:style w:type="numbering" w:customStyle="1" w:styleId="captions">
    <w:name w:val="captions"/>
    <w:uiPriority w:val="99"/>
    <w:pPr>
      <w:numPr>
        <w:numId w:val="5"/>
      </w:numPr>
    </w:pPr>
  </w:style>
  <w:style w:type="character" w:customStyle="1" w:styleId="TableTextChar">
    <w:name w:val="Table Text Char"/>
    <w:basedOn w:val="DefaultParagraphFont"/>
    <w:link w:val="TableText"/>
    <w:uiPriority w:val="13"/>
    <w:rPr>
      <w:rFonts w:asciiTheme="minorHAnsi" w:eastAsiaTheme="minorHAnsi" w:hAnsiTheme="minorHAnsi" w:cstheme="minorBidi"/>
      <w:sz w:val="18"/>
      <w:szCs w:val="22"/>
      <w:lang w:eastAsia="en-US"/>
    </w:rPr>
  </w:style>
  <w:style w:type="character" w:customStyle="1" w:styleId="Heading7Char">
    <w:name w:val="Heading 7 Char"/>
    <w:basedOn w:val="DefaultParagraphFont"/>
    <w:link w:val="Heading7"/>
    <w:uiPriority w:val="9"/>
    <w:rPr>
      <w:rFonts w:asciiTheme="minorHAnsi" w:eastAsiaTheme="majorEastAsia" w:hAnsiTheme="minorHAnsi" w:cstheme="majorBidi"/>
      <w:i/>
      <w:color w:val="243F60" w:themeColor="accent1" w:themeShade="7F"/>
      <w:sz w:val="22"/>
      <w:szCs w:val="22"/>
      <w:lang w:eastAsia="en-US"/>
    </w:rPr>
  </w:style>
  <w:style w:type="numbering" w:customStyle="1" w:styleId="List1">
    <w:name w:val="List1"/>
    <w:basedOn w:val="NoList"/>
    <w:uiPriority w:val="99"/>
    <w:pPr>
      <w:numPr>
        <w:numId w:val="3"/>
      </w:numPr>
    </w:pPr>
  </w:style>
  <w:style w:type="character" w:customStyle="1" w:styleId="CaptionChar">
    <w:name w:val="Caption Char"/>
    <w:basedOn w:val="Heading1Char"/>
    <w:link w:val="Caption"/>
    <w:uiPriority w:val="12"/>
    <w:rPr>
      <w:rFonts w:asciiTheme="minorHAnsi" w:eastAsiaTheme="majorEastAsia" w:hAnsiTheme="minorHAnsi" w:cstheme="majorBidi"/>
      <w:b/>
      <w:bCs/>
      <w:color w:val="000000" w:themeColor="text1"/>
      <w:sz w:val="22"/>
      <w:szCs w:val="18"/>
      <w:lang w:eastAsia="en-US"/>
    </w:rPr>
  </w:style>
  <w:style w:type="numbering" w:customStyle="1" w:styleId="listbullets">
    <w:name w:val="list bullets"/>
    <w:uiPriority w:val="99"/>
    <w:pPr>
      <w:numPr>
        <w:numId w:val="6"/>
      </w:numPr>
    </w:pPr>
  </w:style>
  <w:style w:type="numbering" w:customStyle="1" w:styleId="ListNumber1">
    <w:name w:val="List Number1"/>
    <w:uiPriority w:val="99"/>
    <w:pPr>
      <w:numPr>
        <w:numId w:val="8"/>
      </w:numPr>
    </w:pPr>
  </w:style>
  <w:style w:type="character" w:customStyle="1" w:styleId="Heading6Char">
    <w:name w:val="Heading 6 Char"/>
    <w:basedOn w:val="DefaultParagraphFont"/>
    <w:link w:val="Heading6"/>
    <w:uiPriority w:val="9"/>
    <w:rPr>
      <w:rFonts w:asciiTheme="minorHAnsi" w:eastAsiaTheme="majorEastAsia" w:hAnsiTheme="minorHAnsi" w:cstheme="majorBidi"/>
      <w:i/>
      <w:sz w:val="22"/>
      <w:szCs w:val="22"/>
      <w:lang w:eastAsia="en-US"/>
    </w:rPr>
  </w:style>
  <w:style w:type="paragraph" w:styleId="Subtitle">
    <w:name w:val="Subtitle"/>
    <w:basedOn w:val="Heading1"/>
    <w:next w:val="Normal"/>
    <w:link w:val="SubtitleChar"/>
    <w:uiPriority w:val="11"/>
    <w:qFormat/>
    <w:pPr>
      <w:keepNext w:val="0"/>
      <w:keepLines w:val="0"/>
      <w:widowControl w:val="0"/>
      <w:spacing w:before="120" w:after="0"/>
      <w:contextualSpacing/>
    </w:pPr>
    <w:rPr>
      <w:rFonts w:eastAsiaTheme="minorHAnsi" w:cstheme="minorBidi"/>
      <w:b w:val="0"/>
      <w:color w:val="427BA1"/>
      <w:spacing w:val="5"/>
      <w:kern w:val="28"/>
      <w:sz w:val="56"/>
      <w:szCs w:val="56"/>
    </w:rPr>
  </w:style>
  <w:style w:type="character" w:customStyle="1" w:styleId="SubtitleChar">
    <w:name w:val="Subtitle Char"/>
    <w:basedOn w:val="DefaultParagraphFont"/>
    <w:link w:val="Subtitle"/>
    <w:uiPriority w:val="11"/>
    <w:rPr>
      <w:rFonts w:ascii="Calibri" w:eastAsiaTheme="minorHAnsi" w:hAnsi="Calibri" w:cstheme="minorBidi"/>
      <w:bCs/>
      <w:color w:val="427BA1"/>
      <w:spacing w:val="5"/>
      <w:kern w:val="28"/>
      <w:sz w:val="56"/>
      <w:szCs w:val="56"/>
      <w:lang w:eastAsia="en-US"/>
    </w:rPr>
  </w:style>
  <w:style w:type="paragraph" w:styleId="Revision">
    <w:name w:val="Revision"/>
    <w:hidden/>
    <w:uiPriority w:val="99"/>
    <w:semiHidden/>
    <w:rPr>
      <w:rFonts w:eastAsiaTheme="minorHAnsi" w:cstheme="minorBidi"/>
      <w:sz w:val="22"/>
      <w:szCs w:val="22"/>
      <w:lang w:eastAsia="en-US"/>
    </w:rPr>
  </w:style>
  <w:style w:type="paragraph" w:customStyle="1" w:styleId="Documenttype">
    <w:name w:val="Document type"/>
    <w:basedOn w:val="Normal"/>
    <w:qFormat/>
    <w:pPr>
      <w:spacing w:before="360" w:after="0"/>
    </w:pPr>
    <w:rPr>
      <w:color w:val="427BA1"/>
      <w:sz w:val="36"/>
    </w:rPr>
  </w:style>
  <w:style w:type="paragraph" w:customStyle="1" w:styleId="Publicationdate">
    <w:name w:val="Publication date"/>
    <w:basedOn w:val="Normal"/>
    <w:qFormat/>
    <w:rPr>
      <w:color w:val="666C60"/>
      <w:sz w:val="28"/>
    </w:rPr>
  </w:style>
  <w:style w:type="paragraph" w:customStyle="1" w:styleId="TOCHeading2">
    <w:name w:val="TOC Heading 2"/>
    <w:next w:val="Normal"/>
    <w:uiPriority w:val="39"/>
    <w:rPr>
      <w:rFonts w:ascii="Calibri" w:eastAsiaTheme="majorEastAsia" w:hAnsi="Calibri" w:cstheme="majorBidi"/>
      <w:bCs/>
      <w:color w:val="427BA1"/>
      <w:sz w:val="36"/>
      <w:szCs w:val="28"/>
      <w:lang w:val="en-US" w:eastAsia="en-US"/>
    </w:rPr>
  </w:style>
  <w:style w:type="numbering" w:customStyle="1" w:styleId="Style1">
    <w:name w:val="Style1"/>
    <w:uiPriority w:val="99"/>
    <w:pPr>
      <w:numPr>
        <w:numId w:val="11"/>
      </w:numPr>
    </w:pPr>
  </w:style>
  <w:style w:type="character" w:customStyle="1" w:styleId="Heading8Char">
    <w:name w:val="Heading 8 Char"/>
    <w:basedOn w:val="DefaultParagraphFont"/>
    <w:link w:val="Heading8"/>
    <w:uiPriority w:val="9"/>
    <w:semiHidden/>
    <w:rPr>
      <w:rFonts w:asciiTheme="minorHAnsi" w:eastAsiaTheme="majorEastAsia" w:hAnsiTheme="minorHAnsi" w:cstheme="majorBidi"/>
      <w:color w:val="272727" w:themeColor="text1" w:themeTint="D8"/>
      <w:sz w:val="21"/>
      <w:szCs w:val="21"/>
      <w:lang w:eastAsia="en-US"/>
    </w:rPr>
  </w:style>
  <w:style w:type="paragraph" w:styleId="IntenseQuote">
    <w:name w:val="Intense Quote"/>
    <w:basedOn w:val="Normal"/>
    <w:next w:val="Normal"/>
    <w:link w:val="IntenseQuoteChar"/>
    <w:uiPriority w:val="30"/>
    <w:qFormat/>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Pr>
      <w:rFonts w:asciiTheme="minorHAnsi" w:eastAsiaTheme="minorHAnsi" w:hAnsiTheme="minorHAnsi" w:cstheme="minorBidi"/>
      <w:i/>
      <w:iCs/>
      <w:color w:val="4F81BD" w:themeColor="accent1"/>
      <w:sz w:val="22"/>
      <w:szCs w:val="22"/>
      <w:lang w:eastAsia="en-US"/>
    </w:rPr>
  </w:style>
  <w:style w:type="paragraph" w:customStyle="1" w:styleId="Figurecaption">
    <w:name w:val="Figure caption"/>
    <w:basedOn w:val="Normal"/>
    <w:link w:val="FigurecaptionChar"/>
    <w:qFormat/>
    <w:rsid w:val="001303C0"/>
    <w:pPr>
      <w:spacing w:before="120"/>
      <w:ind w:left="799" w:hanging="799"/>
      <w:jc w:val="center"/>
    </w:pPr>
    <w:rPr>
      <w:rFonts w:ascii="Myriad Pro" w:eastAsiaTheme="minorEastAsia" w:hAnsi="Myriad Pro"/>
      <w:sz w:val="18"/>
      <w:szCs w:val="18"/>
      <w:lang w:bidi="en-US"/>
    </w:rPr>
  </w:style>
  <w:style w:type="character" w:customStyle="1" w:styleId="FigurecaptionChar">
    <w:name w:val="Figure caption Char"/>
    <w:basedOn w:val="DefaultParagraphFont"/>
    <w:link w:val="Figurecaption"/>
    <w:rsid w:val="001303C0"/>
    <w:rPr>
      <w:rFonts w:ascii="Myriad Pro" w:eastAsiaTheme="minorEastAsia" w:hAnsi="Myriad Pro" w:cstheme="minorBidi"/>
      <w:sz w:val="18"/>
      <w:szCs w:val="18"/>
      <w:lang w:eastAsia="en-US" w:bidi="en-US"/>
    </w:rPr>
  </w:style>
  <w:style w:type="paragraph" w:customStyle="1" w:styleId="Tabletext0">
    <w:name w:val="Table text"/>
    <w:basedOn w:val="Normal"/>
    <w:rsid w:val="00BF0EB3"/>
    <w:pPr>
      <w:keepNext/>
      <w:spacing w:before="120" w:after="120" w:line="240" w:lineRule="auto"/>
      <w:jc w:val="both"/>
    </w:pPr>
    <w:rPr>
      <w:rFonts w:ascii="Arial" w:eastAsiaTheme="minorEastAsia" w:hAnsi="Arial"/>
      <w:sz w:val="18"/>
      <w:szCs w:val="20"/>
      <w:lang w:val="en-NZ" w:bidi="en-US"/>
    </w:rPr>
  </w:style>
  <w:style w:type="character" w:customStyle="1" w:styleId="Heading9Char">
    <w:name w:val="Heading 9 Char"/>
    <w:basedOn w:val="DefaultParagraphFont"/>
    <w:link w:val="Heading9"/>
    <w:uiPriority w:val="9"/>
    <w:semiHidden/>
    <w:rsid w:val="00241F6F"/>
    <w:rPr>
      <w:rFonts w:ascii="Garamond" w:eastAsiaTheme="minorEastAsia" w:hAnsi="Garamond" w:cstheme="minorBidi"/>
      <w:b/>
      <w:i/>
      <w:smallCaps/>
      <w:color w:val="622423" w:themeColor="accent2" w:themeShade="7F"/>
      <w:sz w:val="22"/>
      <w:lang w:val="en-US" w:eastAsia="en-US" w:bidi="en-US"/>
    </w:rPr>
  </w:style>
  <w:style w:type="paragraph" w:customStyle="1" w:styleId="Definition">
    <w:name w:val="Definition"/>
    <w:basedOn w:val="Normal"/>
    <w:rsid w:val="00241F6F"/>
    <w:pPr>
      <w:tabs>
        <w:tab w:val="left" w:pos="1701"/>
      </w:tabs>
      <w:ind w:left="1701" w:hanging="1701"/>
      <w:jc w:val="both"/>
    </w:pPr>
    <w:rPr>
      <w:rFonts w:ascii="Garamond" w:eastAsiaTheme="minorEastAsia" w:hAnsi="Garamond"/>
      <w:szCs w:val="20"/>
      <w:lang w:val="en-US" w:bidi="en-US"/>
    </w:rPr>
  </w:style>
  <w:style w:type="paragraph" w:styleId="BodyText">
    <w:name w:val="Body Text"/>
    <w:basedOn w:val="Normal"/>
    <w:link w:val="BodyTextChar"/>
    <w:rsid w:val="00241F6F"/>
    <w:pPr>
      <w:jc w:val="center"/>
    </w:pPr>
    <w:rPr>
      <w:rFonts w:ascii="Book Antiqua" w:eastAsiaTheme="minorEastAsia" w:hAnsi="Book Antiqua"/>
      <w:szCs w:val="20"/>
      <w:lang w:val="en-US" w:bidi="en-US"/>
    </w:rPr>
  </w:style>
  <w:style w:type="character" w:customStyle="1" w:styleId="BodyTextChar">
    <w:name w:val="Body Text Char"/>
    <w:basedOn w:val="DefaultParagraphFont"/>
    <w:link w:val="BodyText"/>
    <w:rsid w:val="00241F6F"/>
    <w:rPr>
      <w:rFonts w:ascii="Book Antiqua" w:eastAsiaTheme="minorEastAsia" w:hAnsi="Book Antiqua" w:cstheme="minorBidi"/>
      <w:sz w:val="22"/>
      <w:lang w:val="en-US" w:eastAsia="en-US" w:bidi="en-US"/>
    </w:rPr>
  </w:style>
  <w:style w:type="paragraph" w:styleId="FootnoteText">
    <w:name w:val="footnote text"/>
    <w:basedOn w:val="Normal"/>
    <w:link w:val="FootnoteTextChar"/>
    <w:semiHidden/>
    <w:rsid w:val="00241F6F"/>
    <w:pPr>
      <w:jc w:val="both"/>
    </w:pPr>
    <w:rPr>
      <w:rFonts w:ascii="Garamond" w:eastAsiaTheme="minorEastAsia" w:hAnsi="Garamond"/>
      <w:szCs w:val="20"/>
      <w:lang w:val="en-GB" w:bidi="en-US"/>
    </w:rPr>
  </w:style>
  <w:style w:type="character" w:customStyle="1" w:styleId="FootnoteTextChar">
    <w:name w:val="Footnote Text Char"/>
    <w:basedOn w:val="DefaultParagraphFont"/>
    <w:link w:val="FootnoteText"/>
    <w:semiHidden/>
    <w:rsid w:val="00241F6F"/>
    <w:rPr>
      <w:rFonts w:ascii="Garamond" w:eastAsiaTheme="minorEastAsia" w:hAnsi="Garamond" w:cstheme="minorBidi"/>
      <w:sz w:val="22"/>
      <w:lang w:val="en-GB" w:eastAsia="en-US" w:bidi="en-US"/>
    </w:rPr>
  </w:style>
  <w:style w:type="paragraph" w:customStyle="1" w:styleId="table1">
    <w:name w:val="table 1"/>
    <w:rsid w:val="00241F6F"/>
    <w:pPr>
      <w:spacing w:before="60" w:after="60" w:line="200" w:lineRule="atLeast"/>
      <w:jc w:val="both"/>
    </w:pPr>
    <w:rPr>
      <w:rFonts w:ascii="Arial" w:eastAsiaTheme="minorEastAsia" w:hAnsi="Arial" w:cstheme="minorBidi"/>
      <w:sz w:val="16"/>
      <w:lang w:eastAsia="en-US"/>
    </w:rPr>
  </w:style>
  <w:style w:type="paragraph" w:customStyle="1" w:styleId="Normalbodytext">
    <w:name w:val="Normal body text"/>
    <w:basedOn w:val="Normal"/>
    <w:link w:val="NormalbodytextChar"/>
    <w:rsid w:val="00241F6F"/>
    <w:pPr>
      <w:spacing w:before="120" w:after="240" w:line="320" w:lineRule="atLeast"/>
      <w:jc w:val="both"/>
    </w:pPr>
    <w:rPr>
      <w:rFonts w:ascii="Garamond" w:eastAsiaTheme="minorEastAsia" w:hAnsi="Garamond"/>
      <w:szCs w:val="20"/>
      <w:lang w:val="en-NZ" w:bidi="en-US"/>
    </w:rPr>
  </w:style>
  <w:style w:type="character" w:customStyle="1" w:styleId="NormalbodytextChar">
    <w:name w:val="Normal body text Char"/>
    <w:basedOn w:val="DefaultParagraphFont"/>
    <w:link w:val="Normalbodytext"/>
    <w:rsid w:val="00241F6F"/>
    <w:rPr>
      <w:rFonts w:ascii="Garamond" w:eastAsiaTheme="minorEastAsia" w:hAnsi="Garamond" w:cstheme="minorBidi"/>
      <w:sz w:val="22"/>
      <w:lang w:val="en-NZ" w:eastAsia="en-US" w:bidi="en-US"/>
    </w:rPr>
  </w:style>
  <w:style w:type="paragraph" w:customStyle="1" w:styleId="References">
    <w:name w:val="References"/>
    <w:basedOn w:val="Normalbodytext"/>
    <w:rsid w:val="00241F6F"/>
    <w:pPr>
      <w:keepNext/>
      <w:ind w:left="284" w:right="-6" w:hanging="284"/>
    </w:pPr>
  </w:style>
  <w:style w:type="paragraph" w:styleId="Title">
    <w:name w:val="Title"/>
    <w:basedOn w:val="Normal"/>
    <w:next w:val="Normal"/>
    <w:link w:val="TitleChar"/>
    <w:uiPriority w:val="10"/>
    <w:qFormat/>
    <w:rsid w:val="00241F6F"/>
    <w:pPr>
      <w:pBdr>
        <w:top w:val="single" w:sz="12" w:space="1" w:color="C0504D" w:themeColor="accent2"/>
      </w:pBdr>
      <w:spacing w:line="240" w:lineRule="auto"/>
      <w:jc w:val="right"/>
    </w:pPr>
    <w:rPr>
      <w:rFonts w:ascii="Garamond" w:eastAsiaTheme="minorEastAsia" w:hAnsi="Garamond"/>
      <w:smallCaps/>
      <w:sz w:val="48"/>
      <w:szCs w:val="48"/>
      <w:lang w:val="en-US" w:bidi="en-US"/>
    </w:rPr>
  </w:style>
  <w:style w:type="character" w:customStyle="1" w:styleId="TitleChar">
    <w:name w:val="Title Char"/>
    <w:basedOn w:val="DefaultParagraphFont"/>
    <w:link w:val="Title"/>
    <w:uiPriority w:val="10"/>
    <w:rsid w:val="00241F6F"/>
    <w:rPr>
      <w:rFonts w:ascii="Garamond" w:eastAsiaTheme="minorEastAsia" w:hAnsi="Garamond" w:cstheme="minorBidi"/>
      <w:smallCaps/>
      <w:sz w:val="48"/>
      <w:szCs w:val="48"/>
      <w:lang w:val="en-US" w:eastAsia="en-US" w:bidi="en-US"/>
    </w:rPr>
  </w:style>
  <w:style w:type="paragraph" w:styleId="NoSpacing">
    <w:name w:val="No Spacing"/>
    <w:basedOn w:val="Normal"/>
    <w:link w:val="NoSpacingChar"/>
    <w:uiPriority w:val="1"/>
    <w:qFormat/>
    <w:rsid w:val="00241F6F"/>
    <w:pPr>
      <w:spacing w:after="0" w:line="240" w:lineRule="auto"/>
      <w:jc w:val="both"/>
    </w:pPr>
    <w:rPr>
      <w:rFonts w:ascii="Garamond" w:eastAsiaTheme="minorEastAsia" w:hAnsi="Garamond"/>
      <w:szCs w:val="20"/>
      <w:lang w:val="en-US" w:bidi="en-US"/>
    </w:rPr>
  </w:style>
  <w:style w:type="character" w:customStyle="1" w:styleId="NoSpacingChar">
    <w:name w:val="No Spacing Char"/>
    <w:basedOn w:val="DefaultParagraphFont"/>
    <w:link w:val="NoSpacing"/>
    <w:uiPriority w:val="1"/>
    <w:rsid w:val="00241F6F"/>
    <w:rPr>
      <w:rFonts w:ascii="Garamond" w:eastAsiaTheme="minorEastAsia" w:hAnsi="Garamond" w:cstheme="minorBidi"/>
      <w:sz w:val="22"/>
      <w:lang w:val="en-US" w:eastAsia="en-US" w:bidi="en-US"/>
    </w:rPr>
  </w:style>
  <w:style w:type="character" w:styleId="SubtleEmphasis">
    <w:name w:val="Subtle Emphasis"/>
    <w:uiPriority w:val="19"/>
    <w:qFormat/>
    <w:rsid w:val="00241F6F"/>
    <w:rPr>
      <w:i/>
    </w:rPr>
  </w:style>
  <w:style w:type="character" w:styleId="IntenseEmphasis">
    <w:name w:val="Intense Emphasis"/>
    <w:uiPriority w:val="21"/>
    <w:qFormat/>
    <w:rsid w:val="00241F6F"/>
    <w:rPr>
      <w:b/>
      <w:i/>
      <w:color w:val="C0504D" w:themeColor="accent2"/>
      <w:spacing w:val="10"/>
    </w:rPr>
  </w:style>
  <w:style w:type="character" w:styleId="SubtleReference">
    <w:name w:val="Subtle Reference"/>
    <w:uiPriority w:val="31"/>
    <w:qFormat/>
    <w:rsid w:val="00241F6F"/>
    <w:rPr>
      <w:b/>
    </w:rPr>
  </w:style>
  <w:style w:type="character" w:styleId="IntenseReference">
    <w:name w:val="Intense Reference"/>
    <w:uiPriority w:val="32"/>
    <w:qFormat/>
    <w:rsid w:val="00241F6F"/>
    <w:rPr>
      <w:b/>
      <w:bCs/>
      <w:smallCaps/>
      <w:spacing w:val="5"/>
      <w:sz w:val="22"/>
      <w:szCs w:val="22"/>
      <w:u w:val="single"/>
    </w:rPr>
  </w:style>
  <w:style w:type="character" w:styleId="BookTitle">
    <w:name w:val="Book Title"/>
    <w:uiPriority w:val="33"/>
    <w:qFormat/>
    <w:rsid w:val="00241F6F"/>
    <w:rPr>
      <w:rFonts w:asciiTheme="majorHAnsi" w:eastAsiaTheme="majorEastAsia" w:hAnsiTheme="majorHAnsi" w:cstheme="majorBidi"/>
      <w:i/>
      <w:iCs/>
      <w:sz w:val="20"/>
      <w:szCs w:val="20"/>
    </w:rPr>
  </w:style>
  <w:style w:type="character" w:styleId="HTMLAcronym">
    <w:name w:val="HTML Acronym"/>
    <w:basedOn w:val="DefaultParagraphFont"/>
    <w:uiPriority w:val="99"/>
    <w:unhideWhenUsed/>
    <w:rsid w:val="00241F6F"/>
  </w:style>
  <w:style w:type="paragraph" w:customStyle="1" w:styleId="Heading1waterquality">
    <w:name w:val="Heading 1 water quality"/>
    <w:basedOn w:val="Title"/>
    <w:link w:val="Heading1waterqualityChar"/>
    <w:qFormat/>
    <w:rsid w:val="00241F6F"/>
    <w:pPr>
      <w:spacing w:after="0"/>
    </w:pPr>
    <w:rPr>
      <w:rFonts w:ascii="Myriad Pro" w:hAnsi="Myriad Pro"/>
      <w:caps/>
      <w:smallCaps w:val="0"/>
      <w:color w:val="427BA1"/>
      <w:spacing w:val="20"/>
      <w:sz w:val="32"/>
      <w:szCs w:val="32"/>
    </w:rPr>
  </w:style>
  <w:style w:type="character" w:customStyle="1" w:styleId="Heading1waterqualityChar">
    <w:name w:val="Heading 1 water quality Char"/>
    <w:basedOn w:val="Heading2Char"/>
    <w:link w:val="Heading1waterquality"/>
    <w:rsid w:val="00241F6F"/>
    <w:rPr>
      <w:rFonts w:ascii="Myriad Pro" w:eastAsiaTheme="minorEastAsia" w:hAnsi="Myriad Pro" w:cstheme="minorBidi"/>
      <w:bCs w:val="0"/>
      <w:caps/>
      <w:color w:val="427BA1"/>
      <w:spacing w:val="20"/>
      <w:sz w:val="32"/>
      <w:szCs w:val="32"/>
      <w:lang w:val="en-US" w:eastAsia="en-US" w:bidi="en-US"/>
    </w:rPr>
  </w:style>
  <w:style w:type="paragraph" w:customStyle="1" w:styleId="Table1caption">
    <w:name w:val="Table 1 caption"/>
    <w:basedOn w:val="Normal"/>
    <w:link w:val="Table1captionChar"/>
    <w:qFormat/>
    <w:rsid w:val="00241F6F"/>
    <w:pPr>
      <w:spacing w:before="200" w:after="120"/>
      <w:jc w:val="both"/>
    </w:pPr>
    <w:rPr>
      <w:rFonts w:ascii="Myriad Pro" w:eastAsiaTheme="minorEastAsia" w:hAnsi="Myriad Pro" w:cstheme="minorHAnsi"/>
      <w:b/>
      <w:sz w:val="18"/>
      <w:szCs w:val="18"/>
      <w:lang w:val="en-US" w:bidi="en-US"/>
    </w:rPr>
  </w:style>
  <w:style w:type="character" w:customStyle="1" w:styleId="Table1captionChar">
    <w:name w:val="Table 1 caption Char"/>
    <w:basedOn w:val="DefaultParagraphFont"/>
    <w:link w:val="Table1caption"/>
    <w:rsid w:val="00241F6F"/>
    <w:rPr>
      <w:rFonts w:ascii="Myriad Pro" w:eastAsiaTheme="minorEastAsia" w:hAnsi="Myriad Pro" w:cstheme="minorHAnsi"/>
      <w:b/>
      <w:sz w:val="18"/>
      <w:szCs w:val="18"/>
      <w:lang w:val="en-US" w:eastAsia="en-US" w:bidi="en-US"/>
    </w:rPr>
  </w:style>
  <w:style w:type="character" w:customStyle="1" w:styleId="apple-converted-space">
    <w:name w:val="apple-converted-space"/>
    <w:basedOn w:val="DefaultParagraphFont"/>
    <w:rsid w:val="00241F6F"/>
  </w:style>
  <w:style w:type="character" w:customStyle="1" w:styleId="current-selection">
    <w:name w:val="current-selection"/>
    <w:basedOn w:val="DefaultParagraphFont"/>
    <w:rsid w:val="00241F6F"/>
  </w:style>
  <w:style w:type="table" w:styleId="LightShading">
    <w:name w:val="Light Shading"/>
    <w:basedOn w:val="TableNormal"/>
    <w:uiPriority w:val="60"/>
    <w:rsid w:val="00241F6F"/>
    <w:pPr>
      <w:jc w:val="both"/>
    </w:pPr>
    <w:rPr>
      <w:rFonts w:asciiTheme="minorHAnsi" w:eastAsiaTheme="minorEastAsia" w:hAnsiTheme="minorHAnsi" w:cstheme="minorBidi"/>
      <w:color w:val="000000" w:themeColor="text1" w:themeShade="BF"/>
      <w:lang w:val="en-US" w:eastAsia="en-US" w:bidi="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info">
    <w:name w:val="info"/>
    <w:basedOn w:val="DefaultParagraphFont"/>
    <w:rsid w:val="00241F6F"/>
  </w:style>
  <w:style w:type="paragraph" w:customStyle="1" w:styleId="NRATablebullet">
    <w:name w:val="NRA Table bullet"/>
    <w:basedOn w:val="Normal"/>
    <w:rsid w:val="00241F6F"/>
    <w:pPr>
      <w:keepLines/>
      <w:numPr>
        <w:numId w:val="14"/>
      </w:numPr>
      <w:spacing w:after="0" w:line="240" w:lineRule="auto"/>
    </w:pPr>
    <w:rPr>
      <w:rFonts w:ascii="Times New Roman" w:eastAsia="Times New Roman" w:hAnsi="Times New Roman" w:cs="Times New Roman"/>
      <w:sz w:val="20"/>
      <w:szCs w:val="20"/>
    </w:rPr>
  </w:style>
  <w:style w:type="character" w:customStyle="1" w:styleId="UnresolvedMention1">
    <w:name w:val="Unresolved Mention1"/>
    <w:basedOn w:val="DefaultParagraphFont"/>
    <w:uiPriority w:val="99"/>
    <w:semiHidden/>
    <w:unhideWhenUsed/>
    <w:rsid w:val="00241F6F"/>
    <w:rPr>
      <w:color w:val="605E5C"/>
      <w:shd w:val="clear" w:color="auto" w:fill="E1DFDD"/>
    </w:rPr>
  </w:style>
  <w:style w:type="character" w:customStyle="1" w:styleId="UnresolvedMention2">
    <w:name w:val="Unresolved Mention2"/>
    <w:basedOn w:val="DefaultParagraphFont"/>
    <w:uiPriority w:val="99"/>
    <w:semiHidden/>
    <w:unhideWhenUsed/>
    <w:rsid w:val="00112C24"/>
    <w:rPr>
      <w:color w:val="605E5C"/>
      <w:shd w:val="clear" w:color="auto" w:fill="E1DFDD"/>
    </w:rPr>
  </w:style>
  <w:style w:type="character" w:styleId="UnresolvedMention">
    <w:name w:val="Unresolved Mention"/>
    <w:basedOn w:val="DefaultParagraphFont"/>
    <w:uiPriority w:val="99"/>
    <w:semiHidden/>
    <w:unhideWhenUsed/>
    <w:rsid w:val="009D5E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747358">
      <w:bodyDiv w:val="1"/>
      <w:marLeft w:val="0"/>
      <w:marRight w:val="0"/>
      <w:marTop w:val="0"/>
      <w:marBottom w:val="0"/>
      <w:divBdr>
        <w:top w:val="none" w:sz="0" w:space="0" w:color="auto"/>
        <w:left w:val="none" w:sz="0" w:space="0" w:color="auto"/>
        <w:bottom w:val="none" w:sz="0" w:space="0" w:color="auto"/>
        <w:right w:val="none" w:sz="0" w:space="0" w:color="auto"/>
      </w:divBdr>
      <w:divsChild>
        <w:div w:id="151024955">
          <w:marLeft w:val="0"/>
          <w:marRight w:val="0"/>
          <w:marTop w:val="0"/>
          <w:marBottom w:val="0"/>
          <w:divBdr>
            <w:top w:val="none" w:sz="0" w:space="0" w:color="auto"/>
            <w:left w:val="none" w:sz="0" w:space="0" w:color="auto"/>
            <w:bottom w:val="none" w:sz="0" w:space="0" w:color="auto"/>
            <w:right w:val="none" w:sz="0" w:space="0" w:color="auto"/>
          </w:divBdr>
          <w:divsChild>
            <w:div w:id="1967004827">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5541645">
      <w:bodyDiv w:val="1"/>
      <w:marLeft w:val="0"/>
      <w:marRight w:val="0"/>
      <w:marTop w:val="0"/>
      <w:marBottom w:val="0"/>
      <w:divBdr>
        <w:top w:val="none" w:sz="0" w:space="0" w:color="auto"/>
        <w:left w:val="none" w:sz="0" w:space="0" w:color="auto"/>
        <w:bottom w:val="none" w:sz="0" w:space="0" w:color="auto"/>
        <w:right w:val="none" w:sz="0" w:space="0" w:color="auto"/>
      </w:divBdr>
      <w:divsChild>
        <w:div w:id="1485009654">
          <w:marLeft w:val="0"/>
          <w:marRight w:val="0"/>
          <w:marTop w:val="0"/>
          <w:marBottom w:val="0"/>
          <w:divBdr>
            <w:top w:val="none" w:sz="0" w:space="0" w:color="auto"/>
            <w:left w:val="none" w:sz="0" w:space="0" w:color="auto"/>
            <w:bottom w:val="none" w:sz="0" w:space="0" w:color="auto"/>
            <w:right w:val="none" w:sz="0" w:space="0" w:color="auto"/>
          </w:divBdr>
          <w:divsChild>
            <w:div w:id="823666940">
              <w:marLeft w:val="0"/>
              <w:marRight w:val="0"/>
              <w:marTop w:val="0"/>
              <w:marBottom w:val="0"/>
              <w:divBdr>
                <w:top w:val="none" w:sz="0" w:space="0" w:color="auto"/>
                <w:left w:val="none" w:sz="0" w:space="0" w:color="auto"/>
                <w:bottom w:val="none" w:sz="0" w:space="0" w:color="auto"/>
                <w:right w:val="none" w:sz="0" w:space="0" w:color="auto"/>
              </w:divBdr>
              <w:divsChild>
                <w:div w:id="1610694715">
                  <w:marLeft w:val="3096"/>
                  <w:marRight w:val="0"/>
                  <w:marTop w:val="0"/>
                  <w:marBottom w:val="0"/>
                  <w:divBdr>
                    <w:top w:val="none" w:sz="0" w:space="0" w:color="auto"/>
                    <w:left w:val="none" w:sz="0" w:space="0" w:color="auto"/>
                    <w:bottom w:val="none" w:sz="0" w:space="0" w:color="auto"/>
                    <w:right w:val="none" w:sz="0" w:space="0" w:color="auto"/>
                  </w:divBdr>
                  <w:divsChild>
                    <w:div w:id="1739160187">
                      <w:marLeft w:val="0"/>
                      <w:marRight w:val="0"/>
                      <w:marTop w:val="0"/>
                      <w:marBottom w:val="240"/>
                      <w:divBdr>
                        <w:top w:val="none" w:sz="0" w:space="0" w:color="auto"/>
                        <w:left w:val="none" w:sz="0" w:space="0" w:color="auto"/>
                        <w:bottom w:val="none" w:sz="0" w:space="0" w:color="auto"/>
                        <w:right w:val="none" w:sz="0" w:space="0" w:color="auto"/>
                      </w:divBdr>
                      <w:divsChild>
                        <w:div w:id="1694303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50884">
      <w:bodyDiv w:val="1"/>
      <w:marLeft w:val="0"/>
      <w:marRight w:val="0"/>
      <w:marTop w:val="0"/>
      <w:marBottom w:val="0"/>
      <w:divBdr>
        <w:top w:val="none" w:sz="0" w:space="0" w:color="auto"/>
        <w:left w:val="none" w:sz="0" w:space="0" w:color="auto"/>
        <w:bottom w:val="none" w:sz="0" w:space="0" w:color="auto"/>
        <w:right w:val="none" w:sz="0" w:space="0" w:color="auto"/>
      </w:divBdr>
      <w:divsChild>
        <w:div w:id="616067500">
          <w:marLeft w:val="0"/>
          <w:marRight w:val="0"/>
          <w:marTop w:val="0"/>
          <w:marBottom w:val="0"/>
          <w:divBdr>
            <w:top w:val="none" w:sz="0" w:space="0" w:color="auto"/>
            <w:left w:val="none" w:sz="0" w:space="0" w:color="auto"/>
            <w:bottom w:val="none" w:sz="0" w:space="0" w:color="auto"/>
            <w:right w:val="none" w:sz="0" w:space="0" w:color="auto"/>
          </w:divBdr>
          <w:divsChild>
            <w:div w:id="802696743">
              <w:marLeft w:val="0"/>
              <w:marRight w:val="0"/>
              <w:marTop w:val="0"/>
              <w:marBottom w:val="0"/>
              <w:divBdr>
                <w:top w:val="none" w:sz="0" w:space="0" w:color="auto"/>
                <w:left w:val="none" w:sz="0" w:space="0" w:color="auto"/>
                <w:bottom w:val="none" w:sz="0" w:space="0" w:color="auto"/>
                <w:right w:val="none" w:sz="0" w:space="0" w:color="auto"/>
              </w:divBdr>
              <w:divsChild>
                <w:div w:id="1630817326">
                  <w:marLeft w:val="3096"/>
                  <w:marRight w:val="0"/>
                  <w:marTop w:val="0"/>
                  <w:marBottom w:val="0"/>
                  <w:divBdr>
                    <w:top w:val="none" w:sz="0" w:space="0" w:color="auto"/>
                    <w:left w:val="none" w:sz="0" w:space="0" w:color="auto"/>
                    <w:bottom w:val="none" w:sz="0" w:space="0" w:color="auto"/>
                    <w:right w:val="none" w:sz="0" w:space="0" w:color="auto"/>
                  </w:divBdr>
                  <w:divsChild>
                    <w:div w:id="1404336169">
                      <w:marLeft w:val="0"/>
                      <w:marRight w:val="0"/>
                      <w:marTop w:val="0"/>
                      <w:marBottom w:val="240"/>
                      <w:divBdr>
                        <w:top w:val="none" w:sz="0" w:space="0" w:color="auto"/>
                        <w:left w:val="none" w:sz="0" w:space="0" w:color="auto"/>
                        <w:bottom w:val="none" w:sz="0" w:space="0" w:color="auto"/>
                        <w:right w:val="none" w:sz="0" w:space="0" w:color="auto"/>
                      </w:divBdr>
                      <w:divsChild>
                        <w:div w:id="17485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06540">
      <w:bodyDiv w:val="1"/>
      <w:marLeft w:val="0"/>
      <w:marRight w:val="0"/>
      <w:marTop w:val="0"/>
      <w:marBottom w:val="0"/>
      <w:divBdr>
        <w:top w:val="none" w:sz="0" w:space="0" w:color="auto"/>
        <w:left w:val="none" w:sz="0" w:space="0" w:color="auto"/>
        <w:bottom w:val="none" w:sz="0" w:space="0" w:color="auto"/>
        <w:right w:val="none" w:sz="0" w:space="0" w:color="auto"/>
      </w:divBdr>
    </w:div>
    <w:div w:id="289288450">
      <w:bodyDiv w:val="1"/>
      <w:marLeft w:val="0"/>
      <w:marRight w:val="0"/>
      <w:marTop w:val="0"/>
      <w:marBottom w:val="0"/>
      <w:divBdr>
        <w:top w:val="none" w:sz="0" w:space="0" w:color="auto"/>
        <w:left w:val="none" w:sz="0" w:space="0" w:color="auto"/>
        <w:bottom w:val="none" w:sz="0" w:space="0" w:color="auto"/>
        <w:right w:val="none" w:sz="0" w:space="0" w:color="auto"/>
      </w:divBdr>
    </w:div>
    <w:div w:id="294063249">
      <w:bodyDiv w:val="1"/>
      <w:marLeft w:val="0"/>
      <w:marRight w:val="0"/>
      <w:marTop w:val="0"/>
      <w:marBottom w:val="0"/>
      <w:divBdr>
        <w:top w:val="none" w:sz="0" w:space="0" w:color="auto"/>
        <w:left w:val="none" w:sz="0" w:space="0" w:color="auto"/>
        <w:bottom w:val="none" w:sz="0" w:space="0" w:color="auto"/>
        <w:right w:val="none" w:sz="0" w:space="0" w:color="auto"/>
      </w:divBdr>
    </w:div>
    <w:div w:id="372198115">
      <w:bodyDiv w:val="1"/>
      <w:marLeft w:val="0"/>
      <w:marRight w:val="0"/>
      <w:marTop w:val="0"/>
      <w:marBottom w:val="0"/>
      <w:divBdr>
        <w:top w:val="none" w:sz="0" w:space="0" w:color="auto"/>
        <w:left w:val="none" w:sz="0" w:space="0" w:color="auto"/>
        <w:bottom w:val="none" w:sz="0" w:space="0" w:color="auto"/>
        <w:right w:val="none" w:sz="0" w:space="0" w:color="auto"/>
      </w:divBdr>
      <w:divsChild>
        <w:div w:id="921640949">
          <w:marLeft w:val="0"/>
          <w:marRight w:val="0"/>
          <w:marTop w:val="0"/>
          <w:marBottom w:val="0"/>
          <w:divBdr>
            <w:top w:val="none" w:sz="0" w:space="0" w:color="auto"/>
            <w:left w:val="none" w:sz="0" w:space="0" w:color="auto"/>
            <w:bottom w:val="none" w:sz="0" w:space="0" w:color="auto"/>
            <w:right w:val="none" w:sz="0" w:space="0" w:color="auto"/>
          </w:divBdr>
          <w:divsChild>
            <w:div w:id="440105684">
              <w:marLeft w:val="0"/>
              <w:marRight w:val="0"/>
              <w:marTop w:val="0"/>
              <w:marBottom w:val="0"/>
              <w:divBdr>
                <w:top w:val="none" w:sz="0" w:space="0" w:color="auto"/>
                <w:left w:val="none" w:sz="0" w:space="0" w:color="auto"/>
                <w:bottom w:val="none" w:sz="0" w:space="0" w:color="auto"/>
                <w:right w:val="none" w:sz="0" w:space="0" w:color="auto"/>
              </w:divBdr>
              <w:divsChild>
                <w:div w:id="2053770889">
                  <w:marLeft w:val="3096"/>
                  <w:marRight w:val="0"/>
                  <w:marTop w:val="0"/>
                  <w:marBottom w:val="0"/>
                  <w:divBdr>
                    <w:top w:val="none" w:sz="0" w:space="0" w:color="auto"/>
                    <w:left w:val="none" w:sz="0" w:space="0" w:color="auto"/>
                    <w:bottom w:val="none" w:sz="0" w:space="0" w:color="auto"/>
                    <w:right w:val="none" w:sz="0" w:space="0" w:color="auto"/>
                  </w:divBdr>
                  <w:divsChild>
                    <w:div w:id="1530725166">
                      <w:marLeft w:val="0"/>
                      <w:marRight w:val="0"/>
                      <w:marTop w:val="0"/>
                      <w:marBottom w:val="240"/>
                      <w:divBdr>
                        <w:top w:val="none" w:sz="0" w:space="0" w:color="auto"/>
                        <w:left w:val="none" w:sz="0" w:space="0" w:color="auto"/>
                        <w:bottom w:val="none" w:sz="0" w:space="0" w:color="auto"/>
                        <w:right w:val="none" w:sz="0" w:space="0" w:color="auto"/>
                      </w:divBdr>
                      <w:divsChild>
                        <w:div w:id="1032263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8019418">
      <w:bodyDiv w:val="1"/>
      <w:marLeft w:val="0"/>
      <w:marRight w:val="0"/>
      <w:marTop w:val="0"/>
      <w:marBottom w:val="0"/>
      <w:divBdr>
        <w:top w:val="none" w:sz="0" w:space="0" w:color="auto"/>
        <w:left w:val="none" w:sz="0" w:space="0" w:color="auto"/>
        <w:bottom w:val="none" w:sz="0" w:space="0" w:color="auto"/>
        <w:right w:val="none" w:sz="0" w:space="0" w:color="auto"/>
      </w:divBdr>
      <w:divsChild>
        <w:div w:id="1653438233">
          <w:marLeft w:val="0"/>
          <w:marRight w:val="0"/>
          <w:marTop w:val="0"/>
          <w:marBottom w:val="0"/>
          <w:divBdr>
            <w:top w:val="none" w:sz="0" w:space="0" w:color="auto"/>
            <w:left w:val="none" w:sz="0" w:space="0" w:color="auto"/>
            <w:bottom w:val="none" w:sz="0" w:space="0" w:color="auto"/>
            <w:right w:val="none" w:sz="0" w:space="0" w:color="auto"/>
          </w:divBdr>
          <w:divsChild>
            <w:div w:id="928466901">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422991131">
      <w:bodyDiv w:val="1"/>
      <w:marLeft w:val="0"/>
      <w:marRight w:val="0"/>
      <w:marTop w:val="0"/>
      <w:marBottom w:val="0"/>
      <w:divBdr>
        <w:top w:val="none" w:sz="0" w:space="0" w:color="auto"/>
        <w:left w:val="none" w:sz="0" w:space="0" w:color="auto"/>
        <w:bottom w:val="none" w:sz="0" w:space="0" w:color="auto"/>
        <w:right w:val="none" w:sz="0" w:space="0" w:color="auto"/>
      </w:divBdr>
      <w:divsChild>
        <w:div w:id="1105615592">
          <w:marLeft w:val="0"/>
          <w:marRight w:val="0"/>
          <w:marTop w:val="0"/>
          <w:marBottom w:val="0"/>
          <w:divBdr>
            <w:top w:val="none" w:sz="0" w:space="0" w:color="auto"/>
            <w:left w:val="none" w:sz="0" w:space="0" w:color="auto"/>
            <w:bottom w:val="none" w:sz="0" w:space="0" w:color="auto"/>
            <w:right w:val="none" w:sz="0" w:space="0" w:color="auto"/>
          </w:divBdr>
          <w:divsChild>
            <w:div w:id="438644918">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444740545">
      <w:bodyDiv w:val="1"/>
      <w:marLeft w:val="0"/>
      <w:marRight w:val="0"/>
      <w:marTop w:val="0"/>
      <w:marBottom w:val="0"/>
      <w:divBdr>
        <w:top w:val="none" w:sz="0" w:space="0" w:color="auto"/>
        <w:left w:val="none" w:sz="0" w:space="0" w:color="auto"/>
        <w:bottom w:val="none" w:sz="0" w:space="0" w:color="auto"/>
        <w:right w:val="none" w:sz="0" w:space="0" w:color="auto"/>
      </w:divBdr>
      <w:divsChild>
        <w:div w:id="2093622412">
          <w:marLeft w:val="0"/>
          <w:marRight w:val="0"/>
          <w:marTop w:val="0"/>
          <w:marBottom w:val="0"/>
          <w:divBdr>
            <w:top w:val="none" w:sz="0" w:space="0" w:color="auto"/>
            <w:left w:val="none" w:sz="0" w:space="0" w:color="auto"/>
            <w:bottom w:val="none" w:sz="0" w:space="0" w:color="auto"/>
            <w:right w:val="none" w:sz="0" w:space="0" w:color="auto"/>
          </w:divBdr>
          <w:divsChild>
            <w:div w:id="1323007959">
              <w:marLeft w:val="0"/>
              <w:marRight w:val="0"/>
              <w:marTop w:val="0"/>
              <w:marBottom w:val="0"/>
              <w:divBdr>
                <w:top w:val="none" w:sz="0" w:space="0" w:color="auto"/>
                <w:left w:val="none" w:sz="0" w:space="0" w:color="auto"/>
                <w:bottom w:val="none" w:sz="0" w:space="0" w:color="auto"/>
                <w:right w:val="none" w:sz="0" w:space="0" w:color="auto"/>
              </w:divBdr>
              <w:divsChild>
                <w:div w:id="1956330495">
                  <w:marLeft w:val="3096"/>
                  <w:marRight w:val="0"/>
                  <w:marTop w:val="0"/>
                  <w:marBottom w:val="0"/>
                  <w:divBdr>
                    <w:top w:val="none" w:sz="0" w:space="0" w:color="auto"/>
                    <w:left w:val="none" w:sz="0" w:space="0" w:color="auto"/>
                    <w:bottom w:val="none" w:sz="0" w:space="0" w:color="auto"/>
                    <w:right w:val="none" w:sz="0" w:space="0" w:color="auto"/>
                  </w:divBdr>
                  <w:divsChild>
                    <w:div w:id="347491183">
                      <w:marLeft w:val="0"/>
                      <w:marRight w:val="0"/>
                      <w:marTop w:val="0"/>
                      <w:marBottom w:val="240"/>
                      <w:divBdr>
                        <w:top w:val="none" w:sz="0" w:space="0" w:color="auto"/>
                        <w:left w:val="none" w:sz="0" w:space="0" w:color="auto"/>
                        <w:bottom w:val="none" w:sz="0" w:space="0" w:color="auto"/>
                        <w:right w:val="none" w:sz="0" w:space="0" w:color="auto"/>
                      </w:divBdr>
                      <w:divsChild>
                        <w:div w:id="30127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8932812">
      <w:bodyDiv w:val="1"/>
      <w:marLeft w:val="0"/>
      <w:marRight w:val="0"/>
      <w:marTop w:val="0"/>
      <w:marBottom w:val="0"/>
      <w:divBdr>
        <w:top w:val="none" w:sz="0" w:space="0" w:color="auto"/>
        <w:left w:val="none" w:sz="0" w:space="0" w:color="auto"/>
        <w:bottom w:val="none" w:sz="0" w:space="0" w:color="auto"/>
        <w:right w:val="none" w:sz="0" w:space="0" w:color="auto"/>
      </w:divBdr>
      <w:divsChild>
        <w:div w:id="558367655">
          <w:marLeft w:val="0"/>
          <w:marRight w:val="0"/>
          <w:marTop w:val="0"/>
          <w:marBottom w:val="0"/>
          <w:divBdr>
            <w:top w:val="none" w:sz="0" w:space="0" w:color="auto"/>
            <w:left w:val="none" w:sz="0" w:space="0" w:color="auto"/>
            <w:bottom w:val="none" w:sz="0" w:space="0" w:color="auto"/>
            <w:right w:val="none" w:sz="0" w:space="0" w:color="auto"/>
          </w:divBdr>
          <w:divsChild>
            <w:div w:id="770122578">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500464410">
      <w:bodyDiv w:val="1"/>
      <w:marLeft w:val="0"/>
      <w:marRight w:val="0"/>
      <w:marTop w:val="0"/>
      <w:marBottom w:val="0"/>
      <w:divBdr>
        <w:top w:val="none" w:sz="0" w:space="0" w:color="auto"/>
        <w:left w:val="none" w:sz="0" w:space="0" w:color="auto"/>
        <w:bottom w:val="none" w:sz="0" w:space="0" w:color="auto"/>
        <w:right w:val="none" w:sz="0" w:space="0" w:color="auto"/>
      </w:divBdr>
      <w:divsChild>
        <w:div w:id="774208485">
          <w:marLeft w:val="0"/>
          <w:marRight w:val="0"/>
          <w:marTop w:val="0"/>
          <w:marBottom w:val="0"/>
          <w:divBdr>
            <w:top w:val="none" w:sz="0" w:space="0" w:color="auto"/>
            <w:left w:val="none" w:sz="0" w:space="0" w:color="auto"/>
            <w:bottom w:val="none" w:sz="0" w:space="0" w:color="auto"/>
            <w:right w:val="none" w:sz="0" w:space="0" w:color="auto"/>
          </w:divBdr>
          <w:divsChild>
            <w:div w:id="1215435435">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589312282">
      <w:bodyDiv w:val="1"/>
      <w:marLeft w:val="0"/>
      <w:marRight w:val="0"/>
      <w:marTop w:val="0"/>
      <w:marBottom w:val="0"/>
      <w:divBdr>
        <w:top w:val="none" w:sz="0" w:space="0" w:color="auto"/>
        <w:left w:val="none" w:sz="0" w:space="0" w:color="auto"/>
        <w:bottom w:val="none" w:sz="0" w:space="0" w:color="auto"/>
        <w:right w:val="none" w:sz="0" w:space="0" w:color="auto"/>
      </w:divBdr>
    </w:div>
    <w:div w:id="608700581">
      <w:bodyDiv w:val="1"/>
      <w:marLeft w:val="0"/>
      <w:marRight w:val="0"/>
      <w:marTop w:val="0"/>
      <w:marBottom w:val="0"/>
      <w:divBdr>
        <w:top w:val="none" w:sz="0" w:space="0" w:color="auto"/>
        <w:left w:val="none" w:sz="0" w:space="0" w:color="auto"/>
        <w:bottom w:val="none" w:sz="0" w:space="0" w:color="auto"/>
        <w:right w:val="none" w:sz="0" w:space="0" w:color="auto"/>
      </w:divBdr>
      <w:divsChild>
        <w:div w:id="2125464787">
          <w:marLeft w:val="0"/>
          <w:marRight w:val="0"/>
          <w:marTop w:val="0"/>
          <w:marBottom w:val="0"/>
          <w:divBdr>
            <w:top w:val="none" w:sz="0" w:space="0" w:color="auto"/>
            <w:left w:val="none" w:sz="0" w:space="0" w:color="auto"/>
            <w:bottom w:val="none" w:sz="0" w:space="0" w:color="auto"/>
            <w:right w:val="none" w:sz="0" w:space="0" w:color="auto"/>
          </w:divBdr>
          <w:divsChild>
            <w:div w:id="1601142446">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21766386">
      <w:bodyDiv w:val="1"/>
      <w:marLeft w:val="0"/>
      <w:marRight w:val="0"/>
      <w:marTop w:val="0"/>
      <w:marBottom w:val="0"/>
      <w:divBdr>
        <w:top w:val="none" w:sz="0" w:space="0" w:color="auto"/>
        <w:left w:val="none" w:sz="0" w:space="0" w:color="auto"/>
        <w:bottom w:val="none" w:sz="0" w:space="0" w:color="auto"/>
        <w:right w:val="none" w:sz="0" w:space="0" w:color="auto"/>
      </w:divBdr>
    </w:div>
    <w:div w:id="626081013">
      <w:bodyDiv w:val="1"/>
      <w:marLeft w:val="0"/>
      <w:marRight w:val="0"/>
      <w:marTop w:val="0"/>
      <w:marBottom w:val="0"/>
      <w:divBdr>
        <w:top w:val="none" w:sz="0" w:space="0" w:color="auto"/>
        <w:left w:val="none" w:sz="0" w:space="0" w:color="auto"/>
        <w:bottom w:val="none" w:sz="0" w:space="0" w:color="auto"/>
        <w:right w:val="none" w:sz="0" w:space="0" w:color="auto"/>
      </w:divBdr>
      <w:divsChild>
        <w:div w:id="1524051492">
          <w:marLeft w:val="0"/>
          <w:marRight w:val="0"/>
          <w:marTop w:val="0"/>
          <w:marBottom w:val="0"/>
          <w:divBdr>
            <w:top w:val="none" w:sz="0" w:space="0" w:color="auto"/>
            <w:left w:val="none" w:sz="0" w:space="0" w:color="auto"/>
            <w:bottom w:val="none" w:sz="0" w:space="0" w:color="auto"/>
            <w:right w:val="none" w:sz="0" w:space="0" w:color="auto"/>
          </w:divBdr>
          <w:divsChild>
            <w:div w:id="1181433606">
              <w:marLeft w:val="0"/>
              <w:marRight w:val="0"/>
              <w:marTop w:val="0"/>
              <w:marBottom w:val="0"/>
              <w:divBdr>
                <w:top w:val="none" w:sz="0" w:space="0" w:color="auto"/>
                <w:left w:val="none" w:sz="0" w:space="0" w:color="auto"/>
                <w:bottom w:val="none" w:sz="0" w:space="0" w:color="auto"/>
                <w:right w:val="none" w:sz="0" w:space="0" w:color="auto"/>
              </w:divBdr>
              <w:divsChild>
                <w:div w:id="557864718">
                  <w:marLeft w:val="3096"/>
                  <w:marRight w:val="0"/>
                  <w:marTop w:val="0"/>
                  <w:marBottom w:val="0"/>
                  <w:divBdr>
                    <w:top w:val="none" w:sz="0" w:space="0" w:color="auto"/>
                    <w:left w:val="none" w:sz="0" w:space="0" w:color="auto"/>
                    <w:bottom w:val="none" w:sz="0" w:space="0" w:color="auto"/>
                    <w:right w:val="none" w:sz="0" w:space="0" w:color="auto"/>
                  </w:divBdr>
                  <w:divsChild>
                    <w:div w:id="1930846012">
                      <w:marLeft w:val="0"/>
                      <w:marRight w:val="0"/>
                      <w:marTop w:val="0"/>
                      <w:marBottom w:val="240"/>
                      <w:divBdr>
                        <w:top w:val="none" w:sz="0" w:space="0" w:color="auto"/>
                        <w:left w:val="none" w:sz="0" w:space="0" w:color="auto"/>
                        <w:bottom w:val="none" w:sz="0" w:space="0" w:color="auto"/>
                        <w:right w:val="none" w:sz="0" w:space="0" w:color="auto"/>
                      </w:divBdr>
                      <w:divsChild>
                        <w:div w:id="2125078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4311090">
      <w:bodyDiv w:val="1"/>
      <w:marLeft w:val="0"/>
      <w:marRight w:val="0"/>
      <w:marTop w:val="0"/>
      <w:marBottom w:val="0"/>
      <w:divBdr>
        <w:top w:val="none" w:sz="0" w:space="0" w:color="auto"/>
        <w:left w:val="none" w:sz="0" w:space="0" w:color="auto"/>
        <w:bottom w:val="none" w:sz="0" w:space="0" w:color="auto"/>
        <w:right w:val="none" w:sz="0" w:space="0" w:color="auto"/>
      </w:divBdr>
      <w:divsChild>
        <w:div w:id="1562325757">
          <w:marLeft w:val="0"/>
          <w:marRight w:val="0"/>
          <w:marTop w:val="0"/>
          <w:marBottom w:val="0"/>
          <w:divBdr>
            <w:top w:val="none" w:sz="0" w:space="0" w:color="auto"/>
            <w:left w:val="none" w:sz="0" w:space="0" w:color="auto"/>
            <w:bottom w:val="none" w:sz="0" w:space="0" w:color="auto"/>
            <w:right w:val="none" w:sz="0" w:space="0" w:color="auto"/>
          </w:divBdr>
          <w:divsChild>
            <w:div w:id="1331564381">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77655667">
      <w:bodyDiv w:val="1"/>
      <w:marLeft w:val="0"/>
      <w:marRight w:val="0"/>
      <w:marTop w:val="0"/>
      <w:marBottom w:val="0"/>
      <w:divBdr>
        <w:top w:val="none" w:sz="0" w:space="0" w:color="auto"/>
        <w:left w:val="none" w:sz="0" w:space="0" w:color="auto"/>
        <w:bottom w:val="none" w:sz="0" w:space="0" w:color="auto"/>
        <w:right w:val="none" w:sz="0" w:space="0" w:color="auto"/>
      </w:divBdr>
      <w:divsChild>
        <w:div w:id="275526837">
          <w:marLeft w:val="0"/>
          <w:marRight w:val="0"/>
          <w:marTop w:val="0"/>
          <w:marBottom w:val="0"/>
          <w:divBdr>
            <w:top w:val="none" w:sz="0" w:space="0" w:color="auto"/>
            <w:left w:val="none" w:sz="0" w:space="0" w:color="auto"/>
            <w:bottom w:val="none" w:sz="0" w:space="0" w:color="auto"/>
            <w:right w:val="none" w:sz="0" w:space="0" w:color="auto"/>
          </w:divBdr>
          <w:divsChild>
            <w:div w:id="601913216">
              <w:marLeft w:val="0"/>
              <w:marRight w:val="0"/>
              <w:marTop w:val="0"/>
              <w:marBottom w:val="0"/>
              <w:divBdr>
                <w:top w:val="none" w:sz="0" w:space="0" w:color="auto"/>
                <w:left w:val="none" w:sz="0" w:space="0" w:color="auto"/>
                <w:bottom w:val="none" w:sz="0" w:space="0" w:color="auto"/>
                <w:right w:val="none" w:sz="0" w:space="0" w:color="auto"/>
              </w:divBdr>
              <w:divsChild>
                <w:div w:id="933981249">
                  <w:marLeft w:val="3096"/>
                  <w:marRight w:val="0"/>
                  <w:marTop w:val="0"/>
                  <w:marBottom w:val="0"/>
                  <w:divBdr>
                    <w:top w:val="none" w:sz="0" w:space="0" w:color="auto"/>
                    <w:left w:val="none" w:sz="0" w:space="0" w:color="auto"/>
                    <w:bottom w:val="none" w:sz="0" w:space="0" w:color="auto"/>
                    <w:right w:val="none" w:sz="0" w:space="0" w:color="auto"/>
                  </w:divBdr>
                  <w:divsChild>
                    <w:div w:id="1339507635">
                      <w:marLeft w:val="0"/>
                      <w:marRight w:val="0"/>
                      <w:marTop w:val="0"/>
                      <w:marBottom w:val="240"/>
                      <w:divBdr>
                        <w:top w:val="none" w:sz="0" w:space="0" w:color="auto"/>
                        <w:left w:val="none" w:sz="0" w:space="0" w:color="auto"/>
                        <w:bottom w:val="none" w:sz="0" w:space="0" w:color="auto"/>
                        <w:right w:val="none" w:sz="0" w:space="0" w:color="auto"/>
                      </w:divBdr>
                      <w:divsChild>
                        <w:div w:id="162103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1830557">
      <w:bodyDiv w:val="1"/>
      <w:marLeft w:val="0"/>
      <w:marRight w:val="0"/>
      <w:marTop w:val="0"/>
      <w:marBottom w:val="0"/>
      <w:divBdr>
        <w:top w:val="none" w:sz="0" w:space="0" w:color="auto"/>
        <w:left w:val="none" w:sz="0" w:space="0" w:color="auto"/>
        <w:bottom w:val="none" w:sz="0" w:space="0" w:color="auto"/>
        <w:right w:val="none" w:sz="0" w:space="0" w:color="auto"/>
      </w:divBdr>
      <w:divsChild>
        <w:div w:id="432366140">
          <w:marLeft w:val="0"/>
          <w:marRight w:val="0"/>
          <w:marTop w:val="0"/>
          <w:marBottom w:val="0"/>
          <w:divBdr>
            <w:top w:val="none" w:sz="0" w:space="0" w:color="auto"/>
            <w:left w:val="none" w:sz="0" w:space="0" w:color="auto"/>
            <w:bottom w:val="none" w:sz="0" w:space="0" w:color="auto"/>
            <w:right w:val="none" w:sz="0" w:space="0" w:color="auto"/>
          </w:divBdr>
          <w:divsChild>
            <w:div w:id="1038042871">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724107702">
      <w:bodyDiv w:val="1"/>
      <w:marLeft w:val="0"/>
      <w:marRight w:val="0"/>
      <w:marTop w:val="0"/>
      <w:marBottom w:val="0"/>
      <w:divBdr>
        <w:top w:val="none" w:sz="0" w:space="0" w:color="auto"/>
        <w:left w:val="none" w:sz="0" w:space="0" w:color="auto"/>
        <w:bottom w:val="none" w:sz="0" w:space="0" w:color="auto"/>
        <w:right w:val="none" w:sz="0" w:space="0" w:color="auto"/>
      </w:divBdr>
      <w:divsChild>
        <w:div w:id="617106945">
          <w:marLeft w:val="0"/>
          <w:marRight w:val="0"/>
          <w:marTop w:val="0"/>
          <w:marBottom w:val="0"/>
          <w:divBdr>
            <w:top w:val="none" w:sz="0" w:space="0" w:color="auto"/>
            <w:left w:val="none" w:sz="0" w:space="0" w:color="auto"/>
            <w:bottom w:val="none" w:sz="0" w:space="0" w:color="auto"/>
            <w:right w:val="none" w:sz="0" w:space="0" w:color="auto"/>
          </w:divBdr>
          <w:divsChild>
            <w:div w:id="677773760">
              <w:marLeft w:val="0"/>
              <w:marRight w:val="0"/>
              <w:marTop w:val="0"/>
              <w:marBottom w:val="0"/>
              <w:divBdr>
                <w:top w:val="none" w:sz="0" w:space="0" w:color="auto"/>
                <w:left w:val="none" w:sz="0" w:space="0" w:color="auto"/>
                <w:bottom w:val="none" w:sz="0" w:space="0" w:color="auto"/>
                <w:right w:val="none" w:sz="0" w:space="0" w:color="auto"/>
              </w:divBdr>
              <w:divsChild>
                <w:div w:id="382171722">
                  <w:marLeft w:val="3096"/>
                  <w:marRight w:val="0"/>
                  <w:marTop w:val="0"/>
                  <w:marBottom w:val="0"/>
                  <w:divBdr>
                    <w:top w:val="none" w:sz="0" w:space="0" w:color="auto"/>
                    <w:left w:val="none" w:sz="0" w:space="0" w:color="auto"/>
                    <w:bottom w:val="none" w:sz="0" w:space="0" w:color="auto"/>
                    <w:right w:val="none" w:sz="0" w:space="0" w:color="auto"/>
                  </w:divBdr>
                  <w:divsChild>
                    <w:div w:id="961689868">
                      <w:marLeft w:val="0"/>
                      <w:marRight w:val="0"/>
                      <w:marTop w:val="0"/>
                      <w:marBottom w:val="240"/>
                      <w:divBdr>
                        <w:top w:val="none" w:sz="0" w:space="0" w:color="auto"/>
                        <w:left w:val="none" w:sz="0" w:space="0" w:color="auto"/>
                        <w:bottom w:val="none" w:sz="0" w:space="0" w:color="auto"/>
                        <w:right w:val="none" w:sz="0" w:space="0" w:color="auto"/>
                      </w:divBdr>
                      <w:divsChild>
                        <w:div w:id="174086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5072816">
      <w:bodyDiv w:val="1"/>
      <w:marLeft w:val="0"/>
      <w:marRight w:val="0"/>
      <w:marTop w:val="0"/>
      <w:marBottom w:val="0"/>
      <w:divBdr>
        <w:top w:val="none" w:sz="0" w:space="0" w:color="auto"/>
        <w:left w:val="none" w:sz="0" w:space="0" w:color="auto"/>
        <w:bottom w:val="none" w:sz="0" w:space="0" w:color="auto"/>
        <w:right w:val="none" w:sz="0" w:space="0" w:color="auto"/>
      </w:divBdr>
      <w:divsChild>
        <w:div w:id="624584148">
          <w:marLeft w:val="0"/>
          <w:marRight w:val="0"/>
          <w:marTop w:val="0"/>
          <w:marBottom w:val="0"/>
          <w:divBdr>
            <w:top w:val="none" w:sz="0" w:space="0" w:color="auto"/>
            <w:left w:val="none" w:sz="0" w:space="0" w:color="auto"/>
            <w:bottom w:val="none" w:sz="0" w:space="0" w:color="auto"/>
            <w:right w:val="none" w:sz="0" w:space="0" w:color="auto"/>
          </w:divBdr>
          <w:divsChild>
            <w:div w:id="1914198563">
              <w:marLeft w:val="0"/>
              <w:marRight w:val="0"/>
              <w:marTop w:val="0"/>
              <w:marBottom w:val="0"/>
              <w:divBdr>
                <w:top w:val="none" w:sz="0" w:space="0" w:color="auto"/>
                <w:left w:val="none" w:sz="0" w:space="0" w:color="auto"/>
                <w:bottom w:val="none" w:sz="0" w:space="0" w:color="auto"/>
                <w:right w:val="none" w:sz="0" w:space="0" w:color="auto"/>
              </w:divBdr>
              <w:divsChild>
                <w:div w:id="1734813748">
                  <w:marLeft w:val="3096"/>
                  <w:marRight w:val="0"/>
                  <w:marTop w:val="0"/>
                  <w:marBottom w:val="0"/>
                  <w:divBdr>
                    <w:top w:val="none" w:sz="0" w:space="0" w:color="auto"/>
                    <w:left w:val="none" w:sz="0" w:space="0" w:color="auto"/>
                    <w:bottom w:val="none" w:sz="0" w:space="0" w:color="auto"/>
                    <w:right w:val="none" w:sz="0" w:space="0" w:color="auto"/>
                  </w:divBdr>
                  <w:divsChild>
                    <w:div w:id="366610976">
                      <w:marLeft w:val="0"/>
                      <w:marRight w:val="0"/>
                      <w:marTop w:val="0"/>
                      <w:marBottom w:val="240"/>
                      <w:divBdr>
                        <w:top w:val="none" w:sz="0" w:space="0" w:color="auto"/>
                        <w:left w:val="none" w:sz="0" w:space="0" w:color="auto"/>
                        <w:bottom w:val="none" w:sz="0" w:space="0" w:color="auto"/>
                        <w:right w:val="none" w:sz="0" w:space="0" w:color="auto"/>
                      </w:divBdr>
                      <w:divsChild>
                        <w:div w:id="52443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605249">
      <w:bodyDiv w:val="1"/>
      <w:marLeft w:val="0"/>
      <w:marRight w:val="0"/>
      <w:marTop w:val="0"/>
      <w:marBottom w:val="0"/>
      <w:divBdr>
        <w:top w:val="none" w:sz="0" w:space="0" w:color="auto"/>
        <w:left w:val="none" w:sz="0" w:space="0" w:color="auto"/>
        <w:bottom w:val="none" w:sz="0" w:space="0" w:color="auto"/>
        <w:right w:val="none" w:sz="0" w:space="0" w:color="auto"/>
      </w:divBdr>
      <w:divsChild>
        <w:div w:id="337465247">
          <w:marLeft w:val="0"/>
          <w:marRight w:val="0"/>
          <w:marTop w:val="0"/>
          <w:marBottom w:val="0"/>
          <w:divBdr>
            <w:top w:val="none" w:sz="0" w:space="0" w:color="auto"/>
            <w:left w:val="none" w:sz="0" w:space="0" w:color="auto"/>
            <w:bottom w:val="none" w:sz="0" w:space="0" w:color="auto"/>
            <w:right w:val="none" w:sz="0" w:space="0" w:color="auto"/>
          </w:divBdr>
          <w:divsChild>
            <w:div w:id="263346469">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837233103">
      <w:bodyDiv w:val="1"/>
      <w:marLeft w:val="0"/>
      <w:marRight w:val="0"/>
      <w:marTop w:val="0"/>
      <w:marBottom w:val="0"/>
      <w:divBdr>
        <w:top w:val="none" w:sz="0" w:space="0" w:color="auto"/>
        <w:left w:val="none" w:sz="0" w:space="0" w:color="auto"/>
        <w:bottom w:val="none" w:sz="0" w:space="0" w:color="auto"/>
        <w:right w:val="none" w:sz="0" w:space="0" w:color="auto"/>
      </w:divBdr>
      <w:divsChild>
        <w:div w:id="1455253976">
          <w:marLeft w:val="0"/>
          <w:marRight w:val="0"/>
          <w:marTop w:val="0"/>
          <w:marBottom w:val="0"/>
          <w:divBdr>
            <w:top w:val="none" w:sz="0" w:space="0" w:color="auto"/>
            <w:left w:val="none" w:sz="0" w:space="0" w:color="auto"/>
            <w:bottom w:val="none" w:sz="0" w:space="0" w:color="auto"/>
            <w:right w:val="none" w:sz="0" w:space="0" w:color="auto"/>
          </w:divBdr>
          <w:divsChild>
            <w:div w:id="1398740906">
              <w:marLeft w:val="0"/>
              <w:marRight w:val="0"/>
              <w:marTop w:val="0"/>
              <w:marBottom w:val="0"/>
              <w:divBdr>
                <w:top w:val="none" w:sz="0" w:space="0" w:color="auto"/>
                <w:left w:val="none" w:sz="0" w:space="0" w:color="auto"/>
                <w:bottom w:val="none" w:sz="0" w:space="0" w:color="auto"/>
                <w:right w:val="none" w:sz="0" w:space="0" w:color="auto"/>
              </w:divBdr>
              <w:divsChild>
                <w:div w:id="1034573595">
                  <w:marLeft w:val="3096"/>
                  <w:marRight w:val="0"/>
                  <w:marTop w:val="0"/>
                  <w:marBottom w:val="0"/>
                  <w:divBdr>
                    <w:top w:val="none" w:sz="0" w:space="0" w:color="auto"/>
                    <w:left w:val="none" w:sz="0" w:space="0" w:color="auto"/>
                    <w:bottom w:val="none" w:sz="0" w:space="0" w:color="auto"/>
                    <w:right w:val="none" w:sz="0" w:space="0" w:color="auto"/>
                  </w:divBdr>
                  <w:divsChild>
                    <w:div w:id="832842410">
                      <w:marLeft w:val="0"/>
                      <w:marRight w:val="0"/>
                      <w:marTop w:val="0"/>
                      <w:marBottom w:val="240"/>
                      <w:divBdr>
                        <w:top w:val="none" w:sz="0" w:space="0" w:color="auto"/>
                        <w:left w:val="none" w:sz="0" w:space="0" w:color="auto"/>
                        <w:bottom w:val="none" w:sz="0" w:space="0" w:color="auto"/>
                        <w:right w:val="none" w:sz="0" w:space="0" w:color="auto"/>
                      </w:divBdr>
                      <w:divsChild>
                        <w:div w:id="143401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1041698">
      <w:bodyDiv w:val="1"/>
      <w:marLeft w:val="0"/>
      <w:marRight w:val="0"/>
      <w:marTop w:val="0"/>
      <w:marBottom w:val="0"/>
      <w:divBdr>
        <w:top w:val="none" w:sz="0" w:space="0" w:color="auto"/>
        <w:left w:val="none" w:sz="0" w:space="0" w:color="auto"/>
        <w:bottom w:val="none" w:sz="0" w:space="0" w:color="auto"/>
        <w:right w:val="none" w:sz="0" w:space="0" w:color="auto"/>
      </w:divBdr>
      <w:divsChild>
        <w:div w:id="905725268">
          <w:marLeft w:val="0"/>
          <w:marRight w:val="0"/>
          <w:marTop w:val="0"/>
          <w:marBottom w:val="0"/>
          <w:divBdr>
            <w:top w:val="none" w:sz="0" w:space="0" w:color="auto"/>
            <w:left w:val="none" w:sz="0" w:space="0" w:color="auto"/>
            <w:bottom w:val="none" w:sz="0" w:space="0" w:color="auto"/>
            <w:right w:val="none" w:sz="0" w:space="0" w:color="auto"/>
          </w:divBdr>
          <w:divsChild>
            <w:div w:id="260651070">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914555199">
      <w:bodyDiv w:val="1"/>
      <w:marLeft w:val="0"/>
      <w:marRight w:val="0"/>
      <w:marTop w:val="0"/>
      <w:marBottom w:val="0"/>
      <w:divBdr>
        <w:top w:val="none" w:sz="0" w:space="0" w:color="auto"/>
        <w:left w:val="none" w:sz="0" w:space="0" w:color="auto"/>
        <w:bottom w:val="none" w:sz="0" w:space="0" w:color="auto"/>
        <w:right w:val="none" w:sz="0" w:space="0" w:color="auto"/>
      </w:divBdr>
      <w:divsChild>
        <w:div w:id="937955240">
          <w:marLeft w:val="0"/>
          <w:marRight w:val="0"/>
          <w:marTop w:val="0"/>
          <w:marBottom w:val="0"/>
          <w:divBdr>
            <w:top w:val="none" w:sz="0" w:space="0" w:color="auto"/>
            <w:left w:val="none" w:sz="0" w:space="0" w:color="auto"/>
            <w:bottom w:val="none" w:sz="0" w:space="0" w:color="auto"/>
            <w:right w:val="none" w:sz="0" w:space="0" w:color="auto"/>
          </w:divBdr>
          <w:divsChild>
            <w:div w:id="265618657">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919755253">
      <w:bodyDiv w:val="1"/>
      <w:marLeft w:val="0"/>
      <w:marRight w:val="0"/>
      <w:marTop w:val="0"/>
      <w:marBottom w:val="0"/>
      <w:divBdr>
        <w:top w:val="none" w:sz="0" w:space="0" w:color="auto"/>
        <w:left w:val="none" w:sz="0" w:space="0" w:color="auto"/>
        <w:bottom w:val="none" w:sz="0" w:space="0" w:color="auto"/>
        <w:right w:val="none" w:sz="0" w:space="0" w:color="auto"/>
      </w:divBdr>
      <w:divsChild>
        <w:div w:id="647317824">
          <w:marLeft w:val="0"/>
          <w:marRight w:val="0"/>
          <w:marTop w:val="0"/>
          <w:marBottom w:val="0"/>
          <w:divBdr>
            <w:top w:val="none" w:sz="0" w:space="0" w:color="auto"/>
            <w:left w:val="none" w:sz="0" w:space="0" w:color="auto"/>
            <w:bottom w:val="none" w:sz="0" w:space="0" w:color="auto"/>
            <w:right w:val="none" w:sz="0" w:space="0" w:color="auto"/>
          </w:divBdr>
          <w:divsChild>
            <w:div w:id="1685327814">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006008745">
      <w:bodyDiv w:val="1"/>
      <w:marLeft w:val="0"/>
      <w:marRight w:val="0"/>
      <w:marTop w:val="0"/>
      <w:marBottom w:val="0"/>
      <w:divBdr>
        <w:top w:val="none" w:sz="0" w:space="0" w:color="auto"/>
        <w:left w:val="none" w:sz="0" w:space="0" w:color="auto"/>
        <w:bottom w:val="none" w:sz="0" w:space="0" w:color="auto"/>
        <w:right w:val="none" w:sz="0" w:space="0" w:color="auto"/>
      </w:divBdr>
      <w:divsChild>
        <w:div w:id="1109010583">
          <w:marLeft w:val="0"/>
          <w:marRight w:val="0"/>
          <w:marTop w:val="0"/>
          <w:marBottom w:val="0"/>
          <w:divBdr>
            <w:top w:val="none" w:sz="0" w:space="0" w:color="auto"/>
            <w:left w:val="none" w:sz="0" w:space="0" w:color="auto"/>
            <w:bottom w:val="none" w:sz="0" w:space="0" w:color="auto"/>
            <w:right w:val="none" w:sz="0" w:space="0" w:color="auto"/>
          </w:divBdr>
          <w:divsChild>
            <w:div w:id="514618895">
              <w:marLeft w:val="0"/>
              <w:marRight w:val="0"/>
              <w:marTop w:val="0"/>
              <w:marBottom w:val="0"/>
              <w:divBdr>
                <w:top w:val="none" w:sz="0" w:space="0" w:color="auto"/>
                <w:left w:val="none" w:sz="0" w:space="0" w:color="auto"/>
                <w:bottom w:val="none" w:sz="0" w:space="0" w:color="auto"/>
                <w:right w:val="none" w:sz="0" w:space="0" w:color="auto"/>
              </w:divBdr>
              <w:divsChild>
                <w:div w:id="236283538">
                  <w:marLeft w:val="3096"/>
                  <w:marRight w:val="0"/>
                  <w:marTop w:val="0"/>
                  <w:marBottom w:val="0"/>
                  <w:divBdr>
                    <w:top w:val="none" w:sz="0" w:space="0" w:color="auto"/>
                    <w:left w:val="none" w:sz="0" w:space="0" w:color="auto"/>
                    <w:bottom w:val="none" w:sz="0" w:space="0" w:color="auto"/>
                    <w:right w:val="none" w:sz="0" w:space="0" w:color="auto"/>
                  </w:divBdr>
                  <w:divsChild>
                    <w:div w:id="1638533534">
                      <w:marLeft w:val="0"/>
                      <w:marRight w:val="0"/>
                      <w:marTop w:val="0"/>
                      <w:marBottom w:val="240"/>
                      <w:divBdr>
                        <w:top w:val="none" w:sz="0" w:space="0" w:color="auto"/>
                        <w:left w:val="none" w:sz="0" w:space="0" w:color="auto"/>
                        <w:bottom w:val="none" w:sz="0" w:space="0" w:color="auto"/>
                        <w:right w:val="none" w:sz="0" w:space="0" w:color="auto"/>
                      </w:divBdr>
                      <w:divsChild>
                        <w:div w:id="1721125315">
                          <w:marLeft w:val="0"/>
                          <w:marRight w:val="0"/>
                          <w:marTop w:val="0"/>
                          <w:marBottom w:val="0"/>
                          <w:divBdr>
                            <w:top w:val="none" w:sz="0" w:space="0" w:color="auto"/>
                            <w:left w:val="none" w:sz="0" w:space="0" w:color="auto"/>
                            <w:bottom w:val="none" w:sz="0" w:space="0" w:color="auto"/>
                            <w:right w:val="none" w:sz="0" w:space="0" w:color="auto"/>
                          </w:divBdr>
                          <w:divsChild>
                            <w:div w:id="70583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7752265">
      <w:bodyDiv w:val="1"/>
      <w:marLeft w:val="0"/>
      <w:marRight w:val="0"/>
      <w:marTop w:val="0"/>
      <w:marBottom w:val="0"/>
      <w:divBdr>
        <w:top w:val="none" w:sz="0" w:space="0" w:color="auto"/>
        <w:left w:val="none" w:sz="0" w:space="0" w:color="auto"/>
        <w:bottom w:val="none" w:sz="0" w:space="0" w:color="auto"/>
        <w:right w:val="none" w:sz="0" w:space="0" w:color="auto"/>
      </w:divBdr>
      <w:divsChild>
        <w:div w:id="629827793">
          <w:marLeft w:val="0"/>
          <w:marRight w:val="0"/>
          <w:marTop w:val="0"/>
          <w:marBottom w:val="0"/>
          <w:divBdr>
            <w:top w:val="none" w:sz="0" w:space="0" w:color="auto"/>
            <w:left w:val="none" w:sz="0" w:space="0" w:color="auto"/>
            <w:bottom w:val="none" w:sz="0" w:space="0" w:color="auto"/>
            <w:right w:val="none" w:sz="0" w:space="0" w:color="auto"/>
          </w:divBdr>
          <w:divsChild>
            <w:div w:id="131679841">
              <w:marLeft w:val="0"/>
              <w:marRight w:val="0"/>
              <w:marTop w:val="0"/>
              <w:marBottom w:val="0"/>
              <w:divBdr>
                <w:top w:val="none" w:sz="0" w:space="0" w:color="auto"/>
                <w:left w:val="none" w:sz="0" w:space="0" w:color="auto"/>
                <w:bottom w:val="none" w:sz="0" w:space="0" w:color="auto"/>
                <w:right w:val="none" w:sz="0" w:space="0" w:color="auto"/>
              </w:divBdr>
              <w:divsChild>
                <w:div w:id="1098602646">
                  <w:marLeft w:val="3096"/>
                  <w:marRight w:val="0"/>
                  <w:marTop w:val="0"/>
                  <w:marBottom w:val="0"/>
                  <w:divBdr>
                    <w:top w:val="none" w:sz="0" w:space="0" w:color="auto"/>
                    <w:left w:val="none" w:sz="0" w:space="0" w:color="auto"/>
                    <w:bottom w:val="none" w:sz="0" w:space="0" w:color="auto"/>
                    <w:right w:val="none" w:sz="0" w:space="0" w:color="auto"/>
                  </w:divBdr>
                  <w:divsChild>
                    <w:div w:id="1541553385">
                      <w:marLeft w:val="0"/>
                      <w:marRight w:val="0"/>
                      <w:marTop w:val="0"/>
                      <w:marBottom w:val="240"/>
                      <w:divBdr>
                        <w:top w:val="none" w:sz="0" w:space="0" w:color="auto"/>
                        <w:left w:val="none" w:sz="0" w:space="0" w:color="auto"/>
                        <w:bottom w:val="none" w:sz="0" w:space="0" w:color="auto"/>
                        <w:right w:val="none" w:sz="0" w:space="0" w:color="auto"/>
                      </w:divBdr>
                      <w:divsChild>
                        <w:div w:id="122810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8061191">
      <w:bodyDiv w:val="1"/>
      <w:marLeft w:val="0"/>
      <w:marRight w:val="0"/>
      <w:marTop w:val="0"/>
      <w:marBottom w:val="0"/>
      <w:divBdr>
        <w:top w:val="none" w:sz="0" w:space="0" w:color="auto"/>
        <w:left w:val="none" w:sz="0" w:space="0" w:color="auto"/>
        <w:bottom w:val="none" w:sz="0" w:space="0" w:color="auto"/>
        <w:right w:val="none" w:sz="0" w:space="0" w:color="auto"/>
      </w:divBdr>
      <w:divsChild>
        <w:div w:id="1814365046">
          <w:marLeft w:val="0"/>
          <w:marRight w:val="0"/>
          <w:marTop w:val="0"/>
          <w:marBottom w:val="0"/>
          <w:divBdr>
            <w:top w:val="none" w:sz="0" w:space="0" w:color="auto"/>
            <w:left w:val="none" w:sz="0" w:space="0" w:color="auto"/>
            <w:bottom w:val="none" w:sz="0" w:space="0" w:color="auto"/>
            <w:right w:val="none" w:sz="0" w:space="0" w:color="auto"/>
          </w:divBdr>
          <w:divsChild>
            <w:div w:id="1870295194">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112896153">
      <w:bodyDiv w:val="1"/>
      <w:marLeft w:val="0"/>
      <w:marRight w:val="0"/>
      <w:marTop w:val="0"/>
      <w:marBottom w:val="0"/>
      <w:divBdr>
        <w:top w:val="none" w:sz="0" w:space="0" w:color="auto"/>
        <w:left w:val="none" w:sz="0" w:space="0" w:color="auto"/>
        <w:bottom w:val="none" w:sz="0" w:space="0" w:color="auto"/>
        <w:right w:val="none" w:sz="0" w:space="0" w:color="auto"/>
      </w:divBdr>
      <w:divsChild>
        <w:div w:id="1385256421">
          <w:marLeft w:val="0"/>
          <w:marRight w:val="0"/>
          <w:marTop w:val="0"/>
          <w:marBottom w:val="0"/>
          <w:divBdr>
            <w:top w:val="none" w:sz="0" w:space="0" w:color="auto"/>
            <w:left w:val="none" w:sz="0" w:space="0" w:color="auto"/>
            <w:bottom w:val="none" w:sz="0" w:space="0" w:color="auto"/>
            <w:right w:val="none" w:sz="0" w:space="0" w:color="auto"/>
          </w:divBdr>
          <w:divsChild>
            <w:div w:id="1543250488">
              <w:marLeft w:val="0"/>
              <w:marRight w:val="0"/>
              <w:marTop w:val="0"/>
              <w:marBottom w:val="0"/>
              <w:divBdr>
                <w:top w:val="none" w:sz="0" w:space="0" w:color="auto"/>
                <w:left w:val="none" w:sz="0" w:space="0" w:color="auto"/>
                <w:bottom w:val="none" w:sz="0" w:space="0" w:color="auto"/>
                <w:right w:val="none" w:sz="0" w:space="0" w:color="auto"/>
              </w:divBdr>
              <w:divsChild>
                <w:div w:id="12728560">
                  <w:marLeft w:val="3096"/>
                  <w:marRight w:val="0"/>
                  <w:marTop w:val="0"/>
                  <w:marBottom w:val="0"/>
                  <w:divBdr>
                    <w:top w:val="none" w:sz="0" w:space="0" w:color="auto"/>
                    <w:left w:val="none" w:sz="0" w:space="0" w:color="auto"/>
                    <w:bottom w:val="none" w:sz="0" w:space="0" w:color="auto"/>
                    <w:right w:val="none" w:sz="0" w:space="0" w:color="auto"/>
                  </w:divBdr>
                  <w:divsChild>
                    <w:div w:id="780102627">
                      <w:marLeft w:val="0"/>
                      <w:marRight w:val="0"/>
                      <w:marTop w:val="0"/>
                      <w:marBottom w:val="240"/>
                      <w:divBdr>
                        <w:top w:val="none" w:sz="0" w:space="0" w:color="auto"/>
                        <w:left w:val="none" w:sz="0" w:space="0" w:color="auto"/>
                        <w:bottom w:val="none" w:sz="0" w:space="0" w:color="auto"/>
                        <w:right w:val="none" w:sz="0" w:space="0" w:color="auto"/>
                      </w:divBdr>
                      <w:divsChild>
                        <w:div w:id="459686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9288677">
      <w:bodyDiv w:val="1"/>
      <w:marLeft w:val="0"/>
      <w:marRight w:val="0"/>
      <w:marTop w:val="0"/>
      <w:marBottom w:val="0"/>
      <w:divBdr>
        <w:top w:val="none" w:sz="0" w:space="0" w:color="auto"/>
        <w:left w:val="none" w:sz="0" w:space="0" w:color="auto"/>
        <w:bottom w:val="none" w:sz="0" w:space="0" w:color="auto"/>
        <w:right w:val="none" w:sz="0" w:space="0" w:color="auto"/>
      </w:divBdr>
    </w:div>
    <w:div w:id="1283927545">
      <w:bodyDiv w:val="1"/>
      <w:marLeft w:val="0"/>
      <w:marRight w:val="0"/>
      <w:marTop w:val="0"/>
      <w:marBottom w:val="0"/>
      <w:divBdr>
        <w:top w:val="none" w:sz="0" w:space="0" w:color="auto"/>
        <w:left w:val="none" w:sz="0" w:space="0" w:color="auto"/>
        <w:bottom w:val="none" w:sz="0" w:space="0" w:color="auto"/>
        <w:right w:val="none" w:sz="0" w:space="0" w:color="auto"/>
      </w:divBdr>
      <w:divsChild>
        <w:div w:id="1162350612">
          <w:marLeft w:val="0"/>
          <w:marRight w:val="0"/>
          <w:marTop w:val="0"/>
          <w:marBottom w:val="0"/>
          <w:divBdr>
            <w:top w:val="none" w:sz="0" w:space="0" w:color="auto"/>
            <w:left w:val="none" w:sz="0" w:space="0" w:color="auto"/>
            <w:bottom w:val="none" w:sz="0" w:space="0" w:color="auto"/>
            <w:right w:val="none" w:sz="0" w:space="0" w:color="auto"/>
          </w:divBdr>
          <w:divsChild>
            <w:div w:id="2012174360">
              <w:marLeft w:val="0"/>
              <w:marRight w:val="0"/>
              <w:marTop w:val="0"/>
              <w:marBottom w:val="0"/>
              <w:divBdr>
                <w:top w:val="none" w:sz="0" w:space="0" w:color="auto"/>
                <w:left w:val="none" w:sz="0" w:space="0" w:color="auto"/>
                <w:bottom w:val="none" w:sz="0" w:space="0" w:color="auto"/>
                <w:right w:val="none" w:sz="0" w:space="0" w:color="auto"/>
              </w:divBdr>
              <w:divsChild>
                <w:div w:id="1780100012">
                  <w:marLeft w:val="3096"/>
                  <w:marRight w:val="0"/>
                  <w:marTop w:val="0"/>
                  <w:marBottom w:val="0"/>
                  <w:divBdr>
                    <w:top w:val="none" w:sz="0" w:space="0" w:color="auto"/>
                    <w:left w:val="none" w:sz="0" w:space="0" w:color="auto"/>
                    <w:bottom w:val="none" w:sz="0" w:space="0" w:color="auto"/>
                    <w:right w:val="none" w:sz="0" w:space="0" w:color="auto"/>
                  </w:divBdr>
                  <w:divsChild>
                    <w:div w:id="1155293127">
                      <w:marLeft w:val="0"/>
                      <w:marRight w:val="0"/>
                      <w:marTop w:val="0"/>
                      <w:marBottom w:val="240"/>
                      <w:divBdr>
                        <w:top w:val="none" w:sz="0" w:space="0" w:color="auto"/>
                        <w:left w:val="none" w:sz="0" w:space="0" w:color="auto"/>
                        <w:bottom w:val="none" w:sz="0" w:space="0" w:color="auto"/>
                        <w:right w:val="none" w:sz="0" w:space="0" w:color="auto"/>
                      </w:divBdr>
                      <w:divsChild>
                        <w:div w:id="557670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1404196">
      <w:bodyDiv w:val="1"/>
      <w:marLeft w:val="0"/>
      <w:marRight w:val="0"/>
      <w:marTop w:val="0"/>
      <w:marBottom w:val="0"/>
      <w:divBdr>
        <w:top w:val="none" w:sz="0" w:space="0" w:color="auto"/>
        <w:left w:val="none" w:sz="0" w:space="0" w:color="auto"/>
        <w:bottom w:val="none" w:sz="0" w:space="0" w:color="auto"/>
        <w:right w:val="none" w:sz="0" w:space="0" w:color="auto"/>
      </w:divBdr>
      <w:divsChild>
        <w:div w:id="1283263584">
          <w:marLeft w:val="0"/>
          <w:marRight w:val="0"/>
          <w:marTop w:val="0"/>
          <w:marBottom w:val="0"/>
          <w:divBdr>
            <w:top w:val="none" w:sz="0" w:space="0" w:color="auto"/>
            <w:left w:val="none" w:sz="0" w:space="0" w:color="auto"/>
            <w:bottom w:val="none" w:sz="0" w:space="0" w:color="auto"/>
            <w:right w:val="none" w:sz="0" w:space="0" w:color="auto"/>
          </w:divBdr>
          <w:divsChild>
            <w:div w:id="759250874">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379011306">
      <w:bodyDiv w:val="1"/>
      <w:marLeft w:val="0"/>
      <w:marRight w:val="0"/>
      <w:marTop w:val="0"/>
      <w:marBottom w:val="0"/>
      <w:divBdr>
        <w:top w:val="none" w:sz="0" w:space="0" w:color="auto"/>
        <w:left w:val="none" w:sz="0" w:space="0" w:color="auto"/>
        <w:bottom w:val="none" w:sz="0" w:space="0" w:color="auto"/>
        <w:right w:val="none" w:sz="0" w:space="0" w:color="auto"/>
      </w:divBdr>
      <w:divsChild>
        <w:div w:id="1174027807">
          <w:marLeft w:val="0"/>
          <w:marRight w:val="0"/>
          <w:marTop w:val="0"/>
          <w:marBottom w:val="0"/>
          <w:divBdr>
            <w:top w:val="none" w:sz="0" w:space="0" w:color="auto"/>
            <w:left w:val="none" w:sz="0" w:space="0" w:color="auto"/>
            <w:bottom w:val="none" w:sz="0" w:space="0" w:color="auto"/>
            <w:right w:val="none" w:sz="0" w:space="0" w:color="auto"/>
          </w:divBdr>
          <w:divsChild>
            <w:div w:id="1135756641">
              <w:marLeft w:val="0"/>
              <w:marRight w:val="0"/>
              <w:marTop w:val="0"/>
              <w:marBottom w:val="0"/>
              <w:divBdr>
                <w:top w:val="none" w:sz="0" w:space="0" w:color="auto"/>
                <w:left w:val="none" w:sz="0" w:space="0" w:color="auto"/>
                <w:bottom w:val="none" w:sz="0" w:space="0" w:color="auto"/>
                <w:right w:val="none" w:sz="0" w:space="0" w:color="auto"/>
              </w:divBdr>
              <w:divsChild>
                <w:div w:id="789470620">
                  <w:marLeft w:val="3096"/>
                  <w:marRight w:val="0"/>
                  <w:marTop w:val="0"/>
                  <w:marBottom w:val="0"/>
                  <w:divBdr>
                    <w:top w:val="none" w:sz="0" w:space="0" w:color="auto"/>
                    <w:left w:val="none" w:sz="0" w:space="0" w:color="auto"/>
                    <w:bottom w:val="none" w:sz="0" w:space="0" w:color="auto"/>
                    <w:right w:val="none" w:sz="0" w:space="0" w:color="auto"/>
                  </w:divBdr>
                  <w:divsChild>
                    <w:div w:id="1651208768">
                      <w:marLeft w:val="0"/>
                      <w:marRight w:val="0"/>
                      <w:marTop w:val="0"/>
                      <w:marBottom w:val="240"/>
                      <w:divBdr>
                        <w:top w:val="none" w:sz="0" w:space="0" w:color="auto"/>
                        <w:left w:val="none" w:sz="0" w:space="0" w:color="auto"/>
                        <w:bottom w:val="none" w:sz="0" w:space="0" w:color="auto"/>
                        <w:right w:val="none" w:sz="0" w:space="0" w:color="auto"/>
                      </w:divBdr>
                      <w:divsChild>
                        <w:div w:id="108580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8108220">
      <w:bodyDiv w:val="1"/>
      <w:marLeft w:val="0"/>
      <w:marRight w:val="0"/>
      <w:marTop w:val="0"/>
      <w:marBottom w:val="0"/>
      <w:divBdr>
        <w:top w:val="none" w:sz="0" w:space="0" w:color="auto"/>
        <w:left w:val="none" w:sz="0" w:space="0" w:color="auto"/>
        <w:bottom w:val="none" w:sz="0" w:space="0" w:color="auto"/>
        <w:right w:val="none" w:sz="0" w:space="0" w:color="auto"/>
      </w:divBdr>
      <w:divsChild>
        <w:div w:id="201216125">
          <w:marLeft w:val="0"/>
          <w:marRight w:val="0"/>
          <w:marTop w:val="0"/>
          <w:marBottom w:val="0"/>
          <w:divBdr>
            <w:top w:val="none" w:sz="0" w:space="0" w:color="auto"/>
            <w:left w:val="none" w:sz="0" w:space="0" w:color="auto"/>
            <w:bottom w:val="none" w:sz="0" w:space="0" w:color="auto"/>
            <w:right w:val="none" w:sz="0" w:space="0" w:color="auto"/>
          </w:divBdr>
          <w:divsChild>
            <w:div w:id="1312713993">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666201721">
      <w:bodyDiv w:val="1"/>
      <w:marLeft w:val="0"/>
      <w:marRight w:val="0"/>
      <w:marTop w:val="0"/>
      <w:marBottom w:val="0"/>
      <w:divBdr>
        <w:top w:val="none" w:sz="0" w:space="0" w:color="auto"/>
        <w:left w:val="none" w:sz="0" w:space="0" w:color="auto"/>
        <w:bottom w:val="none" w:sz="0" w:space="0" w:color="auto"/>
        <w:right w:val="none" w:sz="0" w:space="0" w:color="auto"/>
      </w:divBdr>
    </w:div>
    <w:div w:id="1697072163">
      <w:bodyDiv w:val="1"/>
      <w:marLeft w:val="0"/>
      <w:marRight w:val="0"/>
      <w:marTop w:val="0"/>
      <w:marBottom w:val="0"/>
      <w:divBdr>
        <w:top w:val="none" w:sz="0" w:space="0" w:color="auto"/>
        <w:left w:val="none" w:sz="0" w:space="0" w:color="auto"/>
        <w:bottom w:val="none" w:sz="0" w:space="0" w:color="auto"/>
        <w:right w:val="none" w:sz="0" w:space="0" w:color="auto"/>
      </w:divBdr>
      <w:divsChild>
        <w:div w:id="299264280">
          <w:marLeft w:val="0"/>
          <w:marRight w:val="0"/>
          <w:marTop w:val="0"/>
          <w:marBottom w:val="0"/>
          <w:divBdr>
            <w:top w:val="none" w:sz="0" w:space="0" w:color="auto"/>
            <w:left w:val="none" w:sz="0" w:space="0" w:color="auto"/>
            <w:bottom w:val="none" w:sz="0" w:space="0" w:color="auto"/>
            <w:right w:val="none" w:sz="0" w:space="0" w:color="auto"/>
          </w:divBdr>
          <w:divsChild>
            <w:div w:id="259990871">
              <w:marLeft w:val="0"/>
              <w:marRight w:val="0"/>
              <w:marTop w:val="0"/>
              <w:marBottom w:val="0"/>
              <w:divBdr>
                <w:top w:val="none" w:sz="0" w:space="0" w:color="auto"/>
                <w:left w:val="none" w:sz="0" w:space="0" w:color="auto"/>
                <w:bottom w:val="none" w:sz="0" w:space="0" w:color="auto"/>
                <w:right w:val="none" w:sz="0" w:space="0" w:color="auto"/>
              </w:divBdr>
              <w:divsChild>
                <w:div w:id="1726295070">
                  <w:marLeft w:val="3096"/>
                  <w:marRight w:val="0"/>
                  <w:marTop w:val="0"/>
                  <w:marBottom w:val="0"/>
                  <w:divBdr>
                    <w:top w:val="none" w:sz="0" w:space="0" w:color="auto"/>
                    <w:left w:val="none" w:sz="0" w:space="0" w:color="auto"/>
                    <w:bottom w:val="none" w:sz="0" w:space="0" w:color="auto"/>
                    <w:right w:val="none" w:sz="0" w:space="0" w:color="auto"/>
                  </w:divBdr>
                  <w:divsChild>
                    <w:div w:id="874737054">
                      <w:marLeft w:val="0"/>
                      <w:marRight w:val="0"/>
                      <w:marTop w:val="0"/>
                      <w:marBottom w:val="240"/>
                      <w:divBdr>
                        <w:top w:val="none" w:sz="0" w:space="0" w:color="auto"/>
                        <w:left w:val="none" w:sz="0" w:space="0" w:color="auto"/>
                        <w:bottom w:val="none" w:sz="0" w:space="0" w:color="auto"/>
                        <w:right w:val="none" w:sz="0" w:space="0" w:color="auto"/>
                      </w:divBdr>
                      <w:divsChild>
                        <w:div w:id="1617447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374794">
      <w:bodyDiv w:val="1"/>
      <w:marLeft w:val="0"/>
      <w:marRight w:val="0"/>
      <w:marTop w:val="0"/>
      <w:marBottom w:val="0"/>
      <w:divBdr>
        <w:top w:val="none" w:sz="0" w:space="0" w:color="auto"/>
        <w:left w:val="none" w:sz="0" w:space="0" w:color="auto"/>
        <w:bottom w:val="none" w:sz="0" w:space="0" w:color="auto"/>
        <w:right w:val="none" w:sz="0" w:space="0" w:color="auto"/>
      </w:divBdr>
      <w:divsChild>
        <w:div w:id="502744712">
          <w:marLeft w:val="0"/>
          <w:marRight w:val="0"/>
          <w:marTop w:val="0"/>
          <w:marBottom w:val="0"/>
          <w:divBdr>
            <w:top w:val="none" w:sz="0" w:space="0" w:color="auto"/>
            <w:left w:val="none" w:sz="0" w:space="0" w:color="auto"/>
            <w:bottom w:val="none" w:sz="0" w:space="0" w:color="auto"/>
            <w:right w:val="none" w:sz="0" w:space="0" w:color="auto"/>
          </w:divBdr>
          <w:divsChild>
            <w:div w:id="1616984265">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845632234">
      <w:bodyDiv w:val="1"/>
      <w:marLeft w:val="0"/>
      <w:marRight w:val="0"/>
      <w:marTop w:val="0"/>
      <w:marBottom w:val="0"/>
      <w:divBdr>
        <w:top w:val="none" w:sz="0" w:space="0" w:color="auto"/>
        <w:left w:val="none" w:sz="0" w:space="0" w:color="auto"/>
        <w:bottom w:val="none" w:sz="0" w:space="0" w:color="auto"/>
        <w:right w:val="none" w:sz="0" w:space="0" w:color="auto"/>
      </w:divBdr>
      <w:divsChild>
        <w:div w:id="524834515">
          <w:marLeft w:val="0"/>
          <w:marRight w:val="0"/>
          <w:marTop w:val="0"/>
          <w:marBottom w:val="0"/>
          <w:divBdr>
            <w:top w:val="none" w:sz="0" w:space="0" w:color="auto"/>
            <w:left w:val="none" w:sz="0" w:space="0" w:color="auto"/>
            <w:bottom w:val="none" w:sz="0" w:space="0" w:color="auto"/>
            <w:right w:val="none" w:sz="0" w:space="0" w:color="auto"/>
          </w:divBdr>
          <w:divsChild>
            <w:div w:id="1524781146">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848591784">
      <w:bodyDiv w:val="1"/>
      <w:marLeft w:val="0"/>
      <w:marRight w:val="0"/>
      <w:marTop w:val="0"/>
      <w:marBottom w:val="0"/>
      <w:divBdr>
        <w:top w:val="none" w:sz="0" w:space="0" w:color="auto"/>
        <w:left w:val="none" w:sz="0" w:space="0" w:color="auto"/>
        <w:bottom w:val="none" w:sz="0" w:space="0" w:color="auto"/>
        <w:right w:val="none" w:sz="0" w:space="0" w:color="auto"/>
      </w:divBdr>
      <w:divsChild>
        <w:div w:id="478965120">
          <w:marLeft w:val="0"/>
          <w:marRight w:val="0"/>
          <w:marTop w:val="0"/>
          <w:marBottom w:val="0"/>
          <w:divBdr>
            <w:top w:val="none" w:sz="0" w:space="0" w:color="auto"/>
            <w:left w:val="none" w:sz="0" w:space="0" w:color="auto"/>
            <w:bottom w:val="none" w:sz="0" w:space="0" w:color="auto"/>
            <w:right w:val="none" w:sz="0" w:space="0" w:color="auto"/>
          </w:divBdr>
          <w:divsChild>
            <w:div w:id="334652654">
              <w:marLeft w:val="0"/>
              <w:marRight w:val="0"/>
              <w:marTop w:val="0"/>
              <w:marBottom w:val="0"/>
              <w:divBdr>
                <w:top w:val="none" w:sz="0" w:space="0" w:color="auto"/>
                <w:left w:val="none" w:sz="0" w:space="0" w:color="auto"/>
                <w:bottom w:val="none" w:sz="0" w:space="0" w:color="auto"/>
                <w:right w:val="none" w:sz="0" w:space="0" w:color="auto"/>
              </w:divBdr>
              <w:divsChild>
                <w:div w:id="2136369764">
                  <w:marLeft w:val="3096"/>
                  <w:marRight w:val="0"/>
                  <w:marTop w:val="0"/>
                  <w:marBottom w:val="0"/>
                  <w:divBdr>
                    <w:top w:val="none" w:sz="0" w:space="0" w:color="auto"/>
                    <w:left w:val="none" w:sz="0" w:space="0" w:color="auto"/>
                    <w:bottom w:val="none" w:sz="0" w:space="0" w:color="auto"/>
                    <w:right w:val="none" w:sz="0" w:space="0" w:color="auto"/>
                  </w:divBdr>
                  <w:divsChild>
                    <w:div w:id="1936817808">
                      <w:marLeft w:val="0"/>
                      <w:marRight w:val="0"/>
                      <w:marTop w:val="0"/>
                      <w:marBottom w:val="240"/>
                      <w:divBdr>
                        <w:top w:val="none" w:sz="0" w:space="0" w:color="auto"/>
                        <w:left w:val="none" w:sz="0" w:space="0" w:color="auto"/>
                        <w:bottom w:val="none" w:sz="0" w:space="0" w:color="auto"/>
                        <w:right w:val="none" w:sz="0" w:space="0" w:color="auto"/>
                      </w:divBdr>
                      <w:divsChild>
                        <w:div w:id="1787239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1335594">
      <w:bodyDiv w:val="1"/>
      <w:marLeft w:val="0"/>
      <w:marRight w:val="0"/>
      <w:marTop w:val="0"/>
      <w:marBottom w:val="0"/>
      <w:divBdr>
        <w:top w:val="none" w:sz="0" w:space="0" w:color="auto"/>
        <w:left w:val="none" w:sz="0" w:space="0" w:color="auto"/>
        <w:bottom w:val="none" w:sz="0" w:space="0" w:color="auto"/>
        <w:right w:val="none" w:sz="0" w:space="0" w:color="auto"/>
      </w:divBdr>
      <w:divsChild>
        <w:div w:id="567107770">
          <w:marLeft w:val="0"/>
          <w:marRight w:val="0"/>
          <w:marTop w:val="0"/>
          <w:marBottom w:val="0"/>
          <w:divBdr>
            <w:top w:val="none" w:sz="0" w:space="0" w:color="auto"/>
            <w:left w:val="none" w:sz="0" w:space="0" w:color="auto"/>
            <w:bottom w:val="none" w:sz="0" w:space="0" w:color="auto"/>
            <w:right w:val="none" w:sz="0" w:space="0" w:color="auto"/>
          </w:divBdr>
          <w:divsChild>
            <w:div w:id="1650088874">
              <w:marLeft w:val="0"/>
              <w:marRight w:val="0"/>
              <w:marTop w:val="0"/>
              <w:marBottom w:val="0"/>
              <w:divBdr>
                <w:top w:val="none" w:sz="0" w:space="0" w:color="auto"/>
                <w:left w:val="none" w:sz="0" w:space="0" w:color="auto"/>
                <w:bottom w:val="none" w:sz="0" w:space="0" w:color="auto"/>
                <w:right w:val="none" w:sz="0" w:space="0" w:color="auto"/>
              </w:divBdr>
              <w:divsChild>
                <w:div w:id="1352682697">
                  <w:marLeft w:val="3096"/>
                  <w:marRight w:val="0"/>
                  <w:marTop w:val="0"/>
                  <w:marBottom w:val="0"/>
                  <w:divBdr>
                    <w:top w:val="none" w:sz="0" w:space="0" w:color="auto"/>
                    <w:left w:val="none" w:sz="0" w:space="0" w:color="auto"/>
                    <w:bottom w:val="none" w:sz="0" w:space="0" w:color="auto"/>
                    <w:right w:val="none" w:sz="0" w:space="0" w:color="auto"/>
                  </w:divBdr>
                  <w:divsChild>
                    <w:div w:id="1836409278">
                      <w:marLeft w:val="0"/>
                      <w:marRight w:val="0"/>
                      <w:marTop w:val="0"/>
                      <w:marBottom w:val="240"/>
                      <w:divBdr>
                        <w:top w:val="none" w:sz="0" w:space="0" w:color="auto"/>
                        <w:left w:val="none" w:sz="0" w:space="0" w:color="auto"/>
                        <w:bottom w:val="none" w:sz="0" w:space="0" w:color="auto"/>
                        <w:right w:val="none" w:sz="0" w:space="0" w:color="auto"/>
                      </w:divBdr>
                      <w:divsChild>
                        <w:div w:id="897594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3293199">
      <w:bodyDiv w:val="1"/>
      <w:marLeft w:val="0"/>
      <w:marRight w:val="0"/>
      <w:marTop w:val="0"/>
      <w:marBottom w:val="0"/>
      <w:divBdr>
        <w:top w:val="none" w:sz="0" w:space="0" w:color="auto"/>
        <w:left w:val="none" w:sz="0" w:space="0" w:color="auto"/>
        <w:bottom w:val="none" w:sz="0" w:space="0" w:color="auto"/>
        <w:right w:val="none" w:sz="0" w:space="0" w:color="auto"/>
      </w:divBdr>
    </w:div>
    <w:div w:id="2028360348">
      <w:bodyDiv w:val="1"/>
      <w:marLeft w:val="0"/>
      <w:marRight w:val="0"/>
      <w:marTop w:val="0"/>
      <w:marBottom w:val="0"/>
      <w:divBdr>
        <w:top w:val="none" w:sz="0" w:space="0" w:color="auto"/>
        <w:left w:val="none" w:sz="0" w:space="0" w:color="auto"/>
        <w:bottom w:val="none" w:sz="0" w:space="0" w:color="auto"/>
        <w:right w:val="none" w:sz="0" w:space="0" w:color="auto"/>
      </w:divBdr>
      <w:divsChild>
        <w:div w:id="439104062">
          <w:marLeft w:val="0"/>
          <w:marRight w:val="0"/>
          <w:marTop w:val="0"/>
          <w:marBottom w:val="0"/>
          <w:divBdr>
            <w:top w:val="none" w:sz="0" w:space="0" w:color="auto"/>
            <w:left w:val="none" w:sz="0" w:space="0" w:color="auto"/>
            <w:bottom w:val="none" w:sz="0" w:space="0" w:color="auto"/>
            <w:right w:val="none" w:sz="0" w:space="0" w:color="auto"/>
          </w:divBdr>
          <w:divsChild>
            <w:div w:id="1407141847">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2076927097">
      <w:bodyDiv w:val="1"/>
      <w:marLeft w:val="0"/>
      <w:marRight w:val="0"/>
      <w:marTop w:val="0"/>
      <w:marBottom w:val="0"/>
      <w:divBdr>
        <w:top w:val="none" w:sz="0" w:space="0" w:color="auto"/>
        <w:left w:val="none" w:sz="0" w:space="0" w:color="auto"/>
        <w:bottom w:val="none" w:sz="0" w:space="0" w:color="auto"/>
        <w:right w:val="none" w:sz="0" w:space="0" w:color="auto"/>
      </w:divBdr>
      <w:divsChild>
        <w:div w:id="1389106207">
          <w:marLeft w:val="0"/>
          <w:marRight w:val="0"/>
          <w:marTop w:val="0"/>
          <w:marBottom w:val="0"/>
          <w:divBdr>
            <w:top w:val="none" w:sz="0" w:space="0" w:color="auto"/>
            <w:left w:val="none" w:sz="0" w:space="0" w:color="auto"/>
            <w:bottom w:val="none" w:sz="0" w:space="0" w:color="auto"/>
            <w:right w:val="none" w:sz="0" w:space="0" w:color="auto"/>
          </w:divBdr>
          <w:divsChild>
            <w:div w:id="395277376">
              <w:marLeft w:val="0"/>
              <w:marRight w:val="0"/>
              <w:marTop w:val="0"/>
              <w:marBottom w:val="0"/>
              <w:divBdr>
                <w:top w:val="none" w:sz="0" w:space="0" w:color="auto"/>
                <w:left w:val="none" w:sz="0" w:space="0" w:color="auto"/>
                <w:bottom w:val="none" w:sz="0" w:space="0" w:color="auto"/>
                <w:right w:val="none" w:sz="0" w:space="0" w:color="auto"/>
              </w:divBdr>
              <w:divsChild>
                <w:div w:id="2041010423">
                  <w:marLeft w:val="3096"/>
                  <w:marRight w:val="0"/>
                  <w:marTop w:val="0"/>
                  <w:marBottom w:val="0"/>
                  <w:divBdr>
                    <w:top w:val="none" w:sz="0" w:space="0" w:color="auto"/>
                    <w:left w:val="none" w:sz="0" w:space="0" w:color="auto"/>
                    <w:bottom w:val="none" w:sz="0" w:space="0" w:color="auto"/>
                    <w:right w:val="none" w:sz="0" w:space="0" w:color="auto"/>
                  </w:divBdr>
                  <w:divsChild>
                    <w:div w:id="658538304">
                      <w:marLeft w:val="0"/>
                      <w:marRight w:val="0"/>
                      <w:marTop w:val="0"/>
                      <w:marBottom w:val="240"/>
                      <w:divBdr>
                        <w:top w:val="none" w:sz="0" w:space="0" w:color="auto"/>
                        <w:left w:val="none" w:sz="0" w:space="0" w:color="auto"/>
                        <w:bottom w:val="none" w:sz="0" w:space="0" w:color="auto"/>
                        <w:right w:val="none" w:sz="0" w:space="0" w:color="auto"/>
                      </w:divBdr>
                      <w:divsChild>
                        <w:div w:id="66152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mailto:waterquality@agriculture.gov.au" TargetMode="External"/><Relationship Id="rId26" Type="http://schemas.openxmlformats.org/officeDocument/2006/relationships/image" Target="media/image5.png"/><Relationship Id="rId39" Type="http://schemas.openxmlformats.org/officeDocument/2006/relationships/hyperlink" Target="http://www.algaebase.org/" TargetMode="External"/><Relationship Id="rId3" Type="http://schemas.openxmlformats.org/officeDocument/2006/relationships/customXml" Target="../customXml/item3.xml"/><Relationship Id="rId21" Type="http://schemas.openxmlformats.org/officeDocument/2006/relationships/footer" Target="footer1.xml"/><Relationship Id="rId34" Type="http://schemas.openxmlformats.org/officeDocument/2006/relationships/image" Target="media/image7.emf"/><Relationship Id="rId42" Type="http://schemas.openxmlformats.org/officeDocument/2006/relationships/hyperlink" Target="http://www.catalogueoflife.org/col" TargetMode="External"/><Relationship Id="rId47"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waterquality.gov.au/anz-guidelines/guideline-values/default/water-quality-toxicants/toxicants" TargetMode="External"/><Relationship Id="rId25" Type="http://schemas.openxmlformats.org/officeDocument/2006/relationships/hyperlink" Target="https://www.waterquality.gov.au/media/251" TargetMode="External"/><Relationship Id="rId33" Type="http://schemas.openxmlformats.org/officeDocument/2006/relationships/image" Target="media/image6.png"/><Relationship Id="rId38" Type="http://schemas.openxmlformats.org/officeDocument/2006/relationships/hyperlink" Target="http://www.infopest.com.au" TargetMode="External"/><Relationship Id="rId46" Type="http://schemas.openxmlformats.org/officeDocument/2006/relationships/hyperlink" Target="http://www.marinespecies.org/" TargetMode="External"/><Relationship Id="rId2" Type="http://schemas.openxmlformats.org/officeDocument/2006/relationships/customXml" Target="../customXml/item2.xml"/><Relationship Id="rId16" Type="http://schemas.openxmlformats.org/officeDocument/2006/relationships/hyperlink" Target="mailto:copyright@agriculture.gov.au" TargetMode="External"/><Relationship Id="rId20" Type="http://schemas.openxmlformats.org/officeDocument/2006/relationships/header" Target="header1.xml"/><Relationship Id="rId29" Type="http://schemas.openxmlformats.org/officeDocument/2006/relationships/header" Target="header3.xml"/><Relationship Id="rId41" Type="http://schemas.openxmlformats.org/officeDocument/2006/relationships/hyperlink" Target="https://eatsafe.nzfsa.govt.nz/web/public/acvm-register"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waterquality.gov.au/media/252" TargetMode="External"/><Relationship Id="rId32" Type="http://schemas.openxmlformats.org/officeDocument/2006/relationships/header" Target="header5.xml"/><Relationship Id="rId37" Type="http://schemas.openxmlformats.org/officeDocument/2006/relationships/hyperlink" Target="http://www.ccme.ca/en/search.html?keywords=metolachlor&amp;submit=&amp;search=" TargetMode="External"/><Relationship Id="rId40" Type="http://schemas.openxmlformats.org/officeDocument/2006/relationships/hyperlink" Target="https://www.itis.gov/" TargetMode="External"/><Relationship Id="rId45" Type="http://schemas.openxmlformats.org/officeDocument/2006/relationships/hyperlink" Target="https://ecotox.ipmcenters.org" TargetMode="External"/><Relationship Id="rId5" Type="http://schemas.openxmlformats.org/officeDocument/2006/relationships/customXml" Target="../customXml/item5.xml"/><Relationship Id="rId15" Type="http://schemas.openxmlformats.org/officeDocument/2006/relationships/hyperlink" Target="https://creativecommons.org/licenses/by/4.0/legalcode" TargetMode="External"/><Relationship Id="rId23" Type="http://schemas.openxmlformats.org/officeDocument/2006/relationships/image" Target="media/image4.png"/><Relationship Id="rId28" Type="http://schemas.openxmlformats.org/officeDocument/2006/relationships/hyperlink" Target="https://en.wikipedia.org/wiki/Organism" TargetMode="External"/><Relationship Id="rId36" Type="http://schemas.openxmlformats.org/officeDocument/2006/relationships/hyperlink" Target="https://www.waterquality.gov.au/anz-guidelines" TargetMode="External"/><Relationship Id="rId49"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image" Target="media/image2.jpg"/><Relationship Id="rId31" Type="http://schemas.openxmlformats.org/officeDocument/2006/relationships/footer" Target="footer2.xml"/><Relationship Id="rId44" Type="http://schemas.openxmlformats.org/officeDocument/2006/relationships/hyperlink" Target="http://cfpub.epa.gov/ecotox/"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creativecommons.org/licenses/by/4.0/" TargetMode="External"/><Relationship Id="rId22" Type="http://schemas.openxmlformats.org/officeDocument/2006/relationships/header" Target="header2.xml"/><Relationship Id="rId27" Type="http://schemas.openxmlformats.org/officeDocument/2006/relationships/hyperlink" Target="http://www.waterquality.gov.au/anz-guidelines" TargetMode="External"/><Relationship Id="rId30" Type="http://schemas.openxmlformats.org/officeDocument/2006/relationships/header" Target="header4.xml"/><Relationship Id="rId35" Type="http://schemas.openxmlformats.org/officeDocument/2006/relationships/hyperlink" Target="https://www.ala.org.au/" TargetMode="External"/><Relationship Id="rId43" Type="http://schemas.openxmlformats.org/officeDocument/2006/relationships/hyperlink" Target="http://sitem.herts.ac.uk/aeru/ppdb/en/Reports/27.htm" TargetMode="External"/><Relationship Id="rId48" Type="http://schemas.openxmlformats.org/officeDocument/2006/relationships/glossaryDocument" Target="glossary/document.xml"/><Relationship Id="rId8"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CAEA2CD5EF472BA9D49BD4C6F996EE"/>
        <w:category>
          <w:name w:val="General"/>
          <w:gallery w:val="placeholder"/>
        </w:category>
        <w:types>
          <w:type w:val="bbPlcHdr"/>
        </w:types>
        <w:behaviors>
          <w:behavior w:val="content"/>
        </w:behaviors>
        <w:guid w:val="{15C2E30C-EE74-4644-B3D1-31CFE0B6455F}"/>
      </w:docPartPr>
      <w:docPartBody>
        <w:p w:rsidR="00B7057B" w:rsidRDefault="00B7057B" w:rsidP="00B7057B">
          <w:pPr>
            <w:pStyle w:val="A8CAEA2CD5EF472BA9D49BD4C6F996EE"/>
          </w:pPr>
          <w:r w:rsidRPr="00BE52A7">
            <w:rPr>
              <w:rStyle w:val="PlaceholderText"/>
            </w:rPr>
            <w:t>Click here to enter text.</w:t>
          </w:r>
        </w:p>
      </w:docPartBody>
    </w:docPart>
    <w:docPart>
      <w:docPartPr>
        <w:name w:val="B20CCC024575420DB346A2897E1BFAA1"/>
        <w:category>
          <w:name w:val="General"/>
          <w:gallery w:val="placeholder"/>
        </w:category>
        <w:types>
          <w:type w:val="bbPlcHdr"/>
        </w:types>
        <w:behaviors>
          <w:behavior w:val="content"/>
        </w:behaviors>
        <w:guid w:val="{59AC9F7E-4FA2-490F-98B6-D985F0F8EDE1}"/>
      </w:docPartPr>
      <w:docPartBody>
        <w:p w:rsidR="00B7057B" w:rsidRDefault="00B7057B" w:rsidP="00B7057B">
          <w:pPr>
            <w:pStyle w:val="B20CCC024575420DB346A2897E1BFAA1"/>
          </w:pPr>
          <w:r w:rsidRPr="00BE52A7">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yriad Pro">
    <w:altName w:val="Arial"/>
    <w:panose1 w:val="00000000000000000000"/>
    <w:charset w:val="00"/>
    <w:family w:val="swiss"/>
    <w:notTrueType/>
    <w:pitch w:val="variable"/>
    <w:sig w:usb0="00000001"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7057B"/>
    <w:rsid w:val="00050450"/>
    <w:rsid w:val="000B4DF2"/>
    <w:rsid w:val="001D6539"/>
    <w:rsid w:val="002128B2"/>
    <w:rsid w:val="00302C61"/>
    <w:rsid w:val="0039334B"/>
    <w:rsid w:val="00552ABB"/>
    <w:rsid w:val="005D59D4"/>
    <w:rsid w:val="0063162E"/>
    <w:rsid w:val="00635E43"/>
    <w:rsid w:val="0068063D"/>
    <w:rsid w:val="006E3140"/>
    <w:rsid w:val="00736225"/>
    <w:rsid w:val="00750303"/>
    <w:rsid w:val="00756703"/>
    <w:rsid w:val="007E1690"/>
    <w:rsid w:val="00804C5B"/>
    <w:rsid w:val="00806F2F"/>
    <w:rsid w:val="00B7057B"/>
    <w:rsid w:val="00B72FE6"/>
    <w:rsid w:val="00BC31FB"/>
    <w:rsid w:val="00CD2C78"/>
    <w:rsid w:val="00D9756C"/>
    <w:rsid w:val="00F14E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7057B"/>
    <w:rPr>
      <w:color w:val="808080"/>
    </w:rPr>
  </w:style>
  <w:style w:type="paragraph" w:customStyle="1" w:styleId="A8CAEA2CD5EF472BA9D49BD4C6F996EE">
    <w:name w:val="A8CAEA2CD5EF472BA9D49BD4C6F996EE"/>
    <w:rsid w:val="00B7057B"/>
  </w:style>
  <w:style w:type="paragraph" w:customStyle="1" w:styleId="B20CCC024575420DB346A2897E1BFAA1">
    <w:name w:val="B20CCC024575420DB346A2897E1BFAA1"/>
    <w:rsid w:val="00B7057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documentManagement>
    <SpireDeleted xmlns="c25cb30a-de11-40ab-bdcc-f1d56023b01d" xsi:nil="true"/>
    <SpireDeletedDate xmlns="c25cb30a-de11-40ab-bdcc-f1d56023b01d" xsi:nil="true"/>
    <SpireDeletedBy xmlns="c25cb30a-de11-40ab-bdcc-f1d56023b01d">
      <UserInfo>
        <DisplayName/>
        <AccountId xsi:nil="true"/>
        <AccountType/>
      </UserInfo>
    </SpireDeletedBy>
    <Function xmlns="c25cb30a-de11-40ab-bdcc-f1d56023b01d">Program Admin</Function>
    <IconOverlay xmlns="http://schemas.microsoft.com/sharepoint/v4" xsi:nil="true"/>
    <DocumentDescription xmlns="c25cb30a-de11-40ab-bdcc-f1d56023b01d">Technical brief</DocumentDescription>
    <RecordNumber xmlns="c25cb30a-de11-40ab-bdcc-f1d56023b01d" xsi:nil="true"/>
    <Approval xmlns="c25cb30a-de11-40ab-bdcc-f1d56023b01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SPIRE Document" ma:contentTypeID="0x010100F467F77E5006AC4183EC66C58CB60CCF0018E0BDD1F7314546A944FB163ACEB71C" ma:contentTypeVersion="10" ma:contentTypeDescription="SPIRE Document" ma:contentTypeScope="" ma:versionID="9517c3cd7426ed7f9780ddff4aab9e73">
  <xsd:schema xmlns:xsd="http://www.w3.org/2001/XMLSchema" xmlns:xs="http://www.w3.org/2001/XMLSchema" xmlns:p="http://schemas.microsoft.com/office/2006/metadata/properties" xmlns:ns2="c25cb30a-de11-40ab-bdcc-f1d56023b01d" xmlns:ns3="http://schemas.microsoft.com/sharepoint/v4" targetNamespace="http://schemas.microsoft.com/office/2006/metadata/properties" ma:root="true" ma:fieldsID="1a5ccb46502d7f67011865d302baaff3" ns2:_="" ns3:_="">
    <xsd:import namespace="c25cb30a-de11-40ab-bdcc-f1d56023b01d"/>
    <xsd:import namespace="http://schemas.microsoft.com/sharepoint/v4"/>
    <xsd:element name="properties">
      <xsd:complexType>
        <xsd:sequence>
          <xsd:element name="documentManagement">
            <xsd:complexType>
              <xsd:all>
                <xsd:element ref="ns2:DocumentDescription" minOccurs="0"/>
                <xsd:element ref="ns2:Approval" minOccurs="0"/>
                <xsd:element ref="ns2:RecordNumber" minOccurs="0"/>
                <xsd:element ref="ns2:Function" minOccurs="0"/>
                <xsd:element ref="ns3:IconOverlay" minOccurs="0"/>
                <xsd:element ref="ns2:SpireDeleted" minOccurs="0"/>
                <xsd:element ref="ns2:SpireDeletedBy" minOccurs="0"/>
                <xsd:element ref="ns2:SpireDeleted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5cb30a-de11-40ab-bdcc-f1d56023b01d" elementFormDefault="qualified">
    <xsd:import namespace="http://schemas.microsoft.com/office/2006/documentManagement/types"/>
    <xsd:import namespace="http://schemas.microsoft.com/office/infopath/2007/PartnerControls"/>
    <xsd:element name="DocumentDescription" ma:index="8" nillable="true" ma:displayName="Document Description" ma:description="Document Description. Max 255 characters" ma:internalName="DocumentDescription">
      <xsd:simpleType>
        <xsd:restriction base="dms:Note">
          <xsd:maxLength value="255"/>
        </xsd:restriction>
      </xsd:simpleType>
    </xsd:element>
    <xsd:element name="Approval" ma:index="9" nillable="true" ma:displayName="Approval" ma:default="" ma:description="Select the approval status of the document" ma:format="Dropdown" ma:internalName="Approval">
      <xsd:simpleType>
        <xsd:restriction base="dms:Choice">
          <xsd:enumeration value="For Review"/>
          <xsd:enumeration value="Approved"/>
          <xsd:enumeration value="Superseded"/>
          <xsd:enumeration value="Cancelled"/>
        </xsd:restriction>
      </xsd:simpleType>
    </xsd:element>
    <xsd:element name="RecordNumber" ma:index="10" nillable="true" ma:displayName="Record Number" ma:description="RecordPoint Record Number" ma:internalName="RecordNumber">
      <xsd:simpleType>
        <xsd:restriction base="dms:Text"/>
      </xsd:simpleType>
    </xsd:element>
    <xsd:element name="Function" ma:index="11" nillable="true" ma:displayName="Function" ma:default="Program Admin" ma:description="Select the relevance function" ma:format="Dropdown" ma:hidden="true" ma:internalName="Function" ma:readOnly="false">
      <xsd:simpleType>
        <xsd:restriction base="dms:Choice">
          <xsd:enumeration value="Administration"/>
          <xsd:enumeration value="International"/>
          <xsd:enumeration value="OHS"/>
          <xsd:enumeration value="Legal"/>
          <xsd:enumeration value="Personnel"/>
          <xsd:enumeration value="Program Admin"/>
          <xsd:enumeration value="Project"/>
          <xsd:enumeration value="Property"/>
          <xsd:enumeration value="Regulation"/>
          <xsd:enumeration value="Technology"/>
        </xsd:restriction>
      </xsd:simpleType>
    </xsd:element>
    <xsd:element name="SpireDeleted" ma:index="13" nillable="true" ma:displayName="SpireDeleted" ma:hidden="true" ma:internalName="SpireDeleted" ma:readOnly="false">
      <xsd:simpleType>
        <xsd:restriction base="dms:Text">
          <xsd:maxLength value="3"/>
        </xsd:restriction>
      </xsd:simpleType>
    </xsd:element>
    <xsd:element name="SpireDeletedBy" ma:index="14" nillable="true" ma:displayName="SpireDeletedBy" ma:hidden="true" ma:list="UserInfo" ma:SharePointGroup="0" ma:internalName="SpireDeleted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ireDeletedDate" ma:index="15" nillable="true" ma:displayName="SpireDeletedDate" ma:format="DateTime" ma:hidden="true" ma:internalName="SpireDeletedDate"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2"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
    <Synchronization>Asynchronous</Synchronization>
    <Type>10003</Type>
    <SequenceNumber>10000</SequenceNumber>
    <Assembly>RecordPoint.Active.UI, Version=1.0.0.0, Culture=neutral, PublicKeyToken=d49476ae5b650bf3</Assembly>
    <Class>RecordPoint.Active.UI.Events.WorkflowItemEventReceiver</Class>
    <Data/>
    <Filter/>
  </Receiver>
  <Receiver>
    <Name/>
    <Synchronization>Synchronous</Synchronization>
    <Type>3</Type>
    <SequenceNumber>10000</SequenceNumber>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Assembly>RecordPoint.Active.UI, Version=1.0.0.0, Culture=neutral, PublicKeyToken=d49476ae5b650bf3</Assembly>
    <Class>RecordPoint.Active.UI.Events.WorkflowItemEventReceiver</Class>
    <Data/>
    <Filter/>
  </Receiver>
  <Receiver>
    <Name/>
    <Synchronization>Synchronous</Synchronization>
    <Type>9</Type>
    <SequenceNumber>10000</SequenceNumber>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Assembly>RecordPoint.Active.UI, Version=1.0.0.0, Culture=neutral, PublicKeyToken=d49476ae5b650bf3</Assembly>
    <Class>RecordPoint.Active.UI.Events.WorkflowListEventReceiver</Class>
    <Data/>
    <Filter/>
  </Receiver>
  <Receiver>
    <Name/>
    <Synchronization>Synchronous</Synchronization>
    <Type>102</Type>
    <SequenceNumber>10000</SequenceNumber>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Assembly>RecordPoint.Active.UI, Version=1.0.0.0, Culture=neutral, PublicKeyToken=d49476ae5b650bf3</Assembly>
    <Class>RecordPoint.Active.UI.Events.WorkflowListEventReceiver</Class>
    <Data/>
    <Filter/>
  </Receiver>
  <Receiver>
    <Name/>
    <Synchronization>Synchronous</Synchronization>
    <Type>105</Type>
    <SequenceNumber>10000</SequenceNumber>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Assembly>RecordPoint.Active.UI, Version=1.0.0.0, Culture=neutral, PublicKeyToken=d49476ae5b650bf3</Assembly>
    <Class>RecordPoint.Active.UI.Events.WorkflowItemEventReceiver</Class>
    <Data/>
    <Filter/>
  </Receiver>
  <Receiver>
    <Name/>
    <Synchronization>Synchronous</Synchronization>
    <Type>2</Type>
    <SequenceNumber>10000</SequenceNumber>
    <Assembly>RecordPoint.Active.UI, Version=1.0.0.0, Culture=neutral, PublicKeyToken=d49476ae5b650bf3</Assembly>
    <Class>RecordPoint.Active.UI.Events.WorkflowItemEventReceiver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customXsn xmlns="http://schemas.microsoft.com/office/2006/metadata/customXsn">
  <xsnLocation/>
  <cached>True</cached>
  <openByDefault>True</openByDefault>
  <xsnScope/>
</customXsn>
</file>

<file path=customXml/itemProps1.xml><?xml version="1.0" encoding="utf-8"?>
<ds:datastoreItem xmlns:ds="http://schemas.openxmlformats.org/officeDocument/2006/customXml" ds:itemID="{8FB28BC3-B7FC-4FA6-A05A-C59D237627B1}">
  <ds:schemaRefs>
    <ds:schemaRef ds:uri="http://schemas.openxmlformats.org/officeDocument/2006/bibliography"/>
  </ds:schemaRefs>
</ds:datastoreItem>
</file>

<file path=customXml/itemProps2.xml><?xml version="1.0" encoding="utf-8"?>
<ds:datastoreItem xmlns:ds="http://schemas.openxmlformats.org/officeDocument/2006/customXml" ds:itemID="{A1D323EF-822C-4E4A-9DA5-304476EA7B2B}">
  <ds:schemaRefs>
    <ds:schemaRef ds:uri="http://purl.org/dc/elements/1.1/"/>
    <ds:schemaRef ds:uri="http://schemas.microsoft.com/office/2006/metadata/properties"/>
    <ds:schemaRef ds:uri="c25cb30a-de11-40ab-bdcc-f1d56023b01d"/>
    <ds:schemaRef ds:uri="http://schemas.microsoft.com/sharepoint/v4"/>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632F51C3-4D88-4C23-BA06-1DA6BB0D3E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5cb30a-de11-40ab-bdcc-f1d56023b01d"/>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F1E8574-0996-48F6-8674-AD4F21D8D8B0}">
  <ds:schemaRefs>
    <ds:schemaRef ds:uri="http://schemas.microsoft.com/sharepoint/events"/>
  </ds:schemaRefs>
</ds:datastoreItem>
</file>

<file path=customXml/itemProps5.xml><?xml version="1.0" encoding="utf-8"?>
<ds:datastoreItem xmlns:ds="http://schemas.openxmlformats.org/officeDocument/2006/customXml" ds:itemID="{FDAFF9F2-B553-40B8-AE51-8E46304031DB}">
  <ds:schemaRefs>
    <ds:schemaRef ds:uri="http://schemas.microsoft.com/sharepoint/v3/contenttype/forms"/>
  </ds:schemaRefs>
</ds:datastoreItem>
</file>

<file path=customXml/itemProps6.xml><?xml version="1.0" encoding="utf-8"?>
<ds:datastoreItem xmlns:ds="http://schemas.openxmlformats.org/officeDocument/2006/customXml" ds:itemID="{086CE546-3E0F-4174-A106-4E7F4E698FD2}">
  <ds:schemaRefs>
    <ds:schemaRef ds:uri="http://schemas.microsoft.com/office/2006/metadata/customXsn"/>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26</Pages>
  <Words>7903</Words>
  <Characters>45048</Characters>
  <Application>Microsoft Office Word</Application>
  <DocSecurity>4</DocSecurity>
  <Lines>375</Lines>
  <Paragraphs>105</Paragraphs>
  <ScaleCrop>false</ScaleCrop>
  <HeadingPairs>
    <vt:vector size="2" baseType="variant">
      <vt:variant>
        <vt:lpstr>Title</vt:lpstr>
      </vt:variant>
      <vt:variant>
        <vt:i4>1</vt:i4>
      </vt:variant>
    </vt:vector>
  </HeadingPairs>
  <TitlesOfParts>
    <vt:vector size="1" baseType="lpstr">
      <vt:lpstr>Toxicant default guideline values for aquatic ecosystem protection - Metolachlor in fresh water</vt:lpstr>
    </vt:vector>
  </TitlesOfParts>
  <Company>Department of Agriculture, Water and the Environment</Company>
  <LinksUpToDate>false</LinksUpToDate>
  <CharactersWithSpaces>52846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Toxicant default guideline values for aquatic ecosystem protection - Metolachlor in fresh water</dc:title>
  <dc:creator>Department of Agriculture, Water and the Environment</dc:creator>
  <cp:lastModifiedBy>Martinez, Ana</cp:lastModifiedBy>
  <cp:revision>2</cp:revision>
  <cp:lastPrinted>2020-11-18T21:30:00Z</cp:lastPrinted>
  <dcterms:created xsi:type="dcterms:W3CDTF">2021-01-18T03:38:00Z</dcterms:created>
  <dcterms:modified xsi:type="dcterms:W3CDTF">2021-01-18T03:38:00Z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0x010100F467F77E5006AC4183EC66C58CB60CCF0018E0BDD1F7314546A944FB163ACEB71C</vt:lpwstr>
  </property>
</Properties>
</file>