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F57C" w14:textId="3024A130" w:rsidR="001C0D1C" w:rsidRDefault="004D52CE">
      <w:pPr>
        <w:pStyle w:val="Heading1"/>
      </w:pPr>
      <w:r>
        <w:t>Toxicant default guideline values for aquatic ecosystem protection</w:t>
      </w:r>
    </w:p>
    <w:p w14:paraId="524A81B3" w14:textId="4F4DB194" w:rsidR="001C0D1C" w:rsidRDefault="000F6385">
      <w:pPr>
        <w:pStyle w:val="Subtitle"/>
      </w:pPr>
      <w:r>
        <w:t>I</w:t>
      </w:r>
      <w:r w:rsidR="00EE7040" w:rsidRPr="00B91028">
        <w:t>ron</w:t>
      </w:r>
      <w:r w:rsidR="00EE7040">
        <w:t xml:space="preserve"> </w:t>
      </w:r>
      <w:r w:rsidR="004D52CE">
        <w:t xml:space="preserve">in </w:t>
      </w:r>
      <w:r w:rsidR="00B91028">
        <w:t>marine</w:t>
      </w:r>
      <w:r w:rsidR="004D52CE">
        <w:t xml:space="preserve"> water</w:t>
      </w:r>
    </w:p>
    <w:p w14:paraId="0F5E9269" w14:textId="54247ED7" w:rsidR="001C0D1C" w:rsidRDefault="004D52CE">
      <w:pPr>
        <w:pStyle w:val="Documenttype"/>
      </w:pPr>
      <w:r>
        <w:t>Technical brief</w:t>
      </w:r>
    </w:p>
    <w:p w14:paraId="3A238C94" w14:textId="77C4FBAD" w:rsidR="001C0D1C" w:rsidRDefault="003D6B13">
      <w:pPr>
        <w:pStyle w:val="Publicationdate"/>
        <w:rPr>
          <w:highlight w:val="yellow"/>
        </w:rPr>
      </w:pPr>
      <w:r>
        <w:t xml:space="preserve">September </w:t>
      </w:r>
      <w:r w:rsidR="00AD556E">
        <w:t>202</w:t>
      </w:r>
      <w:r w:rsidR="00FD335F">
        <w:t>5</w:t>
      </w:r>
    </w:p>
    <w:p w14:paraId="4F8735D3" w14:textId="77777777" w:rsidR="00352419" w:rsidRDefault="00352419">
      <w:pPr>
        <w:spacing w:after="0" w:line="240" w:lineRule="auto"/>
        <w:rPr>
          <w:noProof/>
          <w:lang w:eastAsia="en-AU"/>
        </w:rPr>
        <w:sectPr w:rsidR="00352419" w:rsidSect="008176A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cols w:space="708"/>
          <w:docGrid w:linePitch="360"/>
        </w:sectPr>
      </w:pPr>
    </w:p>
    <w:p w14:paraId="00B1140E" w14:textId="6ADEDEFB" w:rsidR="001C0D1C" w:rsidRDefault="00E55B1C">
      <w:pPr>
        <w:rPr>
          <w:sz w:val="18"/>
          <w:szCs w:val="18"/>
        </w:rPr>
      </w:pPr>
      <w:r>
        <w:rPr>
          <w:sz w:val="18"/>
          <w:szCs w:val="18"/>
        </w:rPr>
        <w:lastRenderedPageBreak/>
        <w:t xml:space="preserve">© Commonwealth of Australia </w:t>
      </w:r>
      <w:r w:rsidR="00AD556E">
        <w:rPr>
          <w:sz w:val="18"/>
          <w:szCs w:val="18"/>
        </w:rPr>
        <w:t>202</w:t>
      </w:r>
      <w:r w:rsidR="00FD335F">
        <w:rPr>
          <w:sz w:val="18"/>
          <w:szCs w:val="18"/>
        </w:rPr>
        <w:t>5</w:t>
      </w:r>
    </w:p>
    <w:p w14:paraId="245B1702"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77789ED6" w14:textId="77777777" w:rsidR="004D52CE" w:rsidRDefault="004D52CE"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E4B9DFC" w14:textId="77777777" w:rsidR="00B151F6" w:rsidRDefault="00B151F6" w:rsidP="00B151F6">
      <w:pPr>
        <w:spacing w:after="0"/>
        <w:rPr>
          <w:rFonts w:ascii="Calibri" w:hAnsi="Calibri"/>
          <w:b/>
          <w:sz w:val="18"/>
          <w:szCs w:val="18"/>
        </w:rPr>
      </w:pPr>
      <w:r>
        <w:rPr>
          <w:rFonts w:ascii="Calibri" w:hAnsi="Calibri"/>
          <w:b/>
          <w:sz w:val="18"/>
          <w:szCs w:val="18"/>
        </w:rPr>
        <w:t>Creative Commons licence</w:t>
      </w:r>
    </w:p>
    <w:p w14:paraId="65F8BA2A" w14:textId="77777777" w:rsidR="00B151F6" w:rsidRDefault="00B151F6"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5BCAB860" w14:textId="610695DE" w:rsidR="0019019B" w:rsidRDefault="00B151F6" w:rsidP="00B151F6">
      <w:pPr>
        <w:rPr>
          <w:sz w:val="18"/>
          <w:szCs w:val="18"/>
        </w:rPr>
      </w:pPr>
      <w:r>
        <w:rPr>
          <w:noProof/>
          <w:sz w:val="18"/>
          <w:szCs w:val="18"/>
          <w:lang w:eastAsia="en-AU"/>
        </w:rPr>
        <w:drawing>
          <wp:anchor distT="0" distB="0" distL="114300" distR="114300" simplePos="0" relativeHeight="251658240" behindDoc="0" locked="0" layoutInCell="1" allowOverlap="1" wp14:anchorId="3297F2F5" wp14:editId="0A506425">
            <wp:simplePos x="923925" y="2400300"/>
            <wp:positionH relativeFrom="column">
              <wp:align>left</wp:align>
            </wp:positionH>
            <wp:positionV relativeFrom="paragraph">
              <wp:align>top</wp:align>
            </wp:positionV>
            <wp:extent cx="723900" cy="255905"/>
            <wp:effectExtent l="0" t="0" r="0" b="0"/>
            <wp:wrapSquare wrapText="bothSides"/>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w="9525">
                      <a:noFill/>
                      <a:miter lim="800000"/>
                      <a:headEnd/>
                      <a:tailEnd/>
                    </a:ln>
                  </pic:spPr>
                </pic:pic>
              </a:graphicData>
            </a:graphic>
          </wp:anchor>
        </w:drawing>
      </w:r>
    </w:p>
    <w:p w14:paraId="120AD393" w14:textId="197294FF" w:rsidR="00B151F6" w:rsidRDefault="00B151F6" w:rsidP="00B151F6">
      <w:pPr>
        <w:rPr>
          <w:sz w:val="18"/>
          <w:szCs w:val="18"/>
        </w:rPr>
      </w:pPr>
      <w:r>
        <w:rPr>
          <w:sz w:val="18"/>
          <w:szCs w:val="18"/>
        </w:rPr>
        <w:t xml:space="preserve">Creative Commons Attribution 4.0 Australia Licence is a standard form licence agreement that allows you to copy, distribute, transmit and adapt this publication provided you attribute the work. See the </w:t>
      </w:r>
      <w:hyperlink r:id="rId20" w:history="1">
        <w:r>
          <w:rPr>
            <w:rStyle w:val="Hyperlink"/>
            <w:sz w:val="18"/>
            <w:szCs w:val="18"/>
          </w:rPr>
          <w:t>summary of the licence terms</w:t>
        </w:r>
      </w:hyperlink>
      <w:r>
        <w:rPr>
          <w:sz w:val="18"/>
          <w:szCs w:val="18"/>
        </w:rPr>
        <w:t xml:space="preserve"> or the </w:t>
      </w:r>
      <w:hyperlink r:id="rId21" w:history="1">
        <w:r>
          <w:rPr>
            <w:rStyle w:val="Hyperlink"/>
            <w:sz w:val="18"/>
            <w:szCs w:val="18"/>
          </w:rPr>
          <w:t>full licence terms</w:t>
        </w:r>
      </w:hyperlink>
      <w:r>
        <w:rPr>
          <w:sz w:val="18"/>
          <w:szCs w:val="18"/>
        </w:rPr>
        <w:t>.</w:t>
      </w:r>
    </w:p>
    <w:p w14:paraId="44635A9C" w14:textId="54B03D77" w:rsidR="00B151F6" w:rsidRDefault="00B151F6" w:rsidP="00B151F6">
      <w:pPr>
        <w:rPr>
          <w:sz w:val="18"/>
          <w:szCs w:val="18"/>
        </w:rPr>
      </w:pPr>
      <w:r>
        <w:rPr>
          <w:sz w:val="18"/>
          <w:szCs w:val="18"/>
        </w:rPr>
        <w:t xml:space="preserve">Inquiries about the licence and any use of this document should be emailed to </w:t>
      </w:r>
      <w:hyperlink r:id="rId22" w:history="1">
        <w:r w:rsidR="0019019B">
          <w:rPr>
            <w:rStyle w:val="Hyperlink"/>
            <w:sz w:val="18"/>
            <w:szCs w:val="18"/>
          </w:rPr>
          <w:t>copyright@dcceew.gov.au</w:t>
        </w:r>
      </w:hyperlink>
      <w:r>
        <w:rPr>
          <w:sz w:val="18"/>
          <w:szCs w:val="18"/>
        </w:rPr>
        <w:t>.</w:t>
      </w:r>
    </w:p>
    <w:p w14:paraId="75C7B75A" w14:textId="77777777" w:rsidR="001C0D1C" w:rsidRDefault="00E55B1C">
      <w:pPr>
        <w:spacing w:after="0"/>
        <w:rPr>
          <w:rFonts w:ascii="Calibri" w:hAnsi="Calibri"/>
          <w:b/>
          <w:sz w:val="18"/>
          <w:szCs w:val="18"/>
        </w:rPr>
      </w:pPr>
      <w:r>
        <w:rPr>
          <w:rFonts w:ascii="Calibri" w:hAnsi="Calibri"/>
          <w:b/>
          <w:sz w:val="18"/>
          <w:szCs w:val="18"/>
        </w:rPr>
        <w:t>Cataloguing data</w:t>
      </w:r>
    </w:p>
    <w:p w14:paraId="08CF3C33" w14:textId="1036F230" w:rsidR="00AE6772" w:rsidRDefault="00E55B1C" w:rsidP="00B151F6">
      <w:pPr>
        <w:rPr>
          <w:sz w:val="18"/>
          <w:szCs w:val="18"/>
        </w:rPr>
      </w:pPr>
      <w:r>
        <w:rPr>
          <w:sz w:val="18"/>
          <w:szCs w:val="18"/>
        </w:rPr>
        <w:t xml:space="preserve">This publication (and any material sourced from it) should be attributed as: </w:t>
      </w:r>
      <w:r w:rsidR="00AE6772">
        <w:rPr>
          <w:sz w:val="18"/>
          <w:szCs w:val="18"/>
        </w:rPr>
        <w:t xml:space="preserve">ANZG </w:t>
      </w:r>
      <w:r w:rsidR="00AD556E">
        <w:rPr>
          <w:sz w:val="18"/>
          <w:szCs w:val="18"/>
        </w:rPr>
        <w:t>202</w:t>
      </w:r>
      <w:r w:rsidR="00FD335F">
        <w:rPr>
          <w:sz w:val="18"/>
          <w:szCs w:val="18"/>
        </w:rPr>
        <w:t>5</w:t>
      </w:r>
      <w:r>
        <w:rPr>
          <w:sz w:val="18"/>
          <w:szCs w:val="18"/>
        </w:rPr>
        <w:t>,</w:t>
      </w:r>
      <w:r w:rsidR="00DF1801">
        <w:rPr>
          <w:sz w:val="18"/>
          <w:szCs w:val="18"/>
        </w:rPr>
        <w:t xml:space="preserve"> </w:t>
      </w:r>
      <w:r w:rsidR="00B151F6">
        <w:rPr>
          <w:i/>
          <w:sz w:val="18"/>
          <w:szCs w:val="18"/>
        </w:rPr>
        <w:t xml:space="preserve">Toxicant default guideline values for aquatic ecosystem protection: </w:t>
      </w:r>
      <w:r w:rsidR="000F6385">
        <w:rPr>
          <w:i/>
          <w:sz w:val="18"/>
          <w:szCs w:val="18"/>
        </w:rPr>
        <w:t>I</w:t>
      </w:r>
      <w:r w:rsidR="00B151F6">
        <w:rPr>
          <w:i/>
          <w:sz w:val="18"/>
          <w:szCs w:val="18"/>
        </w:rPr>
        <w:t xml:space="preserve">ron in </w:t>
      </w:r>
      <w:r w:rsidR="007A6A43">
        <w:rPr>
          <w:i/>
          <w:sz w:val="18"/>
          <w:szCs w:val="18"/>
        </w:rPr>
        <w:t xml:space="preserve">marine </w:t>
      </w:r>
      <w:r w:rsidR="00B151F6">
        <w:rPr>
          <w:i/>
          <w:sz w:val="18"/>
          <w:szCs w:val="18"/>
        </w:rPr>
        <w:t xml:space="preserve">water. </w:t>
      </w:r>
      <w:r w:rsidR="00AE6772">
        <w:rPr>
          <w:sz w:val="18"/>
          <w:szCs w:val="18"/>
        </w:rPr>
        <w:t>Australian and New Zealand Guidelines for Fresh and Marine Water Quality.</w:t>
      </w:r>
      <w:r w:rsidR="00AE6772" w:rsidRPr="00D47CA4">
        <w:rPr>
          <w:sz w:val="18"/>
          <w:szCs w:val="18"/>
        </w:rPr>
        <w:t xml:space="preserve"> CC BY 4.0. Australian and New Zealand Governments and Australian state and territory governments, Canberra, ACT, Australia</w:t>
      </w:r>
      <w:r w:rsidR="00AE6772">
        <w:rPr>
          <w:sz w:val="18"/>
          <w:szCs w:val="18"/>
        </w:rPr>
        <w:t>.</w:t>
      </w:r>
    </w:p>
    <w:p w14:paraId="5AD69391" w14:textId="50DB62AB" w:rsidR="00B151F6" w:rsidRDefault="00B151F6" w:rsidP="00B151F6">
      <w:pPr>
        <w:rPr>
          <w:sz w:val="18"/>
          <w:szCs w:val="18"/>
        </w:rPr>
      </w:pPr>
      <w:r>
        <w:rPr>
          <w:sz w:val="18"/>
          <w:szCs w:val="18"/>
        </w:rPr>
        <w:t xml:space="preserve">This publication is available at </w:t>
      </w:r>
      <w:r w:rsidR="00D339A1" w:rsidRPr="0025369B">
        <w:rPr>
          <w:sz w:val="18"/>
          <w:szCs w:val="18"/>
        </w:rPr>
        <w:t xml:space="preserve">the </w:t>
      </w:r>
      <w:hyperlink r:id="rId23" w:history="1">
        <w:r w:rsidR="00D339A1" w:rsidRPr="0025369B">
          <w:rPr>
            <w:rStyle w:val="Hyperlink"/>
            <w:sz w:val="18"/>
            <w:szCs w:val="18"/>
          </w:rPr>
          <w:t>Toxicant default guideline values technical briefs</w:t>
        </w:r>
      </w:hyperlink>
      <w:r w:rsidR="00D339A1" w:rsidRPr="00324CF1">
        <w:rPr>
          <w:sz w:val="18"/>
          <w:szCs w:val="18"/>
        </w:rPr>
        <w:t xml:space="preserve"> website</w:t>
      </w:r>
      <w:r>
        <w:rPr>
          <w:sz w:val="18"/>
          <w:szCs w:val="18"/>
        </w:rPr>
        <w:t>.</w:t>
      </w:r>
    </w:p>
    <w:p w14:paraId="3E95282B" w14:textId="77777777" w:rsidR="00824850" w:rsidRDefault="00824850" w:rsidP="00824850">
      <w:pPr>
        <w:spacing w:after="0"/>
        <w:rPr>
          <w:b/>
          <w:sz w:val="18"/>
          <w:szCs w:val="18"/>
        </w:rPr>
      </w:pPr>
      <w:r w:rsidRPr="00824850">
        <w:rPr>
          <w:b/>
          <w:sz w:val="18"/>
          <w:szCs w:val="18"/>
        </w:rPr>
        <w:t>Contact</w:t>
      </w:r>
    </w:p>
    <w:p w14:paraId="66EB3F64" w14:textId="0C4B8706" w:rsidR="00824850" w:rsidRDefault="00E55B1C" w:rsidP="00824850">
      <w:pPr>
        <w:spacing w:after="0"/>
        <w:rPr>
          <w:b/>
          <w:sz w:val="18"/>
          <w:szCs w:val="18"/>
        </w:rPr>
      </w:pPr>
      <w:r>
        <w:rPr>
          <w:sz w:val="18"/>
          <w:szCs w:val="18"/>
        </w:rPr>
        <w:t>Australian Government Department of Agriculture</w:t>
      </w:r>
      <w:r w:rsidR="00FB6D8A">
        <w:rPr>
          <w:sz w:val="18"/>
          <w:szCs w:val="18"/>
        </w:rPr>
        <w:t>, Water and the Environment</w:t>
      </w:r>
    </w:p>
    <w:p w14:paraId="2C59091B" w14:textId="69EBDF01" w:rsidR="001C0D1C" w:rsidRPr="00824850" w:rsidRDefault="00E55B1C" w:rsidP="00824850">
      <w:pPr>
        <w:spacing w:after="0"/>
        <w:rPr>
          <w:b/>
          <w:sz w:val="18"/>
          <w:szCs w:val="18"/>
        </w:rPr>
      </w:pPr>
      <w:r>
        <w:rPr>
          <w:sz w:val="18"/>
          <w:szCs w:val="18"/>
        </w:rPr>
        <w:t>GPO Box 858 Canberra ACT 2601</w:t>
      </w:r>
    </w:p>
    <w:p w14:paraId="6EBF1CEF" w14:textId="77777777" w:rsidR="001C0D1C" w:rsidRDefault="00E55B1C" w:rsidP="00824850">
      <w:pPr>
        <w:spacing w:after="0"/>
        <w:rPr>
          <w:sz w:val="18"/>
          <w:szCs w:val="18"/>
        </w:rPr>
      </w:pPr>
      <w:r>
        <w:rPr>
          <w:sz w:val="18"/>
          <w:szCs w:val="18"/>
        </w:rPr>
        <w:t>Switchboard +61 2 6272 3933 or 1800 900 090</w:t>
      </w:r>
    </w:p>
    <w:p w14:paraId="34C5EBA5" w14:textId="0832D394" w:rsidR="001C0D1C" w:rsidRDefault="00E55B1C" w:rsidP="00824850">
      <w:pPr>
        <w:spacing w:after="120"/>
        <w:rPr>
          <w:sz w:val="18"/>
          <w:szCs w:val="18"/>
        </w:rPr>
      </w:pPr>
      <w:r>
        <w:rPr>
          <w:sz w:val="18"/>
          <w:szCs w:val="18"/>
        </w:rPr>
        <w:t xml:space="preserve">Email </w:t>
      </w:r>
      <w:hyperlink r:id="rId24" w:history="1">
        <w:r w:rsidR="0019019B">
          <w:rPr>
            <w:rStyle w:val="Hyperlink"/>
            <w:sz w:val="18"/>
            <w:szCs w:val="18"/>
          </w:rPr>
          <w:t>waterquality@dcceew.gov.au</w:t>
        </w:r>
      </w:hyperlink>
    </w:p>
    <w:p w14:paraId="26653544" w14:textId="77777777" w:rsidR="00B151F6" w:rsidRDefault="00B151F6" w:rsidP="00B151F6">
      <w:pPr>
        <w:spacing w:after="0"/>
        <w:rPr>
          <w:rFonts w:ascii="Calibri" w:hAnsi="Calibri"/>
          <w:b/>
          <w:sz w:val="18"/>
          <w:szCs w:val="18"/>
        </w:rPr>
      </w:pPr>
      <w:r>
        <w:rPr>
          <w:rFonts w:ascii="Calibri" w:hAnsi="Calibri"/>
          <w:b/>
          <w:sz w:val="18"/>
          <w:szCs w:val="18"/>
        </w:rPr>
        <w:t>Disclaimer</w:t>
      </w:r>
    </w:p>
    <w:p w14:paraId="13B94BB2" w14:textId="77777777" w:rsidR="00B151F6" w:rsidRDefault="00B151F6" w:rsidP="00B151F6">
      <w:pPr>
        <w:spacing w:after="0"/>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699A4E9" w14:textId="77777777" w:rsidR="00B151F6" w:rsidRDefault="00B151F6" w:rsidP="00B151F6">
      <w:pPr>
        <w:spacing w:after="0"/>
        <w:rPr>
          <w:sz w:val="18"/>
          <w:szCs w:val="18"/>
        </w:rPr>
      </w:pPr>
    </w:p>
    <w:p w14:paraId="0F584FCC" w14:textId="77777777" w:rsidR="00B151F6" w:rsidRDefault="00B151F6" w:rsidP="00B151F6">
      <w:pPr>
        <w:spacing w:after="0"/>
        <w:rPr>
          <w:rFonts w:ascii="Calibri" w:hAnsi="Calibri"/>
          <w:b/>
          <w:sz w:val="18"/>
          <w:szCs w:val="18"/>
        </w:rPr>
      </w:pPr>
      <w:r>
        <w:rPr>
          <w:rFonts w:ascii="Calibri" w:hAnsi="Calibri"/>
          <w:b/>
          <w:sz w:val="18"/>
          <w:szCs w:val="18"/>
        </w:rPr>
        <w:t>Acknowledgements</w:t>
      </w:r>
    </w:p>
    <w:p w14:paraId="50498A0E" w14:textId="753D53E1" w:rsidR="006E6C45" w:rsidRDefault="00B151F6">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(D</w:t>
      </w:r>
      <w:r w:rsidR="00AB2EC4">
        <w:rPr>
          <w:sz w:val="18"/>
          <w:szCs w:val="18"/>
        </w:rPr>
        <w:t>G</w:t>
      </w:r>
      <w:r w:rsidR="004359D6">
        <w:rPr>
          <w:sz w:val="18"/>
          <w:szCs w:val="18"/>
        </w:rPr>
        <w:t>V</w:t>
      </w:r>
      <w:r w:rsidR="001B1DB2">
        <w:rPr>
          <w:sz w:val="18"/>
          <w:szCs w:val="18"/>
        </w:rPr>
        <w:t>s)</w:t>
      </w:r>
      <w:r>
        <w:rPr>
          <w:sz w:val="18"/>
          <w:szCs w:val="18"/>
        </w:rPr>
        <w:t xml:space="preserve"> were derived </w:t>
      </w:r>
      <w:r w:rsidRPr="00B74454">
        <w:rPr>
          <w:sz w:val="18"/>
          <w:szCs w:val="18"/>
        </w:rPr>
        <w:t>by</w:t>
      </w:r>
      <w:r w:rsidR="00B74454" w:rsidRPr="00B74454">
        <w:t xml:space="preserve"> </w:t>
      </w:r>
      <w:r w:rsidR="00B74454" w:rsidRPr="00B74454">
        <w:rPr>
          <w:sz w:val="18"/>
          <w:szCs w:val="18"/>
        </w:rPr>
        <w:t>Dr Lisa Golding, Merrin Adams and Monique Binet, CSIRO Land and Water, Lucas Heights, NSW</w:t>
      </w:r>
      <w:r w:rsidR="00677E3D">
        <w:rPr>
          <w:sz w:val="18"/>
          <w:szCs w:val="18"/>
        </w:rPr>
        <w:t xml:space="preserve">, and later updated </w:t>
      </w:r>
      <w:r w:rsidR="001B54ED">
        <w:rPr>
          <w:sz w:val="18"/>
          <w:szCs w:val="18"/>
        </w:rPr>
        <w:t>by Dr Graeme Batley</w:t>
      </w:r>
      <w:r w:rsidR="00B74454" w:rsidRPr="00B74454">
        <w:rPr>
          <w:sz w:val="18"/>
          <w:szCs w:val="18"/>
        </w:rPr>
        <w:t>. This document was internally reviewed by Dr Graeme Batley and Dr Jenny Stauber</w:t>
      </w:r>
      <w:r w:rsidR="004359D6">
        <w:rPr>
          <w:sz w:val="18"/>
          <w:szCs w:val="18"/>
        </w:rPr>
        <w:t xml:space="preserve">, and peer reviewed by </w:t>
      </w:r>
      <w:r w:rsidR="004E7B4C">
        <w:rPr>
          <w:sz w:val="18"/>
          <w:szCs w:val="18"/>
        </w:rPr>
        <w:t xml:space="preserve">2 </w:t>
      </w:r>
      <w:r w:rsidR="004359D6">
        <w:rPr>
          <w:sz w:val="18"/>
          <w:szCs w:val="18"/>
        </w:rPr>
        <w:t xml:space="preserve">anonymous reviewers as well </w:t>
      </w:r>
      <w:r w:rsidR="00F770EC">
        <w:rPr>
          <w:sz w:val="18"/>
          <w:szCs w:val="18"/>
        </w:rPr>
        <w:t xml:space="preserve">as </w:t>
      </w:r>
      <w:r w:rsidR="004359D6">
        <w:rPr>
          <w:sz w:val="18"/>
          <w:szCs w:val="18"/>
        </w:rPr>
        <w:t>contracted technical advisors Dr Rick van Dam</w:t>
      </w:r>
      <w:r w:rsidR="00F770EC">
        <w:rPr>
          <w:sz w:val="18"/>
          <w:szCs w:val="18"/>
        </w:rPr>
        <w:t>,</w:t>
      </w:r>
      <w:r w:rsidR="004359D6">
        <w:rPr>
          <w:sz w:val="18"/>
          <w:szCs w:val="18"/>
        </w:rPr>
        <w:t xml:space="preserve"> Alicia Hogan</w:t>
      </w:r>
      <w:r w:rsidR="00F770EC">
        <w:rPr>
          <w:sz w:val="18"/>
          <w:szCs w:val="18"/>
        </w:rPr>
        <w:t xml:space="preserve"> and Dr Melanie Trenfield</w:t>
      </w:r>
      <w:r w:rsidR="00B74454" w:rsidRPr="00B74454">
        <w:rPr>
          <w:sz w:val="18"/>
          <w:szCs w:val="18"/>
        </w:rPr>
        <w:t>.</w:t>
      </w:r>
      <w:r w:rsidR="003D6B13">
        <w:rPr>
          <w:sz w:val="18"/>
          <w:szCs w:val="18"/>
        </w:rPr>
        <w:t xml:space="preserve"> The DGVs were reviewed and approved by jurisdictional technical and policy oversight groups and a National Water Reform Committee, and subjected to a public consultation period, prior to being published.</w:t>
      </w:r>
    </w:p>
    <w:p w14:paraId="5D9B5F96" w14:textId="447ED1F5" w:rsidR="001C0D1C" w:rsidRDefault="00E55B1C">
      <w:pPr>
        <w:rPr>
          <w:sz w:val="18"/>
          <w:szCs w:val="18"/>
        </w:rPr>
      </w:pPr>
      <w:r>
        <w:rPr>
          <w:noProof/>
          <w:sz w:val="18"/>
          <w:szCs w:val="18"/>
          <w:lang w:eastAsia="en-AU"/>
        </w:rPr>
        <w:drawing>
          <wp:inline distT="0" distB="0" distL="0" distR="0" wp14:anchorId="21C06E27" wp14:editId="4FE3F717">
            <wp:extent cx="5759450" cy="1865373"/>
            <wp:effectExtent l="0" t="0" r="0" b="1905"/>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rotWithShape="1">
                    <a:blip r:embed="rId25">
                      <a:extLst>
                        <a:ext uri="{28A0092B-C50C-407E-A947-70E740481C1C}">
                          <a14:useLocalDpi xmlns:a14="http://schemas.microsoft.com/office/drawing/2010/main" val="0"/>
                        </a:ext>
                      </a:extLst>
                    </a:blip>
                    <a:srcRect t="17967"/>
                    <a:stretch/>
                  </pic:blipFill>
                  <pic:spPr bwMode="auto">
                    <a:xfrm>
                      <a:off x="0" y="0"/>
                      <a:ext cx="5759450" cy="1865373"/>
                    </a:xfrm>
                    <a:prstGeom prst="rect">
                      <a:avLst/>
                    </a:prstGeom>
                    <a:ln>
                      <a:noFill/>
                    </a:ln>
                    <a:extLst>
                      <a:ext uri="{53640926-AAD7-44D8-BBD7-CCE9431645EC}">
                        <a14:shadowObscured xmlns:a14="http://schemas.microsoft.com/office/drawing/2010/main"/>
                      </a:ext>
                    </a:extLst>
                  </pic:spPr>
                </pic:pic>
              </a:graphicData>
            </a:graphic>
          </wp:inline>
        </w:drawing>
      </w:r>
    </w:p>
    <w:p w14:paraId="4A316D6E" w14:textId="77777777" w:rsidR="001C0D1C" w:rsidRDefault="00E55B1C">
      <w:pPr>
        <w:pStyle w:val="TOCHeading"/>
      </w:pPr>
      <w:r>
        <w:lastRenderedPageBreak/>
        <w:t>Contents</w:t>
      </w:r>
    </w:p>
    <w:p w14:paraId="54DFDFD5" w14:textId="01A9B926" w:rsidR="005F1639" w:rsidRDefault="005F1639">
      <w:pPr>
        <w:pStyle w:val="TOC1"/>
        <w:rPr>
          <w:rFonts w:eastAsiaTheme="minorEastAsia"/>
          <w:b w:val="0"/>
          <w:kern w:val="2"/>
          <w:sz w:val="24"/>
          <w:szCs w:val="24"/>
          <w:lang w:eastAsia="en-GB"/>
          <w14:ligatures w14:val="standardContextual"/>
        </w:rPr>
      </w:pPr>
      <w:r>
        <w:rPr>
          <w:lang w:val="en-US"/>
        </w:rPr>
        <w:fldChar w:fldCharType="begin"/>
      </w:r>
      <w:r>
        <w:rPr>
          <w:lang w:val="en-US"/>
        </w:rPr>
        <w:instrText xml:space="preserve"> TOC \h \z \t "Heading 2,1,Heading 3,2" </w:instrText>
      </w:r>
      <w:r>
        <w:rPr>
          <w:lang w:val="en-US"/>
        </w:rPr>
        <w:fldChar w:fldCharType="separate"/>
      </w:r>
      <w:hyperlink w:anchor="_Toc197783989" w:history="1">
        <w:r w:rsidRPr="00BE2E1D">
          <w:rPr>
            <w:rStyle w:val="Hyperlink"/>
          </w:rPr>
          <w:t>Summary</w:t>
        </w:r>
        <w:r>
          <w:rPr>
            <w:webHidden/>
          </w:rPr>
          <w:tab/>
        </w:r>
        <w:r>
          <w:rPr>
            <w:webHidden/>
          </w:rPr>
          <w:fldChar w:fldCharType="begin"/>
        </w:r>
        <w:r>
          <w:rPr>
            <w:webHidden/>
          </w:rPr>
          <w:instrText xml:space="preserve"> PAGEREF _Toc197783989 \h </w:instrText>
        </w:r>
        <w:r>
          <w:rPr>
            <w:webHidden/>
          </w:rPr>
        </w:r>
        <w:r>
          <w:rPr>
            <w:webHidden/>
          </w:rPr>
          <w:fldChar w:fldCharType="separate"/>
        </w:r>
        <w:r w:rsidR="00510BCB">
          <w:rPr>
            <w:webHidden/>
          </w:rPr>
          <w:t>iv</w:t>
        </w:r>
        <w:r>
          <w:rPr>
            <w:webHidden/>
          </w:rPr>
          <w:fldChar w:fldCharType="end"/>
        </w:r>
      </w:hyperlink>
    </w:p>
    <w:p w14:paraId="2B9AC167" w14:textId="38E0D83B" w:rsidR="005F1639" w:rsidRDefault="005F1639">
      <w:pPr>
        <w:pStyle w:val="TOC1"/>
        <w:rPr>
          <w:rFonts w:eastAsiaTheme="minorEastAsia"/>
          <w:b w:val="0"/>
          <w:kern w:val="2"/>
          <w:sz w:val="24"/>
          <w:szCs w:val="24"/>
          <w:lang w:eastAsia="en-GB"/>
          <w14:ligatures w14:val="standardContextual"/>
        </w:rPr>
      </w:pPr>
      <w:hyperlink w:anchor="_Toc197783990" w:history="1">
        <w:r w:rsidRPr="00BE2E1D">
          <w:rPr>
            <w:rStyle w:val="Hyperlink"/>
          </w:rPr>
          <w:t>1</w:t>
        </w:r>
        <w:r>
          <w:rPr>
            <w:rFonts w:eastAsiaTheme="minorEastAsia"/>
            <w:b w:val="0"/>
            <w:kern w:val="2"/>
            <w:sz w:val="24"/>
            <w:szCs w:val="24"/>
            <w:lang w:eastAsia="en-GB"/>
            <w14:ligatures w14:val="standardContextual"/>
          </w:rPr>
          <w:tab/>
        </w:r>
        <w:r w:rsidRPr="00BE2E1D">
          <w:rPr>
            <w:rStyle w:val="Hyperlink"/>
          </w:rPr>
          <w:t>Introduction</w:t>
        </w:r>
        <w:r>
          <w:rPr>
            <w:webHidden/>
          </w:rPr>
          <w:tab/>
        </w:r>
        <w:r>
          <w:rPr>
            <w:webHidden/>
          </w:rPr>
          <w:fldChar w:fldCharType="begin"/>
        </w:r>
        <w:r>
          <w:rPr>
            <w:webHidden/>
          </w:rPr>
          <w:instrText xml:space="preserve"> PAGEREF _Toc197783990 \h </w:instrText>
        </w:r>
        <w:r>
          <w:rPr>
            <w:webHidden/>
          </w:rPr>
        </w:r>
        <w:r>
          <w:rPr>
            <w:webHidden/>
          </w:rPr>
          <w:fldChar w:fldCharType="separate"/>
        </w:r>
        <w:r w:rsidR="00510BCB">
          <w:rPr>
            <w:webHidden/>
          </w:rPr>
          <w:t>1</w:t>
        </w:r>
        <w:r>
          <w:rPr>
            <w:webHidden/>
          </w:rPr>
          <w:fldChar w:fldCharType="end"/>
        </w:r>
      </w:hyperlink>
    </w:p>
    <w:p w14:paraId="6AFA49C8" w14:textId="7A939059" w:rsidR="005F1639" w:rsidRDefault="005F1639">
      <w:pPr>
        <w:pStyle w:val="TOC1"/>
        <w:rPr>
          <w:rFonts w:eastAsiaTheme="minorEastAsia"/>
          <w:b w:val="0"/>
          <w:kern w:val="2"/>
          <w:sz w:val="24"/>
          <w:szCs w:val="24"/>
          <w:lang w:eastAsia="en-GB"/>
          <w14:ligatures w14:val="standardContextual"/>
        </w:rPr>
      </w:pPr>
      <w:hyperlink w:anchor="_Toc197783991" w:history="1">
        <w:r w:rsidRPr="00BE2E1D">
          <w:rPr>
            <w:rStyle w:val="Hyperlink"/>
          </w:rPr>
          <w:t>2</w:t>
        </w:r>
        <w:r>
          <w:rPr>
            <w:rFonts w:eastAsiaTheme="minorEastAsia"/>
            <w:b w:val="0"/>
            <w:kern w:val="2"/>
            <w:sz w:val="24"/>
            <w:szCs w:val="24"/>
            <w:lang w:eastAsia="en-GB"/>
            <w14:ligatures w14:val="standardContextual"/>
          </w:rPr>
          <w:tab/>
        </w:r>
        <w:r w:rsidRPr="00BE2E1D">
          <w:rPr>
            <w:rStyle w:val="Hyperlink"/>
          </w:rPr>
          <w:t>Aquatic toxicology</w:t>
        </w:r>
        <w:r>
          <w:rPr>
            <w:webHidden/>
          </w:rPr>
          <w:tab/>
        </w:r>
        <w:r>
          <w:rPr>
            <w:webHidden/>
          </w:rPr>
          <w:fldChar w:fldCharType="begin"/>
        </w:r>
        <w:r>
          <w:rPr>
            <w:webHidden/>
          </w:rPr>
          <w:instrText xml:space="preserve"> PAGEREF _Toc197783991 \h </w:instrText>
        </w:r>
        <w:r>
          <w:rPr>
            <w:webHidden/>
          </w:rPr>
        </w:r>
        <w:r>
          <w:rPr>
            <w:webHidden/>
          </w:rPr>
          <w:fldChar w:fldCharType="separate"/>
        </w:r>
        <w:r w:rsidR="00510BCB">
          <w:rPr>
            <w:webHidden/>
          </w:rPr>
          <w:t>3</w:t>
        </w:r>
        <w:r>
          <w:rPr>
            <w:webHidden/>
          </w:rPr>
          <w:fldChar w:fldCharType="end"/>
        </w:r>
      </w:hyperlink>
    </w:p>
    <w:p w14:paraId="1EED74CB" w14:textId="7AE7CFFE" w:rsidR="005F1639" w:rsidRDefault="005F1639">
      <w:pPr>
        <w:pStyle w:val="TOC2"/>
        <w:tabs>
          <w:tab w:val="left" w:pos="1200"/>
        </w:tabs>
        <w:rPr>
          <w:rFonts w:eastAsiaTheme="minorEastAsia"/>
          <w:kern w:val="2"/>
          <w:sz w:val="24"/>
          <w:szCs w:val="24"/>
          <w:lang w:eastAsia="en-GB"/>
          <w14:ligatures w14:val="standardContextual"/>
        </w:rPr>
      </w:pPr>
      <w:hyperlink w:anchor="_Toc197783992" w:history="1">
        <w:r w:rsidRPr="00BE2E1D">
          <w:rPr>
            <w:rStyle w:val="Hyperlink"/>
          </w:rPr>
          <w:t>2.1</w:t>
        </w:r>
        <w:r>
          <w:rPr>
            <w:rFonts w:eastAsiaTheme="minorEastAsia"/>
            <w:kern w:val="2"/>
            <w:sz w:val="24"/>
            <w:szCs w:val="24"/>
            <w:lang w:eastAsia="en-GB"/>
            <w14:ligatures w14:val="standardContextual"/>
          </w:rPr>
          <w:tab/>
        </w:r>
        <w:r w:rsidRPr="00BE2E1D">
          <w:rPr>
            <w:rStyle w:val="Hyperlink"/>
          </w:rPr>
          <w:t>Mechanisms of iron toxicity</w:t>
        </w:r>
        <w:r>
          <w:rPr>
            <w:webHidden/>
          </w:rPr>
          <w:tab/>
        </w:r>
        <w:r>
          <w:rPr>
            <w:webHidden/>
          </w:rPr>
          <w:fldChar w:fldCharType="begin"/>
        </w:r>
        <w:r>
          <w:rPr>
            <w:webHidden/>
          </w:rPr>
          <w:instrText xml:space="preserve"> PAGEREF _Toc197783992 \h </w:instrText>
        </w:r>
        <w:r>
          <w:rPr>
            <w:webHidden/>
          </w:rPr>
        </w:r>
        <w:r>
          <w:rPr>
            <w:webHidden/>
          </w:rPr>
          <w:fldChar w:fldCharType="separate"/>
        </w:r>
        <w:r w:rsidR="00510BCB">
          <w:rPr>
            <w:webHidden/>
          </w:rPr>
          <w:t>3</w:t>
        </w:r>
        <w:r>
          <w:rPr>
            <w:webHidden/>
          </w:rPr>
          <w:fldChar w:fldCharType="end"/>
        </w:r>
      </w:hyperlink>
    </w:p>
    <w:p w14:paraId="16A6623F" w14:textId="27CBFB07" w:rsidR="005F1639" w:rsidRDefault="005F1639">
      <w:pPr>
        <w:pStyle w:val="TOC2"/>
        <w:tabs>
          <w:tab w:val="left" w:pos="1200"/>
        </w:tabs>
        <w:rPr>
          <w:rFonts w:eastAsiaTheme="minorEastAsia"/>
          <w:kern w:val="2"/>
          <w:sz w:val="24"/>
          <w:szCs w:val="24"/>
          <w:lang w:eastAsia="en-GB"/>
          <w14:ligatures w14:val="standardContextual"/>
        </w:rPr>
      </w:pPr>
      <w:hyperlink w:anchor="_Toc197783993" w:history="1">
        <w:r w:rsidRPr="00BE2E1D">
          <w:rPr>
            <w:rStyle w:val="Hyperlink"/>
          </w:rPr>
          <w:t>2.2</w:t>
        </w:r>
        <w:r>
          <w:rPr>
            <w:rFonts w:eastAsiaTheme="minorEastAsia"/>
            <w:kern w:val="2"/>
            <w:sz w:val="24"/>
            <w:szCs w:val="24"/>
            <w:lang w:eastAsia="en-GB"/>
            <w14:ligatures w14:val="standardContextual"/>
          </w:rPr>
          <w:tab/>
        </w:r>
        <w:r w:rsidRPr="00BE2E1D">
          <w:rPr>
            <w:rStyle w:val="Hyperlink"/>
          </w:rPr>
          <w:t>Toxicity</w:t>
        </w:r>
        <w:r>
          <w:rPr>
            <w:webHidden/>
          </w:rPr>
          <w:tab/>
        </w:r>
        <w:r>
          <w:rPr>
            <w:webHidden/>
          </w:rPr>
          <w:fldChar w:fldCharType="begin"/>
        </w:r>
        <w:r>
          <w:rPr>
            <w:webHidden/>
          </w:rPr>
          <w:instrText xml:space="preserve"> PAGEREF _Toc197783993 \h </w:instrText>
        </w:r>
        <w:r>
          <w:rPr>
            <w:webHidden/>
          </w:rPr>
        </w:r>
        <w:r>
          <w:rPr>
            <w:webHidden/>
          </w:rPr>
          <w:fldChar w:fldCharType="separate"/>
        </w:r>
        <w:r w:rsidR="00510BCB">
          <w:rPr>
            <w:webHidden/>
          </w:rPr>
          <w:t>3</w:t>
        </w:r>
        <w:r>
          <w:rPr>
            <w:webHidden/>
          </w:rPr>
          <w:fldChar w:fldCharType="end"/>
        </w:r>
      </w:hyperlink>
    </w:p>
    <w:p w14:paraId="0813BDD7" w14:textId="1BA94371" w:rsidR="005F1639" w:rsidRDefault="005F1639">
      <w:pPr>
        <w:pStyle w:val="TOC1"/>
        <w:rPr>
          <w:rFonts w:eastAsiaTheme="minorEastAsia"/>
          <w:b w:val="0"/>
          <w:kern w:val="2"/>
          <w:sz w:val="24"/>
          <w:szCs w:val="24"/>
          <w:lang w:eastAsia="en-GB"/>
          <w14:ligatures w14:val="standardContextual"/>
        </w:rPr>
      </w:pPr>
      <w:hyperlink w:anchor="_Toc197783994" w:history="1">
        <w:r w:rsidRPr="00BE2E1D">
          <w:rPr>
            <w:rStyle w:val="Hyperlink"/>
          </w:rPr>
          <w:t>3</w:t>
        </w:r>
        <w:r>
          <w:rPr>
            <w:rFonts w:eastAsiaTheme="minorEastAsia"/>
            <w:b w:val="0"/>
            <w:kern w:val="2"/>
            <w:sz w:val="24"/>
            <w:szCs w:val="24"/>
            <w:lang w:eastAsia="en-GB"/>
            <w14:ligatures w14:val="standardContextual"/>
          </w:rPr>
          <w:tab/>
        </w:r>
        <w:r w:rsidRPr="00BE2E1D">
          <w:rPr>
            <w:rStyle w:val="Hyperlink"/>
          </w:rPr>
          <w:t>Factors affecting toxicity</w:t>
        </w:r>
        <w:r>
          <w:rPr>
            <w:webHidden/>
          </w:rPr>
          <w:tab/>
        </w:r>
        <w:r>
          <w:rPr>
            <w:webHidden/>
          </w:rPr>
          <w:fldChar w:fldCharType="begin"/>
        </w:r>
        <w:r>
          <w:rPr>
            <w:webHidden/>
          </w:rPr>
          <w:instrText xml:space="preserve"> PAGEREF _Toc197783994 \h </w:instrText>
        </w:r>
        <w:r>
          <w:rPr>
            <w:webHidden/>
          </w:rPr>
        </w:r>
        <w:r>
          <w:rPr>
            <w:webHidden/>
          </w:rPr>
          <w:fldChar w:fldCharType="separate"/>
        </w:r>
        <w:r w:rsidR="00510BCB">
          <w:rPr>
            <w:webHidden/>
          </w:rPr>
          <w:t>5</w:t>
        </w:r>
        <w:r>
          <w:rPr>
            <w:webHidden/>
          </w:rPr>
          <w:fldChar w:fldCharType="end"/>
        </w:r>
      </w:hyperlink>
    </w:p>
    <w:p w14:paraId="7866A85C" w14:textId="060B64B1" w:rsidR="005F1639" w:rsidRDefault="005F1639">
      <w:pPr>
        <w:pStyle w:val="TOC1"/>
        <w:rPr>
          <w:rFonts w:eastAsiaTheme="minorEastAsia"/>
          <w:b w:val="0"/>
          <w:kern w:val="2"/>
          <w:sz w:val="24"/>
          <w:szCs w:val="24"/>
          <w:lang w:eastAsia="en-GB"/>
          <w14:ligatures w14:val="standardContextual"/>
        </w:rPr>
      </w:pPr>
      <w:hyperlink w:anchor="_Toc197783995" w:history="1">
        <w:r w:rsidRPr="00BE2E1D">
          <w:rPr>
            <w:rStyle w:val="Hyperlink"/>
          </w:rPr>
          <w:t>4</w:t>
        </w:r>
        <w:r>
          <w:rPr>
            <w:rFonts w:eastAsiaTheme="minorEastAsia"/>
            <w:b w:val="0"/>
            <w:kern w:val="2"/>
            <w:sz w:val="24"/>
            <w:szCs w:val="24"/>
            <w:lang w:eastAsia="en-GB"/>
            <w14:ligatures w14:val="standardContextual"/>
          </w:rPr>
          <w:tab/>
        </w:r>
        <w:r w:rsidRPr="00BE2E1D">
          <w:rPr>
            <w:rStyle w:val="Hyperlink"/>
          </w:rPr>
          <w:t>Default guideline value derivation</w:t>
        </w:r>
        <w:r>
          <w:rPr>
            <w:webHidden/>
          </w:rPr>
          <w:tab/>
        </w:r>
        <w:r>
          <w:rPr>
            <w:webHidden/>
          </w:rPr>
          <w:fldChar w:fldCharType="begin"/>
        </w:r>
        <w:r>
          <w:rPr>
            <w:webHidden/>
          </w:rPr>
          <w:instrText xml:space="preserve"> PAGEREF _Toc197783995 \h </w:instrText>
        </w:r>
        <w:r>
          <w:rPr>
            <w:webHidden/>
          </w:rPr>
        </w:r>
        <w:r>
          <w:rPr>
            <w:webHidden/>
          </w:rPr>
          <w:fldChar w:fldCharType="separate"/>
        </w:r>
        <w:r w:rsidR="00510BCB">
          <w:rPr>
            <w:webHidden/>
          </w:rPr>
          <w:t>6</w:t>
        </w:r>
        <w:r>
          <w:rPr>
            <w:webHidden/>
          </w:rPr>
          <w:fldChar w:fldCharType="end"/>
        </w:r>
      </w:hyperlink>
    </w:p>
    <w:p w14:paraId="1555C7A9" w14:textId="11495E94" w:rsidR="005F1639" w:rsidRDefault="005F1639">
      <w:pPr>
        <w:pStyle w:val="TOC2"/>
        <w:tabs>
          <w:tab w:val="left" w:pos="1200"/>
        </w:tabs>
        <w:rPr>
          <w:rFonts w:eastAsiaTheme="minorEastAsia"/>
          <w:kern w:val="2"/>
          <w:sz w:val="24"/>
          <w:szCs w:val="24"/>
          <w:lang w:eastAsia="en-GB"/>
          <w14:ligatures w14:val="standardContextual"/>
        </w:rPr>
      </w:pPr>
      <w:hyperlink w:anchor="_Toc197783996" w:history="1">
        <w:r w:rsidRPr="00BE2E1D">
          <w:rPr>
            <w:rStyle w:val="Hyperlink"/>
          </w:rPr>
          <w:t>4.1</w:t>
        </w:r>
        <w:r>
          <w:rPr>
            <w:rFonts w:eastAsiaTheme="minorEastAsia"/>
            <w:kern w:val="2"/>
            <w:sz w:val="24"/>
            <w:szCs w:val="24"/>
            <w:lang w:eastAsia="en-GB"/>
            <w14:ligatures w14:val="standardContextual"/>
          </w:rPr>
          <w:tab/>
        </w:r>
        <w:r w:rsidRPr="00BE2E1D">
          <w:rPr>
            <w:rStyle w:val="Hyperlink"/>
          </w:rPr>
          <w:t>Toxicity data used in derivation</w:t>
        </w:r>
        <w:r>
          <w:rPr>
            <w:webHidden/>
          </w:rPr>
          <w:tab/>
        </w:r>
        <w:r>
          <w:rPr>
            <w:webHidden/>
          </w:rPr>
          <w:fldChar w:fldCharType="begin"/>
        </w:r>
        <w:r>
          <w:rPr>
            <w:webHidden/>
          </w:rPr>
          <w:instrText xml:space="preserve"> PAGEREF _Toc197783996 \h </w:instrText>
        </w:r>
        <w:r>
          <w:rPr>
            <w:webHidden/>
          </w:rPr>
        </w:r>
        <w:r>
          <w:rPr>
            <w:webHidden/>
          </w:rPr>
          <w:fldChar w:fldCharType="separate"/>
        </w:r>
        <w:r w:rsidR="00510BCB">
          <w:rPr>
            <w:webHidden/>
          </w:rPr>
          <w:t>6</w:t>
        </w:r>
        <w:r>
          <w:rPr>
            <w:webHidden/>
          </w:rPr>
          <w:fldChar w:fldCharType="end"/>
        </w:r>
      </w:hyperlink>
    </w:p>
    <w:p w14:paraId="16D96A00" w14:textId="01B2F803" w:rsidR="005F1639" w:rsidRDefault="005F1639">
      <w:pPr>
        <w:pStyle w:val="TOC2"/>
        <w:tabs>
          <w:tab w:val="left" w:pos="1200"/>
        </w:tabs>
        <w:rPr>
          <w:rFonts w:eastAsiaTheme="minorEastAsia"/>
          <w:kern w:val="2"/>
          <w:sz w:val="24"/>
          <w:szCs w:val="24"/>
          <w:lang w:eastAsia="en-GB"/>
          <w14:ligatures w14:val="standardContextual"/>
        </w:rPr>
      </w:pPr>
      <w:hyperlink w:anchor="_Toc197783997" w:history="1">
        <w:r w:rsidRPr="00BE2E1D">
          <w:rPr>
            <w:rStyle w:val="Hyperlink"/>
          </w:rPr>
          <w:t>4.2</w:t>
        </w:r>
        <w:r>
          <w:rPr>
            <w:rFonts w:eastAsiaTheme="minorEastAsia"/>
            <w:kern w:val="2"/>
            <w:sz w:val="24"/>
            <w:szCs w:val="24"/>
            <w:lang w:eastAsia="en-GB"/>
            <w14:ligatures w14:val="standardContextual"/>
          </w:rPr>
          <w:tab/>
        </w:r>
        <w:r w:rsidRPr="00BE2E1D">
          <w:rPr>
            <w:rStyle w:val="Hyperlink"/>
          </w:rPr>
          <w:t>Species sensitivity distribution</w:t>
        </w:r>
        <w:r>
          <w:rPr>
            <w:webHidden/>
          </w:rPr>
          <w:tab/>
        </w:r>
        <w:r>
          <w:rPr>
            <w:webHidden/>
          </w:rPr>
          <w:fldChar w:fldCharType="begin"/>
        </w:r>
        <w:r>
          <w:rPr>
            <w:webHidden/>
          </w:rPr>
          <w:instrText xml:space="preserve"> PAGEREF _Toc197783997 \h </w:instrText>
        </w:r>
        <w:r>
          <w:rPr>
            <w:webHidden/>
          </w:rPr>
        </w:r>
        <w:r>
          <w:rPr>
            <w:webHidden/>
          </w:rPr>
          <w:fldChar w:fldCharType="separate"/>
        </w:r>
        <w:r w:rsidR="00510BCB">
          <w:rPr>
            <w:webHidden/>
          </w:rPr>
          <w:t>8</w:t>
        </w:r>
        <w:r>
          <w:rPr>
            <w:webHidden/>
          </w:rPr>
          <w:fldChar w:fldCharType="end"/>
        </w:r>
      </w:hyperlink>
    </w:p>
    <w:p w14:paraId="2DC4400B" w14:textId="60E51574" w:rsidR="005F1639" w:rsidRDefault="005F1639">
      <w:pPr>
        <w:pStyle w:val="TOC2"/>
        <w:tabs>
          <w:tab w:val="left" w:pos="1200"/>
        </w:tabs>
        <w:rPr>
          <w:rFonts w:eastAsiaTheme="minorEastAsia"/>
          <w:kern w:val="2"/>
          <w:sz w:val="24"/>
          <w:szCs w:val="24"/>
          <w:lang w:eastAsia="en-GB"/>
          <w14:ligatures w14:val="standardContextual"/>
        </w:rPr>
      </w:pPr>
      <w:hyperlink w:anchor="_Toc197783998" w:history="1">
        <w:r w:rsidRPr="00BE2E1D">
          <w:rPr>
            <w:rStyle w:val="Hyperlink"/>
          </w:rPr>
          <w:t>4.3</w:t>
        </w:r>
        <w:r>
          <w:rPr>
            <w:rFonts w:eastAsiaTheme="minorEastAsia"/>
            <w:kern w:val="2"/>
            <w:sz w:val="24"/>
            <w:szCs w:val="24"/>
            <w:lang w:eastAsia="en-GB"/>
            <w14:ligatures w14:val="standardContextual"/>
          </w:rPr>
          <w:tab/>
        </w:r>
        <w:r w:rsidRPr="00BE2E1D">
          <w:rPr>
            <w:rStyle w:val="Hyperlink"/>
          </w:rPr>
          <w:t>Default guideline values</w:t>
        </w:r>
        <w:r>
          <w:rPr>
            <w:webHidden/>
          </w:rPr>
          <w:tab/>
        </w:r>
        <w:r>
          <w:rPr>
            <w:webHidden/>
          </w:rPr>
          <w:fldChar w:fldCharType="begin"/>
        </w:r>
        <w:r>
          <w:rPr>
            <w:webHidden/>
          </w:rPr>
          <w:instrText xml:space="preserve"> PAGEREF _Toc197783998 \h </w:instrText>
        </w:r>
        <w:r>
          <w:rPr>
            <w:webHidden/>
          </w:rPr>
        </w:r>
        <w:r>
          <w:rPr>
            <w:webHidden/>
          </w:rPr>
          <w:fldChar w:fldCharType="separate"/>
        </w:r>
        <w:r w:rsidR="00510BCB">
          <w:rPr>
            <w:webHidden/>
          </w:rPr>
          <w:t>9</w:t>
        </w:r>
        <w:r>
          <w:rPr>
            <w:webHidden/>
          </w:rPr>
          <w:fldChar w:fldCharType="end"/>
        </w:r>
      </w:hyperlink>
    </w:p>
    <w:p w14:paraId="5CD9A8C1" w14:textId="5242AFDD" w:rsidR="005F1639" w:rsidRDefault="005F1639">
      <w:pPr>
        <w:pStyle w:val="TOC2"/>
        <w:tabs>
          <w:tab w:val="left" w:pos="1200"/>
        </w:tabs>
        <w:rPr>
          <w:rFonts w:eastAsiaTheme="minorEastAsia"/>
          <w:kern w:val="2"/>
          <w:sz w:val="24"/>
          <w:szCs w:val="24"/>
          <w:lang w:eastAsia="en-GB"/>
          <w14:ligatures w14:val="standardContextual"/>
        </w:rPr>
      </w:pPr>
      <w:hyperlink w:anchor="_Toc197783999" w:history="1">
        <w:r w:rsidRPr="00BE2E1D">
          <w:rPr>
            <w:rStyle w:val="Hyperlink"/>
          </w:rPr>
          <w:t>4.4</w:t>
        </w:r>
        <w:r>
          <w:rPr>
            <w:rFonts w:eastAsiaTheme="minorEastAsia"/>
            <w:kern w:val="2"/>
            <w:sz w:val="24"/>
            <w:szCs w:val="24"/>
            <w:lang w:eastAsia="en-GB"/>
            <w14:ligatures w14:val="standardContextual"/>
          </w:rPr>
          <w:tab/>
        </w:r>
        <w:r w:rsidRPr="00BE2E1D">
          <w:rPr>
            <w:rStyle w:val="Hyperlink"/>
          </w:rPr>
          <w:t>Reliability classification</w:t>
        </w:r>
        <w:r>
          <w:rPr>
            <w:webHidden/>
          </w:rPr>
          <w:tab/>
        </w:r>
        <w:r>
          <w:rPr>
            <w:webHidden/>
          </w:rPr>
          <w:fldChar w:fldCharType="begin"/>
        </w:r>
        <w:r>
          <w:rPr>
            <w:webHidden/>
          </w:rPr>
          <w:instrText xml:space="preserve"> PAGEREF _Toc197783999 \h </w:instrText>
        </w:r>
        <w:r>
          <w:rPr>
            <w:webHidden/>
          </w:rPr>
        </w:r>
        <w:r>
          <w:rPr>
            <w:webHidden/>
          </w:rPr>
          <w:fldChar w:fldCharType="separate"/>
        </w:r>
        <w:r w:rsidR="00510BCB">
          <w:rPr>
            <w:webHidden/>
          </w:rPr>
          <w:t>10</w:t>
        </w:r>
        <w:r>
          <w:rPr>
            <w:webHidden/>
          </w:rPr>
          <w:fldChar w:fldCharType="end"/>
        </w:r>
      </w:hyperlink>
    </w:p>
    <w:p w14:paraId="252BEE40" w14:textId="2F5145BD" w:rsidR="005F1639" w:rsidRDefault="005F1639">
      <w:pPr>
        <w:pStyle w:val="TOC1"/>
        <w:rPr>
          <w:rFonts w:eastAsiaTheme="minorEastAsia"/>
          <w:b w:val="0"/>
          <w:kern w:val="2"/>
          <w:sz w:val="24"/>
          <w:szCs w:val="24"/>
          <w:lang w:eastAsia="en-GB"/>
          <w14:ligatures w14:val="standardContextual"/>
        </w:rPr>
      </w:pPr>
      <w:hyperlink w:anchor="_Toc197784000" w:history="1">
        <w:r w:rsidRPr="00BE2E1D">
          <w:rPr>
            <w:rStyle w:val="Hyperlink"/>
          </w:rPr>
          <w:t>Glossary and acronyms</w:t>
        </w:r>
        <w:r>
          <w:rPr>
            <w:webHidden/>
          </w:rPr>
          <w:tab/>
        </w:r>
        <w:r>
          <w:rPr>
            <w:webHidden/>
          </w:rPr>
          <w:fldChar w:fldCharType="begin"/>
        </w:r>
        <w:r>
          <w:rPr>
            <w:webHidden/>
          </w:rPr>
          <w:instrText xml:space="preserve"> PAGEREF _Toc197784000 \h </w:instrText>
        </w:r>
        <w:r>
          <w:rPr>
            <w:webHidden/>
          </w:rPr>
        </w:r>
        <w:r>
          <w:rPr>
            <w:webHidden/>
          </w:rPr>
          <w:fldChar w:fldCharType="separate"/>
        </w:r>
        <w:r w:rsidR="00510BCB">
          <w:rPr>
            <w:webHidden/>
          </w:rPr>
          <w:t>11</w:t>
        </w:r>
        <w:r>
          <w:rPr>
            <w:webHidden/>
          </w:rPr>
          <w:fldChar w:fldCharType="end"/>
        </w:r>
      </w:hyperlink>
    </w:p>
    <w:p w14:paraId="215FC393" w14:textId="3663146D" w:rsidR="005F1639" w:rsidRDefault="005F1639">
      <w:pPr>
        <w:pStyle w:val="TOC1"/>
        <w:rPr>
          <w:rFonts w:eastAsiaTheme="minorEastAsia"/>
          <w:b w:val="0"/>
          <w:kern w:val="2"/>
          <w:sz w:val="24"/>
          <w:szCs w:val="24"/>
          <w:lang w:eastAsia="en-GB"/>
          <w14:ligatures w14:val="standardContextual"/>
        </w:rPr>
      </w:pPr>
      <w:hyperlink w:anchor="_Toc197784001" w:history="1">
        <w:r w:rsidRPr="00BE2E1D">
          <w:rPr>
            <w:rStyle w:val="Hyperlink"/>
          </w:rPr>
          <w:t>Appendix A: water-quality assessment for sparingly soluble metals</w:t>
        </w:r>
        <w:r>
          <w:rPr>
            <w:webHidden/>
          </w:rPr>
          <w:tab/>
        </w:r>
        <w:r>
          <w:rPr>
            <w:webHidden/>
          </w:rPr>
          <w:fldChar w:fldCharType="begin"/>
        </w:r>
        <w:r>
          <w:rPr>
            <w:webHidden/>
          </w:rPr>
          <w:instrText xml:space="preserve"> PAGEREF _Toc197784001 \h </w:instrText>
        </w:r>
        <w:r>
          <w:rPr>
            <w:webHidden/>
          </w:rPr>
        </w:r>
        <w:r>
          <w:rPr>
            <w:webHidden/>
          </w:rPr>
          <w:fldChar w:fldCharType="separate"/>
        </w:r>
        <w:r w:rsidR="00510BCB">
          <w:rPr>
            <w:webHidden/>
          </w:rPr>
          <w:t>12</w:t>
        </w:r>
        <w:r>
          <w:rPr>
            <w:webHidden/>
          </w:rPr>
          <w:fldChar w:fldCharType="end"/>
        </w:r>
      </w:hyperlink>
    </w:p>
    <w:p w14:paraId="71DEAC53" w14:textId="0B6C2D77" w:rsidR="005F1639" w:rsidRDefault="005F1639">
      <w:pPr>
        <w:pStyle w:val="TOC1"/>
        <w:rPr>
          <w:rFonts w:eastAsiaTheme="minorEastAsia"/>
          <w:b w:val="0"/>
          <w:kern w:val="2"/>
          <w:sz w:val="24"/>
          <w:szCs w:val="24"/>
          <w:lang w:eastAsia="en-GB"/>
          <w14:ligatures w14:val="standardContextual"/>
        </w:rPr>
      </w:pPr>
      <w:hyperlink w:anchor="_Toc197784002" w:history="1">
        <w:r w:rsidRPr="00BE2E1D">
          <w:rPr>
            <w:rStyle w:val="Hyperlink"/>
          </w:rPr>
          <w:t>Appendix B: toxicity data that passed the screening and quality assessment and were used to derive the default guideline values</w:t>
        </w:r>
        <w:r>
          <w:rPr>
            <w:webHidden/>
          </w:rPr>
          <w:tab/>
        </w:r>
        <w:r>
          <w:rPr>
            <w:webHidden/>
          </w:rPr>
          <w:fldChar w:fldCharType="begin"/>
        </w:r>
        <w:r>
          <w:rPr>
            <w:webHidden/>
          </w:rPr>
          <w:instrText xml:space="preserve"> PAGEREF _Toc197784002 \h </w:instrText>
        </w:r>
        <w:r>
          <w:rPr>
            <w:webHidden/>
          </w:rPr>
        </w:r>
        <w:r>
          <w:rPr>
            <w:webHidden/>
          </w:rPr>
          <w:fldChar w:fldCharType="separate"/>
        </w:r>
        <w:r w:rsidR="00510BCB">
          <w:rPr>
            <w:webHidden/>
          </w:rPr>
          <w:t>14</w:t>
        </w:r>
        <w:r>
          <w:rPr>
            <w:webHidden/>
          </w:rPr>
          <w:fldChar w:fldCharType="end"/>
        </w:r>
      </w:hyperlink>
    </w:p>
    <w:p w14:paraId="0685E8C3" w14:textId="636727A4" w:rsidR="005F1639" w:rsidRDefault="005F1639">
      <w:pPr>
        <w:pStyle w:val="TOC1"/>
        <w:rPr>
          <w:rFonts w:eastAsiaTheme="minorEastAsia"/>
          <w:b w:val="0"/>
          <w:kern w:val="2"/>
          <w:sz w:val="24"/>
          <w:szCs w:val="24"/>
          <w:lang w:eastAsia="en-GB"/>
          <w14:ligatures w14:val="standardContextual"/>
        </w:rPr>
      </w:pPr>
      <w:hyperlink w:anchor="_Toc197784003" w:history="1">
        <w:r w:rsidRPr="00BE2E1D">
          <w:rPr>
            <w:rStyle w:val="Hyperlink"/>
          </w:rPr>
          <w:t>Appendix C: comparison of iron toxicity datasets with and without Markich (2021) bivalve data</w:t>
        </w:r>
        <w:r>
          <w:rPr>
            <w:webHidden/>
          </w:rPr>
          <w:tab/>
        </w:r>
        <w:r>
          <w:rPr>
            <w:webHidden/>
          </w:rPr>
          <w:fldChar w:fldCharType="begin"/>
        </w:r>
        <w:r>
          <w:rPr>
            <w:webHidden/>
          </w:rPr>
          <w:instrText xml:space="preserve"> PAGEREF _Toc197784003 \h </w:instrText>
        </w:r>
        <w:r>
          <w:rPr>
            <w:webHidden/>
          </w:rPr>
        </w:r>
        <w:r>
          <w:rPr>
            <w:webHidden/>
          </w:rPr>
          <w:fldChar w:fldCharType="separate"/>
        </w:r>
        <w:r w:rsidR="00510BCB">
          <w:rPr>
            <w:webHidden/>
          </w:rPr>
          <w:t>16</w:t>
        </w:r>
        <w:r>
          <w:rPr>
            <w:webHidden/>
          </w:rPr>
          <w:fldChar w:fldCharType="end"/>
        </w:r>
      </w:hyperlink>
    </w:p>
    <w:p w14:paraId="6E0236B5" w14:textId="580CF498" w:rsidR="005F1639" w:rsidRPr="005F1639" w:rsidRDefault="005F1639" w:rsidP="00637CFC">
      <w:pPr>
        <w:pStyle w:val="TOC1"/>
        <w:rPr>
          <w:lang w:val="en-US"/>
        </w:rPr>
      </w:pPr>
      <w:hyperlink w:anchor="_Toc197784004" w:history="1">
        <w:r w:rsidRPr="00BE2E1D">
          <w:rPr>
            <w:rStyle w:val="Hyperlink"/>
          </w:rPr>
          <w:t>References</w:t>
        </w:r>
        <w:r>
          <w:rPr>
            <w:webHidden/>
          </w:rPr>
          <w:tab/>
        </w:r>
        <w:r>
          <w:rPr>
            <w:webHidden/>
          </w:rPr>
          <w:fldChar w:fldCharType="begin"/>
        </w:r>
        <w:r>
          <w:rPr>
            <w:webHidden/>
          </w:rPr>
          <w:instrText xml:space="preserve"> PAGEREF _Toc197784004 \h </w:instrText>
        </w:r>
        <w:r>
          <w:rPr>
            <w:webHidden/>
          </w:rPr>
        </w:r>
        <w:r>
          <w:rPr>
            <w:webHidden/>
          </w:rPr>
          <w:fldChar w:fldCharType="separate"/>
        </w:r>
        <w:r w:rsidR="00510BCB">
          <w:rPr>
            <w:webHidden/>
          </w:rPr>
          <w:t>20</w:t>
        </w:r>
        <w:r>
          <w:rPr>
            <w:webHidden/>
          </w:rPr>
          <w:fldChar w:fldCharType="end"/>
        </w:r>
      </w:hyperlink>
      <w:r>
        <w:rPr>
          <w:lang w:val="en-US"/>
        </w:rPr>
        <w:fldChar w:fldCharType="end"/>
      </w:r>
    </w:p>
    <w:p w14:paraId="11B0DAB9" w14:textId="2F31C458" w:rsidR="001C0D1C" w:rsidRDefault="00E55B1C">
      <w:pPr>
        <w:pStyle w:val="TOCHeading2"/>
      </w:pPr>
      <w:r>
        <w:t>Figures</w:t>
      </w:r>
    </w:p>
    <w:p w14:paraId="072D5B17" w14:textId="23510EE5" w:rsidR="00637CFC" w:rsidRPr="00637CFC" w:rsidRDefault="00637CFC" w:rsidP="00637CFC">
      <w:pPr>
        <w:pStyle w:val="TableofFigures"/>
        <w:tabs>
          <w:tab w:val="right" w:leader="dot" w:pos="9060"/>
        </w:tabs>
        <w:rPr>
          <w:lang w:val="en-US"/>
        </w:rPr>
      </w:pPr>
      <w:r>
        <w:rPr>
          <w:lang w:val="en-US"/>
        </w:rPr>
        <w:fldChar w:fldCharType="begin"/>
      </w:r>
      <w:r>
        <w:rPr>
          <w:lang w:val="en-US"/>
        </w:rPr>
        <w:instrText xml:space="preserve"> TOC \h \z \c "Figure" </w:instrText>
      </w:r>
      <w:r>
        <w:rPr>
          <w:lang w:val="en-US"/>
        </w:rPr>
        <w:fldChar w:fldCharType="separate"/>
      </w:r>
      <w:hyperlink w:anchor="_Toc197784023" w:history="1">
        <w:r w:rsidRPr="00003B6F">
          <w:rPr>
            <w:rStyle w:val="Hyperlink"/>
            <w:noProof/>
          </w:rPr>
          <w:t>Figure 1. Species sensitivity distribution for iron in marine water</w:t>
        </w:r>
        <w:r>
          <w:rPr>
            <w:noProof/>
            <w:webHidden/>
          </w:rPr>
          <w:tab/>
        </w:r>
        <w:r>
          <w:rPr>
            <w:noProof/>
            <w:webHidden/>
          </w:rPr>
          <w:fldChar w:fldCharType="begin"/>
        </w:r>
        <w:r>
          <w:rPr>
            <w:noProof/>
            <w:webHidden/>
          </w:rPr>
          <w:instrText xml:space="preserve"> PAGEREF _Toc197784023 \h </w:instrText>
        </w:r>
        <w:r>
          <w:rPr>
            <w:noProof/>
            <w:webHidden/>
          </w:rPr>
        </w:r>
        <w:r>
          <w:rPr>
            <w:noProof/>
            <w:webHidden/>
          </w:rPr>
          <w:fldChar w:fldCharType="separate"/>
        </w:r>
        <w:r w:rsidR="00510BCB">
          <w:rPr>
            <w:noProof/>
            <w:webHidden/>
          </w:rPr>
          <w:t>9</w:t>
        </w:r>
        <w:r>
          <w:rPr>
            <w:noProof/>
            <w:webHidden/>
          </w:rPr>
          <w:fldChar w:fldCharType="end"/>
        </w:r>
      </w:hyperlink>
      <w:r>
        <w:rPr>
          <w:lang w:val="en-US"/>
        </w:rPr>
        <w:fldChar w:fldCharType="end"/>
      </w:r>
    </w:p>
    <w:p w14:paraId="17A22399" w14:textId="38158CBB" w:rsidR="001C0D1C" w:rsidRDefault="00E55B1C" w:rsidP="00A723FC">
      <w:pPr>
        <w:pStyle w:val="TOCHeading2"/>
        <w:rPr>
          <w:bCs w:val="0"/>
        </w:rPr>
      </w:pPr>
      <w:r w:rsidRPr="00334539">
        <w:rPr>
          <w:bCs w:val="0"/>
        </w:rPr>
        <w:t>Tables</w:t>
      </w:r>
    </w:p>
    <w:p w14:paraId="3C40326B" w14:textId="7CFD3F10" w:rsidR="00637CFC" w:rsidRDefault="00637CFC">
      <w:pPr>
        <w:pStyle w:val="TableofFigures"/>
        <w:tabs>
          <w:tab w:val="right" w:leader="dot" w:pos="9060"/>
        </w:tabs>
        <w:rPr>
          <w:rFonts w:eastAsiaTheme="minorEastAsia"/>
          <w:noProof/>
          <w:kern w:val="2"/>
          <w:sz w:val="24"/>
          <w:szCs w:val="24"/>
          <w:lang w:eastAsia="en-GB"/>
          <w14:ligatures w14:val="standardContextual"/>
        </w:rPr>
      </w:pPr>
      <w:r>
        <w:rPr>
          <w:lang w:val="en-US"/>
        </w:rPr>
        <w:fldChar w:fldCharType="begin"/>
      </w:r>
      <w:r>
        <w:rPr>
          <w:lang w:val="en-US"/>
        </w:rPr>
        <w:instrText xml:space="preserve"> TOC \h \z \c "Table" </w:instrText>
      </w:r>
      <w:r>
        <w:rPr>
          <w:lang w:val="en-US"/>
        </w:rPr>
        <w:fldChar w:fldCharType="separate"/>
      </w:r>
      <w:hyperlink w:anchor="_Toc197784037" w:history="1">
        <w:r w:rsidRPr="00CE1751">
          <w:rPr>
            <w:rStyle w:val="Hyperlink"/>
            <w:noProof/>
          </w:rPr>
          <w:t>Table 1. Summary of single chronic toxicity values for all species used to derive default guideline values for iron in marine water</w:t>
        </w:r>
        <w:r>
          <w:rPr>
            <w:noProof/>
            <w:webHidden/>
          </w:rPr>
          <w:tab/>
        </w:r>
        <w:r>
          <w:rPr>
            <w:noProof/>
            <w:webHidden/>
          </w:rPr>
          <w:fldChar w:fldCharType="begin"/>
        </w:r>
        <w:r>
          <w:rPr>
            <w:noProof/>
            <w:webHidden/>
          </w:rPr>
          <w:instrText xml:space="preserve"> PAGEREF _Toc197784037 \h </w:instrText>
        </w:r>
        <w:r>
          <w:rPr>
            <w:noProof/>
            <w:webHidden/>
          </w:rPr>
        </w:r>
        <w:r>
          <w:rPr>
            <w:noProof/>
            <w:webHidden/>
          </w:rPr>
          <w:fldChar w:fldCharType="separate"/>
        </w:r>
        <w:r w:rsidR="00510BCB">
          <w:rPr>
            <w:noProof/>
            <w:webHidden/>
          </w:rPr>
          <w:t>6</w:t>
        </w:r>
        <w:r>
          <w:rPr>
            <w:noProof/>
            <w:webHidden/>
          </w:rPr>
          <w:fldChar w:fldCharType="end"/>
        </w:r>
      </w:hyperlink>
    </w:p>
    <w:p w14:paraId="5DD24235" w14:textId="512C1257" w:rsidR="00637CFC" w:rsidRPr="00637CFC" w:rsidRDefault="00637CFC" w:rsidP="00637CFC">
      <w:pPr>
        <w:pStyle w:val="TableofFigures"/>
        <w:tabs>
          <w:tab w:val="right" w:leader="dot" w:pos="9060"/>
        </w:tabs>
        <w:rPr>
          <w:lang w:val="en-US"/>
        </w:rPr>
      </w:pPr>
      <w:hyperlink w:anchor="_Toc197784038" w:history="1">
        <w:r w:rsidRPr="00CE1751">
          <w:rPr>
            <w:rStyle w:val="Hyperlink"/>
            <w:noProof/>
          </w:rPr>
          <w:t>Table 2. Toxicant default guideline values for iron in marine water with moderate reliability</w:t>
        </w:r>
        <w:r>
          <w:rPr>
            <w:noProof/>
            <w:webHidden/>
          </w:rPr>
          <w:tab/>
        </w:r>
        <w:r>
          <w:rPr>
            <w:noProof/>
            <w:webHidden/>
          </w:rPr>
          <w:fldChar w:fldCharType="begin"/>
        </w:r>
        <w:r>
          <w:rPr>
            <w:noProof/>
            <w:webHidden/>
          </w:rPr>
          <w:instrText xml:space="preserve"> PAGEREF _Toc197784038 \h </w:instrText>
        </w:r>
        <w:r>
          <w:rPr>
            <w:noProof/>
            <w:webHidden/>
          </w:rPr>
        </w:r>
        <w:r>
          <w:rPr>
            <w:noProof/>
            <w:webHidden/>
          </w:rPr>
          <w:fldChar w:fldCharType="separate"/>
        </w:r>
        <w:r w:rsidR="00510BCB">
          <w:rPr>
            <w:noProof/>
            <w:webHidden/>
          </w:rPr>
          <w:t>10</w:t>
        </w:r>
        <w:r>
          <w:rPr>
            <w:noProof/>
            <w:webHidden/>
          </w:rPr>
          <w:fldChar w:fldCharType="end"/>
        </w:r>
      </w:hyperlink>
      <w:r>
        <w:rPr>
          <w:lang w:val="en-US"/>
        </w:rPr>
        <w:fldChar w:fldCharType="end"/>
      </w:r>
    </w:p>
    <w:p w14:paraId="7FFC3C15" w14:textId="2520CB75" w:rsidR="00637CFC" w:rsidRDefault="00B025D1" w:rsidP="00637CFC">
      <w:pPr>
        <w:pStyle w:val="TOCHeading2"/>
      </w:pPr>
      <w:r w:rsidRPr="00334539">
        <w:t>Appendix Figures</w:t>
      </w:r>
    </w:p>
    <w:p w14:paraId="6A863871" w14:textId="01267D0B" w:rsidR="00637CFC" w:rsidRPr="00637CFC" w:rsidRDefault="00637CFC" w:rsidP="00637CFC">
      <w:pPr>
        <w:pStyle w:val="TOC1"/>
        <w:rPr>
          <w:rFonts w:eastAsiaTheme="minorEastAsia"/>
          <w:b w:val="0"/>
          <w:bCs/>
          <w:kern w:val="2"/>
          <w:sz w:val="24"/>
          <w:szCs w:val="24"/>
          <w:lang w:eastAsia="en-GB"/>
          <w14:ligatures w14:val="standardContextual"/>
        </w:rPr>
      </w:pPr>
      <w:r>
        <w:rPr>
          <w:bCs/>
        </w:rPr>
        <w:fldChar w:fldCharType="begin"/>
      </w:r>
      <w:r>
        <w:rPr>
          <w:bCs/>
        </w:rPr>
        <w:instrText xml:space="preserve"> TOC \h \z \t "Appendix Figure caption,1" </w:instrText>
      </w:r>
      <w:r>
        <w:rPr>
          <w:bCs/>
        </w:rPr>
        <w:fldChar w:fldCharType="separate"/>
      </w:r>
      <w:hyperlink w:anchor="_Toc197784084" w:history="1">
        <w:r w:rsidRPr="00637CFC">
          <w:rPr>
            <w:rStyle w:val="Hyperlink"/>
            <w:b w:val="0"/>
            <w:bCs/>
          </w:rPr>
          <w:t>Figure C1. Species sensitivity distribution for the dataset with (n = 16) the Markich (2021) bivalve species data</w:t>
        </w:r>
        <w:r w:rsidRPr="00637CFC">
          <w:rPr>
            <w:b w:val="0"/>
            <w:bCs/>
            <w:webHidden/>
          </w:rPr>
          <w:tab/>
        </w:r>
        <w:r w:rsidRPr="00637CFC">
          <w:rPr>
            <w:b w:val="0"/>
            <w:bCs/>
            <w:webHidden/>
          </w:rPr>
          <w:fldChar w:fldCharType="begin"/>
        </w:r>
        <w:r w:rsidRPr="00637CFC">
          <w:rPr>
            <w:b w:val="0"/>
            <w:bCs/>
            <w:webHidden/>
          </w:rPr>
          <w:instrText xml:space="preserve"> PAGEREF _Toc197784084 \h </w:instrText>
        </w:r>
        <w:r w:rsidRPr="00637CFC">
          <w:rPr>
            <w:b w:val="0"/>
            <w:bCs/>
            <w:webHidden/>
          </w:rPr>
        </w:r>
        <w:r w:rsidRPr="00637CFC">
          <w:rPr>
            <w:b w:val="0"/>
            <w:bCs/>
            <w:webHidden/>
          </w:rPr>
          <w:fldChar w:fldCharType="separate"/>
        </w:r>
        <w:r w:rsidR="00510BCB">
          <w:rPr>
            <w:b w:val="0"/>
            <w:bCs/>
            <w:webHidden/>
          </w:rPr>
          <w:t>17</w:t>
        </w:r>
        <w:r w:rsidRPr="00637CFC">
          <w:rPr>
            <w:b w:val="0"/>
            <w:bCs/>
            <w:webHidden/>
          </w:rPr>
          <w:fldChar w:fldCharType="end"/>
        </w:r>
      </w:hyperlink>
    </w:p>
    <w:p w14:paraId="3A3035DF" w14:textId="245755C8" w:rsidR="00637CFC" w:rsidRPr="00637CFC" w:rsidRDefault="00637CFC" w:rsidP="00637CFC">
      <w:pPr>
        <w:pStyle w:val="TOC1"/>
        <w:rPr>
          <w:rFonts w:eastAsiaTheme="minorEastAsia"/>
          <w:b w:val="0"/>
          <w:bCs/>
          <w:kern w:val="2"/>
          <w:sz w:val="24"/>
          <w:szCs w:val="24"/>
          <w:lang w:eastAsia="en-GB"/>
          <w14:ligatures w14:val="standardContextual"/>
        </w:rPr>
      </w:pPr>
      <w:hyperlink w:anchor="_Toc197784085" w:history="1">
        <w:r w:rsidRPr="00637CFC">
          <w:rPr>
            <w:rStyle w:val="Hyperlink"/>
            <w:b w:val="0"/>
            <w:bCs/>
          </w:rPr>
          <w:t>Figure C2. Species sensitivity distribution for the dataset without (n = 6) the Markich (2021) bivalve species data</w:t>
        </w:r>
        <w:r w:rsidRPr="00637CFC">
          <w:rPr>
            <w:b w:val="0"/>
            <w:bCs/>
            <w:webHidden/>
          </w:rPr>
          <w:tab/>
        </w:r>
        <w:r w:rsidRPr="00637CFC">
          <w:rPr>
            <w:b w:val="0"/>
            <w:bCs/>
            <w:webHidden/>
          </w:rPr>
          <w:fldChar w:fldCharType="begin"/>
        </w:r>
        <w:r w:rsidRPr="00637CFC">
          <w:rPr>
            <w:b w:val="0"/>
            <w:bCs/>
            <w:webHidden/>
          </w:rPr>
          <w:instrText xml:space="preserve"> PAGEREF _Toc197784085 \h </w:instrText>
        </w:r>
        <w:r w:rsidRPr="00637CFC">
          <w:rPr>
            <w:b w:val="0"/>
            <w:bCs/>
            <w:webHidden/>
          </w:rPr>
        </w:r>
        <w:r w:rsidRPr="00637CFC">
          <w:rPr>
            <w:b w:val="0"/>
            <w:bCs/>
            <w:webHidden/>
          </w:rPr>
          <w:fldChar w:fldCharType="separate"/>
        </w:r>
        <w:r w:rsidR="00510BCB">
          <w:rPr>
            <w:b w:val="0"/>
            <w:bCs/>
            <w:webHidden/>
          </w:rPr>
          <w:t>18</w:t>
        </w:r>
        <w:r w:rsidRPr="00637CFC">
          <w:rPr>
            <w:b w:val="0"/>
            <w:bCs/>
            <w:webHidden/>
          </w:rPr>
          <w:fldChar w:fldCharType="end"/>
        </w:r>
      </w:hyperlink>
    </w:p>
    <w:p w14:paraId="0C18E2A3" w14:textId="3CBD9F67" w:rsidR="00401C43" w:rsidRPr="00334539" w:rsidRDefault="00637CFC" w:rsidP="00637CFC">
      <w:pPr>
        <w:pStyle w:val="TOC1"/>
        <w:rPr>
          <w:bCs/>
        </w:rPr>
      </w:pPr>
      <w:hyperlink w:anchor="_Toc197784086" w:history="1">
        <w:r w:rsidRPr="00637CFC">
          <w:rPr>
            <w:rStyle w:val="Hyperlink"/>
            <w:b w:val="0"/>
            <w:bCs/>
          </w:rPr>
          <w:t>Figure C3. Species sensitivity distribution for the dataset with only the most sensitive value for each of the bivalve groupings (n = 11)</w:t>
        </w:r>
        <w:r w:rsidRPr="00637CFC">
          <w:rPr>
            <w:b w:val="0"/>
            <w:bCs/>
            <w:webHidden/>
          </w:rPr>
          <w:tab/>
        </w:r>
        <w:r w:rsidRPr="00637CFC">
          <w:rPr>
            <w:b w:val="0"/>
            <w:bCs/>
            <w:webHidden/>
          </w:rPr>
          <w:fldChar w:fldCharType="begin"/>
        </w:r>
        <w:r w:rsidRPr="00637CFC">
          <w:rPr>
            <w:b w:val="0"/>
            <w:bCs/>
            <w:webHidden/>
          </w:rPr>
          <w:instrText xml:space="preserve"> PAGEREF _Toc197784086 \h </w:instrText>
        </w:r>
        <w:r w:rsidRPr="00637CFC">
          <w:rPr>
            <w:b w:val="0"/>
            <w:bCs/>
            <w:webHidden/>
          </w:rPr>
        </w:r>
        <w:r w:rsidRPr="00637CFC">
          <w:rPr>
            <w:b w:val="0"/>
            <w:bCs/>
            <w:webHidden/>
          </w:rPr>
          <w:fldChar w:fldCharType="separate"/>
        </w:r>
        <w:r w:rsidR="00510BCB">
          <w:rPr>
            <w:b w:val="0"/>
            <w:bCs/>
            <w:webHidden/>
          </w:rPr>
          <w:t>19</w:t>
        </w:r>
        <w:r w:rsidRPr="00637CFC">
          <w:rPr>
            <w:b w:val="0"/>
            <w:bCs/>
            <w:webHidden/>
          </w:rPr>
          <w:fldChar w:fldCharType="end"/>
        </w:r>
      </w:hyperlink>
      <w:r>
        <w:rPr>
          <w:bCs/>
        </w:rPr>
        <w:fldChar w:fldCharType="end"/>
      </w:r>
    </w:p>
    <w:p w14:paraId="0C354485" w14:textId="2BB117E4" w:rsidR="00B025D1" w:rsidRPr="003C4FA9" w:rsidRDefault="00B025D1" w:rsidP="00192E9E">
      <w:pPr>
        <w:pStyle w:val="TOCHeading2"/>
        <w:rPr>
          <w:bCs w:val="0"/>
        </w:rPr>
      </w:pPr>
      <w:r w:rsidRPr="003C4FA9">
        <w:rPr>
          <w:bCs w:val="0"/>
        </w:rPr>
        <w:t>Appendix Tables</w:t>
      </w:r>
    </w:p>
    <w:p w14:paraId="6EF09036" w14:textId="775B52F0" w:rsidR="00637CFC" w:rsidRPr="00637CFC" w:rsidRDefault="00637CFC">
      <w:pPr>
        <w:pStyle w:val="TOC1"/>
        <w:rPr>
          <w:rFonts w:eastAsiaTheme="minorEastAsia"/>
          <w:b w:val="0"/>
          <w:kern w:val="2"/>
          <w:sz w:val="24"/>
          <w:szCs w:val="24"/>
          <w:lang w:eastAsia="en-GB"/>
          <w14:ligatures w14:val="standardContextual"/>
        </w:rPr>
      </w:pPr>
      <w:r w:rsidRPr="00637CFC">
        <w:rPr>
          <w:b w:val="0"/>
          <w:lang w:val="en-US"/>
        </w:rPr>
        <w:fldChar w:fldCharType="begin"/>
      </w:r>
      <w:r w:rsidRPr="00637CFC">
        <w:rPr>
          <w:b w:val="0"/>
          <w:lang w:val="en-US"/>
        </w:rPr>
        <w:instrText xml:space="preserve"> TOC \h \z \t "Appendix Table caption,1" </w:instrText>
      </w:r>
      <w:r w:rsidRPr="00637CFC">
        <w:rPr>
          <w:b w:val="0"/>
          <w:lang w:val="en-US"/>
        </w:rPr>
        <w:fldChar w:fldCharType="separate"/>
      </w:r>
      <w:hyperlink w:anchor="_Toc197784130" w:history="1">
        <w:r w:rsidRPr="00637CFC">
          <w:rPr>
            <w:rStyle w:val="Hyperlink"/>
            <w:b w:val="0"/>
          </w:rPr>
          <w:t>Table B1. Summary of toxicity data that passed the screening and quality assurance processes for iron in marine water</w:t>
        </w:r>
        <w:r w:rsidRPr="00637CFC">
          <w:rPr>
            <w:b w:val="0"/>
            <w:webHidden/>
          </w:rPr>
          <w:tab/>
        </w:r>
        <w:r w:rsidRPr="00637CFC">
          <w:rPr>
            <w:b w:val="0"/>
            <w:webHidden/>
          </w:rPr>
          <w:fldChar w:fldCharType="begin"/>
        </w:r>
        <w:r w:rsidRPr="00637CFC">
          <w:rPr>
            <w:b w:val="0"/>
            <w:webHidden/>
          </w:rPr>
          <w:instrText xml:space="preserve"> PAGEREF _Toc197784130 \h </w:instrText>
        </w:r>
        <w:r w:rsidRPr="00637CFC">
          <w:rPr>
            <w:b w:val="0"/>
            <w:webHidden/>
          </w:rPr>
        </w:r>
        <w:r w:rsidRPr="00637CFC">
          <w:rPr>
            <w:b w:val="0"/>
            <w:webHidden/>
          </w:rPr>
          <w:fldChar w:fldCharType="separate"/>
        </w:r>
        <w:r w:rsidR="00510BCB">
          <w:rPr>
            <w:b w:val="0"/>
            <w:webHidden/>
          </w:rPr>
          <w:t>14</w:t>
        </w:r>
        <w:r w:rsidRPr="00637CFC">
          <w:rPr>
            <w:b w:val="0"/>
            <w:webHidden/>
          </w:rPr>
          <w:fldChar w:fldCharType="end"/>
        </w:r>
      </w:hyperlink>
    </w:p>
    <w:p w14:paraId="1DD964D3" w14:textId="1128E6F1" w:rsidR="00637CFC" w:rsidRPr="00637CFC" w:rsidRDefault="00637CFC">
      <w:pPr>
        <w:pStyle w:val="TOC1"/>
        <w:rPr>
          <w:rFonts w:eastAsiaTheme="minorEastAsia"/>
          <w:b w:val="0"/>
          <w:kern w:val="2"/>
          <w:sz w:val="24"/>
          <w:szCs w:val="24"/>
          <w:lang w:eastAsia="en-GB"/>
          <w14:ligatures w14:val="standardContextual"/>
        </w:rPr>
      </w:pPr>
      <w:hyperlink w:anchor="_Toc197784131" w:history="1">
        <w:r w:rsidRPr="00637CFC">
          <w:rPr>
            <w:rStyle w:val="Hyperlink"/>
            <w:b w:val="0"/>
          </w:rPr>
          <w:t>Table C1. Toxicant protective concentration values for iron in marine water</w:t>
        </w:r>
        <w:r w:rsidRPr="00637CFC">
          <w:rPr>
            <w:b w:val="0"/>
            <w:webHidden/>
          </w:rPr>
          <w:tab/>
        </w:r>
        <w:r w:rsidRPr="00637CFC">
          <w:rPr>
            <w:b w:val="0"/>
            <w:webHidden/>
          </w:rPr>
          <w:fldChar w:fldCharType="begin"/>
        </w:r>
        <w:r w:rsidRPr="00637CFC">
          <w:rPr>
            <w:b w:val="0"/>
            <w:webHidden/>
          </w:rPr>
          <w:instrText xml:space="preserve"> PAGEREF _Toc197784131 \h </w:instrText>
        </w:r>
        <w:r w:rsidRPr="00637CFC">
          <w:rPr>
            <w:b w:val="0"/>
            <w:webHidden/>
          </w:rPr>
        </w:r>
        <w:r w:rsidRPr="00637CFC">
          <w:rPr>
            <w:b w:val="0"/>
            <w:webHidden/>
          </w:rPr>
          <w:fldChar w:fldCharType="separate"/>
        </w:r>
        <w:r w:rsidR="00510BCB">
          <w:rPr>
            <w:b w:val="0"/>
            <w:webHidden/>
          </w:rPr>
          <w:t>19</w:t>
        </w:r>
        <w:r w:rsidRPr="00637CFC">
          <w:rPr>
            <w:b w:val="0"/>
            <w:webHidden/>
          </w:rPr>
          <w:fldChar w:fldCharType="end"/>
        </w:r>
      </w:hyperlink>
    </w:p>
    <w:p w14:paraId="0B77A2EA" w14:textId="17B170BA" w:rsidR="003C4FA9" w:rsidRPr="003C4FA9" w:rsidRDefault="00637CFC" w:rsidP="00637CFC">
      <w:pPr>
        <w:pStyle w:val="TOC1"/>
        <w:rPr>
          <w:rFonts w:eastAsiaTheme="minorEastAsia"/>
          <w:b w:val="0"/>
          <w:kern w:val="2"/>
          <w:sz w:val="24"/>
          <w:szCs w:val="24"/>
          <w:lang w:eastAsia="en-GB"/>
          <w14:ligatures w14:val="standardContextual"/>
        </w:rPr>
      </w:pPr>
      <w:r w:rsidRPr="00637CFC">
        <w:rPr>
          <w:b w:val="0"/>
          <w:lang w:val="en-US"/>
        </w:rPr>
        <w:fldChar w:fldCharType="end"/>
      </w:r>
      <w:r w:rsidR="00192E9E" w:rsidRPr="003C4FA9">
        <w:rPr>
          <w:b w:val="0"/>
          <w:lang w:val="en-US"/>
        </w:rPr>
        <w:fldChar w:fldCharType="begin"/>
      </w:r>
      <w:r w:rsidR="00192E9E" w:rsidRPr="003C4FA9">
        <w:rPr>
          <w:b w:val="0"/>
          <w:lang w:val="en-US"/>
        </w:rPr>
        <w:instrText xml:space="preserve"> TOC \h \z \t "Appendix Table caption,1" </w:instrText>
      </w:r>
      <w:r w:rsidR="00192E9E" w:rsidRPr="003C4FA9">
        <w:rPr>
          <w:b w:val="0"/>
          <w:lang w:val="en-US"/>
        </w:rPr>
        <w:fldChar w:fldCharType="separate"/>
      </w:r>
    </w:p>
    <w:p w14:paraId="5294CB0C" w14:textId="07B19499" w:rsidR="00192E9E" w:rsidRPr="00192E9E" w:rsidRDefault="00192E9E" w:rsidP="00192E9E">
      <w:pPr>
        <w:rPr>
          <w:lang w:val="en-US"/>
        </w:rPr>
      </w:pPr>
      <w:r w:rsidRPr="003C4FA9">
        <w:rPr>
          <w:lang w:val="en-US"/>
        </w:rPr>
        <w:fldChar w:fldCharType="end"/>
      </w:r>
    </w:p>
    <w:p w14:paraId="5463ADEF" w14:textId="5FBB8844" w:rsidR="001C0D1C" w:rsidRDefault="00E55B1C" w:rsidP="00B42B0B">
      <w:pPr>
        <w:pStyle w:val="Heading2"/>
        <w:numPr>
          <w:ilvl w:val="0"/>
          <w:numId w:val="0"/>
        </w:numPr>
        <w:ind w:left="680" w:hanging="680"/>
      </w:pPr>
      <w:bookmarkStart w:id="0" w:name="_Toc196928496"/>
      <w:bookmarkStart w:id="1" w:name="_Toc197783989"/>
      <w:r>
        <w:lastRenderedPageBreak/>
        <w:t>Summary</w:t>
      </w:r>
      <w:bookmarkEnd w:id="0"/>
      <w:bookmarkEnd w:id="1"/>
    </w:p>
    <w:p w14:paraId="06CD922F" w14:textId="61F02F4F" w:rsidR="00BF0280" w:rsidRDefault="003B09EC" w:rsidP="007336AC">
      <w:r w:rsidRPr="00BF6347">
        <w:t xml:space="preserve">The default guideline values (DGVs) and associated information in this technical brief should be used in accordance with the detailed guidance provided in the </w:t>
      </w:r>
      <w:hyperlink r:id="rId26" w:history="1">
        <w:r w:rsidRPr="00994727">
          <w:rPr>
            <w:rStyle w:val="Hyperlink"/>
            <w:i/>
            <w:iCs/>
          </w:rPr>
          <w:t>Australian and New Zealand Guidelines for Fresh and Marine Water Quality</w:t>
        </w:r>
      </w:hyperlink>
      <w:r w:rsidRPr="00BF6347">
        <w:t xml:space="preserve"> website</w:t>
      </w:r>
      <w:r>
        <w:t xml:space="preserve"> (ANZG 2018)</w:t>
      </w:r>
      <w:r w:rsidRPr="00BF6347">
        <w:t>.</w:t>
      </w:r>
    </w:p>
    <w:p w14:paraId="1F524466" w14:textId="6C94BE12" w:rsidR="000F6385" w:rsidRDefault="00B71F56" w:rsidP="00B71F56">
      <w:r>
        <w:t>Iron</w:t>
      </w:r>
      <w:r w:rsidR="004F16A4">
        <w:t>,</w:t>
      </w:r>
      <w:r>
        <w:t xml:space="preserve"> </w:t>
      </w:r>
      <w:r w:rsidR="002A3435">
        <w:t>in</w:t>
      </w:r>
      <w:r w:rsidR="00FB3423">
        <w:t xml:space="preserve"> </w:t>
      </w:r>
      <w:r w:rsidR="002A3435">
        <w:t>the f</w:t>
      </w:r>
      <w:r w:rsidR="00FB3423">
        <w:t xml:space="preserve">orm of </w:t>
      </w:r>
      <w:r>
        <w:t xml:space="preserve">iron(II) </w:t>
      </w:r>
      <w:r w:rsidR="004F16A4">
        <w:t>(</w:t>
      </w:r>
      <w:r>
        <w:t>Fe</w:t>
      </w:r>
      <w:r w:rsidRPr="00086579">
        <w:rPr>
          <w:vertAlign w:val="superscript"/>
        </w:rPr>
        <w:t>2+</w:t>
      </w:r>
      <w:r w:rsidR="004F16A4">
        <w:t xml:space="preserve">) </w:t>
      </w:r>
      <w:r>
        <w:t xml:space="preserve">and iron(III) </w:t>
      </w:r>
      <w:r w:rsidR="00FB3423">
        <w:t>(</w:t>
      </w:r>
      <w:r>
        <w:t>Fe</w:t>
      </w:r>
      <w:r w:rsidR="001232BB" w:rsidRPr="001232BB">
        <w:rPr>
          <w:vertAlign w:val="superscript"/>
        </w:rPr>
        <w:t>3+</w:t>
      </w:r>
      <w:r>
        <w:t>)</w:t>
      </w:r>
      <w:r w:rsidR="00C20A48">
        <w:t>,</w:t>
      </w:r>
      <w:r>
        <w:t xml:space="preserve"> is an essential element for marine biota. It is present at very low dissolved concentrations in the world’s oceans due to its low solubility (0.01</w:t>
      </w:r>
      <w:r w:rsidR="00474EFC">
        <w:t>–</w:t>
      </w:r>
      <w:r>
        <w:t>0.03</w:t>
      </w:r>
      <w:r w:rsidR="00960C64">
        <w:t> </w:t>
      </w:r>
      <w:r>
        <w:t>µg/L). Iron(III) oxyhydroxide inorganic/organic colloids and precipitates are the dominant form</w:t>
      </w:r>
      <w:r w:rsidR="006D311A">
        <w:t>s</w:t>
      </w:r>
      <w:r>
        <w:t xml:space="preserve"> of iron under oxic conditions.</w:t>
      </w:r>
    </w:p>
    <w:p w14:paraId="3FB7763D" w14:textId="3840D902" w:rsidR="00B1205B" w:rsidRDefault="002911F7" w:rsidP="000F6385">
      <w:r>
        <w:t xml:space="preserve">Although </w:t>
      </w:r>
      <w:r w:rsidR="00F27CEC">
        <w:t xml:space="preserve">biologically </w:t>
      </w:r>
      <w:r w:rsidR="00B71F56">
        <w:t xml:space="preserve">essential, iron can be toxic at </w:t>
      </w:r>
      <w:r w:rsidR="00FA768F">
        <w:t>elevated</w:t>
      </w:r>
      <w:r w:rsidR="00B71F56">
        <w:t xml:space="preserve"> concentrations</w:t>
      </w:r>
      <w:r w:rsidR="00924024">
        <w:t>. T</w:t>
      </w:r>
      <w:r w:rsidR="00B1205B">
        <w:t xml:space="preserve">oxicity </w:t>
      </w:r>
      <w:r w:rsidR="00924024">
        <w:t xml:space="preserve">is </w:t>
      </w:r>
      <w:r w:rsidR="00B1205B">
        <w:t>largely associated with iron(II) and iron(III) in dissolved, colloidal and precipitated forms (operationally defined by size fractionation)</w:t>
      </w:r>
      <w:r w:rsidR="00B71F56">
        <w:t>. The mechanism</w:t>
      </w:r>
      <w:r w:rsidR="00BD4B96">
        <w:t>s</w:t>
      </w:r>
      <w:r w:rsidR="00B71F56">
        <w:t xml:space="preserve"> of toxicity</w:t>
      </w:r>
      <w:r w:rsidR="00F27CEC">
        <w:t xml:space="preserve"> of iron</w:t>
      </w:r>
      <w:r w:rsidR="00B71F56">
        <w:t xml:space="preserve"> </w:t>
      </w:r>
      <w:r w:rsidR="00BD4B96">
        <w:t>are</w:t>
      </w:r>
      <w:r w:rsidR="00B71F56">
        <w:t xml:space="preserve"> unclear</w:t>
      </w:r>
      <w:r w:rsidR="00B1205B" w:rsidRPr="00B1205B">
        <w:t xml:space="preserve"> </w:t>
      </w:r>
      <w:r w:rsidR="00B1205B">
        <w:t xml:space="preserve">but may occur via direct chemical or physical mechanisms involving oxidative damage to DNA and cell membranes, or </w:t>
      </w:r>
      <w:r w:rsidR="00FB1EC9">
        <w:t xml:space="preserve">through the </w:t>
      </w:r>
      <w:r w:rsidR="00B1205B">
        <w:t>coating of respiratory structures</w:t>
      </w:r>
      <w:r w:rsidR="00C72C81">
        <w:t>,</w:t>
      </w:r>
      <w:r w:rsidR="00B1205B">
        <w:t xml:space="preserve"> thereby reducing oxygen diffusion. Adverse effects of iron may also b</w:t>
      </w:r>
      <w:r w:rsidR="00C109F8">
        <w:t>e</w:t>
      </w:r>
      <w:r w:rsidR="00B1205B">
        <w:t xml:space="preserve"> indirect</w:t>
      </w:r>
      <w:r w:rsidR="00C72C81">
        <w:t>,</w:t>
      </w:r>
      <w:r w:rsidR="00B1205B">
        <w:t xml:space="preserve"> such as </w:t>
      </w:r>
      <w:r w:rsidR="00B076A6">
        <w:t xml:space="preserve">the </w:t>
      </w:r>
      <w:r w:rsidR="00B1205B">
        <w:t xml:space="preserve">degradation of habitat and food quality for benthic macroinvertebrates </w:t>
      </w:r>
      <w:r w:rsidR="00C109F8">
        <w:t xml:space="preserve">from </w:t>
      </w:r>
      <w:r w:rsidR="00B1205B">
        <w:t>iron flocs coating benthic surfaces and periphyton communities.</w:t>
      </w:r>
    </w:p>
    <w:p w14:paraId="13F1A338" w14:textId="432C45C8" w:rsidR="00B71F56" w:rsidRDefault="000F6385" w:rsidP="000F6385">
      <w:r>
        <w:t>Since ANZECC</w:t>
      </w:r>
      <w:r w:rsidR="0068100A">
        <w:t xml:space="preserve"> and </w:t>
      </w:r>
      <w:r>
        <w:t>ARMCANZ (2000), sufficient data have become available to enable the derivation of DGVs for iron in marine water.</w:t>
      </w:r>
      <w:r w:rsidR="00532DE1">
        <w:t xml:space="preserve"> Chronic toxicity appears to </w:t>
      </w:r>
      <w:r w:rsidR="00ED1617">
        <w:t>occur</w:t>
      </w:r>
      <w:r w:rsidR="00532DE1">
        <w:t xml:space="preserve"> in the</w:t>
      </w:r>
      <w:r w:rsidR="009B0282">
        <w:t xml:space="preserve"> range of</w:t>
      </w:r>
      <w:r w:rsidR="00532DE1">
        <w:t xml:space="preserve"> hundreds to thousands of micrograms per litre. There is some indication that some marine species, particularly echinoderms, are more sensitive than this, although the reliability of the studies is unclear.</w:t>
      </w:r>
    </w:p>
    <w:p w14:paraId="380F641A" w14:textId="2B77E7E2" w:rsidR="00B71F56" w:rsidRDefault="009F4D1F" w:rsidP="00B71F56">
      <w:r>
        <w:t>M</w:t>
      </w:r>
      <w:r w:rsidR="00B71F56">
        <w:t xml:space="preserve">oderate reliability </w:t>
      </w:r>
      <w:r w:rsidR="00CA2161">
        <w:t>DGV</w:t>
      </w:r>
      <w:r>
        <w:t>s</w:t>
      </w:r>
      <w:r w:rsidR="00B71F56">
        <w:t xml:space="preserve"> for iron </w:t>
      </w:r>
      <w:r w:rsidR="00B1205B">
        <w:t xml:space="preserve">in marine water </w:t>
      </w:r>
      <w:r>
        <w:t xml:space="preserve">were </w:t>
      </w:r>
      <w:r w:rsidR="00B71F56">
        <w:t xml:space="preserve">derived based on </w:t>
      </w:r>
      <w:r w:rsidR="000F6385">
        <w:t>chronic toxicity</w:t>
      </w:r>
      <w:r w:rsidR="00B71F56">
        <w:t xml:space="preserve"> data</w:t>
      </w:r>
      <w:r w:rsidR="000F6385">
        <w:t xml:space="preserve"> </w:t>
      </w:r>
      <w:r w:rsidR="00B71F56">
        <w:t xml:space="preserve">for </w:t>
      </w:r>
      <w:r w:rsidR="009D2DE8">
        <w:t>1</w:t>
      </w:r>
      <w:r w:rsidR="002F78BD">
        <w:t>6</w:t>
      </w:r>
      <w:r w:rsidR="00932CBC">
        <w:t> </w:t>
      </w:r>
      <w:r w:rsidR="00B71F56">
        <w:t xml:space="preserve">species from </w:t>
      </w:r>
      <w:r w:rsidR="00932CBC">
        <w:t xml:space="preserve">6 </w:t>
      </w:r>
      <w:r w:rsidR="00697EEB">
        <w:t>taxonomic groups</w:t>
      </w:r>
      <w:r w:rsidR="00750713">
        <w:t>, comprising</w:t>
      </w:r>
      <w:r w:rsidR="0032251D" w:rsidRPr="0032251D">
        <w:t xml:space="preserve"> </w:t>
      </w:r>
      <w:r w:rsidR="00B65F67">
        <w:t>one microalga, 2</w:t>
      </w:r>
      <w:r w:rsidR="00921A06">
        <w:t> </w:t>
      </w:r>
      <w:r w:rsidR="0032251D">
        <w:t xml:space="preserve">cnidaria, </w:t>
      </w:r>
      <w:r w:rsidR="00B65F67">
        <w:t xml:space="preserve">one </w:t>
      </w:r>
      <w:r w:rsidR="0032251D">
        <w:t xml:space="preserve">echinoderm, </w:t>
      </w:r>
      <w:r w:rsidR="00B65F67">
        <w:t>10</w:t>
      </w:r>
      <w:r w:rsidR="00921A06">
        <w:t> </w:t>
      </w:r>
      <w:r w:rsidR="0032251D">
        <w:t>bivalve molluscs</w:t>
      </w:r>
      <w:r w:rsidR="00921A06">
        <w:t>,</w:t>
      </w:r>
      <w:r w:rsidR="0032251D">
        <w:t xml:space="preserve"> </w:t>
      </w:r>
      <w:r w:rsidR="00B65F67">
        <w:t xml:space="preserve">one </w:t>
      </w:r>
      <w:r w:rsidR="0032251D">
        <w:t>gastropod mollusc</w:t>
      </w:r>
      <w:r w:rsidR="00B65F67">
        <w:t xml:space="preserve"> and one crustacean</w:t>
      </w:r>
      <w:r w:rsidR="00B71F56">
        <w:t>. Toxicity values ranged from</w:t>
      </w:r>
      <w:r w:rsidR="009D5E98">
        <w:t xml:space="preserve"> 724</w:t>
      </w:r>
      <w:r w:rsidR="00B94C33">
        <w:t xml:space="preserve"> µg/L to </w:t>
      </w:r>
      <w:r w:rsidR="002F78BD">
        <w:t>5</w:t>
      </w:r>
      <w:r w:rsidR="009D2DE8">
        <w:t>0</w:t>
      </w:r>
      <w:r w:rsidR="00D75AD1">
        <w:t>,</w:t>
      </w:r>
      <w:r w:rsidR="009D5E98">
        <w:t>000</w:t>
      </w:r>
      <w:r w:rsidR="00B94C33">
        <w:t> </w:t>
      </w:r>
      <w:r w:rsidR="00B71F56">
        <w:t>µg/L total iron</w:t>
      </w:r>
      <w:r w:rsidR="00066A0D">
        <w:t xml:space="preserve"> across a range of different endpoints and exposure durations</w:t>
      </w:r>
      <w:r w:rsidR="003B20C1">
        <w:t xml:space="preserve">. </w:t>
      </w:r>
      <w:r w:rsidR="00697EEB">
        <w:t xml:space="preserve">The DGVs for </w:t>
      </w:r>
      <w:r w:rsidR="00697EEB">
        <w:rPr>
          <w:bCs/>
        </w:rPr>
        <w:t>99</w:t>
      </w:r>
      <w:r w:rsidR="00D20EE1">
        <w:rPr>
          <w:bCs/>
        </w:rPr>
        <w:t>%</w:t>
      </w:r>
      <w:r w:rsidR="00697EEB">
        <w:rPr>
          <w:bCs/>
        </w:rPr>
        <w:t>, 95</w:t>
      </w:r>
      <w:r w:rsidR="00D20EE1">
        <w:rPr>
          <w:bCs/>
        </w:rPr>
        <w:t>%</w:t>
      </w:r>
      <w:r w:rsidR="00697EEB">
        <w:rPr>
          <w:bCs/>
        </w:rPr>
        <w:t>, 90</w:t>
      </w:r>
      <w:r w:rsidR="00D20EE1">
        <w:rPr>
          <w:bCs/>
        </w:rPr>
        <w:t>%</w:t>
      </w:r>
      <w:r w:rsidR="00697EEB">
        <w:rPr>
          <w:bCs/>
        </w:rPr>
        <w:t xml:space="preserve"> and 80% species protection are</w:t>
      </w:r>
      <w:r w:rsidR="00697EEB">
        <w:t xml:space="preserve"> </w:t>
      </w:r>
      <w:r w:rsidR="00612003" w:rsidRPr="003B20C1">
        <w:t>4</w:t>
      </w:r>
      <w:r w:rsidR="00612003">
        <w:t>1</w:t>
      </w:r>
      <w:r w:rsidR="00612003" w:rsidRPr="003B20C1">
        <w:t>0 </w:t>
      </w:r>
      <w:r w:rsidR="00697EEB" w:rsidRPr="003B20C1">
        <w:rPr>
          <w:rFonts w:cstheme="minorHAnsi"/>
        </w:rPr>
        <w:t>µ</w:t>
      </w:r>
      <w:r w:rsidR="00697EEB" w:rsidRPr="003B20C1">
        <w:t xml:space="preserve">g/L, </w:t>
      </w:r>
      <w:r w:rsidR="00612003" w:rsidRPr="003B20C1">
        <w:t>5</w:t>
      </w:r>
      <w:r w:rsidR="00612003">
        <w:t>4</w:t>
      </w:r>
      <w:r w:rsidR="00612003" w:rsidRPr="003B20C1">
        <w:t>0 </w:t>
      </w:r>
      <w:r w:rsidR="00697EEB" w:rsidRPr="003B20C1">
        <w:rPr>
          <w:rFonts w:cstheme="minorHAnsi"/>
        </w:rPr>
        <w:t>µ</w:t>
      </w:r>
      <w:r w:rsidR="00697EEB" w:rsidRPr="003B20C1">
        <w:t xml:space="preserve">g/L, </w:t>
      </w:r>
      <w:r w:rsidR="00612003" w:rsidRPr="003B20C1">
        <w:t>6</w:t>
      </w:r>
      <w:r w:rsidR="00612003">
        <w:t>4</w:t>
      </w:r>
      <w:r w:rsidR="00612003" w:rsidRPr="003B20C1">
        <w:t>0 </w:t>
      </w:r>
      <w:r w:rsidR="00697EEB" w:rsidRPr="003B20C1">
        <w:rPr>
          <w:rFonts w:cstheme="minorHAnsi"/>
        </w:rPr>
        <w:t>µ</w:t>
      </w:r>
      <w:r w:rsidR="00697EEB" w:rsidRPr="003B20C1">
        <w:t xml:space="preserve">g/L and </w:t>
      </w:r>
      <w:r w:rsidR="00612003">
        <w:t>810</w:t>
      </w:r>
      <w:r w:rsidR="00612003" w:rsidRPr="003B20C1">
        <w:t> </w:t>
      </w:r>
      <w:r w:rsidR="00697EEB" w:rsidRPr="003B20C1">
        <w:rPr>
          <w:rFonts w:cstheme="minorHAnsi"/>
        </w:rPr>
        <w:t>µ</w:t>
      </w:r>
      <w:r w:rsidR="00697EEB" w:rsidRPr="003B20C1">
        <w:t>g/L, respectively. The 95%</w:t>
      </w:r>
      <w:r w:rsidR="00697EEB" w:rsidRPr="00D20EE1">
        <w:t xml:space="preserve"> </w:t>
      </w:r>
      <w:r w:rsidR="00697EEB" w:rsidRPr="003B20C1">
        <w:rPr>
          <w:bCs/>
        </w:rPr>
        <w:t>species</w:t>
      </w:r>
      <w:r w:rsidR="00D20EE1">
        <w:rPr>
          <w:bCs/>
        </w:rPr>
        <w:t>-</w:t>
      </w:r>
      <w:r w:rsidR="00697EEB" w:rsidRPr="003B20C1">
        <w:rPr>
          <w:bCs/>
        </w:rPr>
        <w:t xml:space="preserve">protection level for iron </w:t>
      </w:r>
      <w:r w:rsidR="00045AC6" w:rsidRPr="003B20C1">
        <w:rPr>
          <w:bCs/>
        </w:rPr>
        <w:t>in marine water (</w:t>
      </w:r>
      <w:r w:rsidR="00612003">
        <w:rPr>
          <w:bCs/>
        </w:rPr>
        <w:t>54</w:t>
      </w:r>
      <w:r w:rsidR="00612003" w:rsidRPr="003B20C1">
        <w:rPr>
          <w:bCs/>
        </w:rPr>
        <w:t>0 </w:t>
      </w:r>
      <w:r w:rsidR="00697EEB" w:rsidRPr="003B20C1">
        <w:rPr>
          <w:rFonts w:cstheme="minorHAnsi"/>
        </w:rPr>
        <w:t>µ</w:t>
      </w:r>
      <w:r w:rsidR="00697EEB" w:rsidRPr="003B20C1">
        <w:t>g/L</w:t>
      </w:r>
      <w:r w:rsidR="00045AC6" w:rsidRPr="003B20C1">
        <w:t>)</w:t>
      </w:r>
      <w:r w:rsidR="00697EEB" w:rsidRPr="003B20C1">
        <w:rPr>
          <w:bCs/>
        </w:rPr>
        <w:t xml:space="preserve"> is recommended </w:t>
      </w:r>
      <w:r w:rsidR="00E65FDA">
        <w:rPr>
          <w:bCs/>
        </w:rPr>
        <w:t>when</w:t>
      </w:r>
      <w:r w:rsidR="00697EEB" w:rsidRPr="003B20C1">
        <w:rPr>
          <w:bCs/>
        </w:rPr>
        <w:t xml:space="preserve"> assess</w:t>
      </w:r>
      <w:r w:rsidR="00E65FDA">
        <w:rPr>
          <w:bCs/>
        </w:rPr>
        <w:t>ing ecosystems that are</w:t>
      </w:r>
      <w:r w:rsidR="00697EEB" w:rsidRPr="003B20C1">
        <w:rPr>
          <w:bCs/>
        </w:rPr>
        <w:t xml:space="preserve"> slightly</w:t>
      </w:r>
      <w:r w:rsidR="00E65FDA">
        <w:rPr>
          <w:bCs/>
        </w:rPr>
        <w:t xml:space="preserve"> </w:t>
      </w:r>
      <w:r w:rsidR="00697EEB" w:rsidRPr="003B20C1">
        <w:rPr>
          <w:bCs/>
        </w:rPr>
        <w:t>to</w:t>
      </w:r>
      <w:r w:rsidR="00E65FDA">
        <w:rPr>
          <w:bCs/>
        </w:rPr>
        <w:t xml:space="preserve"> </w:t>
      </w:r>
      <w:r w:rsidR="00697EEB" w:rsidRPr="003B20C1">
        <w:rPr>
          <w:bCs/>
        </w:rPr>
        <w:t xml:space="preserve">moderately disturbed. </w:t>
      </w:r>
      <w:r w:rsidR="00A8030D">
        <w:t xml:space="preserve">When comparing iron concentrations in water samples to the DGVs, the iron concentration should be based on either total iron or, preferably, the potentially bioavailable fraction </w:t>
      </w:r>
      <w:r w:rsidR="00A8030D" w:rsidRPr="00D3325F">
        <w:t xml:space="preserve">(i.e. </w:t>
      </w:r>
      <w:r w:rsidR="00A8030D">
        <w:t>pH 2</w:t>
      </w:r>
      <w:r w:rsidR="00A8030D" w:rsidRPr="00D3325F">
        <w:t xml:space="preserve"> extract</w:t>
      </w:r>
      <w:r w:rsidR="00A8030D">
        <w:t>able</w:t>
      </w:r>
      <w:r w:rsidR="00A8030D" w:rsidRPr="00D3325F">
        <w:t xml:space="preserve">) </w:t>
      </w:r>
      <w:r w:rsidR="00A8030D">
        <w:t>of chromium (III). Additional g</w:t>
      </w:r>
      <w:r w:rsidR="00697EEB" w:rsidRPr="003B20C1">
        <w:t xml:space="preserve">uidance is provided on </w:t>
      </w:r>
      <w:r w:rsidR="000C3E1E" w:rsidRPr="000A041A">
        <w:t>the fractions of iron to measure in water samples for comparison with the DGVs</w:t>
      </w:r>
      <w:r w:rsidR="008140E6">
        <w:t>.</w:t>
      </w:r>
    </w:p>
    <w:p w14:paraId="25C54796" w14:textId="7811D503" w:rsidR="008911D6" w:rsidRDefault="00B71F56" w:rsidP="00B71F56">
      <w:r>
        <w:t>Further toxicity testing using potentially sensitive life stages and species, such as sea urchin</w:t>
      </w:r>
      <w:r w:rsidR="006B0BC6">
        <w:t>s and oysters, is recommended</w:t>
      </w:r>
      <w:r w:rsidR="00532DE1">
        <w:t xml:space="preserve"> to further improve the DGVs</w:t>
      </w:r>
      <w:r w:rsidR="006B0BC6">
        <w:t>.</w:t>
      </w:r>
    </w:p>
    <w:p w14:paraId="0E702BE6" w14:textId="77777777" w:rsidR="008911D6" w:rsidRDefault="008911D6" w:rsidP="00B71F56">
      <w:pPr>
        <w:sectPr w:rsidR="008911D6" w:rsidSect="00352419">
          <w:headerReference w:type="even" r:id="rId27"/>
          <w:headerReference w:type="default" r:id="rId28"/>
          <w:footerReference w:type="even" r:id="rId29"/>
          <w:footerReference w:type="default" r:id="rId30"/>
          <w:headerReference w:type="first" r:id="rId31"/>
          <w:footerReference w:type="first" r:id="rId32"/>
          <w:pgSz w:w="11906" w:h="16838"/>
          <w:pgMar w:top="1418" w:right="1418" w:bottom="1418" w:left="1418" w:header="567" w:footer="283" w:gutter="0"/>
          <w:pgNumType w:fmt="lowerRoman"/>
          <w:cols w:space="708"/>
          <w:docGrid w:linePitch="360"/>
        </w:sectPr>
      </w:pPr>
    </w:p>
    <w:p w14:paraId="1ADDD7A4" w14:textId="711D0ACB" w:rsidR="001C0D1C" w:rsidRDefault="00BF0280">
      <w:pPr>
        <w:pStyle w:val="Heading2"/>
      </w:pPr>
      <w:bookmarkStart w:id="2" w:name="_Ref13150441"/>
      <w:bookmarkStart w:id="3" w:name="_Toc196928497"/>
      <w:bookmarkStart w:id="4" w:name="_Toc197783990"/>
      <w:r>
        <w:lastRenderedPageBreak/>
        <w:t>Introduction</w:t>
      </w:r>
      <w:bookmarkEnd w:id="2"/>
      <w:bookmarkEnd w:id="3"/>
      <w:bookmarkEnd w:id="4"/>
    </w:p>
    <w:p w14:paraId="66FA32C6" w14:textId="6D64668C" w:rsidR="0013556A" w:rsidRDefault="00B71F56" w:rsidP="00B71F56">
      <w:pPr>
        <w:rPr>
          <w:bCs/>
        </w:rPr>
      </w:pPr>
      <w:r w:rsidRPr="00B71F56">
        <w:rPr>
          <w:bCs/>
        </w:rPr>
        <w:t>Iron is the fourth</w:t>
      </w:r>
      <w:r w:rsidR="007D5792">
        <w:rPr>
          <w:bCs/>
        </w:rPr>
        <w:t>-</w:t>
      </w:r>
      <w:r w:rsidRPr="00B71F56">
        <w:rPr>
          <w:bCs/>
        </w:rPr>
        <w:t xml:space="preserve">most common element in the Earth’s crust and </w:t>
      </w:r>
      <w:r w:rsidR="009F4D1F">
        <w:rPr>
          <w:bCs/>
        </w:rPr>
        <w:t>i</w:t>
      </w:r>
      <w:r w:rsidR="009F4D1F" w:rsidRPr="00B71F56">
        <w:rPr>
          <w:bCs/>
        </w:rPr>
        <w:t xml:space="preserve">s </w:t>
      </w:r>
      <w:r w:rsidRPr="00B71F56">
        <w:rPr>
          <w:bCs/>
        </w:rPr>
        <w:t>an essential trace element for aquatic biota</w:t>
      </w:r>
      <w:r w:rsidR="009F4D1F">
        <w:rPr>
          <w:bCs/>
        </w:rPr>
        <w:t>. I</w:t>
      </w:r>
      <w:r w:rsidRPr="00B71F56">
        <w:rPr>
          <w:bCs/>
        </w:rPr>
        <w:t xml:space="preserve">t is a key constituent </w:t>
      </w:r>
      <w:r w:rsidR="00B901FB">
        <w:rPr>
          <w:bCs/>
        </w:rPr>
        <w:t>of</w:t>
      </w:r>
      <w:r w:rsidR="00B901FB" w:rsidRPr="00B71F56">
        <w:rPr>
          <w:bCs/>
        </w:rPr>
        <w:t xml:space="preserve"> </w:t>
      </w:r>
      <w:r w:rsidR="003414D3">
        <w:rPr>
          <w:bCs/>
        </w:rPr>
        <w:t xml:space="preserve">the </w:t>
      </w:r>
      <w:r w:rsidRPr="00B71F56">
        <w:rPr>
          <w:bCs/>
        </w:rPr>
        <w:t>enzymatic pathways of chlorophyll and protein synthesis</w:t>
      </w:r>
      <w:r w:rsidR="003414D3">
        <w:rPr>
          <w:bCs/>
        </w:rPr>
        <w:t>,</w:t>
      </w:r>
      <w:r w:rsidRPr="00B71F56">
        <w:rPr>
          <w:bCs/>
        </w:rPr>
        <w:t xml:space="preserve"> and </w:t>
      </w:r>
      <w:r w:rsidR="00856761">
        <w:rPr>
          <w:bCs/>
        </w:rPr>
        <w:t xml:space="preserve">it </w:t>
      </w:r>
      <w:r w:rsidRPr="00B71F56">
        <w:rPr>
          <w:bCs/>
        </w:rPr>
        <w:t>modulat</w:t>
      </w:r>
      <w:r w:rsidR="0009734B">
        <w:rPr>
          <w:bCs/>
        </w:rPr>
        <w:t>es</w:t>
      </w:r>
      <w:r w:rsidRPr="00B71F56">
        <w:rPr>
          <w:bCs/>
        </w:rPr>
        <w:t xml:space="preserve"> processes such as DNA and RNA synthesis and oxygen metabolism and transport</w:t>
      </w:r>
      <w:r w:rsidR="00B901FB">
        <w:rPr>
          <w:bCs/>
        </w:rPr>
        <w:t xml:space="preserve"> (Norman et al. 2014)</w:t>
      </w:r>
      <w:r w:rsidRPr="00B71F56">
        <w:rPr>
          <w:bCs/>
        </w:rPr>
        <w:t>.</w:t>
      </w:r>
    </w:p>
    <w:p w14:paraId="193D793E" w14:textId="4E4EBB99" w:rsidR="00B71F56" w:rsidRPr="00B71F56" w:rsidRDefault="0013556A" w:rsidP="009A1D87">
      <w:pPr>
        <w:rPr>
          <w:bCs/>
        </w:rPr>
      </w:pPr>
      <w:r>
        <w:rPr>
          <w:bCs/>
        </w:rPr>
        <w:t xml:space="preserve">Natural sources of iron include </w:t>
      </w:r>
      <w:r w:rsidR="0054024D">
        <w:rPr>
          <w:bCs/>
        </w:rPr>
        <w:t xml:space="preserve">the </w:t>
      </w:r>
      <w:r>
        <w:rPr>
          <w:bCs/>
        </w:rPr>
        <w:t>weathering and leaching of iron-rich sedimentary rocks</w:t>
      </w:r>
      <w:r w:rsidR="0054024D">
        <w:rPr>
          <w:bCs/>
        </w:rPr>
        <w:t>,</w:t>
      </w:r>
      <w:r>
        <w:rPr>
          <w:bCs/>
        </w:rPr>
        <w:t xml:space="preserve"> such as hematite (Fe</w:t>
      </w:r>
      <w:r w:rsidRPr="00700AE8">
        <w:rPr>
          <w:bCs/>
          <w:vertAlign w:val="subscript"/>
        </w:rPr>
        <w:t>2</w:t>
      </w:r>
      <w:r>
        <w:rPr>
          <w:bCs/>
        </w:rPr>
        <w:t>O</w:t>
      </w:r>
      <w:r w:rsidRPr="00700AE8">
        <w:rPr>
          <w:bCs/>
          <w:vertAlign w:val="subscript"/>
        </w:rPr>
        <w:t>3</w:t>
      </w:r>
      <w:r>
        <w:rPr>
          <w:bCs/>
        </w:rPr>
        <w:t>) and magnetite (Fe</w:t>
      </w:r>
      <w:r w:rsidRPr="00700AE8">
        <w:rPr>
          <w:bCs/>
          <w:vertAlign w:val="subscript"/>
        </w:rPr>
        <w:t>3</w:t>
      </w:r>
      <w:r>
        <w:rPr>
          <w:bCs/>
        </w:rPr>
        <w:t>O</w:t>
      </w:r>
      <w:r w:rsidRPr="00700AE8">
        <w:rPr>
          <w:bCs/>
          <w:vertAlign w:val="subscript"/>
        </w:rPr>
        <w:t>4</w:t>
      </w:r>
      <w:r>
        <w:rPr>
          <w:bCs/>
        </w:rPr>
        <w:t xml:space="preserve">), </w:t>
      </w:r>
      <w:r w:rsidR="0006034F">
        <w:rPr>
          <w:bCs/>
        </w:rPr>
        <w:t xml:space="preserve">basalt </w:t>
      </w:r>
      <w:r>
        <w:rPr>
          <w:bCs/>
        </w:rPr>
        <w:t>and acid</w:t>
      </w:r>
      <w:r w:rsidR="00AD09B8">
        <w:rPr>
          <w:bCs/>
        </w:rPr>
        <w:t>-</w:t>
      </w:r>
      <w:r>
        <w:rPr>
          <w:bCs/>
        </w:rPr>
        <w:t>sul</w:t>
      </w:r>
      <w:r w:rsidR="00941F56">
        <w:rPr>
          <w:bCs/>
        </w:rPr>
        <w:t>f</w:t>
      </w:r>
      <w:r>
        <w:rPr>
          <w:bCs/>
        </w:rPr>
        <w:t>ate soils</w:t>
      </w:r>
      <w:r w:rsidR="003A4F46">
        <w:rPr>
          <w:bCs/>
        </w:rPr>
        <w:t>,</w:t>
      </w:r>
      <w:r w:rsidR="00AD09B8">
        <w:rPr>
          <w:bCs/>
        </w:rPr>
        <w:t xml:space="preserve"> and </w:t>
      </w:r>
      <w:r>
        <w:rPr>
          <w:bCs/>
        </w:rPr>
        <w:t>sediments containing pyrite (FeS</w:t>
      </w:r>
      <w:r w:rsidRPr="00700AE8">
        <w:rPr>
          <w:bCs/>
          <w:vertAlign w:val="subscript"/>
        </w:rPr>
        <w:t>2</w:t>
      </w:r>
      <w:r>
        <w:rPr>
          <w:bCs/>
        </w:rPr>
        <w:t xml:space="preserve">). </w:t>
      </w:r>
      <w:r w:rsidR="0006034F">
        <w:rPr>
          <w:bCs/>
        </w:rPr>
        <w:t xml:space="preserve">Catchment erosion and associated flood plumes introduce significant amounts of iron into coastal waters. </w:t>
      </w:r>
      <w:r w:rsidR="009A1D87">
        <w:rPr>
          <w:bCs/>
        </w:rPr>
        <w:t xml:space="preserve">In open oceans, major inputs of iron include </w:t>
      </w:r>
      <w:r w:rsidR="009A1D87" w:rsidRPr="009A1D87">
        <w:rPr>
          <w:bCs/>
        </w:rPr>
        <w:t>atmospher</w:t>
      </w:r>
      <w:r w:rsidR="009A1D87">
        <w:rPr>
          <w:bCs/>
        </w:rPr>
        <w:t>ic deposition</w:t>
      </w:r>
      <w:r w:rsidR="009A1D87" w:rsidRPr="009A1D87">
        <w:rPr>
          <w:bCs/>
        </w:rPr>
        <w:t>, continental</w:t>
      </w:r>
      <w:r w:rsidR="009A1D87">
        <w:rPr>
          <w:bCs/>
        </w:rPr>
        <w:t xml:space="preserve"> </w:t>
      </w:r>
      <w:r w:rsidR="009A1D87" w:rsidRPr="009A1D87">
        <w:rPr>
          <w:bCs/>
        </w:rPr>
        <w:t>shelf sediments, hydrothermal vents</w:t>
      </w:r>
      <w:r w:rsidR="009A1D87">
        <w:rPr>
          <w:bCs/>
        </w:rPr>
        <w:t xml:space="preserve"> and</w:t>
      </w:r>
      <w:r w:rsidR="009A1D87" w:rsidRPr="009A1D87">
        <w:rPr>
          <w:bCs/>
        </w:rPr>
        <w:t xml:space="preserve"> rivers</w:t>
      </w:r>
      <w:r w:rsidR="009A1D87">
        <w:rPr>
          <w:bCs/>
        </w:rPr>
        <w:t xml:space="preserve"> (Worsfold et al. 2014). </w:t>
      </w:r>
      <w:r>
        <w:rPr>
          <w:bCs/>
        </w:rPr>
        <w:t>Anthropogenic releases of iron are mainly due to burning of fossil fuels, acid mine drainage, industrial waste discharges</w:t>
      </w:r>
      <w:r w:rsidR="009C7C92">
        <w:rPr>
          <w:bCs/>
        </w:rPr>
        <w:t>,</w:t>
      </w:r>
      <w:r>
        <w:rPr>
          <w:bCs/>
        </w:rPr>
        <w:t xml:space="preserve"> and corrosion of </w:t>
      </w:r>
      <w:r w:rsidRPr="001470A4">
        <w:rPr>
          <w:bCs/>
        </w:rPr>
        <w:t xml:space="preserve">iron and steel. </w:t>
      </w:r>
      <w:r w:rsidR="00B71F56" w:rsidRPr="00B71F56">
        <w:rPr>
          <w:bCs/>
        </w:rPr>
        <w:t>Despite the high mineral abundance and biological demand for iron, the concentration of dissolved iron in non-contaminated seawater is very low (0.017–0.022</w:t>
      </w:r>
      <w:r w:rsidR="003C6D92">
        <w:rPr>
          <w:bCs/>
        </w:rPr>
        <w:t> </w:t>
      </w:r>
      <w:r w:rsidR="00B71F56" w:rsidRPr="00B71F56">
        <w:rPr>
          <w:bCs/>
        </w:rPr>
        <w:t>µg/L in open oceans</w:t>
      </w:r>
      <w:r w:rsidR="00C63C5E">
        <w:rPr>
          <w:bCs/>
        </w:rPr>
        <w:t>,</w:t>
      </w:r>
      <w:r w:rsidR="00B71F56" w:rsidRPr="00B71F56">
        <w:rPr>
          <w:bCs/>
        </w:rPr>
        <w:t xml:space="preserve"> increasing to 0.20–0.60</w:t>
      </w:r>
      <w:r w:rsidR="00960C64">
        <w:rPr>
          <w:bCs/>
        </w:rPr>
        <w:t> </w:t>
      </w:r>
      <w:r w:rsidR="00B71F56" w:rsidRPr="00B71F56">
        <w:rPr>
          <w:bCs/>
        </w:rPr>
        <w:t>µg/L in coastal waters</w:t>
      </w:r>
      <w:r w:rsidR="006B72D4">
        <w:rPr>
          <w:bCs/>
        </w:rPr>
        <w:t>;</w:t>
      </w:r>
      <w:r w:rsidR="003C6D92">
        <w:rPr>
          <w:bCs/>
        </w:rPr>
        <w:t xml:space="preserve"> </w:t>
      </w:r>
      <w:r w:rsidR="005E58C8">
        <w:rPr>
          <w:bCs/>
        </w:rPr>
        <w:t xml:space="preserve">Kuma et al. </w:t>
      </w:r>
      <w:r w:rsidR="00265314">
        <w:rPr>
          <w:bCs/>
        </w:rPr>
        <w:t>1998</w:t>
      </w:r>
      <w:r w:rsidR="00B71F56" w:rsidRPr="00B71F56">
        <w:rPr>
          <w:bCs/>
        </w:rPr>
        <w:t>). The low dissolved concentrations are due to the very low solubility of iron in marine water (0.01–0.03</w:t>
      </w:r>
      <w:r w:rsidR="005E58C8">
        <w:rPr>
          <w:bCs/>
        </w:rPr>
        <w:t> </w:t>
      </w:r>
      <w:r w:rsidR="00B71F56" w:rsidRPr="00B71F56">
        <w:rPr>
          <w:bCs/>
        </w:rPr>
        <w:t>µg/L)</w:t>
      </w:r>
      <w:r w:rsidR="005E58C8">
        <w:rPr>
          <w:bCs/>
        </w:rPr>
        <w:t xml:space="preserve"> (Liu </w:t>
      </w:r>
      <w:r w:rsidR="006D7A6F">
        <w:rPr>
          <w:bCs/>
        </w:rPr>
        <w:t>and</w:t>
      </w:r>
      <w:r w:rsidR="005E58C8">
        <w:rPr>
          <w:bCs/>
        </w:rPr>
        <w:t xml:space="preserve"> Millero 2002)</w:t>
      </w:r>
      <w:r w:rsidR="00B71F56" w:rsidRPr="00B71F56">
        <w:rPr>
          <w:bCs/>
        </w:rPr>
        <w:t>.</w:t>
      </w:r>
    </w:p>
    <w:p w14:paraId="66610A73" w14:textId="37BCA2D8" w:rsidR="00B71F56" w:rsidRPr="00B71F56" w:rsidRDefault="00B71F56" w:rsidP="00B71F56">
      <w:pPr>
        <w:rPr>
          <w:bCs/>
        </w:rPr>
      </w:pPr>
      <w:r w:rsidRPr="00B71F56">
        <w:rPr>
          <w:bCs/>
        </w:rPr>
        <w:t xml:space="preserve">Iron exists in </w:t>
      </w:r>
      <w:r w:rsidR="0049183F">
        <w:rPr>
          <w:bCs/>
        </w:rPr>
        <w:t>2</w:t>
      </w:r>
      <w:r w:rsidR="0049183F" w:rsidRPr="00B71F56">
        <w:rPr>
          <w:bCs/>
        </w:rPr>
        <w:t xml:space="preserve"> </w:t>
      </w:r>
      <w:r w:rsidRPr="00B71F56">
        <w:rPr>
          <w:bCs/>
        </w:rPr>
        <w:t>oxidation states</w:t>
      </w:r>
      <w:r w:rsidR="00C73D22">
        <w:rPr>
          <w:bCs/>
        </w:rPr>
        <w:t xml:space="preserve"> –</w:t>
      </w:r>
      <w:r w:rsidRPr="00B71F56">
        <w:rPr>
          <w:bCs/>
        </w:rPr>
        <w:t xml:space="preserve"> iron(II) (Fe</w:t>
      </w:r>
      <w:r w:rsidRPr="00484DDC">
        <w:rPr>
          <w:bCs/>
          <w:vertAlign w:val="superscript"/>
        </w:rPr>
        <w:t>2+</w:t>
      </w:r>
      <w:r w:rsidRPr="00B71F56">
        <w:rPr>
          <w:bCs/>
        </w:rPr>
        <w:t>) and iron(III) (Fe</w:t>
      </w:r>
      <w:r w:rsidRPr="00484DDC">
        <w:rPr>
          <w:bCs/>
          <w:vertAlign w:val="superscript"/>
        </w:rPr>
        <w:t>3+</w:t>
      </w:r>
      <w:r w:rsidRPr="00B71F56">
        <w:rPr>
          <w:bCs/>
        </w:rPr>
        <w:t xml:space="preserve">). Iron(III) </w:t>
      </w:r>
      <w:r w:rsidR="0013556A">
        <w:rPr>
          <w:bCs/>
        </w:rPr>
        <w:t>dominates</w:t>
      </w:r>
      <w:r w:rsidRPr="00B71F56">
        <w:rPr>
          <w:bCs/>
        </w:rPr>
        <w:t xml:space="preserve"> under oxic conditions</w:t>
      </w:r>
      <w:r w:rsidR="0049183F">
        <w:rPr>
          <w:bCs/>
        </w:rPr>
        <w:t>. U</w:t>
      </w:r>
      <w:r w:rsidRPr="00B71F56">
        <w:rPr>
          <w:bCs/>
        </w:rPr>
        <w:t>nder anaerobic conditions, iron(II) dominates and has higher water solubility. At the pH of seawater, iron(II) rapidly oxidise</w:t>
      </w:r>
      <w:r w:rsidR="004059D1">
        <w:rPr>
          <w:bCs/>
        </w:rPr>
        <w:t>s</w:t>
      </w:r>
      <w:r w:rsidRPr="00B71F56">
        <w:rPr>
          <w:bCs/>
        </w:rPr>
        <w:t xml:space="preserve"> to form iron(III)</w:t>
      </w:r>
      <w:r w:rsidR="0049183F">
        <w:rPr>
          <w:bCs/>
        </w:rPr>
        <w:t>. T</w:t>
      </w:r>
      <w:r w:rsidR="004059D1">
        <w:rPr>
          <w:bCs/>
        </w:rPr>
        <w:t>hus,</w:t>
      </w:r>
      <w:r w:rsidRPr="00B71F56">
        <w:rPr>
          <w:bCs/>
        </w:rPr>
        <w:t xml:space="preserve"> iron(II) is expected to be present in negligible concentrations</w:t>
      </w:r>
      <w:r w:rsidR="004059D1">
        <w:rPr>
          <w:bCs/>
        </w:rPr>
        <w:t xml:space="preserve"> (Stumm </w:t>
      </w:r>
      <w:r w:rsidR="006D7A6F">
        <w:rPr>
          <w:bCs/>
        </w:rPr>
        <w:t>and</w:t>
      </w:r>
      <w:r w:rsidR="004059D1">
        <w:rPr>
          <w:bCs/>
        </w:rPr>
        <w:t xml:space="preserve"> Morgan 1996)</w:t>
      </w:r>
      <w:r w:rsidRPr="00B71F56">
        <w:rPr>
          <w:bCs/>
        </w:rPr>
        <w:t>. Iron(III) rapidly hydrolyses to form amorphous iron(III) hydroxide precipitates and colloidal iron oxyhydroxides</w:t>
      </w:r>
      <w:r w:rsidR="004059D1">
        <w:rPr>
          <w:bCs/>
        </w:rPr>
        <w:t>,</w:t>
      </w:r>
      <w:r w:rsidRPr="00B71F56">
        <w:rPr>
          <w:bCs/>
        </w:rPr>
        <w:t xml:space="preserve"> which remain in suspension or flocculate and deposit over time. </w:t>
      </w:r>
      <w:r w:rsidR="007200E1">
        <w:rPr>
          <w:bCs/>
        </w:rPr>
        <w:t>Worsfold et al. (2014) operationally defined s</w:t>
      </w:r>
      <w:r w:rsidRPr="00B71F56">
        <w:rPr>
          <w:bCs/>
        </w:rPr>
        <w:t xml:space="preserve">ize-fractionated speciation of iron into categories of truly soluble, dissolved, colloidal and total iron </w:t>
      </w:r>
      <w:r w:rsidR="007200E1">
        <w:rPr>
          <w:bCs/>
        </w:rPr>
        <w:t>according to</w:t>
      </w:r>
      <w:r w:rsidRPr="00B71F56">
        <w:rPr>
          <w:bCs/>
        </w:rPr>
        <w:t xml:space="preserve"> the pore size used to filter the seawater</w:t>
      </w:r>
      <w:r w:rsidR="00AA01C2">
        <w:rPr>
          <w:bCs/>
        </w:rPr>
        <w:t>. T</w:t>
      </w:r>
      <w:r w:rsidR="00245DE8">
        <w:rPr>
          <w:bCs/>
        </w:rPr>
        <w:t xml:space="preserve">ruly soluble </w:t>
      </w:r>
      <w:r w:rsidR="00F80399">
        <w:rPr>
          <w:bCs/>
        </w:rPr>
        <w:t>iron is defined by 0.02</w:t>
      </w:r>
      <w:r w:rsidR="00AA01C2">
        <w:rPr>
          <w:bCs/>
        </w:rPr>
        <w:t>-</w:t>
      </w:r>
      <w:r w:rsidR="004B3CA5" w:rsidRPr="00B71F56">
        <w:rPr>
          <w:bCs/>
        </w:rPr>
        <w:t>µ</w:t>
      </w:r>
      <w:r w:rsidR="00F80399">
        <w:rPr>
          <w:bCs/>
        </w:rPr>
        <w:t xml:space="preserve">m pore size, </w:t>
      </w:r>
      <w:r w:rsidR="00245DE8">
        <w:rPr>
          <w:bCs/>
        </w:rPr>
        <w:t xml:space="preserve">dissolved iron </w:t>
      </w:r>
      <w:r w:rsidR="00F80399">
        <w:rPr>
          <w:bCs/>
        </w:rPr>
        <w:t>is</w:t>
      </w:r>
      <w:r w:rsidR="00245DE8">
        <w:rPr>
          <w:bCs/>
        </w:rPr>
        <w:t xml:space="preserve"> defined by 0.2</w:t>
      </w:r>
      <w:r w:rsidR="00AA01C2">
        <w:rPr>
          <w:bCs/>
        </w:rPr>
        <w:t>-</w:t>
      </w:r>
      <w:r w:rsidR="009C1343" w:rsidRPr="00B71F56">
        <w:rPr>
          <w:bCs/>
        </w:rPr>
        <w:t>µ</w:t>
      </w:r>
      <w:r w:rsidR="00245DE8">
        <w:rPr>
          <w:bCs/>
        </w:rPr>
        <w:t xml:space="preserve">m (or </w:t>
      </w:r>
      <w:r w:rsidR="00F80399">
        <w:rPr>
          <w:bCs/>
        </w:rPr>
        <w:t xml:space="preserve">also commonly </w:t>
      </w:r>
      <w:r w:rsidR="00245DE8">
        <w:rPr>
          <w:bCs/>
        </w:rPr>
        <w:t>0.45</w:t>
      </w:r>
      <w:r w:rsidR="00AA01C2">
        <w:rPr>
          <w:bCs/>
        </w:rPr>
        <w:t>-</w:t>
      </w:r>
      <w:r w:rsidR="009C1343" w:rsidRPr="00B71F56">
        <w:rPr>
          <w:bCs/>
        </w:rPr>
        <w:t>µ</w:t>
      </w:r>
      <w:r w:rsidR="00245DE8">
        <w:rPr>
          <w:bCs/>
        </w:rPr>
        <w:t>m) pore size</w:t>
      </w:r>
      <w:r w:rsidR="00F80399">
        <w:rPr>
          <w:bCs/>
        </w:rPr>
        <w:t xml:space="preserve">, </w:t>
      </w:r>
      <w:r w:rsidR="009C1343">
        <w:rPr>
          <w:bCs/>
        </w:rPr>
        <w:t xml:space="preserve">and </w:t>
      </w:r>
      <w:r w:rsidR="00245DE8">
        <w:rPr>
          <w:bCs/>
        </w:rPr>
        <w:t xml:space="preserve">the colloidal fraction </w:t>
      </w:r>
      <w:r w:rsidR="00A21979">
        <w:rPr>
          <w:bCs/>
        </w:rPr>
        <w:t>is</w:t>
      </w:r>
      <w:r w:rsidR="00245DE8">
        <w:rPr>
          <w:bCs/>
        </w:rPr>
        <w:t xml:space="preserve"> between 0.02</w:t>
      </w:r>
      <w:r w:rsidR="006E0E35">
        <w:rPr>
          <w:bCs/>
        </w:rPr>
        <w:t>-</w:t>
      </w:r>
      <w:r w:rsidR="009C1343" w:rsidRPr="00B71F56">
        <w:rPr>
          <w:bCs/>
        </w:rPr>
        <w:t>µ</w:t>
      </w:r>
      <w:r w:rsidR="00245DE8">
        <w:rPr>
          <w:bCs/>
        </w:rPr>
        <w:t>m and 0.2</w:t>
      </w:r>
      <w:r w:rsidR="006E0E35">
        <w:rPr>
          <w:bCs/>
        </w:rPr>
        <w:t>-</w:t>
      </w:r>
      <w:r w:rsidR="004B3CA5" w:rsidRPr="00B71F56">
        <w:rPr>
          <w:bCs/>
        </w:rPr>
        <w:t>µ</w:t>
      </w:r>
      <w:r w:rsidR="00245DE8">
        <w:rPr>
          <w:bCs/>
        </w:rPr>
        <w:t>m (or 0.45</w:t>
      </w:r>
      <w:r w:rsidR="00ED0041">
        <w:rPr>
          <w:bCs/>
        </w:rPr>
        <w:t>-</w:t>
      </w:r>
      <w:r w:rsidR="00ED0041" w:rsidRPr="00B71F56">
        <w:rPr>
          <w:bCs/>
        </w:rPr>
        <w:t>µ</w:t>
      </w:r>
      <w:r w:rsidR="00245DE8">
        <w:rPr>
          <w:bCs/>
        </w:rPr>
        <w:t xml:space="preserve">m) </w:t>
      </w:r>
      <w:r w:rsidR="00F80399">
        <w:rPr>
          <w:bCs/>
        </w:rPr>
        <w:t>pore size</w:t>
      </w:r>
      <w:r w:rsidR="00245DE8">
        <w:rPr>
          <w:bCs/>
        </w:rPr>
        <w:t>.</w:t>
      </w:r>
      <w:r w:rsidR="00245DE8" w:rsidRPr="00B71F56">
        <w:rPr>
          <w:bCs/>
        </w:rPr>
        <w:t xml:space="preserve"> </w:t>
      </w:r>
      <w:r w:rsidR="00245DE8">
        <w:rPr>
          <w:bCs/>
        </w:rPr>
        <w:t xml:space="preserve">Gledhill </w:t>
      </w:r>
      <w:r w:rsidR="006D7A6F">
        <w:rPr>
          <w:bCs/>
        </w:rPr>
        <w:t>and</w:t>
      </w:r>
      <w:r w:rsidR="00245DE8">
        <w:rPr>
          <w:bCs/>
        </w:rPr>
        <w:t xml:space="preserve"> Buck (2012) reported that</w:t>
      </w:r>
      <w:r w:rsidRPr="00B71F56">
        <w:rPr>
          <w:bCs/>
        </w:rPr>
        <w:t xml:space="preserve"> colloidal (inorganic or organic) iron in estuarine and coastal waters</w:t>
      </w:r>
      <w:r w:rsidR="001C3328">
        <w:rPr>
          <w:bCs/>
        </w:rPr>
        <w:t xml:space="preserve"> </w:t>
      </w:r>
      <w:r w:rsidR="00245DE8">
        <w:rPr>
          <w:bCs/>
        </w:rPr>
        <w:t>comprised between 30% and 91% of the dissolved iron pool</w:t>
      </w:r>
      <w:r w:rsidRPr="00B71F56">
        <w:rPr>
          <w:bCs/>
        </w:rPr>
        <w:t>. Some 99% of the dissolved iron is complexed with organic iron-binding ligands of varying binding strengths in oceanic waters</w:t>
      </w:r>
      <w:r w:rsidR="00741E76">
        <w:rPr>
          <w:bCs/>
        </w:rPr>
        <w:t xml:space="preserve"> (Gledhill </w:t>
      </w:r>
      <w:r w:rsidR="006D7A6F">
        <w:rPr>
          <w:bCs/>
        </w:rPr>
        <w:t>and</w:t>
      </w:r>
      <w:r w:rsidR="00741E76">
        <w:rPr>
          <w:bCs/>
        </w:rPr>
        <w:t xml:space="preserve"> Buck 2012)</w:t>
      </w:r>
      <w:r w:rsidRPr="00B71F56">
        <w:rPr>
          <w:bCs/>
        </w:rPr>
        <w:t>.</w:t>
      </w:r>
    </w:p>
    <w:p w14:paraId="33DAD032" w14:textId="7E1736A5" w:rsidR="00B71F56" w:rsidRPr="00B71F56" w:rsidRDefault="00B71F56" w:rsidP="00B71F56">
      <w:pPr>
        <w:rPr>
          <w:bCs/>
        </w:rPr>
      </w:pPr>
      <w:r w:rsidRPr="00B71F56">
        <w:rPr>
          <w:bCs/>
        </w:rPr>
        <w:t>The solubility of iron(III) oxyhydroxide in seawater is dependent on a number of physicochemical parameters. I</w:t>
      </w:r>
      <w:r w:rsidR="009F4D1F">
        <w:rPr>
          <w:bCs/>
        </w:rPr>
        <w:t>n seawater, i</w:t>
      </w:r>
      <w:r w:rsidRPr="00B71F56">
        <w:rPr>
          <w:bCs/>
        </w:rPr>
        <w:t xml:space="preserve">ron solubility increases </w:t>
      </w:r>
      <w:r w:rsidR="009F4D1F">
        <w:rPr>
          <w:bCs/>
        </w:rPr>
        <w:t xml:space="preserve">as </w:t>
      </w:r>
      <w:r w:rsidRPr="00B71F56">
        <w:rPr>
          <w:bCs/>
        </w:rPr>
        <w:t>pH</w:t>
      </w:r>
      <w:r w:rsidR="009F4D1F">
        <w:rPr>
          <w:bCs/>
        </w:rPr>
        <w:t xml:space="preserve"> and temperature decrease</w:t>
      </w:r>
      <w:r w:rsidRPr="00B71F56">
        <w:rPr>
          <w:bCs/>
        </w:rPr>
        <w:t xml:space="preserve"> </w:t>
      </w:r>
      <w:r w:rsidR="009F4D1F">
        <w:rPr>
          <w:bCs/>
        </w:rPr>
        <w:t>and</w:t>
      </w:r>
      <w:r w:rsidRPr="00B71F56">
        <w:rPr>
          <w:bCs/>
        </w:rPr>
        <w:t xml:space="preserve"> </w:t>
      </w:r>
      <w:r w:rsidR="00064D85">
        <w:rPr>
          <w:bCs/>
        </w:rPr>
        <w:t xml:space="preserve">as </w:t>
      </w:r>
      <w:r w:rsidRPr="00B71F56">
        <w:rPr>
          <w:bCs/>
        </w:rPr>
        <w:t>salinity (w</w:t>
      </w:r>
      <w:r w:rsidR="002E1B22">
        <w:rPr>
          <w:bCs/>
        </w:rPr>
        <w:t>hen salinity is greater than 18 </w:t>
      </w:r>
      <w:r w:rsidRPr="00B71F56">
        <w:rPr>
          <w:bCs/>
        </w:rPr>
        <w:t>ppt) and dissolved organic matter</w:t>
      </w:r>
      <w:r w:rsidR="009F4D1F">
        <w:rPr>
          <w:bCs/>
        </w:rPr>
        <w:t xml:space="preserve"> increase</w:t>
      </w:r>
      <w:r w:rsidR="00741E76">
        <w:rPr>
          <w:bCs/>
        </w:rPr>
        <w:t xml:space="preserve"> (Liu </w:t>
      </w:r>
      <w:r w:rsidR="006D7A6F">
        <w:rPr>
          <w:bCs/>
        </w:rPr>
        <w:t>and</w:t>
      </w:r>
      <w:r w:rsidR="00741E76">
        <w:rPr>
          <w:bCs/>
        </w:rPr>
        <w:t xml:space="preserve"> Millero 2002)</w:t>
      </w:r>
      <w:r w:rsidRPr="00B71F56">
        <w:rPr>
          <w:bCs/>
        </w:rPr>
        <w:t>. In addition, the speciation of iron in seawater is influenced by water</w:t>
      </w:r>
      <w:r w:rsidR="00581AE1">
        <w:rPr>
          <w:bCs/>
        </w:rPr>
        <w:t>-</w:t>
      </w:r>
      <w:r w:rsidRPr="00B71F56">
        <w:rPr>
          <w:bCs/>
        </w:rPr>
        <w:t xml:space="preserve">quality parameters such as pH, redox potential (Eh), dissolved oxygen, carbon dioxide, </w:t>
      </w:r>
      <w:r w:rsidR="006D7A6F" w:rsidRPr="00B71F56">
        <w:rPr>
          <w:bCs/>
        </w:rPr>
        <w:t>sul</w:t>
      </w:r>
      <w:r w:rsidR="002B675E">
        <w:rPr>
          <w:bCs/>
        </w:rPr>
        <w:t>f</w:t>
      </w:r>
      <w:r w:rsidR="006D7A6F" w:rsidRPr="00B71F56">
        <w:rPr>
          <w:bCs/>
        </w:rPr>
        <w:t>ur</w:t>
      </w:r>
      <w:r w:rsidRPr="00B71F56">
        <w:rPr>
          <w:bCs/>
        </w:rPr>
        <w:t xml:space="preserve"> species, natural organic matter, photo-reduction of organic iron complexes and microbial activity</w:t>
      </w:r>
      <w:r w:rsidR="00741E76">
        <w:rPr>
          <w:bCs/>
        </w:rPr>
        <w:t xml:space="preserve"> (Norman et al. 2014)</w:t>
      </w:r>
      <w:r w:rsidRPr="00B71F56">
        <w:rPr>
          <w:bCs/>
        </w:rPr>
        <w:t>.</w:t>
      </w:r>
    </w:p>
    <w:p w14:paraId="094DF126" w14:textId="150F97EF" w:rsidR="007B0AEB" w:rsidRDefault="00B71F56" w:rsidP="00B71F56">
      <w:pPr>
        <w:rPr>
          <w:bCs/>
        </w:rPr>
      </w:pPr>
      <w:r w:rsidRPr="00B71F56">
        <w:rPr>
          <w:bCs/>
        </w:rPr>
        <w:t>The low solubility of iron in marine water has obvious implications for toxicity testing</w:t>
      </w:r>
      <w:r w:rsidR="005346E2">
        <w:rPr>
          <w:bCs/>
        </w:rPr>
        <w:t xml:space="preserve"> </w:t>
      </w:r>
      <w:r w:rsidRPr="00B71F56">
        <w:rPr>
          <w:bCs/>
        </w:rPr>
        <w:t xml:space="preserve">conducted with iron concentrations that exceed the </w:t>
      </w:r>
      <w:r w:rsidR="00960C64">
        <w:rPr>
          <w:bCs/>
        </w:rPr>
        <w:t>limit of solubility (i.e. &gt;</w:t>
      </w:r>
      <w:r w:rsidR="00D75AD1">
        <w:rPr>
          <w:bCs/>
        </w:rPr>
        <w:t> </w:t>
      </w:r>
      <w:r w:rsidR="00960C64">
        <w:rPr>
          <w:bCs/>
        </w:rPr>
        <w:t>0.03 </w:t>
      </w:r>
      <w:r w:rsidRPr="00B71F56">
        <w:rPr>
          <w:bCs/>
        </w:rPr>
        <w:t>µg/L). Very few toxicity</w:t>
      </w:r>
      <w:r w:rsidR="00B56C7E">
        <w:rPr>
          <w:bCs/>
        </w:rPr>
        <w:t>-</w:t>
      </w:r>
      <w:r w:rsidRPr="00B71F56">
        <w:rPr>
          <w:bCs/>
        </w:rPr>
        <w:t>test data identify the form of iron present in test solutions, which means that test organisms are likely exposed to a combination of dissolved, colloidal and precipitated iron. This confounds the interpretation of toxicity data</w:t>
      </w:r>
      <w:r w:rsidR="00B56C7E">
        <w:rPr>
          <w:bCs/>
        </w:rPr>
        <w:t>,</w:t>
      </w:r>
      <w:r w:rsidRPr="00B71F56">
        <w:rPr>
          <w:bCs/>
        </w:rPr>
        <w:t xml:space="preserve"> as these forms of iron likely have different modes of toxic action and</w:t>
      </w:r>
      <w:r w:rsidR="000441E1">
        <w:rPr>
          <w:bCs/>
        </w:rPr>
        <w:t>,</w:t>
      </w:r>
      <w:r w:rsidRPr="00B71F56">
        <w:rPr>
          <w:bCs/>
        </w:rPr>
        <w:t xml:space="preserve"> hence</w:t>
      </w:r>
      <w:r w:rsidR="000441E1">
        <w:rPr>
          <w:bCs/>
        </w:rPr>
        <w:t>,</w:t>
      </w:r>
      <w:r w:rsidRPr="00B71F56">
        <w:rPr>
          <w:bCs/>
        </w:rPr>
        <w:t xml:space="preserve"> different </w:t>
      </w:r>
      <w:r w:rsidRPr="00B71F56">
        <w:rPr>
          <w:bCs/>
        </w:rPr>
        <w:lastRenderedPageBreak/>
        <w:t xml:space="preserve">effect levels. Therefore, the derived iron </w:t>
      </w:r>
      <w:r w:rsidR="00064D85">
        <w:rPr>
          <w:bCs/>
        </w:rPr>
        <w:t>D</w:t>
      </w:r>
      <w:r w:rsidRPr="00B71F56">
        <w:rPr>
          <w:bCs/>
        </w:rPr>
        <w:t>GV</w:t>
      </w:r>
      <w:r w:rsidR="00064D85">
        <w:rPr>
          <w:bCs/>
        </w:rPr>
        <w:t>s</w:t>
      </w:r>
      <w:r w:rsidRPr="00B71F56">
        <w:rPr>
          <w:bCs/>
        </w:rPr>
        <w:t xml:space="preserve"> </w:t>
      </w:r>
      <w:r w:rsidR="00064D85">
        <w:rPr>
          <w:bCs/>
        </w:rPr>
        <w:t>are</w:t>
      </w:r>
      <w:r w:rsidR="00064D85" w:rsidRPr="00B71F56">
        <w:rPr>
          <w:bCs/>
        </w:rPr>
        <w:t xml:space="preserve"> </w:t>
      </w:r>
      <w:r w:rsidRPr="00B71F56">
        <w:rPr>
          <w:bCs/>
        </w:rPr>
        <w:t xml:space="preserve">based on </w:t>
      </w:r>
      <w:r w:rsidR="0013556A">
        <w:rPr>
          <w:bCs/>
        </w:rPr>
        <w:t>potentially bioavailable</w:t>
      </w:r>
      <w:r w:rsidR="0013556A" w:rsidRPr="00B71F56">
        <w:rPr>
          <w:bCs/>
        </w:rPr>
        <w:t xml:space="preserve"> </w:t>
      </w:r>
      <w:r w:rsidRPr="00B71F56">
        <w:rPr>
          <w:bCs/>
        </w:rPr>
        <w:t xml:space="preserve">iron </w:t>
      </w:r>
      <w:r w:rsidR="002000EB">
        <w:rPr>
          <w:bCs/>
        </w:rPr>
        <w:t>that</w:t>
      </w:r>
      <w:r w:rsidR="002000EB" w:rsidRPr="00B71F56">
        <w:rPr>
          <w:bCs/>
        </w:rPr>
        <w:t xml:space="preserve"> </w:t>
      </w:r>
      <w:r w:rsidRPr="00B71F56">
        <w:rPr>
          <w:bCs/>
        </w:rPr>
        <w:t>include</w:t>
      </w:r>
      <w:r w:rsidR="002000EB">
        <w:rPr>
          <w:bCs/>
        </w:rPr>
        <w:t>s</w:t>
      </w:r>
      <w:r w:rsidRPr="00B71F56">
        <w:rPr>
          <w:bCs/>
        </w:rPr>
        <w:t xml:space="preserve"> dissolved, colloidal and precipitated forms of iron</w:t>
      </w:r>
      <w:r w:rsidR="00AD37B3">
        <w:rPr>
          <w:bCs/>
        </w:rPr>
        <w:t>.</w:t>
      </w:r>
    </w:p>
    <w:p w14:paraId="308E3A07" w14:textId="775A72DB" w:rsidR="00B71F56" w:rsidRDefault="007B0AEB" w:rsidP="00B71F56">
      <w:pPr>
        <w:rPr>
          <w:bCs/>
        </w:rPr>
      </w:pPr>
      <w:r>
        <w:rPr>
          <w:bCs/>
        </w:rPr>
        <w:t xml:space="preserve">There were no </w:t>
      </w:r>
      <w:r w:rsidRPr="0091675F">
        <w:rPr>
          <w:bCs/>
        </w:rPr>
        <w:t>ANZECC</w:t>
      </w:r>
      <w:r w:rsidR="0068100A">
        <w:rPr>
          <w:bCs/>
        </w:rPr>
        <w:t xml:space="preserve"> and </w:t>
      </w:r>
      <w:r w:rsidRPr="0091675F">
        <w:rPr>
          <w:bCs/>
        </w:rPr>
        <w:t>ARMCANZ (2000)</w:t>
      </w:r>
      <w:r>
        <w:rPr>
          <w:bCs/>
        </w:rPr>
        <w:t xml:space="preserve"> default guideline values (D</w:t>
      </w:r>
      <w:r w:rsidRPr="009B4A80">
        <w:rPr>
          <w:bCs/>
        </w:rPr>
        <w:t>GV</w:t>
      </w:r>
      <w:r>
        <w:rPr>
          <w:bCs/>
        </w:rPr>
        <w:t xml:space="preserve">s) for iron in </w:t>
      </w:r>
      <w:r w:rsidR="00AD37B3">
        <w:rPr>
          <w:bCs/>
        </w:rPr>
        <w:t>marine water</w:t>
      </w:r>
      <w:r w:rsidR="00D23FDA">
        <w:rPr>
          <w:bCs/>
        </w:rPr>
        <w:t>. H</w:t>
      </w:r>
      <w:r>
        <w:rPr>
          <w:bCs/>
        </w:rPr>
        <w:t xml:space="preserve">owever, an interim indicative </w:t>
      </w:r>
      <w:r w:rsidRPr="00AF16D6">
        <w:rPr>
          <w:bCs/>
        </w:rPr>
        <w:t>working level</w:t>
      </w:r>
      <w:r>
        <w:rPr>
          <w:bCs/>
        </w:rPr>
        <w:t xml:space="preserve"> of 300 µg/L </w:t>
      </w:r>
      <w:r w:rsidR="00AD37B3">
        <w:rPr>
          <w:bCs/>
        </w:rPr>
        <w:t xml:space="preserve">for iron in freshwater </w:t>
      </w:r>
      <w:r>
        <w:rPr>
          <w:bCs/>
        </w:rPr>
        <w:t>was recommended, based on a Canadian water</w:t>
      </w:r>
      <w:r w:rsidR="00D23FDA">
        <w:rPr>
          <w:bCs/>
        </w:rPr>
        <w:t>-</w:t>
      </w:r>
      <w:r>
        <w:rPr>
          <w:bCs/>
        </w:rPr>
        <w:t>quality guideline value for long-term exposure to total iron (CCREM 1987). The DGV</w:t>
      </w:r>
      <w:r w:rsidR="002611CD">
        <w:rPr>
          <w:bCs/>
        </w:rPr>
        <w:t>-</w:t>
      </w:r>
      <w:r>
        <w:rPr>
          <w:bCs/>
        </w:rPr>
        <w:t xml:space="preserve">derivation approach reported below uses published toxicity data from laboratory-based single species bioassays of acceptable quality in a species sensitivity distribution (SSD) to derive DGVs that provide protection against chronic toxicity of iron to marine species (as per Warne et al. 2018). Given that both dissolved and precipitated iron </w:t>
      </w:r>
      <w:r w:rsidR="008505FB">
        <w:rPr>
          <w:bCs/>
        </w:rPr>
        <w:t xml:space="preserve">can </w:t>
      </w:r>
      <w:r>
        <w:rPr>
          <w:bCs/>
        </w:rPr>
        <w:t>result in toxicity,</w:t>
      </w:r>
      <w:r w:rsidR="0013556A">
        <w:rPr>
          <w:bCs/>
        </w:rPr>
        <w:t xml:space="preserve"> it is recommended that the application of the DGVs be based on a measurement of these potentially bioavailable forms. Guidance on this is provided </w:t>
      </w:r>
      <w:r w:rsidR="00E44065">
        <w:rPr>
          <w:bCs/>
        </w:rPr>
        <w:t xml:space="preserve">in </w:t>
      </w:r>
      <w:r w:rsidR="00CE307D">
        <w:rPr>
          <w:bCs/>
        </w:rPr>
        <w:fldChar w:fldCharType="begin"/>
      </w:r>
      <w:r w:rsidR="00CE307D">
        <w:rPr>
          <w:bCs/>
        </w:rPr>
        <w:instrText xml:space="preserve"> REF AppendixA \h </w:instrText>
      </w:r>
      <w:r w:rsidR="00CE307D">
        <w:rPr>
          <w:bCs/>
        </w:rPr>
      </w:r>
      <w:r w:rsidR="00CE307D">
        <w:rPr>
          <w:bCs/>
        </w:rPr>
        <w:fldChar w:fldCharType="separate"/>
      </w:r>
      <w:r w:rsidR="00510BCB" w:rsidRPr="00337A57">
        <w:t>Appendix</w:t>
      </w:r>
      <w:r w:rsidR="00510BCB">
        <w:t> A</w:t>
      </w:r>
      <w:r w:rsidR="00CE307D">
        <w:rPr>
          <w:bCs/>
        </w:rPr>
        <w:fldChar w:fldCharType="end"/>
      </w:r>
      <w:r w:rsidR="0013556A">
        <w:rPr>
          <w:bCs/>
        </w:rPr>
        <w:t>.</w:t>
      </w:r>
      <w:r w:rsidR="00817392">
        <w:rPr>
          <w:bCs/>
        </w:rPr>
        <w:t xml:space="preserve"> </w:t>
      </w:r>
      <w:r w:rsidRPr="00A6779B">
        <w:rPr>
          <w:bCs/>
        </w:rPr>
        <w:t>The updated DGVs reported here supersede the ANZECC</w:t>
      </w:r>
      <w:r w:rsidR="00CE307D">
        <w:rPr>
          <w:bCs/>
        </w:rPr>
        <w:t xml:space="preserve"> and </w:t>
      </w:r>
      <w:r w:rsidRPr="00A6779B">
        <w:rPr>
          <w:bCs/>
        </w:rPr>
        <w:t xml:space="preserve">ARMCANZ (2000) interim </w:t>
      </w:r>
      <w:r w:rsidR="00EE02B4">
        <w:rPr>
          <w:bCs/>
        </w:rPr>
        <w:t xml:space="preserve">indicative </w:t>
      </w:r>
      <w:r w:rsidRPr="00A6779B">
        <w:rPr>
          <w:bCs/>
        </w:rPr>
        <w:t>working</w:t>
      </w:r>
      <w:r w:rsidR="00CE307D">
        <w:rPr>
          <w:bCs/>
        </w:rPr>
        <w:t>-</w:t>
      </w:r>
      <w:r w:rsidRPr="00A6779B">
        <w:rPr>
          <w:bCs/>
        </w:rPr>
        <w:t>level value</w:t>
      </w:r>
      <w:r>
        <w:rPr>
          <w:bCs/>
        </w:rPr>
        <w:t>.</w:t>
      </w:r>
    </w:p>
    <w:p w14:paraId="768658E0" w14:textId="1B0C7A38" w:rsidR="00BF0280" w:rsidRDefault="00BF0280" w:rsidP="00BF0280">
      <w:pPr>
        <w:pStyle w:val="Heading2"/>
      </w:pPr>
      <w:bookmarkStart w:id="5" w:name="_Ref13150457"/>
      <w:bookmarkStart w:id="6" w:name="_Toc196928498"/>
      <w:bookmarkStart w:id="7" w:name="_Toc197783991"/>
      <w:r>
        <w:lastRenderedPageBreak/>
        <w:t>Aquatic toxicology</w:t>
      </w:r>
      <w:bookmarkEnd w:id="5"/>
      <w:bookmarkEnd w:id="6"/>
      <w:bookmarkEnd w:id="7"/>
    </w:p>
    <w:p w14:paraId="440F13DD" w14:textId="75A6F8F6" w:rsidR="00E041DF" w:rsidRDefault="00E041DF" w:rsidP="00930ED3">
      <w:r>
        <w:t>The complexity of iron speciation is problematic for attributing toxicity to either dissolved/colloidal iron or amorphous/precipitated iron(II) and iron(III) forms</w:t>
      </w:r>
      <w:r w:rsidR="00C01ED4">
        <w:t>,</w:t>
      </w:r>
      <w:r>
        <w:t xml:space="preserve"> when all forms may be present simultaneously or may change in relative contributions to toxicity over time. For example, iron(II) rapidly oxidises to iron(III)</w:t>
      </w:r>
      <w:r w:rsidR="0048736F">
        <w:t>,</w:t>
      </w:r>
      <w:r>
        <w:t xml:space="preserve"> and amorphous iron transitions to precipitated iron over time. Attributing toxicity to iron(II) versus iron(III) is also confounded by the preferred low</w:t>
      </w:r>
      <w:r w:rsidR="0048736F">
        <w:t>-</w:t>
      </w:r>
      <w:r>
        <w:t>pH and reduced</w:t>
      </w:r>
      <w:r w:rsidR="0048736F">
        <w:t>-</w:t>
      </w:r>
      <w:r>
        <w:t>redox conditions under which dissolved iron(II) dominates, which may be outside the physiological limits of tolerance for many biota. There is insufficient evidence to attribute toxicity to a single form of iron and, therefore, all forms of iron are considered in the current derivation of DGVs.</w:t>
      </w:r>
    </w:p>
    <w:p w14:paraId="38936B39" w14:textId="77777777" w:rsidR="00E041DF" w:rsidRPr="00F9208E" w:rsidRDefault="00E041DF" w:rsidP="00E041DF">
      <w:pPr>
        <w:pStyle w:val="Heading3"/>
        <w:numPr>
          <w:ilvl w:val="1"/>
          <w:numId w:val="17"/>
        </w:numPr>
      </w:pPr>
      <w:bookmarkStart w:id="8" w:name="_Toc174542484"/>
      <w:bookmarkStart w:id="9" w:name="_Toc196928499"/>
      <w:bookmarkStart w:id="10" w:name="_Toc197783992"/>
      <w:r w:rsidRPr="00F9208E">
        <w:t>Mechanisms of iron toxicity</w:t>
      </w:r>
      <w:bookmarkEnd w:id="8"/>
      <w:bookmarkEnd w:id="9"/>
      <w:bookmarkEnd w:id="10"/>
    </w:p>
    <w:p w14:paraId="2DD90375" w14:textId="29BF8676" w:rsidR="00E041DF" w:rsidRDefault="00E041DF" w:rsidP="00930ED3">
      <w:r>
        <w:t>The mechanism of toxicity of iron is unclear</w:t>
      </w:r>
      <w:r w:rsidR="009D28E8">
        <w:t>. H</w:t>
      </w:r>
      <w:r>
        <w:t>owever, the current knowledge is described in the iron in freshwater DGVs technical brief (ANZG 202</w:t>
      </w:r>
      <w:r w:rsidR="00A00CC8">
        <w:t>5</w:t>
      </w:r>
      <w:r>
        <w:t>).</w:t>
      </w:r>
    </w:p>
    <w:p w14:paraId="0A91923F" w14:textId="1CAEF29E" w:rsidR="00E041DF" w:rsidRPr="00BF0280" w:rsidRDefault="00E041DF" w:rsidP="00E041DF">
      <w:pPr>
        <w:pStyle w:val="Heading3"/>
      </w:pPr>
      <w:bookmarkStart w:id="11" w:name="_Ref174614935"/>
      <w:bookmarkStart w:id="12" w:name="_Toc196928500"/>
      <w:bookmarkStart w:id="13" w:name="_Toc197783993"/>
      <w:r>
        <w:t>Toxicity</w:t>
      </w:r>
      <w:bookmarkEnd w:id="11"/>
      <w:bookmarkEnd w:id="12"/>
      <w:bookmarkEnd w:id="13"/>
    </w:p>
    <w:p w14:paraId="69B30DEA" w14:textId="75105B30" w:rsidR="00930ED3" w:rsidRDefault="00F10BC4" w:rsidP="00930ED3">
      <w:r>
        <w:t>Data on the toxicity of iron to marine species are limited</w:t>
      </w:r>
      <w:r w:rsidR="00004BFD">
        <w:t xml:space="preserve"> but available </w:t>
      </w:r>
      <w:r>
        <w:t xml:space="preserve">for a range of taxonomic groups, </w:t>
      </w:r>
      <w:r w:rsidR="00004BFD">
        <w:t>including</w:t>
      </w:r>
      <w:r>
        <w:t xml:space="preserve"> algae, </w:t>
      </w:r>
      <w:r w:rsidR="00843BA3">
        <w:t xml:space="preserve">rotifers, </w:t>
      </w:r>
      <w:r w:rsidR="00004BFD">
        <w:t xml:space="preserve">echinoderms, </w:t>
      </w:r>
      <w:r>
        <w:t>crustaceans, bivalve</w:t>
      </w:r>
      <w:r w:rsidR="009F234C">
        <w:t xml:space="preserve"> mollusc</w:t>
      </w:r>
      <w:r>
        <w:t xml:space="preserve">s, </w:t>
      </w:r>
      <w:r w:rsidR="00471ABD">
        <w:t>gastropod</w:t>
      </w:r>
      <w:r w:rsidR="009F234C">
        <w:t xml:space="preserve"> mollusc</w:t>
      </w:r>
      <w:r w:rsidR="00471ABD">
        <w:t xml:space="preserve">s, </w:t>
      </w:r>
      <w:r>
        <w:t>corals and fish</w:t>
      </w:r>
      <w:r w:rsidR="00414748">
        <w:t>. D</w:t>
      </w:r>
      <w:r>
        <w:t>ata for bivalve</w:t>
      </w:r>
      <w:r w:rsidR="009F234C">
        <w:t xml:space="preserve"> mollusc</w:t>
      </w:r>
      <w:r>
        <w:t xml:space="preserve">s dominate the </w:t>
      </w:r>
      <w:r w:rsidR="00880B00">
        <w:t>available data</w:t>
      </w:r>
      <w:r>
        <w:t>.</w:t>
      </w:r>
    </w:p>
    <w:p w14:paraId="11BB32F6" w14:textId="2CA2DF6B" w:rsidR="00004BFD" w:rsidRDefault="00004BFD" w:rsidP="00930ED3">
      <w:r>
        <w:t>High toxicity of iron has been reported for sea urchins (</w:t>
      </w:r>
      <w:r w:rsidRPr="00325D68">
        <w:rPr>
          <w:rStyle w:val="Emphasis"/>
        </w:rPr>
        <w:t>Sphaerechinus granularis</w:t>
      </w:r>
      <w:r w:rsidRPr="00325D68">
        <w:t xml:space="preserve">, </w:t>
      </w:r>
      <w:r w:rsidRPr="00325D68">
        <w:rPr>
          <w:rStyle w:val="Emphasis"/>
        </w:rPr>
        <w:t>Paracentrotus</w:t>
      </w:r>
      <w:r w:rsidRPr="00325D68">
        <w:t xml:space="preserve"> </w:t>
      </w:r>
      <w:r w:rsidRPr="00325D68">
        <w:rPr>
          <w:rStyle w:val="Emphasis"/>
        </w:rPr>
        <w:t>lividus</w:t>
      </w:r>
      <w:r w:rsidRPr="00325D68">
        <w:t xml:space="preserve">, </w:t>
      </w:r>
      <w:r w:rsidRPr="00325D68">
        <w:rPr>
          <w:rStyle w:val="Emphasis"/>
        </w:rPr>
        <w:t>Psammechinus microtuberculatus</w:t>
      </w:r>
      <w:r>
        <w:t>)</w:t>
      </w:r>
      <w:r w:rsidR="00A21979">
        <w:t xml:space="preserve"> –</w:t>
      </w:r>
      <w:r>
        <w:t xml:space="preserve"> 72-h</w:t>
      </w:r>
      <w:r w:rsidR="00A21979">
        <w:t>our</w:t>
      </w:r>
      <w:r>
        <w:t xml:space="preserve"> embryo development NOECs</w:t>
      </w:r>
      <w:r w:rsidR="00AF0D56">
        <w:t xml:space="preserve"> (see ‘</w:t>
      </w:r>
      <w:r w:rsidR="00AF0D56">
        <w:fldChar w:fldCharType="begin"/>
      </w:r>
      <w:r w:rsidR="00AF0D56">
        <w:instrText xml:space="preserve"> REF _Ref195442642 \h </w:instrText>
      </w:r>
      <w:r w:rsidR="00AF0D56">
        <w:fldChar w:fldCharType="separate"/>
      </w:r>
      <w:r w:rsidR="00510BCB" w:rsidRPr="00B23180">
        <w:t>Glossary</w:t>
      </w:r>
      <w:r w:rsidR="00510BCB">
        <w:t xml:space="preserve"> and acronyms</w:t>
      </w:r>
      <w:r w:rsidR="00AF0D56">
        <w:fldChar w:fldCharType="end"/>
      </w:r>
      <w:r w:rsidR="00AF0D56">
        <w:t>’ for definitions)</w:t>
      </w:r>
      <w:r>
        <w:t xml:space="preserve"> </w:t>
      </w:r>
      <w:r w:rsidR="00A21979">
        <w:t xml:space="preserve">were </w:t>
      </w:r>
      <w:r>
        <w:t>0.56–56 μg/L (Pagano et al. 1996). However, these data were based on</w:t>
      </w:r>
      <w:r w:rsidR="003F7711">
        <w:t xml:space="preserve"> nominal (i.e. not measured) concentration data</w:t>
      </w:r>
      <w:r w:rsidR="00216007">
        <w:t>,</w:t>
      </w:r>
      <w:r w:rsidR="00047189">
        <w:t xml:space="preserve"> and</w:t>
      </w:r>
      <w:r>
        <w:t xml:space="preserve"> tests </w:t>
      </w:r>
      <w:r w:rsidR="00047189">
        <w:t xml:space="preserve">were </w:t>
      </w:r>
      <w:r>
        <w:t xml:space="preserve">conducted using </w:t>
      </w:r>
      <w:r w:rsidR="008F1981">
        <w:t xml:space="preserve">a concentration range </w:t>
      </w:r>
      <w:r w:rsidR="00716073">
        <w:t xml:space="preserve">– </w:t>
      </w:r>
      <w:r w:rsidR="004820FE">
        <w:t xml:space="preserve">each treatment </w:t>
      </w:r>
      <w:r w:rsidR="004E0FD5">
        <w:t xml:space="preserve">nominally </w:t>
      </w:r>
      <w:r w:rsidR="004820FE">
        <w:t>increas</w:t>
      </w:r>
      <w:r w:rsidR="00716073">
        <w:t>ed</w:t>
      </w:r>
      <w:r w:rsidR="00D8365B">
        <w:t xml:space="preserve"> in concentration </w:t>
      </w:r>
      <w:r w:rsidR="004820FE">
        <w:t xml:space="preserve">by </w:t>
      </w:r>
      <w:r w:rsidR="00D8365B">
        <w:t xml:space="preserve">an </w:t>
      </w:r>
      <w:r>
        <w:t>order of magnitude, so their reliability is quest</w:t>
      </w:r>
      <w:r w:rsidR="00E017DD">
        <w:t>i</w:t>
      </w:r>
      <w:r>
        <w:t xml:space="preserve">onable. </w:t>
      </w:r>
      <w:r w:rsidR="0019504F">
        <w:t>In contrast to the results of Pagano et al. (1996)</w:t>
      </w:r>
      <w:r w:rsidR="004D6EB9">
        <w:t>, Doyle (1999, as cited by Markich et al. 2002) reported a mu</w:t>
      </w:r>
      <w:r w:rsidR="000F3266">
        <w:t>ch</w:t>
      </w:r>
      <w:r w:rsidR="004D6EB9">
        <w:t xml:space="preserve"> higher NOEC (72-h</w:t>
      </w:r>
      <w:r w:rsidR="00311CEF">
        <w:t>our</w:t>
      </w:r>
      <w:r w:rsidR="004D6EB9">
        <w:t xml:space="preserve"> larval development) of 2</w:t>
      </w:r>
      <w:r w:rsidR="00124059">
        <w:t>,</w:t>
      </w:r>
      <w:r w:rsidR="004D6EB9">
        <w:t xml:space="preserve">000 μg/L for the sea urchin </w:t>
      </w:r>
      <w:r w:rsidR="004D6EB9" w:rsidRPr="004D6EB9">
        <w:rPr>
          <w:i/>
          <w:iCs/>
        </w:rPr>
        <w:t>Heliocidaris tuberculata</w:t>
      </w:r>
      <w:r w:rsidR="000F3266">
        <w:t>, which was also based on n</w:t>
      </w:r>
      <w:r w:rsidR="00C37924">
        <w:t>o</w:t>
      </w:r>
      <w:r w:rsidR="000F3266">
        <w:t>minal concentrations</w:t>
      </w:r>
      <w:r w:rsidR="004D6EB9">
        <w:t xml:space="preserve">. </w:t>
      </w:r>
      <w:r>
        <w:t xml:space="preserve">The mudskipper </w:t>
      </w:r>
      <w:r w:rsidRPr="009B6FDB">
        <w:rPr>
          <w:rStyle w:val="Emphasis"/>
        </w:rPr>
        <w:t>Periophthalmus waltoni</w:t>
      </w:r>
      <w:r>
        <w:t xml:space="preserve"> also showed apparent high sensitivity to iron</w:t>
      </w:r>
      <w:r w:rsidR="00124059">
        <w:t xml:space="preserve"> –</w:t>
      </w:r>
      <w:r>
        <w:t xml:space="preserve"> a 96-h</w:t>
      </w:r>
      <w:r w:rsidR="002013CB">
        <w:t>our</w:t>
      </w:r>
      <w:r>
        <w:t xml:space="preserve"> LC50 </w:t>
      </w:r>
      <w:r w:rsidR="00124059">
        <w:t>was</w:t>
      </w:r>
      <w:r>
        <w:t xml:space="preserve"> 6.5 μg/L (Bu-Olayan </w:t>
      </w:r>
      <w:r w:rsidR="006D7A6F">
        <w:t>and</w:t>
      </w:r>
      <w:r>
        <w:t xml:space="preserve"> Thomas 2008), but the data were confounded by pseudo</w:t>
      </w:r>
      <w:r w:rsidR="00E017DD">
        <w:t>-</w:t>
      </w:r>
      <w:r>
        <w:t>replication and also had questionable reliability.</w:t>
      </w:r>
    </w:p>
    <w:p w14:paraId="43551067" w14:textId="38CC08A9" w:rsidR="002217EF" w:rsidRDefault="00F10BC4" w:rsidP="00EF2893">
      <w:r>
        <w:t xml:space="preserve">Bivalves </w:t>
      </w:r>
      <w:r w:rsidR="00004BFD">
        <w:t>appear to be</w:t>
      </w:r>
      <w:r>
        <w:t xml:space="preserve"> </w:t>
      </w:r>
      <w:r w:rsidR="00B62E7B">
        <w:t>a relatively</w:t>
      </w:r>
      <w:r>
        <w:t xml:space="preserve"> sensitive taxon</w:t>
      </w:r>
      <w:r w:rsidR="000E181D">
        <w:t>omic</w:t>
      </w:r>
      <w:r>
        <w:t xml:space="preserve"> group</w:t>
      </w:r>
      <w:r w:rsidR="005B486C">
        <w:t>. T</w:t>
      </w:r>
      <w:r w:rsidR="000E181D">
        <w:t xml:space="preserve">oxicity levels </w:t>
      </w:r>
      <w:r w:rsidR="005B486C">
        <w:t xml:space="preserve">are </w:t>
      </w:r>
      <w:r w:rsidR="000E181D">
        <w:t xml:space="preserve">generally in the </w:t>
      </w:r>
      <w:r w:rsidR="005B486C">
        <w:t xml:space="preserve">range of </w:t>
      </w:r>
      <w:r w:rsidR="000E181D">
        <w:t>hundreds of micrograms per litre</w:t>
      </w:r>
      <w:r>
        <w:t xml:space="preserve">. </w:t>
      </w:r>
      <w:r w:rsidR="000E181D">
        <w:t xml:space="preserve">Wilson </w:t>
      </w:r>
      <w:r w:rsidR="006D7A6F">
        <w:t>and</w:t>
      </w:r>
      <w:r w:rsidR="000E181D">
        <w:t xml:space="preserve"> Hyne (1997) reported 48-h</w:t>
      </w:r>
      <w:r w:rsidR="00025022">
        <w:t>our</w:t>
      </w:r>
      <w:r w:rsidR="000E181D">
        <w:t xml:space="preserve"> larval development NOECs of 100</w:t>
      </w:r>
      <w:r w:rsidR="00D75AD1">
        <w:t> </w:t>
      </w:r>
      <w:r w:rsidR="000E181D">
        <w:t>µg/L and 150</w:t>
      </w:r>
      <w:r w:rsidR="00D75AD1">
        <w:t> </w:t>
      </w:r>
      <w:r w:rsidR="000E181D">
        <w:t xml:space="preserve">µg/L for the oyster </w:t>
      </w:r>
      <w:r w:rsidR="000E181D" w:rsidRPr="00C02E57">
        <w:rPr>
          <w:rStyle w:val="Emphasis"/>
        </w:rPr>
        <w:t>Saccostrea glomerata</w:t>
      </w:r>
      <w:r w:rsidR="000E181D">
        <w:t xml:space="preserve"> (formerly </w:t>
      </w:r>
      <w:r w:rsidR="000E181D" w:rsidRPr="00C02E57">
        <w:rPr>
          <w:rStyle w:val="Emphasis"/>
        </w:rPr>
        <w:t>Saccostrea commercialis</w:t>
      </w:r>
      <w:r w:rsidR="000E181D">
        <w:t>). However, the pH of the test water was only 6.5</w:t>
      </w:r>
      <w:r w:rsidR="00025022">
        <w:t>,</w:t>
      </w:r>
      <w:r w:rsidR="000E181D">
        <w:t xml:space="preserve"> as the results were from studies of acid leachates mixed with seawater.</w:t>
      </w:r>
      <w:r w:rsidR="000E181D" w:rsidDel="0028676C">
        <w:t xml:space="preserve"> </w:t>
      </w:r>
      <w:r w:rsidR="00D43700">
        <w:t>Markich (2021) determined no</w:t>
      </w:r>
      <w:r w:rsidR="00A55A74">
        <w:t>-</w:t>
      </w:r>
      <w:r w:rsidR="00D43700">
        <w:t>effect concentrations (NECs) for 48-h</w:t>
      </w:r>
      <w:r w:rsidR="00A55A74">
        <w:t>our</w:t>
      </w:r>
      <w:r w:rsidR="00D43700">
        <w:t xml:space="preserve"> embryo larval development of 10 Australian bivalve species</w:t>
      </w:r>
      <w:r w:rsidR="00000D55">
        <w:t>,</w:t>
      </w:r>
      <w:r w:rsidR="00D43700">
        <w:t xml:space="preserve"> comprising </w:t>
      </w:r>
      <w:r w:rsidR="00A55A74">
        <w:t xml:space="preserve">2 </w:t>
      </w:r>
      <w:r w:rsidR="00D43700">
        <w:t xml:space="preserve">oysters, one mussel, </w:t>
      </w:r>
      <w:r w:rsidR="00A55A74">
        <w:t xml:space="preserve">2 </w:t>
      </w:r>
      <w:r w:rsidR="00D43700">
        <w:t xml:space="preserve">cockles, one scallop and </w:t>
      </w:r>
      <w:r w:rsidR="00A55A74">
        <w:t xml:space="preserve">4 </w:t>
      </w:r>
      <w:r w:rsidR="00D43700">
        <w:t xml:space="preserve">clams. </w:t>
      </w:r>
      <w:r w:rsidR="000E181D">
        <w:t xml:space="preserve">The </w:t>
      </w:r>
      <w:r w:rsidR="00D43700">
        <w:t>NEC</w:t>
      </w:r>
      <w:r w:rsidR="009A65AE">
        <w:t xml:space="preserve">s </w:t>
      </w:r>
      <w:r w:rsidR="0028676C">
        <w:t>spanned a</w:t>
      </w:r>
      <w:r w:rsidR="003F1433">
        <w:t xml:space="preserve"> narrow range </w:t>
      </w:r>
      <w:r w:rsidR="0028676C">
        <w:t>of</w:t>
      </w:r>
      <w:r w:rsidR="00D43700">
        <w:t xml:space="preserve"> 7</w:t>
      </w:r>
      <w:r w:rsidR="003F1433">
        <w:t>24</w:t>
      </w:r>
      <w:r w:rsidR="00A55A74">
        <w:t>–</w:t>
      </w:r>
      <w:r w:rsidR="003F1433">
        <w:t>1</w:t>
      </w:r>
      <w:r w:rsidR="00D75AD1">
        <w:t>,</w:t>
      </w:r>
      <w:r w:rsidR="003F1433">
        <w:t>270</w:t>
      </w:r>
      <w:r w:rsidR="00D75AD1">
        <w:t> </w:t>
      </w:r>
      <w:r w:rsidR="00D43700">
        <w:t xml:space="preserve">µg/L. </w:t>
      </w:r>
      <w:r w:rsidR="00B02FF7">
        <w:t>Kadar et al. (2010</w:t>
      </w:r>
      <w:r w:rsidR="00735001">
        <w:t xml:space="preserve">) </w:t>
      </w:r>
      <w:r w:rsidR="00DB6422">
        <w:t xml:space="preserve">showed no effects on the </w:t>
      </w:r>
      <w:r w:rsidR="00896125">
        <w:t>48-h</w:t>
      </w:r>
      <w:r w:rsidR="00A55A74">
        <w:t>our</w:t>
      </w:r>
      <w:r w:rsidR="00896125">
        <w:t xml:space="preserve"> </w:t>
      </w:r>
      <w:r w:rsidR="00DB6422">
        <w:t xml:space="preserve">larval development of the mussel </w:t>
      </w:r>
      <w:r w:rsidR="00DB6422" w:rsidRPr="00C02E57">
        <w:rPr>
          <w:rStyle w:val="Emphasis"/>
        </w:rPr>
        <w:t>Mytilus galloprovincialis</w:t>
      </w:r>
      <w:r w:rsidR="00735001">
        <w:t xml:space="preserve"> </w:t>
      </w:r>
      <w:r w:rsidR="0028676C">
        <w:t xml:space="preserve">up to </w:t>
      </w:r>
      <w:r w:rsidR="00137C40">
        <w:t>a</w:t>
      </w:r>
      <w:r w:rsidR="00A371D4">
        <w:t xml:space="preserve"> total iron </w:t>
      </w:r>
      <w:r w:rsidR="00137C40">
        <w:t>concentration</w:t>
      </w:r>
      <w:r w:rsidR="0028676C">
        <w:t xml:space="preserve"> </w:t>
      </w:r>
      <w:r w:rsidR="00A371D4">
        <w:t>of 800</w:t>
      </w:r>
      <w:r w:rsidR="00D75AD1">
        <w:t> </w:t>
      </w:r>
      <w:r w:rsidR="00A371D4">
        <w:t>µg/L</w:t>
      </w:r>
      <w:r w:rsidR="00137C40">
        <w:t xml:space="preserve"> but did not test any higher concentrations.</w:t>
      </w:r>
    </w:p>
    <w:p w14:paraId="22711F4D" w14:textId="44360331" w:rsidR="00843BA3" w:rsidRDefault="00B62E7B" w:rsidP="00843BA3">
      <w:r>
        <w:lastRenderedPageBreak/>
        <w:t xml:space="preserve">There are limited data on the </w:t>
      </w:r>
      <w:r w:rsidR="00DB4A1E">
        <w:t xml:space="preserve">chronic </w:t>
      </w:r>
      <w:r>
        <w:t xml:space="preserve">toxicity of iron to </w:t>
      </w:r>
      <w:r w:rsidR="00943E6A">
        <w:t xml:space="preserve">other taxa. </w:t>
      </w:r>
      <w:r w:rsidR="00137C40">
        <w:t>T</w:t>
      </w:r>
      <w:r w:rsidR="00EF2893">
        <w:t xml:space="preserve">he crab </w:t>
      </w:r>
      <w:r w:rsidR="00797B90" w:rsidRPr="00826A21">
        <w:rPr>
          <w:rStyle w:val="Emphasis"/>
        </w:rPr>
        <w:t>C</w:t>
      </w:r>
      <w:r w:rsidR="002449AB">
        <w:rPr>
          <w:rStyle w:val="Emphasis"/>
        </w:rPr>
        <w:t>ancer</w:t>
      </w:r>
      <w:r w:rsidR="00797B90" w:rsidRPr="00826A21">
        <w:rPr>
          <w:rStyle w:val="Emphasis"/>
        </w:rPr>
        <w:t xml:space="preserve"> </w:t>
      </w:r>
      <w:r w:rsidR="00EF2893" w:rsidRPr="00826A21">
        <w:rPr>
          <w:rStyle w:val="Emphasis"/>
        </w:rPr>
        <w:t>anthonyi</w:t>
      </w:r>
      <w:r w:rsidR="00137C40">
        <w:t xml:space="preserve"> was relatively sensitive to iron exposure</w:t>
      </w:r>
      <w:r w:rsidR="005B486C">
        <w:t xml:space="preserve"> –</w:t>
      </w:r>
      <w:r w:rsidR="00EF2893">
        <w:t xml:space="preserve"> </w:t>
      </w:r>
      <w:r w:rsidR="00137C40">
        <w:t>a 7-d</w:t>
      </w:r>
      <w:r w:rsidR="002449AB">
        <w:t>ay</w:t>
      </w:r>
      <w:r w:rsidR="00137C40">
        <w:t xml:space="preserve"> </w:t>
      </w:r>
      <w:r w:rsidR="00EF2893">
        <w:t xml:space="preserve">NOEC for embryo hatching </w:t>
      </w:r>
      <w:r w:rsidR="005B486C">
        <w:t xml:space="preserve">was </w:t>
      </w:r>
      <w:r w:rsidR="00EF2893">
        <w:t>1</w:t>
      </w:r>
      <w:r w:rsidR="00D75AD1">
        <w:t>,</w:t>
      </w:r>
      <w:r w:rsidR="00EF2893">
        <w:t>000</w:t>
      </w:r>
      <w:r w:rsidR="00960C64">
        <w:t> </w:t>
      </w:r>
      <w:r w:rsidR="00EF2893">
        <w:t>µg/L</w:t>
      </w:r>
      <w:r w:rsidR="005B486C">
        <w:t>. H</w:t>
      </w:r>
      <w:r w:rsidR="00137C40">
        <w:t>owever, in contrast,</w:t>
      </w:r>
      <w:r w:rsidR="00EF2893">
        <w:t xml:space="preserve"> the 7-d</w:t>
      </w:r>
      <w:r w:rsidR="00AB7CBE">
        <w:t>ay</w:t>
      </w:r>
      <w:r w:rsidR="00EF2893">
        <w:t xml:space="preserve"> NOEC for mortality was 100</w:t>
      </w:r>
      <w:r w:rsidR="00D75AD1">
        <w:t>,</w:t>
      </w:r>
      <w:r w:rsidR="00EF2893">
        <w:t>000</w:t>
      </w:r>
      <w:r w:rsidR="00826A21">
        <w:t> </w:t>
      </w:r>
      <w:r w:rsidR="00EF2893">
        <w:t>µg/L</w:t>
      </w:r>
      <w:r w:rsidR="00826A21">
        <w:t xml:space="preserve"> (Macdonald et al. 1988)</w:t>
      </w:r>
      <w:r w:rsidR="00EF2893">
        <w:t xml:space="preserve">. </w:t>
      </w:r>
      <w:r w:rsidR="004E1773">
        <w:t xml:space="preserve">Corals have variable </w:t>
      </w:r>
      <w:r w:rsidR="006B7D57">
        <w:t>sensitivity</w:t>
      </w:r>
      <w:r w:rsidR="004E1773">
        <w:t xml:space="preserve"> to iron</w:t>
      </w:r>
      <w:r w:rsidR="001C594B">
        <w:t xml:space="preserve"> –</w:t>
      </w:r>
      <w:r w:rsidR="006B7D57">
        <w:t xml:space="preserve"> EC10s/NOECs</w:t>
      </w:r>
      <w:r w:rsidR="004E1773">
        <w:t xml:space="preserve"> rang</w:t>
      </w:r>
      <w:r w:rsidR="001C594B">
        <w:t>ed</w:t>
      </w:r>
      <w:r w:rsidR="004E1773">
        <w:t xml:space="preserve"> from 2</w:t>
      </w:r>
      <w:r w:rsidR="00D75AD1">
        <w:t>,</w:t>
      </w:r>
      <w:r w:rsidR="004E1773">
        <w:t xml:space="preserve">750 µg/L </w:t>
      </w:r>
      <w:r w:rsidR="006B7D57">
        <w:t>(</w:t>
      </w:r>
      <w:r w:rsidR="006B7D57" w:rsidRPr="002F16E6">
        <w:rPr>
          <w:rStyle w:val="Emphasis"/>
          <w:szCs w:val="18"/>
        </w:rPr>
        <w:t>Platygyra daedalea</w:t>
      </w:r>
      <w:r w:rsidR="006B7D57">
        <w:t xml:space="preserve">) </w:t>
      </w:r>
      <w:r w:rsidR="004E1773">
        <w:t>to 18</w:t>
      </w:r>
      <w:r w:rsidR="00C009D9">
        <w:t>,</w:t>
      </w:r>
      <w:r w:rsidR="004E1773">
        <w:t>70</w:t>
      </w:r>
      <w:r w:rsidR="00C009D9">
        <w:t>0</w:t>
      </w:r>
      <w:r w:rsidR="004E1773">
        <w:t xml:space="preserve"> µg/L </w:t>
      </w:r>
      <w:r w:rsidR="006B7D57">
        <w:t>(</w:t>
      </w:r>
      <w:r w:rsidR="006B7D57" w:rsidRPr="002F16E6">
        <w:rPr>
          <w:rStyle w:val="Emphasis"/>
          <w:szCs w:val="18"/>
        </w:rPr>
        <w:t>Acropora spathulata</w:t>
      </w:r>
      <w:r w:rsidR="006B7D57">
        <w:t>)</w:t>
      </w:r>
      <w:r w:rsidR="00812CBD">
        <w:t>,</w:t>
      </w:r>
      <w:r w:rsidR="006B7D57">
        <w:t xml:space="preserve"> based on fertilisation </w:t>
      </w:r>
      <w:r w:rsidR="004E1773">
        <w:t>(</w:t>
      </w:r>
      <w:r w:rsidR="006B7D57">
        <w:t xml:space="preserve">Leigh-Smith et al. 2018). </w:t>
      </w:r>
      <w:r w:rsidR="00943E6A">
        <w:t xml:space="preserve">The </w:t>
      </w:r>
      <w:r w:rsidR="00943E6A" w:rsidRPr="00325D68">
        <w:t xml:space="preserve">microalga </w:t>
      </w:r>
      <w:r w:rsidR="00943E6A" w:rsidRPr="00325D68">
        <w:rPr>
          <w:rStyle w:val="Emphasis"/>
        </w:rPr>
        <w:t>I</w:t>
      </w:r>
      <w:r w:rsidR="00943E6A">
        <w:rPr>
          <w:rStyle w:val="Emphasis"/>
        </w:rPr>
        <w:t>sochrysis</w:t>
      </w:r>
      <w:r w:rsidR="00943E6A" w:rsidRPr="00325D68">
        <w:rPr>
          <w:rStyle w:val="Emphasis"/>
        </w:rPr>
        <w:t xml:space="preserve"> galbana </w:t>
      </w:r>
      <w:r w:rsidR="00943E6A">
        <w:t xml:space="preserve">was </w:t>
      </w:r>
      <w:r w:rsidR="00843BA3">
        <w:t>insensitive to iron exposure</w:t>
      </w:r>
      <w:r w:rsidR="001C594B">
        <w:t xml:space="preserve"> –</w:t>
      </w:r>
      <w:r w:rsidR="00943E6A">
        <w:t xml:space="preserve"> </w:t>
      </w:r>
      <w:r w:rsidR="004238D9">
        <w:t>a 96-h</w:t>
      </w:r>
      <w:r w:rsidR="00AB7CBE">
        <w:t>our</w:t>
      </w:r>
      <w:r w:rsidR="004238D9">
        <w:t xml:space="preserve"> </w:t>
      </w:r>
      <w:r w:rsidR="006F7AD6">
        <w:t>L</w:t>
      </w:r>
      <w:r w:rsidR="004238D9">
        <w:t xml:space="preserve">OEC </w:t>
      </w:r>
      <w:r w:rsidR="009E66E5">
        <w:t xml:space="preserve">and NOEC </w:t>
      </w:r>
      <w:r w:rsidR="004238D9">
        <w:t xml:space="preserve">(growth rate) </w:t>
      </w:r>
      <w:r w:rsidR="0010773A">
        <w:t xml:space="preserve">were </w:t>
      </w:r>
      <w:r w:rsidR="006F7AD6">
        <w:t>75</w:t>
      </w:r>
      <w:r w:rsidR="00D75AD1">
        <w:t>,</w:t>
      </w:r>
      <w:r w:rsidR="004238D9">
        <w:t>000 µg/L</w:t>
      </w:r>
      <w:r w:rsidR="009E66E5">
        <w:t xml:space="preserve"> and 50</w:t>
      </w:r>
      <w:r w:rsidR="00D75AD1">
        <w:t>,</w:t>
      </w:r>
      <w:r w:rsidR="009E66E5">
        <w:t>000 µg/L, respectively</w:t>
      </w:r>
      <w:r w:rsidR="00943E6A">
        <w:t xml:space="preserve"> (Keller et al. 2012).</w:t>
      </w:r>
      <w:r w:rsidR="00843BA3">
        <w:t xml:space="preserve"> Rotifers also appear insensitive to iron exposure. Han et al. (2022) reported 7-d</w:t>
      </w:r>
      <w:r w:rsidR="00273570">
        <w:t>ay</w:t>
      </w:r>
      <w:r w:rsidR="00843BA3">
        <w:t xml:space="preserve"> EC50</w:t>
      </w:r>
      <w:r w:rsidR="006F7AD6">
        <w:t xml:space="preserve"> value</w:t>
      </w:r>
      <w:r w:rsidR="00843BA3">
        <w:t xml:space="preserve">s for the rotifers </w:t>
      </w:r>
      <w:r w:rsidR="00843BA3" w:rsidRPr="00434390">
        <w:rPr>
          <w:i/>
          <w:iCs/>
        </w:rPr>
        <w:t>Brachionus plicatilis</w:t>
      </w:r>
      <w:r w:rsidR="00843BA3">
        <w:t xml:space="preserve"> and </w:t>
      </w:r>
      <w:r w:rsidR="00843BA3" w:rsidRPr="00434390">
        <w:rPr>
          <w:i/>
          <w:iCs/>
        </w:rPr>
        <w:t>Brachionus rotundiformus</w:t>
      </w:r>
      <w:r w:rsidR="00843BA3">
        <w:rPr>
          <w:i/>
          <w:iCs/>
        </w:rPr>
        <w:t xml:space="preserve"> </w:t>
      </w:r>
      <w:r w:rsidR="00843BA3">
        <w:t>of 59</w:t>
      </w:r>
      <w:r w:rsidR="00D75AD1">
        <w:t> mg/L</w:t>
      </w:r>
      <w:r w:rsidR="00843BA3">
        <w:t xml:space="preserve"> and 55</w:t>
      </w:r>
      <w:r w:rsidR="00D75AD1">
        <w:t> </w:t>
      </w:r>
      <w:r w:rsidR="00843BA3">
        <w:t>mg/L total iron, respectively</w:t>
      </w:r>
      <w:r w:rsidR="00D75AD1">
        <w:t>,</w:t>
      </w:r>
      <w:r w:rsidR="00843BA3">
        <w:t xml:space="preserve"> in test water with a salinity of 17‰.</w:t>
      </w:r>
    </w:p>
    <w:p w14:paraId="3B2E6EC1" w14:textId="601A6F92" w:rsidR="00EF2893" w:rsidRDefault="00943E6A" w:rsidP="00EF2893">
      <w:r>
        <w:t>Unsurprisingly</w:t>
      </w:r>
      <w:r w:rsidR="00DB4A1E">
        <w:t xml:space="preserve">, acute toxicity </w:t>
      </w:r>
      <w:r w:rsidR="004238D9">
        <w:t>is relatively low</w:t>
      </w:r>
      <w:r w:rsidR="00DB4A1E">
        <w:t xml:space="preserve">. </w:t>
      </w:r>
      <w:r w:rsidR="007D456D">
        <w:t>Frias-Espericueta et al. (2003) reported a 96-h</w:t>
      </w:r>
      <w:r w:rsidR="00273570">
        <w:t>our</w:t>
      </w:r>
      <w:r w:rsidR="007D456D">
        <w:t xml:space="preserve"> </w:t>
      </w:r>
      <w:r w:rsidR="00EF2893">
        <w:t xml:space="preserve">LC50 for the shrimp </w:t>
      </w:r>
      <w:r w:rsidR="00EF2893" w:rsidRPr="00826A21">
        <w:rPr>
          <w:rStyle w:val="Emphasis"/>
        </w:rPr>
        <w:t>Litopenaeus vannamei</w:t>
      </w:r>
      <w:r w:rsidR="00EF2893">
        <w:t xml:space="preserve"> </w:t>
      </w:r>
      <w:r w:rsidR="007D456D">
        <w:t>of approximately 45</w:t>
      </w:r>
      <w:r w:rsidR="00D75AD1">
        <w:t>,</w:t>
      </w:r>
      <w:r w:rsidR="007D456D">
        <w:t>000 µg/L</w:t>
      </w:r>
      <w:r w:rsidR="00DB4A1E">
        <w:t xml:space="preserve">, while Francesconi </w:t>
      </w:r>
      <w:r w:rsidR="006D7A6F">
        <w:t>and</w:t>
      </w:r>
      <w:r w:rsidR="00DB4A1E">
        <w:t xml:space="preserve"> Edmonds (1995) reported 24-h</w:t>
      </w:r>
      <w:r w:rsidR="00273570">
        <w:t>our</w:t>
      </w:r>
      <w:r w:rsidR="00DB4A1E">
        <w:t xml:space="preserve"> LC50s for </w:t>
      </w:r>
      <w:r w:rsidR="00EF2893">
        <w:t xml:space="preserve">the sea trumpeter </w:t>
      </w:r>
      <w:r w:rsidR="00EF2893" w:rsidRPr="00826A21">
        <w:rPr>
          <w:rStyle w:val="Emphasis"/>
        </w:rPr>
        <w:t>Therapon humeralis</w:t>
      </w:r>
      <w:r w:rsidR="00EF2893">
        <w:t xml:space="preserve"> of 11</w:t>
      </w:r>
      <w:r w:rsidR="00D75AD1">
        <w:t>,</w:t>
      </w:r>
      <w:r w:rsidR="00EF2893">
        <w:t>800</w:t>
      </w:r>
      <w:r w:rsidR="00AA53D5">
        <w:t> </w:t>
      </w:r>
      <w:r w:rsidR="00DB4A1E">
        <w:t xml:space="preserve">µg/L </w:t>
      </w:r>
      <w:r w:rsidR="00EF2893">
        <w:t>and 16</w:t>
      </w:r>
      <w:r w:rsidR="00D75AD1">
        <w:t>,</w:t>
      </w:r>
      <w:r w:rsidR="00EF2893">
        <w:t>700</w:t>
      </w:r>
      <w:r w:rsidR="00960C64">
        <w:t> </w:t>
      </w:r>
      <w:r w:rsidR="00EF2893">
        <w:t>µg/L</w:t>
      </w:r>
      <w:r w:rsidR="00DB4A1E">
        <w:t xml:space="preserve">. </w:t>
      </w:r>
      <w:r>
        <w:t>Toxicity to the fish</w:t>
      </w:r>
      <w:r w:rsidR="00DB4A1E">
        <w:t xml:space="preserve"> </w:t>
      </w:r>
      <w:r w:rsidR="00EF2893">
        <w:t>involve</w:t>
      </w:r>
      <w:r w:rsidR="009B303F">
        <w:t>s</w:t>
      </w:r>
      <w:r w:rsidR="00EF2893">
        <w:t xml:space="preserve"> gill clogging. The experiments were undertaken with </w:t>
      </w:r>
      <w:r w:rsidR="00AA53D5">
        <w:t>iron</w:t>
      </w:r>
      <w:r w:rsidR="00EF2893">
        <w:t>(II) additions but this oxidised within 10</w:t>
      </w:r>
      <w:r w:rsidR="00EF0809">
        <w:t> </w:t>
      </w:r>
      <w:r w:rsidR="00EF2893">
        <w:t>min</w:t>
      </w:r>
      <w:r w:rsidR="00AA53D5">
        <w:t>utes</w:t>
      </w:r>
      <w:r w:rsidR="00EF2893">
        <w:t xml:space="preserve"> to </w:t>
      </w:r>
      <w:r w:rsidR="00AA53D5">
        <w:t>iron</w:t>
      </w:r>
      <w:r w:rsidR="00EF2893">
        <w:t>(III) precipitates.</w:t>
      </w:r>
    </w:p>
    <w:p w14:paraId="22D8B396" w14:textId="0157188C" w:rsidR="00A47617" w:rsidRPr="00AE7845" w:rsidRDefault="00A47617" w:rsidP="00A47617">
      <w:pPr>
        <w:pStyle w:val="Heading2"/>
      </w:pPr>
      <w:bookmarkStart w:id="14" w:name="_Toc196928501"/>
      <w:bookmarkStart w:id="15" w:name="_Toc197783994"/>
      <w:r>
        <w:lastRenderedPageBreak/>
        <w:t>Factors affecting toxicity</w:t>
      </w:r>
      <w:bookmarkEnd w:id="14"/>
      <w:bookmarkEnd w:id="15"/>
    </w:p>
    <w:p w14:paraId="3D97971E" w14:textId="64FC1F3C" w:rsidR="00896125" w:rsidRDefault="00F37CC1" w:rsidP="00A47617">
      <w:r w:rsidRPr="00F37CC1">
        <w:t xml:space="preserve">Factors that influence the speciation of iron in seawater </w:t>
      </w:r>
      <w:r w:rsidR="00962633">
        <w:t>(</w:t>
      </w:r>
      <w:r w:rsidRPr="00F37CC1">
        <w:t xml:space="preserve">as described in </w:t>
      </w:r>
      <w:r w:rsidR="00C342E4">
        <w:t>s</w:t>
      </w:r>
      <w:r w:rsidR="00962633">
        <w:t>ection</w:t>
      </w:r>
      <w:r w:rsidR="00325D68">
        <w:t> </w:t>
      </w:r>
      <w:r w:rsidR="007C6949">
        <w:fldChar w:fldCharType="begin"/>
      </w:r>
      <w:r w:rsidR="007C6949">
        <w:instrText xml:space="preserve"> REF _Ref13150441 \r \h </w:instrText>
      </w:r>
      <w:r w:rsidR="007C6949">
        <w:fldChar w:fldCharType="separate"/>
      </w:r>
      <w:r w:rsidR="00510BCB">
        <w:t>1</w:t>
      </w:r>
      <w:r w:rsidR="007C6949">
        <w:fldChar w:fldCharType="end"/>
      </w:r>
      <w:r w:rsidR="00962633">
        <w:t xml:space="preserve">) </w:t>
      </w:r>
      <w:r w:rsidRPr="00F37CC1">
        <w:t>will also influence bioavailability and toxicity. It remains unclear what forms of iron in marine water are responsible for toxicity to aquatic biota</w:t>
      </w:r>
      <w:r w:rsidR="00BB60DC">
        <w:t>,</w:t>
      </w:r>
      <w:r w:rsidRPr="00F37CC1">
        <w:t xml:space="preserve"> as there is a paradox between the essential biological requirements for iron</w:t>
      </w:r>
      <w:r w:rsidR="00BB60DC">
        <w:t>,</w:t>
      </w:r>
      <w:r w:rsidRPr="00F37CC1">
        <w:t xml:space="preserve"> the low concentrations of bioavailable iron</w:t>
      </w:r>
      <w:r w:rsidR="00BB60DC">
        <w:t>,</w:t>
      </w:r>
      <w:r w:rsidRPr="00F37CC1">
        <w:t xml:space="preserve"> and what forms are bioavailable. Organisms have evolved mechanisms such as iron-specific membrane-transport proteins and </w:t>
      </w:r>
      <w:r w:rsidR="00962633">
        <w:t xml:space="preserve">the </w:t>
      </w:r>
      <w:r w:rsidRPr="00F37CC1">
        <w:t>production of iron-binding organic ligands (siderophores) to meet their iron requirements</w:t>
      </w:r>
      <w:r w:rsidR="00797B90">
        <w:t>. T</w:t>
      </w:r>
      <w:r w:rsidRPr="00F37CC1">
        <w:t>hese mechanisms are likely to be adversely affected when iron conce</w:t>
      </w:r>
      <w:r>
        <w:t xml:space="preserve">ntrations exceed requirements. </w:t>
      </w:r>
      <w:r w:rsidR="00AA6FAB">
        <w:t xml:space="preserve">In terms of toxicity modifying factors, dissolved organic carbon </w:t>
      </w:r>
      <w:r w:rsidR="00C54FAD">
        <w:t>reduce</w:t>
      </w:r>
      <w:r w:rsidR="003F130B">
        <w:t>s</w:t>
      </w:r>
      <w:r w:rsidR="00AA6FAB">
        <w:t xml:space="preserve"> iron toxicity to freshwater species (Cardwell et al. 2023) and would likely have a similar effect in marine waters.</w:t>
      </w:r>
    </w:p>
    <w:p w14:paraId="496E4DB8" w14:textId="51F6D880" w:rsidR="00BF0280" w:rsidRDefault="00A47617" w:rsidP="00A47617">
      <w:pPr>
        <w:pStyle w:val="Heading2"/>
      </w:pPr>
      <w:bookmarkStart w:id="16" w:name="_Ref13150060"/>
      <w:bookmarkStart w:id="17" w:name="_Toc196928502"/>
      <w:bookmarkStart w:id="18" w:name="_Toc197783995"/>
      <w:r>
        <w:lastRenderedPageBreak/>
        <w:t>Default guideline value derivation</w:t>
      </w:r>
      <w:bookmarkEnd w:id="16"/>
      <w:bookmarkEnd w:id="17"/>
      <w:bookmarkEnd w:id="18"/>
    </w:p>
    <w:p w14:paraId="59D60AE6" w14:textId="77777777" w:rsidR="00A47617" w:rsidRDefault="00000000" w:rsidP="00A47617">
      <w:sdt>
        <w:sdtPr>
          <w:alias w:val="Compulsary - text and location locked to 4."/>
          <w:tag w:val="Compulsary - text and location locked"/>
          <w:id w:val="1416975399"/>
          <w:placeholder>
            <w:docPart w:val="B20CCC024575420DB346A2897E1BFAA1"/>
          </w:placeholder>
          <w:text/>
        </w:sdtPr>
        <w:sdtContent>
          <w:r w:rsidR="00A47617" w:rsidRPr="009E02B0">
            <w:t>The DGVs were derived in accordance with the method described in Warne et al. (2018) and using Burrlioz 2.0 software.</w:t>
          </w:r>
        </w:sdtContent>
      </w:sdt>
    </w:p>
    <w:p w14:paraId="59A27BA5" w14:textId="0ECAAAD1" w:rsidR="00BF0280" w:rsidRPr="00F37CC1" w:rsidRDefault="001303C0" w:rsidP="001303C0">
      <w:pPr>
        <w:pStyle w:val="Heading3"/>
      </w:pPr>
      <w:bookmarkStart w:id="19" w:name="_Toc196928503"/>
      <w:bookmarkStart w:id="20" w:name="_Toc197783996"/>
      <w:r w:rsidRPr="00F37CC1">
        <w:t>Toxicity data used in derivation</w:t>
      </w:r>
      <w:bookmarkEnd w:id="19"/>
      <w:bookmarkEnd w:id="20"/>
    </w:p>
    <w:p w14:paraId="5F03FC70" w14:textId="39B8A6E3" w:rsidR="00F37CC1" w:rsidRDefault="00F37CC1" w:rsidP="001303C0">
      <w:pPr>
        <w:spacing w:before="240"/>
      </w:pPr>
      <w:r w:rsidRPr="00F37CC1">
        <w:t xml:space="preserve">A summary of the toxicity data (one value per species) used to calculate the </w:t>
      </w:r>
      <w:r w:rsidR="00184FDC">
        <w:t>D</w:t>
      </w:r>
      <w:r w:rsidRPr="00F37CC1">
        <w:t xml:space="preserve">GVs for iron in marine water is provided in </w:t>
      </w:r>
      <w:r w:rsidR="00D13FEB">
        <w:fldChar w:fldCharType="begin"/>
      </w:r>
      <w:r w:rsidR="00D13FEB">
        <w:instrText xml:space="preserve"> REF _Ref24813846 \h </w:instrText>
      </w:r>
      <w:r w:rsidR="00D13FEB">
        <w:fldChar w:fldCharType="separate"/>
      </w:r>
      <w:r w:rsidR="00510BCB">
        <w:rPr>
          <w:b/>
          <w:bCs/>
          <w:lang w:val="en-US"/>
        </w:rPr>
        <w:t>Error! Reference source not found.</w:t>
      </w:r>
      <w:r w:rsidR="00D13FEB">
        <w:fldChar w:fldCharType="end"/>
      </w:r>
      <w:r w:rsidRPr="00F37CC1">
        <w:t xml:space="preserve">. Further details </w:t>
      </w:r>
      <w:r w:rsidR="00184FDC">
        <w:t>on</w:t>
      </w:r>
      <w:r w:rsidRPr="00F37CC1">
        <w:t xml:space="preserve"> the data that passed the screening and quality</w:t>
      </w:r>
      <w:r w:rsidR="00C009D9">
        <w:t>-</w:t>
      </w:r>
      <w:r w:rsidRPr="00F37CC1">
        <w:t>assurance schemes, including those used to derive the single</w:t>
      </w:r>
      <w:r w:rsidR="00085418">
        <w:t>-</w:t>
      </w:r>
      <w:r w:rsidRPr="00F37CC1">
        <w:t xml:space="preserve">species values used to calculate the </w:t>
      </w:r>
      <w:r w:rsidR="00184FDC">
        <w:t>D</w:t>
      </w:r>
      <w:r w:rsidRPr="00F37CC1">
        <w:t>GVs, are presented in</w:t>
      </w:r>
      <w:r w:rsidR="00CE307D">
        <w:t xml:space="preserve"> </w:t>
      </w:r>
      <w:r w:rsidR="00CE307D">
        <w:fldChar w:fldCharType="begin"/>
      </w:r>
      <w:r w:rsidR="00CE307D">
        <w:instrText xml:space="preserve"> REF AppendixB \h </w:instrText>
      </w:r>
      <w:r w:rsidR="00CE307D">
        <w:fldChar w:fldCharType="separate"/>
      </w:r>
      <w:r w:rsidR="00510BCB" w:rsidRPr="00337A57">
        <w:t>Appendix</w:t>
      </w:r>
      <w:r w:rsidR="00510BCB">
        <w:t> B</w:t>
      </w:r>
      <w:r w:rsidR="00CE307D">
        <w:fldChar w:fldCharType="end"/>
      </w:r>
      <w:r w:rsidRPr="00F37CC1">
        <w:t>,</w:t>
      </w:r>
      <w:r w:rsidR="00CE307D">
        <w:t xml:space="preserve"> </w:t>
      </w:r>
      <w:r w:rsidR="00CE307D">
        <w:fldChar w:fldCharType="begin"/>
      </w:r>
      <w:r w:rsidR="00CE307D">
        <w:instrText xml:space="preserve"> REF TableB1 \h </w:instrText>
      </w:r>
      <w:r w:rsidR="00CE307D">
        <w:fldChar w:fldCharType="separate"/>
      </w:r>
      <w:r w:rsidR="00510BCB">
        <w:t>Table B1</w:t>
      </w:r>
      <w:r w:rsidR="00CE307D">
        <w:fldChar w:fldCharType="end"/>
      </w:r>
      <w:r w:rsidRPr="00F37CC1">
        <w:t>.</w:t>
      </w:r>
      <w:r w:rsidR="004618AE">
        <w:t xml:space="preserve"> </w:t>
      </w:r>
      <w:r w:rsidR="004618AE" w:rsidRPr="006B3A68">
        <w:t>Details of the data</w:t>
      </w:r>
      <w:r w:rsidR="00D35BE8">
        <w:t>-</w:t>
      </w:r>
      <w:r w:rsidR="004618AE" w:rsidRPr="006B3A68">
        <w:t>quality assessment and the data that passed the quality assessment are provided as supporting information.</w:t>
      </w:r>
    </w:p>
    <w:p w14:paraId="73307BD5" w14:textId="00C4B8B9" w:rsidR="00140FA4" w:rsidRDefault="00140FA4" w:rsidP="00140FA4">
      <w:pPr>
        <w:pStyle w:val="Caption"/>
      </w:pPr>
      <w:bookmarkStart w:id="21" w:name="_Toc196928513"/>
      <w:bookmarkStart w:id="22" w:name="_Toc197784037"/>
      <w:r>
        <w:t>Table </w:t>
      </w:r>
      <w:r>
        <w:rPr>
          <w:noProof/>
        </w:rPr>
        <w:fldChar w:fldCharType="begin"/>
      </w:r>
      <w:r>
        <w:rPr>
          <w:noProof/>
        </w:rPr>
        <w:instrText xml:space="preserve"> SEQ Table \* ARABIC </w:instrText>
      </w:r>
      <w:r>
        <w:rPr>
          <w:noProof/>
        </w:rPr>
        <w:fldChar w:fldCharType="separate"/>
      </w:r>
      <w:r w:rsidR="00510BCB">
        <w:rPr>
          <w:noProof/>
        </w:rPr>
        <w:t>1</w:t>
      </w:r>
      <w:r>
        <w:rPr>
          <w:noProof/>
        </w:rPr>
        <w:fldChar w:fldCharType="end"/>
      </w:r>
      <w:r>
        <w:rPr>
          <w:noProof/>
        </w:rPr>
        <w:t>.</w:t>
      </w:r>
      <w:r>
        <w:t xml:space="preserve"> </w:t>
      </w:r>
      <w:r w:rsidRPr="001456F4">
        <w:t xml:space="preserve">Summary of </w:t>
      </w:r>
      <w:r>
        <w:t>single chronic toxicity values for all species used to derive default guideline values for iron in marine water</w:t>
      </w:r>
      <w:bookmarkEnd w:id="21"/>
      <w:bookmarkEnd w:id="22"/>
    </w:p>
    <w:tbl>
      <w:tblPr>
        <w:tblW w:w="5000" w:type="pct"/>
        <w:tblBorders>
          <w:top w:val="single" w:sz="12" w:space="0" w:color="auto"/>
          <w:bottom w:val="single" w:sz="12" w:space="0" w:color="auto"/>
          <w:insideH w:val="single" w:sz="4" w:space="0" w:color="auto"/>
        </w:tblBorders>
        <w:tblLayout w:type="fixed"/>
        <w:tblLook w:val="0000" w:firstRow="0" w:lastRow="0" w:firstColumn="0" w:lastColumn="0" w:noHBand="0" w:noVBand="0"/>
        <w:tblCaption w:val="Summary, toxicity data that passed the screening and quality assurance processes, total iron in marine water"/>
        <w:tblDescription w:val="Table lists nine species with their taxonomic group and species name. The different life stages for each species are provided with the following test information: exposure duration, test type, toxicity measure, test medium, temperature, salinity, pH, conc"/>
      </w:tblPr>
      <w:tblGrid>
        <w:gridCol w:w="1561"/>
        <w:gridCol w:w="1741"/>
        <w:gridCol w:w="1649"/>
        <w:gridCol w:w="961"/>
        <w:gridCol w:w="1926"/>
        <w:gridCol w:w="1232"/>
      </w:tblGrid>
      <w:tr w:rsidR="00140FA4" w:rsidRPr="002F16E6" w14:paraId="6895D971" w14:textId="77777777" w:rsidTr="00262040">
        <w:trPr>
          <w:cantSplit/>
          <w:tblHeader/>
        </w:trPr>
        <w:tc>
          <w:tcPr>
            <w:tcW w:w="860" w:type="pct"/>
            <w:tcBorders>
              <w:top w:val="single" w:sz="12" w:space="0" w:color="auto"/>
              <w:bottom w:val="single" w:sz="12" w:space="0" w:color="auto"/>
            </w:tcBorders>
          </w:tcPr>
          <w:p w14:paraId="260B8DD8" w14:textId="77777777" w:rsidR="00140FA4" w:rsidRPr="002F16E6" w:rsidRDefault="00140FA4" w:rsidP="00236CA4">
            <w:pPr>
              <w:pStyle w:val="TableHeading"/>
            </w:pPr>
            <w:r w:rsidRPr="002F16E6">
              <w:t xml:space="preserve">Taxonomic group </w:t>
            </w:r>
          </w:p>
        </w:tc>
        <w:tc>
          <w:tcPr>
            <w:tcW w:w="960" w:type="pct"/>
            <w:tcBorders>
              <w:top w:val="single" w:sz="12" w:space="0" w:color="auto"/>
              <w:bottom w:val="single" w:sz="12" w:space="0" w:color="auto"/>
            </w:tcBorders>
          </w:tcPr>
          <w:p w14:paraId="244D6DDD" w14:textId="77777777" w:rsidR="00140FA4" w:rsidRPr="002F16E6" w:rsidRDefault="00140FA4" w:rsidP="00236CA4">
            <w:pPr>
              <w:pStyle w:val="TableHeading"/>
            </w:pPr>
            <w:r w:rsidRPr="002F16E6">
              <w:t>Species</w:t>
            </w:r>
          </w:p>
        </w:tc>
        <w:tc>
          <w:tcPr>
            <w:tcW w:w="909" w:type="pct"/>
            <w:tcBorders>
              <w:top w:val="single" w:sz="12" w:space="0" w:color="auto"/>
              <w:bottom w:val="single" w:sz="12" w:space="0" w:color="auto"/>
            </w:tcBorders>
          </w:tcPr>
          <w:p w14:paraId="497C7B52" w14:textId="77777777" w:rsidR="00140FA4" w:rsidRPr="002F16E6" w:rsidRDefault="00140FA4" w:rsidP="00236CA4">
            <w:pPr>
              <w:pStyle w:val="TableHeading"/>
            </w:pPr>
            <w:r w:rsidRPr="002F16E6">
              <w:t>Life stage</w:t>
            </w:r>
          </w:p>
        </w:tc>
        <w:tc>
          <w:tcPr>
            <w:tcW w:w="530" w:type="pct"/>
            <w:tcBorders>
              <w:top w:val="single" w:sz="12" w:space="0" w:color="auto"/>
              <w:bottom w:val="single" w:sz="12" w:space="0" w:color="auto"/>
            </w:tcBorders>
          </w:tcPr>
          <w:p w14:paraId="4793CFEE" w14:textId="77777777" w:rsidR="00140FA4" w:rsidRPr="002F16E6" w:rsidRDefault="00140FA4" w:rsidP="00236CA4">
            <w:pPr>
              <w:pStyle w:val="TableHeading"/>
            </w:pPr>
            <w:r>
              <w:t>D</w:t>
            </w:r>
            <w:r w:rsidRPr="002F16E6">
              <w:t>uration (h)</w:t>
            </w:r>
          </w:p>
        </w:tc>
        <w:tc>
          <w:tcPr>
            <w:tcW w:w="1062" w:type="pct"/>
            <w:tcBorders>
              <w:top w:val="single" w:sz="12" w:space="0" w:color="auto"/>
              <w:bottom w:val="single" w:sz="12" w:space="0" w:color="auto"/>
            </w:tcBorders>
          </w:tcPr>
          <w:p w14:paraId="0C9CC0D2" w14:textId="77777777" w:rsidR="00140FA4" w:rsidRPr="002F16E6" w:rsidRDefault="00140FA4" w:rsidP="00236CA4">
            <w:pPr>
              <w:pStyle w:val="TableHeading"/>
            </w:pPr>
            <w:r w:rsidRPr="002F16E6">
              <w:t>Toxicity measure (test endpoint)</w:t>
            </w:r>
          </w:p>
        </w:tc>
        <w:tc>
          <w:tcPr>
            <w:tcW w:w="679" w:type="pct"/>
            <w:tcBorders>
              <w:top w:val="single" w:sz="12" w:space="0" w:color="auto"/>
              <w:bottom w:val="single" w:sz="12" w:space="0" w:color="auto"/>
            </w:tcBorders>
          </w:tcPr>
          <w:p w14:paraId="749DE638" w14:textId="77777777" w:rsidR="00140FA4" w:rsidRPr="002F16E6" w:rsidRDefault="00140FA4" w:rsidP="00236CA4">
            <w:pPr>
              <w:pStyle w:val="TableHeading"/>
            </w:pPr>
            <w:r>
              <w:t xml:space="preserve">Final toxicity value </w:t>
            </w:r>
            <w:r w:rsidRPr="002F16E6">
              <w:t xml:space="preserve">(µg/L) </w:t>
            </w:r>
          </w:p>
        </w:tc>
      </w:tr>
      <w:tr w:rsidR="00140FA4" w:rsidRPr="00025E77" w14:paraId="2C92FDA7" w14:textId="77777777" w:rsidTr="00262040">
        <w:trPr>
          <w:cantSplit/>
        </w:trPr>
        <w:tc>
          <w:tcPr>
            <w:tcW w:w="860" w:type="pct"/>
            <w:tcBorders>
              <w:top w:val="single" w:sz="4" w:space="0" w:color="auto"/>
              <w:bottom w:val="nil"/>
            </w:tcBorders>
          </w:tcPr>
          <w:p w14:paraId="57C3C1DB" w14:textId="77777777" w:rsidR="00140FA4" w:rsidRPr="002F16E6" w:rsidRDefault="00140FA4" w:rsidP="00236CA4">
            <w:pPr>
              <w:pStyle w:val="TableText"/>
              <w:rPr>
                <w:szCs w:val="18"/>
              </w:rPr>
            </w:pPr>
            <w:r>
              <w:rPr>
                <w:szCs w:val="18"/>
              </w:rPr>
              <w:t>Microalga</w:t>
            </w:r>
          </w:p>
        </w:tc>
        <w:tc>
          <w:tcPr>
            <w:tcW w:w="960" w:type="pct"/>
            <w:tcBorders>
              <w:top w:val="single" w:sz="4" w:space="0" w:color="auto"/>
              <w:bottom w:val="nil"/>
            </w:tcBorders>
          </w:tcPr>
          <w:p w14:paraId="0BF0C76D" w14:textId="77777777" w:rsidR="00140FA4" w:rsidRPr="002F16E6" w:rsidRDefault="00140FA4" w:rsidP="00236CA4">
            <w:pPr>
              <w:pStyle w:val="TableText"/>
              <w:rPr>
                <w:rStyle w:val="Emphasis"/>
                <w:szCs w:val="18"/>
              </w:rPr>
            </w:pPr>
            <w:r w:rsidRPr="002F16E6">
              <w:rPr>
                <w:i/>
                <w:iCs/>
                <w:szCs w:val="18"/>
              </w:rPr>
              <w:t>Isochrysis galbana</w:t>
            </w:r>
          </w:p>
        </w:tc>
        <w:tc>
          <w:tcPr>
            <w:tcW w:w="909" w:type="pct"/>
            <w:tcBorders>
              <w:top w:val="single" w:sz="4" w:space="0" w:color="auto"/>
              <w:bottom w:val="nil"/>
            </w:tcBorders>
          </w:tcPr>
          <w:p w14:paraId="2F1F6469" w14:textId="77777777" w:rsidR="00140FA4" w:rsidRPr="002F16E6" w:rsidRDefault="00140FA4" w:rsidP="00236CA4">
            <w:pPr>
              <w:pStyle w:val="TableText"/>
              <w:rPr>
                <w:szCs w:val="18"/>
              </w:rPr>
            </w:pPr>
            <w:r w:rsidRPr="002F16E6">
              <w:rPr>
                <w:szCs w:val="18"/>
              </w:rPr>
              <w:t>Not applicable</w:t>
            </w:r>
          </w:p>
        </w:tc>
        <w:tc>
          <w:tcPr>
            <w:tcW w:w="530" w:type="pct"/>
            <w:tcBorders>
              <w:top w:val="single" w:sz="4" w:space="0" w:color="auto"/>
              <w:bottom w:val="nil"/>
            </w:tcBorders>
          </w:tcPr>
          <w:p w14:paraId="625BD261" w14:textId="77777777" w:rsidR="00140FA4" w:rsidRPr="002F16E6" w:rsidRDefault="00140FA4" w:rsidP="00587078">
            <w:pPr>
              <w:pStyle w:val="TableText"/>
              <w:ind w:right="227"/>
              <w:rPr>
                <w:szCs w:val="18"/>
              </w:rPr>
            </w:pPr>
            <w:r w:rsidRPr="002F16E6">
              <w:rPr>
                <w:szCs w:val="18"/>
              </w:rPr>
              <w:t>96</w:t>
            </w:r>
          </w:p>
        </w:tc>
        <w:tc>
          <w:tcPr>
            <w:tcW w:w="1062" w:type="pct"/>
            <w:tcBorders>
              <w:top w:val="single" w:sz="4" w:space="0" w:color="auto"/>
              <w:bottom w:val="nil"/>
            </w:tcBorders>
          </w:tcPr>
          <w:p w14:paraId="77A2C2F4" w14:textId="77777777" w:rsidR="00140FA4" w:rsidRPr="002F16E6" w:rsidRDefault="00140FA4" w:rsidP="00236CA4">
            <w:pPr>
              <w:pStyle w:val="TableText"/>
              <w:rPr>
                <w:szCs w:val="18"/>
              </w:rPr>
            </w:pPr>
            <w:r>
              <w:rPr>
                <w:szCs w:val="18"/>
              </w:rPr>
              <w:t>N</w:t>
            </w:r>
            <w:r w:rsidRPr="002F16E6">
              <w:rPr>
                <w:szCs w:val="18"/>
              </w:rPr>
              <w:t>OEC (</w:t>
            </w:r>
            <w:r>
              <w:rPr>
                <w:szCs w:val="18"/>
              </w:rPr>
              <w:t>g</w:t>
            </w:r>
            <w:r w:rsidRPr="002F16E6">
              <w:rPr>
                <w:szCs w:val="18"/>
              </w:rPr>
              <w:t>rowth rate inhibition)</w:t>
            </w:r>
          </w:p>
        </w:tc>
        <w:tc>
          <w:tcPr>
            <w:tcW w:w="679" w:type="pct"/>
            <w:tcBorders>
              <w:top w:val="single" w:sz="4" w:space="0" w:color="auto"/>
              <w:bottom w:val="nil"/>
            </w:tcBorders>
          </w:tcPr>
          <w:p w14:paraId="3A1E042D" w14:textId="77777777" w:rsidR="00140FA4" w:rsidRDefault="00140FA4" w:rsidP="00587078">
            <w:pPr>
              <w:pStyle w:val="TableText"/>
              <w:ind w:right="284"/>
              <w:jc w:val="right"/>
              <w:rPr>
                <w:szCs w:val="18"/>
              </w:rPr>
            </w:pPr>
            <w:r>
              <w:rPr>
                <w:szCs w:val="18"/>
              </w:rPr>
              <w:t>50</w:t>
            </w:r>
            <w:r w:rsidRPr="00401A4E">
              <w:rPr>
                <w:bCs/>
                <w:szCs w:val="18"/>
              </w:rPr>
              <w:t>,</w:t>
            </w:r>
            <w:r w:rsidRPr="002F16E6">
              <w:rPr>
                <w:szCs w:val="18"/>
              </w:rPr>
              <w:t>000</w:t>
            </w:r>
          </w:p>
        </w:tc>
      </w:tr>
      <w:tr w:rsidR="00E21349" w:rsidRPr="00025E77" w14:paraId="5CA64F51" w14:textId="77777777" w:rsidTr="00262040">
        <w:trPr>
          <w:cantSplit/>
          <w:trHeight w:val="851"/>
        </w:trPr>
        <w:tc>
          <w:tcPr>
            <w:tcW w:w="860" w:type="pct"/>
            <w:tcBorders>
              <w:top w:val="single" w:sz="4" w:space="0" w:color="auto"/>
              <w:bottom w:val="nil"/>
            </w:tcBorders>
          </w:tcPr>
          <w:p w14:paraId="52A178FC" w14:textId="1E95228B" w:rsidR="00E21349" w:rsidRPr="00146699" w:rsidRDefault="00E21349" w:rsidP="00E21349">
            <w:pPr>
              <w:pStyle w:val="TableText"/>
              <w:rPr>
                <w:szCs w:val="18"/>
              </w:rPr>
            </w:pPr>
            <w:r w:rsidRPr="002F16E6">
              <w:rPr>
                <w:szCs w:val="18"/>
              </w:rPr>
              <w:t>Cnidaria</w:t>
            </w:r>
            <w:r>
              <w:rPr>
                <w:szCs w:val="18"/>
              </w:rPr>
              <w:t xml:space="preserve"> (coral)</w:t>
            </w:r>
          </w:p>
        </w:tc>
        <w:tc>
          <w:tcPr>
            <w:tcW w:w="960" w:type="pct"/>
            <w:tcBorders>
              <w:top w:val="single" w:sz="4" w:space="0" w:color="auto"/>
              <w:bottom w:val="nil"/>
            </w:tcBorders>
          </w:tcPr>
          <w:p w14:paraId="17AB4413" w14:textId="2A6067DD" w:rsidR="00E21349" w:rsidRPr="00146699" w:rsidRDefault="00E21349" w:rsidP="00E21349">
            <w:pPr>
              <w:pStyle w:val="TableText"/>
              <w:rPr>
                <w:rStyle w:val="Emphasis"/>
                <w:szCs w:val="18"/>
              </w:rPr>
            </w:pPr>
            <w:r w:rsidRPr="002F16E6">
              <w:rPr>
                <w:rStyle w:val="Emphasis"/>
                <w:szCs w:val="18"/>
              </w:rPr>
              <w:t>Acropora spathulata</w:t>
            </w:r>
          </w:p>
        </w:tc>
        <w:tc>
          <w:tcPr>
            <w:tcW w:w="909" w:type="pct"/>
            <w:tcBorders>
              <w:top w:val="single" w:sz="4" w:space="0" w:color="auto"/>
              <w:bottom w:val="nil"/>
            </w:tcBorders>
          </w:tcPr>
          <w:p w14:paraId="205F4F4B" w14:textId="4F7D4B85" w:rsidR="00E21349" w:rsidRPr="00146699" w:rsidRDefault="00E21349" w:rsidP="00E21349">
            <w:pPr>
              <w:pStyle w:val="TableText"/>
              <w:rPr>
                <w:szCs w:val="18"/>
              </w:rPr>
            </w:pPr>
            <w:r w:rsidRPr="002F16E6">
              <w:rPr>
                <w:szCs w:val="18"/>
              </w:rPr>
              <w:t>Gametes</w:t>
            </w:r>
          </w:p>
        </w:tc>
        <w:tc>
          <w:tcPr>
            <w:tcW w:w="530" w:type="pct"/>
            <w:tcBorders>
              <w:top w:val="single" w:sz="4" w:space="0" w:color="auto"/>
              <w:bottom w:val="nil"/>
            </w:tcBorders>
          </w:tcPr>
          <w:p w14:paraId="0371A12E" w14:textId="14C71D0A" w:rsidR="00E21349" w:rsidRPr="00146699" w:rsidRDefault="00E21349" w:rsidP="00587078">
            <w:pPr>
              <w:pStyle w:val="TableText"/>
              <w:ind w:right="227"/>
              <w:rPr>
                <w:szCs w:val="18"/>
              </w:rPr>
            </w:pPr>
            <w:r w:rsidRPr="002F16E6">
              <w:rPr>
                <w:szCs w:val="18"/>
              </w:rPr>
              <w:t>5.5</w:t>
            </w:r>
          </w:p>
        </w:tc>
        <w:tc>
          <w:tcPr>
            <w:tcW w:w="1062" w:type="pct"/>
            <w:tcBorders>
              <w:top w:val="single" w:sz="4" w:space="0" w:color="auto"/>
              <w:bottom w:val="nil"/>
            </w:tcBorders>
          </w:tcPr>
          <w:p w14:paraId="39410647" w14:textId="35B1B571" w:rsidR="00E21349" w:rsidRPr="00146699" w:rsidRDefault="00E21349" w:rsidP="00E21349">
            <w:pPr>
              <w:pStyle w:val="TableText"/>
              <w:rPr>
                <w:szCs w:val="18"/>
              </w:rPr>
            </w:pPr>
            <w:r w:rsidRPr="002F16E6">
              <w:rPr>
                <w:szCs w:val="18"/>
              </w:rPr>
              <w:t>EC10</w:t>
            </w:r>
            <w:r>
              <w:rPr>
                <w:szCs w:val="18"/>
              </w:rPr>
              <w:t xml:space="preserve"> </w:t>
            </w:r>
            <w:r w:rsidRPr="002F16E6">
              <w:rPr>
                <w:szCs w:val="18"/>
              </w:rPr>
              <w:t>(</w:t>
            </w:r>
            <w:r>
              <w:rPr>
                <w:szCs w:val="18"/>
              </w:rPr>
              <w:t>f</w:t>
            </w:r>
            <w:r w:rsidRPr="002F16E6">
              <w:rPr>
                <w:szCs w:val="18"/>
              </w:rPr>
              <w:t>ertilisation)</w:t>
            </w:r>
          </w:p>
        </w:tc>
        <w:tc>
          <w:tcPr>
            <w:tcW w:w="679" w:type="pct"/>
            <w:tcBorders>
              <w:top w:val="single" w:sz="4" w:space="0" w:color="auto"/>
              <w:bottom w:val="nil"/>
            </w:tcBorders>
          </w:tcPr>
          <w:p w14:paraId="0E9A9DD9" w14:textId="7D8A7B5A" w:rsidR="00E21349" w:rsidRDefault="00E21349" w:rsidP="00587078">
            <w:pPr>
              <w:pStyle w:val="TableText"/>
              <w:ind w:right="284"/>
              <w:jc w:val="right"/>
              <w:rPr>
                <w:szCs w:val="18"/>
              </w:rPr>
            </w:pPr>
            <w:r>
              <w:rPr>
                <w:szCs w:val="18"/>
              </w:rPr>
              <w:t>18,700</w:t>
            </w:r>
          </w:p>
        </w:tc>
      </w:tr>
      <w:tr w:rsidR="00E21349" w:rsidRPr="00025E77" w14:paraId="5095363A" w14:textId="77777777" w:rsidTr="00262040">
        <w:trPr>
          <w:cantSplit/>
          <w:trHeight w:val="227"/>
        </w:trPr>
        <w:tc>
          <w:tcPr>
            <w:tcW w:w="860" w:type="pct"/>
            <w:tcBorders>
              <w:top w:val="single" w:sz="4" w:space="0" w:color="auto"/>
              <w:bottom w:val="nil"/>
            </w:tcBorders>
          </w:tcPr>
          <w:p w14:paraId="30EC998E" w14:textId="44AB1A97" w:rsidR="00E21349" w:rsidRPr="00146699" w:rsidRDefault="00E21349" w:rsidP="00E21349">
            <w:pPr>
              <w:pStyle w:val="TableText"/>
              <w:rPr>
                <w:szCs w:val="18"/>
              </w:rPr>
            </w:pPr>
            <w:r w:rsidRPr="002F16E6">
              <w:rPr>
                <w:szCs w:val="18"/>
              </w:rPr>
              <w:t>Cnidaria</w:t>
            </w:r>
            <w:r>
              <w:rPr>
                <w:szCs w:val="18"/>
              </w:rPr>
              <w:t xml:space="preserve"> (c</w:t>
            </w:r>
            <w:r w:rsidRPr="002F16E6">
              <w:rPr>
                <w:szCs w:val="18"/>
              </w:rPr>
              <w:t>oral</w:t>
            </w:r>
            <w:r>
              <w:rPr>
                <w:szCs w:val="18"/>
              </w:rPr>
              <w:t>)</w:t>
            </w:r>
          </w:p>
        </w:tc>
        <w:tc>
          <w:tcPr>
            <w:tcW w:w="960" w:type="pct"/>
            <w:tcBorders>
              <w:top w:val="single" w:sz="4" w:space="0" w:color="auto"/>
              <w:bottom w:val="nil"/>
            </w:tcBorders>
          </w:tcPr>
          <w:p w14:paraId="7FCB9E25" w14:textId="7327E619" w:rsidR="00E21349" w:rsidRPr="00146699" w:rsidRDefault="00E21349" w:rsidP="00E21349">
            <w:pPr>
              <w:pStyle w:val="TableText"/>
              <w:rPr>
                <w:rStyle w:val="Emphasis"/>
                <w:szCs w:val="18"/>
              </w:rPr>
            </w:pPr>
            <w:r w:rsidRPr="002F16E6">
              <w:rPr>
                <w:rStyle w:val="Emphasis"/>
                <w:szCs w:val="18"/>
              </w:rPr>
              <w:t>Platygyra daedalea</w:t>
            </w:r>
          </w:p>
        </w:tc>
        <w:tc>
          <w:tcPr>
            <w:tcW w:w="909" w:type="pct"/>
            <w:tcBorders>
              <w:top w:val="single" w:sz="4" w:space="0" w:color="auto"/>
              <w:bottom w:val="nil"/>
            </w:tcBorders>
          </w:tcPr>
          <w:p w14:paraId="417EEF2C" w14:textId="5CB345B7" w:rsidR="00E21349" w:rsidRPr="00146699" w:rsidRDefault="00E21349" w:rsidP="00E21349">
            <w:pPr>
              <w:pStyle w:val="TableText"/>
              <w:rPr>
                <w:szCs w:val="18"/>
              </w:rPr>
            </w:pPr>
            <w:r w:rsidRPr="002F16E6">
              <w:rPr>
                <w:szCs w:val="18"/>
              </w:rPr>
              <w:t>Gametes</w:t>
            </w:r>
          </w:p>
        </w:tc>
        <w:tc>
          <w:tcPr>
            <w:tcW w:w="530" w:type="pct"/>
            <w:tcBorders>
              <w:top w:val="single" w:sz="4" w:space="0" w:color="auto"/>
              <w:bottom w:val="nil"/>
            </w:tcBorders>
          </w:tcPr>
          <w:p w14:paraId="3DAA3CE2" w14:textId="64866840" w:rsidR="00E21349" w:rsidRPr="00146699" w:rsidRDefault="00E21349" w:rsidP="00587078">
            <w:pPr>
              <w:pStyle w:val="TableText"/>
              <w:ind w:right="227"/>
              <w:rPr>
                <w:szCs w:val="18"/>
              </w:rPr>
            </w:pPr>
            <w:r w:rsidRPr="002F16E6">
              <w:rPr>
                <w:szCs w:val="18"/>
              </w:rPr>
              <w:t>5.5</w:t>
            </w:r>
          </w:p>
        </w:tc>
        <w:tc>
          <w:tcPr>
            <w:tcW w:w="1062" w:type="pct"/>
            <w:tcBorders>
              <w:top w:val="single" w:sz="4" w:space="0" w:color="auto"/>
              <w:bottom w:val="nil"/>
            </w:tcBorders>
          </w:tcPr>
          <w:p w14:paraId="46EE7208" w14:textId="135A593C" w:rsidR="00E21349" w:rsidRPr="00146699" w:rsidRDefault="00E21349" w:rsidP="00E21349">
            <w:pPr>
              <w:pStyle w:val="TableText"/>
              <w:rPr>
                <w:szCs w:val="18"/>
              </w:rPr>
            </w:pPr>
            <w:r w:rsidRPr="002F16E6">
              <w:rPr>
                <w:szCs w:val="18"/>
              </w:rPr>
              <w:t>NOEC</w:t>
            </w:r>
            <w:r>
              <w:rPr>
                <w:szCs w:val="18"/>
              </w:rPr>
              <w:t xml:space="preserve"> </w:t>
            </w:r>
            <w:r w:rsidRPr="002F16E6">
              <w:rPr>
                <w:szCs w:val="18"/>
              </w:rPr>
              <w:t>(</w:t>
            </w:r>
            <w:r>
              <w:rPr>
                <w:szCs w:val="18"/>
              </w:rPr>
              <w:t>f</w:t>
            </w:r>
            <w:r w:rsidRPr="002F16E6">
              <w:rPr>
                <w:szCs w:val="18"/>
              </w:rPr>
              <w:t>ertilisation)</w:t>
            </w:r>
          </w:p>
        </w:tc>
        <w:tc>
          <w:tcPr>
            <w:tcW w:w="679" w:type="pct"/>
            <w:tcBorders>
              <w:top w:val="single" w:sz="4" w:space="0" w:color="auto"/>
              <w:bottom w:val="nil"/>
            </w:tcBorders>
          </w:tcPr>
          <w:p w14:paraId="44998522" w14:textId="0C1E218D" w:rsidR="00E21349" w:rsidRDefault="00E21349" w:rsidP="00587078">
            <w:pPr>
              <w:pStyle w:val="TableText"/>
              <w:ind w:right="284"/>
              <w:jc w:val="right"/>
              <w:rPr>
                <w:szCs w:val="18"/>
              </w:rPr>
            </w:pPr>
            <w:r w:rsidRPr="002F16E6">
              <w:rPr>
                <w:szCs w:val="18"/>
              </w:rPr>
              <w:t>2</w:t>
            </w:r>
            <w:r w:rsidRPr="00E21349">
              <w:rPr>
                <w:bCs/>
                <w:szCs w:val="18"/>
              </w:rPr>
              <w:t>,</w:t>
            </w:r>
            <w:r w:rsidRPr="002F16E6">
              <w:rPr>
                <w:szCs w:val="18"/>
              </w:rPr>
              <w:t>750</w:t>
            </w:r>
          </w:p>
        </w:tc>
      </w:tr>
      <w:tr w:rsidR="00140FA4" w:rsidRPr="00025E77" w14:paraId="48E1F243" w14:textId="77777777" w:rsidTr="00262040">
        <w:trPr>
          <w:cantSplit/>
          <w:trHeight w:val="851"/>
        </w:trPr>
        <w:tc>
          <w:tcPr>
            <w:tcW w:w="860" w:type="pct"/>
            <w:tcBorders>
              <w:top w:val="single" w:sz="4" w:space="0" w:color="auto"/>
              <w:bottom w:val="nil"/>
            </w:tcBorders>
          </w:tcPr>
          <w:p w14:paraId="1E19B833" w14:textId="77777777" w:rsidR="00140FA4" w:rsidRPr="00146699" w:rsidRDefault="00140FA4" w:rsidP="00236CA4">
            <w:pPr>
              <w:pStyle w:val="TableText"/>
              <w:rPr>
                <w:szCs w:val="18"/>
              </w:rPr>
            </w:pPr>
            <w:r w:rsidRPr="00146699">
              <w:rPr>
                <w:szCs w:val="18"/>
              </w:rPr>
              <w:t>Echinoderm</w:t>
            </w:r>
            <w:r>
              <w:rPr>
                <w:szCs w:val="18"/>
              </w:rPr>
              <w:t xml:space="preserve"> </w:t>
            </w:r>
            <w:r w:rsidRPr="00146699">
              <w:rPr>
                <w:szCs w:val="18"/>
              </w:rPr>
              <w:t>(</w:t>
            </w:r>
            <w:r>
              <w:rPr>
                <w:szCs w:val="18"/>
              </w:rPr>
              <w:t>s</w:t>
            </w:r>
            <w:r w:rsidRPr="00146699">
              <w:rPr>
                <w:szCs w:val="18"/>
              </w:rPr>
              <w:t>ea urchin)</w:t>
            </w:r>
          </w:p>
        </w:tc>
        <w:tc>
          <w:tcPr>
            <w:tcW w:w="960" w:type="pct"/>
            <w:tcBorders>
              <w:top w:val="single" w:sz="4" w:space="0" w:color="auto"/>
              <w:bottom w:val="nil"/>
            </w:tcBorders>
          </w:tcPr>
          <w:p w14:paraId="5BBC4FC5" w14:textId="77777777" w:rsidR="00140FA4" w:rsidRPr="00146699" w:rsidRDefault="00140FA4" w:rsidP="00236CA4">
            <w:pPr>
              <w:pStyle w:val="TableText"/>
              <w:rPr>
                <w:rStyle w:val="Emphasis"/>
                <w:szCs w:val="18"/>
              </w:rPr>
            </w:pPr>
            <w:r w:rsidRPr="00146699">
              <w:rPr>
                <w:rStyle w:val="Emphasis"/>
                <w:szCs w:val="18"/>
              </w:rPr>
              <w:t>Heliocidaris tuberculata</w:t>
            </w:r>
          </w:p>
        </w:tc>
        <w:tc>
          <w:tcPr>
            <w:tcW w:w="909" w:type="pct"/>
            <w:tcBorders>
              <w:top w:val="single" w:sz="4" w:space="0" w:color="auto"/>
              <w:bottom w:val="nil"/>
            </w:tcBorders>
          </w:tcPr>
          <w:p w14:paraId="624D3133" w14:textId="77777777" w:rsidR="00140FA4" w:rsidRPr="00146699" w:rsidRDefault="00140FA4" w:rsidP="00236CA4">
            <w:pPr>
              <w:pStyle w:val="TableText"/>
              <w:rPr>
                <w:szCs w:val="18"/>
              </w:rPr>
            </w:pPr>
            <w:r w:rsidRPr="00146699">
              <w:rPr>
                <w:szCs w:val="18"/>
              </w:rPr>
              <w:t>Embryo/larva</w:t>
            </w:r>
          </w:p>
        </w:tc>
        <w:tc>
          <w:tcPr>
            <w:tcW w:w="530" w:type="pct"/>
            <w:tcBorders>
              <w:top w:val="single" w:sz="4" w:space="0" w:color="auto"/>
              <w:bottom w:val="nil"/>
            </w:tcBorders>
          </w:tcPr>
          <w:p w14:paraId="46655C4D" w14:textId="77777777" w:rsidR="00140FA4" w:rsidRPr="00146699" w:rsidRDefault="00140FA4" w:rsidP="00587078">
            <w:pPr>
              <w:pStyle w:val="TableText"/>
              <w:ind w:right="227"/>
              <w:rPr>
                <w:szCs w:val="18"/>
              </w:rPr>
            </w:pPr>
            <w:r w:rsidRPr="00146699">
              <w:rPr>
                <w:szCs w:val="18"/>
              </w:rPr>
              <w:t>72</w:t>
            </w:r>
          </w:p>
        </w:tc>
        <w:tc>
          <w:tcPr>
            <w:tcW w:w="1062" w:type="pct"/>
            <w:tcBorders>
              <w:top w:val="single" w:sz="4" w:space="0" w:color="auto"/>
              <w:bottom w:val="nil"/>
            </w:tcBorders>
          </w:tcPr>
          <w:p w14:paraId="3992C998" w14:textId="77777777" w:rsidR="00140FA4" w:rsidRPr="00146699" w:rsidRDefault="00140FA4" w:rsidP="00236CA4">
            <w:pPr>
              <w:pStyle w:val="TableText"/>
              <w:rPr>
                <w:szCs w:val="18"/>
              </w:rPr>
            </w:pPr>
            <w:r w:rsidRPr="00146699">
              <w:rPr>
                <w:szCs w:val="18"/>
              </w:rPr>
              <w:t>NOEC (</w:t>
            </w:r>
            <w:r>
              <w:rPr>
                <w:szCs w:val="18"/>
              </w:rPr>
              <w:t>l</w:t>
            </w:r>
            <w:r w:rsidRPr="00146699">
              <w:rPr>
                <w:szCs w:val="18"/>
              </w:rPr>
              <w:t>arval development)</w:t>
            </w:r>
          </w:p>
        </w:tc>
        <w:tc>
          <w:tcPr>
            <w:tcW w:w="679" w:type="pct"/>
            <w:tcBorders>
              <w:top w:val="single" w:sz="4" w:space="0" w:color="auto"/>
              <w:bottom w:val="nil"/>
            </w:tcBorders>
          </w:tcPr>
          <w:p w14:paraId="4F4C9AF8" w14:textId="77777777" w:rsidR="00140FA4" w:rsidRPr="006F7AD6" w:rsidRDefault="00140FA4" w:rsidP="00587078">
            <w:pPr>
              <w:pStyle w:val="TableText"/>
              <w:ind w:right="284"/>
              <w:jc w:val="right"/>
              <w:rPr>
                <w:szCs w:val="18"/>
                <w:highlight w:val="yellow"/>
              </w:rPr>
            </w:pPr>
            <w:r>
              <w:rPr>
                <w:szCs w:val="18"/>
              </w:rPr>
              <w:t>2</w:t>
            </w:r>
            <w:r w:rsidRPr="00401A4E">
              <w:rPr>
                <w:bCs/>
                <w:szCs w:val="18"/>
              </w:rPr>
              <w:t>,</w:t>
            </w:r>
            <w:r w:rsidRPr="002F16E6">
              <w:rPr>
                <w:szCs w:val="18"/>
              </w:rPr>
              <w:t>000</w:t>
            </w:r>
          </w:p>
        </w:tc>
      </w:tr>
      <w:tr w:rsidR="00DC06ED" w:rsidRPr="00191EC2" w14:paraId="2BD41389" w14:textId="77777777" w:rsidTr="00262040">
        <w:trPr>
          <w:cantSplit/>
        </w:trPr>
        <w:tc>
          <w:tcPr>
            <w:tcW w:w="860" w:type="pct"/>
            <w:tcBorders>
              <w:top w:val="single" w:sz="4" w:space="0" w:color="auto"/>
              <w:left w:val="nil"/>
              <w:bottom w:val="nil"/>
              <w:right w:val="nil"/>
            </w:tcBorders>
          </w:tcPr>
          <w:p w14:paraId="2AC0E13A" w14:textId="4469790C" w:rsidR="00DC06ED" w:rsidRDefault="00DC06ED" w:rsidP="00DC06ED">
            <w:pPr>
              <w:pStyle w:val="TableText"/>
              <w:rPr>
                <w:rFonts w:cstheme="minorHAnsi"/>
                <w:szCs w:val="18"/>
              </w:rPr>
            </w:pPr>
            <w:r>
              <w:rPr>
                <w:rFonts w:cstheme="minorHAnsi"/>
                <w:szCs w:val="18"/>
              </w:rPr>
              <w:t>Mollusc (b</w:t>
            </w:r>
            <w:r w:rsidRPr="00AE5DAC">
              <w:rPr>
                <w:rFonts w:cstheme="minorHAnsi"/>
                <w:szCs w:val="18"/>
              </w:rPr>
              <w:t>ivalve</w:t>
            </w:r>
            <w:r>
              <w:rPr>
                <w:rFonts w:cstheme="minorHAnsi"/>
                <w:szCs w:val="18"/>
              </w:rPr>
              <w:t>)</w:t>
            </w:r>
          </w:p>
        </w:tc>
        <w:tc>
          <w:tcPr>
            <w:tcW w:w="960" w:type="pct"/>
            <w:tcBorders>
              <w:top w:val="single" w:sz="4" w:space="0" w:color="auto"/>
              <w:left w:val="nil"/>
              <w:bottom w:val="nil"/>
              <w:right w:val="nil"/>
            </w:tcBorders>
          </w:tcPr>
          <w:p w14:paraId="448D44C3" w14:textId="698A105A" w:rsidR="00DC06ED" w:rsidRPr="00AE5DAC" w:rsidRDefault="00DC06ED" w:rsidP="00DC06ED">
            <w:pPr>
              <w:pStyle w:val="TableText"/>
              <w:rPr>
                <w:rFonts w:cstheme="minorHAnsi"/>
                <w:i/>
                <w:iCs/>
                <w:color w:val="000000"/>
                <w:szCs w:val="18"/>
              </w:rPr>
            </w:pPr>
            <w:r w:rsidRPr="00AE5DAC">
              <w:rPr>
                <w:rFonts w:cstheme="minorHAnsi"/>
                <w:i/>
                <w:iCs/>
                <w:color w:val="000000"/>
                <w:szCs w:val="18"/>
              </w:rPr>
              <w:t xml:space="preserve">Anadara trapezia </w:t>
            </w:r>
          </w:p>
        </w:tc>
        <w:tc>
          <w:tcPr>
            <w:tcW w:w="909" w:type="pct"/>
            <w:tcBorders>
              <w:top w:val="single" w:sz="4" w:space="0" w:color="auto"/>
              <w:left w:val="nil"/>
              <w:bottom w:val="nil"/>
              <w:right w:val="nil"/>
            </w:tcBorders>
          </w:tcPr>
          <w:p w14:paraId="7A93CCBF" w14:textId="70A237D7" w:rsidR="00DC06ED" w:rsidRPr="00AE5DAC" w:rsidRDefault="00DC06ED" w:rsidP="00DC06ED">
            <w:pPr>
              <w:pStyle w:val="TableText"/>
              <w:rPr>
                <w:rFonts w:cstheme="minorHAnsi"/>
                <w:szCs w:val="18"/>
              </w:rPr>
            </w:pPr>
            <w:r w:rsidRPr="00AE5DAC">
              <w:rPr>
                <w:rFonts w:cstheme="minorHAnsi"/>
                <w:szCs w:val="18"/>
              </w:rPr>
              <w:t>Embryo</w:t>
            </w:r>
          </w:p>
        </w:tc>
        <w:tc>
          <w:tcPr>
            <w:tcW w:w="530" w:type="pct"/>
            <w:tcBorders>
              <w:top w:val="single" w:sz="4" w:space="0" w:color="auto"/>
              <w:left w:val="nil"/>
              <w:bottom w:val="nil"/>
              <w:right w:val="nil"/>
            </w:tcBorders>
          </w:tcPr>
          <w:p w14:paraId="1322A869" w14:textId="1A452992" w:rsidR="00DC06ED" w:rsidRDefault="00DC06ED" w:rsidP="00587078">
            <w:pPr>
              <w:pStyle w:val="TableText"/>
              <w:ind w:right="227"/>
              <w:rPr>
                <w:rFonts w:cstheme="minorHAnsi"/>
                <w:szCs w:val="18"/>
              </w:rPr>
            </w:pPr>
            <w:r>
              <w:rPr>
                <w:rFonts w:cstheme="minorHAnsi"/>
                <w:szCs w:val="18"/>
              </w:rPr>
              <w:t>48</w:t>
            </w:r>
          </w:p>
        </w:tc>
        <w:tc>
          <w:tcPr>
            <w:tcW w:w="1062" w:type="pct"/>
            <w:tcBorders>
              <w:top w:val="single" w:sz="4" w:space="0" w:color="auto"/>
              <w:left w:val="nil"/>
              <w:bottom w:val="nil"/>
              <w:right w:val="nil"/>
            </w:tcBorders>
          </w:tcPr>
          <w:p w14:paraId="33A382B6" w14:textId="6A588042" w:rsidR="00DC06ED" w:rsidRPr="00AE5DAC" w:rsidRDefault="00DC06ED" w:rsidP="00DC06ED">
            <w:pPr>
              <w:pStyle w:val="TableText"/>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679" w:type="pct"/>
            <w:tcBorders>
              <w:top w:val="single" w:sz="4" w:space="0" w:color="auto"/>
              <w:left w:val="nil"/>
              <w:bottom w:val="nil"/>
              <w:right w:val="nil"/>
            </w:tcBorders>
          </w:tcPr>
          <w:p w14:paraId="22DA4D4C" w14:textId="603D42FC" w:rsidR="00DC06ED" w:rsidRDefault="00DC06ED" w:rsidP="00587078">
            <w:pPr>
              <w:pStyle w:val="TableText"/>
              <w:ind w:right="284"/>
              <w:jc w:val="right"/>
              <w:rPr>
                <w:rFonts w:cstheme="minorHAnsi"/>
                <w:szCs w:val="18"/>
              </w:rPr>
            </w:pPr>
            <w:r>
              <w:rPr>
                <w:rFonts w:cstheme="minorHAnsi"/>
                <w:szCs w:val="18"/>
              </w:rPr>
              <w:t>935</w:t>
            </w:r>
          </w:p>
        </w:tc>
      </w:tr>
      <w:tr w:rsidR="00DC06ED" w:rsidRPr="00191EC2" w14:paraId="3DA4C3B4" w14:textId="77777777" w:rsidTr="00262040">
        <w:trPr>
          <w:cantSplit/>
        </w:trPr>
        <w:tc>
          <w:tcPr>
            <w:tcW w:w="860" w:type="pct"/>
            <w:tcBorders>
              <w:top w:val="single" w:sz="4" w:space="0" w:color="auto"/>
              <w:left w:val="nil"/>
              <w:bottom w:val="nil"/>
              <w:right w:val="nil"/>
            </w:tcBorders>
          </w:tcPr>
          <w:p w14:paraId="611889FE" w14:textId="344F7B94" w:rsidR="00DC06ED" w:rsidRDefault="00DC06ED" w:rsidP="00DC06ED">
            <w:pPr>
              <w:pStyle w:val="TableText"/>
              <w:rPr>
                <w:rFonts w:cstheme="minorHAnsi"/>
                <w:szCs w:val="18"/>
              </w:rPr>
            </w:pPr>
            <w:r>
              <w:rPr>
                <w:rFonts w:cstheme="minorHAnsi"/>
                <w:szCs w:val="18"/>
              </w:rPr>
              <w:t>Mollusc (b</w:t>
            </w:r>
            <w:r w:rsidRPr="00AE5DAC">
              <w:rPr>
                <w:rFonts w:cstheme="minorHAnsi"/>
                <w:szCs w:val="18"/>
              </w:rPr>
              <w:t>ivalve</w:t>
            </w:r>
            <w:r>
              <w:rPr>
                <w:rFonts w:cstheme="minorHAnsi"/>
                <w:szCs w:val="18"/>
              </w:rPr>
              <w:t>)</w:t>
            </w:r>
          </w:p>
        </w:tc>
        <w:tc>
          <w:tcPr>
            <w:tcW w:w="960" w:type="pct"/>
            <w:tcBorders>
              <w:top w:val="single" w:sz="4" w:space="0" w:color="auto"/>
              <w:left w:val="nil"/>
              <w:bottom w:val="nil"/>
              <w:right w:val="nil"/>
            </w:tcBorders>
          </w:tcPr>
          <w:p w14:paraId="0572CA77" w14:textId="0ABFC843" w:rsidR="00DC06ED" w:rsidRPr="00AE5DAC" w:rsidRDefault="00DC06ED" w:rsidP="00DC06ED">
            <w:pPr>
              <w:pStyle w:val="TableText"/>
              <w:rPr>
                <w:rFonts w:cstheme="minorHAnsi"/>
                <w:i/>
                <w:iCs/>
                <w:color w:val="000000"/>
                <w:szCs w:val="18"/>
              </w:rPr>
            </w:pPr>
            <w:r w:rsidRPr="00AE5DAC">
              <w:rPr>
                <w:rFonts w:cstheme="minorHAnsi"/>
                <w:i/>
                <w:iCs/>
                <w:color w:val="000000"/>
                <w:szCs w:val="18"/>
              </w:rPr>
              <w:t xml:space="preserve">Barnea australasiae </w:t>
            </w:r>
          </w:p>
        </w:tc>
        <w:tc>
          <w:tcPr>
            <w:tcW w:w="909" w:type="pct"/>
            <w:tcBorders>
              <w:top w:val="single" w:sz="4" w:space="0" w:color="auto"/>
              <w:left w:val="nil"/>
              <w:bottom w:val="nil"/>
              <w:right w:val="nil"/>
            </w:tcBorders>
          </w:tcPr>
          <w:p w14:paraId="1FCDEE01" w14:textId="7A726ECE" w:rsidR="00DC06ED" w:rsidRPr="00AE5DAC" w:rsidRDefault="00DC06ED" w:rsidP="00DC06ED">
            <w:pPr>
              <w:pStyle w:val="TableText"/>
              <w:rPr>
                <w:rFonts w:cstheme="minorHAnsi"/>
                <w:szCs w:val="18"/>
              </w:rPr>
            </w:pPr>
            <w:r w:rsidRPr="00AE5DAC">
              <w:rPr>
                <w:rFonts w:cstheme="minorHAnsi"/>
                <w:szCs w:val="18"/>
              </w:rPr>
              <w:t>Embryo</w:t>
            </w:r>
          </w:p>
        </w:tc>
        <w:tc>
          <w:tcPr>
            <w:tcW w:w="530" w:type="pct"/>
            <w:tcBorders>
              <w:top w:val="single" w:sz="4" w:space="0" w:color="auto"/>
              <w:left w:val="nil"/>
              <w:bottom w:val="nil"/>
              <w:right w:val="nil"/>
            </w:tcBorders>
          </w:tcPr>
          <w:p w14:paraId="3A306DBC" w14:textId="1311C515" w:rsidR="00DC06ED" w:rsidRDefault="00DC06ED" w:rsidP="00587078">
            <w:pPr>
              <w:pStyle w:val="TableText"/>
              <w:ind w:right="227"/>
              <w:rPr>
                <w:rFonts w:cstheme="minorHAnsi"/>
                <w:szCs w:val="18"/>
              </w:rPr>
            </w:pPr>
            <w:r>
              <w:rPr>
                <w:rFonts w:cstheme="minorHAnsi"/>
                <w:szCs w:val="18"/>
              </w:rPr>
              <w:t>48</w:t>
            </w:r>
          </w:p>
        </w:tc>
        <w:tc>
          <w:tcPr>
            <w:tcW w:w="1062" w:type="pct"/>
            <w:tcBorders>
              <w:top w:val="single" w:sz="4" w:space="0" w:color="auto"/>
              <w:left w:val="nil"/>
              <w:bottom w:val="nil"/>
              <w:right w:val="nil"/>
            </w:tcBorders>
          </w:tcPr>
          <w:p w14:paraId="6EEEA92C" w14:textId="2BC26DDA" w:rsidR="00DC06ED" w:rsidRPr="00AE5DAC" w:rsidRDefault="00DC06ED" w:rsidP="00DC06ED">
            <w:pPr>
              <w:pStyle w:val="TableText"/>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679" w:type="pct"/>
            <w:tcBorders>
              <w:top w:val="single" w:sz="4" w:space="0" w:color="auto"/>
              <w:left w:val="nil"/>
              <w:bottom w:val="nil"/>
              <w:right w:val="nil"/>
            </w:tcBorders>
          </w:tcPr>
          <w:p w14:paraId="54DD020E" w14:textId="5CFD1903" w:rsidR="00DC06ED" w:rsidRDefault="00DC06ED" w:rsidP="00587078">
            <w:pPr>
              <w:pStyle w:val="TableText"/>
              <w:ind w:right="284"/>
              <w:jc w:val="right"/>
              <w:rPr>
                <w:rFonts w:cstheme="minorHAnsi"/>
                <w:szCs w:val="18"/>
              </w:rPr>
            </w:pPr>
            <w:r>
              <w:rPr>
                <w:rFonts w:cstheme="minorHAnsi"/>
                <w:szCs w:val="18"/>
              </w:rPr>
              <w:t>893</w:t>
            </w:r>
          </w:p>
        </w:tc>
      </w:tr>
      <w:tr w:rsidR="00DC06ED" w:rsidRPr="00191EC2" w14:paraId="0F311F77" w14:textId="77777777" w:rsidTr="00262040">
        <w:trPr>
          <w:cantSplit/>
        </w:trPr>
        <w:tc>
          <w:tcPr>
            <w:tcW w:w="860" w:type="pct"/>
            <w:tcBorders>
              <w:top w:val="single" w:sz="4" w:space="0" w:color="auto"/>
              <w:left w:val="nil"/>
              <w:bottom w:val="nil"/>
              <w:right w:val="nil"/>
            </w:tcBorders>
          </w:tcPr>
          <w:p w14:paraId="18334AEE" w14:textId="1A5247FE" w:rsidR="00DC06ED" w:rsidRDefault="00DC06ED" w:rsidP="00DC06ED">
            <w:pPr>
              <w:pStyle w:val="TableText"/>
              <w:rPr>
                <w:rFonts w:cstheme="minorHAnsi"/>
                <w:szCs w:val="18"/>
              </w:rPr>
            </w:pPr>
            <w:r>
              <w:rPr>
                <w:rFonts w:cstheme="minorHAnsi"/>
                <w:szCs w:val="18"/>
              </w:rPr>
              <w:t>Mollusc (b</w:t>
            </w:r>
            <w:r w:rsidRPr="00AE5DAC">
              <w:rPr>
                <w:rFonts w:cstheme="minorHAnsi"/>
                <w:szCs w:val="18"/>
              </w:rPr>
              <w:t>ivalve</w:t>
            </w:r>
            <w:r>
              <w:rPr>
                <w:rFonts w:cstheme="minorHAnsi"/>
                <w:szCs w:val="18"/>
              </w:rPr>
              <w:t>)</w:t>
            </w:r>
          </w:p>
        </w:tc>
        <w:tc>
          <w:tcPr>
            <w:tcW w:w="960" w:type="pct"/>
            <w:tcBorders>
              <w:top w:val="single" w:sz="4" w:space="0" w:color="auto"/>
              <w:left w:val="nil"/>
              <w:bottom w:val="nil"/>
              <w:right w:val="nil"/>
            </w:tcBorders>
          </w:tcPr>
          <w:p w14:paraId="02CE45A3" w14:textId="04E2A01A" w:rsidR="00DC06ED" w:rsidRPr="00AE5DAC" w:rsidRDefault="00DC06ED" w:rsidP="00DC06ED">
            <w:pPr>
              <w:pStyle w:val="TableText"/>
              <w:rPr>
                <w:rFonts w:cstheme="minorHAnsi"/>
                <w:i/>
                <w:iCs/>
                <w:color w:val="000000"/>
                <w:szCs w:val="18"/>
              </w:rPr>
            </w:pPr>
            <w:r w:rsidRPr="00AE5DAC">
              <w:rPr>
                <w:rFonts w:cstheme="minorHAnsi"/>
                <w:i/>
                <w:iCs/>
                <w:color w:val="000000"/>
                <w:szCs w:val="18"/>
              </w:rPr>
              <w:t xml:space="preserve">Fulvia tenuicostata </w:t>
            </w:r>
          </w:p>
        </w:tc>
        <w:tc>
          <w:tcPr>
            <w:tcW w:w="909" w:type="pct"/>
            <w:tcBorders>
              <w:top w:val="single" w:sz="4" w:space="0" w:color="auto"/>
              <w:left w:val="nil"/>
              <w:bottom w:val="nil"/>
              <w:right w:val="nil"/>
            </w:tcBorders>
          </w:tcPr>
          <w:p w14:paraId="3E522208" w14:textId="0524B002" w:rsidR="00DC06ED" w:rsidRPr="00AE5DAC" w:rsidRDefault="00DC06ED" w:rsidP="00DC06ED">
            <w:pPr>
              <w:pStyle w:val="TableText"/>
              <w:rPr>
                <w:rFonts w:cstheme="minorHAnsi"/>
                <w:szCs w:val="18"/>
              </w:rPr>
            </w:pPr>
            <w:r>
              <w:rPr>
                <w:rFonts w:cstheme="minorHAnsi"/>
                <w:szCs w:val="18"/>
              </w:rPr>
              <w:t>Embryo</w:t>
            </w:r>
          </w:p>
        </w:tc>
        <w:tc>
          <w:tcPr>
            <w:tcW w:w="530" w:type="pct"/>
            <w:tcBorders>
              <w:top w:val="single" w:sz="4" w:space="0" w:color="auto"/>
              <w:left w:val="nil"/>
              <w:bottom w:val="nil"/>
              <w:right w:val="nil"/>
            </w:tcBorders>
          </w:tcPr>
          <w:p w14:paraId="6FF06000" w14:textId="6B80F6CB" w:rsidR="00DC06ED" w:rsidRDefault="00DC06ED" w:rsidP="00587078">
            <w:pPr>
              <w:pStyle w:val="TableText"/>
              <w:ind w:right="227"/>
              <w:rPr>
                <w:rFonts w:cstheme="minorHAnsi"/>
                <w:szCs w:val="18"/>
              </w:rPr>
            </w:pPr>
            <w:r>
              <w:rPr>
                <w:rFonts w:cstheme="minorHAnsi"/>
                <w:szCs w:val="18"/>
              </w:rPr>
              <w:t>48</w:t>
            </w:r>
          </w:p>
        </w:tc>
        <w:tc>
          <w:tcPr>
            <w:tcW w:w="1062" w:type="pct"/>
            <w:tcBorders>
              <w:top w:val="single" w:sz="4" w:space="0" w:color="auto"/>
              <w:left w:val="nil"/>
              <w:bottom w:val="nil"/>
              <w:right w:val="nil"/>
            </w:tcBorders>
          </w:tcPr>
          <w:p w14:paraId="739FE1B3" w14:textId="4D88C12E" w:rsidR="00DC06ED" w:rsidRPr="00AE5DAC" w:rsidRDefault="00DC06ED" w:rsidP="00DC06ED">
            <w:pPr>
              <w:pStyle w:val="TableText"/>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679" w:type="pct"/>
            <w:tcBorders>
              <w:top w:val="single" w:sz="4" w:space="0" w:color="auto"/>
              <w:left w:val="nil"/>
              <w:bottom w:val="nil"/>
              <w:right w:val="nil"/>
            </w:tcBorders>
          </w:tcPr>
          <w:p w14:paraId="57A27A0D" w14:textId="1267F015" w:rsidR="00DC06ED" w:rsidRDefault="00DC06ED" w:rsidP="00587078">
            <w:pPr>
              <w:pStyle w:val="TableText"/>
              <w:ind w:right="284"/>
              <w:jc w:val="right"/>
              <w:rPr>
                <w:rFonts w:cstheme="minorHAnsi"/>
                <w:szCs w:val="18"/>
              </w:rPr>
            </w:pPr>
            <w:r>
              <w:rPr>
                <w:rFonts w:cstheme="minorHAnsi"/>
                <w:szCs w:val="18"/>
              </w:rPr>
              <w:t>806</w:t>
            </w:r>
          </w:p>
        </w:tc>
      </w:tr>
      <w:tr w:rsidR="00DC06ED" w:rsidRPr="00191EC2" w14:paraId="7A9C209A" w14:textId="77777777" w:rsidTr="00262040">
        <w:trPr>
          <w:cantSplit/>
        </w:trPr>
        <w:tc>
          <w:tcPr>
            <w:tcW w:w="860" w:type="pct"/>
            <w:tcBorders>
              <w:top w:val="single" w:sz="4" w:space="0" w:color="auto"/>
              <w:left w:val="nil"/>
              <w:bottom w:val="nil"/>
              <w:right w:val="nil"/>
            </w:tcBorders>
          </w:tcPr>
          <w:p w14:paraId="3B637346" w14:textId="02041A0B" w:rsidR="00DC06ED" w:rsidRDefault="00DC06ED" w:rsidP="00DC06ED">
            <w:pPr>
              <w:pStyle w:val="TableText"/>
              <w:rPr>
                <w:rFonts w:cstheme="minorHAnsi"/>
                <w:szCs w:val="18"/>
              </w:rPr>
            </w:pPr>
            <w:r>
              <w:rPr>
                <w:rFonts w:cstheme="minorHAnsi"/>
                <w:szCs w:val="18"/>
              </w:rPr>
              <w:t>Mollusc (b</w:t>
            </w:r>
            <w:r w:rsidRPr="00AE5DAC">
              <w:rPr>
                <w:rFonts w:cstheme="minorHAnsi"/>
                <w:szCs w:val="18"/>
              </w:rPr>
              <w:t>ivalve</w:t>
            </w:r>
            <w:r>
              <w:rPr>
                <w:rFonts w:cstheme="minorHAnsi"/>
                <w:szCs w:val="18"/>
              </w:rPr>
              <w:t>)</w:t>
            </w:r>
          </w:p>
        </w:tc>
        <w:tc>
          <w:tcPr>
            <w:tcW w:w="960" w:type="pct"/>
            <w:tcBorders>
              <w:top w:val="single" w:sz="4" w:space="0" w:color="auto"/>
              <w:left w:val="nil"/>
              <w:bottom w:val="nil"/>
              <w:right w:val="nil"/>
            </w:tcBorders>
          </w:tcPr>
          <w:p w14:paraId="714A2B4E" w14:textId="0B6F359E" w:rsidR="00DC06ED" w:rsidRPr="00AE5DAC" w:rsidRDefault="00DC06ED" w:rsidP="00DC06ED">
            <w:pPr>
              <w:pStyle w:val="TableText"/>
              <w:rPr>
                <w:rFonts w:cstheme="minorHAnsi"/>
                <w:i/>
                <w:iCs/>
                <w:color w:val="000000"/>
                <w:szCs w:val="18"/>
              </w:rPr>
            </w:pPr>
            <w:r w:rsidRPr="00AE5DAC">
              <w:rPr>
                <w:rFonts w:cstheme="minorHAnsi"/>
                <w:i/>
                <w:iCs/>
                <w:color w:val="000000"/>
                <w:szCs w:val="18"/>
              </w:rPr>
              <w:t xml:space="preserve">Hiatula alba </w:t>
            </w:r>
          </w:p>
        </w:tc>
        <w:tc>
          <w:tcPr>
            <w:tcW w:w="909" w:type="pct"/>
            <w:tcBorders>
              <w:top w:val="single" w:sz="4" w:space="0" w:color="auto"/>
              <w:left w:val="nil"/>
              <w:bottom w:val="nil"/>
              <w:right w:val="nil"/>
            </w:tcBorders>
          </w:tcPr>
          <w:p w14:paraId="456C383C" w14:textId="4468A612" w:rsidR="00DC06ED" w:rsidRPr="00AE5DAC" w:rsidRDefault="00DC06ED" w:rsidP="00DC06ED">
            <w:pPr>
              <w:pStyle w:val="TableText"/>
              <w:rPr>
                <w:rFonts w:cstheme="minorHAnsi"/>
                <w:szCs w:val="18"/>
              </w:rPr>
            </w:pPr>
            <w:r w:rsidRPr="00AE5DAC">
              <w:rPr>
                <w:rFonts w:cstheme="minorHAnsi"/>
                <w:szCs w:val="18"/>
              </w:rPr>
              <w:t>Embryo</w:t>
            </w:r>
          </w:p>
        </w:tc>
        <w:tc>
          <w:tcPr>
            <w:tcW w:w="530" w:type="pct"/>
            <w:tcBorders>
              <w:top w:val="single" w:sz="4" w:space="0" w:color="auto"/>
              <w:left w:val="nil"/>
              <w:bottom w:val="nil"/>
              <w:right w:val="nil"/>
            </w:tcBorders>
          </w:tcPr>
          <w:p w14:paraId="63B63B06" w14:textId="7DB7D8CD" w:rsidR="00DC06ED" w:rsidRDefault="00DC06ED" w:rsidP="00587078">
            <w:pPr>
              <w:pStyle w:val="TableText"/>
              <w:ind w:right="227"/>
              <w:rPr>
                <w:rFonts w:cstheme="minorHAnsi"/>
                <w:szCs w:val="18"/>
              </w:rPr>
            </w:pPr>
            <w:r>
              <w:rPr>
                <w:rFonts w:cstheme="minorHAnsi"/>
                <w:szCs w:val="18"/>
              </w:rPr>
              <w:t>48</w:t>
            </w:r>
          </w:p>
        </w:tc>
        <w:tc>
          <w:tcPr>
            <w:tcW w:w="1062" w:type="pct"/>
            <w:tcBorders>
              <w:top w:val="single" w:sz="4" w:space="0" w:color="auto"/>
              <w:left w:val="nil"/>
              <w:bottom w:val="nil"/>
              <w:right w:val="nil"/>
            </w:tcBorders>
          </w:tcPr>
          <w:p w14:paraId="61033E3A" w14:textId="11052FA1" w:rsidR="00DC06ED" w:rsidRPr="00AE5DAC" w:rsidRDefault="00DC06ED" w:rsidP="00DC06ED">
            <w:pPr>
              <w:pStyle w:val="TableText"/>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679" w:type="pct"/>
            <w:tcBorders>
              <w:top w:val="single" w:sz="4" w:space="0" w:color="auto"/>
              <w:left w:val="nil"/>
              <w:bottom w:val="nil"/>
              <w:right w:val="nil"/>
            </w:tcBorders>
          </w:tcPr>
          <w:p w14:paraId="54772A3C" w14:textId="0F00F069" w:rsidR="00DC06ED" w:rsidRDefault="00DC06ED" w:rsidP="00587078">
            <w:pPr>
              <w:pStyle w:val="TableText"/>
              <w:ind w:right="284"/>
              <w:jc w:val="right"/>
              <w:rPr>
                <w:rFonts w:cstheme="minorHAnsi"/>
                <w:szCs w:val="18"/>
              </w:rPr>
            </w:pPr>
            <w:r>
              <w:rPr>
                <w:rFonts w:cstheme="minorHAnsi"/>
                <w:szCs w:val="18"/>
              </w:rPr>
              <w:t>810</w:t>
            </w:r>
          </w:p>
        </w:tc>
      </w:tr>
      <w:tr w:rsidR="00DC06ED" w:rsidRPr="00191EC2" w14:paraId="11FC08BE" w14:textId="77777777" w:rsidTr="00262040">
        <w:trPr>
          <w:cantSplit/>
        </w:trPr>
        <w:tc>
          <w:tcPr>
            <w:tcW w:w="860" w:type="pct"/>
            <w:tcBorders>
              <w:top w:val="single" w:sz="4" w:space="0" w:color="auto"/>
              <w:left w:val="nil"/>
              <w:bottom w:val="nil"/>
              <w:right w:val="nil"/>
            </w:tcBorders>
          </w:tcPr>
          <w:p w14:paraId="11A90912" w14:textId="3213931C" w:rsidR="00DC06ED" w:rsidRDefault="00DC06ED" w:rsidP="00DC06ED">
            <w:pPr>
              <w:pStyle w:val="TableText"/>
              <w:rPr>
                <w:rFonts w:cstheme="minorHAnsi"/>
                <w:szCs w:val="18"/>
              </w:rPr>
            </w:pPr>
            <w:r>
              <w:rPr>
                <w:rFonts w:cstheme="minorHAnsi"/>
                <w:szCs w:val="18"/>
              </w:rPr>
              <w:t>Mollusc (b</w:t>
            </w:r>
            <w:r w:rsidRPr="00AE5DAC">
              <w:rPr>
                <w:rFonts w:cstheme="minorHAnsi"/>
                <w:szCs w:val="18"/>
              </w:rPr>
              <w:t>ivalve</w:t>
            </w:r>
            <w:r>
              <w:rPr>
                <w:rFonts w:cstheme="minorHAnsi"/>
                <w:szCs w:val="18"/>
              </w:rPr>
              <w:t>)</w:t>
            </w:r>
          </w:p>
        </w:tc>
        <w:tc>
          <w:tcPr>
            <w:tcW w:w="960" w:type="pct"/>
            <w:tcBorders>
              <w:top w:val="single" w:sz="4" w:space="0" w:color="auto"/>
              <w:left w:val="nil"/>
              <w:bottom w:val="nil"/>
              <w:right w:val="nil"/>
            </w:tcBorders>
          </w:tcPr>
          <w:p w14:paraId="1CCDB701" w14:textId="33FF5E08" w:rsidR="00DC06ED" w:rsidRPr="00AE5DAC" w:rsidRDefault="00DC06ED" w:rsidP="00DC06ED">
            <w:pPr>
              <w:pStyle w:val="TableText"/>
              <w:rPr>
                <w:rFonts w:cstheme="minorHAnsi"/>
                <w:i/>
                <w:iCs/>
                <w:color w:val="000000"/>
                <w:szCs w:val="18"/>
              </w:rPr>
            </w:pPr>
            <w:r w:rsidRPr="00AE5DAC">
              <w:rPr>
                <w:rFonts w:cstheme="minorHAnsi"/>
                <w:i/>
                <w:iCs/>
                <w:color w:val="000000"/>
                <w:szCs w:val="18"/>
              </w:rPr>
              <w:t xml:space="preserve">Irus crenatus </w:t>
            </w:r>
          </w:p>
        </w:tc>
        <w:tc>
          <w:tcPr>
            <w:tcW w:w="909" w:type="pct"/>
            <w:tcBorders>
              <w:top w:val="single" w:sz="4" w:space="0" w:color="auto"/>
              <w:left w:val="nil"/>
              <w:bottom w:val="nil"/>
              <w:right w:val="nil"/>
            </w:tcBorders>
          </w:tcPr>
          <w:p w14:paraId="1AF2756F" w14:textId="66C72FF9" w:rsidR="00DC06ED" w:rsidRPr="00AE5DAC" w:rsidRDefault="00DC06ED" w:rsidP="00DC06ED">
            <w:pPr>
              <w:pStyle w:val="TableText"/>
              <w:rPr>
                <w:rFonts w:cstheme="minorHAnsi"/>
                <w:szCs w:val="18"/>
              </w:rPr>
            </w:pPr>
            <w:r w:rsidRPr="00AE5DAC">
              <w:rPr>
                <w:rFonts w:cstheme="minorHAnsi"/>
                <w:szCs w:val="18"/>
              </w:rPr>
              <w:t>Embryo</w:t>
            </w:r>
          </w:p>
        </w:tc>
        <w:tc>
          <w:tcPr>
            <w:tcW w:w="530" w:type="pct"/>
            <w:tcBorders>
              <w:top w:val="single" w:sz="4" w:space="0" w:color="auto"/>
              <w:left w:val="nil"/>
              <w:bottom w:val="nil"/>
              <w:right w:val="nil"/>
            </w:tcBorders>
          </w:tcPr>
          <w:p w14:paraId="628FF585" w14:textId="02883FD9" w:rsidR="00DC06ED" w:rsidRDefault="00DC06ED" w:rsidP="00587078">
            <w:pPr>
              <w:pStyle w:val="TableText"/>
              <w:ind w:right="227"/>
              <w:rPr>
                <w:rFonts w:cstheme="minorHAnsi"/>
                <w:szCs w:val="18"/>
              </w:rPr>
            </w:pPr>
            <w:r>
              <w:rPr>
                <w:rFonts w:cstheme="minorHAnsi"/>
                <w:szCs w:val="18"/>
              </w:rPr>
              <w:t>48</w:t>
            </w:r>
          </w:p>
        </w:tc>
        <w:tc>
          <w:tcPr>
            <w:tcW w:w="1062" w:type="pct"/>
            <w:tcBorders>
              <w:top w:val="single" w:sz="4" w:space="0" w:color="auto"/>
              <w:left w:val="nil"/>
              <w:bottom w:val="nil"/>
              <w:right w:val="nil"/>
            </w:tcBorders>
          </w:tcPr>
          <w:p w14:paraId="47CAD31F" w14:textId="400619E2" w:rsidR="00DC06ED" w:rsidRPr="00AE5DAC" w:rsidRDefault="00DC06ED" w:rsidP="00DC06ED">
            <w:pPr>
              <w:pStyle w:val="TableText"/>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679" w:type="pct"/>
            <w:tcBorders>
              <w:top w:val="single" w:sz="4" w:space="0" w:color="auto"/>
              <w:left w:val="nil"/>
              <w:bottom w:val="nil"/>
              <w:right w:val="nil"/>
            </w:tcBorders>
          </w:tcPr>
          <w:p w14:paraId="4B122401" w14:textId="451BD9D5" w:rsidR="00DC06ED" w:rsidRDefault="00DC06ED" w:rsidP="00587078">
            <w:pPr>
              <w:pStyle w:val="TableText"/>
              <w:ind w:right="284"/>
              <w:jc w:val="right"/>
              <w:rPr>
                <w:rFonts w:cstheme="minorHAnsi"/>
                <w:szCs w:val="18"/>
              </w:rPr>
            </w:pPr>
            <w:r>
              <w:rPr>
                <w:rFonts w:cstheme="minorHAnsi"/>
                <w:szCs w:val="18"/>
              </w:rPr>
              <w:t>1,020</w:t>
            </w:r>
          </w:p>
        </w:tc>
      </w:tr>
      <w:tr w:rsidR="00DC06ED" w:rsidRPr="00191EC2" w14:paraId="64A78EA1" w14:textId="77777777" w:rsidTr="00262040">
        <w:trPr>
          <w:cantSplit/>
        </w:trPr>
        <w:tc>
          <w:tcPr>
            <w:tcW w:w="860" w:type="pct"/>
            <w:tcBorders>
              <w:top w:val="single" w:sz="4" w:space="0" w:color="auto"/>
              <w:left w:val="nil"/>
              <w:bottom w:val="nil"/>
              <w:right w:val="nil"/>
            </w:tcBorders>
          </w:tcPr>
          <w:p w14:paraId="3997F302" w14:textId="6D5121C0" w:rsidR="00DC06ED" w:rsidRPr="002F16E6" w:rsidRDefault="00DC06ED" w:rsidP="00DC06ED">
            <w:pPr>
              <w:pStyle w:val="TableText"/>
              <w:rPr>
                <w:szCs w:val="18"/>
              </w:rPr>
            </w:pPr>
            <w:r>
              <w:rPr>
                <w:rFonts w:cstheme="minorHAnsi"/>
                <w:szCs w:val="18"/>
              </w:rPr>
              <w:t>Mollusc (b</w:t>
            </w:r>
            <w:r w:rsidRPr="00AE5DAC">
              <w:rPr>
                <w:rFonts w:cstheme="minorHAnsi"/>
                <w:szCs w:val="18"/>
              </w:rPr>
              <w:t>ivalve</w:t>
            </w:r>
            <w:r>
              <w:rPr>
                <w:rFonts w:cstheme="minorHAnsi"/>
                <w:szCs w:val="18"/>
              </w:rPr>
              <w:t>)</w:t>
            </w:r>
          </w:p>
        </w:tc>
        <w:tc>
          <w:tcPr>
            <w:tcW w:w="960" w:type="pct"/>
            <w:tcBorders>
              <w:top w:val="single" w:sz="4" w:space="0" w:color="auto"/>
              <w:left w:val="nil"/>
              <w:bottom w:val="nil"/>
              <w:right w:val="nil"/>
            </w:tcBorders>
          </w:tcPr>
          <w:p w14:paraId="15527210" w14:textId="77777777" w:rsidR="00DC06ED" w:rsidRPr="002F16E6" w:rsidRDefault="00DC06ED" w:rsidP="00DC06ED">
            <w:pPr>
              <w:pStyle w:val="TableText"/>
              <w:rPr>
                <w:i/>
                <w:iCs/>
                <w:szCs w:val="18"/>
              </w:rPr>
            </w:pPr>
            <w:r w:rsidRPr="00AE5DAC">
              <w:rPr>
                <w:rFonts w:cstheme="minorHAnsi"/>
                <w:i/>
                <w:iCs/>
                <w:color w:val="000000"/>
                <w:szCs w:val="18"/>
              </w:rPr>
              <w:t xml:space="preserve">Magallana gigas </w:t>
            </w:r>
          </w:p>
        </w:tc>
        <w:tc>
          <w:tcPr>
            <w:tcW w:w="909" w:type="pct"/>
            <w:tcBorders>
              <w:top w:val="single" w:sz="4" w:space="0" w:color="auto"/>
              <w:left w:val="nil"/>
              <w:bottom w:val="nil"/>
              <w:right w:val="nil"/>
            </w:tcBorders>
          </w:tcPr>
          <w:p w14:paraId="16EE9D97" w14:textId="77777777" w:rsidR="00DC06ED" w:rsidRPr="002F16E6" w:rsidRDefault="00DC06ED" w:rsidP="00DC06ED">
            <w:pPr>
              <w:pStyle w:val="TableText"/>
              <w:rPr>
                <w:szCs w:val="18"/>
              </w:rPr>
            </w:pPr>
            <w:r w:rsidRPr="00AE5DAC">
              <w:rPr>
                <w:rFonts w:cstheme="minorHAnsi"/>
                <w:szCs w:val="18"/>
              </w:rPr>
              <w:t>Embryo</w:t>
            </w:r>
          </w:p>
        </w:tc>
        <w:tc>
          <w:tcPr>
            <w:tcW w:w="530" w:type="pct"/>
            <w:tcBorders>
              <w:top w:val="single" w:sz="4" w:space="0" w:color="auto"/>
              <w:left w:val="nil"/>
              <w:bottom w:val="nil"/>
              <w:right w:val="nil"/>
            </w:tcBorders>
          </w:tcPr>
          <w:p w14:paraId="5B207229" w14:textId="77777777" w:rsidR="00DC06ED" w:rsidRPr="002F16E6" w:rsidRDefault="00DC06ED" w:rsidP="00587078">
            <w:pPr>
              <w:pStyle w:val="TableText"/>
              <w:ind w:right="227"/>
              <w:rPr>
                <w:szCs w:val="18"/>
              </w:rPr>
            </w:pPr>
            <w:r>
              <w:rPr>
                <w:rFonts w:cstheme="minorHAnsi"/>
                <w:szCs w:val="18"/>
              </w:rPr>
              <w:t>48</w:t>
            </w:r>
          </w:p>
        </w:tc>
        <w:tc>
          <w:tcPr>
            <w:tcW w:w="1062" w:type="pct"/>
            <w:tcBorders>
              <w:top w:val="single" w:sz="4" w:space="0" w:color="auto"/>
              <w:left w:val="nil"/>
              <w:bottom w:val="nil"/>
              <w:right w:val="nil"/>
            </w:tcBorders>
          </w:tcPr>
          <w:p w14:paraId="06C8739A" w14:textId="77777777" w:rsidR="00DC06ED" w:rsidRPr="002F16E6" w:rsidRDefault="00DC06ED" w:rsidP="00DC06ED">
            <w:pPr>
              <w:pStyle w:val="TableText"/>
              <w:rPr>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679" w:type="pct"/>
            <w:tcBorders>
              <w:top w:val="single" w:sz="4" w:space="0" w:color="auto"/>
              <w:left w:val="nil"/>
              <w:bottom w:val="nil"/>
              <w:right w:val="nil"/>
            </w:tcBorders>
          </w:tcPr>
          <w:p w14:paraId="53079337" w14:textId="77777777" w:rsidR="00DC06ED" w:rsidRPr="002F16E6" w:rsidRDefault="00DC06ED" w:rsidP="00587078">
            <w:pPr>
              <w:pStyle w:val="TableText"/>
              <w:ind w:right="284"/>
              <w:jc w:val="right"/>
              <w:rPr>
                <w:szCs w:val="18"/>
              </w:rPr>
            </w:pPr>
            <w:r>
              <w:rPr>
                <w:rFonts w:cstheme="minorHAnsi"/>
                <w:szCs w:val="18"/>
              </w:rPr>
              <w:t>724</w:t>
            </w:r>
          </w:p>
        </w:tc>
      </w:tr>
      <w:tr w:rsidR="00DC06ED" w:rsidRPr="00191EC2" w14:paraId="34BBE969" w14:textId="77777777" w:rsidTr="00262040">
        <w:trPr>
          <w:cantSplit/>
        </w:trPr>
        <w:tc>
          <w:tcPr>
            <w:tcW w:w="860" w:type="pct"/>
            <w:tcBorders>
              <w:top w:val="single" w:sz="4" w:space="0" w:color="auto"/>
              <w:left w:val="nil"/>
              <w:right w:val="nil"/>
            </w:tcBorders>
          </w:tcPr>
          <w:p w14:paraId="0B1794AD" w14:textId="31FBAD7B" w:rsidR="00DC06ED" w:rsidRPr="002F16E6" w:rsidRDefault="00DC06ED" w:rsidP="00DC06ED">
            <w:pPr>
              <w:pStyle w:val="TableText"/>
              <w:rPr>
                <w:szCs w:val="18"/>
              </w:rPr>
            </w:pPr>
            <w:r>
              <w:rPr>
                <w:rFonts w:cstheme="minorHAnsi"/>
                <w:szCs w:val="18"/>
              </w:rPr>
              <w:t>Mollusc (b</w:t>
            </w:r>
            <w:r w:rsidRPr="00AE5DAC">
              <w:rPr>
                <w:rFonts w:cstheme="minorHAnsi"/>
                <w:szCs w:val="18"/>
              </w:rPr>
              <w:t>ivalve</w:t>
            </w:r>
            <w:r>
              <w:rPr>
                <w:rFonts w:cstheme="minorHAnsi"/>
                <w:szCs w:val="18"/>
              </w:rPr>
              <w:t>)</w:t>
            </w:r>
          </w:p>
        </w:tc>
        <w:tc>
          <w:tcPr>
            <w:tcW w:w="960" w:type="pct"/>
            <w:tcBorders>
              <w:top w:val="single" w:sz="4" w:space="0" w:color="auto"/>
              <w:left w:val="nil"/>
              <w:right w:val="nil"/>
            </w:tcBorders>
          </w:tcPr>
          <w:p w14:paraId="22AF70B0" w14:textId="77777777" w:rsidR="00DC06ED" w:rsidRPr="002F16E6" w:rsidRDefault="00DC06ED" w:rsidP="00DC06ED">
            <w:pPr>
              <w:pStyle w:val="TableText"/>
              <w:rPr>
                <w:i/>
                <w:iCs/>
                <w:szCs w:val="18"/>
              </w:rPr>
            </w:pPr>
            <w:r w:rsidRPr="00AE5DAC">
              <w:rPr>
                <w:rFonts w:cstheme="minorHAnsi"/>
                <w:i/>
                <w:iCs/>
                <w:color w:val="000000"/>
                <w:szCs w:val="18"/>
              </w:rPr>
              <w:t xml:space="preserve">Saccostrea glomerata </w:t>
            </w:r>
          </w:p>
        </w:tc>
        <w:tc>
          <w:tcPr>
            <w:tcW w:w="909" w:type="pct"/>
            <w:tcBorders>
              <w:top w:val="single" w:sz="4" w:space="0" w:color="auto"/>
              <w:left w:val="nil"/>
              <w:right w:val="nil"/>
            </w:tcBorders>
          </w:tcPr>
          <w:p w14:paraId="3F82E07C" w14:textId="77777777" w:rsidR="00DC06ED" w:rsidRPr="002F16E6" w:rsidRDefault="00DC06ED" w:rsidP="00DC06ED">
            <w:pPr>
              <w:pStyle w:val="TableText"/>
              <w:rPr>
                <w:szCs w:val="18"/>
              </w:rPr>
            </w:pPr>
            <w:r w:rsidRPr="00AE5DAC">
              <w:rPr>
                <w:rFonts w:cstheme="minorHAnsi"/>
                <w:szCs w:val="18"/>
              </w:rPr>
              <w:t>Embryo</w:t>
            </w:r>
          </w:p>
        </w:tc>
        <w:tc>
          <w:tcPr>
            <w:tcW w:w="530" w:type="pct"/>
            <w:tcBorders>
              <w:top w:val="single" w:sz="4" w:space="0" w:color="auto"/>
              <w:left w:val="nil"/>
              <w:right w:val="nil"/>
            </w:tcBorders>
          </w:tcPr>
          <w:p w14:paraId="1AEAD901" w14:textId="77777777" w:rsidR="00DC06ED" w:rsidRPr="002F16E6" w:rsidRDefault="00DC06ED" w:rsidP="00587078">
            <w:pPr>
              <w:pStyle w:val="TableText"/>
              <w:ind w:right="227"/>
              <w:rPr>
                <w:szCs w:val="18"/>
              </w:rPr>
            </w:pPr>
            <w:r>
              <w:rPr>
                <w:rFonts w:cstheme="minorHAnsi"/>
                <w:szCs w:val="18"/>
              </w:rPr>
              <w:t>48</w:t>
            </w:r>
          </w:p>
        </w:tc>
        <w:tc>
          <w:tcPr>
            <w:tcW w:w="1062" w:type="pct"/>
            <w:tcBorders>
              <w:top w:val="single" w:sz="4" w:space="0" w:color="auto"/>
              <w:left w:val="nil"/>
              <w:right w:val="nil"/>
            </w:tcBorders>
          </w:tcPr>
          <w:p w14:paraId="3E93BAAE" w14:textId="77777777" w:rsidR="00DC06ED" w:rsidRPr="002F16E6" w:rsidRDefault="00DC06ED" w:rsidP="00DC06ED">
            <w:pPr>
              <w:pStyle w:val="TableText"/>
              <w:rPr>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679" w:type="pct"/>
            <w:tcBorders>
              <w:top w:val="single" w:sz="4" w:space="0" w:color="auto"/>
              <w:left w:val="nil"/>
              <w:right w:val="nil"/>
            </w:tcBorders>
          </w:tcPr>
          <w:p w14:paraId="446D6B58" w14:textId="77777777" w:rsidR="00DC06ED" w:rsidRPr="002F16E6" w:rsidRDefault="00DC06ED" w:rsidP="00587078">
            <w:pPr>
              <w:pStyle w:val="TableText"/>
              <w:ind w:right="284"/>
              <w:jc w:val="right"/>
              <w:rPr>
                <w:szCs w:val="18"/>
              </w:rPr>
            </w:pPr>
            <w:r>
              <w:rPr>
                <w:rFonts w:cstheme="minorHAnsi"/>
                <w:szCs w:val="18"/>
              </w:rPr>
              <w:t>738</w:t>
            </w:r>
          </w:p>
        </w:tc>
      </w:tr>
      <w:tr w:rsidR="004E3F27" w:rsidRPr="00191EC2" w14:paraId="2F1430FC" w14:textId="77777777" w:rsidTr="00262040">
        <w:trPr>
          <w:cantSplit/>
        </w:trPr>
        <w:tc>
          <w:tcPr>
            <w:tcW w:w="860" w:type="pct"/>
            <w:tcBorders>
              <w:top w:val="single" w:sz="4" w:space="0" w:color="auto"/>
              <w:left w:val="nil"/>
              <w:bottom w:val="nil"/>
              <w:right w:val="nil"/>
            </w:tcBorders>
          </w:tcPr>
          <w:p w14:paraId="4DD04AD6" w14:textId="2D657097" w:rsidR="004E3F27" w:rsidRDefault="004E3F27" w:rsidP="004E3F27">
            <w:pPr>
              <w:pStyle w:val="TableText"/>
              <w:rPr>
                <w:rFonts w:cstheme="minorHAnsi"/>
                <w:szCs w:val="18"/>
              </w:rPr>
            </w:pPr>
            <w:r>
              <w:rPr>
                <w:rFonts w:cstheme="minorHAnsi"/>
                <w:szCs w:val="18"/>
              </w:rPr>
              <w:t>Mollusc (b</w:t>
            </w:r>
            <w:r w:rsidRPr="00AE5DAC">
              <w:rPr>
                <w:rFonts w:cstheme="minorHAnsi"/>
                <w:szCs w:val="18"/>
              </w:rPr>
              <w:t>ivalve</w:t>
            </w:r>
            <w:r>
              <w:rPr>
                <w:rFonts w:cstheme="minorHAnsi"/>
                <w:szCs w:val="18"/>
              </w:rPr>
              <w:t>)</w:t>
            </w:r>
          </w:p>
        </w:tc>
        <w:tc>
          <w:tcPr>
            <w:tcW w:w="960" w:type="pct"/>
            <w:tcBorders>
              <w:top w:val="single" w:sz="4" w:space="0" w:color="auto"/>
              <w:left w:val="nil"/>
              <w:bottom w:val="nil"/>
              <w:right w:val="nil"/>
            </w:tcBorders>
          </w:tcPr>
          <w:p w14:paraId="4AD3CF28" w14:textId="370A3E34" w:rsidR="004E3F27" w:rsidRPr="00AE5DAC" w:rsidRDefault="004E3F27" w:rsidP="004E3F27">
            <w:pPr>
              <w:pStyle w:val="TableText"/>
              <w:rPr>
                <w:rFonts w:cstheme="minorHAnsi"/>
                <w:i/>
                <w:iCs/>
                <w:color w:val="000000"/>
                <w:szCs w:val="18"/>
              </w:rPr>
            </w:pPr>
            <w:r w:rsidRPr="00AE5DAC">
              <w:rPr>
                <w:rFonts w:cstheme="minorHAnsi"/>
                <w:i/>
                <w:iCs/>
                <w:color w:val="000000"/>
                <w:szCs w:val="18"/>
              </w:rPr>
              <w:t>Scaeochlamys livida</w:t>
            </w:r>
          </w:p>
        </w:tc>
        <w:tc>
          <w:tcPr>
            <w:tcW w:w="909" w:type="pct"/>
            <w:tcBorders>
              <w:top w:val="single" w:sz="4" w:space="0" w:color="auto"/>
              <w:left w:val="nil"/>
              <w:bottom w:val="nil"/>
              <w:right w:val="nil"/>
            </w:tcBorders>
          </w:tcPr>
          <w:p w14:paraId="3ABEFC16" w14:textId="1F01148E" w:rsidR="004E3F27" w:rsidRPr="00AE5DAC" w:rsidRDefault="004E3F27" w:rsidP="004E3F27">
            <w:pPr>
              <w:pStyle w:val="TableText"/>
              <w:rPr>
                <w:rFonts w:cstheme="minorHAnsi"/>
                <w:szCs w:val="18"/>
              </w:rPr>
            </w:pPr>
            <w:r w:rsidRPr="00AE5DAC">
              <w:rPr>
                <w:rFonts w:cstheme="minorHAnsi"/>
                <w:szCs w:val="18"/>
              </w:rPr>
              <w:t>Embryo</w:t>
            </w:r>
          </w:p>
        </w:tc>
        <w:tc>
          <w:tcPr>
            <w:tcW w:w="530" w:type="pct"/>
            <w:tcBorders>
              <w:top w:val="single" w:sz="4" w:space="0" w:color="auto"/>
              <w:left w:val="nil"/>
              <w:bottom w:val="nil"/>
              <w:right w:val="nil"/>
            </w:tcBorders>
          </w:tcPr>
          <w:p w14:paraId="4BD9A791" w14:textId="077E3FE4" w:rsidR="004E3F27" w:rsidRDefault="004E3F27" w:rsidP="00587078">
            <w:pPr>
              <w:pStyle w:val="TableText"/>
              <w:ind w:right="227"/>
              <w:rPr>
                <w:rFonts w:cstheme="minorHAnsi"/>
                <w:szCs w:val="18"/>
              </w:rPr>
            </w:pPr>
            <w:r>
              <w:rPr>
                <w:rFonts w:cstheme="minorHAnsi"/>
                <w:szCs w:val="18"/>
              </w:rPr>
              <w:t>48</w:t>
            </w:r>
          </w:p>
        </w:tc>
        <w:tc>
          <w:tcPr>
            <w:tcW w:w="1062" w:type="pct"/>
            <w:tcBorders>
              <w:top w:val="single" w:sz="4" w:space="0" w:color="auto"/>
              <w:left w:val="nil"/>
              <w:bottom w:val="nil"/>
              <w:right w:val="nil"/>
            </w:tcBorders>
          </w:tcPr>
          <w:p w14:paraId="77FE3BC4" w14:textId="1165B911" w:rsidR="004E3F27" w:rsidRPr="00AE5DAC" w:rsidRDefault="004E3F27" w:rsidP="004E3F27">
            <w:pPr>
              <w:pStyle w:val="TableText"/>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679" w:type="pct"/>
            <w:tcBorders>
              <w:top w:val="single" w:sz="4" w:space="0" w:color="auto"/>
              <w:left w:val="nil"/>
              <w:bottom w:val="nil"/>
              <w:right w:val="nil"/>
            </w:tcBorders>
          </w:tcPr>
          <w:p w14:paraId="6F47C317" w14:textId="06796D3D" w:rsidR="004E3F27" w:rsidRDefault="004E3F27" w:rsidP="00587078">
            <w:pPr>
              <w:pStyle w:val="TableText"/>
              <w:ind w:right="284"/>
              <w:jc w:val="right"/>
              <w:rPr>
                <w:rFonts w:cstheme="minorHAnsi"/>
                <w:szCs w:val="18"/>
              </w:rPr>
            </w:pPr>
            <w:r>
              <w:rPr>
                <w:rFonts w:cstheme="minorHAnsi"/>
                <w:szCs w:val="18"/>
              </w:rPr>
              <w:t>1,270</w:t>
            </w:r>
          </w:p>
        </w:tc>
      </w:tr>
      <w:tr w:rsidR="004E3F27" w:rsidRPr="00191EC2" w14:paraId="60FCABA6" w14:textId="77777777" w:rsidTr="00262040">
        <w:trPr>
          <w:cantSplit/>
        </w:trPr>
        <w:tc>
          <w:tcPr>
            <w:tcW w:w="860" w:type="pct"/>
            <w:tcBorders>
              <w:top w:val="single" w:sz="4" w:space="0" w:color="auto"/>
              <w:left w:val="nil"/>
              <w:bottom w:val="nil"/>
              <w:right w:val="nil"/>
            </w:tcBorders>
          </w:tcPr>
          <w:p w14:paraId="1026AEC2" w14:textId="4E048F9E" w:rsidR="004E3F27" w:rsidRDefault="004E3F27" w:rsidP="004E3F27">
            <w:pPr>
              <w:pStyle w:val="TableText"/>
              <w:rPr>
                <w:rFonts w:cstheme="minorHAnsi"/>
                <w:szCs w:val="18"/>
              </w:rPr>
            </w:pPr>
            <w:r>
              <w:rPr>
                <w:rFonts w:cstheme="minorHAnsi"/>
                <w:szCs w:val="18"/>
              </w:rPr>
              <w:t>Mollusc (b</w:t>
            </w:r>
            <w:r w:rsidRPr="00AE5DAC">
              <w:rPr>
                <w:rFonts w:cstheme="minorHAnsi"/>
                <w:szCs w:val="18"/>
              </w:rPr>
              <w:t>ivalve</w:t>
            </w:r>
            <w:r>
              <w:rPr>
                <w:rFonts w:cstheme="minorHAnsi"/>
                <w:szCs w:val="18"/>
              </w:rPr>
              <w:t>)</w:t>
            </w:r>
          </w:p>
        </w:tc>
        <w:tc>
          <w:tcPr>
            <w:tcW w:w="960" w:type="pct"/>
            <w:tcBorders>
              <w:top w:val="single" w:sz="4" w:space="0" w:color="auto"/>
              <w:left w:val="nil"/>
              <w:bottom w:val="nil"/>
              <w:right w:val="nil"/>
            </w:tcBorders>
          </w:tcPr>
          <w:p w14:paraId="370AFDC0" w14:textId="399F7775" w:rsidR="004E3F27" w:rsidRPr="00AE5DAC" w:rsidRDefault="004E3F27" w:rsidP="004E3F27">
            <w:pPr>
              <w:pStyle w:val="TableText"/>
              <w:rPr>
                <w:rFonts w:cstheme="minorHAnsi"/>
                <w:i/>
                <w:iCs/>
                <w:color w:val="000000"/>
                <w:szCs w:val="18"/>
              </w:rPr>
            </w:pPr>
            <w:r w:rsidRPr="00AE5DAC">
              <w:rPr>
                <w:rFonts w:cstheme="minorHAnsi"/>
                <w:i/>
                <w:iCs/>
                <w:color w:val="000000"/>
                <w:szCs w:val="18"/>
              </w:rPr>
              <w:t xml:space="preserve">Spisula trigonella </w:t>
            </w:r>
          </w:p>
        </w:tc>
        <w:tc>
          <w:tcPr>
            <w:tcW w:w="909" w:type="pct"/>
            <w:tcBorders>
              <w:top w:val="single" w:sz="4" w:space="0" w:color="auto"/>
              <w:left w:val="nil"/>
              <w:bottom w:val="nil"/>
              <w:right w:val="nil"/>
            </w:tcBorders>
          </w:tcPr>
          <w:p w14:paraId="3BB58E36" w14:textId="35B68E0F" w:rsidR="004E3F27" w:rsidRPr="00AE5DAC" w:rsidRDefault="004E3F27" w:rsidP="004E3F27">
            <w:pPr>
              <w:pStyle w:val="TableText"/>
              <w:rPr>
                <w:rFonts w:cstheme="minorHAnsi"/>
                <w:szCs w:val="18"/>
              </w:rPr>
            </w:pPr>
            <w:r w:rsidRPr="00AE5DAC">
              <w:rPr>
                <w:rFonts w:cstheme="minorHAnsi"/>
                <w:szCs w:val="18"/>
              </w:rPr>
              <w:t>Embryo</w:t>
            </w:r>
          </w:p>
        </w:tc>
        <w:tc>
          <w:tcPr>
            <w:tcW w:w="530" w:type="pct"/>
            <w:tcBorders>
              <w:top w:val="single" w:sz="4" w:space="0" w:color="auto"/>
              <w:left w:val="nil"/>
              <w:bottom w:val="nil"/>
              <w:right w:val="nil"/>
            </w:tcBorders>
          </w:tcPr>
          <w:p w14:paraId="3F1D70D4" w14:textId="3774A506" w:rsidR="004E3F27" w:rsidRDefault="004E3F27" w:rsidP="00587078">
            <w:pPr>
              <w:pStyle w:val="TableText"/>
              <w:ind w:right="227"/>
              <w:rPr>
                <w:rFonts w:cstheme="minorHAnsi"/>
                <w:szCs w:val="18"/>
              </w:rPr>
            </w:pPr>
            <w:r>
              <w:rPr>
                <w:rFonts w:cstheme="minorHAnsi"/>
                <w:szCs w:val="18"/>
              </w:rPr>
              <w:t>48</w:t>
            </w:r>
          </w:p>
        </w:tc>
        <w:tc>
          <w:tcPr>
            <w:tcW w:w="1062" w:type="pct"/>
            <w:tcBorders>
              <w:top w:val="single" w:sz="4" w:space="0" w:color="auto"/>
              <w:left w:val="nil"/>
              <w:bottom w:val="nil"/>
              <w:right w:val="nil"/>
            </w:tcBorders>
          </w:tcPr>
          <w:p w14:paraId="677E4C3B" w14:textId="10EBAD47" w:rsidR="004E3F27" w:rsidRPr="00AE5DAC" w:rsidRDefault="004E3F27" w:rsidP="004E3F27">
            <w:pPr>
              <w:pStyle w:val="TableText"/>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679" w:type="pct"/>
            <w:tcBorders>
              <w:top w:val="single" w:sz="4" w:space="0" w:color="auto"/>
              <w:left w:val="nil"/>
              <w:bottom w:val="nil"/>
              <w:right w:val="nil"/>
            </w:tcBorders>
          </w:tcPr>
          <w:p w14:paraId="733F5DC1" w14:textId="3C6324F5" w:rsidR="004E3F27" w:rsidRDefault="004E3F27" w:rsidP="00587078">
            <w:pPr>
              <w:pStyle w:val="TableText"/>
              <w:ind w:right="284"/>
              <w:jc w:val="right"/>
              <w:rPr>
                <w:rFonts w:cstheme="minorHAnsi"/>
                <w:szCs w:val="18"/>
              </w:rPr>
            </w:pPr>
            <w:r>
              <w:rPr>
                <w:rFonts w:cstheme="minorHAnsi"/>
                <w:szCs w:val="18"/>
              </w:rPr>
              <w:t>948</w:t>
            </w:r>
          </w:p>
        </w:tc>
      </w:tr>
      <w:tr w:rsidR="004E3F27" w:rsidRPr="00191EC2" w14:paraId="112F8EC6" w14:textId="77777777" w:rsidTr="00262040">
        <w:trPr>
          <w:cantSplit/>
        </w:trPr>
        <w:tc>
          <w:tcPr>
            <w:tcW w:w="860" w:type="pct"/>
            <w:tcBorders>
              <w:top w:val="single" w:sz="4" w:space="0" w:color="auto"/>
              <w:left w:val="nil"/>
              <w:bottom w:val="nil"/>
              <w:right w:val="nil"/>
            </w:tcBorders>
          </w:tcPr>
          <w:p w14:paraId="27F61DD7" w14:textId="73D916D0" w:rsidR="004E3F27" w:rsidRPr="002F16E6" w:rsidRDefault="004E3F27" w:rsidP="004E3F27">
            <w:pPr>
              <w:pStyle w:val="TableText"/>
              <w:rPr>
                <w:szCs w:val="18"/>
              </w:rPr>
            </w:pPr>
            <w:r>
              <w:rPr>
                <w:rFonts w:cstheme="minorHAnsi"/>
                <w:szCs w:val="18"/>
              </w:rPr>
              <w:t>Mollusc (b</w:t>
            </w:r>
            <w:r w:rsidRPr="00AE5DAC">
              <w:rPr>
                <w:rFonts w:cstheme="minorHAnsi"/>
                <w:szCs w:val="18"/>
              </w:rPr>
              <w:t>ivalve</w:t>
            </w:r>
            <w:r>
              <w:rPr>
                <w:rFonts w:cstheme="minorHAnsi"/>
                <w:szCs w:val="18"/>
              </w:rPr>
              <w:t>)</w:t>
            </w:r>
          </w:p>
        </w:tc>
        <w:tc>
          <w:tcPr>
            <w:tcW w:w="960" w:type="pct"/>
            <w:tcBorders>
              <w:top w:val="single" w:sz="4" w:space="0" w:color="auto"/>
              <w:left w:val="nil"/>
              <w:bottom w:val="nil"/>
              <w:right w:val="nil"/>
            </w:tcBorders>
          </w:tcPr>
          <w:p w14:paraId="27E37987" w14:textId="77777777" w:rsidR="004E3F27" w:rsidRPr="002F16E6" w:rsidRDefault="004E3F27" w:rsidP="004E3F27">
            <w:pPr>
              <w:pStyle w:val="TableText"/>
              <w:rPr>
                <w:i/>
                <w:iCs/>
                <w:szCs w:val="18"/>
              </w:rPr>
            </w:pPr>
            <w:r w:rsidRPr="00AE5DAC">
              <w:rPr>
                <w:rFonts w:cstheme="minorHAnsi"/>
                <w:i/>
                <w:iCs/>
                <w:color w:val="000000"/>
                <w:szCs w:val="18"/>
              </w:rPr>
              <w:t>Xenostrobus securis</w:t>
            </w:r>
          </w:p>
        </w:tc>
        <w:tc>
          <w:tcPr>
            <w:tcW w:w="909" w:type="pct"/>
            <w:tcBorders>
              <w:top w:val="single" w:sz="4" w:space="0" w:color="auto"/>
              <w:left w:val="nil"/>
              <w:bottom w:val="nil"/>
              <w:right w:val="nil"/>
            </w:tcBorders>
          </w:tcPr>
          <w:p w14:paraId="5CBA0144" w14:textId="77777777" w:rsidR="004E3F27" w:rsidRPr="002F16E6" w:rsidRDefault="004E3F27" w:rsidP="004E3F27">
            <w:pPr>
              <w:pStyle w:val="TableText"/>
              <w:rPr>
                <w:szCs w:val="18"/>
              </w:rPr>
            </w:pPr>
            <w:r w:rsidRPr="00AE5DAC">
              <w:rPr>
                <w:rFonts w:cstheme="minorHAnsi"/>
                <w:szCs w:val="18"/>
              </w:rPr>
              <w:t>Embryo</w:t>
            </w:r>
          </w:p>
        </w:tc>
        <w:tc>
          <w:tcPr>
            <w:tcW w:w="530" w:type="pct"/>
            <w:tcBorders>
              <w:top w:val="single" w:sz="4" w:space="0" w:color="auto"/>
              <w:left w:val="nil"/>
              <w:bottom w:val="nil"/>
              <w:right w:val="nil"/>
            </w:tcBorders>
          </w:tcPr>
          <w:p w14:paraId="66CF63A5" w14:textId="77777777" w:rsidR="004E3F27" w:rsidRPr="002F16E6" w:rsidRDefault="004E3F27" w:rsidP="00587078">
            <w:pPr>
              <w:pStyle w:val="TableText"/>
              <w:ind w:right="227"/>
              <w:rPr>
                <w:szCs w:val="18"/>
              </w:rPr>
            </w:pPr>
            <w:r>
              <w:rPr>
                <w:rFonts w:cstheme="minorHAnsi"/>
                <w:szCs w:val="18"/>
              </w:rPr>
              <w:t>48</w:t>
            </w:r>
          </w:p>
        </w:tc>
        <w:tc>
          <w:tcPr>
            <w:tcW w:w="1062" w:type="pct"/>
            <w:tcBorders>
              <w:top w:val="single" w:sz="4" w:space="0" w:color="auto"/>
              <w:left w:val="nil"/>
              <w:bottom w:val="nil"/>
              <w:right w:val="nil"/>
            </w:tcBorders>
          </w:tcPr>
          <w:p w14:paraId="3D2E97E5" w14:textId="77777777" w:rsidR="004E3F27" w:rsidRPr="002F16E6" w:rsidRDefault="004E3F27" w:rsidP="004E3F27">
            <w:pPr>
              <w:pStyle w:val="TableText"/>
              <w:rPr>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679" w:type="pct"/>
            <w:tcBorders>
              <w:top w:val="single" w:sz="4" w:space="0" w:color="auto"/>
              <w:left w:val="nil"/>
              <w:bottom w:val="nil"/>
              <w:right w:val="nil"/>
            </w:tcBorders>
          </w:tcPr>
          <w:p w14:paraId="3F85F5B2" w14:textId="77777777" w:rsidR="004E3F27" w:rsidRPr="002F16E6" w:rsidRDefault="004E3F27" w:rsidP="00587078">
            <w:pPr>
              <w:pStyle w:val="TableText"/>
              <w:ind w:right="284"/>
              <w:jc w:val="right"/>
              <w:rPr>
                <w:szCs w:val="18"/>
              </w:rPr>
            </w:pPr>
            <w:r>
              <w:rPr>
                <w:rFonts w:cstheme="minorHAnsi"/>
                <w:szCs w:val="18"/>
              </w:rPr>
              <w:t>896</w:t>
            </w:r>
          </w:p>
        </w:tc>
      </w:tr>
      <w:tr w:rsidR="004E3F27" w:rsidRPr="00191EC2" w14:paraId="498A8B6E" w14:textId="77777777" w:rsidTr="00262040">
        <w:trPr>
          <w:cantSplit/>
        </w:trPr>
        <w:tc>
          <w:tcPr>
            <w:tcW w:w="860" w:type="pct"/>
            <w:tcBorders>
              <w:bottom w:val="single" w:sz="4" w:space="0" w:color="auto"/>
            </w:tcBorders>
          </w:tcPr>
          <w:p w14:paraId="1AF13C80" w14:textId="77777777" w:rsidR="004E3F27" w:rsidRPr="002F16E6" w:rsidRDefault="004E3F27" w:rsidP="004E3F27">
            <w:pPr>
              <w:pStyle w:val="TableText"/>
              <w:rPr>
                <w:szCs w:val="18"/>
              </w:rPr>
            </w:pPr>
            <w:r w:rsidRPr="002F16E6">
              <w:rPr>
                <w:szCs w:val="18"/>
              </w:rPr>
              <w:t>Mollusc</w:t>
            </w:r>
            <w:r>
              <w:rPr>
                <w:szCs w:val="18"/>
              </w:rPr>
              <w:t xml:space="preserve"> (g</w:t>
            </w:r>
            <w:r w:rsidRPr="002F16E6">
              <w:rPr>
                <w:szCs w:val="18"/>
              </w:rPr>
              <w:t>astropod</w:t>
            </w:r>
            <w:r>
              <w:rPr>
                <w:szCs w:val="18"/>
              </w:rPr>
              <w:t>)</w:t>
            </w:r>
          </w:p>
        </w:tc>
        <w:tc>
          <w:tcPr>
            <w:tcW w:w="960" w:type="pct"/>
            <w:tcBorders>
              <w:bottom w:val="single" w:sz="4" w:space="0" w:color="auto"/>
            </w:tcBorders>
          </w:tcPr>
          <w:p w14:paraId="33AABE03" w14:textId="77777777" w:rsidR="004E3F27" w:rsidRPr="002F16E6" w:rsidRDefault="004E3F27" w:rsidP="004E3F27">
            <w:pPr>
              <w:pStyle w:val="TableText"/>
              <w:rPr>
                <w:i/>
                <w:iCs/>
                <w:szCs w:val="18"/>
              </w:rPr>
            </w:pPr>
            <w:r w:rsidRPr="002F16E6">
              <w:rPr>
                <w:i/>
                <w:iCs/>
                <w:szCs w:val="18"/>
              </w:rPr>
              <w:t>Haliotis rubra</w:t>
            </w:r>
          </w:p>
        </w:tc>
        <w:tc>
          <w:tcPr>
            <w:tcW w:w="909" w:type="pct"/>
            <w:tcBorders>
              <w:bottom w:val="single" w:sz="4" w:space="0" w:color="auto"/>
            </w:tcBorders>
          </w:tcPr>
          <w:p w14:paraId="384845D1" w14:textId="77777777" w:rsidR="004E3F27" w:rsidRPr="002F16E6" w:rsidRDefault="004E3F27" w:rsidP="004E3F27">
            <w:pPr>
              <w:pStyle w:val="TableText"/>
              <w:rPr>
                <w:szCs w:val="18"/>
              </w:rPr>
            </w:pPr>
            <w:r w:rsidRPr="002F16E6">
              <w:rPr>
                <w:szCs w:val="18"/>
              </w:rPr>
              <w:t>Embryo-larval (1 hour post fertilisation)</w:t>
            </w:r>
          </w:p>
        </w:tc>
        <w:tc>
          <w:tcPr>
            <w:tcW w:w="530" w:type="pct"/>
            <w:tcBorders>
              <w:bottom w:val="single" w:sz="4" w:space="0" w:color="auto"/>
            </w:tcBorders>
          </w:tcPr>
          <w:p w14:paraId="47AB3CC4" w14:textId="77777777" w:rsidR="004E3F27" w:rsidRPr="002F16E6" w:rsidRDefault="004E3F27" w:rsidP="00587078">
            <w:pPr>
              <w:pStyle w:val="TableText"/>
              <w:ind w:right="227"/>
              <w:rPr>
                <w:szCs w:val="18"/>
              </w:rPr>
            </w:pPr>
            <w:r w:rsidRPr="002F16E6">
              <w:rPr>
                <w:szCs w:val="18"/>
              </w:rPr>
              <w:t>48</w:t>
            </w:r>
          </w:p>
        </w:tc>
        <w:tc>
          <w:tcPr>
            <w:tcW w:w="1062" w:type="pct"/>
            <w:tcBorders>
              <w:bottom w:val="single" w:sz="4" w:space="0" w:color="auto"/>
            </w:tcBorders>
          </w:tcPr>
          <w:p w14:paraId="0F46FCE1" w14:textId="77777777" w:rsidR="004E3F27" w:rsidRPr="002F16E6" w:rsidRDefault="004E3F27" w:rsidP="004E3F27">
            <w:pPr>
              <w:pStyle w:val="TableText"/>
              <w:rPr>
                <w:szCs w:val="18"/>
              </w:rPr>
            </w:pPr>
            <w:r w:rsidRPr="002F16E6">
              <w:rPr>
                <w:szCs w:val="18"/>
              </w:rPr>
              <w:t>EC10 (</w:t>
            </w:r>
            <w:r>
              <w:rPr>
                <w:szCs w:val="18"/>
              </w:rPr>
              <w:t>n</w:t>
            </w:r>
            <w:r w:rsidRPr="002F16E6">
              <w:rPr>
                <w:szCs w:val="18"/>
              </w:rPr>
              <w:t>ormal development)</w:t>
            </w:r>
          </w:p>
        </w:tc>
        <w:tc>
          <w:tcPr>
            <w:tcW w:w="679" w:type="pct"/>
            <w:tcBorders>
              <w:bottom w:val="single" w:sz="4" w:space="0" w:color="auto"/>
            </w:tcBorders>
          </w:tcPr>
          <w:p w14:paraId="315FF6C4" w14:textId="77777777" w:rsidR="004E3F27" w:rsidRDefault="004E3F27" w:rsidP="00587078">
            <w:pPr>
              <w:pStyle w:val="TableText"/>
              <w:ind w:right="284"/>
              <w:jc w:val="right"/>
              <w:rPr>
                <w:szCs w:val="18"/>
              </w:rPr>
            </w:pPr>
            <w:r>
              <w:rPr>
                <w:szCs w:val="18"/>
              </w:rPr>
              <w:t>4,360</w:t>
            </w:r>
          </w:p>
        </w:tc>
      </w:tr>
      <w:tr w:rsidR="004E3F27" w:rsidRPr="00191EC2" w14:paraId="7CED4339" w14:textId="77777777" w:rsidTr="00262040">
        <w:trPr>
          <w:cantSplit/>
        </w:trPr>
        <w:tc>
          <w:tcPr>
            <w:tcW w:w="860" w:type="pct"/>
            <w:tcBorders>
              <w:top w:val="single" w:sz="4" w:space="0" w:color="auto"/>
              <w:bottom w:val="single" w:sz="12" w:space="0" w:color="auto"/>
            </w:tcBorders>
          </w:tcPr>
          <w:p w14:paraId="6313C6B6" w14:textId="754495EB" w:rsidR="004E3F27" w:rsidRPr="002F16E6" w:rsidRDefault="004E3F27" w:rsidP="004E3F27">
            <w:pPr>
              <w:pStyle w:val="TableText"/>
              <w:rPr>
                <w:szCs w:val="18"/>
              </w:rPr>
            </w:pPr>
            <w:r w:rsidRPr="002F16E6">
              <w:rPr>
                <w:szCs w:val="18"/>
              </w:rPr>
              <w:t>Crustacean</w:t>
            </w:r>
            <w:r>
              <w:rPr>
                <w:szCs w:val="18"/>
              </w:rPr>
              <w:t xml:space="preserve"> (crab)</w:t>
            </w:r>
          </w:p>
        </w:tc>
        <w:tc>
          <w:tcPr>
            <w:tcW w:w="960" w:type="pct"/>
            <w:tcBorders>
              <w:top w:val="single" w:sz="4" w:space="0" w:color="auto"/>
              <w:bottom w:val="single" w:sz="12" w:space="0" w:color="auto"/>
            </w:tcBorders>
          </w:tcPr>
          <w:p w14:paraId="08BB2676" w14:textId="6B64A4EE" w:rsidR="004E3F27" w:rsidRPr="002F16E6" w:rsidRDefault="004E3F27" w:rsidP="004E3F27">
            <w:pPr>
              <w:pStyle w:val="TableText"/>
              <w:rPr>
                <w:i/>
                <w:iCs/>
                <w:szCs w:val="18"/>
              </w:rPr>
            </w:pPr>
            <w:r w:rsidRPr="002F16E6">
              <w:rPr>
                <w:rStyle w:val="Emphasis"/>
                <w:szCs w:val="18"/>
              </w:rPr>
              <w:t>Cancer anthonyi</w:t>
            </w:r>
          </w:p>
        </w:tc>
        <w:tc>
          <w:tcPr>
            <w:tcW w:w="909" w:type="pct"/>
            <w:tcBorders>
              <w:top w:val="single" w:sz="4" w:space="0" w:color="auto"/>
              <w:bottom w:val="single" w:sz="12" w:space="0" w:color="auto"/>
            </w:tcBorders>
          </w:tcPr>
          <w:p w14:paraId="0EBF3764" w14:textId="0F183CCB" w:rsidR="004E3F27" w:rsidRPr="002F16E6" w:rsidRDefault="004E3F27" w:rsidP="004E3F27">
            <w:pPr>
              <w:pStyle w:val="TableText"/>
              <w:rPr>
                <w:szCs w:val="18"/>
              </w:rPr>
            </w:pPr>
            <w:r w:rsidRPr="002F16E6">
              <w:rPr>
                <w:szCs w:val="18"/>
              </w:rPr>
              <w:t>Embryo</w:t>
            </w:r>
          </w:p>
        </w:tc>
        <w:tc>
          <w:tcPr>
            <w:tcW w:w="530" w:type="pct"/>
            <w:tcBorders>
              <w:top w:val="single" w:sz="4" w:space="0" w:color="auto"/>
              <w:bottom w:val="single" w:sz="12" w:space="0" w:color="auto"/>
            </w:tcBorders>
          </w:tcPr>
          <w:p w14:paraId="58BCA57C" w14:textId="2FE1030D" w:rsidR="004E3F27" w:rsidRPr="002F16E6" w:rsidRDefault="004E3F27" w:rsidP="00587078">
            <w:pPr>
              <w:pStyle w:val="TableText"/>
              <w:ind w:right="227"/>
              <w:rPr>
                <w:szCs w:val="18"/>
              </w:rPr>
            </w:pPr>
            <w:r w:rsidRPr="002F16E6">
              <w:rPr>
                <w:szCs w:val="18"/>
              </w:rPr>
              <w:t>168</w:t>
            </w:r>
          </w:p>
        </w:tc>
        <w:tc>
          <w:tcPr>
            <w:tcW w:w="1062" w:type="pct"/>
            <w:tcBorders>
              <w:top w:val="single" w:sz="4" w:space="0" w:color="auto"/>
              <w:bottom w:val="single" w:sz="12" w:space="0" w:color="auto"/>
            </w:tcBorders>
          </w:tcPr>
          <w:p w14:paraId="58255BB0" w14:textId="663ED240" w:rsidR="004E3F27" w:rsidRPr="002F16E6" w:rsidRDefault="004E3F27" w:rsidP="004E3F27">
            <w:pPr>
              <w:pStyle w:val="TableText"/>
              <w:rPr>
                <w:szCs w:val="18"/>
              </w:rPr>
            </w:pPr>
            <w:r w:rsidRPr="002F16E6">
              <w:rPr>
                <w:szCs w:val="18"/>
              </w:rPr>
              <w:t>NOEC (</w:t>
            </w:r>
            <w:r>
              <w:rPr>
                <w:szCs w:val="18"/>
              </w:rPr>
              <w:t>hatching</w:t>
            </w:r>
            <w:r w:rsidRPr="002F16E6">
              <w:rPr>
                <w:szCs w:val="18"/>
              </w:rPr>
              <w:t>)</w:t>
            </w:r>
          </w:p>
        </w:tc>
        <w:tc>
          <w:tcPr>
            <w:tcW w:w="679" w:type="pct"/>
            <w:tcBorders>
              <w:top w:val="single" w:sz="4" w:space="0" w:color="auto"/>
              <w:bottom w:val="single" w:sz="12" w:space="0" w:color="auto"/>
            </w:tcBorders>
          </w:tcPr>
          <w:p w14:paraId="2C3B6061" w14:textId="1314DADD" w:rsidR="004E3F27" w:rsidRDefault="004E3F27" w:rsidP="00587078">
            <w:pPr>
              <w:pStyle w:val="TableText"/>
              <w:ind w:right="284"/>
              <w:jc w:val="right"/>
              <w:rPr>
                <w:szCs w:val="18"/>
              </w:rPr>
            </w:pPr>
            <w:r w:rsidRPr="002F16E6">
              <w:rPr>
                <w:szCs w:val="18"/>
              </w:rPr>
              <w:t>1</w:t>
            </w:r>
            <w:r w:rsidRPr="00401A4E">
              <w:rPr>
                <w:bCs/>
                <w:szCs w:val="18"/>
              </w:rPr>
              <w:t>,</w:t>
            </w:r>
            <w:r w:rsidRPr="002F16E6">
              <w:rPr>
                <w:szCs w:val="18"/>
              </w:rPr>
              <w:t>000</w:t>
            </w:r>
          </w:p>
        </w:tc>
      </w:tr>
    </w:tbl>
    <w:p w14:paraId="75052CC7" w14:textId="549D215E" w:rsidR="001A55F8" w:rsidRDefault="00901A86" w:rsidP="002B46E4">
      <w:pPr>
        <w:spacing w:before="200"/>
      </w:pPr>
      <w:r>
        <w:t>T</w:t>
      </w:r>
      <w:r w:rsidR="001A55F8">
        <w:t xml:space="preserve">here were chronic </w:t>
      </w:r>
      <w:r w:rsidR="00471ABD">
        <w:t xml:space="preserve">toxicity </w:t>
      </w:r>
      <w:r w:rsidR="001A55F8">
        <w:t xml:space="preserve">data for </w:t>
      </w:r>
      <w:r w:rsidR="005408FA">
        <w:t xml:space="preserve">16 </w:t>
      </w:r>
      <w:r w:rsidR="001A55F8">
        <w:t xml:space="preserve">marine species </w:t>
      </w:r>
      <w:r w:rsidR="003C7CDD">
        <w:t>from</w:t>
      </w:r>
      <w:r w:rsidR="001A55F8">
        <w:t xml:space="preserve"> </w:t>
      </w:r>
      <w:r w:rsidR="0068100A">
        <w:t xml:space="preserve">6 </w:t>
      </w:r>
      <w:r w:rsidR="001A55F8">
        <w:t>taxonomic groups (cnidaria</w:t>
      </w:r>
      <w:r w:rsidR="001F7A9F">
        <w:t>ns</w:t>
      </w:r>
      <w:r w:rsidR="001A55F8">
        <w:t xml:space="preserve">, </w:t>
      </w:r>
      <w:r w:rsidR="00146699">
        <w:t xml:space="preserve">echinoderms, </w:t>
      </w:r>
      <w:r w:rsidR="001A55F8">
        <w:t>crustacea</w:t>
      </w:r>
      <w:r w:rsidR="001F7A9F">
        <w:t>ns</w:t>
      </w:r>
      <w:r w:rsidR="001A55F8">
        <w:t>, microalgae</w:t>
      </w:r>
      <w:r w:rsidR="001C0CCC">
        <w:t>, bivalve</w:t>
      </w:r>
      <w:r w:rsidR="001A55F8">
        <w:t xml:space="preserve"> molluscs</w:t>
      </w:r>
      <w:r w:rsidR="001C0CCC">
        <w:t xml:space="preserve"> and gastropod molluscs</w:t>
      </w:r>
      <w:r w:rsidR="001A55F8">
        <w:t>)</w:t>
      </w:r>
      <w:r w:rsidR="003C7CDD">
        <w:t xml:space="preserve"> and acute toxicity data for </w:t>
      </w:r>
      <w:r w:rsidR="005408FA">
        <w:t xml:space="preserve">2 </w:t>
      </w:r>
      <w:r w:rsidR="003C7CDD">
        <w:t xml:space="preserve">marine species from </w:t>
      </w:r>
      <w:r w:rsidR="005408FA">
        <w:t xml:space="preserve">2 </w:t>
      </w:r>
      <w:r w:rsidR="003C7CDD">
        <w:t>taxonomic groups (crustacea</w:t>
      </w:r>
      <w:r w:rsidR="001F7A9F">
        <w:t>ns</w:t>
      </w:r>
      <w:r w:rsidR="003C7CDD">
        <w:t xml:space="preserve"> and fish)</w:t>
      </w:r>
      <w:r w:rsidR="001A55F8">
        <w:t xml:space="preserve"> that passed the quality </w:t>
      </w:r>
      <w:r w:rsidR="001A55F8">
        <w:lastRenderedPageBreak/>
        <w:t>assessment (</w:t>
      </w:r>
      <w:r w:rsidR="00CE307D">
        <w:fldChar w:fldCharType="begin"/>
      </w:r>
      <w:r w:rsidR="00CE307D">
        <w:instrText xml:space="preserve"> REF AppendixB \h </w:instrText>
      </w:r>
      <w:r w:rsidR="00CE307D">
        <w:fldChar w:fldCharType="separate"/>
      </w:r>
      <w:r w:rsidR="00510BCB" w:rsidRPr="00337A57">
        <w:t>Appendix</w:t>
      </w:r>
      <w:r w:rsidR="00510BCB">
        <w:t> B</w:t>
      </w:r>
      <w:r w:rsidR="00CE307D">
        <w:fldChar w:fldCharType="end"/>
      </w:r>
      <w:r w:rsidR="00CE307D" w:rsidRPr="00F37CC1">
        <w:t>,</w:t>
      </w:r>
      <w:r w:rsidR="00CE307D">
        <w:t xml:space="preserve"> </w:t>
      </w:r>
      <w:r w:rsidR="00CE307D">
        <w:fldChar w:fldCharType="begin"/>
      </w:r>
      <w:r w:rsidR="00CE307D">
        <w:instrText xml:space="preserve"> REF TableB1 \h </w:instrText>
      </w:r>
      <w:r w:rsidR="00CE307D">
        <w:fldChar w:fldCharType="separate"/>
      </w:r>
      <w:r w:rsidR="00510BCB">
        <w:t>Table B1</w:t>
      </w:r>
      <w:r w:rsidR="00CE307D">
        <w:fldChar w:fldCharType="end"/>
      </w:r>
      <w:r w:rsidR="001A55F8">
        <w:t>) (Warne et al. 2018). Best professional judgement was used in combination with data</w:t>
      </w:r>
      <w:r w:rsidR="005408FA">
        <w:t>-</w:t>
      </w:r>
      <w:r w:rsidR="001A55F8">
        <w:t xml:space="preserve">quality assessment scores of 50% or higher to consider the inclusion of important representative taxonomic groups. </w:t>
      </w:r>
      <w:r w:rsidR="003C7CDD">
        <w:t>D</w:t>
      </w:r>
      <w:r w:rsidR="00B20E1F">
        <w:t xml:space="preserve">ecisions relating to the inclusion or exclusion of specific data are detailed </w:t>
      </w:r>
      <w:r w:rsidR="00263216">
        <w:t>in the following paragraphs</w:t>
      </w:r>
      <w:r w:rsidR="00B20E1F">
        <w:t>.</w:t>
      </w:r>
    </w:p>
    <w:p w14:paraId="6293D071" w14:textId="03E3AF91" w:rsidR="001A55F8" w:rsidRDefault="00797B90" w:rsidP="001A55F8">
      <w:r>
        <w:t xml:space="preserve">The available </w:t>
      </w:r>
      <w:r w:rsidR="001A55F8">
        <w:t xml:space="preserve">data emphasise the need to determine the form of iron and the mechanism of iron toxicity to marine biota, especially </w:t>
      </w:r>
      <w:r w:rsidR="00632EAC">
        <w:t xml:space="preserve">for potentially </w:t>
      </w:r>
      <w:r w:rsidR="001A55F8">
        <w:t>sensitive taxa and endpoints</w:t>
      </w:r>
      <w:r w:rsidR="005408FA">
        <w:t>,</w:t>
      </w:r>
      <w:r w:rsidR="001A55F8">
        <w:t xml:space="preserve"> such as sea urchin embryo development (Pagano et al. 1996). The apparent </w:t>
      </w:r>
      <w:r w:rsidR="00632EAC">
        <w:t xml:space="preserve">very high </w:t>
      </w:r>
      <w:r w:rsidR="001A55F8">
        <w:t xml:space="preserve">sensitivity of </w:t>
      </w:r>
      <w:r w:rsidR="005408FA">
        <w:t xml:space="preserve">3 </w:t>
      </w:r>
      <w:r w:rsidR="001A55F8">
        <w:t>sea urchin</w:t>
      </w:r>
      <w:r w:rsidR="00082882">
        <w:t xml:space="preserve"> </w:t>
      </w:r>
      <w:r w:rsidR="00082882" w:rsidRPr="00EB7FFE">
        <w:t>specie</w:t>
      </w:r>
      <w:r w:rsidR="001A55F8" w:rsidRPr="00EB7FFE">
        <w:t xml:space="preserve">s </w:t>
      </w:r>
      <w:r w:rsidR="00082882" w:rsidRPr="00EB7FFE">
        <w:t>(</w:t>
      </w:r>
      <w:r w:rsidR="00082882" w:rsidRPr="00EB7FFE">
        <w:rPr>
          <w:rStyle w:val="Emphasis"/>
        </w:rPr>
        <w:t>S. granularis</w:t>
      </w:r>
      <w:r w:rsidR="00082882" w:rsidRPr="00EB7FFE">
        <w:t xml:space="preserve">, </w:t>
      </w:r>
      <w:r w:rsidR="00082882" w:rsidRPr="00EB7FFE">
        <w:rPr>
          <w:rStyle w:val="Emphasis"/>
        </w:rPr>
        <w:t>P</w:t>
      </w:r>
      <w:r w:rsidR="005408FA">
        <w:rPr>
          <w:rStyle w:val="Emphasis"/>
        </w:rPr>
        <w:t>aracentrotus</w:t>
      </w:r>
      <w:r w:rsidR="00082882" w:rsidRPr="00EB7FFE">
        <w:rPr>
          <w:rStyle w:val="Emphasis"/>
        </w:rPr>
        <w:t xml:space="preserve"> lividus</w:t>
      </w:r>
      <w:r w:rsidR="00082882" w:rsidRPr="00EB7FFE">
        <w:t xml:space="preserve">, </w:t>
      </w:r>
      <w:r w:rsidR="00082882" w:rsidRPr="00EB7FFE">
        <w:rPr>
          <w:rStyle w:val="Emphasis"/>
        </w:rPr>
        <w:t>P</w:t>
      </w:r>
      <w:r w:rsidR="005408FA">
        <w:rPr>
          <w:rStyle w:val="Emphasis"/>
        </w:rPr>
        <w:t>sammechinus</w:t>
      </w:r>
      <w:r w:rsidR="00EB7FFE">
        <w:t> </w:t>
      </w:r>
      <w:r w:rsidR="00082882" w:rsidRPr="00EB7FFE">
        <w:rPr>
          <w:rStyle w:val="Emphasis"/>
        </w:rPr>
        <w:t>microtuberculatus</w:t>
      </w:r>
      <w:r w:rsidR="00082882" w:rsidRPr="00EB7FFE">
        <w:t xml:space="preserve">) </w:t>
      </w:r>
      <w:r w:rsidR="001A55F8" w:rsidRPr="00EB7FFE">
        <w:t>came from</w:t>
      </w:r>
      <w:r w:rsidR="001A55F8">
        <w:t xml:space="preserve"> only one publication (Pagano et al. 1996)</w:t>
      </w:r>
      <w:r w:rsidR="00632EAC">
        <w:t xml:space="preserve"> that was </w:t>
      </w:r>
      <w:r w:rsidR="001A55F8">
        <w:t>not of acceptable quality</w:t>
      </w:r>
      <w:r w:rsidR="00843BA3">
        <w:t>, and the data were not used in the current derivation</w:t>
      </w:r>
      <w:r w:rsidR="00632EAC">
        <w:t xml:space="preserve">. </w:t>
      </w:r>
      <w:r w:rsidR="00C37924">
        <w:t xml:space="preserve">However, a toxicity value for another sea urchin, </w:t>
      </w:r>
      <w:r w:rsidR="00C37924" w:rsidRPr="00200D19">
        <w:rPr>
          <w:i/>
          <w:iCs/>
        </w:rPr>
        <w:t>H. tuberculata</w:t>
      </w:r>
      <w:r w:rsidR="00C37924">
        <w:t xml:space="preserve">, which indicated lower sensitivity to iron (Doyle 1999, as cited by Markich et al. 2002), was included in the derivation. This value was sourced from the Australasian Ecotoxicology Database (Markich et al. 2002) and was deemed to be of acceptable quality. Nevertheless, further testing of echinoderm species is </w:t>
      </w:r>
      <w:r w:rsidR="001A55F8">
        <w:t>desirable</w:t>
      </w:r>
      <w:r w:rsidR="000B12F2">
        <w:t>,</w:t>
      </w:r>
      <w:r w:rsidR="001A55F8">
        <w:t xml:space="preserve"> as </w:t>
      </w:r>
      <w:r w:rsidR="00632EAC">
        <w:t>negligible</w:t>
      </w:r>
      <w:r w:rsidR="00E96309">
        <w:t>-</w:t>
      </w:r>
      <w:r w:rsidR="00632EAC">
        <w:t>effect</w:t>
      </w:r>
      <w:r w:rsidR="001A55F8">
        <w:t xml:space="preserve"> values could be </w:t>
      </w:r>
      <w:r w:rsidR="00C37924">
        <w:t>markedly</w:t>
      </w:r>
      <w:r w:rsidR="001A55F8">
        <w:t xml:space="preserve"> below the lowest </w:t>
      </w:r>
      <w:r w:rsidR="000B12F2">
        <w:t xml:space="preserve">currently </w:t>
      </w:r>
      <w:r w:rsidR="001A55F8">
        <w:t xml:space="preserve">accepted data. The mudskipper </w:t>
      </w:r>
      <w:r w:rsidR="00B6042D" w:rsidRPr="00EB7FFE">
        <w:t>(</w:t>
      </w:r>
      <w:r w:rsidR="00B6042D" w:rsidRPr="00EB7FFE">
        <w:rPr>
          <w:rStyle w:val="Emphasis"/>
        </w:rPr>
        <w:t>P</w:t>
      </w:r>
      <w:r w:rsidR="001107EE">
        <w:rPr>
          <w:rStyle w:val="Emphasis"/>
        </w:rPr>
        <w:t>eriophthalmus</w:t>
      </w:r>
      <w:r w:rsidR="002D02E4">
        <w:t> </w:t>
      </w:r>
      <w:r w:rsidR="00B6042D" w:rsidRPr="00EB7FFE">
        <w:rPr>
          <w:rStyle w:val="Emphasis"/>
        </w:rPr>
        <w:t>waltoni</w:t>
      </w:r>
      <w:r w:rsidR="00B6042D" w:rsidRPr="00EB7FFE">
        <w:t xml:space="preserve">) </w:t>
      </w:r>
      <w:r w:rsidR="001A55F8">
        <w:t xml:space="preserve">data referred to in </w:t>
      </w:r>
      <w:r w:rsidR="006D7A6F">
        <w:t>s</w:t>
      </w:r>
      <w:r w:rsidR="001A55F8">
        <w:t>ection</w:t>
      </w:r>
      <w:r w:rsidR="002D02E4">
        <w:t> </w:t>
      </w:r>
      <w:r w:rsidR="00632EAC">
        <w:fldChar w:fldCharType="begin"/>
      </w:r>
      <w:r w:rsidR="00632EAC">
        <w:instrText xml:space="preserve"> REF _Ref174614935 \r \h </w:instrText>
      </w:r>
      <w:r w:rsidR="00632EAC">
        <w:fldChar w:fldCharType="separate"/>
      </w:r>
      <w:r w:rsidR="00510BCB">
        <w:t>2.2</w:t>
      </w:r>
      <w:r w:rsidR="00632EAC">
        <w:fldChar w:fldCharType="end"/>
      </w:r>
      <w:r w:rsidR="001A55F8">
        <w:t xml:space="preserve"> </w:t>
      </w:r>
      <w:r w:rsidR="00632EAC">
        <w:t>(</w:t>
      </w:r>
      <w:r w:rsidR="00632EAC" w:rsidRPr="001A43BC">
        <w:t>Bu-Olayan</w:t>
      </w:r>
      <w:r w:rsidR="00632EAC">
        <w:t xml:space="preserve"> </w:t>
      </w:r>
      <w:r w:rsidR="006D7A6F">
        <w:t>and</w:t>
      </w:r>
      <w:r w:rsidR="00632EAC">
        <w:t xml:space="preserve"> Thomas </w:t>
      </w:r>
      <w:r w:rsidR="00632EAC" w:rsidRPr="001A43BC">
        <w:t>2008</w:t>
      </w:r>
      <w:r w:rsidR="00632EAC">
        <w:t xml:space="preserve">) </w:t>
      </w:r>
      <w:r w:rsidR="001A55F8">
        <w:t xml:space="preserve">also </w:t>
      </w:r>
      <w:r w:rsidR="00632EAC">
        <w:t>suggested very high sensitivity relative to other species</w:t>
      </w:r>
      <w:r w:rsidR="002D02E4">
        <w:t>,</w:t>
      </w:r>
      <w:r w:rsidR="00B6042D">
        <w:t xml:space="preserve"> but the data did not pass the quality assessment and</w:t>
      </w:r>
      <w:r w:rsidR="00843BA3">
        <w:t>, consequently, the toxicity value was not used in the current derivation</w:t>
      </w:r>
      <w:r w:rsidR="00B6042D">
        <w:t xml:space="preserve">. </w:t>
      </w:r>
      <w:r w:rsidR="00843BA3">
        <w:t xml:space="preserve">Notably, the toxicity values for the sea urchins and mudskipper currently represent outliers in the overall iron toxicity dataset (for both freshwater and marine species), and the veracity of instances of such high iron aquatic toxicity would need to be confirmed before such data could be incorporated into </w:t>
      </w:r>
      <w:r w:rsidR="005E04E4">
        <w:t xml:space="preserve">the derivation of </w:t>
      </w:r>
      <w:r w:rsidR="00843BA3">
        <w:t>DGVs.</w:t>
      </w:r>
    </w:p>
    <w:p w14:paraId="2B0BB58A" w14:textId="4BC2F11D" w:rsidR="00D213B4" w:rsidRDefault="0044127A" w:rsidP="001A55F8">
      <w:r>
        <w:t xml:space="preserve">As noted in </w:t>
      </w:r>
      <w:r w:rsidR="006D7A6F">
        <w:t>s</w:t>
      </w:r>
      <w:r>
        <w:t>ection </w:t>
      </w:r>
      <w:r>
        <w:fldChar w:fldCharType="begin"/>
      </w:r>
      <w:r>
        <w:instrText xml:space="preserve"> REF _Ref174614935 \r \h </w:instrText>
      </w:r>
      <w:r>
        <w:fldChar w:fldCharType="separate"/>
      </w:r>
      <w:r w:rsidR="00510BCB">
        <w:t>2.2</w:t>
      </w:r>
      <w:r>
        <w:fldChar w:fldCharType="end"/>
      </w:r>
      <w:r>
        <w:t xml:space="preserve">, </w:t>
      </w:r>
      <w:r w:rsidR="0072442D">
        <w:t>Han et al.</w:t>
      </w:r>
      <w:r w:rsidR="00AC3A44">
        <w:t xml:space="preserve"> (2022) </w:t>
      </w:r>
      <w:r>
        <w:t>reported iron toxicity values</w:t>
      </w:r>
      <w:r w:rsidR="00AC3A44">
        <w:t xml:space="preserve"> </w:t>
      </w:r>
      <w:r>
        <w:t xml:space="preserve">for </w:t>
      </w:r>
      <w:r w:rsidR="00AC3A44">
        <w:t xml:space="preserve">the rotifers </w:t>
      </w:r>
      <w:r w:rsidRPr="00434390">
        <w:rPr>
          <w:i/>
          <w:iCs/>
        </w:rPr>
        <w:t>B</w:t>
      </w:r>
      <w:r>
        <w:rPr>
          <w:i/>
          <w:iCs/>
        </w:rPr>
        <w:t>.</w:t>
      </w:r>
      <w:r w:rsidRPr="00434390">
        <w:rPr>
          <w:i/>
          <w:iCs/>
        </w:rPr>
        <w:t xml:space="preserve"> </w:t>
      </w:r>
      <w:r w:rsidR="006E4470" w:rsidRPr="00434390">
        <w:rPr>
          <w:i/>
          <w:iCs/>
        </w:rPr>
        <w:t>plicatilis</w:t>
      </w:r>
      <w:r w:rsidR="006E4470">
        <w:t xml:space="preserve"> and </w:t>
      </w:r>
      <w:r w:rsidRPr="00434390">
        <w:rPr>
          <w:i/>
          <w:iCs/>
        </w:rPr>
        <w:t>B</w:t>
      </w:r>
      <w:r>
        <w:rPr>
          <w:i/>
          <w:iCs/>
        </w:rPr>
        <w:t>.</w:t>
      </w:r>
      <w:r w:rsidRPr="00434390">
        <w:rPr>
          <w:i/>
          <w:iCs/>
        </w:rPr>
        <w:t xml:space="preserve"> </w:t>
      </w:r>
      <w:r w:rsidR="004267AE" w:rsidRPr="00434390">
        <w:rPr>
          <w:i/>
          <w:iCs/>
        </w:rPr>
        <w:t>rotundiformus</w:t>
      </w:r>
      <w:r>
        <w:rPr>
          <w:i/>
          <w:iCs/>
        </w:rPr>
        <w:t xml:space="preserve">. </w:t>
      </w:r>
      <w:r w:rsidRPr="0044127A">
        <w:t>However,</w:t>
      </w:r>
      <w:r>
        <w:rPr>
          <w:i/>
          <w:iCs/>
        </w:rPr>
        <w:t xml:space="preserve"> </w:t>
      </w:r>
      <w:r>
        <w:t>t</w:t>
      </w:r>
      <w:r w:rsidR="004267AE">
        <w:t xml:space="preserve">he salinity of the test solutions </w:t>
      </w:r>
      <w:r w:rsidR="00657E83">
        <w:t xml:space="preserve">(17‰) </w:t>
      </w:r>
      <w:r w:rsidR="004267AE">
        <w:t xml:space="preserve">was </w:t>
      </w:r>
      <w:r w:rsidR="00D213B4">
        <w:t xml:space="preserve">well </w:t>
      </w:r>
      <w:r w:rsidR="00140EC4">
        <w:t xml:space="preserve">below the acceptable </w:t>
      </w:r>
      <w:r>
        <w:t xml:space="preserve">lower </w:t>
      </w:r>
      <w:r w:rsidR="00140EC4">
        <w:t>limit of 25‰</w:t>
      </w:r>
      <w:r w:rsidR="00FC7A09">
        <w:t xml:space="preserve"> </w:t>
      </w:r>
      <w:r w:rsidR="002A49B2">
        <w:t>(</w:t>
      </w:r>
      <w:r w:rsidR="00FC7A09">
        <w:t>Warne et al.</w:t>
      </w:r>
      <w:r w:rsidR="002A49B2">
        <w:t xml:space="preserve"> 2018)</w:t>
      </w:r>
      <w:r w:rsidR="00244B3B">
        <w:t>,</w:t>
      </w:r>
      <w:r w:rsidR="00140EC4">
        <w:t xml:space="preserve"> so the </w:t>
      </w:r>
      <w:r w:rsidR="00270293">
        <w:t xml:space="preserve">data were excluded from the </w:t>
      </w:r>
      <w:r>
        <w:t>derivation</w:t>
      </w:r>
      <w:r w:rsidR="00270293">
        <w:t>.</w:t>
      </w:r>
      <w:r w:rsidR="00D213B4">
        <w:t xml:space="preserve"> In contrast, the toxicity values for the corals </w:t>
      </w:r>
      <w:r w:rsidR="00D213B4" w:rsidRPr="00D213B4">
        <w:rPr>
          <w:i/>
          <w:iCs/>
        </w:rPr>
        <w:t>A. spathulata</w:t>
      </w:r>
      <w:r w:rsidR="00D213B4">
        <w:t xml:space="preserve"> and </w:t>
      </w:r>
      <w:r w:rsidR="00D213B4" w:rsidRPr="00D213B4">
        <w:rPr>
          <w:i/>
          <w:iCs/>
        </w:rPr>
        <w:t>P</w:t>
      </w:r>
      <w:r w:rsidR="00001F7B">
        <w:rPr>
          <w:i/>
          <w:iCs/>
        </w:rPr>
        <w:t>laygyra</w:t>
      </w:r>
      <w:r w:rsidR="00D213B4" w:rsidRPr="00D213B4">
        <w:rPr>
          <w:i/>
          <w:iCs/>
        </w:rPr>
        <w:t xml:space="preserve"> daedalea</w:t>
      </w:r>
      <w:r w:rsidR="00D213B4">
        <w:t xml:space="preserve"> were obtained in seawater with salinit</w:t>
      </w:r>
      <w:r w:rsidR="000045F1">
        <w:t>ies</w:t>
      </w:r>
      <w:r w:rsidR="00D213B4">
        <w:t xml:space="preserve"> of 37</w:t>
      </w:r>
      <w:r w:rsidR="00CC5338">
        <w:t xml:space="preserve">‰ to </w:t>
      </w:r>
      <w:r w:rsidR="00D213B4">
        <w:t>39‰, which is slightly above the accepta</w:t>
      </w:r>
      <w:r w:rsidR="001E5335">
        <w:t>b</w:t>
      </w:r>
      <w:r w:rsidR="00D213B4">
        <w:t xml:space="preserve">le upper limit of 36‰ (Warne et al. 2018). The high salinity </w:t>
      </w:r>
      <w:r w:rsidR="00D213B4" w:rsidRPr="00B74454">
        <w:t>reflect</w:t>
      </w:r>
      <w:r w:rsidR="00D213B4">
        <w:t>ed</w:t>
      </w:r>
      <w:r w:rsidR="00D213B4" w:rsidRPr="00B74454">
        <w:t xml:space="preserve"> the naturally high background salinity of the tropical reef flat where </w:t>
      </w:r>
      <w:r w:rsidR="00D213B4">
        <w:t xml:space="preserve">the </w:t>
      </w:r>
      <w:r w:rsidR="00D213B4" w:rsidRPr="00B74454">
        <w:t>coral</w:t>
      </w:r>
      <w:r w:rsidR="00D213B4">
        <w:t>s</w:t>
      </w:r>
      <w:r w:rsidR="00D213B4" w:rsidRPr="00B74454">
        <w:t xml:space="preserve"> w</w:t>
      </w:r>
      <w:r w:rsidR="00D213B4">
        <w:t>ere</w:t>
      </w:r>
      <w:r w:rsidR="00D213B4" w:rsidRPr="00B74454">
        <w:t xml:space="preserve"> collected (Leigh-Smith et al. 2018). The influence of high salinity (&gt;</w:t>
      </w:r>
      <w:r w:rsidR="006D7A6F">
        <w:t> </w:t>
      </w:r>
      <w:r w:rsidR="00D213B4" w:rsidRPr="00B74454">
        <w:t>36</w:t>
      </w:r>
      <w:r w:rsidR="00EB1786">
        <w:t>‰</w:t>
      </w:r>
      <w:r w:rsidR="00D213B4" w:rsidRPr="00B74454">
        <w:t>) on iron solubility and</w:t>
      </w:r>
      <w:r w:rsidR="00EB1786">
        <w:t>,</w:t>
      </w:r>
      <w:r w:rsidR="00D213B4" w:rsidRPr="00B74454">
        <w:t xml:space="preserve"> hence</w:t>
      </w:r>
      <w:r w:rsidR="00EB1786">
        <w:t>,</w:t>
      </w:r>
      <w:r w:rsidR="00D213B4" w:rsidRPr="00B74454">
        <w:t xml:space="preserve"> toxicity is unknown, but</w:t>
      </w:r>
      <w:r w:rsidR="00D213B4">
        <w:t xml:space="preserve"> it is</w:t>
      </w:r>
      <w:r w:rsidR="00D213B4" w:rsidRPr="00B74454">
        <w:t xml:space="preserve"> likely to be minimal compared to other stronger influences</w:t>
      </w:r>
      <w:r w:rsidR="004E47EB">
        <w:t>,</w:t>
      </w:r>
      <w:r w:rsidR="00D213B4" w:rsidRPr="00B74454">
        <w:t xml:space="preserve"> such as organic complexation. </w:t>
      </w:r>
      <w:r w:rsidR="00D213B4">
        <w:t>Consequently, the coral data were included in the derivation.</w:t>
      </w:r>
    </w:p>
    <w:p w14:paraId="07085BF4" w14:textId="4FADC9E2" w:rsidR="00CA6C00" w:rsidRPr="00CA6C00" w:rsidRDefault="00CA6C00" w:rsidP="00CA6C00">
      <w:r>
        <w:t>The toxicity value (NOEC ≥</w:t>
      </w:r>
      <w:r w:rsidR="00D75AD1">
        <w:t> </w:t>
      </w:r>
      <w:r>
        <w:t>800</w:t>
      </w:r>
      <w:r w:rsidR="00D75AD1">
        <w:t> </w:t>
      </w:r>
      <w:r w:rsidRPr="00CA6C00">
        <w:t>µg/L</w:t>
      </w:r>
      <w:r>
        <w:t xml:space="preserve">) for the mussel </w:t>
      </w:r>
      <w:r w:rsidRPr="00CA6C00">
        <w:rPr>
          <w:i/>
          <w:iCs/>
        </w:rPr>
        <w:t>M. galloprovincialis</w:t>
      </w:r>
      <w:r>
        <w:t xml:space="preserve"> from Kadar et al. (2010) was excluded from the derivation because the study used only </w:t>
      </w:r>
      <w:r w:rsidR="00EB1786">
        <w:t xml:space="preserve">3 </w:t>
      </w:r>
      <w:r>
        <w:t xml:space="preserve">concentrations, </w:t>
      </w:r>
      <w:r w:rsidR="004E15E2">
        <w:t>increasing by an</w:t>
      </w:r>
      <w:r w:rsidR="00D712D7">
        <w:t xml:space="preserve"> order of magnitude</w:t>
      </w:r>
      <w:r>
        <w:t xml:space="preserve"> (i.e. </w:t>
      </w:r>
      <w:r w:rsidRPr="00CA6C00">
        <w:t>8</w:t>
      </w:r>
      <w:r w:rsidR="00D75AD1">
        <w:t> </w:t>
      </w:r>
      <w:r w:rsidR="00D75AD1" w:rsidRPr="00CA6C00">
        <w:t>µg/L</w:t>
      </w:r>
      <w:r w:rsidRPr="00CA6C00">
        <w:t>, 80</w:t>
      </w:r>
      <w:r w:rsidR="00D75AD1">
        <w:t> </w:t>
      </w:r>
      <w:r w:rsidR="00D75AD1" w:rsidRPr="00CA6C00">
        <w:t>µg/L</w:t>
      </w:r>
      <w:r w:rsidRPr="00CA6C00">
        <w:t xml:space="preserve"> and 800</w:t>
      </w:r>
      <w:r w:rsidR="00D75AD1">
        <w:t> </w:t>
      </w:r>
      <w:r w:rsidRPr="00CA6C00">
        <w:t>µg/L</w:t>
      </w:r>
      <w:r>
        <w:t xml:space="preserve">), and </w:t>
      </w:r>
      <w:r w:rsidRPr="00CA6C00">
        <w:t xml:space="preserve">showed no effects </w:t>
      </w:r>
      <w:r>
        <w:t>at any of the</w:t>
      </w:r>
      <w:r w:rsidRPr="00CA6C00">
        <w:t xml:space="preserve"> concentration</w:t>
      </w:r>
      <w:r>
        <w:t xml:space="preserve">s. Moreover, there were numerous other bivalves represented in the dataset, as discussed </w:t>
      </w:r>
      <w:r w:rsidR="00125874">
        <w:t>in the following paragraph</w:t>
      </w:r>
      <w:r>
        <w:t>.</w:t>
      </w:r>
    </w:p>
    <w:p w14:paraId="287FE0AD" w14:textId="582A9264" w:rsidR="008B4B3B" w:rsidRDefault="008B4B3B" w:rsidP="008B4B3B">
      <w:pPr>
        <w:rPr>
          <w:rFonts w:eastAsiaTheme="minorEastAsia"/>
          <w:lang w:val="en-US" w:bidi="en-US"/>
        </w:rPr>
      </w:pPr>
      <w:r>
        <w:rPr>
          <w:rFonts w:eastAsiaTheme="minorEastAsia"/>
          <w:iCs/>
          <w:lang w:val="en-US" w:bidi="en-US"/>
        </w:rPr>
        <w:t xml:space="preserve">The inclusion of the iron toxicity data for </w:t>
      </w:r>
      <w:r w:rsidRPr="002D3C1C">
        <w:rPr>
          <w:rFonts w:eastAsiaTheme="minorEastAsia"/>
          <w:iCs/>
          <w:lang w:val="en-US" w:bidi="en-US"/>
        </w:rPr>
        <w:t xml:space="preserve">10 </w:t>
      </w:r>
      <w:r>
        <w:rPr>
          <w:rFonts w:eastAsiaTheme="minorEastAsia"/>
          <w:iCs/>
          <w:lang w:val="en-US" w:bidi="en-US"/>
        </w:rPr>
        <w:t>species</w:t>
      </w:r>
      <w:r w:rsidR="001253B6">
        <w:rPr>
          <w:rFonts w:eastAsiaTheme="minorEastAsia"/>
          <w:iCs/>
          <w:lang w:val="en-US" w:bidi="en-US"/>
        </w:rPr>
        <w:t xml:space="preserve"> of bivalve mollusc</w:t>
      </w:r>
      <w:r>
        <w:rPr>
          <w:rFonts w:eastAsiaTheme="minorEastAsia"/>
          <w:iCs/>
          <w:lang w:val="en-US" w:bidi="en-US"/>
        </w:rPr>
        <w:t xml:space="preserve"> published</w:t>
      </w:r>
      <w:r w:rsidRPr="002D3C1C">
        <w:rPr>
          <w:rFonts w:eastAsiaTheme="minorEastAsia"/>
          <w:iCs/>
          <w:lang w:val="en-US" w:bidi="en-US"/>
        </w:rPr>
        <w:t xml:space="preserve"> by Markich (2021) </w:t>
      </w:r>
      <w:r>
        <w:rPr>
          <w:rFonts w:eastAsiaTheme="minorEastAsia"/>
          <w:iCs/>
          <w:lang w:val="en-US" w:bidi="en-US"/>
        </w:rPr>
        <w:t>resulted in 1</w:t>
      </w:r>
      <w:r w:rsidR="00C361BF">
        <w:rPr>
          <w:rFonts w:eastAsiaTheme="minorEastAsia"/>
          <w:iCs/>
          <w:lang w:val="en-US" w:bidi="en-US"/>
        </w:rPr>
        <w:t>0</w:t>
      </w:r>
      <w:r>
        <w:rPr>
          <w:rFonts w:eastAsiaTheme="minorEastAsia"/>
          <w:iCs/>
          <w:lang w:val="en-US" w:bidi="en-US"/>
        </w:rPr>
        <w:t xml:space="preserve"> of the </w:t>
      </w:r>
      <w:r w:rsidR="008E13B8">
        <w:rPr>
          <w:rFonts w:eastAsiaTheme="minorEastAsia"/>
          <w:iCs/>
          <w:lang w:val="en-US" w:bidi="en-US"/>
        </w:rPr>
        <w:t xml:space="preserve">16 </w:t>
      </w:r>
      <w:r>
        <w:rPr>
          <w:rFonts w:eastAsiaTheme="minorEastAsia"/>
          <w:iCs/>
          <w:lang w:val="en-US" w:bidi="en-US"/>
        </w:rPr>
        <w:t xml:space="preserve">species in the </w:t>
      </w:r>
      <w:r w:rsidR="006F7AD6">
        <w:rPr>
          <w:rFonts w:eastAsiaTheme="minorEastAsia"/>
          <w:iCs/>
          <w:lang w:val="en-US" w:bidi="en-US"/>
        </w:rPr>
        <w:t xml:space="preserve">chronic </w:t>
      </w:r>
      <w:r w:rsidR="00B20E1F">
        <w:rPr>
          <w:rFonts w:eastAsiaTheme="minorEastAsia"/>
          <w:iCs/>
          <w:lang w:val="en-US" w:bidi="en-US"/>
        </w:rPr>
        <w:t xml:space="preserve">toxicity dataset </w:t>
      </w:r>
      <w:r>
        <w:rPr>
          <w:rFonts w:eastAsiaTheme="minorEastAsia"/>
          <w:iCs/>
          <w:lang w:val="en-US" w:bidi="en-US"/>
        </w:rPr>
        <w:t xml:space="preserve">being bivalves (i.e. </w:t>
      </w:r>
      <w:r w:rsidR="008E13B8">
        <w:rPr>
          <w:rFonts w:eastAsiaTheme="minorEastAsia"/>
          <w:iCs/>
          <w:lang w:val="en-US" w:bidi="en-US"/>
        </w:rPr>
        <w:t>63</w:t>
      </w:r>
      <w:r>
        <w:rPr>
          <w:rFonts w:eastAsiaTheme="minorEastAsia"/>
          <w:iCs/>
          <w:lang w:val="en-US" w:bidi="en-US"/>
        </w:rPr>
        <w:t xml:space="preserve">% of the species). </w:t>
      </w:r>
      <w:r w:rsidR="00FD2988">
        <w:rPr>
          <w:rFonts w:eastAsiaTheme="minorEastAsia"/>
          <w:iCs/>
          <w:lang w:val="en-US" w:bidi="en-US"/>
        </w:rPr>
        <w:fldChar w:fldCharType="begin"/>
      </w:r>
      <w:r w:rsidR="00FD2988">
        <w:rPr>
          <w:rFonts w:eastAsiaTheme="minorEastAsia"/>
          <w:iCs/>
          <w:lang w:val="en-US" w:bidi="en-US"/>
        </w:rPr>
        <w:instrText xml:space="preserve"> REF AppendixC \h </w:instrText>
      </w:r>
      <w:r w:rsidR="00FD2988">
        <w:rPr>
          <w:rFonts w:eastAsiaTheme="minorEastAsia"/>
          <w:iCs/>
          <w:lang w:val="en-US" w:bidi="en-US"/>
        </w:rPr>
      </w:r>
      <w:r w:rsidR="00FD2988">
        <w:rPr>
          <w:rFonts w:eastAsiaTheme="minorEastAsia"/>
          <w:iCs/>
          <w:lang w:val="en-US" w:bidi="en-US"/>
        </w:rPr>
        <w:fldChar w:fldCharType="separate"/>
      </w:r>
      <w:r w:rsidR="00510BCB">
        <w:t>Appendix C</w:t>
      </w:r>
      <w:r w:rsidR="00FD2988">
        <w:rPr>
          <w:rFonts w:eastAsiaTheme="minorEastAsia"/>
          <w:iCs/>
          <w:lang w:val="en-US" w:bidi="en-US"/>
        </w:rPr>
        <w:fldChar w:fldCharType="end"/>
      </w:r>
      <w:r w:rsidR="00FD2988">
        <w:rPr>
          <w:rFonts w:eastAsiaTheme="minorEastAsia"/>
          <w:iCs/>
          <w:lang w:val="en-US" w:bidi="en-US"/>
        </w:rPr>
        <w:t xml:space="preserve"> </w:t>
      </w:r>
      <w:r>
        <w:rPr>
          <w:rFonts w:eastAsiaTheme="minorEastAsia"/>
          <w:iCs/>
          <w:lang w:val="en-US" w:bidi="en-US"/>
        </w:rPr>
        <w:t>presents an assessment of the effect of inclusion of the Markich (2021) bivalve species on the SSD and associated protective concentration values</w:t>
      </w:r>
      <w:r w:rsidRPr="002D3C1C">
        <w:rPr>
          <w:rFonts w:eastAsiaTheme="minorEastAsia"/>
          <w:iCs/>
          <w:lang w:val="en-US" w:bidi="en-US"/>
        </w:rPr>
        <w:t xml:space="preserve">. </w:t>
      </w:r>
      <w:r>
        <w:rPr>
          <w:rFonts w:eastAsiaTheme="minorEastAsia"/>
          <w:iCs/>
          <w:lang w:val="en-US" w:bidi="en-US"/>
        </w:rPr>
        <w:t xml:space="preserve">This assessment </w:t>
      </w:r>
      <w:r>
        <w:rPr>
          <w:rFonts w:eastAsiaTheme="minorEastAsia"/>
          <w:lang w:val="en-US" w:bidi="en-US"/>
        </w:rPr>
        <w:t>provided no strong argument to exclude the Markich (2021) bivalve data on the basis that they resulted in an over-representation of this taxonomic group</w:t>
      </w:r>
      <w:r w:rsidR="00B365AF">
        <w:rPr>
          <w:rFonts w:eastAsiaTheme="minorEastAsia"/>
          <w:lang w:val="en-US" w:bidi="en-US"/>
        </w:rPr>
        <w:t xml:space="preserve"> or overly biased the DGVs</w:t>
      </w:r>
      <w:r>
        <w:rPr>
          <w:rFonts w:eastAsiaTheme="minorEastAsia"/>
          <w:lang w:val="en-US" w:bidi="en-US"/>
        </w:rPr>
        <w:t xml:space="preserve">. Consequently, the Markich (2021) </w:t>
      </w:r>
      <w:r>
        <w:rPr>
          <w:rFonts w:eastAsiaTheme="minorEastAsia"/>
          <w:lang w:val="en-US" w:bidi="en-US"/>
        </w:rPr>
        <w:lastRenderedPageBreak/>
        <w:t>data were included in the final dataset used to derive the DGVs.</w:t>
      </w:r>
      <w:r w:rsidR="00B20E1F">
        <w:rPr>
          <w:rFonts w:eastAsiaTheme="minorEastAsia"/>
          <w:lang w:val="en-US" w:bidi="en-US"/>
        </w:rPr>
        <w:t xml:space="preserve"> </w:t>
      </w:r>
      <w:r w:rsidR="00146699">
        <w:rPr>
          <w:rFonts w:eastAsiaTheme="minorEastAsia"/>
          <w:lang w:val="en-US" w:bidi="en-US"/>
        </w:rPr>
        <w:t>As there were sufficient chronic toxicity data (n</w:t>
      </w:r>
      <w:r w:rsidR="000F60C8">
        <w:rPr>
          <w:rFonts w:eastAsiaTheme="minorEastAsia"/>
          <w:lang w:val="en-US" w:bidi="en-US"/>
        </w:rPr>
        <w:t> </w:t>
      </w:r>
      <w:r w:rsidR="00146699">
        <w:rPr>
          <w:rFonts w:eastAsiaTheme="minorEastAsia"/>
          <w:lang w:val="en-US" w:bidi="en-US"/>
        </w:rPr>
        <w:t>=</w:t>
      </w:r>
      <w:r w:rsidR="000F60C8">
        <w:rPr>
          <w:rFonts w:eastAsiaTheme="minorEastAsia"/>
          <w:lang w:val="en-US" w:bidi="en-US"/>
        </w:rPr>
        <w:t> </w:t>
      </w:r>
      <w:r w:rsidR="00146699">
        <w:rPr>
          <w:rFonts w:eastAsiaTheme="minorEastAsia"/>
          <w:lang w:val="en-US" w:bidi="en-US"/>
        </w:rPr>
        <w:t>16) to derive the DGVs using the SSD method, the available acute toxicity data were not used in the derivation.</w:t>
      </w:r>
    </w:p>
    <w:p w14:paraId="5BB06C85" w14:textId="527AA583" w:rsidR="001A55F8" w:rsidRDefault="001A55F8" w:rsidP="001A55F8">
      <w:r>
        <w:t>Speciation of iron is important. Organically</w:t>
      </w:r>
      <w:r w:rsidR="00483701">
        <w:t xml:space="preserve"> </w:t>
      </w:r>
      <w:r>
        <w:t xml:space="preserve">complexed iron likely represents a significant proportion of the background dissolved iron concentrations (Gledhill </w:t>
      </w:r>
      <w:r w:rsidR="006D7A6F">
        <w:t>and</w:t>
      </w:r>
      <w:r>
        <w:t xml:space="preserve"> Buck 2012), wh</w:t>
      </w:r>
      <w:r w:rsidR="00655969">
        <w:t>ile</w:t>
      </w:r>
      <w:r>
        <w:t xml:space="preserve"> colloidal and particulate iron species dominate at the higher test concentrations. At the DGV concentrations, iron is in these latter forms. The toxic mechanism</w:t>
      </w:r>
      <w:r w:rsidR="00115EE0">
        <w:t>s</w:t>
      </w:r>
      <w:r>
        <w:t xml:space="preserve"> of these forms and the truly dissolved forms are species</w:t>
      </w:r>
      <w:r w:rsidR="00483701">
        <w:t xml:space="preserve"> </w:t>
      </w:r>
      <w:r>
        <w:t>dependent.</w:t>
      </w:r>
    </w:p>
    <w:p w14:paraId="1A40129F" w14:textId="3EE5CC1B" w:rsidR="001A55F8" w:rsidRDefault="001A55F8" w:rsidP="001A55F8">
      <w:r>
        <w:t xml:space="preserve">An assessment of whether the data selected for the </w:t>
      </w:r>
      <w:r w:rsidR="000B12F2">
        <w:t>derivation of the DGVs</w:t>
      </w:r>
      <w:r>
        <w:t xml:space="preserve"> were unimodal or multimodal in distribution was conducted according to the weight</w:t>
      </w:r>
      <w:r w:rsidR="00483701">
        <w:t>-</w:t>
      </w:r>
      <w:r>
        <w:t>of</w:t>
      </w:r>
      <w:r w:rsidR="00483701">
        <w:t>-</w:t>
      </w:r>
      <w:r>
        <w:t xml:space="preserve">evidence approach described in Warne et al. (2018). Because iron is an essential element used in many cellular processes, there is no one specific mode </w:t>
      </w:r>
      <w:r w:rsidR="000B12F2">
        <w:t xml:space="preserve">of toxicity </w:t>
      </w:r>
      <w:r>
        <w:t xml:space="preserve">and no </w:t>
      </w:r>
      <w:r w:rsidR="000E1FAD">
        <w:t>single</w:t>
      </w:r>
      <w:r>
        <w:t xml:space="preserve"> taxonomic group more sensitive than the others that would indicate multimodality. A visual inspection of the distribution of data in the SSD did not suggest multimodality</w:t>
      </w:r>
      <w:r w:rsidR="00B365AF">
        <w:t xml:space="preserve">. </w:t>
      </w:r>
      <w:r w:rsidR="004D7469">
        <w:t xml:space="preserve">The bimodality coefficient (Freeman </w:t>
      </w:r>
      <w:r w:rsidR="006D7A6F">
        <w:t>and</w:t>
      </w:r>
      <w:r w:rsidR="004D7469">
        <w:t xml:space="preserve"> Dale 2013) calculated on the log</w:t>
      </w:r>
      <w:r w:rsidR="00A52AF8">
        <w:t>-</w:t>
      </w:r>
      <w:r w:rsidR="004D7469">
        <w:t>10</w:t>
      </w:r>
      <w:r w:rsidR="00A52AF8">
        <w:t>-</w:t>
      </w:r>
      <w:r w:rsidR="004D7469">
        <w:t>transformed values used in the SSD was 0.</w:t>
      </w:r>
      <w:r w:rsidR="004F72D1">
        <w:t>697</w:t>
      </w:r>
      <w:r w:rsidR="004D7469">
        <w:t>, which was above</w:t>
      </w:r>
      <w:r w:rsidR="00F52ED7">
        <w:t xml:space="preserve"> the threshold of</w:t>
      </w:r>
      <w:r w:rsidR="004D7469">
        <w:t xml:space="preserve"> 0.555, indicating that the data may exhibit bimodality. This was attributed to</w:t>
      </w:r>
      <w:r w:rsidR="00F0188E">
        <w:t xml:space="preserve"> t</w:t>
      </w:r>
      <w:r w:rsidR="00B365AF">
        <w:t>he predominance of bivalve</w:t>
      </w:r>
      <w:r w:rsidR="00B34F50">
        <w:t xml:space="preserve"> toxicity values</w:t>
      </w:r>
      <w:r w:rsidR="00B365AF">
        <w:t xml:space="preserve"> </w:t>
      </w:r>
      <w:r w:rsidR="00B34F50">
        <w:t>within a very narrow range of iron concentrations (i.e. 700</w:t>
      </w:r>
      <w:r w:rsidR="00D75AD1">
        <w:t>–</w:t>
      </w:r>
      <w:r w:rsidR="00B34F50">
        <w:t>1</w:t>
      </w:r>
      <w:r w:rsidR="00D75AD1">
        <w:t>,</w:t>
      </w:r>
      <w:r w:rsidR="00B34F50">
        <w:t>300</w:t>
      </w:r>
      <w:r w:rsidR="00D75AD1">
        <w:t> </w:t>
      </w:r>
      <w:r w:rsidR="00B34F50" w:rsidRPr="00CA6C00">
        <w:t>µg/L</w:t>
      </w:r>
      <w:r w:rsidR="00B34F50">
        <w:t xml:space="preserve">) </w:t>
      </w:r>
      <w:r w:rsidR="00B365AF">
        <w:t>at the sensitive end of the SSD</w:t>
      </w:r>
      <w:r w:rsidR="004D7469">
        <w:t>. While this</w:t>
      </w:r>
      <w:r w:rsidR="00B365AF">
        <w:t xml:space="preserve"> </w:t>
      </w:r>
      <w:r w:rsidR="004D7469">
        <w:t>could be interpreted as</w:t>
      </w:r>
      <w:r w:rsidR="00F0188E">
        <w:t xml:space="preserve"> bivalves </w:t>
      </w:r>
      <w:r w:rsidR="004D7469">
        <w:t>being</w:t>
      </w:r>
      <w:r w:rsidR="00F0188E">
        <w:t xml:space="preserve"> more sensitive than other taxa, this observation may </w:t>
      </w:r>
      <w:r w:rsidR="00B34F50">
        <w:t>equally</w:t>
      </w:r>
      <w:r w:rsidR="00F0188E">
        <w:t xml:space="preserve"> be</w:t>
      </w:r>
      <w:r w:rsidR="00B365AF">
        <w:t xml:space="preserve"> </w:t>
      </w:r>
      <w:r w:rsidR="00B34F50">
        <w:t>an artefact of</w:t>
      </w:r>
      <w:r w:rsidR="00B365AF">
        <w:t xml:space="preserve"> the unusually high proportion of bivalves</w:t>
      </w:r>
      <w:r w:rsidR="000F248B">
        <w:t xml:space="preserve"> </w:t>
      </w:r>
      <w:r w:rsidR="00B365AF">
        <w:t>in the dataset</w:t>
      </w:r>
      <w:r w:rsidR="000F248B">
        <w:t xml:space="preserve"> </w:t>
      </w:r>
      <w:r w:rsidR="00B34F50">
        <w:t>(all from a sin</w:t>
      </w:r>
      <w:r w:rsidR="006F7AD6">
        <w:t>gle</w:t>
      </w:r>
      <w:r w:rsidR="00B34F50">
        <w:t xml:space="preserve"> study by Markich 2021) </w:t>
      </w:r>
      <w:r w:rsidR="000F248B">
        <w:t>relative to other taxonomic groups</w:t>
      </w:r>
      <w:r w:rsidR="00F0188E">
        <w:t xml:space="preserve">. Moreover, there </w:t>
      </w:r>
      <w:r w:rsidR="004D7469">
        <w:t>i</w:t>
      </w:r>
      <w:r w:rsidR="00F0188E">
        <w:t>s other evidence, albeit from less reliable studies (i.e. Pagano et al. 1996</w:t>
      </w:r>
      <w:r w:rsidR="0085104C">
        <w:t>;</w:t>
      </w:r>
      <w:r w:rsidR="00F0188E">
        <w:t xml:space="preserve"> </w:t>
      </w:r>
      <w:r w:rsidR="00F0188E" w:rsidRPr="001A43BC">
        <w:t>Bu-Olayan</w:t>
      </w:r>
      <w:r w:rsidR="00F0188E">
        <w:t xml:space="preserve"> </w:t>
      </w:r>
      <w:r w:rsidR="006D7A6F">
        <w:t>and</w:t>
      </w:r>
      <w:r w:rsidR="00F0188E">
        <w:t xml:space="preserve"> Thomas </w:t>
      </w:r>
      <w:r w:rsidR="00F0188E" w:rsidRPr="001A43BC">
        <w:t>2008</w:t>
      </w:r>
      <w:r w:rsidR="00F0188E">
        <w:t xml:space="preserve">), </w:t>
      </w:r>
      <w:r w:rsidR="000F248B">
        <w:t xml:space="preserve">to suggest </w:t>
      </w:r>
      <w:r w:rsidR="00F0188E">
        <w:t>that species from other taxonomic groups could be more sensitive than bivalves</w:t>
      </w:r>
      <w:r w:rsidR="00B34F50">
        <w:t>.</w:t>
      </w:r>
      <w:r w:rsidR="00F0188E">
        <w:t xml:space="preserve"> Therefore,</w:t>
      </w:r>
      <w:r w:rsidR="00B365AF">
        <w:t xml:space="preserve"> </w:t>
      </w:r>
      <w:r w:rsidR="00F0188E">
        <w:t xml:space="preserve">the distribution of bivalve data at the sensitive end of the SSD </w:t>
      </w:r>
      <w:r w:rsidR="00B365AF">
        <w:t xml:space="preserve">was not taken as evidence that </w:t>
      </w:r>
      <w:r w:rsidR="004D7469">
        <w:t xml:space="preserve">(i) </w:t>
      </w:r>
      <w:r w:rsidR="00B365AF">
        <w:t>bivalves are more sensitive than other taxa</w:t>
      </w:r>
      <w:r w:rsidR="004D7469">
        <w:t xml:space="preserve"> and (ii) as a result,</w:t>
      </w:r>
      <w:r w:rsidR="00B34F50">
        <w:t xml:space="preserve"> </w:t>
      </w:r>
      <w:r w:rsidR="004D7469">
        <w:t>the dataset is bimodal</w:t>
      </w:r>
      <w:r w:rsidR="00B365AF">
        <w:t xml:space="preserve">. </w:t>
      </w:r>
      <w:r w:rsidR="00F0188E">
        <w:t>Overall</w:t>
      </w:r>
      <w:r w:rsidR="00B365AF">
        <w:t>, the dataset was assumed to be unimodal</w:t>
      </w:r>
      <w:r>
        <w:t>.</w:t>
      </w:r>
    </w:p>
    <w:p w14:paraId="3DB2825C" w14:textId="0F8EC8FD" w:rsidR="001303C0" w:rsidRPr="00F37CC1" w:rsidRDefault="001303C0" w:rsidP="001303C0">
      <w:pPr>
        <w:pStyle w:val="Heading3"/>
      </w:pPr>
      <w:bookmarkStart w:id="23" w:name="_Toc195450513"/>
      <w:bookmarkStart w:id="24" w:name="_Toc195551168"/>
      <w:bookmarkStart w:id="25" w:name="_Toc196928504"/>
      <w:bookmarkStart w:id="26" w:name="_Toc197783997"/>
      <w:bookmarkEnd w:id="23"/>
      <w:bookmarkEnd w:id="24"/>
      <w:r w:rsidRPr="00F37CC1">
        <w:t>Species sensitivity distribution</w:t>
      </w:r>
      <w:bookmarkEnd w:id="25"/>
      <w:bookmarkEnd w:id="26"/>
    </w:p>
    <w:p w14:paraId="79A04744" w14:textId="6316F6C0" w:rsidR="00184FDC" w:rsidRDefault="00F37CC1" w:rsidP="001303C0">
      <w:pPr>
        <w:spacing w:after="120"/>
      </w:pPr>
      <w:r w:rsidRPr="00F37CC1">
        <w:t xml:space="preserve">The cumulative frequency SSD of the </w:t>
      </w:r>
      <w:r w:rsidR="005B1EBA">
        <w:t xml:space="preserve">16 </w:t>
      </w:r>
      <w:r w:rsidR="00514831">
        <w:t xml:space="preserve">chronic </w:t>
      </w:r>
      <w:r w:rsidR="00126E4D">
        <w:t>toxicity values</w:t>
      </w:r>
      <w:r w:rsidR="00514831">
        <w:t xml:space="preserve"> </w:t>
      </w:r>
      <w:r w:rsidRPr="004F72D1">
        <w:t>from</w:t>
      </w:r>
      <w:r w:rsidRPr="00F37CC1">
        <w:t xml:space="preserve"> </w:t>
      </w:r>
      <w:r w:rsidR="002B46E4">
        <w:t>6</w:t>
      </w:r>
      <w:r w:rsidR="002B46E4" w:rsidRPr="00F37CC1">
        <w:t xml:space="preserve"> </w:t>
      </w:r>
      <w:r w:rsidRPr="00F37CC1">
        <w:t xml:space="preserve">taxonomic groups </w:t>
      </w:r>
      <w:r w:rsidR="00126E4D">
        <w:t xml:space="preserve">for iron in marine water reported in </w:t>
      </w:r>
      <w:r w:rsidR="00D13FEB">
        <w:fldChar w:fldCharType="begin"/>
      </w:r>
      <w:r w:rsidR="00D13FEB">
        <w:instrText xml:space="preserve"> REF _Ref24813846 \h </w:instrText>
      </w:r>
      <w:r w:rsidR="00D13FEB">
        <w:fldChar w:fldCharType="separate"/>
      </w:r>
      <w:r w:rsidR="00510BCB">
        <w:rPr>
          <w:b/>
          <w:bCs/>
          <w:lang w:val="en-US"/>
        </w:rPr>
        <w:t>Error! Reference source not found.</w:t>
      </w:r>
      <w:r w:rsidR="00D13FEB">
        <w:fldChar w:fldCharType="end"/>
      </w:r>
      <w:r w:rsidRPr="00F37CC1">
        <w:t xml:space="preserve"> is shown in </w:t>
      </w:r>
      <w:r w:rsidR="00A03168">
        <w:fldChar w:fldCharType="begin"/>
      </w:r>
      <w:r w:rsidR="00A03168">
        <w:instrText xml:space="preserve"> REF _Ref13149499 \h </w:instrText>
      </w:r>
      <w:r w:rsidR="00A03168">
        <w:fldChar w:fldCharType="separate"/>
      </w:r>
      <w:r w:rsidR="00510BCB">
        <w:rPr>
          <w:b/>
          <w:bCs/>
          <w:lang w:val="en-US"/>
        </w:rPr>
        <w:t>Error! Reference source not found.</w:t>
      </w:r>
      <w:r w:rsidR="00A03168">
        <w:fldChar w:fldCharType="end"/>
      </w:r>
      <w:r w:rsidRPr="00F37CC1">
        <w:t>.</w:t>
      </w:r>
      <w:r w:rsidR="00126E4D">
        <w:t xml:space="preserve"> The SSD was plotted u</w:t>
      </w:r>
      <w:r w:rsidR="00126E4D">
        <w:rPr>
          <w:bCs/>
        </w:rPr>
        <w:t xml:space="preserve">sing the Burrlioz 2.0 software, and the model was judged to provide a </w:t>
      </w:r>
      <w:r w:rsidR="00FE6FA1">
        <w:rPr>
          <w:bCs/>
        </w:rPr>
        <w:t>poor</w:t>
      </w:r>
      <w:r w:rsidR="00126E4D">
        <w:rPr>
          <w:bCs/>
        </w:rPr>
        <w:t xml:space="preserve"> fit to the data</w:t>
      </w:r>
      <w:r w:rsidR="008140E6">
        <w:rPr>
          <w:bCs/>
        </w:rPr>
        <w:t>set</w:t>
      </w:r>
      <w:r w:rsidR="00126E4D">
        <w:rPr>
          <w:bCs/>
        </w:rPr>
        <w:t xml:space="preserve"> (</w:t>
      </w:r>
      <w:r w:rsidR="00126E4D">
        <w:rPr>
          <w:bCs/>
        </w:rPr>
        <w:fldChar w:fldCharType="begin"/>
      </w:r>
      <w:r w:rsidR="00126E4D">
        <w:rPr>
          <w:bCs/>
        </w:rPr>
        <w:instrText xml:space="preserve"> REF _Ref6321769 \h </w:instrText>
      </w:r>
      <w:r w:rsidR="00126E4D">
        <w:rPr>
          <w:bCs/>
        </w:rPr>
      </w:r>
      <w:r w:rsidR="00126E4D">
        <w:rPr>
          <w:bCs/>
        </w:rPr>
        <w:fldChar w:fldCharType="separate"/>
      </w:r>
      <w:r w:rsidR="00510BCB">
        <w:rPr>
          <w:b/>
          <w:lang w:val="en-US"/>
        </w:rPr>
        <w:t>Error! Reference source not found.</w:t>
      </w:r>
      <w:r w:rsidR="00126E4D">
        <w:rPr>
          <w:bCs/>
        </w:rPr>
        <w:fldChar w:fldCharType="end"/>
      </w:r>
      <w:r w:rsidR="00126E4D">
        <w:rPr>
          <w:bCs/>
        </w:rPr>
        <w:t>).</w:t>
      </w:r>
    </w:p>
    <w:p w14:paraId="3E0917A6" w14:textId="0EA34FC1" w:rsidR="004856EE" w:rsidRDefault="000071BC" w:rsidP="005B1EBA">
      <w:pPr>
        <w:pStyle w:val="Caption"/>
      </w:pPr>
      <w:bookmarkStart w:id="27" w:name="_Toc196928512"/>
      <w:bookmarkStart w:id="28" w:name="_Toc197784023"/>
      <w:r>
        <w:lastRenderedPageBreak/>
        <w:t>Figure</w:t>
      </w:r>
      <w:r w:rsidR="0068100A">
        <w:t> </w:t>
      </w:r>
      <w:r>
        <w:rPr>
          <w:b w:val="0"/>
          <w:bCs w:val="0"/>
          <w:noProof/>
        </w:rPr>
        <w:fldChar w:fldCharType="begin"/>
      </w:r>
      <w:r>
        <w:rPr>
          <w:noProof/>
        </w:rPr>
        <w:instrText xml:space="preserve"> SEQ Figure \* ARABIC </w:instrText>
      </w:r>
      <w:r>
        <w:rPr>
          <w:b w:val="0"/>
          <w:bCs w:val="0"/>
          <w:noProof/>
        </w:rPr>
        <w:fldChar w:fldCharType="separate"/>
      </w:r>
      <w:r w:rsidR="00510BCB">
        <w:rPr>
          <w:noProof/>
        </w:rPr>
        <w:t>1</w:t>
      </w:r>
      <w:r>
        <w:rPr>
          <w:b w:val="0"/>
          <w:bCs w:val="0"/>
          <w:noProof/>
        </w:rPr>
        <w:fldChar w:fldCharType="end"/>
      </w:r>
      <w:r>
        <w:rPr>
          <w:noProof/>
        </w:rPr>
        <w:t>.</w:t>
      </w:r>
      <w:r>
        <w:t xml:space="preserve"> </w:t>
      </w:r>
      <w:r w:rsidRPr="00144BB2">
        <w:t>Species sensitivity distribution</w:t>
      </w:r>
      <w:r w:rsidR="005B1EBA">
        <w:t xml:space="preserve"> for</w:t>
      </w:r>
      <w:r w:rsidRPr="00144BB2">
        <w:t xml:space="preserve"> iron in </w:t>
      </w:r>
      <w:r>
        <w:t>marine water</w:t>
      </w:r>
      <w:bookmarkEnd w:id="27"/>
      <w:bookmarkEnd w:id="28"/>
    </w:p>
    <w:p w14:paraId="735CA169" w14:textId="42429AF5" w:rsidR="00CA0E45" w:rsidRPr="00CA0E45" w:rsidRDefault="00CA0E45" w:rsidP="007F273D">
      <w:pPr>
        <w:pStyle w:val="Figure"/>
      </w:pPr>
      <w:r w:rsidRPr="007F273D">
        <w:drawing>
          <wp:inline distT="0" distB="0" distL="0" distR="0" wp14:anchorId="1965D468" wp14:editId="310E89F7">
            <wp:extent cx="5760000" cy="5176432"/>
            <wp:effectExtent l="0" t="0" r="0" b="5715"/>
            <wp:docPr id="11849037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03767" name="Picture 1">
                      <a:extLst>
                        <a:ext uri="{C183D7F6-B498-43B3-948B-1728B52AA6E4}">
                          <adec:decorative xmlns:adec="http://schemas.microsoft.com/office/drawing/2017/decorative" val="1"/>
                        </a:ext>
                      </a:extLst>
                    </pic:cNvPr>
                    <pic:cNvPicPr/>
                  </pic:nvPicPr>
                  <pic:blipFill rotWithShape="1">
                    <a:blip r:embed="rId33"/>
                    <a:srcRect t="3650" r="2771" b="1460"/>
                    <a:stretch/>
                  </pic:blipFill>
                  <pic:spPr bwMode="auto">
                    <a:xfrm>
                      <a:off x="0" y="0"/>
                      <a:ext cx="5760000" cy="5176432"/>
                    </a:xfrm>
                    <a:prstGeom prst="rect">
                      <a:avLst/>
                    </a:prstGeom>
                    <a:ln>
                      <a:noFill/>
                    </a:ln>
                    <a:extLst>
                      <a:ext uri="{53640926-AAD7-44D8-BBD7-CCE9431645EC}">
                        <a14:shadowObscured xmlns:a14="http://schemas.microsoft.com/office/drawing/2010/main"/>
                      </a:ext>
                    </a:extLst>
                  </pic:spPr>
                </pic:pic>
              </a:graphicData>
            </a:graphic>
          </wp:inline>
        </w:drawing>
      </w:r>
    </w:p>
    <w:p w14:paraId="70630233" w14:textId="21753939" w:rsidR="001303C0" w:rsidRPr="0050767A" w:rsidRDefault="001303C0" w:rsidP="001303C0">
      <w:pPr>
        <w:pStyle w:val="Heading3"/>
      </w:pPr>
      <w:bookmarkStart w:id="29" w:name="_Toc196928505"/>
      <w:bookmarkStart w:id="30" w:name="_Toc197783998"/>
      <w:r w:rsidRPr="0050767A">
        <w:t>Default guideline values</w:t>
      </w:r>
      <w:bookmarkEnd w:id="29"/>
      <w:bookmarkEnd w:id="30"/>
    </w:p>
    <w:p w14:paraId="7A6A7782" w14:textId="469FB325" w:rsidR="001303C0" w:rsidRDefault="001303C0" w:rsidP="00126E4D">
      <w:r w:rsidRPr="0050767A">
        <w:t xml:space="preserve">It is important that the DGVs </w:t>
      </w:r>
      <w:r w:rsidR="0050767A">
        <w:t>(</w:t>
      </w:r>
      <w:r w:rsidR="00D13FEB">
        <w:fldChar w:fldCharType="begin"/>
      </w:r>
      <w:r w:rsidR="00D13FEB">
        <w:instrText xml:space="preserve"> REF _Ref24813931 \h </w:instrText>
      </w:r>
      <w:r w:rsidR="00D13FEB">
        <w:fldChar w:fldCharType="separate"/>
      </w:r>
      <w:r w:rsidR="00510BCB">
        <w:t>Table </w:t>
      </w:r>
      <w:r w:rsidR="00510BCB">
        <w:rPr>
          <w:noProof/>
        </w:rPr>
        <w:t>2</w:t>
      </w:r>
      <w:r w:rsidR="00D13FEB">
        <w:fldChar w:fldCharType="end"/>
      </w:r>
      <w:r w:rsidR="0050767A">
        <w:t xml:space="preserve">) </w:t>
      </w:r>
      <w:r w:rsidRPr="0050767A">
        <w:t xml:space="preserve">and associated information in this technical brief are used in accordance with the detailed guidance provided in the </w:t>
      </w:r>
      <w:hyperlink r:id="rId34" w:history="1">
        <w:r w:rsidR="00CA4742" w:rsidRPr="000B09AC">
          <w:rPr>
            <w:rStyle w:val="Hyperlink"/>
            <w:i/>
            <w:iCs/>
          </w:rPr>
          <w:t>Australian and New Zealand Guidelines for Fresh and Marine Water Quality</w:t>
        </w:r>
      </w:hyperlink>
      <w:r w:rsidR="006B1FA7">
        <w:t xml:space="preserve"> </w:t>
      </w:r>
      <w:r w:rsidR="00300E31">
        <w:t>(ANZG 2018)</w:t>
      </w:r>
      <w:r w:rsidRPr="0050767A">
        <w:t>.</w:t>
      </w:r>
    </w:p>
    <w:p w14:paraId="72064D83" w14:textId="77334853" w:rsidR="00F20377" w:rsidRDefault="00126E4D" w:rsidP="001303C0">
      <w:pPr>
        <w:rPr>
          <w:bCs/>
        </w:rPr>
      </w:pPr>
      <w:r>
        <w:t xml:space="preserve">The </w:t>
      </w:r>
      <w:r w:rsidR="005D0961">
        <w:t>D</w:t>
      </w:r>
      <w:r>
        <w:t>GVs for 99</w:t>
      </w:r>
      <w:r w:rsidR="00CA4742">
        <w:t>%</w:t>
      </w:r>
      <w:r>
        <w:t>, 95</w:t>
      </w:r>
      <w:r w:rsidR="00CA4742">
        <w:t>%</w:t>
      </w:r>
      <w:r>
        <w:t>, 90</w:t>
      </w:r>
      <w:r w:rsidR="00CA4742">
        <w:t>%</w:t>
      </w:r>
      <w:r>
        <w:t xml:space="preserve"> and 80% species protection are shown in</w:t>
      </w:r>
      <w:r w:rsidR="00D13FEB">
        <w:t xml:space="preserve"> </w:t>
      </w:r>
      <w:r w:rsidR="00D13FEB">
        <w:fldChar w:fldCharType="begin"/>
      </w:r>
      <w:r w:rsidR="00D13FEB">
        <w:instrText xml:space="preserve"> REF _Ref24813931 \h </w:instrText>
      </w:r>
      <w:r w:rsidR="00D13FEB">
        <w:fldChar w:fldCharType="separate"/>
      </w:r>
      <w:r w:rsidR="00510BCB">
        <w:t>Table </w:t>
      </w:r>
      <w:r w:rsidR="00510BCB">
        <w:rPr>
          <w:noProof/>
        </w:rPr>
        <w:t>2</w:t>
      </w:r>
      <w:r w:rsidR="00D13FEB">
        <w:fldChar w:fldCharType="end"/>
      </w:r>
      <w:r>
        <w:t>.</w:t>
      </w:r>
      <w:r w:rsidR="00B022A5">
        <w:t xml:space="preserve"> </w:t>
      </w:r>
      <w:r w:rsidR="00B022A5">
        <w:rPr>
          <w:bCs/>
        </w:rPr>
        <w:t>The 95% species</w:t>
      </w:r>
      <w:r w:rsidR="00CA4742">
        <w:rPr>
          <w:bCs/>
        </w:rPr>
        <w:t>-</w:t>
      </w:r>
      <w:r w:rsidR="00B022A5">
        <w:rPr>
          <w:bCs/>
        </w:rPr>
        <w:t xml:space="preserve">protection </w:t>
      </w:r>
      <w:r w:rsidR="00B022A5" w:rsidRPr="000B6869">
        <w:rPr>
          <w:bCs/>
        </w:rPr>
        <w:t xml:space="preserve">DGV </w:t>
      </w:r>
      <w:r w:rsidR="008A5AB3" w:rsidRPr="000B6869">
        <w:rPr>
          <w:bCs/>
        </w:rPr>
        <w:t>(</w:t>
      </w:r>
      <w:r w:rsidR="00612003" w:rsidRPr="000B6869">
        <w:rPr>
          <w:bCs/>
        </w:rPr>
        <w:t>5</w:t>
      </w:r>
      <w:r w:rsidR="00612003">
        <w:rPr>
          <w:bCs/>
        </w:rPr>
        <w:t>40</w:t>
      </w:r>
      <w:r w:rsidR="00612003" w:rsidRPr="000B6869">
        <w:rPr>
          <w:bCs/>
        </w:rPr>
        <w:t> </w:t>
      </w:r>
      <w:r w:rsidR="00B022A5" w:rsidRPr="000B6869">
        <w:rPr>
          <w:rFonts w:cstheme="minorHAnsi"/>
          <w:bCs/>
        </w:rPr>
        <w:t>µ</w:t>
      </w:r>
      <w:r w:rsidR="00B022A5" w:rsidRPr="000B6869">
        <w:rPr>
          <w:bCs/>
        </w:rPr>
        <w:t>g</w:t>
      </w:r>
      <w:r w:rsidR="008A5AB3" w:rsidRPr="000B6869">
        <w:rPr>
          <w:bCs/>
        </w:rPr>
        <w:t>/L)</w:t>
      </w:r>
      <w:r w:rsidR="00B022A5">
        <w:rPr>
          <w:bCs/>
        </w:rPr>
        <w:t xml:space="preserve"> is recommended for </w:t>
      </w:r>
      <w:r w:rsidR="00CA4742">
        <w:rPr>
          <w:bCs/>
        </w:rPr>
        <w:t xml:space="preserve">assessing ecosystems that are </w:t>
      </w:r>
      <w:r w:rsidR="00B022A5">
        <w:rPr>
          <w:bCs/>
        </w:rPr>
        <w:t>slightly</w:t>
      </w:r>
      <w:r w:rsidR="00CA4742">
        <w:rPr>
          <w:bCs/>
        </w:rPr>
        <w:t xml:space="preserve"> </w:t>
      </w:r>
      <w:r w:rsidR="00B022A5">
        <w:rPr>
          <w:bCs/>
        </w:rPr>
        <w:t>to</w:t>
      </w:r>
      <w:r w:rsidR="00CA4742">
        <w:rPr>
          <w:bCs/>
        </w:rPr>
        <w:t xml:space="preserve"> </w:t>
      </w:r>
      <w:r w:rsidR="00B022A5">
        <w:rPr>
          <w:bCs/>
        </w:rPr>
        <w:t>moderate</w:t>
      </w:r>
      <w:r w:rsidR="008A5AB3">
        <w:rPr>
          <w:bCs/>
        </w:rPr>
        <w:t>ly</w:t>
      </w:r>
      <w:r w:rsidR="00B022A5">
        <w:rPr>
          <w:bCs/>
        </w:rPr>
        <w:t xml:space="preserve"> disturbed.</w:t>
      </w:r>
    </w:p>
    <w:p w14:paraId="66A83C1C" w14:textId="2B4A8DD7" w:rsidR="001303C0" w:rsidRPr="003954D4" w:rsidRDefault="00D13FEB" w:rsidP="00D13FEB">
      <w:pPr>
        <w:pStyle w:val="Caption"/>
        <w:rPr>
          <w:noProof/>
        </w:rPr>
      </w:pPr>
      <w:bookmarkStart w:id="31" w:name="_Ref24813931"/>
      <w:bookmarkStart w:id="32" w:name="_Toc33609380"/>
      <w:bookmarkStart w:id="33" w:name="_Toc196928514"/>
      <w:bookmarkStart w:id="34" w:name="_Toc197784038"/>
      <w:r>
        <w:lastRenderedPageBreak/>
        <w:t>Table </w:t>
      </w:r>
      <w:r w:rsidR="00FB6D8A">
        <w:rPr>
          <w:noProof/>
        </w:rPr>
        <w:fldChar w:fldCharType="begin"/>
      </w:r>
      <w:r w:rsidR="00FB6D8A">
        <w:rPr>
          <w:noProof/>
        </w:rPr>
        <w:instrText xml:space="preserve"> SEQ Table \* ARABIC </w:instrText>
      </w:r>
      <w:r w:rsidR="00FB6D8A">
        <w:rPr>
          <w:noProof/>
        </w:rPr>
        <w:fldChar w:fldCharType="separate"/>
      </w:r>
      <w:r w:rsidR="00510BCB">
        <w:rPr>
          <w:noProof/>
        </w:rPr>
        <w:t>2</w:t>
      </w:r>
      <w:r w:rsidR="00FB6D8A">
        <w:rPr>
          <w:noProof/>
        </w:rPr>
        <w:fldChar w:fldCharType="end"/>
      </w:r>
      <w:bookmarkEnd w:id="31"/>
      <w:r w:rsidR="00091255">
        <w:rPr>
          <w:noProof/>
        </w:rPr>
        <w:t>.</w:t>
      </w:r>
      <w:r>
        <w:t xml:space="preserve"> </w:t>
      </w:r>
      <w:r w:rsidR="001303C0" w:rsidRPr="003954D4">
        <w:rPr>
          <w:noProof/>
        </w:rPr>
        <w:t>Toxicant default guideline values</w:t>
      </w:r>
      <w:r w:rsidR="005B1EBA">
        <w:rPr>
          <w:noProof/>
        </w:rPr>
        <w:t xml:space="preserve"> for</w:t>
      </w:r>
      <w:r w:rsidR="001303C0" w:rsidRPr="003954D4">
        <w:rPr>
          <w:noProof/>
        </w:rPr>
        <w:t xml:space="preserve"> iron in </w:t>
      </w:r>
      <w:r w:rsidR="00851E69" w:rsidRPr="003954D4">
        <w:rPr>
          <w:noProof/>
        </w:rPr>
        <w:t>marine water</w:t>
      </w:r>
      <w:r w:rsidR="005B1EBA">
        <w:rPr>
          <w:noProof/>
        </w:rPr>
        <w:t xml:space="preserve"> with</w:t>
      </w:r>
      <w:r w:rsidR="001303C0" w:rsidRPr="003954D4">
        <w:rPr>
          <w:noProof/>
        </w:rPr>
        <w:t xml:space="preserve"> moderate reliability</w:t>
      </w:r>
      <w:bookmarkEnd w:id="32"/>
      <w:bookmarkEnd w:id="33"/>
      <w:bookmarkEnd w:id="34"/>
    </w:p>
    <w:tbl>
      <w:tblPr>
        <w:tblStyle w:val="TableGrid"/>
        <w:tblW w:w="3375" w:type="pct"/>
        <w:tblBorders>
          <w:top w:val="single" w:sz="12" w:space="0" w:color="auto"/>
          <w:left w:val="none" w:sz="0" w:space="0" w:color="auto"/>
          <w:bottom w:val="single" w:sz="12" w:space="0" w:color="auto"/>
          <w:right w:val="none" w:sz="0" w:space="0" w:color="auto"/>
          <w:insideV w:val="none" w:sz="0" w:space="0" w:color="auto"/>
        </w:tblBorders>
        <w:tblLook w:val="0420" w:firstRow="1" w:lastRow="0" w:firstColumn="0" w:lastColumn="0" w:noHBand="0" w:noVBand="1"/>
        <w:tblCaption w:val="Toxicant default guideline values, total iron in marine water, moderate reliability"/>
        <w:tblDescription w:val="Table shows the guideline values for a range of protection levels for iron in marine water. The four levels of species protection are 99, 95, 90 and 80%. The corresponding default guideline values are 48, 180, 340 and 670 (microgram per litre), respectively."/>
      </w:tblPr>
      <w:tblGrid>
        <w:gridCol w:w="3061"/>
        <w:gridCol w:w="3061"/>
      </w:tblGrid>
      <w:tr w:rsidR="00851E69" w:rsidRPr="005233D5" w14:paraId="15A7D3FB" w14:textId="77777777" w:rsidTr="00A26A95">
        <w:trPr>
          <w:cantSplit/>
          <w:trHeight w:val="340"/>
          <w:tblHeader/>
        </w:trPr>
        <w:tc>
          <w:tcPr>
            <w:tcW w:w="2500" w:type="pct"/>
            <w:tcBorders>
              <w:top w:val="single" w:sz="12" w:space="0" w:color="auto"/>
              <w:bottom w:val="single" w:sz="12" w:space="0" w:color="auto"/>
            </w:tcBorders>
          </w:tcPr>
          <w:p w14:paraId="0D5B7CA6" w14:textId="77777777" w:rsidR="00851E69" w:rsidRPr="00496AB3" w:rsidRDefault="00851E69" w:rsidP="00AD2CAB">
            <w:pPr>
              <w:pStyle w:val="TableHeading"/>
              <w:jc w:val="center"/>
            </w:pPr>
            <w:r>
              <w:t>Level of species protection (%)</w:t>
            </w:r>
          </w:p>
        </w:tc>
        <w:tc>
          <w:tcPr>
            <w:tcW w:w="2500" w:type="pct"/>
            <w:tcBorders>
              <w:top w:val="single" w:sz="12" w:space="0" w:color="auto"/>
              <w:bottom w:val="single" w:sz="12" w:space="0" w:color="auto"/>
            </w:tcBorders>
          </w:tcPr>
          <w:p w14:paraId="09C996B8" w14:textId="320ECAF0" w:rsidR="00851E69" w:rsidRPr="005233D5" w:rsidRDefault="00851E69" w:rsidP="00AD2CAB">
            <w:pPr>
              <w:pStyle w:val="TableHeading"/>
              <w:jc w:val="center"/>
            </w:pPr>
            <w:r>
              <w:t>DGV for iron in marine water</w:t>
            </w:r>
            <w:r w:rsidRPr="00496AB3">
              <w:t xml:space="preserve"> (</w:t>
            </w:r>
            <w:r>
              <w:rPr>
                <w:rFonts w:ascii="Corbel" w:hAnsi="Corbel"/>
              </w:rPr>
              <w:t>µ</w:t>
            </w:r>
            <w:r w:rsidRPr="00496AB3">
              <w:t>g/L</w:t>
            </w:r>
            <w:r w:rsidRPr="005233D5">
              <w:t>)</w:t>
            </w:r>
            <w:r w:rsidR="00126E4D" w:rsidRPr="00777D34">
              <w:rPr>
                <w:rStyle w:val="Strong"/>
                <w:b/>
                <w:bCs w:val="0"/>
                <w:vertAlign w:val="superscript"/>
              </w:rPr>
              <w:t>a</w:t>
            </w:r>
            <w:r w:rsidR="00C0409B" w:rsidRPr="00777D34">
              <w:rPr>
                <w:rStyle w:val="Strong"/>
                <w:b/>
                <w:bCs w:val="0"/>
                <w:vertAlign w:val="superscript"/>
              </w:rPr>
              <w:t>,b</w:t>
            </w:r>
          </w:p>
        </w:tc>
      </w:tr>
      <w:tr w:rsidR="00851E69" w:rsidRPr="005233D5" w14:paraId="2CB79B95" w14:textId="77777777" w:rsidTr="00A26A95">
        <w:trPr>
          <w:cantSplit/>
          <w:trHeight w:val="340"/>
        </w:trPr>
        <w:tc>
          <w:tcPr>
            <w:tcW w:w="2500" w:type="pct"/>
            <w:tcBorders>
              <w:top w:val="single" w:sz="12" w:space="0" w:color="auto"/>
            </w:tcBorders>
          </w:tcPr>
          <w:p w14:paraId="627C146E" w14:textId="77777777" w:rsidR="00851E69" w:rsidRPr="005233D5" w:rsidRDefault="00851E69" w:rsidP="00A357E1">
            <w:pPr>
              <w:pStyle w:val="TableText"/>
              <w:keepNext/>
              <w:jc w:val="center"/>
            </w:pPr>
            <w:r>
              <w:t>99</w:t>
            </w:r>
          </w:p>
        </w:tc>
        <w:tc>
          <w:tcPr>
            <w:tcW w:w="2500" w:type="pct"/>
            <w:tcBorders>
              <w:top w:val="single" w:sz="12" w:space="0" w:color="auto"/>
            </w:tcBorders>
          </w:tcPr>
          <w:p w14:paraId="4D28AE68" w14:textId="77A17A1D" w:rsidR="00851E69" w:rsidRPr="005233D5" w:rsidRDefault="00612003" w:rsidP="00A357E1">
            <w:pPr>
              <w:pStyle w:val="TableText"/>
              <w:keepNext/>
              <w:jc w:val="center"/>
            </w:pPr>
            <w:r>
              <w:t>410</w:t>
            </w:r>
          </w:p>
        </w:tc>
      </w:tr>
      <w:tr w:rsidR="00851E69" w:rsidRPr="005233D5" w14:paraId="6B42B488" w14:textId="77777777" w:rsidTr="00A26A95">
        <w:trPr>
          <w:cantSplit/>
          <w:trHeight w:val="340"/>
        </w:trPr>
        <w:tc>
          <w:tcPr>
            <w:tcW w:w="2500" w:type="pct"/>
          </w:tcPr>
          <w:p w14:paraId="1AD867C4" w14:textId="77777777" w:rsidR="00851E69" w:rsidRPr="005233D5" w:rsidRDefault="00851E69" w:rsidP="00A357E1">
            <w:pPr>
              <w:pStyle w:val="TableText"/>
              <w:keepNext/>
              <w:jc w:val="center"/>
            </w:pPr>
            <w:r>
              <w:t>95</w:t>
            </w:r>
          </w:p>
        </w:tc>
        <w:tc>
          <w:tcPr>
            <w:tcW w:w="2500" w:type="pct"/>
          </w:tcPr>
          <w:p w14:paraId="7B118C5D" w14:textId="3BA2936B" w:rsidR="00851E69" w:rsidRPr="005233D5" w:rsidRDefault="00612003" w:rsidP="00A357E1">
            <w:pPr>
              <w:pStyle w:val="TableText"/>
              <w:keepNext/>
              <w:jc w:val="center"/>
            </w:pPr>
            <w:r>
              <w:t>540</w:t>
            </w:r>
          </w:p>
        </w:tc>
      </w:tr>
      <w:tr w:rsidR="00851E69" w:rsidRPr="005233D5" w14:paraId="1314B006" w14:textId="77777777" w:rsidTr="00A26A95">
        <w:trPr>
          <w:cantSplit/>
          <w:trHeight w:val="340"/>
        </w:trPr>
        <w:tc>
          <w:tcPr>
            <w:tcW w:w="2500" w:type="pct"/>
          </w:tcPr>
          <w:p w14:paraId="7914C30F" w14:textId="77777777" w:rsidR="00851E69" w:rsidRPr="005233D5" w:rsidRDefault="00851E69" w:rsidP="00A357E1">
            <w:pPr>
              <w:pStyle w:val="TableText"/>
              <w:keepNext/>
              <w:jc w:val="center"/>
            </w:pPr>
            <w:r>
              <w:t>90</w:t>
            </w:r>
          </w:p>
        </w:tc>
        <w:tc>
          <w:tcPr>
            <w:tcW w:w="2500" w:type="pct"/>
          </w:tcPr>
          <w:p w14:paraId="2C8C07D1" w14:textId="3132A043" w:rsidR="00851E69" w:rsidRDefault="00612003" w:rsidP="00A357E1">
            <w:pPr>
              <w:pStyle w:val="TableText"/>
              <w:keepNext/>
              <w:jc w:val="center"/>
            </w:pPr>
            <w:r>
              <w:t>640</w:t>
            </w:r>
          </w:p>
        </w:tc>
      </w:tr>
      <w:tr w:rsidR="00851E69" w:rsidRPr="005233D5" w14:paraId="0F15BB2F" w14:textId="77777777" w:rsidTr="00A26A95">
        <w:trPr>
          <w:cantSplit/>
          <w:trHeight w:val="340"/>
        </w:trPr>
        <w:tc>
          <w:tcPr>
            <w:tcW w:w="2500" w:type="pct"/>
          </w:tcPr>
          <w:p w14:paraId="1BB19A84" w14:textId="77777777" w:rsidR="00851E69" w:rsidRPr="005233D5" w:rsidRDefault="00851E69" w:rsidP="00A357E1">
            <w:pPr>
              <w:pStyle w:val="TableText"/>
              <w:keepNext/>
              <w:jc w:val="center"/>
            </w:pPr>
            <w:r w:rsidRPr="005233D5">
              <w:t>80</w:t>
            </w:r>
          </w:p>
        </w:tc>
        <w:tc>
          <w:tcPr>
            <w:tcW w:w="2500" w:type="pct"/>
          </w:tcPr>
          <w:p w14:paraId="0781869C" w14:textId="7605B7CC" w:rsidR="00851E69" w:rsidRPr="005233D5" w:rsidRDefault="00612003" w:rsidP="00A357E1">
            <w:pPr>
              <w:pStyle w:val="TableText"/>
              <w:keepNext/>
              <w:jc w:val="center"/>
            </w:pPr>
            <w:r>
              <w:t>810</w:t>
            </w:r>
          </w:p>
        </w:tc>
      </w:tr>
    </w:tbl>
    <w:p w14:paraId="19D62889" w14:textId="73EA34DE" w:rsidR="001303C0" w:rsidRDefault="00126E4D" w:rsidP="00AF294A">
      <w:pPr>
        <w:pStyle w:val="FigureTableNoteSource"/>
      </w:pPr>
      <w:r w:rsidRPr="005B1EBA">
        <w:rPr>
          <w:rStyle w:val="Strong"/>
          <w:b w:val="0"/>
          <w:bCs w:val="0"/>
          <w:vertAlign w:val="superscript"/>
        </w:rPr>
        <w:t>a</w:t>
      </w:r>
      <w:r w:rsidRPr="00791817">
        <w:t xml:space="preserve"> </w:t>
      </w:r>
      <w:r w:rsidR="00243741">
        <w:t xml:space="preserve">The </w:t>
      </w:r>
      <w:r w:rsidR="00A26A95">
        <w:t>default guideline value</w:t>
      </w:r>
      <w:r w:rsidR="00532C4F">
        <w:t xml:space="preserve"> (DGVs)</w:t>
      </w:r>
      <w:r w:rsidRPr="00126E4D">
        <w:t xml:space="preserve"> were derived using the Burrlioz 2.0 software </w:t>
      </w:r>
      <w:r w:rsidR="00C0409B">
        <w:t xml:space="preserve">and reported to </w:t>
      </w:r>
      <w:r w:rsidR="005B1EBA">
        <w:t xml:space="preserve">2 </w:t>
      </w:r>
      <w:r w:rsidR="00C0409B">
        <w:t>significant figures</w:t>
      </w:r>
      <w:r w:rsidR="005B1EBA">
        <w:t>.</w:t>
      </w:r>
    </w:p>
    <w:p w14:paraId="1BE64039" w14:textId="04534D5E" w:rsidR="00F20377" w:rsidRDefault="00C0409B" w:rsidP="0068100A">
      <w:pPr>
        <w:pStyle w:val="FigureTableNoteSource"/>
      </w:pPr>
      <w:r w:rsidRPr="005B1EBA">
        <w:rPr>
          <w:rStyle w:val="Strong"/>
          <w:b w:val="0"/>
          <w:bCs w:val="0"/>
          <w:vertAlign w:val="superscript"/>
        </w:rPr>
        <w:t>b</w:t>
      </w:r>
      <w:r w:rsidRPr="00791817">
        <w:t xml:space="preserve"> </w:t>
      </w:r>
      <w:r w:rsidR="00571F7E" w:rsidRPr="00D3325F">
        <w:t xml:space="preserve">The </w:t>
      </w:r>
      <w:r w:rsidR="00571F7E">
        <w:t>t</w:t>
      </w:r>
      <w:r w:rsidR="00571F7E" w:rsidRPr="00D3325F">
        <w:t>otal iron concentration or</w:t>
      </w:r>
      <w:r w:rsidR="00210F27">
        <w:t>, preferably,</w:t>
      </w:r>
      <w:r w:rsidR="00571F7E" w:rsidRPr="00D3325F">
        <w:t xml:space="preserve"> the potentially bioavailable fraction (i.e. weak acid extract) of the unfiltered environmental water sample </w:t>
      </w:r>
      <w:r w:rsidR="00571F7E">
        <w:t>should be</w:t>
      </w:r>
      <w:r w:rsidR="00571F7E" w:rsidRPr="00D3325F">
        <w:t xml:space="preserve"> compared </w:t>
      </w:r>
      <w:r w:rsidR="00571F7E">
        <w:t>with</w:t>
      </w:r>
      <w:r w:rsidR="00571F7E" w:rsidRPr="00D3325F">
        <w:t xml:space="preserve"> the DGV</w:t>
      </w:r>
      <w:r w:rsidR="00571F7E">
        <w:t xml:space="preserve">s. Filtered/dissolved factions of iron should not be compared with the DGVs. </w:t>
      </w:r>
      <w:r w:rsidR="008704C4">
        <w:t xml:space="preserve">See text and </w:t>
      </w:r>
      <w:r w:rsidR="00FD2988">
        <w:fldChar w:fldCharType="begin"/>
      </w:r>
      <w:r w:rsidR="00FD2988">
        <w:instrText xml:space="preserve"> REF AppendixA \h </w:instrText>
      </w:r>
      <w:r w:rsidR="00FD2988">
        <w:fldChar w:fldCharType="separate"/>
      </w:r>
      <w:r w:rsidR="00510BCB" w:rsidRPr="00337A57">
        <w:t>Appendix</w:t>
      </w:r>
      <w:r w:rsidR="00510BCB">
        <w:t> A</w:t>
      </w:r>
      <w:r w:rsidR="00FD2988">
        <w:fldChar w:fldCharType="end"/>
      </w:r>
      <w:r w:rsidR="008704C4">
        <w:t xml:space="preserve"> for further details.</w:t>
      </w:r>
    </w:p>
    <w:p w14:paraId="077A00F3" w14:textId="641EC4AB" w:rsidR="00F20377" w:rsidRDefault="00F20377" w:rsidP="00F20377">
      <w:r>
        <w:t xml:space="preserve">When applying the DGVs for iron to an unfiltered water sample, it </w:t>
      </w:r>
      <w:r w:rsidR="00FD335F">
        <w:t>is recommended</w:t>
      </w:r>
      <w:r>
        <w:t xml:space="preserve"> to distinguish the iron associated with mineralised iron in suspended sediment, which is not considered bioavailable, from the </w:t>
      </w:r>
      <w:r w:rsidR="00FD335F">
        <w:t xml:space="preserve">potentially bioavailable </w:t>
      </w:r>
      <w:r>
        <w:t>iron in colloidal/precipitated and surface adsorbed forms. To do this, a weak</w:t>
      </w:r>
      <w:r w:rsidR="00E419B8">
        <w:t>-</w:t>
      </w:r>
      <w:r>
        <w:t>acid (pH</w:t>
      </w:r>
      <w:r w:rsidR="00C06A21">
        <w:t>-</w:t>
      </w:r>
      <w:r>
        <w:t xml:space="preserve">2) extraction of the unfiltered water sample is recommended, </w:t>
      </w:r>
      <w:r>
        <w:rPr>
          <w:bCs/>
        </w:rPr>
        <w:t>as detailed in ANZG (</w:t>
      </w:r>
      <w:r w:rsidR="00210F27">
        <w:rPr>
          <w:bCs/>
        </w:rPr>
        <w:t>2025</w:t>
      </w:r>
      <w:r>
        <w:rPr>
          <w:bCs/>
        </w:rPr>
        <w:t>)</w:t>
      </w:r>
      <w:r>
        <w:t xml:space="preserve">. </w:t>
      </w:r>
      <w:r>
        <w:rPr>
          <w:bCs/>
        </w:rPr>
        <w:t>The weak</w:t>
      </w:r>
      <w:r w:rsidR="00E419B8">
        <w:rPr>
          <w:bCs/>
        </w:rPr>
        <w:t>-</w:t>
      </w:r>
      <w:r>
        <w:rPr>
          <w:bCs/>
        </w:rPr>
        <w:t>acid extractable fraction</w:t>
      </w:r>
      <w:r>
        <w:t xml:space="preserve"> will contain dissolved, colloidal and precipitated forms without a large contribution from mineralised (non-bioavailable) particulate iron. </w:t>
      </w:r>
      <w:r w:rsidR="00FD335F">
        <w:rPr>
          <w:bCs/>
        </w:rPr>
        <w:t xml:space="preserve">Although the total iron fraction of the unfiltered water sample can be compared with the DGV, if this fraction exceeds the DGV, it will not be possible to identify the relative proportions of non-bioavailable and bioavailable iron in the sample. </w:t>
      </w:r>
      <w:r>
        <w:t xml:space="preserve">Further details on applying the </w:t>
      </w:r>
      <w:r w:rsidR="00251E1E">
        <w:t>guideline value</w:t>
      </w:r>
      <w:r>
        <w:t>s to metals of low solubility, such as iron(III), are presented in</w:t>
      </w:r>
      <w:r w:rsidR="00FD2988">
        <w:t xml:space="preserve"> </w:t>
      </w:r>
      <w:r w:rsidR="00FD2988">
        <w:fldChar w:fldCharType="begin"/>
      </w:r>
      <w:r w:rsidR="00FD2988">
        <w:instrText xml:space="preserve"> REF AppendixA \h </w:instrText>
      </w:r>
      <w:r w:rsidR="00FD2988">
        <w:fldChar w:fldCharType="separate"/>
      </w:r>
      <w:r w:rsidR="00510BCB" w:rsidRPr="00337A57">
        <w:t>Appendix</w:t>
      </w:r>
      <w:r w:rsidR="00510BCB">
        <w:t> A</w:t>
      </w:r>
      <w:r w:rsidR="00FD2988">
        <w:fldChar w:fldCharType="end"/>
      </w:r>
      <w:r>
        <w:t>.</w:t>
      </w:r>
    </w:p>
    <w:p w14:paraId="6E831CED" w14:textId="2B80E1C1" w:rsidR="00F20377" w:rsidRDefault="00F20377" w:rsidP="00F20377">
      <w:pPr>
        <w:rPr>
          <w:iCs/>
        </w:rPr>
      </w:pPr>
      <w:r w:rsidRPr="007C68E4">
        <w:rPr>
          <w:iCs/>
        </w:rPr>
        <w:t xml:space="preserve">In </w:t>
      </w:r>
      <w:r>
        <w:rPr>
          <w:iCs/>
        </w:rPr>
        <w:t xml:space="preserve">infrequent cases where </w:t>
      </w:r>
      <w:r w:rsidRPr="007C68E4">
        <w:rPr>
          <w:iCs/>
        </w:rPr>
        <w:t xml:space="preserve">the background </w:t>
      </w:r>
      <w:r>
        <w:rPr>
          <w:iCs/>
        </w:rPr>
        <w:t xml:space="preserve">iron concentrations </w:t>
      </w:r>
      <w:r w:rsidRPr="007C68E4">
        <w:rPr>
          <w:iCs/>
        </w:rPr>
        <w:t>exceed the DGV and it is deemed that the ecosystem could tolerate increases in concentration</w:t>
      </w:r>
      <w:r>
        <w:rPr>
          <w:iCs/>
        </w:rPr>
        <w:t xml:space="preserve"> above the already naturally elevated background</w:t>
      </w:r>
      <w:r w:rsidRPr="007C68E4">
        <w:rPr>
          <w:iCs/>
        </w:rPr>
        <w:t xml:space="preserve">, </w:t>
      </w:r>
      <w:r>
        <w:rPr>
          <w:iCs/>
        </w:rPr>
        <w:t xml:space="preserve">the recommended </w:t>
      </w:r>
      <w:r w:rsidRPr="007C68E4">
        <w:rPr>
          <w:iCs/>
        </w:rPr>
        <w:t xml:space="preserve">approach </w:t>
      </w:r>
      <w:r>
        <w:rPr>
          <w:iCs/>
        </w:rPr>
        <w:t xml:space="preserve">is </w:t>
      </w:r>
      <w:r w:rsidRPr="007C68E4">
        <w:rPr>
          <w:iCs/>
        </w:rPr>
        <w:t>to derive a new site-specific guideline value</w:t>
      </w:r>
      <w:r>
        <w:rPr>
          <w:iCs/>
        </w:rPr>
        <w:t xml:space="preserve"> based on background/reference site data (ANZG 2018)</w:t>
      </w:r>
      <w:r w:rsidRPr="007C68E4">
        <w:rPr>
          <w:iCs/>
        </w:rPr>
        <w:t xml:space="preserve">. </w:t>
      </w:r>
      <w:r w:rsidR="00B01C49">
        <w:rPr>
          <w:iCs/>
        </w:rPr>
        <w:t>In most cases, t</w:t>
      </w:r>
      <w:r w:rsidRPr="007C68E4">
        <w:rPr>
          <w:iCs/>
        </w:rPr>
        <w:t xml:space="preserve">he 80th percentile of the background </w:t>
      </w:r>
      <w:r>
        <w:rPr>
          <w:iCs/>
        </w:rPr>
        <w:t xml:space="preserve">concentration </w:t>
      </w:r>
      <w:r w:rsidRPr="007C68E4">
        <w:rPr>
          <w:iCs/>
        </w:rPr>
        <w:t>becomes the site-specific guideline value</w:t>
      </w:r>
      <w:r>
        <w:rPr>
          <w:iCs/>
        </w:rPr>
        <w:t xml:space="preserve">. Further guidance on this is provided in </w:t>
      </w:r>
      <w:r w:rsidR="00D75AD1" w:rsidRPr="00D75AD1">
        <w:rPr>
          <w:iCs/>
        </w:rPr>
        <w:t>ANZG (2018)</w:t>
      </w:r>
      <w:r>
        <w:rPr>
          <w:iCs/>
        </w:rPr>
        <w:t>. Note that local jurisdictions should always be consulted when deriving site-specific guideline values.</w:t>
      </w:r>
    </w:p>
    <w:p w14:paraId="6B14DC4E" w14:textId="5C67EE84" w:rsidR="009D4127" w:rsidRPr="0050767A" w:rsidRDefault="009D4127" w:rsidP="009D4127">
      <w:pPr>
        <w:pStyle w:val="Heading3"/>
      </w:pPr>
      <w:bookmarkStart w:id="35" w:name="_Toc196928506"/>
      <w:bookmarkStart w:id="36" w:name="_Toc197783999"/>
      <w:r>
        <w:t>Reliability classification</w:t>
      </w:r>
      <w:bookmarkEnd w:id="35"/>
      <w:bookmarkEnd w:id="36"/>
    </w:p>
    <w:p w14:paraId="5F4B44B7" w14:textId="0A37AFE5" w:rsidR="001303C0" w:rsidRPr="00851E69" w:rsidRDefault="001303C0" w:rsidP="001303C0">
      <w:pPr>
        <w:rPr>
          <w:lang w:eastAsia="ja-JP"/>
        </w:rPr>
      </w:pPr>
      <w:r w:rsidRPr="00851E69">
        <w:rPr>
          <w:lang w:eastAsia="ja-JP"/>
        </w:rPr>
        <w:t xml:space="preserve">The DGVs </w:t>
      </w:r>
      <w:r w:rsidR="00427A77">
        <w:rPr>
          <w:lang w:eastAsia="ja-JP"/>
        </w:rPr>
        <w:t xml:space="preserve">for iron in marine water </w:t>
      </w:r>
      <w:r w:rsidRPr="00851E69">
        <w:rPr>
          <w:lang w:eastAsia="ja-JP"/>
        </w:rPr>
        <w:t xml:space="preserve">have a moderate reliability classification (Warne et al. 2018) based on the outcomes for the following </w:t>
      </w:r>
      <w:r w:rsidR="00041FC0">
        <w:rPr>
          <w:lang w:eastAsia="ja-JP"/>
        </w:rPr>
        <w:t>3</w:t>
      </w:r>
      <w:r w:rsidR="00041FC0" w:rsidRPr="00851E69">
        <w:rPr>
          <w:lang w:eastAsia="ja-JP"/>
        </w:rPr>
        <w:t xml:space="preserve"> </w:t>
      </w:r>
      <w:r w:rsidRPr="00851E69">
        <w:rPr>
          <w:lang w:eastAsia="ja-JP"/>
        </w:rPr>
        <w:t>criteria:</w:t>
      </w:r>
    </w:p>
    <w:p w14:paraId="6597F8E5" w14:textId="5890ABD5" w:rsidR="001303C0" w:rsidRPr="00851E69" w:rsidRDefault="001303C0" w:rsidP="001303C0">
      <w:pPr>
        <w:pStyle w:val="ListBullet"/>
        <w:rPr>
          <w:lang w:eastAsia="ja-JP"/>
        </w:rPr>
      </w:pPr>
      <w:r w:rsidRPr="00851E69">
        <w:rPr>
          <w:lang w:eastAsia="ja-JP"/>
        </w:rPr>
        <w:t>Sample size</w:t>
      </w:r>
      <w:r w:rsidR="002D18F7">
        <w:rPr>
          <w:lang w:eastAsia="ja-JP"/>
        </w:rPr>
        <w:t xml:space="preserve"> – </w:t>
      </w:r>
      <w:r w:rsidR="00402870">
        <w:rPr>
          <w:lang w:eastAsia="ja-JP"/>
        </w:rPr>
        <w:t xml:space="preserve">16 </w:t>
      </w:r>
      <w:r w:rsidR="00797B90">
        <w:rPr>
          <w:lang w:eastAsia="ja-JP"/>
        </w:rPr>
        <w:t>(</w:t>
      </w:r>
      <w:r w:rsidR="00402870">
        <w:rPr>
          <w:lang w:eastAsia="ja-JP"/>
        </w:rPr>
        <w:t>preferred</w:t>
      </w:r>
      <w:r w:rsidR="00797B90">
        <w:rPr>
          <w:lang w:eastAsia="ja-JP"/>
        </w:rPr>
        <w:t>)</w:t>
      </w:r>
    </w:p>
    <w:p w14:paraId="12344FEC" w14:textId="0BB9D20A" w:rsidR="001303C0" w:rsidRPr="00851E69" w:rsidRDefault="001303C0" w:rsidP="003954D4">
      <w:pPr>
        <w:pStyle w:val="ListBullet"/>
        <w:rPr>
          <w:lang w:eastAsia="ja-JP"/>
        </w:rPr>
      </w:pPr>
      <w:r w:rsidRPr="00851E69">
        <w:rPr>
          <w:lang w:eastAsia="ja-JP"/>
        </w:rPr>
        <w:t>Type of toxicity data</w:t>
      </w:r>
      <w:r w:rsidR="002D18F7">
        <w:rPr>
          <w:lang w:eastAsia="ja-JP"/>
        </w:rPr>
        <w:t xml:space="preserve"> – </w:t>
      </w:r>
      <w:r w:rsidR="00402870">
        <w:rPr>
          <w:lang w:eastAsia="ja-JP"/>
        </w:rPr>
        <w:t>chronic (</w:t>
      </w:r>
      <w:r w:rsidR="003954D4" w:rsidRPr="003954D4">
        <w:rPr>
          <w:lang w:eastAsia="ja-JP"/>
        </w:rPr>
        <w:t>EC10</w:t>
      </w:r>
      <w:r w:rsidR="00402870">
        <w:rPr>
          <w:lang w:eastAsia="ja-JP"/>
        </w:rPr>
        <w:t>s,</w:t>
      </w:r>
      <w:r w:rsidR="003954D4" w:rsidRPr="003954D4">
        <w:rPr>
          <w:lang w:eastAsia="ja-JP"/>
        </w:rPr>
        <w:t xml:space="preserve"> </w:t>
      </w:r>
      <w:r w:rsidR="003954D4">
        <w:rPr>
          <w:lang w:eastAsia="ja-JP"/>
        </w:rPr>
        <w:t>NOEC</w:t>
      </w:r>
      <w:r w:rsidR="00402870">
        <w:rPr>
          <w:lang w:eastAsia="ja-JP"/>
        </w:rPr>
        <w:t>s,</w:t>
      </w:r>
      <w:r w:rsidR="00B14D49">
        <w:rPr>
          <w:lang w:eastAsia="ja-JP"/>
        </w:rPr>
        <w:t xml:space="preserve"> </w:t>
      </w:r>
      <w:r w:rsidR="003E718F">
        <w:rPr>
          <w:lang w:eastAsia="ja-JP"/>
        </w:rPr>
        <w:t>NEC</w:t>
      </w:r>
      <w:r w:rsidR="00402870">
        <w:rPr>
          <w:lang w:eastAsia="ja-JP"/>
        </w:rPr>
        <w:t>s)</w:t>
      </w:r>
    </w:p>
    <w:p w14:paraId="08B1DCF0" w14:textId="7ABDE42D" w:rsidR="00D13FEB" w:rsidRDefault="001303C0" w:rsidP="002B37C4">
      <w:pPr>
        <w:pStyle w:val="ListBullet"/>
        <w:rPr>
          <w:lang w:eastAsia="ja-JP"/>
        </w:rPr>
      </w:pPr>
      <w:r w:rsidRPr="00851E69">
        <w:rPr>
          <w:lang w:eastAsia="ja-JP"/>
        </w:rPr>
        <w:t>SSD model fit</w:t>
      </w:r>
      <w:r w:rsidR="002D18F7">
        <w:rPr>
          <w:lang w:eastAsia="ja-JP"/>
        </w:rPr>
        <w:t xml:space="preserve"> – </w:t>
      </w:r>
      <w:r w:rsidR="005F4C3B">
        <w:rPr>
          <w:lang w:eastAsia="ja-JP"/>
        </w:rPr>
        <w:t xml:space="preserve">poor </w:t>
      </w:r>
      <w:r w:rsidR="002266D7">
        <w:rPr>
          <w:lang w:eastAsia="ja-JP"/>
        </w:rPr>
        <w:t>(</w:t>
      </w:r>
      <w:r w:rsidR="00814349">
        <w:rPr>
          <w:lang w:eastAsia="ja-JP"/>
        </w:rPr>
        <w:t>i</w:t>
      </w:r>
      <w:r w:rsidR="005F4C3B">
        <w:rPr>
          <w:lang w:eastAsia="ja-JP"/>
        </w:rPr>
        <w:t xml:space="preserve">nverse </w:t>
      </w:r>
      <w:r w:rsidR="00041FC0">
        <w:rPr>
          <w:lang w:eastAsia="ja-JP"/>
        </w:rPr>
        <w:t>W</w:t>
      </w:r>
      <w:r w:rsidR="005F4C3B">
        <w:rPr>
          <w:lang w:eastAsia="ja-JP"/>
        </w:rPr>
        <w:t>eibull</w:t>
      </w:r>
      <w:r w:rsidR="002266D7">
        <w:rPr>
          <w:lang w:eastAsia="ja-JP"/>
        </w:rPr>
        <w:t>)</w:t>
      </w:r>
      <w:r w:rsidRPr="00851E69">
        <w:rPr>
          <w:lang w:eastAsia="ja-JP"/>
        </w:rPr>
        <w:t>.</w:t>
      </w:r>
    </w:p>
    <w:p w14:paraId="2A75AA25" w14:textId="15046ABB" w:rsidR="000756BD" w:rsidRPr="00B23180" w:rsidRDefault="001303C0" w:rsidP="001303C0">
      <w:pPr>
        <w:pStyle w:val="Heading2"/>
        <w:numPr>
          <w:ilvl w:val="0"/>
          <w:numId w:val="0"/>
        </w:numPr>
      </w:pPr>
      <w:bookmarkStart w:id="37" w:name="_Ref195442642"/>
      <w:bookmarkStart w:id="38" w:name="_Toc196928507"/>
      <w:bookmarkStart w:id="39" w:name="_Toc197784000"/>
      <w:r w:rsidRPr="00B23180">
        <w:lastRenderedPageBreak/>
        <w:t>Glossary</w:t>
      </w:r>
      <w:r w:rsidR="00AF0D56">
        <w:t xml:space="preserve"> and acronyms</w:t>
      </w:r>
      <w:bookmarkEnd w:id="37"/>
      <w:bookmarkEnd w:id="38"/>
      <w:bookmarkEnd w:id="39"/>
    </w:p>
    <w:tbl>
      <w:tblPr>
        <w:tblW w:w="5000" w:type="pct"/>
        <w:tblBorders>
          <w:top w:val="single" w:sz="4" w:space="0" w:color="auto"/>
          <w:bottom w:val="single" w:sz="4" w:space="0" w:color="auto"/>
        </w:tblBorders>
        <w:tblLook w:val="0420" w:firstRow="1" w:lastRow="0" w:firstColumn="0" w:lastColumn="0" w:noHBand="0" w:noVBand="1"/>
      </w:tblPr>
      <w:tblGrid>
        <w:gridCol w:w="2460"/>
        <w:gridCol w:w="6610"/>
      </w:tblGrid>
      <w:tr w:rsidR="001303C0" w:rsidRPr="00B23180" w14:paraId="7B4234B7" w14:textId="77777777" w:rsidTr="004D5B4E">
        <w:trPr>
          <w:cantSplit/>
          <w:tblHeader/>
        </w:trPr>
        <w:tc>
          <w:tcPr>
            <w:tcW w:w="1356" w:type="pct"/>
            <w:tcBorders>
              <w:top w:val="single" w:sz="12" w:space="0" w:color="auto"/>
              <w:bottom w:val="single" w:sz="12" w:space="0" w:color="auto"/>
            </w:tcBorders>
          </w:tcPr>
          <w:p w14:paraId="538DCD28" w14:textId="77777777" w:rsidR="001303C0" w:rsidRPr="00B23180" w:rsidRDefault="001303C0" w:rsidP="007336AC">
            <w:pPr>
              <w:pStyle w:val="TableHeading"/>
              <w:rPr>
                <w:lang w:eastAsia="ja-JP"/>
              </w:rPr>
            </w:pPr>
            <w:r w:rsidRPr="00B23180">
              <w:rPr>
                <w:lang w:eastAsia="ja-JP"/>
              </w:rPr>
              <w:t>Term</w:t>
            </w:r>
          </w:p>
        </w:tc>
        <w:tc>
          <w:tcPr>
            <w:tcW w:w="3644" w:type="pct"/>
            <w:tcBorders>
              <w:top w:val="single" w:sz="12" w:space="0" w:color="auto"/>
              <w:bottom w:val="single" w:sz="12" w:space="0" w:color="auto"/>
            </w:tcBorders>
          </w:tcPr>
          <w:p w14:paraId="0204551F" w14:textId="77777777" w:rsidR="001303C0" w:rsidRPr="00B23180" w:rsidRDefault="001303C0" w:rsidP="007336AC">
            <w:pPr>
              <w:pStyle w:val="TableHeading"/>
              <w:rPr>
                <w:lang w:eastAsia="ja-JP"/>
              </w:rPr>
            </w:pPr>
            <w:r w:rsidRPr="00B23180">
              <w:rPr>
                <w:lang w:eastAsia="ja-JP"/>
              </w:rPr>
              <w:t>Definition</w:t>
            </w:r>
          </w:p>
        </w:tc>
      </w:tr>
      <w:tr w:rsidR="001303C0" w:rsidRPr="00A44053" w14:paraId="14D47F02" w14:textId="77777777" w:rsidTr="004D5B4E">
        <w:trPr>
          <w:cantSplit/>
        </w:trPr>
        <w:tc>
          <w:tcPr>
            <w:tcW w:w="1356" w:type="pct"/>
            <w:tcBorders>
              <w:top w:val="single" w:sz="12" w:space="0" w:color="auto"/>
              <w:bottom w:val="single" w:sz="4" w:space="0" w:color="auto"/>
            </w:tcBorders>
          </w:tcPr>
          <w:p w14:paraId="35ED4200" w14:textId="489D772B" w:rsidR="001303C0" w:rsidRPr="00B23180" w:rsidRDefault="00F5479B" w:rsidP="007336AC">
            <w:pPr>
              <w:pStyle w:val="TableText"/>
              <w:rPr>
                <w:lang w:eastAsia="ja-JP"/>
              </w:rPr>
            </w:pPr>
            <w:r>
              <w:rPr>
                <w:lang w:eastAsia="ja-JP"/>
              </w:rPr>
              <w:t>A</w:t>
            </w:r>
            <w:r w:rsidR="001303C0" w:rsidRPr="00B23180">
              <w:rPr>
                <w:lang w:eastAsia="ja-JP"/>
              </w:rPr>
              <w:t>cute toxicity</w:t>
            </w:r>
          </w:p>
        </w:tc>
        <w:tc>
          <w:tcPr>
            <w:tcW w:w="3644" w:type="pct"/>
            <w:tcBorders>
              <w:top w:val="single" w:sz="12" w:space="0" w:color="auto"/>
              <w:bottom w:val="single" w:sz="4" w:space="0" w:color="auto"/>
            </w:tcBorders>
          </w:tcPr>
          <w:p w14:paraId="6A09CB98" w14:textId="6DA5C838" w:rsidR="001303C0" w:rsidRPr="00B23180" w:rsidRDefault="00F5479B" w:rsidP="007336AC">
            <w:pPr>
              <w:pStyle w:val="TableText"/>
              <w:rPr>
                <w:lang w:eastAsia="ja-JP"/>
              </w:rPr>
            </w:pPr>
            <w:r w:rsidRPr="00BE3065">
              <w:rPr>
                <w:lang w:eastAsia="ja-JP"/>
              </w:rPr>
              <w:t xml:space="preserve">A lethal or adverse sub-lethal effect that occurs </w:t>
            </w:r>
            <w:r w:rsidR="00DE1CC3">
              <w:rPr>
                <w:lang w:eastAsia="ja-JP"/>
              </w:rPr>
              <w:t>due to</w:t>
            </w:r>
            <w:r>
              <w:rPr>
                <w:lang w:eastAsia="ja-JP"/>
              </w:rPr>
              <w:t xml:space="preserve"> a </w:t>
            </w:r>
            <w:r w:rsidRPr="00BE3065">
              <w:rPr>
                <w:lang w:eastAsia="ja-JP"/>
              </w:rPr>
              <w:t>short</w:t>
            </w:r>
            <w:r>
              <w:rPr>
                <w:lang w:eastAsia="ja-JP"/>
              </w:rPr>
              <w:t xml:space="preserve"> (relative to the organism’s life span) exposure to a chemical</w:t>
            </w:r>
            <w:r w:rsidRPr="00BE3065">
              <w:rPr>
                <w:lang w:eastAsia="ja-JP"/>
              </w:rPr>
              <w:t xml:space="preserve">. Refer to Warne et al. </w:t>
            </w:r>
            <w:r>
              <w:rPr>
                <w:lang w:eastAsia="ja-JP"/>
              </w:rPr>
              <w:t>(2018)</w:t>
            </w:r>
            <w:r w:rsidRPr="00BE3065">
              <w:rPr>
                <w:lang w:eastAsia="ja-JP"/>
              </w:rPr>
              <w:t xml:space="preserve"> for examples of acute exposures.</w:t>
            </w:r>
          </w:p>
        </w:tc>
      </w:tr>
      <w:tr w:rsidR="005B3599" w:rsidRPr="00B23180" w14:paraId="2004086C" w14:textId="77777777" w:rsidTr="004D5B4E">
        <w:trPr>
          <w:cantSplit/>
        </w:trPr>
        <w:tc>
          <w:tcPr>
            <w:tcW w:w="1356" w:type="pct"/>
            <w:tcBorders>
              <w:top w:val="single" w:sz="4" w:space="0" w:color="auto"/>
              <w:bottom w:val="single" w:sz="4" w:space="0" w:color="auto"/>
            </w:tcBorders>
          </w:tcPr>
          <w:p w14:paraId="3D1C81F6" w14:textId="248377F1" w:rsidR="005B3599" w:rsidRPr="00B23180" w:rsidRDefault="005B3599" w:rsidP="005B3599">
            <w:pPr>
              <w:pStyle w:val="TableText"/>
              <w:rPr>
                <w:lang w:eastAsia="ja-JP"/>
              </w:rPr>
            </w:pPr>
            <w:r>
              <w:rPr>
                <w:lang w:eastAsia="ja-JP"/>
              </w:rPr>
              <w:t>C</w:t>
            </w:r>
            <w:r w:rsidRPr="00B23180">
              <w:rPr>
                <w:lang w:eastAsia="ja-JP"/>
              </w:rPr>
              <w:t>hronic toxicity</w:t>
            </w:r>
          </w:p>
        </w:tc>
        <w:tc>
          <w:tcPr>
            <w:tcW w:w="3644" w:type="pct"/>
            <w:tcBorders>
              <w:top w:val="single" w:sz="4" w:space="0" w:color="auto"/>
              <w:bottom w:val="single" w:sz="4" w:space="0" w:color="auto"/>
            </w:tcBorders>
          </w:tcPr>
          <w:p w14:paraId="09B280CE" w14:textId="22B30E2F" w:rsidR="005B3599" w:rsidRPr="00B23180" w:rsidRDefault="005B3599" w:rsidP="005B3599">
            <w:pPr>
              <w:pStyle w:val="TableText"/>
              <w:rPr>
                <w:lang w:eastAsia="ja-JP"/>
              </w:rPr>
            </w:pPr>
            <w:r w:rsidRPr="00BE3065">
              <w:rPr>
                <w:lang w:eastAsia="ja-JP"/>
              </w:rPr>
              <w:t xml:space="preserve">A lethal or sub-lethal adverse effect that occurs </w:t>
            </w:r>
            <w:r>
              <w:rPr>
                <w:lang w:eastAsia="ja-JP"/>
              </w:rPr>
              <w:t>as the result of</w:t>
            </w:r>
            <w:r w:rsidRPr="00BE3065">
              <w:rPr>
                <w:lang w:eastAsia="ja-JP"/>
              </w:rPr>
              <w:t xml:space="preserve"> exposure to a chemical for a period that is a substantial portion of the organism’s life span or an adverse </w:t>
            </w:r>
            <w:r>
              <w:rPr>
                <w:lang w:eastAsia="ja-JP"/>
              </w:rPr>
              <w:t xml:space="preserve">sub-lethal </w:t>
            </w:r>
            <w:r w:rsidRPr="00BE3065">
              <w:rPr>
                <w:lang w:eastAsia="ja-JP"/>
              </w:rPr>
              <w:t>effect on a sensitive early life stage.</w:t>
            </w:r>
            <w:r w:rsidRPr="00585FD8">
              <w:rPr>
                <w:lang w:eastAsia="ja-JP"/>
              </w:rPr>
              <w:t xml:space="preserve"> Refer to Warne et al. (201</w:t>
            </w:r>
            <w:r>
              <w:rPr>
                <w:lang w:eastAsia="ja-JP"/>
              </w:rPr>
              <w:t>8</w:t>
            </w:r>
            <w:r w:rsidRPr="00585FD8">
              <w:rPr>
                <w:lang w:eastAsia="ja-JP"/>
              </w:rPr>
              <w:t>) for examples of chronic exposures.</w:t>
            </w:r>
          </w:p>
        </w:tc>
      </w:tr>
      <w:tr w:rsidR="001303C0" w:rsidRPr="007A07F0" w14:paraId="4926BC66" w14:textId="77777777" w:rsidTr="004D5B4E">
        <w:trPr>
          <w:cantSplit/>
        </w:trPr>
        <w:tc>
          <w:tcPr>
            <w:tcW w:w="1356" w:type="pct"/>
            <w:tcBorders>
              <w:top w:val="single" w:sz="4" w:space="0" w:color="auto"/>
              <w:bottom w:val="single" w:sz="4" w:space="0" w:color="auto"/>
            </w:tcBorders>
          </w:tcPr>
          <w:p w14:paraId="55C3E9CE" w14:textId="77E28C2E" w:rsidR="001303C0" w:rsidRPr="007A07F0" w:rsidRDefault="00F5479B" w:rsidP="007336AC">
            <w:pPr>
              <w:pStyle w:val="TableText"/>
              <w:rPr>
                <w:lang w:eastAsia="ja-JP"/>
              </w:rPr>
            </w:pPr>
            <w:r>
              <w:rPr>
                <w:lang w:eastAsia="ja-JP"/>
              </w:rPr>
              <w:t>D</w:t>
            </w:r>
            <w:r w:rsidR="001303C0" w:rsidRPr="007A07F0">
              <w:rPr>
                <w:lang w:eastAsia="ja-JP"/>
              </w:rPr>
              <w:t>efault guideline value (DGV)</w:t>
            </w:r>
          </w:p>
        </w:tc>
        <w:tc>
          <w:tcPr>
            <w:tcW w:w="3644" w:type="pct"/>
            <w:tcBorders>
              <w:top w:val="single" w:sz="4" w:space="0" w:color="auto"/>
              <w:bottom w:val="single" w:sz="4" w:space="0" w:color="auto"/>
            </w:tcBorders>
          </w:tcPr>
          <w:p w14:paraId="57ED641E" w14:textId="4928AFD4" w:rsidR="001303C0" w:rsidRPr="007A07F0" w:rsidRDefault="001303C0" w:rsidP="007336AC">
            <w:pPr>
              <w:pStyle w:val="TableText"/>
              <w:rPr>
                <w:lang w:eastAsia="ja-JP"/>
              </w:rPr>
            </w:pPr>
            <w:r w:rsidRPr="007A07F0">
              <w:rPr>
                <w:lang w:eastAsia="ja-JP"/>
              </w:rPr>
              <w:t xml:space="preserve">A guideline value recommended for generic application in the absence of a more specific guideline value (e.g. </w:t>
            </w:r>
            <w:r w:rsidR="00F92E30">
              <w:rPr>
                <w:lang w:eastAsia="ja-JP"/>
              </w:rPr>
              <w:t xml:space="preserve">a </w:t>
            </w:r>
            <w:r w:rsidRPr="007A07F0">
              <w:rPr>
                <w:lang w:eastAsia="ja-JP"/>
              </w:rPr>
              <w:t>site-specific</w:t>
            </w:r>
            <w:r w:rsidR="00F92E30">
              <w:rPr>
                <w:lang w:eastAsia="ja-JP"/>
              </w:rPr>
              <w:t xml:space="preserve"> value</w:t>
            </w:r>
            <w:r w:rsidRPr="007A07F0">
              <w:rPr>
                <w:lang w:eastAsia="ja-JP"/>
              </w:rPr>
              <w:t xml:space="preserve">), in the </w:t>
            </w:r>
            <w:r w:rsidRPr="005B3599">
              <w:rPr>
                <w:i/>
                <w:iCs/>
                <w:lang w:eastAsia="ja-JP"/>
              </w:rPr>
              <w:t>Australian and New Zealand Guidelines for Fresh and Marine Water Quality</w:t>
            </w:r>
            <w:r w:rsidRPr="007A07F0">
              <w:rPr>
                <w:lang w:eastAsia="ja-JP"/>
              </w:rPr>
              <w:t>.</w:t>
            </w:r>
            <w:r w:rsidR="00F92E30">
              <w:rPr>
                <w:lang w:eastAsia="ja-JP"/>
              </w:rPr>
              <w:t xml:space="preserve"> Formerly known as ‘trigger values’.</w:t>
            </w:r>
          </w:p>
        </w:tc>
      </w:tr>
      <w:tr w:rsidR="00261328" w:rsidRPr="007A07F0" w14:paraId="67F6BDD1" w14:textId="77777777" w:rsidTr="004D5B4E">
        <w:trPr>
          <w:cantSplit/>
        </w:trPr>
        <w:tc>
          <w:tcPr>
            <w:tcW w:w="1356" w:type="pct"/>
            <w:tcBorders>
              <w:top w:val="single" w:sz="4" w:space="0" w:color="auto"/>
              <w:bottom w:val="single" w:sz="4" w:space="0" w:color="auto"/>
            </w:tcBorders>
          </w:tcPr>
          <w:p w14:paraId="6E16654D" w14:textId="38EE403E" w:rsidR="00261328" w:rsidRPr="007A07F0" w:rsidRDefault="00261328" w:rsidP="00261328">
            <w:pPr>
              <w:pStyle w:val="TableText"/>
              <w:rPr>
                <w:lang w:eastAsia="ja-JP"/>
              </w:rPr>
            </w:pPr>
            <w:r w:rsidRPr="00745640">
              <w:t>ECx</w:t>
            </w:r>
          </w:p>
        </w:tc>
        <w:tc>
          <w:tcPr>
            <w:tcW w:w="3644" w:type="pct"/>
            <w:tcBorders>
              <w:top w:val="single" w:sz="4" w:space="0" w:color="auto"/>
              <w:bottom w:val="single" w:sz="4" w:space="0" w:color="auto"/>
            </w:tcBorders>
          </w:tcPr>
          <w:p w14:paraId="6C39296A" w14:textId="5E8473CF" w:rsidR="00261328" w:rsidRPr="007A07F0" w:rsidRDefault="00261328" w:rsidP="00261328">
            <w:pPr>
              <w:pStyle w:val="TableText"/>
              <w:rPr>
                <w:lang w:eastAsia="ja-JP"/>
              </w:rPr>
            </w:pPr>
            <w:r>
              <w:t>T</w:t>
            </w:r>
            <w:r w:rsidRPr="00134FA7">
              <w:t>he concentration of a substance in water or sediment that is estimated to produce an x% change in the response being measured or a certain effect in x% of the test organisms, under specified conditions.</w:t>
            </w:r>
          </w:p>
        </w:tc>
      </w:tr>
      <w:tr w:rsidR="001303C0" w:rsidRPr="007A07F0" w14:paraId="07F4616F" w14:textId="77777777" w:rsidTr="004D5B4E">
        <w:trPr>
          <w:cantSplit/>
        </w:trPr>
        <w:tc>
          <w:tcPr>
            <w:tcW w:w="1356" w:type="pct"/>
            <w:tcBorders>
              <w:top w:val="single" w:sz="4" w:space="0" w:color="auto"/>
              <w:bottom w:val="single" w:sz="4" w:space="0" w:color="auto"/>
            </w:tcBorders>
          </w:tcPr>
          <w:p w14:paraId="7FDCF3EE" w14:textId="1A5BA657" w:rsidR="001303C0" w:rsidRPr="007A07F0" w:rsidRDefault="00251E1E" w:rsidP="007336AC">
            <w:pPr>
              <w:pStyle w:val="TableText"/>
              <w:rPr>
                <w:lang w:eastAsia="ja-JP"/>
              </w:rPr>
            </w:pPr>
            <w:r>
              <w:rPr>
                <w:lang w:eastAsia="ja-JP"/>
              </w:rPr>
              <w:t>E</w:t>
            </w:r>
            <w:r w:rsidR="001303C0" w:rsidRPr="007A07F0">
              <w:rPr>
                <w:lang w:eastAsia="ja-JP"/>
              </w:rPr>
              <w:t>ndpoint</w:t>
            </w:r>
          </w:p>
        </w:tc>
        <w:tc>
          <w:tcPr>
            <w:tcW w:w="3644" w:type="pct"/>
            <w:tcBorders>
              <w:top w:val="single" w:sz="4" w:space="0" w:color="auto"/>
              <w:bottom w:val="single" w:sz="4" w:space="0" w:color="auto"/>
            </w:tcBorders>
          </w:tcPr>
          <w:p w14:paraId="5A86FF13" w14:textId="12B67C9F" w:rsidR="001303C0" w:rsidRPr="007A07F0" w:rsidRDefault="00200707" w:rsidP="007336AC">
            <w:pPr>
              <w:pStyle w:val="TableText"/>
              <w:rPr>
                <w:lang w:eastAsia="ja-JP"/>
              </w:rPr>
            </w:pPr>
            <w:r>
              <w:rPr>
                <w:lang w:eastAsia="ja-JP"/>
              </w:rPr>
              <w:t>T</w:t>
            </w:r>
            <w:r w:rsidRPr="00200707">
              <w:rPr>
                <w:lang w:eastAsia="ja-JP"/>
              </w:rPr>
              <w:t>he specific response of an organism that is measured in a toxicity test (e.g. mortality, growth, a particular biomarker).</w:t>
            </w:r>
          </w:p>
        </w:tc>
      </w:tr>
      <w:tr w:rsidR="001303C0" w:rsidRPr="00A44053" w14:paraId="770A37F1" w14:textId="77777777" w:rsidTr="004D5B4E">
        <w:trPr>
          <w:cantSplit/>
        </w:trPr>
        <w:tc>
          <w:tcPr>
            <w:tcW w:w="1356" w:type="pct"/>
            <w:tcBorders>
              <w:top w:val="single" w:sz="4" w:space="0" w:color="auto"/>
              <w:bottom w:val="single" w:sz="4" w:space="0" w:color="auto"/>
            </w:tcBorders>
          </w:tcPr>
          <w:p w14:paraId="454A9785" w14:textId="49091ECA" w:rsidR="001303C0" w:rsidRPr="00A44053" w:rsidRDefault="00936127" w:rsidP="007336AC">
            <w:pPr>
              <w:pStyle w:val="TableText"/>
              <w:rPr>
                <w:highlight w:val="yellow"/>
                <w:lang w:eastAsia="ja-JP"/>
              </w:rPr>
            </w:pPr>
            <w:r>
              <w:rPr>
                <w:lang w:eastAsia="ja-JP"/>
              </w:rPr>
              <w:t>G</w:t>
            </w:r>
            <w:r w:rsidR="001303C0" w:rsidRPr="00200707">
              <w:rPr>
                <w:lang w:eastAsia="ja-JP"/>
              </w:rPr>
              <w:t>uideline value (GV)</w:t>
            </w:r>
          </w:p>
        </w:tc>
        <w:tc>
          <w:tcPr>
            <w:tcW w:w="3644" w:type="pct"/>
            <w:tcBorders>
              <w:top w:val="single" w:sz="4" w:space="0" w:color="auto"/>
              <w:bottom w:val="single" w:sz="4" w:space="0" w:color="auto"/>
            </w:tcBorders>
          </w:tcPr>
          <w:p w14:paraId="59A3ABFF" w14:textId="2BD9DE20" w:rsidR="001303C0" w:rsidRPr="00A44053" w:rsidRDefault="00200707" w:rsidP="006B0BC6">
            <w:pPr>
              <w:pStyle w:val="TableText"/>
              <w:rPr>
                <w:highlight w:val="yellow"/>
                <w:lang w:eastAsia="ja-JP"/>
              </w:rPr>
            </w:pPr>
            <w:r w:rsidRPr="00200707">
              <w:rPr>
                <w:lang w:eastAsia="ja-JP"/>
              </w:rPr>
              <w:t xml:space="preserve">A measurable quantity (e.g. concentration) or condition of an indicator for a specific </w:t>
            </w:r>
            <w:r>
              <w:rPr>
                <w:lang w:eastAsia="ja-JP"/>
              </w:rPr>
              <w:t>community</w:t>
            </w:r>
            <w:r w:rsidRPr="00200707">
              <w:rPr>
                <w:lang w:eastAsia="ja-JP"/>
              </w:rPr>
              <w:t xml:space="preserve"> value below which (or above which, in the case of stressors such as pH, dissolved oxygen and many biodiversity responses) there is considered a low risk of unacceptable effects occurring to that </w:t>
            </w:r>
            <w:r w:rsidR="006F322A">
              <w:rPr>
                <w:lang w:eastAsia="ja-JP"/>
              </w:rPr>
              <w:t>community</w:t>
            </w:r>
            <w:r w:rsidRPr="00200707">
              <w:rPr>
                <w:lang w:eastAsia="ja-JP"/>
              </w:rPr>
              <w:t xml:space="preserve"> value. Guideline values for more than one indicator should be used simultaneously in a multiple lines of evidence approach.</w:t>
            </w:r>
            <w:r w:rsidR="006F322A">
              <w:rPr>
                <w:lang w:eastAsia="ja-JP"/>
              </w:rPr>
              <w:t xml:space="preserve"> </w:t>
            </w:r>
            <w:r w:rsidR="006F322A" w:rsidRPr="006F322A">
              <w:rPr>
                <w:lang w:eastAsia="ja-JP"/>
              </w:rPr>
              <w:t xml:space="preserve">(Also refer to </w:t>
            </w:r>
            <w:r w:rsidR="006F322A">
              <w:rPr>
                <w:lang w:eastAsia="ja-JP"/>
              </w:rPr>
              <w:t>‘</w:t>
            </w:r>
            <w:r w:rsidR="006F322A" w:rsidRPr="006F322A">
              <w:rPr>
                <w:lang w:eastAsia="ja-JP"/>
              </w:rPr>
              <w:t>default guideline value</w:t>
            </w:r>
            <w:r w:rsidR="006F322A">
              <w:rPr>
                <w:lang w:eastAsia="ja-JP"/>
              </w:rPr>
              <w:t>’</w:t>
            </w:r>
            <w:r w:rsidR="006F322A" w:rsidRPr="006F322A">
              <w:rPr>
                <w:lang w:eastAsia="ja-JP"/>
              </w:rPr>
              <w:t xml:space="preserve"> and </w:t>
            </w:r>
            <w:r w:rsidR="006F322A">
              <w:rPr>
                <w:lang w:eastAsia="ja-JP"/>
              </w:rPr>
              <w:t>‘</w:t>
            </w:r>
            <w:r w:rsidR="006F322A" w:rsidRPr="006F322A">
              <w:rPr>
                <w:lang w:eastAsia="ja-JP"/>
              </w:rPr>
              <w:t>site-specific guideline value</w:t>
            </w:r>
            <w:r w:rsidR="006F322A">
              <w:rPr>
                <w:lang w:eastAsia="ja-JP"/>
              </w:rPr>
              <w:t>’</w:t>
            </w:r>
            <w:r w:rsidR="006F322A" w:rsidRPr="006F322A">
              <w:rPr>
                <w:lang w:eastAsia="ja-JP"/>
              </w:rPr>
              <w:t>.)</w:t>
            </w:r>
          </w:p>
        </w:tc>
      </w:tr>
      <w:tr w:rsidR="005D61BF" w:rsidRPr="007A07F0" w14:paraId="6CB7BFC4" w14:textId="77777777" w:rsidTr="004D5B4E">
        <w:trPr>
          <w:cantSplit/>
        </w:trPr>
        <w:tc>
          <w:tcPr>
            <w:tcW w:w="1356" w:type="pct"/>
            <w:tcBorders>
              <w:top w:val="single" w:sz="4" w:space="0" w:color="auto"/>
              <w:bottom w:val="single" w:sz="4" w:space="0" w:color="auto"/>
            </w:tcBorders>
          </w:tcPr>
          <w:p w14:paraId="5E10FE60" w14:textId="7DEEF449" w:rsidR="005D61BF" w:rsidRPr="007A07F0" w:rsidRDefault="005D61BF" w:rsidP="005D61BF">
            <w:pPr>
              <w:pStyle w:val="TableText"/>
              <w:rPr>
                <w:lang w:eastAsia="ja-JP"/>
              </w:rPr>
            </w:pPr>
            <w:r w:rsidRPr="004B7514">
              <w:t>LCx</w:t>
            </w:r>
          </w:p>
        </w:tc>
        <w:tc>
          <w:tcPr>
            <w:tcW w:w="3644" w:type="pct"/>
            <w:tcBorders>
              <w:top w:val="single" w:sz="4" w:space="0" w:color="auto"/>
              <w:bottom w:val="single" w:sz="4" w:space="0" w:color="auto"/>
            </w:tcBorders>
          </w:tcPr>
          <w:p w14:paraId="4CFBA362" w14:textId="18890FE4" w:rsidR="005D61BF" w:rsidRPr="007A07F0" w:rsidRDefault="005D61BF" w:rsidP="005D61BF">
            <w:pPr>
              <w:pStyle w:val="TableText"/>
              <w:rPr>
                <w:lang w:eastAsia="ja-JP"/>
              </w:rPr>
            </w:pPr>
            <w:r>
              <w:t>T</w:t>
            </w:r>
            <w:r w:rsidRPr="00100EA6">
              <w:t>he concentration of a substance in water or sediment that is estimated to be lethal to x% of a group of test organisms under specified conditions.</w:t>
            </w:r>
          </w:p>
        </w:tc>
      </w:tr>
      <w:tr w:rsidR="00024203" w:rsidRPr="007A07F0" w14:paraId="4F9353DA" w14:textId="77777777" w:rsidTr="004D5B4E">
        <w:trPr>
          <w:cantSplit/>
        </w:trPr>
        <w:tc>
          <w:tcPr>
            <w:tcW w:w="1356" w:type="pct"/>
            <w:tcBorders>
              <w:top w:val="single" w:sz="4" w:space="0" w:color="auto"/>
              <w:bottom w:val="single" w:sz="4" w:space="0" w:color="auto"/>
            </w:tcBorders>
          </w:tcPr>
          <w:p w14:paraId="6044A1E3" w14:textId="6AD18975" w:rsidR="00024203" w:rsidRPr="007A07F0" w:rsidRDefault="00024203" w:rsidP="00024203">
            <w:pPr>
              <w:pStyle w:val="TableText"/>
              <w:rPr>
                <w:lang w:eastAsia="ja-JP"/>
              </w:rPr>
            </w:pPr>
            <w:r>
              <w:rPr>
                <w:lang w:eastAsia="ja-JP"/>
              </w:rPr>
              <w:t>L</w:t>
            </w:r>
            <w:r w:rsidRPr="00BE3065">
              <w:rPr>
                <w:lang w:eastAsia="ja-JP"/>
              </w:rPr>
              <w:t>owest</w:t>
            </w:r>
            <w:r>
              <w:rPr>
                <w:lang w:eastAsia="ja-JP"/>
              </w:rPr>
              <w:t>-</w:t>
            </w:r>
            <w:r w:rsidRPr="00BE3065">
              <w:rPr>
                <w:lang w:eastAsia="ja-JP"/>
              </w:rPr>
              <w:t>observed</w:t>
            </w:r>
            <w:r>
              <w:rPr>
                <w:lang w:eastAsia="ja-JP"/>
              </w:rPr>
              <w:t>-</w:t>
            </w:r>
            <w:r w:rsidRPr="00BE3065">
              <w:rPr>
                <w:lang w:eastAsia="ja-JP"/>
              </w:rPr>
              <w:t>effect concentration</w:t>
            </w:r>
            <w:r>
              <w:rPr>
                <w:lang w:eastAsia="ja-JP"/>
              </w:rPr>
              <w:t>)</w:t>
            </w:r>
            <w:r w:rsidRPr="00BE3065">
              <w:rPr>
                <w:lang w:eastAsia="ja-JP"/>
              </w:rPr>
              <w:t xml:space="preserve"> (LOEC)</w:t>
            </w:r>
          </w:p>
        </w:tc>
        <w:tc>
          <w:tcPr>
            <w:tcW w:w="3644" w:type="pct"/>
            <w:tcBorders>
              <w:top w:val="single" w:sz="4" w:space="0" w:color="auto"/>
              <w:bottom w:val="single" w:sz="4" w:space="0" w:color="auto"/>
            </w:tcBorders>
          </w:tcPr>
          <w:p w14:paraId="440359A8" w14:textId="44163624" w:rsidR="00024203" w:rsidRPr="007A07F0" w:rsidRDefault="00024203" w:rsidP="00024203">
            <w:pPr>
              <w:pStyle w:val="TableText"/>
              <w:rPr>
                <w:lang w:eastAsia="ja-JP"/>
              </w:rPr>
            </w:pPr>
            <w:r>
              <w:rPr>
                <w:lang w:eastAsia="ja-JP"/>
              </w:rPr>
              <w:t>T</w:t>
            </w:r>
            <w:r w:rsidRPr="00342AB1">
              <w:rPr>
                <w:lang w:eastAsia="ja-JP"/>
              </w:rPr>
              <w:t xml:space="preserve">he lowest concentration of a material used in a toxicity test that has a statistically significant </w:t>
            </w:r>
            <w:r w:rsidRPr="00585FD8">
              <w:rPr>
                <w:lang w:eastAsia="ja-JP"/>
              </w:rPr>
              <w:t>(p</w:t>
            </w:r>
            <w:r>
              <w:rPr>
                <w:lang w:eastAsia="ja-JP"/>
              </w:rPr>
              <w:t> </w:t>
            </w:r>
            <w:r w:rsidRPr="00585FD8">
              <w:rPr>
                <w:lang w:eastAsia="ja-JP"/>
              </w:rPr>
              <w:t>≤</w:t>
            </w:r>
            <w:r>
              <w:rPr>
                <w:lang w:eastAsia="ja-JP"/>
              </w:rPr>
              <w:t> </w:t>
            </w:r>
            <w:r w:rsidRPr="00585FD8">
              <w:rPr>
                <w:lang w:eastAsia="ja-JP"/>
              </w:rPr>
              <w:t xml:space="preserve">0.05) </w:t>
            </w:r>
            <w:r w:rsidRPr="00342AB1">
              <w:rPr>
                <w:lang w:eastAsia="ja-JP"/>
              </w:rPr>
              <w:t>adverse effect on the exposed population of test organisms as compared with the controls.</w:t>
            </w:r>
            <w:r>
              <w:rPr>
                <w:lang w:eastAsia="ja-JP"/>
              </w:rPr>
              <w:t xml:space="preserve"> All higher concentrations should also cause statistically significant effects.</w:t>
            </w:r>
          </w:p>
        </w:tc>
      </w:tr>
      <w:tr w:rsidR="00FA7CEF" w:rsidRPr="007A07F0" w14:paraId="26FAF745" w14:textId="77777777" w:rsidTr="004D5B4E">
        <w:trPr>
          <w:cantSplit/>
        </w:trPr>
        <w:tc>
          <w:tcPr>
            <w:tcW w:w="1356" w:type="pct"/>
            <w:tcBorders>
              <w:top w:val="single" w:sz="4" w:space="0" w:color="auto"/>
              <w:bottom w:val="single" w:sz="4" w:space="0" w:color="auto"/>
            </w:tcBorders>
          </w:tcPr>
          <w:p w14:paraId="5D0062F0" w14:textId="602B0D90" w:rsidR="00FA7CEF" w:rsidRPr="007A07F0" w:rsidRDefault="00FA7CEF" w:rsidP="00FA7CEF">
            <w:pPr>
              <w:pStyle w:val="TableText"/>
              <w:rPr>
                <w:lang w:eastAsia="ja-JP"/>
              </w:rPr>
            </w:pPr>
            <w:r>
              <w:t>N</w:t>
            </w:r>
            <w:r w:rsidRPr="005F0D05">
              <w:t>o</w:t>
            </w:r>
            <w:r>
              <w:t>-</w:t>
            </w:r>
            <w:r w:rsidRPr="005F0D05">
              <w:t>effect concentration</w:t>
            </w:r>
            <w:r>
              <w:t>)</w:t>
            </w:r>
            <w:r w:rsidRPr="005F0D05">
              <w:t xml:space="preserve"> </w:t>
            </w:r>
            <w:r>
              <w:t>(</w:t>
            </w:r>
            <w:r w:rsidRPr="005F0D05">
              <w:t>NEC</w:t>
            </w:r>
            <w:r>
              <w:t>)</w:t>
            </w:r>
          </w:p>
        </w:tc>
        <w:tc>
          <w:tcPr>
            <w:tcW w:w="3644" w:type="pct"/>
            <w:tcBorders>
              <w:top w:val="single" w:sz="4" w:space="0" w:color="auto"/>
              <w:bottom w:val="single" w:sz="4" w:space="0" w:color="auto"/>
            </w:tcBorders>
          </w:tcPr>
          <w:p w14:paraId="72E06E78" w14:textId="6EB42F9E" w:rsidR="00FA7CEF" w:rsidRDefault="00FA7CEF" w:rsidP="00FA7CEF">
            <w:pPr>
              <w:pStyle w:val="TableText"/>
              <w:rPr>
                <w:lang w:eastAsia="ja-JP"/>
              </w:rPr>
            </w:pPr>
            <w:r>
              <w:rPr>
                <w:lang w:val="en-GB" w:eastAsia="ja-JP"/>
              </w:rPr>
              <w:t>T</w:t>
            </w:r>
            <w:r w:rsidRPr="0020248D">
              <w:rPr>
                <w:lang w:val="en-GB" w:eastAsia="ja-JP"/>
              </w:rPr>
              <w:t xml:space="preserve">he maximum concentration </w:t>
            </w:r>
            <w:r>
              <w:rPr>
                <w:lang w:val="en-GB" w:eastAsia="ja-JP"/>
              </w:rPr>
              <w:t xml:space="preserve">of a toxicant that </w:t>
            </w:r>
            <w:r w:rsidRPr="0020248D">
              <w:rPr>
                <w:lang w:val="en-GB" w:eastAsia="ja-JP"/>
              </w:rPr>
              <w:t>causes no adverse effect in a target organism</w:t>
            </w:r>
            <w:r>
              <w:rPr>
                <w:lang w:val="en-GB" w:eastAsia="ja-JP"/>
              </w:rPr>
              <w:t>, based on a threshold parameter in a concentration–response model.</w:t>
            </w:r>
          </w:p>
        </w:tc>
      </w:tr>
      <w:tr w:rsidR="00FA7CEF" w:rsidRPr="007A07F0" w14:paraId="4FBBB942" w14:textId="77777777" w:rsidTr="004D5B4E">
        <w:trPr>
          <w:cantSplit/>
        </w:trPr>
        <w:tc>
          <w:tcPr>
            <w:tcW w:w="1356" w:type="pct"/>
            <w:tcBorders>
              <w:top w:val="single" w:sz="4" w:space="0" w:color="auto"/>
              <w:bottom w:val="single" w:sz="4" w:space="0" w:color="auto"/>
            </w:tcBorders>
          </w:tcPr>
          <w:p w14:paraId="6204B985" w14:textId="327F235D" w:rsidR="00FA7CEF" w:rsidRPr="007A07F0" w:rsidRDefault="00FA7CEF" w:rsidP="00FA7CEF">
            <w:pPr>
              <w:pStyle w:val="TableText"/>
              <w:rPr>
                <w:lang w:eastAsia="ja-JP"/>
              </w:rPr>
            </w:pPr>
            <w:r>
              <w:rPr>
                <w:lang w:eastAsia="ja-JP"/>
              </w:rPr>
              <w:t>N</w:t>
            </w:r>
            <w:r w:rsidRPr="009A4D4A">
              <w:rPr>
                <w:lang w:eastAsia="ja-JP"/>
              </w:rPr>
              <w:t>o</w:t>
            </w:r>
            <w:r>
              <w:rPr>
                <w:lang w:eastAsia="ja-JP"/>
              </w:rPr>
              <w:t>-</w:t>
            </w:r>
            <w:r w:rsidRPr="009A4D4A">
              <w:rPr>
                <w:lang w:eastAsia="ja-JP"/>
              </w:rPr>
              <w:t>observed</w:t>
            </w:r>
            <w:r>
              <w:rPr>
                <w:lang w:eastAsia="ja-JP"/>
              </w:rPr>
              <w:t>-</w:t>
            </w:r>
            <w:r w:rsidRPr="009A4D4A">
              <w:rPr>
                <w:lang w:eastAsia="ja-JP"/>
              </w:rPr>
              <w:t>effect concentration</w:t>
            </w:r>
            <w:r>
              <w:rPr>
                <w:lang w:eastAsia="ja-JP"/>
              </w:rPr>
              <w:t xml:space="preserve"> (</w:t>
            </w:r>
            <w:r w:rsidRPr="009A4D4A">
              <w:rPr>
                <w:lang w:eastAsia="ja-JP"/>
              </w:rPr>
              <w:t>NOEC</w:t>
            </w:r>
            <w:r>
              <w:rPr>
                <w:lang w:eastAsia="ja-JP"/>
              </w:rPr>
              <w:t>)</w:t>
            </w:r>
          </w:p>
        </w:tc>
        <w:tc>
          <w:tcPr>
            <w:tcW w:w="3644" w:type="pct"/>
            <w:tcBorders>
              <w:top w:val="single" w:sz="4" w:space="0" w:color="auto"/>
              <w:bottom w:val="single" w:sz="4" w:space="0" w:color="auto"/>
            </w:tcBorders>
          </w:tcPr>
          <w:p w14:paraId="6A4E0FA9" w14:textId="09125D55" w:rsidR="00FA7CEF" w:rsidRPr="007A07F0" w:rsidRDefault="00FA7CEF" w:rsidP="00FA7CEF">
            <w:pPr>
              <w:pStyle w:val="TableText"/>
              <w:rPr>
                <w:lang w:eastAsia="ja-JP"/>
              </w:rPr>
            </w:pPr>
            <w:r>
              <w:rPr>
                <w:lang w:eastAsia="ja-JP"/>
              </w:rPr>
              <w:t>T</w:t>
            </w:r>
            <w:r w:rsidRPr="000158D8">
              <w:rPr>
                <w:lang w:eastAsia="ja-JP"/>
              </w:rPr>
              <w:t xml:space="preserve">he highest concentration of a </w:t>
            </w:r>
            <w:r>
              <w:rPr>
                <w:lang w:eastAsia="ja-JP"/>
              </w:rPr>
              <w:t>toxicant</w:t>
            </w:r>
            <w:r w:rsidRPr="000158D8">
              <w:rPr>
                <w:lang w:eastAsia="ja-JP"/>
              </w:rPr>
              <w:t xml:space="preserve"> used in a toxicity test that </w:t>
            </w:r>
            <w:r>
              <w:rPr>
                <w:lang w:eastAsia="ja-JP"/>
              </w:rPr>
              <w:t>does not have a</w:t>
            </w:r>
            <w:r w:rsidRPr="000158D8">
              <w:rPr>
                <w:lang w:eastAsia="ja-JP"/>
              </w:rPr>
              <w:t xml:space="preserve"> statistically significant </w:t>
            </w:r>
            <w:r>
              <w:rPr>
                <w:lang w:eastAsia="ja-JP"/>
              </w:rPr>
              <w:t>(</w:t>
            </w:r>
            <w:r w:rsidRPr="00585FD8">
              <w:rPr>
                <w:lang w:eastAsia="ja-JP"/>
              </w:rPr>
              <w:t>p</w:t>
            </w:r>
            <w:r>
              <w:rPr>
                <w:lang w:eastAsia="ja-JP"/>
              </w:rPr>
              <w:t> </w:t>
            </w:r>
            <w:r w:rsidRPr="00585FD8">
              <w:rPr>
                <w:lang w:eastAsia="ja-JP"/>
              </w:rPr>
              <w:t>≤</w:t>
            </w:r>
            <w:r>
              <w:rPr>
                <w:lang w:eastAsia="ja-JP"/>
              </w:rPr>
              <w:t> </w:t>
            </w:r>
            <w:r w:rsidRPr="00585FD8">
              <w:rPr>
                <w:lang w:eastAsia="ja-JP"/>
              </w:rPr>
              <w:t xml:space="preserve">0.05) </w:t>
            </w:r>
            <w:r w:rsidRPr="000158D8">
              <w:rPr>
                <w:lang w:eastAsia="ja-JP"/>
              </w:rPr>
              <w:t>adverse effect on the exposed population of test organisms as compared with the controls.</w:t>
            </w:r>
          </w:p>
        </w:tc>
      </w:tr>
      <w:tr w:rsidR="001303C0" w:rsidRPr="003D30ED" w14:paraId="290AE093" w14:textId="77777777" w:rsidTr="004D5B4E">
        <w:trPr>
          <w:cantSplit/>
        </w:trPr>
        <w:tc>
          <w:tcPr>
            <w:tcW w:w="1356" w:type="pct"/>
            <w:tcBorders>
              <w:top w:val="single" w:sz="4" w:space="0" w:color="auto"/>
              <w:bottom w:val="single" w:sz="4" w:space="0" w:color="auto"/>
            </w:tcBorders>
          </w:tcPr>
          <w:p w14:paraId="6FBF0445" w14:textId="20933E61" w:rsidR="001303C0" w:rsidRPr="003D30ED" w:rsidRDefault="00FA7CEF" w:rsidP="007336AC">
            <w:pPr>
              <w:pStyle w:val="TableText"/>
              <w:rPr>
                <w:lang w:eastAsia="ja-JP"/>
              </w:rPr>
            </w:pPr>
            <w:r>
              <w:rPr>
                <w:lang w:eastAsia="ja-JP"/>
              </w:rPr>
              <w:t>S</w:t>
            </w:r>
            <w:r w:rsidR="001303C0" w:rsidRPr="003D30ED">
              <w:rPr>
                <w:lang w:eastAsia="ja-JP"/>
              </w:rPr>
              <w:t>ite-specific</w:t>
            </w:r>
          </w:p>
        </w:tc>
        <w:tc>
          <w:tcPr>
            <w:tcW w:w="3644" w:type="pct"/>
            <w:tcBorders>
              <w:top w:val="single" w:sz="4" w:space="0" w:color="auto"/>
              <w:bottom w:val="single" w:sz="4" w:space="0" w:color="auto"/>
            </w:tcBorders>
          </w:tcPr>
          <w:p w14:paraId="0E13CF78" w14:textId="70D130FD" w:rsidR="001303C0" w:rsidRPr="003D30ED" w:rsidRDefault="001303C0" w:rsidP="007336AC">
            <w:pPr>
              <w:pStyle w:val="TableText"/>
              <w:rPr>
                <w:lang w:eastAsia="ja-JP"/>
              </w:rPr>
            </w:pPr>
            <w:r w:rsidRPr="003D30ED">
              <w:rPr>
                <w:lang w:eastAsia="ja-JP"/>
              </w:rPr>
              <w:t xml:space="preserve">Relating to something that is confined to, or valid for, a particular place. Site-specific </w:t>
            </w:r>
            <w:r w:rsidR="00C4652D">
              <w:rPr>
                <w:lang w:eastAsia="ja-JP"/>
              </w:rPr>
              <w:t xml:space="preserve">guideline </w:t>
            </w:r>
            <w:r w:rsidRPr="003D30ED">
              <w:rPr>
                <w:lang w:eastAsia="ja-JP"/>
              </w:rPr>
              <w:t xml:space="preserve">values are relevant to the </w:t>
            </w:r>
            <w:r w:rsidR="00C4652D">
              <w:rPr>
                <w:lang w:eastAsia="ja-JP"/>
              </w:rPr>
              <w:t xml:space="preserve">specific </w:t>
            </w:r>
            <w:r w:rsidRPr="003D30ED">
              <w:rPr>
                <w:lang w:eastAsia="ja-JP"/>
              </w:rPr>
              <w:t>location or conditions that are the focus of a given assessment.</w:t>
            </w:r>
          </w:p>
        </w:tc>
      </w:tr>
      <w:tr w:rsidR="00334A33" w:rsidRPr="003D30ED" w14:paraId="576D2CB9" w14:textId="77777777" w:rsidTr="004D5B4E">
        <w:trPr>
          <w:cantSplit/>
        </w:trPr>
        <w:tc>
          <w:tcPr>
            <w:tcW w:w="1356" w:type="pct"/>
            <w:tcBorders>
              <w:top w:val="single" w:sz="4" w:space="0" w:color="auto"/>
              <w:bottom w:val="single" w:sz="4" w:space="0" w:color="auto"/>
            </w:tcBorders>
          </w:tcPr>
          <w:p w14:paraId="5C25080F" w14:textId="6FC78B70" w:rsidR="00334A33" w:rsidRPr="003D30ED" w:rsidRDefault="0069753F" w:rsidP="0069753F">
            <w:pPr>
              <w:pStyle w:val="TableText"/>
              <w:rPr>
                <w:lang w:eastAsia="ja-JP"/>
              </w:rPr>
            </w:pPr>
            <w:r w:rsidRPr="00334A33">
              <w:rPr>
                <w:lang w:eastAsia="ja-JP"/>
              </w:rPr>
              <w:t xml:space="preserve">Species sensitivity distribution </w:t>
            </w:r>
            <w:r>
              <w:rPr>
                <w:lang w:eastAsia="ja-JP"/>
              </w:rPr>
              <w:t>(</w:t>
            </w:r>
            <w:r w:rsidRPr="00334A33">
              <w:rPr>
                <w:lang w:eastAsia="ja-JP"/>
              </w:rPr>
              <w:t>SSD</w:t>
            </w:r>
            <w:r>
              <w:rPr>
                <w:lang w:eastAsia="ja-JP"/>
              </w:rPr>
              <w:t>)</w:t>
            </w:r>
          </w:p>
        </w:tc>
        <w:tc>
          <w:tcPr>
            <w:tcW w:w="3644" w:type="pct"/>
            <w:tcBorders>
              <w:top w:val="single" w:sz="4" w:space="0" w:color="auto"/>
              <w:bottom w:val="single" w:sz="4" w:space="0" w:color="auto"/>
            </w:tcBorders>
          </w:tcPr>
          <w:p w14:paraId="13B30FAD" w14:textId="5FEE8F3A" w:rsidR="00334A33" w:rsidRPr="003D30ED" w:rsidRDefault="00334A33" w:rsidP="007336AC">
            <w:pPr>
              <w:pStyle w:val="TableText"/>
              <w:rPr>
                <w:lang w:eastAsia="ja-JP"/>
              </w:rPr>
            </w:pPr>
            <w:r w:rsidRPr="00334A33">
              <w:rPr>
                <w:lang w:eastAsia="ja-JP"/>
              </w:rPr>
              <w:t>A method that plots the cumulative frequency of species</w:t>
            </w:r>
            <w:r w:rsidR="00C4652D">
              <w:rPr>
                <w:lang w:eastAsia="ja-JP"/>
              </w:rPr>
              <w:t>’</w:t>
            </w:r>
            <w:r w:rsidRPr="00334A33">
              <w:rPr>
                <w:lang w:eastAsia="ja-JP"/>
              </w:rPr>
              <w:t xml:space="preserve"> </w:t>
            </w:r>
            <w:r w:rsidR="00C4652D" w:rsidRPr="00334A33">
              <w:rPr>
                <w:lang w:eastAsia="ja-JP"/>
              </w:rPr>
              <w:t>sensitivit</w:t>
            </w:r>
            <w:r w:rsidR="00C4652D">
              <w:rPr>
                <w:lang w:eastAsia="ja-JP"/>
              </w:rPr>
              <w:t xml:space="preserve">ies </w:t>
            </w:r>
            <w:r w:rsidR="0096007C">
              <w:rPr>
                <w:lang w:eastAsia="ja-JP"/>
              </w:rPr>
              <w:t>to</w:t>
            </w:r>
            <w:r w:rsidR="00C4652D">
              <w:rPr>
                <w:lang w:eastAsia="ja-JP"/>
              </w:rPr>
              <w:t xml:space="preserve"> a toxicant</w:t>
            </w:r>
            <w:r w:rsidR="00C4652D" w:rsidRPr="00334A33">
              <w:rPr>
                <w:lang w:eastAsia="ja-JP"/>
              </w:rPr>
              <w:t xml:space="preserve"> </w:t>
            </w:r>
            <w:r w:rsidRPr="00334A33">
              <w:rPr>
                <w:lang w:eastAsia="ja-JP"/>
              </w:rPr>
              <w:t xml:space="preserve">and fits </w:t>
            </w:r>
            <w:r w:rsidR="00C4652D">
              <w:rPr>
                <w:lang w:eastAsia="ja-JP"/>
              </w:rPr>
              <w:t>a</w:t>
            </w:r>
            <w:r w:rsidRPr="00334A33">
              <w:rPr>
                <w:lang w:eastAsia="ja-JP"/>
              </w:rPr>
              <w:t xml:space="preserve"> statistical distribution to the data. From the distribution</w:t>
            </w:r>
            <w:r w:rsidR="0069753F">
              <w:rPr>
                <w:lang w:eastAsia="ja-JP"/>
              </w:rPr>
              <w:t>,</w:t>
            </w:r>
            <w:r w:rsidRPr="00334A33">
              <w:rPr>
                <w:lang w:eastAsia="ja-JP"/>
              </w:rPr>
              <w:t xml:space="preserve"> the concentration that should theoretically protect a selected percentage of species can be determined.</w:t>
            </w:r>
          </w:p>
        </w:tc>
      </w:tr>
      <w:tr w:rsidR="001303C0" w:rsidRPr="003D30ED" w14:paraId="71228D1A" w14:textId="77777777" w:rsidTr="004D5B4E">
        <w:trPr>
          <w:cantSplit/>
        </w:trPr>
        <w:tc>
          <w:tcPr>
            <w:tcW w:w="1356" w:type="pct"/>
            <w:tcBorders>
              <w:top w:val="single" w:sz="4" w:space="0" w:color="auto"/>
              <w:bottom w:val="single" w:sz="4" w:space="0" w:color="auto"/>
            </w:tcBorders>
          </w:tcPr>
          <w:p w14:paraId="3AA02CDE" w14:textId="5A5138B8" w:rsidR="001303C0" w:rsidRPr="003D30ED" w:rsidRDefault="00FA7CEF" w:rsidP="007336AC">
            <w:pPr>
              <w:pStyle w:val="TableText"/>
              <w:rPr>
                <w:lang w:eastAsia="ja-JP"/>
              </w:rPr>
            </w:pPr>
            <w:r>
              <w:rPr>
                <w:lang w:eastAsia="ja-JP"/>
              </w:rPr>
              <w:t>T</w:t>
            </w:r>
            <w:r w:rsidR="001303C0" w:rsidRPr="003D30ED">
              <w:rPr>
                <w:lang w:eastAsia="ja-JP"/>
              </w:rPr>
              <w:t>oxicity</w:t>
            </w:r>
          </w:p>
        </w:tc>
        <w:tc>
          <w:tcPr>
            <w:tcW w:w="3644" w:type="pct"/>
            <w:tcBorders>
              <w:top w:val="single" w:sz="4" w:space="0" w:color="auto"/>
              <w:bottom w:val="single" w:sz="4" w:space="0" w:color="auto"/>
            </w:tcBorders>
          </w:tcPr>
          <w:p w14:paraId="2DE624E7" w14:textId="77777777" w:rsidR="001303C0" w:rsidRPr="003D30ED" w:rsidRDefault="001303C0" w:rsidP="007336AC">
            <w:pPr>
              <w:pStyle w:val="TableText"/>
              <w:rPr>
                <w:lang w:eastAsia="ja-JP"/>
              </w:rPr>
            </w:pPr>
            <w:r w:rsidRPr="003D30ED">
              <w:rPr>
                <w:lang w:eastAsia="ja-JP"/>
              </w:rPr>
              <w:t>The inherent potential or capacity of a material to cause adverse effects in a living organism.</w:t>
            </w:r>
          </w:p>
        </w:tc>
      </w:tr>
      <w:tr w:rsidR="001303C0" w:rsidRPr="003D30ED" w14:paraId="0D4D2A0B" w14:textId="77777777" w:rsidTr="004D5B4E">
        <w:trPr>
          <w:cantSplit/>
        </w:trPr>
        <w:tc>
          <w:tcPr>
            <w:tcW w:w="1356" w:type="pct"/>
            <w:tcBorders>
              <w:top w:val="single" w:sz="4" w:space="0" w:color="auto"/>
              <w:bottom w:val="single" w:sz="4" w:space="0" w:color="auto"/>
            </w:tcBorders>
          </w:tcPr>
          <w:p w14:paraId="558C20D2" w14:textId="78F9C32E" w:rsidR="001303C0" w:rsidRPr="003D30ED" w:rsidRDefault="00FA7CEF" w:rsidP="007336AC">
            <w:pPr>
              <w:pStyle w:val="TableText"/>
              <w:rPr>
                <w:lang w:eastAsia="ja-JP"/>
              </w:rPr>
            </w:pPr>
            <w:r>
              <w:rPr>
                <w:lang w:eastAsia="ja-JP"/>
              </w:rPr>
              <w:t>T</w:t>
            </w:r>
            <w:r w:rsidR="001303C0" w:rsidRPr="003D30ED">
              <w:rPr>
                <w:lang w:eastAsia="ja-JP"/>
              </w:rPr>
              <w:t>oxicity test</w:t>
            </w:r>
          </w:p>
        </w:tc>
        <w:tc>
          <w:tcPr>
            <w:tcW w:w="3644" w:type="pct"/>
            <w:tcBorders>
              <w:top w:val="single" w:sz="4" w:space="0" w:color="auto"/>
              <w:bottom w:val="single" w:sz="4" w:space="0" w:color="auto"/>
            </w:tcBorders>
          </w:tcPr>
          <w:p w14:paraId="7BD3F439" w14:textId="27CB6C4E" w:rsidR="001303C0" w:rsidRPr="003D30ED" w:rsidRDefault="001303C0" w:rsidP="001E64EA">
            <w:pPr>
              <w:pStyle w:val="TableText"/>
              <w:rPr>
                <w:lang w:eastAsia="ja-JP"/>
              </w:rPr>
            </w:pPr>
            <w:r w:rsidRPr="003D30ED">
              <w:rPr>
                <w:lang w:eastAsia="ja-JP"/>
              </w:rPr>
              <w:t xml:space="preserve">The means by which the toxicity of a chemical or other test material is determined. A toxicity test is used to measure the degree of response produced by exposure to a </w:t>
            </w:r>
            <w:r w:rsidR="001E64EA" w:rsidRPr="001E64EA">
              <w:rPr>
                <w:lang w:eastAsia="ja-JP"/>
              </w:rPr>
              <w:t>specific level of stimulus (or concentration of chemical) for a specified test period</w:t>
            </w:r>
            <w:r w:rsidRPr="003D30ED">
              <w:rPr>
                <w:lang w:eastAsia="ja-JP"/>
              </w:rPr>
              <w:t>.</w:t>
            </w:r>
          </w:p>
        </w:tc>
      </w:tr>
      <w:tr w:rsidR="006473F1" w:rsidRPr="003D30ED" w14:paraId="06C4424A" w14:textId="77777777" w:rsidTr="004D5B4E">
        <w:trPr>
          <w:cantSplit/>
        </w:trPr>
        <w:tc>
          <w:tcPr>
            <w:tcW w:w="1356" w:type="pct"/>
            <w:tcBorders>
              <w:top w:val="single" w:sz="4" w:space="0" w:color="auto"/>
              <w:bottom w:val="single" w:sz="12" w:space="0" w:color="auto"/>
            </w:tcBorders>
          </w:tcPr>
          <w:p w14:paraId="4340C346" w14:textId="20C1C1D6" w:rsidR="006473F1" w:rsidRPr="003D30ED" w:rsidRDefault="00FA7CEF" w:rsidP="006473F1">
            <w:pPr>
              <w:pStyle w:val="TableText"/>
              <w:rPr>
                <w:lang w:eastAsia="ja-JP"/>
              </w:rPr>
            </w:pPr>
            <w:r>
              <w:rPr>
                <w:lang w:eastAsia="ja-JP"/>
              </w:rPr>
              <w:t>T</w:t>
            </w:r>
            <w:r w:rsidR="006473F1">
              <w:rPr>
                <w:lang w:eastAsia="ja-JP"/>
              </w:rPr>
              <w:t>oxicity value</w:t>
            </w:r>
          </w:p>
        </w:tc>
        <w:tc>
          <w:tcPr>
            <w:tcW w:w="3644" w:type="pct"/>
            <w:tcBorders>
              <w:top w:val="single" w:sz="4" w:space="0" w:color="auto"/>
              <w:bottom w:val="single" w:sz="12" w:space="0" w:color="auto"/>
            </w:tcBorders>
          </w:tcPr>
          <w:p w14:paraId="26903EC1" w14:textId="03BFA2E1" w:rsidR="006473F1" w:rsidRPr="003D30ED" w:rsidRDefault="006473F1" w:rsidP="006473F1">
            <w:pPr>
              <w:pStyle w:val="TableText"/>
              <w:rPr>
                <w:lang w:eastAsia="ja-JP"/>
              </w:rPr>
            </w:pPr>
            <w:r>
              <w:rPr>
                <w:lang w:eastAsia="ja-JP"/>
              </w:rPr>
              <w:t>A value defining the concentration of a toxicant that represents an estimate of its toxicity to a species.</w:t>
            </w:r>
          </w:p>
        </w:tc>
      </w:tr>
    </w:tbl>
    <w:p w14:paraId="3DE5D94B" w14:textId="7CEC40E8" w:rsidR="00104AA2" w:rsidRDefault="00104AA2" w:rsidP="00104AA2">
      <w:pPr>
        <w:pStyle w:val="Heading2"/>
        <w:numPr>
          <w:ilvl w:val="0"/>
          <w:numId w:val="0"/>
        </w:numPr>
      </w:pPr>
      <w:bookmarkStart w:id="40" w:name="AppendixA"/>
      <w:bookmarkStart w:id="41" w:name="_Toc196928508"/>
      <w:bookmarkStart w:id="42" w:name="_Toc197784001"/>
      <w:bookmarkStart w:id="43" w:name="_Ref13150817"/>
      <w:r w:rsidRPr="00337A57">
        <w:lastRenderedPageBreak/>
        <w:t>Appendix</w:t>
      </w:r>
      <w:r w:rsidR="00B14722">
        <w:t> A</w:t>
      </w:r>
      <w:bookmarkEnd w:id="40"/>
      <w:r w:rsidRPr="00337A57">
        <w:t xml:space="preserve">: </w:t>
      </w:r>
      <w:r>
        <w:t>w</w:t>
      </w:r>
      <w:r w:rsidRPr="00337A57">
        <w:t>ater</w:t>
      </w:r>
      <w:r w:rsidR="00D75AD1">
        <w:t>-</w:t>
      </w:r>
      <w:r w:rsidRPr="00B74454">
        <w:t>quality assessment for sparingly soluble metals</w:t>
      </w:r>
      <w:bookmarkEnd w:id="41"/>
      <w:bookmarkEnd w:id="42"/>
    </w:p>
    <w:p w14:paraId="35CDE604" w14:textId="2F489E04" w:rsidR="00104AA2" w:rsidRDefault="00104AA2" w:rsidP="00104AA2">
      <w:pPr>
        <w:rPr>
          <w:lang w:eastAsia="ja-JP"/>
        </w:rPr>
      </w:pPr>
      <w:r>
        <w:rPr>
          <w:lang w:eastAsia="ja-JP"/>
        </w:rPr>
        <w:t>A number of metals have low solubility in freshwater and marine water but have been found to be toxic at concentrations above their solubility limit. Therefore, the derivation of guideline values for those metals included data for which toxicity was at least in part due to particulate (precipitated) metals. Examples include iron(III) in marine water (solubility &lt;</w:t>
      </w:r>
      <w:r w:rsidR="00D75AD1">
        <w:rPr>
          <w:lang w:eastAsia="ja-JP"/>
        </w:rPr>
        <w:t> </w:t>
      </w:r>
      <w:r>
        <w:rPr>
          <w:lang w:eastAsia="ja-JP"/>
        </w:rPr>
        <w:t>0.03 µg/L; Liu and Millero 2002), iron(III) in freshwater (solubility &lt;</w:t>
      </w:r>
      <w:r w:rsidR="00D75AD1">
        <w:rPr>
          <w:lang w:eastAsia="ja-JP"/>
        </w:rPr>
        <w:t> </w:t>
      </w:r>
      <w:r>
        <w:rPr>
          <w:lang w:eastAsia="ja-JP"/>
        </w:rPr>
        <w:t>0.05 µg/L; Phippen et al. 2008), chromium(III) in freshwater (solubility &lt;</w:t>
      </w:r>
      <w:r w:rsidR="00D75AD1">
        <w:rPr>
          <w:lang w:eastAsia="ja-JP"/>
        </w:rPr>
        <w:t> </w:t>
      </w:r>
      <w:r>
        <w:rPr>
          <w:lang w:eastAsia="ja-JP"/>
        </w:rPr>
        <w:t xml:space="preserve">5 µg/L; Rai et al. 1989) and aluminium in marine water (solubility </w:t>
      </w:r>
      <w:r>
        <w:rPr>
          <w:rFonts w:cstheme="minorHAnsi"/>
          <w:lang w:eastAsia="ja-JP"/>
        </w:rPr>
        <w:t>~</w:t>
      </w:r>
      <w:r>
        <w:rPr>
          <w:lang w:eastAsia="ja-JP"/>
        </w:rPr>
        <w:t>500 µg/L; Angel et al. 2016). The DGVs for these metals are expressed as total metal concentrations.</w:t>
      </w:r>
    </w:p>
    <w:p w14:paraId="36FE0424" w14:textId="0232E084" w:rsidR="00104AA2" w:rsidRDefault="00104AA2" w:rsidP="00104AA2">
      <w:pPr>
        <w:rPr>
          <w:lang w:eastAsia="ja-JP"/>
        </w:rPr>
      </w:pPr>
      <w:r>
        <w:rPr>
          <w:lang w:eastAsia="ja-JP"/>
        </w:rPr>
        <w:t xml:space="preserve">For iron and chromium, the DGVs are above the solubility limits under oxic conditions and neutral pH. Measuring total metal concentrations to compare with these DGVs requires a method that discriminates between precipitated metals and metals in mineralised forms that are not likely to be bioavailable. This is normally a cold, </w:t>
      </w:r>
      <w:r w:rsidR="007E282A">
        <w:rPr>
          <w:lang w:eastAsia="ja-JP"/>
        </w:rPr>
        <w:t>weak-</w:t>
      </w:r>
      <w:r>
        <w:rPr>
          <w:lang w:eastAsia="ja-JP"/>
        </w:rPr>
        <w:t>acid (pH</w:t>
      </w:r>
      <w:r w:rsidR="000232AA">
        <w:rPr>
          <w:lang w:eastAsia="ja-JP"/>
        </w:rPr>
        <w:t>-</w:t>
      </w:r>
      <w:r>
        <w:rPr>
          <w:lang w:eastAsia="ja-JP"/>
        </w:rPr>
        <w:t xml:space="preserve">2) extraction </w:t>
      </w:r>
      <w:r w:rsidRPr="001D1DB7">
        <w:rPr>
          <w:iCs/>
          <w:color w:val="000000" w:themeColor="text1"/>
        </w:rPr>
        <w:t xml:space="preserve">(e.g. as per </w:t>
      </w:r>
      <w:r>
        <w:rPr>
          <w:iCs/>
          <w:color w:val="000000" w:themeColor="text1"/>
        </w:rPr>
        <w:t>US EPA</w:t>
      </w:r>
      <w:r w:rsidRPr="001D1DB7">
        <w:rPr>
          <w:iCs/>
          <w:color w:val="000000" w:themeColor="text1"/>
        </w:rPr>
        <w:t xml:space="preserve"> 1991)</w:t>
      </w:r>
      <w:r>
        <w:rPr>
          <w:iCs/>
          <w:color w:val="000000" w:themeColor="text1"/>
        </w:rPr>
        <w:t xml:space="preserve"> </w:t>
      </w:r>
      <w:r>
        <w:rPr>
          <w:lang w:eastAsia="ja-JP"/>
        </w:rPr>
        <w:t xml:space="preserve">that will solubilise precipitated metal oxyhydroxides, including those that become adsorbed to other substrates, such as mineralised forms or particulate (or colloidal) organic matter (Markich et al. 2001). A total recoverable metals analysis (concentrated acid digestion) </w:t>
      </w:r>
      <w:r w:rsidR="00482169">
        <w:t>is not advisable</w:t>
      </w:r>
      <w:r w:rsidR="00732A0B">
        <w:rPr>
          <w:lang w:eastAsia="ja-JP"/>
        </w:rPr>
        <w:t>,</w:t>
      </w:r>
      <w:r>
        <w:rPr>
          <w:lang w:eastAsia="ja-JP"/>
        </w:rPr>
        <w:t xml:space="preserve"> as this will overestimate the precipitated metals fraction by also including the digested mineralised forms, potentially leading to false exceedance of the DGV. At least in the case of iron and chromium, </w:t>
      </w:r>
      <w:r w:rsidR="008613A6">
        <w:rPr>
          <w:lang w:eastAsia="ja-JP"/>
        </w:rPr>
        <w:t xml:space="preserve">&lt; </w:t>
      </w:r>
      <w:r>
        <w:rPr>
          <w:lang w:eastAsia="ja-JP"/>
        </w:rPr>
        <w:t>0.45</w:t>
      </w:r>
      <w:r w:rsidR="00732A0B">
        <w:rPr>
          <w:lang w:eastAsia="ja-JP"/>
        </w:rPr>
        <w:t>-</w:t>
      </w:r>
      <w:r>
        <w:rPr>
          <w:lang w:eastAsia="ja-JP"/>
        </w:rPr>
        <w:t xml:space="preserve">µm sample filtration is not a recommended step, as it will exclude </w:t>
      </w:r>
      <w:r w:rsidR="00482169">
        <w:rPr>
          <w:lang w:eastAsia="ja-JP"/>
        </w:rPr>
        <w:t xml:space="preserve">colloidal and </w:t>
      </w:r>
      <w:r>
        <w:rPr>
          <w:lang w:eastAsia="ja-JP"/>
        </w:rPr>
        <w:t>precipitated metal that might be contributing to toxicity, potentially leading to false compliance with the DGV.</w:t>
      </w:r>
    </w:p>
    <w:p w14:paraId="49F1A701" w14:textId="74DBE28B" w:rsidR="00104AA2" w:rsidRDefault="00104AA2" w:rsidP="00104AA2">
      <w:r>
        <w:t xml:space="preserve">A </w:t>
      </w:r>
      <w:r w:rsidRPr="006F7D52">
        <w:t>recent study by Balsamo Crespo et al. (</w:t>
      </w:r>
      <w:r>
        <w:t>2023</w:t>
      </w:r>
      <w:r w:rsidRPr="006F7D52">
        <w:t xml:space="preserve">) demonstrated that a </w:t>
      </w:r>
      <w:r>
        <w:t>≥</w:t>
      </w:r>
      <w:r w:rsidR="00D75AD1">
        <w:t> </w:t>
      </w:r>
      <w:r>
        <w:t>4</w:t>
      </w:r>
      <w:r w:rsidRPr="006F7D52">
        <w:t>-h</w:t>
      </w:r>
      <w:r>
        <w:t>our</w:t>
      </w:r>
      <w:r w:rsidRPr="006F7D52">
        <w:t xml:space="preserve"> extraction of an unfiltered sample at pH</w:t>
      </w:r>
      <w:r>
        <w:t> </w:t>
      </w:r>
      <w:r w:rsidRPr="006F7D52">
        <w:t>2 adequately discriminated non-mineralised iron in freshwaters.</w:t>
      </w:r>
      <w:r>
        <w:t xml:space="preserve"> These results were subsequently confirmed for both freshwater and marine water samples in another study specifically commissioned to address public comments on the iron in freshwater and marine water DGVs relating to the appropriate chemical analysis method, although a 16-h</w:t>
      </w:r>
      <w:r w:rsidR="008F7F59">
        <w:t>our</w:t>
      </w:r>
      <w:r>
        <w:t xml:space="preserve"> extraction period was recommended (ANZG </w:t>
      </w:r>
      <w:r w:rsidR="00C36823">
        <w:t>2025</w:t>
      </w:r>
      <w:r>
        <w:t>). Another study by</w:t>
      </w:r>
      <w:r w:rsidRPr="00A7601A">
        <w:t xml:space="preserve"> Rodriguez et al. </w:t>
      </w:r>
      <w:r>
        <w:t>(</w:t>
      </w:r>
      <w:r w:rsidRPr="00A7601A">
        <w:t xml:space="preserve">2019) reported that, </w:t>
      </w:r>
      <w:r>
        <w:t>for</w:t>
      </w:r>
      <w:r w:rsidRPr="00A7601A">
        <w:t xml:space="preserve"> the analysis of aluminium in freshwater, a pH</w:t>
      </w:r>
      <w:r>
        <w:noBreakHyphen/>
      </w:r>
      <w:r w:rsidRPr="00A7601A">
        <w:t>4</w:t>
      </w:r>
      <w:r>
        <w:t xml:space="preserve"> </w:t>
      </w:r>
      <w:r w:rsidRPr="00A7601A">
        <w:t>extractable fraction best correlated with the toxic fraction</w:t>
      </w:r>
      <w:r>
        <w:t xml:space="preserve">. However, there is currently no accepted standard analytical method </w:t>
      </w:r>
      <w:r w:rsidR="007F0EF2">
        <w:t xml:space="preserve">for iron </w:t>
      </w:r>
      <w:r>
        <w:t>that employs a pH</w:t>
      </w:r>
      <w:r>
        <w:noBreakHyphen/>
        <w:t>4 extraction. Moreover, for iron, Balsamo Crespo et al. (2023) found that the pH</w:t>
      </w:r>
      <w:r w:rsidR="008F7F59">
        <w:t>-</w:t>
      </w:r>
      <w:r>
        <w:t>2 method performed better than the pH</w:t>
      </w:r>
      <w:r w:rsidR="008F7F59">
        <w:t>-</w:t>
      </w:r>
      <w:r>
        <w:t>4 method.</w:t>
      </w:r>
    </w:p>
    <w:p w14:paraId="56A0A79B" w14:textId="00C24F3C" w:rsidR="00104AA2" w:rsidRPr="002A5E38" w:rsidRDefault="00104AA2" w:rsidP="00104AA2">
      <w:pPr>
        <w:rPr>
          <w:rFonts w:cstheme="minorHAnsi"/>
        </w:rPr>
      </w:pPr>
      <w:r w:rsidRPr="00765655">
        <w:rPr>
          <w:rFonts w:cstheme="minorHAnsi"/>
        </w:rPr>
        <w:t xml:space="preserve">The same study team </w:t>
      </w:r>
      <w:r>
        <w:rPr>
          <w:rFonts w:cstheme="minorHAnsi"/>
        </w:rPr>
        <w:t>that</w:t>
      </w:r>
      <w:r w:rsidRPr="00765655">
        <w:rPr>
          <w:rFonts w:cstheme="minorHAnsi"/>
        </w:rPr>
        <w:t xml:space="preserve"> published Balsamo Crespo et al. (2023) </w:t>
      </w:r>
      <w:r w:rsidR="00C36823">
        <w:rPr>
          <w:rFonts w:cstheme="minorHAnsi"/>
        </w:rPr>
        <w:t>has also validated</w:t>
      </w:r>
      <w:r w:rsidRPr="00765655">
        <w:rPr>
          <w:rFonts w:cstheme="minorHAnsi"/>
        </w:rPr>
        <w:t xml:space="preserve"> the pH</w:t>
      </w:r>
      <w:r w:rsidR="00336850">
        <w:rPr>
          <w:rFonts w:cstheme="minorHAnsi"/>
        </w:rPr>
        <w:t>-</w:t>
      </w:r>
      <w:r w:rsidRPr="00765655">
        <w:rPr>
          <w:rFonts w:cstheme="minorHAnsi"/>
        </w:rPr>
        <w:t xml:space="preserve">2 method as a measure of bioavailable iron </w:t>
      </w:r>
      <w:r>
        <w:rPr>
          <w:rFonts w:cstheme="minorHAnsi"/>
        </w:rPr>
        <w:t xml:space="preserve">in freshwater </w:t>
      </w:r>
      <w:r w:rsidRPr="00765655">
        <w:rPr>
          <w:rFonts w:cstheme="minorHAnsi"/>
        </w:rPr>
        <w:t xml:space="preserve">through toxicity tests using the cladoceran </w:t>
      </w:r>
      <w:r w:rsidRPr="00765655">
        <w:rPr>
          <w:rFonts w:cstheme="minorHAnsi"/>
          <w:i/>
          <w:iCs/>
        </w:rPr>
        <w:t>Ceriodaphnia dubia</w:t>
      </w:r>
      <w:r w:rsidRPr="00765655">
        <w:rPr>
          <w:rFonts w:cstheme="minorHAnsi"/>
        </w:rPr>
        <w:t xml:space="preserve">. The results are expected to be published in 2025, but a summary of the currently unpublished data is provided here. Results from reproduction tests with </w:t>
      </w:r>
      <w:r w:rsidRPr="00765655">
        <w:rPr>
          <w:rFonts w:cstheme="minorHAnsi"/>
          <w:i/>
        </w:rPr>
        <w:t>C.</w:t>
      </w:r>
      <w:r w:rsidR="00336850">
        <w:rPr>
          <w:rFonts w:cstheme="minorHAnsi"/>
          <w:i/>
        </w:rPr>
        <w:t> </w:t>
      </w:r>
      <w:r w:rsidRPr="00765655">
        <w:rPr>
          <w:rFonts w:cstheme="minorHAnsi"/>
          <w:i/>
        </w:rPr>
        <w:t xml:space="preserve">dubia </w:t>
      </w:r>
      <w:r w:rsidR="00B14722" w:rsidRPr="00B14722">
        <w:rPr>
          <w:rFonts w:cstheme="minorHAnsi"/>
          <w:iCs/>
        </w:rPr>
        <w:t>(US</w:t>
      </w:r>
      <w:r w:rsidR="00B14722">
        <w:rPr>
          <w:rFonts w:cstheme="minorHAnsi"/>
          <w:iCs/>
        </w:rPr>
        <w:t xml:space="preserve"> </w:t>
      </w:r>
      <w:r w:rsidR="00B14722" w:rsidRPr="00B14722">
        <w:rPr>
          <w:rFonts w:cstheme="minorHAnsi"/>
          <w:iCs/>
        </w:rPr>
        <w:t>EP</w:t>
      </w:r>
      <w:r w:rsidR="0010773A">
        <w:rPr>
          <w:rFonts w:cstheme="minorHAnsi"/>
          <w:iCs/>
        </w:rPr>
        <w:t>A</w:t>
      </w:r>
      <w:r w:rsidR="00B14722" w:rsidRPr="00B14722">
        <w:rPr>
          <w:rFonts w:cstheme="minorHAnsi"/>
          <w:iCs/>
        </w:rPr>
        <w:t xml:space="preserve"> 2002)</w:t>
      </w:r>
      <w:r w:rsidRPr="00765655">
        <w:rPr>
          <w:rFonts w:cstheme="minorHAnsi"/>
        </w:rPr>
        <w:t xml:space="preserve"> showed that freshly precipitated iron represents a higher risk than well-mineralised phases</w:t>
      </w:r>
      <w:r w:rsidR="0010773A">
        <w:rPr>
          <w:rFonts w:cstheme="minorHAnsi"/>
        </w:rPr>
        <w:t xml:space="preserve"> –</w:t>
      </w:r>
      <w:r w:rsidRPr="00765655">
        <w:rPr>
          <w:rFonts w:cstheme="minorHAnsi"/>
        </w:rPr>
        <w:t xml:space="preserve"> EC</w:t>
      </w:r>
      <w:r w:rsidRPr="00150B7C">
        <w:rPr>
          <w:rFonts w:cstheme="minorHAnsi"/>
        </w:rPr>
        <w:t>10</w:t>
      </w:r>
      <w:r w:rsidRPr="00765655">
        <w:rPr>
          <w:rFonts w:cstheme="minorHAnsi"/>
        </w:rPr>
        <w:t xml:space="preserve"> values </w:t>
      </w:r>
      <w:r w:rsidR="0010773A">
        <w:rPr>
          <w:rFonts w:cstheme="minorHAnsi"/>
        </w:rPr>
        <w:t xml:space="preserve">were </w:t>
      </w:r>
      <w:r w:rsidRPr="00765655">
        <w:rPr>
          <w:rFonts w:cstheme="minorHAnsi"/>
        </w:rPr>
        <w:t xml:space="preserve">significantly lower for fresh precipitates than </w:t>
      </w:r>
      <w:r w:rsidR="00150B7C">
        <w:rPr>
          <w:rFonts w:cstheme="minorHAnsi"/>
        </w:rPr>
        <w:t xml:space="preserve">for </w:t>
      </w:r>
      <w:r w:rsidRPr="00765655">
        <w:rPr>
          <w:rFonts w:cstheme="minorHAnsi"/>
        </w:rPr>
        <w:t>crystalline phases. The pH</w:t>
      </w:r>
      <w:r w:rsidR="00150B7C">
        <w:rPr>
          <w:rFonts w:cstheme="minorHAnsi"/>
        </w:rPr>
        <w:t>-</w:t>
      </w:r>
      <w:r w:rsidRPr="00765655">
        <w:rPr>
          <w:rFonts w:cstheme="minorHAnsi"/>
        </w:rPr>
        <w:t xml:space="preserve">2 extraction method </w:t>
      </w:r>
      <w:r w:rsidR="00B14722" w:rsidRPr="00B14722">
        <w:rPr>
          <w:rFonts w:cstheme="minorHAnsi"/>
        </w:rPr>
        <w:t>(Balsamo Crespo et al. 2023</w:t>
      </w:r>
      <w:r w:rsidR="00FD3B8A">
        <w:rPr>
          <w:rFonts w:cstheme="minorHAnsi"/>
        </w:rPr>
        <w:t>;</w:t>
      </w:r>
      <w:r w:rsidR="00B14722" w:rsidRPr="00B14722">
        <w:rPr>
          <w:rFonts w:cstheme="minorHAnsi"/>
        </w:rPr>
        <w:t xml:space="preserve"> ANZG </w:t>
      </w:r>
      <w:r w:rsidR="00C36823" w:rsidRPr="00B14722">
        <w:rPr>
          <w:rFonts w:cstheme="minorHAnsi"/>
        </w:rPr>
        <w:t>202</w:t>
      </w:r>
      <w:r w:rsidR="00C36823">
        <w:rPr>
          <w:rFonts w:cstheme="minorHAnsi"/>
        </w:rPr>
        <w:t>5</w:t>
      </w:r>
      <w:r w:rsidR="00B14722" w:rsidRPr="00B14722">
        <w:rPr>
          <w:rFonts w:cstheme="minorHAnsi"/>
        </w:rPr>
        <w:t>)</w:t>
      </w:r>
      <w:r w:rsidRPr="00765655">
        <w:rPr>
          <w:rFonts w:cstheme="minorHAnsi"/>
        </w:rPr>
        <w:t xml:space="preserve"> was able to describe the dose</w:t>
      </w:r>
      <w:r w:rsidR="00150B7C">
        <w:rPr>
          <w:rFonts w:cstheme="minorHAnsi"/>
        </w:rPr>
        <w:t>–</w:t>
      </w:r>
      <w:r w:rsidRPr="00765655">
        <w:rPr>
          <w:rFonts w:cstheme="minorHAnsi"/>
        </w:rPr>
        <w:t>response relationship without significant differences between EC</w:t>
      </w:r>
      <w:r w:rsidRPr="00150B7C">
        <w:rPr>
          <w:rFonts w:cstheme="minorHAnsi"/>
        </w:rPr>
        <w:t>10</w:t>
      </w:r>
      <w:r w:rsidRPr="00765655">
        <w:rPr>
          <w:rFonts w:cstheme="minorHAnsi"/>
        </w:rPr>
        <w:t xml:space="preserve"> values from experiments with single and combined exposure to fresh and well-mineralised iron phases. Filtered iron measurements </w:t>
      </w:r>
      <w:r w:rsidR="00FD3B8A" w:rsidRPr="00FD3B8A">
        <w:rPr>
          <w:rFonts w:cstheme="minorHAnsi"/>
        </w:rPr>
        <w:t>(US</w:t>
      </w:r>
      <w:r w:rsidR="00FD3B8A">
        <w:rPr>
          <w:rFonts w:cstheme="minorHAnsi"/>
        </w:rPr>
        <w:t xml:space="preserve"> </w:t>
      </w:r>
      <w:r w:rsidR="00FD3B8A" w:rsidRPr="00FD3B8A">
        <w:rPr>
          <w:rFonts w:cstheme="minorHAnsi"/>
        </w:rPr>
        <w:t>EPA 1994, 2002)</w:t>
      </w:r>
      <w:r w:rsidRPr="00765655">
        <w:rPr>
          <w:rFonts w:cstheme="minorHAnsi"/>
        </w:rPr>
        <w:t xml:space="preserve"> resulted in at least half the exposure range </w:t>
      </w:r>
      <w:r w:rsidR="00FC2AD7">
        <w:rPr>
          <w:rFonts w:cstheme="minorHAnsi"/>
        </w:rPr>
        <w:t>having</w:t>
      </w:r>
      <w:r w:rsidR="00FC2AD7" w:rsidRPr="00765655">
        <w:rPr>
          <w:rFonts w:cstheme="minorHAnsi"/>
        </w:rPr>
        <w:t xml:space="preserve"> </w:t>
      </w:r>
      <w:r w:rsidRPr="00765655">
        <w:rPr>
          <w:rFonts w:cstheme="minorHAnsi"/>
        </w:rPr>
        <w:t xml:space="preserve">readings below the limit of detection </w:t>
      </w:r>
      <w:r w:rsidRPr="00765655">
        <w:rPr>
          <w:rFonts w:cstheme="minorHAnsi"/>
        </w:rPr>
        <w:lastRenderedPageBreak/>
        <w:t>(0.005 mg/L</w:t>
      </w:r>
      <w:r w:rsidR="00150B7C">
        <w:rPr>
          <w:rFonts w:cstheme="minorHAnsi"/>
        </w:rPr>
        <w:t xml:space="preserve"> Fe</w:t>
      </w:r>
      <w:r w:rsidRPr="00765655">
        <w:rPr>
          <w:rFonts w:cstheme="minorHAnsi"/>
        </w:rPr>
        <w:t>) and</w:t>
      </w:r>
      <w:r w:rsidR="005B5AC3">
        <w:rPr>
          <w:rFonts w:cstheme="minorHAnsi"/>
        </w:rPr>
        <w:t>,</w:t>
      </w:r>
      <w:r w:rsidRPr="00765655">
        <w:rPr>
          <w:rFonts w:cstheme="minorHAnsi"/>
        </w:rPr>
        <w:t xml:space="preserve"> therefore</w:t>
      </w:r>
      <w:r w:rsidR="005B5AC3">
        <w:rPr>
          <w:rFonts w:cstheme="minorHAnsi"/>
        </w:rPr>
        <w:t>,</w:t>
      </w:r>
      <w:r w:rsidRPr="00765655">
        <w:rPr>
          <w:rFonts w:cstheme="minorHAnsi"/>
        </w:rPr>
        <w:t xml:space="preserve"> this operationally defined fraction was deemed unsatisfactory to describe the response of </w:t>
      </w:r>
      <w:r w:rsidRPr="00765655">
        <w:rPr>
          <w:rFonts w:cstheme="minorHAnsi"/>
          <w:i/>
        </w:rPr>
        <w:t>C.</w:t>
      </w:r>
      <w:r w:rsidR="005B5AC3">
        <w:rPr>
          <w:rFonts w:cstheme="minorHAnsi"/>
          <w:i/>
        </w:rPr>
        <w:t> </w:t>
      </w:r>
      <w:r w:rsidRPr="00765655">
        <w:rPr>
          <w:rFonts w:cstheme="minorHAnsi"/>
          <w:i/>
        </w:rPr>
        <w:t>dubia</w:t>
      </w:r>
      <w:r w:rsidRPr="00765655">
        <w:rPr>
          <w:rFonts w:cstheme="minorHAnsi"/>
        </w:rPr>
        <w:t xml:space="preserve"> in single and combined exposure settings. Total recoverable iron determination </w:t>
      </w:r>
      <w:r w:rsidR="00FD3B8A" w:rsidRPr="00FD3B8A">
        <w:rPr>
          <w:rFonts w:cstheme="minorHAnsi"/>
        </w:rPr>
        <w:t>(US</w:t>
      </w:r>
      <w:r w:rsidR="00FD3B8A">
        <w:rPr>
          <w:rFonts w:cstheme="minorHAnsi"/>
        </w:rPr>
        <w:t xml:space="preserve"> </w:t>
      </w:r>
      <w:r w:rsidR="00FD3B8A" w:rsidRPr="00FD3B8A">
        <w:rPr>
          <w:rFonts w:cstheme="minorHAnsi"/>
        </w:rPr>
        <w:t>EPA 1994, 2002)</w:t>
      </w:r>
      <w:r w:rsidRPr="00765655">
        <w:rPr>
          <w:rFonts w:cstheme="minorHAnsi"/>
        </w:rPr>
        <w:t xml:space="preserve"> was able to describe the response curve for single exposure to freshly precipitated iron, but in combined treatments, the total extraction over-estimated the dose</w:t>
      </w:r>
      <w:r w:rsidR="004C2B42">
        <w:rPr>
          <w:rFonts w:cstheme="minorHAnsi"/>
        </w:rPr>
        <w:t>–</w:t>
      </w:r>
      <w:r w:rsidRPr="00765655">
        <w:rPr>
          <w:rFonts w:cstheme="minorHAnsi"/>
        </w:rPr>
        <w:t xml:space="preserve">response relationship </w:t>
      </w:r>
      <w:r w:rsidR="00E413F1">
        <w:rPr>
          <w:rFonts w:cstheme="minorHAnsi"/>
        </w:rPr>
        <w:t>for</w:t>
      </w:r>
      <w:r w:rsidRPr="00765655">
        <w:rPr>
          <w:rFonts w:cstheme="minorHAnsi"/>
        </w:rPr>
        <w:t xml:space="preserve"> reproduction because it recovered iron from the mineralised fractions that were below the concentration that caused effects in</w:t>
      </w:r>
      <w:r w:rsidR="00402608">
        <w:rPr>
          <w:rFonts w:cstheme="minorHAnsi"/>
        </w:rPr>
        <w:t xml:space="preserve"> exposures to only the</w:t>
      </w:r>
      <w:r w:rsidRPr="00765655">
        <w:rPr>
          <w:rFonts w:cstheme="minorHAnsi"/>
        </w:rPr>
        <w:t xml:space="preserve"> mineralised phase. </w:t>
      </w:r>
      <w:r w:rsidR="00402608">
        <w:rPr>
          <w:rFonts w:cstheme="minorHAnsi"/>
        </w:rPr>
        <w:t>In turn, t</w:t>
      </w:r>
      <w:r w:rsidRPr="00765655">
        <w:rPr>
          <w:rFonts w:cstheme="minorHAnsi"/>
        </w:rPr>
        <w:t>his yielded significant differences between EC</w:t>
      </w:r>
      <w:r w:rsidRPr="00402608">
        <w:rPr>
          <w:rFonts w:cstheme="minorHAnsi"/>
        </w:rPr>
        <w:t>10</w:t>
      </w:r>
      <w:r w:rsidRPr="00765655">
        <w:rPr>
          <w:rFonts w:cstheme="minorHAnsi"/>
        </w:rPr>
        <w:t xml:space="preserve"> values from models for single and combined exposure</w:t>
      </w:r>
      <w:r w:rsidR="00075541">
        <w:rPr>
          <w:rFonts w:cstheme="minorHAnsi"/>
        </w:rPr>
        <w:t>s</w:t>
      </w:r>
      <w:r w:rsidRPr="00765655">
        <w:rPr>
          <w:rFonts w:cstheme="minorHAnsi"/>
        </w:rPr>
        <w:t xml:space="preserve"> to fresh precipitates. In summary, the results support the hypothesis that the bioavailable iron fraction should encompass iron phases of lower crystallinity and</w:t>
      </w:r>
      <w:r w:rsidR="00075541">
        <w:rPr>
          <w:rFonts w:cstheme="minorHAnsi"/>
        </w:rPr>
        <w:t>,</w:t>
      </w:r>
      <w:r w:rsidRPr="00765655">
        <w:rPr>
          <w:rFonts w:cstheme="minorHAnsi"/>
        </w:rPr>
        <w:t xml:space="preserve"> furthermore, the pH</w:t>
      </w:r>
      <w:r w:rsidR="00075541">
        <w:rPr>
          <w:rFonts w:cstheme="minorHAnsi"/>
        </w:rPr>
        <w:t>-</w:t>
      </w:r>
      <w:r w:rsidRPr="00765655">
        <w:rPr>
          <w:rFonts w:cstheme="minorHAnsi"/>
        </w:rPr>
        <w:t xml:space="preserve">2 method </w:t>
      </w:r>
      <w:r>
        <w:rPr>
          <w:rFonts w:cstheme="minorHAnsi"/>
        </w:rPr>
        <w:t>(</w:t>
      </w:r>
      <w:r w:rsidRPr="00765655">
        <w:rPr>
          <w:rFonts w:cstheme="minorHAnsi"/>
        </w:rPr>
        <w:t>with an extraction time of 6</w:t>
      </w:r>
      <w:r w:rsidR="00075541">
        <w:rPr>
          <w:rFonts w:cstheme="minorHAnsi"/>
        </w:rPr>
        <w:t>–</w:t>
      </w:r>
      <w:r>
        <w:rPr>
          <w:rFonts w:cstheme="minorHAnsi"/>
        </w:rPr>
        <w:t>16</w:t>
      </w:r>
      <w:r w:rsidRPr="00765655">
        <w:rPr>
          <w:rFonts w:cstheme="minorHAnsi"/>
        </w:rPr>
        <w:t xml:space="preserve"> hours</w:t>
      </w:r>
      <w:r>
        <w:rPr>
          <w:rFonts w:cstheme="minorHAnsi"/>
        </w:rPr>
        <w:t>)</w:t>
      </w:r>
      <w:r w:rsidRPr="00765655">
        <w:rPr>
          <w:rFonts w:cstheme="minorHAnsi"/>
        </w:rPr>
        <w:t xml:space="preserve"> is a suitable method to predict the chronic effects of iron at low response levels without the interference of well-mineralised iron phases.</w:t>
      </w:r>
    </w:p>
    <w:p w14:paraId="733633D9" w14:textId="3C6BBC55" w:rsidR="008176A3" w:rsidRDefault="00104AA2" w:rsidP="00582266">
      <w:r>
        <w:t>Consequently, the recently validated pH</w:t>
      </w:r>
      <w:r w:rsidR="00075541">
        <w:t>-</w:t>
      </w:r>
      <w:r>
        <w:t xml:space="preserve">2 extraction method (ANZG </w:t>
      </w:r>
      <w:r w:rsidR="00C36823">
        <w:t>2025</w:t>
      </w:r>
      <w:r>
        <w:t>) is recommended for use when analysing iron for the purpose of comparing concentrations with the iron DGVs. The method is analogous to US EPA (1991) Method 200.1, which was designed to determine acid-soluble metals but was not validated for iron.</w:t>
      </w:r>
      <w:r>
        <w:rPr>
          <w:lang w:eastAsia="ja-JP"/>
        </w:rPr>
        <w:t xml:space="preserve"> There is a low risk of toxicity if the pH</w:t>
      </w:r>
      <w:r w:rsidR="00B31203">
        <w:rPr>
          <w:lang w:eastAsia="ja-JP"/>
        </w:rPr>
        <w:t>-</w:t>
      </w:r>
      <w:r>
        <w:rPr>
          <w:lang w:eastAsia="ja-JP"/>
        </w:rPr>
        <w:t xml:space="preserve">2 extractable fraction does not exceed the </w:t>
      </w:r>
      <w:r w:rsidR="00B31203">
        <w:rPr>
          <w:lang w:eastAsia="ja-JP"/>
        </w:rPr>
        <w:t>guideline value</w:t>
      </w:r>
      <w:r>
        <w:rPr>
          <w:lang w:eastAsia="ja-JP"/>
        </w:rPr>
        <w:t xml:space="preserve">, but </w:t>
      </w:r>
      <w:r w:rsidR="00B31203">
        <w:rPr>
          <w:lang w:eastAsia="ja-JP"/>
        </w:rPr>
        <w:t xml:space="preserve">there is </w:t>
      </w:r>
      <w:r>
        <w:rPr>
          <w:lang w:eastAsia="ja-JP"/>
        </w:rPr>
        <w:t>potential for toxicity if the DGV is exceeded.</w:t>
      </w:r>
      <w:r w:rsidR="00C36823">
        <w:rPr>
          <w:lang w:eastAsia="ja-JP"/>
        </w:rPr>
        <w:t xml:space="preserve"> </w:t>
      </w:r>
      <w:r w:rsidR="00C36823">
        <w:rPr>
          <w:bCs/>
        </w:rPr>
        <w:t>Although it is also possible to compare the total iron concentration of the unfiltered water sample with the DGV, if this fraction exceeds the DGV, it will not be possible to identify the relative proportions of non-bioavailable and bioavailable iron in the sample.</w:t>
      </w:r>
    </w:p>
    <w:p w14:paraId="01FACBBC" w14:textId="77777777" w:rsidR="008176A3" w:rsidRDefault="008176A3" w:rsidP="00582266">
      <w:pPr>
        <w:sectPr w:rsidR="008176A3" w:rsidSect="00352419">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418" w:header="567" w:footer="283" w:gutter="0"/>
          <w:pgNumType w:start="1"/>
          <w:cols w:space="708"/>
          <w:docGrid w:linePitch="360"/>
        </w:sectPr>
      </w:pPr>
    </w:p>
    <w:p w14:paraId="628F211C" w14:textId="2BAF8893" w:rsidR="001C0D1C" w:rsidRPr="00A44053" w:rsidRDefault="00E55B1C">
      <w:pPr>
        <w:pStyle w:val="Heading2"/>
        <w:numPr>
          <w:ilvl w:val="0"/>
          <w:numId w:val="0"/>
        </w:numPr>
        <w:rPr>
          <w:highlight w:val="yellow"/>
        </w:rPr>
      </w:pPr>
      <w:bookmarkStart w:id="44" w:name="AppendixB"/>
      <w:bookmarkStart w:id="45" w:name="_Toc196928509"/>
      <w:bookmarkStart w:id="46" w:name="_Toc197784002"/>
      <w:r w:rsidRPr="00337A57">
        <w:lastRenderedPageBreak/>
        <w:t>Appendix</w:t>
      </w:r>
      <w:r w:rsidR="00B14722">
        <w:t> B</w:t>
      </w:r>
      <w:bookmarkEnd w:id="44"/>
      <w:r w:rsidRPr="00337A57">
        <w:t xml:space="preserve">: </w:t>
      </w:r>
      <w:r w:rsidR="002D18F7">
        <w:t>t</w:t>
      </w:r>
      <w:r w:rsidR="008A2F73" w:rsidRPr="008A2F73">
        <w:t>oxicity data that passed the screening and quality assessment</w:t>
      </w:r>
      <w:bookmarkEnd w:id="43"/>
      <w:r w:rsidR="00B6042D">
        <w:t xml:space="preserve"> and were used to derive the default guideline values</w:t>
      </w:r>
      <w:bookmarkEnd w:id="45"/>
      <w:bookmarkEnd w:id="46"/>
    </w:p>
    <w:p w14:paraId="7CDAC1D7" w14:textId="219E3F94" w:rsidR="008A2F73" w:rsidRPr="008A2F73" w:rsidRDefault="00A03168" w:rsidP="00B025D1">
      <w:pPr>
        <w:pStyle w:val="AppendixTablecaption"/>
        <w:rPr>
          <w:highlight w:val="yellow"/>
        </w:rPr>
      </w:pPr>
      <w:bookmarkStart w:id="47" w:name="TableB1"/>
      <w:bookmarkStart w:id="48" w:name="_Ref13149841"/>
      <w:bookmarkStart w:id="49" w:name="_Toc175734853"/>
      <w:bookmarkStart w:id="50" w:name="_Toc196928518"/>
      <w:bookmarkStart w:id="51" w:name="_Toc197784130"/>
      <w:r>
        <w:t>Table</w:t>
      </w:r>
      <w:r w:rsidR="00B14722">
        <w:t> B1</w:t>
      </w:r>
      <w:bookmarkEnd w:id="47"/>
      <w:bookmarkEnd w:id="48"/>
      <w:r w:rsidR="009C5C9B">
        <w:rPr>
          <w:noProof/>
        </w:rPr>
        <w:t>.</w:t>
      </w:r>
      <w:r w:rsidR="00B74454" w:rsidRPr="00B74454">
        <w:t xml:space="preserve"> Summary</w:t>
      </w:r>
      <w:r w:rsidR="002D18F7">
        <w:t xml:space="preserve"> of</w:t>
      </w:r>
      <w:r w:rsidR="00B74454" w:rsidRPr="00B74454">
        <w:t xml:space="preserve"> toxicity data that passed the screening and quality assurance processes</w:t>
      </w:r>
      <w:r w:rsidR="002D18F7">
        <w:t xml:space="preserve"> for</w:t>
      </w:r>
      <w:r w:rsidR="008D2437">
        <w:t xml:space="preserve"> iron in marine water</w:t>
      </w:r>
      <w:bookmarkEnd w:id="49"/>
      <w:bookmarkEnd w:id="50"/>
      <w:bookmarkEnd w:id="51"/>
    </w:p>
    <w:tbl>
      <w:tblPr>
        <w:tblW w:w="13994" w:type="dxa"/>
        <w:tblBorders>
          <w:top w:val="single" w:sz="12" w:space="0" w:color="auto"/>
          <w:bottom w:val="single" w:sz="12" w:space="0" w:color="auto"/>
          <w:insideH w:val="single" w:sz="4" w:space="0" w:color="auto"/>
        </w:tblBorders>
        <w:tblLayout w:type="fixed"/>
        <w:tblLook w:val="0000" w:firstRow="0" w:lastRow="0" w:firstColumn="0" w:lastColumn="0" w:noHBand="0" w:noVBand="0"/>
        <w:tblCaption w:val="Summary, toxicity data that passed the screening and quality assurance processes, total iron in marine water"/>
        <w:tblDescription w:val="Table lists nine species with their taxonomic group and species name. The different life stages for each species are provided with the following test information: exposure duration, test type, toxicity measure, test medium, temperature, salinity, pH, concentration and reference."/>
      </w:tblPr>
      <w:tblGrid>
        <w:gridCol w:w="1711"/>
        <w:gridCol w:w="1564"/>
        <w:gridCol w:w="1450"/>
        <w:gridCol w:w="975"/>
        <w:gridCol w:w="828"/>
        <w:gridCol w:w="1406"/>
        <w:gridCol w:w="1111"/>
        <w:gridCol w:w="697"/>
        <w:gridCol w:w="833"/>
        <w:gridCol w:w="765"/>
        <w:gridCol w:w="1276"/>
        <w:gridCol w:w="1378"/>
      </w:tblGrid>
      <w:tr w:rsidR="00DE5182" w:rsidRPr="002F16E6" w14:paraId="42C564BA" w14:textId="77777777" w:rsidTr="002468C2">
        <w:trPr>
          <w:cantSplit/>
          <w:tblHeader/>
        </w:trPr>
        <w:tc>
          <w:tcPr>
            <w:tcW w:w="1711" w:type="dxa"/>
            <w:tcBorders>
              <w:top w:val="single" w:sz="12" w:space="0" w:color="auto"/>
              <w:bottom w:val="single" w:sz="12" w:space="0" w:color="auto"/>
            </w:tcBorders>
          </w:tcPr>
          <w:p w14:paraId="2C29A198" w14:textId="2FAB8219" w:rsidR="00BC66CB" w:rsidRPr="002F16E6" w:rsidRDefault="00BC66CB" w:rsidP="00DB10C8">
            <w:pPr>
              <w:pStyle w:val="TableHeading"/>
              <w:spacing w:before="40" w:after="40"/>
            </w:pPr>
            <w:r w:rsidRPr="002F16E6">
              <w:t xml:space="preserve">Taxonomic group </w:t>
            </w:r>
          </w:p>
        </w:tc>
        <w:tc>
          <w:tcPr>
            <w:tcW w:w="1564" w:type="dxa"/>
            <w:tcBorders>
              <w:top w:val="single" w:sz="12" w:space="0" w:color="auto"/>
              <w:bottom w:val="single" w:sz="12" w:space="0" w:color="auto"/>
            </w:tcBorders>
          </w:tcPr>
          <w:p w14:paraId="5428FDFD" w14:textId="77777777" w:rsidR="00BC66CB" w:rsidRPr="002F16E6" w:rsidRDefault="00BC66CB" w:rsidP="00DB10C8">
            <w:pPr>
              <w:pStyle w:val="TableHeading"/>
              <w:spacing w:before="40" w:after="40"/>
            </w:pPr>
            <w:r w:rsidRPr="002F16E6">
              <w:t>Species</w:t>
            </w:r>
          </w:p>
        </w:tc>
        <w:tc>
          <w:tcPr>
            <w:tcW w:w="1450" w:type="dxa"/>
            <w:tcBorders>
              <w:top w:val="single" w:sz="12" w:space="0" w:color="auto"/>
              <w:bottom w:val="single" w:sz="12" w:space="0" w:color="auto"/>
            </w:tcBorders>
          </w:tcPr>
          <w:p w14:paraId="43A4AE79" w14:textId="77777777" w:rsidR="00BC66CB" w:rsidRPr="002F16E6" w:rsidRDefault="00BC66CB" w:rsidP="00DB10C8">
            <w:pPr>
              <w:pStyle w:val="TableHeading"/>
              <w:spacing w:before="40" w:after="40"/>
            </w:pPr>
            <w:r w:rsidRPr="002F16E6">
              <w:t>Life stage</w:t>
            </w:r>
          </w:p>
        </w:tc>
        <w:tc>
          <w:tcPr>
            <w:tcW w:w="975" w:type="dxa"/>
            <w:tcBorders>
              <w:top w:val="single" w:sz="12" w:space="0" w:color="auto"/>
              <w:bottom w:val="single" w:sz="12" w:space="0" w:color="auto"/>
            </w:tcBorders>
          </w:tcPr>
          <w:p w14:paraId="1FC63073" w14:textId="77777777" w:rsidR="00BC66CB" w:rsidRPr="002F16E6" w:rsidRDefault="00BC66CB" w:rsidP="00DB10C8">
            <w:pPr>
              <w:pStyle w:val="TableHeading"/>
              <w:spacing w:before="40" w:after="40"/>
            </w:pPr>
            <w:r w:rsidRPr="002F16E6">
              <w:t>Exposure duration (h)</w:t>
            </w:r>
          </w:p>
        </w:tc>
        <w:tc>
          <w:tcPr>
            <w:tcW w:w="828" w:type="dxa"/>
            <w:tcBorders>
              <w:top w:val="single" w:sz="12" w:space="0" w:color="auto"/>
              <w:bottom w:val="single" w:sz="12" w:space="0" w:color="auto"/>
            </w:tcBorders>
          </w:tcPr>
          <w:p w14:paraId="113D731D" w14:textId="77777777" w:rsidR="00BC66CB" w:rsidRPr="002F16E6" w:rsidRDefault="00BC66CB" w:rsidP="00DB10C8">
            <w:pPr>
              <w:pStyle w:val="TableHeading"/>
              <w:spacing w:before="40" w:after="40"/>
            </w:pPr>
            <w:r w:rsidRPr="002F16E6">
              <w:t>Test type</w:t>
            </w:r>
          </w:p>
        </w:tc>
        <w:tc>
          <w:tcPr>
            <w:tcW w:w="1406" w:type="dxa"/>
            <w:tcBorders>
              <w:top w:val="single" w:sz="12" w:space="0" w:color="auto"/>
              <w:bottom w:val="single" w:sz="12" w:space="0" w:color="auto"/>
            </w:tcBorders>
          </w:tcPr>
          <w:p w14:paraId="7D75D003" w14:textId="4ED9D8C8" w:rsidR="00BC66CB" w:rsidRPr="002F16E6" w:rsidRDefault="00BC66CB" w:rsidP="00DB10C8">
            <w:pPr>
              <w:pStyle w:val="TableHeading"/>
              <w:spacing w:before="40" w:after="40"/>
            </w:pPr>
            <w:r w:rsidRPr="002F16E6">
              <w:t>Toxicity measure (test endpoint)</w:t>
            </w:r>
          </w:p>
        </w:tc>
        <w:tc>
          <w:tcPr>
            <w:tcW w:w="1111" w:type="dxa"/>
            <w:tcBorders>
              <w:top w:val="single" w:sz="12" w:space="0" w:color="auto"/>
              <w:bottom w:val="single" w:sz="12" w:space="0" w:color="auto"/>
            </w:tcBorders>
          </w:tcPr>
          <w:p w14:paraId="2BB9F0F0" w14:textId="77777777" w:rsidR="00BC66CB" w:rsidRPr="002F16E6" w:rsidRDefault="00BC66CB" w:rsidP="00DB10C8">
            <w:pPr>
              <w:pStyle w:val="TableHeading"/>
              <w:spacing w:before="40" w:after="40"/>
            </w:pPr>
            <w:r w:rsidRPr="002F16E6">
              <w:t>Test medium</w:t>
            </w:r>
          </w:p>
        </w:tc>
        <w:tc>
          <w:tcPr>
            <w:tcW w:w="697" w:type="dxa"/>
            <w:tcBorders>
              <w:top w:val="single" w:sz="12" w:space="0" w:color="auto"/>
              <w:bottom w:val="single" w:sz="12" w:space="0" w:color="auto"/>
            </w:tcBorders>
          </w:tcPr>
          <w:p w14:paraId="175CE59B" w14:textId="661AB70F" w:rsidR="00BC66CB" w:rsidRPr="002F16E6" w:rsidRDefault="00BC66CB" w:rsidP="00DB10C8">
            <w:pPr>
              <w:pStyle w:val="TableHeading"/>
              <w:spacing w:before="40" w:after="40"/>
            </w:pPr>
            <w:r w:rsidRPr="002F16E6">
              <w:t>Temp. (</w:t>
            </w:r>
            <w:r w:rsidRPr="002F16E6">
              <w:sym w:font="Symbol" w:char="F0B0"/>
            </w:r>
            <w:r w:rsidRPr="002F16E6">
              <w:t>C)</w:t>
            </w:r>
          </w:p>
        </w:tc>
        <w:tc>
          <w:tcPr>
            <w:tcW w:w="833" w:type="dxa"/>
            <w:tcBorders>
              <w:top w:val="single" w:sz="12" w:space="0" w:color="auto"/>
              <w:bottom w:val="single" w:sz="12" w:space="0" w:color="auto"/>
            </w:tcBorders>
          </w:tcPr>
          <w:p w14:paraId="61E12A8C" w14:textId="77777777" w:rsidR="00BC66CB" w:rsidRPr="002F16E6" w:rsidRDefault="00BC66CB" w:rsidP="00DB10C8">
            <w:pPr>
              <w:pStyle w:val="TableHeading"/>
              <w:spacing w:before="40" w:after="40"/>
            </w:pPr>
            <w:r w:rsidRPr="002F16E6">
              <w:t>Salinity (‰)</w:t>
            </w:r>
          </w:p>
        </w:tc>
        <w:tc>
          <w:tcPr>
            <w:tcW w:w="765" w:type="dxa"/>
            <w:tcBorders>
              <w:top w:val="single" w:sz="12" w:space="0" w:color="auto"/>
              <w:bottom w:val="single" w:sz="12" w:space="0" w:color="auto"/>
            </w:tcBorders>
          </w:tcPr>
          <w:p w14:paraId="162A2264" w14:textId="77777777" w:rsidR="00BC66CB" w:rsidRPr="002F16E6" w:rsidRDefault="00BC66CB" w:rsidP="00DB10C8">
            <w:pPr>
              <w:pStyle w:val="TableHeading"/>
              <w:spacing w:before="40" w:after="40"/>
            </w:pPr>
            <w:r w:rsidRPr="002F16E6">
              <w:t>pH</w:t>
            </w:r>
          </w:p>
        </w:tc>
        <w:tc>
          <w:tcPr>
            <w:tcW w:w="1276" w:type="dxa"/>
            <w:tcBorders>
              <w:top w:val="single" w:sz="12" w:space="0" w:color="auto"/>
              <w:bottom w:val="single" w:sz="12" w:space="0" w:color="auto"/>
            </w:tcBorders>
          </w:tcPr>
          <w:p w14:paraId="69760E86" w14:textId="31474046" w:rsidR="00BC66CB" w:rsidRPr="002F16E6" w:rsidRDefault="00BC66CB" w:rsidP="00DB10C8">
            <w:pPr>
              <w:pStyle w:val="TableHeading"/>
              <w:spacing w:before="40" w:after="40"/>
            </w:pPr>
            <w:r w:rsidRPr="002F16E6">
              <w:t>Concentration (µg/L)</w:t>
            </w:r>
            <w:r w:rsidRPr="00142A8E">
              <w:rPr>
                <w:vertAlign w:val="superscript"/>
              </w:rPr>
              <w:t>a</w:t>
            </w:r>
          </w:p>
        </w:tc>
        <w:tc>
          <w:tcPr>
            <w:tcW w:w="1378" w:type="dxa"/>
            <w:tcBorders>
              <w:top w:val="single" w:sz="12" w:space="0" w:color="auto"/>
              <w:bottom w:val="single" w:sz="12" w:space="0" w:color="auto"/>
            </w:tcBorders>
          </w:tcPr>
          <w:p w14:paraId="71180D5C" w14:textId="77777777" w:rsidR="00BC66CB" w:rsidRPr="002F16E6" w:rsidRDefault="00BC66CB" w:rsidP="00DB10C8">
            <w:pPr>
              <w:pStyle w:val="TableHeading"/>
              <w:spacing w:before="40" w:after="40"/>
            </w:pPr>
            <w:r w:rsidRPr="002F16E6">
              <w:t>Reference</w:t>
            </w:r>
          </w:p>
        </w:tc>
      </w:tr>
      <w:tr w:rsidR="00DE5182" w:rsidRPr="00025E77" w14:paraId="78A42F12" w14:textId="77777777" w:rsidTr="002468C2">
        <w:trPr>
          <w:cantSplit/>
        </w:trPr>
        <w:tc>
          <w:tcPr>
            <w:tcW w:w="1711" w:type="dxa"/>
            <w:tcBorders>
              <w:top w:val="single" w:sz="12" w:space="0" w:color="auto"/>
              <w:bottom w:val="single" w:sz="4" w:space="0" w:color="auto"/>
            </w:tcBorders>
          </w:tcPr>
          <w:p w14:paraId="17288BB1" w14:textId="49AC5E7C" w:rsidR="00D10964" w:rsidRPr="002F16E6" w:rsidRDefault="0072131F" w:rsidP="00DB10C8">
            <w:pPr>
              <w:pStyle w:val="TableText"/>
              <w:spacing w:before="40" w:after="40"/>
              <w:rPr>
                <w:szCs w:val="18"/>
              </w:rPr>
            </w:pPr>
            <w:r>
              <w:rPr>
                <w:szCs w:val="18"/>
              </w:rPr>
              <w:t>Microalga</w:t>
            </w:r>
          </w:p>
        </w:tc>
        <w:tc>
          <w:tcPr>
            <w:tcW w:w="1564" w:type="dxa"/>
            <w:tcBorders>
              <w:top w:val="single" w:sz="12" w:space="0" w:color="auto"/>
              <w:bottom w:val="single" w:sz="4" w:space="0" w:color="auto"/>
            </w:tcBorders>
          </w:tcPr>
          <w:p w14:paraId="0983CEBC" w14:textId="21BF3AC8" w:rsidR="00D10964" w:rsidRPr="002F16E6" w:rsidRDefault="00D10964" w:rsidP="00DB10C8">
            <w:pPr>
              <w:pStyle w:val="TableText"/>
              <w:spacing w:before="40" w:after="40"/>
              <w:rPr>
                <w:rStyle w:val="Emphasis"/>
                <w:szCs w:val="18"/>
              </w:rPr>
            </w:pPr>
            <w:r w:rsidRPr="002F16E6">
              <w:rPr>
                <w:i/>
                <w:iCs/>
                <w:szCs w:val="18"/>
              </w:rPr>
              <w:t>Isochrysis galbana</w:t>
            </w:r>
          </w:p>
        </w:tc>
        <w:tc>
          <w:tcPr>
            <w:tcW w:w="1450" w:type="dxa"/>
            <w:tcBorders>
              <w:top w:val="single" w:sz="12" w:space="0" w:color="auto"/>
              <w:bottom w:val="single" w:sz="4" w:space="0" w:color="auto"/>
            </w:tcBorders>
          </w:tcPr>
          <w:p w14:paraId="209EB613" w14:textId="403EDEE0" w:rsidR="00D10964" w:rsidRPr="002F16E6" w:rsidRDefault="00D10964" w:rsidP="00DB10C8">
            <w:pPr>
              <w:pStyle w:val="TableText"/>
              <w:spacing w:before="40" w:after="40"/>
              <w:rPr>
                <w:szCs w:val="18"/>
              </w:rPr>
            </w:pPr>
            <w:r w:rsidRPr="002F16E6">
              <w:rPr>
                <w:szCs w:val="18"/>
              </w:rPr>
              <w:t>Not applicable</w:t>
            </w:r>
          </w:p>
        </w:tc>
        <w:tc>
          <w:tcPr>
            <w:tcW w:w="975" w:type="dxa"/>
            <w:tcBorders>
              <w:top w:val="single" w:sz="12" w:space="0" w:color="auto"/>
              <w:bottom w:val="single" w:sz="4" w:space="0" w:color="auto"/>
            </w:tcBorders>
          </w:tcPr>
          <w:p w14:paraId="03BBBE17" w14:textId="46F91782" w:rsidR="00D10964" w:rsidRPr="002F16E6" w:rsidRDefault="00D10964" w:rsidP="00DB10C8">
            <w:pPr>
              <w:pStyle w:val="TableText"/>
              <w:spacing w:before="40" w:after="40"/>
              <w:rPr>
                <w:szCs w:val="18"/>
              </w:rPr>
            </w:pPr>
            <w:r w:rsidRPr="002F16E6">
              <w:rPr>
                <w:szCs w:val="18"/>
              </w:rPr>
              <w:t>96</w:t>
            </w:r>
          </w:p>
        </w:tc>
        <w:tc>
          <w:tcPr>
            <w:tcW w:w="828" w:type="dxa"/>
            <w:tcBorders>
              <w:top w:val="single" w:sz="12" w:space="0" w:color="auto"/>
              <w:bottom w:val="single" w:sz="4" w:space="0" w:color="auto"/>
            </w:tcBorders>
          </w:tcPr>
          <w:p w14:paraId="54781AE6" w14:textId="5D07B1CA" w:rsidR="00D10964" w:rsidRPr="002F16E6" w:rsidRDefault="00D10964" w:rsidP="00DB10C8">
            <w:pPr>
              <w:pStyle w:val="TableText"/>
              <w:spacing w:before="40" w:after="40"/>
              <w:rPr>
                <w:szCs w:val="18"/>
              </w:rPr>
            </w:pPr>
            <w:r w:rsidRPr="002F16E6">
              <w:rPr>
                <w:szCs w:val="18"/>
              </w:rPr>
              <w:t>Chronic</w:t>
            </w:r>
          </w:p>
        </w:tc>
        <w:tc>
          <w:tcPr>
            <w:tcW w:w="1406" w:type="dxa"/>
            <w:tcBorders>
              <w:top w:val="single" w:sz="12" w:space="0" w:color="auto"/>
              <w:bottom w:val="single" w:sz="4" w:space="0" w:color="auto"/>
            </w:tcBorders>
          </w:tcPr>
          <w:p w14:paraId="1EACB948" w14:textId="54052B6A" w:rsidR="00D10964" w:rsidRPr="002F16E6" w:rsidRDefault="00402870" w:rsidP="00DB10C8">
            <w:pPr>
              <w:pStyle w:val="TableText"/>
              <w:spacing w:before="40" w:after="40"/>
              <w:rPr>
                <w:szCs w:val="18"/>
              </w:rPr>
            </w:pPr>
            <w:r>
              <w:rPr>
                <w:szCs w:val="18"/>
              </w:rPr>
              <w:t>N</w:t>
            </w:r>
            <w:r w:rsidRPr="002F16E6">
              <w:rPr>
                <w:szCs w:val="18"/>
              </w:rPr>
              <w:t xml:space="preserve">OEC </w:t>
            </w:r>
            <w:r w:rsidR="00D10964" w:rsidRPr="002F16E6">
              <w:rPr>
                <w:szCs w:val="18"/>
              </w:rPr>
              <w:t>(</w:t>
            </w:r>
            <w:r w:rsidR="002D18F7">
              <w:rPr>
                <w:szCs w:val="18"/>
              </w:rPr>
              <w:t>g</w:t>
            </w:r>
            <w:r w:rsidR="00D10964" w:rsidRPr="002F16E6">
              <w:rPr>
                <w:szCs w:val="18"/>
              </w:rPr>
              <w:t>rowth rate inhibition)</w:t>
            </w:r>
          </w:p>
        </w:tc>
        <w:tc>
          <w:tcPr>
            <w:tcW w:w="1111" w:type="dxa"/>
            <w:tcBorders>
              <w:top w:val="single" w:sz="12" w:space="0" w:color="auto"/>
              <w:bottom w:val="single" w:sz="4" w:space="0" w:color="auto"/>
            </w:tcBorders>
          </w:tcPr>
          <w:p w14:paraId="634CBCD2" w14:textId="04A954B9" w:rsidR="00D10964" w:rsidRPr="002F16E6" w:rsidRDefault="00D10964" w:rsidP="00DB10C8">
            <w:pPr>
              <w:pStyle w:val="TableText"/>
              <w:spacing w:before="40" w:after="40"/>
              <w:rPr>
                <w:szCs w:val="18"/>
              </w:rPr>
            </w:pPr>
            <w:r w:rsidRPr="002F16E6">
              <w:rPr>
                <w:szCs w:val="18"/>
              </w:rPr>
              <w:t>F/2 media without trace metals and without EDTA</w:t>
            </w:r>
          </w:p>
        </w:tc>
        <w:tc>
          <w:tcPr>
            <w:tcW w:w="697" w:type="dxa"/>
            <w:tcBorders>
              <w:top w:val="single" w:sz="12" w:space="0" w:color="auto"/>
              <w:bottom w:val="single" w:sz="4" w:space="0" w:color="auto"/>
            </w:tcBorders>
          </w:tcPr>
          <w:p w14:paraId="11F4B0F0" w14:textId="66853D10" w:rsidR="00D10964" w:rsidRPr="002F16E6" w:rsidRDefault="00D10964" w:rsidP="00DB10C8">
            <w:pPr>
              <w:pStyle w:val="TableText"/>
              <w:spacing w:before="40" w:after="40"/>
              <w:rPr>
                <w:szCs w:val="18"/>
              </w:rPr>
            </w:pPr>
            <w:r w:rsidRPr="002F16E6">
              <w:rPr>
                <w:szCs w:val="18"/>
              </w:rPr>
              <w:t>20</w:t>
            </w:r>
          </w:p>
        </w:tc>
        <w:tc>
          <w:tcPr>
            <w:tcW w:w="833" w:type="dxa"/>
            <w:tcBorders>
              <w:top w:val="single" w:sz="12" w:space="0" w:color="auto"/>
              <w:bottom w:val="single" w:sz="4" w:space="0" w:color="auto"/>
            </w:tcBorders>
          </w:tcPr>
          <w:p w14:paraId="7334A932" w14:textId="20847398" w:rsidR="00D10964" w:rsidRPr="002F16E6" w:rsidRDefault="00D10964" w:rsidP="00DB10C8">
            <w:pPr>
              <w:pStyle w:val="TableText"/>
              <w:spacing w:before="40" w:after="40"/>
              <w:rPr>
                <w:szCs w:val="18"/>
              </w:rPr>
            </w:pPr>
            <w:r w:rsidRPr="002F16E6">
              <w:rPr>
                <w:szCs w:val="18"/>
              </w:rPr>
              <w:t>34</w:t>
            </w:r>
          </w:p>
        </w:tc>
        <w:tc>
          <w:tcPr>
            <w:tcW w:w="765" w:type="dxa"/>
            <w:tcBorders>
              <w:top w:val="single" w:sz="12" w:space="0" w:color="auto"/>
              <w:bottom w:val="single" w:sz="4" w:space="0" w:color="auto"/>
            </w:tcBorders>
          </w:tcPr>
          <w:p w14:paraId="464BE457" w14:textId="14534D76" w:rsidR="00D10964" w:rsidRPr="002F16E6" w:rsidRDefault="00D10964" w:rsidP="00DB10C8">
            <w:pPr>
              <w:pStyle w:val="TableText"/>
              <w:spacing w:before="40" w:after="40"/>
              <w:rPr>
                <w:szCs w:val="18"/>
              </w:rPr>
            </w:pPr>
            <w:r w:rsidRPr="002F16E6">
              <w:rPr>
                <w:szCs w:val="18"/>
              </w:rPr>
              <w:t>8.1–8.3</w:t>
            </w:r>
          </w:p>
        </w:tc>
        <w:tc>
          <w:tcPr>
            <w:tcW w:w="1276" w:type="dxa"/>
            <w:tcBorders>
              <w:top w:val="single" w:sz="12" w:space="0" w:color="auto"/>
              <w:bottom w:val="single" w:sz="4" w:space="0" w:color="auto"/>
            </w:tcBorders>
          </w:tcPr>
          <w:p w14:paraId="6883BD23" w14:textId="655F5BB8" w:rsidR="00D10964" w:rsidRPr="002F16E6" w:rsidRDefault="00D10964" w:rsidP="00DB10C8">
            <w:pPr>
              <w:pStyle w:val="TableText"/>
              <w:spacing w:before="40" w:after="40"/>
              <w:ind w:right="284"/>
              <w:jc w:val="right"/>
              <w:rPr>
                <w:szCs w:val="18"/>
              </w:rPr>
            </w:pPr>
            <w:r>
              <w:rPr>
                <w:szCs w:val="18"/>
              </w:rPr>
              <w:t>5</w:t>
            </w:r>
            <w:r w:rsidR="00402870">
              <w:rPr>
                <w:szCs w:val="18"/>
              </w:rPr>
              <w:t>0</w:t>
            </w:r>
            <w:r w:rsidR="002D18F7" w:rsidRPr="00DE5182">
              <w:rPr>
                <w:bCs/>
                <w:szCs w:val="18"/>
              </w:rPr>
              <w:t>,</w:t>
            </w:r>
            <w:r w:rsidRPr="002F16E6">
              <w:rPr>
                <w:szCs w:val="18"/>
              </w:rPr>
              <w:t>000</w:t>
            </w:r>
          </w:p>
        </w:tc>
        <w:tc>
          <w:tcPr>
            <w:tcW w:w="1378" w:type="dxa"/>
            <w:tcBorders>
              <w:top w:val="single" w:sz="12" w:space="0" w:color="auto"/>
              <w:bottom w:val="single" w:sz="4" w:space="0" w:color="auto"/>
            </w:tcBorders>
          </w:tcPr>
          <w:p w14:paraId="20FBD842" w14:textId="61B07C77" w:rsidR="00D10964" w:rsidRPr="002F16E6" w:rsidRDefault="00D10964" w:rsidP="00DB10C8">
            <w:pPr>
              <w:pStyle w:val="TableText"/>
              <w:spacing w:before="40" w:after="40"/>
              <w:rPr>
                <w:szCs w:val="18"/>
              </w:rPr>
            </w:pPr>
            <w:r w:rsidRPr="002F16E6">
              <w:rPr>
                <w:szCs w:val="18"/>
              </w:rPr>
              <w:t>Keller et al. (2012)</w:t>
            </w:r>
          </w:p>
        </w:tc>
      </w:tr>
      <w:tr w:rsidR="009C078D" w:rsidRPr="00025E77" w14:paraId="50FF22C2" w14:textId="77777777" w:rsidTr="002468C2">
        <w:trPr>
          <w:cantSplit/>
        </w:trPr>
        <w:tc>
          <w:tcPr>
            <w:tcW w:w="1711" w:type="dxa"/>
            <w:tcBorders>
              <w:top w:val="single" w:sz="4" w:space="0" w:color="auto"/>
              <w:bottom w:val="single" w:sz="4" w:space="0" w:color="auto"/>
            </w:tcBorders>
          </w:tcPr>
          <w:p w14:paraId="2E926FF4" w14:textId="79FC5394" w:rsidR="00AE737C" w:rsidRPr="002F16E6" w:rsidDel="002D18F7" w:rsidRDefault="00AE737C" w:rsidP="00DB10C8">
            <w:pPr>
              <w:pStyle w:val="TableText"/>
              <w:spacing w:before="40" w:after="40"/>
              <w:rPr>
                <w:szCs w:val="18"/>
              </w:rPr>
            </w:pPr>
            <w:r w:rsidRPr="002F16E6">
              <w:rPr>
                <w:szCs w:val="18"/>
              </w:rPr>
              <w:t>Cnidaria</w:t>
            </w:r>
            <w:r>
              <w:rPr>
                <w:szCs w:val="18"/>
              </w:rPr>
              <w:t xml:space="preserve"> (coral)</w:t>
            </w:r>
          </w:p>
        </w:tc>
        <w:tc>
          <w:tcPr>
            <w:tcW w:w="1564" w:type="dxa"/>
            <w:tcBorders>
              <w:top w:val="single" w:sz="4" w:space="0" w:color="auto"/>
              <w:bottom w:val="single" w:sz="4" w:space="0" w:color="auto"/>
            </w:tcBorders>
          </w:tcPr>
          <w:p w14:paraId="42DDA01C" w14:textId="7B5A370A" w:rsidR="00AE737C" w:rsidRPr="002F16E6" w:rsidRDefault="00AE737C" w:rsidP="00DB10C8">
            <w:pPr>
              <w:pStyle w:val="TableText"/>
              <w:spacing w:before="40" w:after="40"/>
              <w:rPr>
                <w:rStyle w:val="Emphasis"/>
                <w:szCs w:val="18"/>
              </w:rPr>
            </w:pPr>
            <w:r w:rsidRPr="002F16E6">
              <w:rPr>
                <w:rStyle w:val="Emphasis"/>
                <w:szCs w:val="18"/>
              </w:rPr>
              <w:t>Acropora spathulata</w:t>
            </w:r>
          </w:p>
        </w:tc>
        <w:tc>
          <w:tcPr>
            <w:tcW w:w="1450" w:type="dxa"/>
            <w:tcBorders>
              <w:top w:val="single" w:sz="4" w:space="0" w:color="auto"/>
              <w:bottom w:val="single" w:sz="4" w:space="0" w:color="auto"/>
            </w:tcBorders>
          </w:tcPr>
          <w:p w14:paraId="4B541C0D" w14:textId="4EFE78A9" w:rsidR="00AE737C" w:rsidRPr="002F16E6" w:rsidRDefault="00AE737C" w:rsidP="00DB10C8">
            <w:pPr>
              <w:pStyle w:val="TableText"/>
              <w:spacing w:before="40" w:after="40"/>
              <w:rPr>
                <w:szCs w:val="18"/>
              </w:rPr>
            </w:pPr>
            <w:r w:rsidRPr="002F16E6">
              <w:rPr>
                <w:szCs w:val="18"/>
              </w:rPr>
              <w:t>Gametes</w:t>
            </w:r>
          </w:p>
        </w:tc>
        <w:tc>
          <w:tcPr>
            <w:tcW w:w="975" w:type="dxa"/>
            <w:tcBorders>
              <w:top w:val="single" w:sz="4" w:space="0" w:color="auto"/>
              <w:bottom w:val="single" w:sz="4" w:space="0" w:color="auto"/>
            </w:tcBorders>
          </w:tcPr>
          <w:p w14:paraId="74C4FC4E" w14:textId="1367D92B" w:rsidR="00AE737C" w:rsidRPr="002F16E6" w:rsidRDefault="00AE737C" w:rsidP="00DB10C8">
            <w:pPr>
              <w:pStyle w:val="TableText"/>
              <w:spacing w:before="40" w:after="40"/>
              <w:rPr>
                <w:szCs w:val="18"/>
              </w:rPr>
            </w:pPr>
            <w:r w:rsidRPr="002F16E6">
              <w:rPr>
                <w:szCs w:val="18"/>
              </w:rPr>
              <w:t>5.5</w:t>
            </w:r>
          </w:p>
        </w:tc>
        <w:tc>
          <w:tcPr>
            <w:tcW w:w="828" w:type="dxa"/>
            <w:tcBorders>
              <w:top w:val="single" w:sz="4" w:space="0" w:color="auto"/>
              <w:bottom w:val="single" w:sz="4" w:space="0" w:color="auto"/>
            </w:tcBorders>
          </w:tcPr>
          <w:p w14:paraId="44103785" w14:textId="1202FE12" w:rsidR="00AE737C" w:rsidRPr="002F16E6" w:rsidRDefault="00AE737C" w:rsidP="00DB10C8">
            <w:pPr>
              <w:pStyle w:val="TableText"/>
              <w:spacing w:before="40" w:after="40"/>
              <w:rPr>
                <w:szCs w:val="18"/>
              </w:rPr>
            </w:pPr>
            <w:r w:rsidRPr="002F16E6">
              <w:rPr>
                <w:szCs w:val="18"/>
              </w:rPr>
              <w:t>Chronic</w:t>
            </w:r>
          </w:p>
        </w:tc>
        <w:tc>
          <w:tcPr>
            <w:tcW w:w="1406" w:type="dxa"/>
            <w:tcBorders>
              <w:top w:val="single" w:sz="4" w:space="0" w:color="auto"/>
              <w:bottom w:val="single" w:sz="4" w:space="0" w:color="auto"/>
            </w:tcBorders>
          </w:tcPr>
          <w:p w14:paraId="3D2EB478" w14:textId="17D9BBE7" w:rsidR="00AE737C" w:rsidRPr="002F16E6" w:rsidRDefault="00AE737C" w:rsidP="00DB10C8">
            <w:pPr>
              <w:pStyle w:val="TableText"/>
              <w:spacing w:before="40" w:after="40"/>
              <w:rPr>
                <w:szCs w:val="18"/>
              </w:rPr>
            </w:pPr>
            <w:r w:rsidRPr="002F16E6">
              <w:rPr>
                <w:szCs w:val="18"/>
              </w:rPr>
              <w:t>EC10</w:t>
            </w:r>
            <w:r>
              <w:rPr>
                <w:szCs w:val="18"/>
              </w:rPr>
              <w:t xml:space="preserve"> </w:t>
            </w:r>
            <w:r w:rsidRPr="002F16E6">
              <w:rPr>
                <w:szCs w:val="18"/>
              </w:rPr>
              <w:t>(</w:t>
            </w:r>
            <w:r>
              <w:rPr>
                <w:szCs w:val="18"/>
              </w:rPr>
              <w:t>f</w:t>
            </w:r>
            <w:r w:rsidRPr="002F16E6">
              <w:rPr>
                <w:szCs w:val="18"/>
              </w:rPr>
              <w:t>ertilisation)</w:t>
            </w:r>
          </w:p>
        </w:tc>
        <w:tc>
          <w:tcPr>
            <w:tcW w:w="1111" w:type="dxa"/>
            <w:tcBorders>
              <w:top w:val="single" w:sz="4" w:space="0" w:color="auto"/>
              <w:bottom w:val="single" w:sz="4" w:space="0" w:color="auto"/>
            </w:tcBorders>
          </w:tcPr>
          <w:p w14:paraId="43CE408D" w14:textId="170A4BB6" w:rsidR="00AE737C" w:rsidRPr="002F16E6" w:rsidRDefault="00AE737C" w:rsidP="00DB10C8">
            <w:pPr>
              <w:pStyle w:val="TableText"/>
              <w:spacing w:before="40" w:after="40"/>
              <w:rPr>
                <w:szCs w:val="18"/>
              </w:rPr>
            </w:pPr>
            <w:r w:rsidRPr="002F16E6">
              <w:rPr>
                <w:szCs w:val="18"/>
              </w:rPr>
              <w:t>Seawater</w:t>
            </w:r>
          </w:p>
        </w:tc>
        <w:tc>
          <w:tcPr>
            <w:tcW w:w="697" w:type="dxa"/>
            <w:tcBorders>
              <w:top w:val="single" w:sz="4" w:space="0" w:color="auto"/>
              <w:bottom w:val="single" w:sz="4" w:space="0" w:color="auto"/>
            </w:tcBorders>
          </w:tcPr>
          <w:p w14:paraId="5A8F3CB5" w14:textId="010740D7" w:rsidR="00AE737C" w:rsidRPr="002F16E6" w:rsidRDefault="00AE737C" w:rsidP="00DB10C8">
            <w:pPr>
              <w:pStyle w:val="TableText"/>
              <w:spacing w:before="40" w:after="40"/>
              <w:rPr>
                <w:szCs w:val="18"/>
              </w:rPr>
            </w:pPr>
            <w:r w:rsidRPr="002F16E6">
              <w:rPr>
                <w:szCs w:val="18"/>
              </w:rPr>
              <w:t>24–25</w:t>
            </w:r>
          </w:p>
        </w:tc>
        <w:tc>
          <w:tcPr>
            <w:tcW w:w="833" w:type="dxa"/>
            <w:tcBorders>
              <w:top w:val="single" w:sz="4" w:space="0" w:color="auto"/>
              <w:bottom w:val="single" w:sz="4" w:space="0" w:color="auto"/>
            </w:tcBorders>
          </w:tcPr>
          <w:p w14:paraId="4418E3A4" w14:textId="0E4F22AB" w:rsidR="00AE737C" w:rsidRPr="002F16E6" w:rsidRDefault="00AE737C" w:rsidP="00DB10C8">
            <w:pPr>
              <w:pStyle w:val="TableText"/>
              <w:spacing w:before="40" w:after="40"/>
              <w:rPr>
                <w:szCs w:val="18"/>
              </w:rPr>
            </w:pPr>
            <w:r w:rsidRPr="002F16E6">
              <w:rPr>
                <w:szCs w:val="18"/>
              </w:rPr>
              <w:t>37–39</w:t>
            </w:r>
          </w:p>
        </w:tc>
        <w:tc>
          <w:tcPr>
            <w:tcW w:w="765" w:type="dxa"/>
            <w:tcBorders>
              <w:top w:val="single" w:sz="4" w:space="0" w:color="auto"/>
              <w:bottom w:val="single" w:sz="4" w:space="0" w:color="auto"/>
            </w:tcBorders>
          </w:tcPr>
          <w:p w14:paraId="09E1D609" w14:textId="0CF1B432" w:rsidR="00AE737C" w:rsidRPr="002F16E6" w:rsidRDefault="00AE737C" w:rsidP="00DB10C8">
            <w:pPr>
              <w:pStyle w:val="TableText"/>
              <w:spacing w:before="40" w:after="40"/>
              <w:rPr>
                <w:szCs w:val="18"/>
              </w:rPr>
            </w:pPr>
            <w:r w:rsidRPr="002F16E6">
              <w:rPr>
                <w:szCs w:val="18"/>
              </w:rPr>
              <w:t>7.9–8.5</w:t>
            </w:r>
          </w:p>
        </w:tc>
        <w:tc>
          <w:tcPr>
            <w:tcW w:w="1276" w:type="dxa"/>
            <w:tcBorders>
              <w:top w:val="single" w:sz="4" w:space="0" w:color="auto"/>
              <w:bottom w:val="single" w:sz="4" w:space="0" w:color="auto"/>
            </w:tcBorders>
          </w:tcPr>
          <w:p w14:paraId="37DCC760" w14:textId="2F9A9860" w:rsidR="00AE737C" w:rsidRDefault="00AE737C" w:rsidP="00DB10C8">
            <w:pPr>
              <w:pStyle w:val="TableText"/>
              <w:spacing w:before="40" w:after="40"/>
              <w:ind w:right="284"/>
              <w:jc w:val="right"/>
              <w:rPr>
                <w:b/>
                <w:szCs w:val="18"/>
              </w:rPr>
            </w:pPr>
            <w:r w:rsidRPr="002F16E6">
              <w:rPr>
                <w:szCs w:val="18"/>
              </w:rPr>
              <w:t>26</w:t>
            </w:r>
            <w:r w:rsidRPr="00B603D1">
              <w:rPr>
                <w:bCs/>
                <w:szCs w:val="18"/>
              </w:rPr>
              <w:t>,</w:t>
            </w:r>
            <w:r w:rsidRPr="002F16E6">
              <w:rPr>
                <w:szCs w:val="18"/>
              </w:rPr>
              <w:t>000</w:t>
            </w:r>
          </w:p>
        </w:tc>
        <w:tc>
          <w:tcPr>
            <w:tcW w:w="1378" w:type="dxa"/>
            <w:tcBorders>
              <w:top w:val="single" w:sz="4" w:space="0" w:color="auto"/>
              <w:bottom w:val="single" w:sz="4" w:space="0" w:color="auto"/>
            </w:tcBorders>
          </w:tcPr>
          <w:p w14:paraId="2BD978E1" w14:textId="58D47187" w:rsidR="00AE737C" w:rsidRPr="002F16E6" w:rsidDel="00A04964" w:rsidRDefault="00AE737C" w:rsidP="00DB10C8">
            <w:pPr>
              <w:pStyle w:val="TableText"/>
              <w:spacing w:before="40" w:after="40"/>
              <w:rPr>
                <w:b/>
                <w:szCs w:val="18"/>
              </w:rPr>
            </w:pPr>
            <w:r w:rsidRPr="002F16E6">
              <w:rPr>
                <w:szCs w:val="18"/>
              </w:rPr>
              <w:t>Leigh-Smith et al. (2018)</w:t>
            </w:r>
          </w:p>
        </w:tc>
      </w:tr>
      <w:tr w:rsidR="0075264E" w:rsidRPr="00025E77" w14:paraId="032C2191" w14:textId="77777777" w:rsidTr="002468C2">
        <w:trPr>
          <w:cantSplit/>
        </w:trPr>
        <w:tc>
          <w:tcPr>
            <w:tcW w:w="1711" w:type="dxa"/>
            <w:tcBorders>
              <w:top w:val="single" w:sz="4" w:space="0" w:color="auto"/>
              <w:bottom w:val="single" w:sz="4" w:space="0" w:color="auto"/>
            </w:tcBorders>
          </w:tcPr>
          <w:p w14:paraId="6B022D3E" w14:textId="5F912ED3" w:rsidR="0075264E" w:rsidRPr="002F16E6" w:rsidDel="002D18F7" w:rsidRDefault="0075264E" w:rsidP="00DB10C8">
            <w:pPr>
              <w:pStyle w:val="TableText"/>
              <w:spacing w:before="40" w:after="40"/>
              <w:rPr>
                <w:szCs w:val="18"/>
              </w:rPr>
            </w:pPr>
            <w:r w:rsidRPr="002F16E6">
              <w:rPr>
                <w:szCs w:val="18"/>
              </w:rPr>
              <w:t>Cnidaria</w:t>
            </w:r>
            <w:r>
              <w:rPr>
                <w:szCs w:val="18"/>
              </w:rPr>
              <w:t xml:space="preserve"> (coral)</w:t>
            </w:r>
          </w:p>
        </w:tc>
        <w:tc>
          <w:tcPr>
            <w:tcW w:w="1564" w:type="dxa"/>
            <w:tcBorders>
              <w:top w:val="single" w:sz="4" w:space="0" w:color="auto"/>
              <w:bottom w:val="single" w:sz="4" w:space="0" w:color="auto"/>
            </w:tcBorders>
          </w:tcPr>
          <w:p w14:paraId="4D8E8C6C" w14:textId="5FBE38D4" w:rsidR="0075264E" w:rsidRPr="002F16E6" w:rsidRDefault="0075264E" w:rsidP="00DB10C8">
            <w:pPr>
              <w:pStyle w:val="TableText"/>
              <w:spacing w:before="40" w:after="40"/>
              <w:rPr>
                <w:rStyle w:val="Emphasis"/>
                <w:szCs w:val="18"/>
              </w:rPr>
            </w:pPr>
            <w:r w:rsidRPr="002F16E6">
              <w:rPr>
                <w:rStyle w:val="Emphasis"/>
                <w:szCs w:val="18"/>
              </w:rPr>
              <w:t>Acropora spathulata</w:t>
            </w:r>
          </w:p>
        </w:tc>
        <w:tc>
          <w:tcPr>
            <w:tcW w:w="1450" w:type="dxa"/>
            <w:tcBorders>
              <w:top w:val="single" w:sz="4" w:space="0" w:color="auto"/>
              <w:bottom w:val="single" w:sz="4" w:space="0" w:color="auto"/>
            </w:tcBorders>
          </w:tcPr>
          <w:p w14:paraId="70ADF076" w14:textId="691437A5" w:rsidR="0075264E" w:rsidRPr="002F16E6" w:rsidRDefault="0075264E" w:rsidP="00DB10C8">
            <w:pPr>
              <w:pStyle w:val="TableText"/>
              <w:spacing w:before="40" w:after="40"/>
              <w:rPr>
                <w:szCs w:val="18"/>
              </w:rPr>
            </w:pPr>
            <w:r w:rsidRPr="002F16E6">
              <w:rPr>
                <w:szCs w:val="18"/>
              </w:rPr>
              <w:t>Gametes</w:t>
            </w:r>
          </w:p>
        </w:tc>
        <w:tc>
          <w:tcPr>
            <w:tcW w:w="975" w:type="dxa"/>
            <w:tcBorders>
              <w:top w:val="single" w:sz="4" w:space="0" w:color="auto"/>
              <w:bottom w:val="single" w:sz="4" w:space="0" w:color="auto"/>
            </w:tcBorders>
          </w:tcPr>
          <w:p w14:paraId="5BEEC7EA" w14:textId="47A7B73E" w:rsidR="0075264E" w:rsidRPr="002F16E6" w:rsidRDefault="0075264E" w:rsidP="00DB10C8">
            <w:pPr>
              <w:pStyle w:val="TableText"/>
              <w:spacing w:before="40" w:after="40"/>
              <w:rPr>
                <w:szCs w:val="18"/>
              </w:rPr>
            </w:pPr>
            <w:r w:rsidRPr="002F16E6">
              <w:rPr>
                <w:szCs w:val="18"/>
              </w:rPr>
              <w:t>5.5</w:t>
            </w:r>
          </w:p>
        </w:tc>
        <w:tc>
          <w:tcPr>
            <w:tcW w:w="828" w:type="dxa"/>
            <w:tcBorders>
              <w:top w:val="single" w:sz="4" w:space="0" w:color="auto"/>
              <w:bottom w:val="single" w:sz="4" w:space="0" w:color="auto"/>
            </w:tcBorders>
          </w:tcPr>
          <w:p w14:paraId="72784F2B" w14:textId="082D9A7F" w:rsidR="0075264E" w:rsidRPr="002F16E6" w:rsidRDefault="0075264E" w:rsidP="00DB10C8">
            <w:pPr>
              <w:pStyle w:val="TableText"/>
              <w:spacing w:before="40" w:after="40"/>
              <w:rPr>
                <w:szCs w:val="18"/>
              </w:rPr>
            </w:pPr>
            <w:r w:rsidRPr="002F16E6">
              <w:rPr>
                <w:szCs w:val="18"/>
              </w:rPr>
              <w:t>Chronic</w:t>
            </w:r>
          </w:p>
        </w:tc>
        <w:tc>
          <w:tcPr>
            <w:tcW w:w="1406" w:type="dxa"/>
            <w:tcBorders>
              <w:top w:val="single" w:sz="4" w:space="0" w:color="auto"/>
              <w:bottom w:val="single" w:sz="4" w:space="0" w:color="auto"/>
            </w:tcBorders>
          </w:tcPr>
          <w:p w14:paraId="0C822BCC" w14:textId="588CACDD" w:rsidR="0075264E" w:rsidRPr="002F16E6" w:rsidRDefault="0075264E" w:rsidP="00DB10C8">
            <w:pPr>
              <w:pStyle w:val="TableText"/>
              <w:spacing w:before="40" w:after="40"/>
              <w:rPr>
                <w:szCs w:val="18"/>
              </w:rPr>
            </w:pPr>
            <w:r w:rsidRPr="002F16E6">
              <w:rPr>
                <w:szCs w:val="18"/>
              </w:rPr>
              <w:t>EC10</w:t>
            </w:r>
            <w:r>
              <w:rPr>
                <w:szCs w:val="18"/>
              </w:rPr>
              <w:t xml:space="preserve"> </w:t>
            </w:r>
            <w:r w:rsidRPr="002F16E6">
              <w:rPr>
                <w:szCs w:val="18"/>
              </w:rPr>
              <w:t>(</w:t>
            </w:r>
            <w:r>
              <w:rPr>
                <w:szCs w:val="18"/>
              </w:rPr>
              <w:t>f</w:t>
            </w:r>
            <w:r w:rsidRPr="002F16E6">
              <w:rPr>
                <w:szCs w:val="18"/>
              </w:rPr>
              <w:t>ertilisation)</w:t>
            </w:r>
          </w:p>
        </w:tc>
        <w:tc>
          <w:tcPr>
            <w:tcW w:w="1111" w:type="dxa"/>
            <w:tcBorders>
              <w:top w:val="single" w:sz="4" w:space="0" w:color="auto"/>
              <w:bottom w:val="single" w:sz="4" w:space="0" w:color="auto"/>
            </w:tcBorders>
          </w:tcPr>
          <w:p w14:paraId="78D6D84B" w14:textId="27D07301" w:rsidR="0075264E" w:rsidRPr="002F16E6" w:rsidRDefault="0075264E" w:rsidP="00DB10C8">
            <w:pPr>
              <w:pStyle w:val="TableText"/>
              <w:spacing w:before="40" w:after="40"/>
              <w:rPr>
                <w:szCs w:val="18"/>
              </w:rPr>
            </w:pPr>
            <w:r w:rsidRPr="002F16E6">
              <w:rPr>
                <w:szCs w:val="18"/>
              </w:rPr>
              <w:t>Seawater</w:t>
            </w:r>
          </w:p>
        </w:tc>
        <w:tc>
          <w:tcPr>
            <w:tcW w:w="697" w:type="dxa"/>
            <w:tcBorders>
              <w:top w:val="single" w:sz="4" w:space="0" w:color="auto"/>
              <w:bottom w:val="single" w:sz="4" w:space="0" w:color="auto"/>
            </w:tcBorders>
          </w:tcPr>
          <w:p w14:paraId="6534B55F" w14:textId="02D8A33E" w:rsidR="0075264E" w:rsidRPr="002F16E6" w:rsidRDefault="0075264E" w:rsidP="00DB10C8">
            <w:pPr>
              <w:pStyle w:val="TableText"/>
              <w:spacing w:before="40" w:after="40"/>
              <w:rPr>
                <w:szCs w:val="18"/>
              </w:rPr>
            </w:pPr>
            <w:r w:rsidRPr="002F16E6">
              <w:rPr>
                <w:szCs w:val="18"/>
              </w:rPr>
              <w:t>24–25</w:t>
            </w:r>
          </w:p>
        </w:tc>
        <w:tc>
          <w:tcPr>
            <w:tcW w:w="833" w:type="dxa"/>
            <w:tcBorders>
              <w:top w:val="single" w:sz="4" w:space="0" w:color="auto"/>
              <w:bottom w:val="single" w:sz="4" w:space="0" w:color="auto"/>
            </w:tcBorders>
          </w:tcPr>
          <w:p w14:paraId="321EEE94" w14:textId="4BFB25A3" w:rsidR="0075264E" w:rsidRPr="002F16E6" w:rsidRDefault="0075264E" w:rsidP="00DB10C8">
            <w:pPr>
              <w:pStyle w:val="TableText"/>
              <w:spacing w:before="40" w:after="40"/>
              <w:rPr>
                <w:szCs w:val="18"/>
              </w:rPr>
            </w:pPr>
            <w:r w:rsidRPr="002F16E6">
              <w:rPr>
                <w:szCs w:val="18"/>
              </w:rPr>
              <w:t>37–39</w:t>
            </w:r>
          </w:p>
        </w:tc>
        <w:tc>
          <w:tcPr>
            <w:tcW w:w="765" w:type="dxa"/>
            <w:tcBorders>
              <w:top w:val="single" w:sz="4" w:space="0" w:color="auto"/>
              <w:bottom w:val="single" w:sz="4" w:space="0" w:color="auto"/>
            </w:tcBorders>
          </w:tcPr>
          <w:p w14:paraId="67B38146" w14:textId="7CDFCD2F" w:rsidR="0075264E" w:rsidRPr="002F16E6" w:rsidRDefault="0075264E" w:rsidP="00DB10C8">
            <w:pPr>
              <w:pStyle w:val="TableText"/>
              <w:spacing w:before="40" w:after="40"/>
              <w:rPr>
                <w:szCs w:val="18"/>
              </w:rPr>
            </w:pPr>
            <w:r w:rsidRPr="002F16E6">
              <w:rPr>
                <w:szCs w:val="18"/>
              </w:rPr>
              <w:t>7.9–8.5</w:t>
            </w:r>
          </w:p>
        </w:tc>
        <w:tc>
          <w:tcPr>
            <w:tcW w:w="1276" w:type="dxa"/>
            <w:tcBorders>
              <w:top w:val="single" w:sz="4" w:space="0" w:color="auto"/>
              <w:bottom w:val="single" w:sz="4" w:space="0" w:color="auto"/>
            </w:tcBorders>
          </w:tcPr>
          <w:p w14:paraId="6C734EA4" w14:textId="30CF754B" w:rsidR="0075264E" w:rsidRDefault="0075264E" w:rsidP="00DB10C8">
            <w:pPr>
              <w:pStyle w:val="TableText"/>
              <w:spacing w:before="40" w:after="40"/>
              <w:ind w:right="284"/>
              <w:jc w:val="right"/>
              <w:rPr>
                <w:b/>
                <w:szCs w:val="18"/>
              </w:rPr>
            </w:pPr>
            <w:r w:rsidRPr="002F16E6">
              <w:rPr>
                <w:szCs w:val="18"/>
              </w:rPr>
              <w:t>12</w:t>
            </w:r>
            <w:r w:rsidRPr="00B603D1">
              <w:rPr>
                <w:bCs/>
                <w:szCs w:val="18"/>
              </w:rPr>
              <w:t>,</w:t>
            </w:r>
            <w:r w:rsidRPr="002F16E6">
              <w:rPr>
                <w:szCs w:val="18"/>
              </w:rPr>
              <w:t>000</w:t>
            </w:r>
          </w:p>
        </w:tc>
        <w:tc>
          <w:tcPr>
            <w:tcW w:w="1378" w:type="dxa"/>
            <w:tcBorders>
              <w:top w:val="single" w:sz="4" w:space="0" w:color="auto"/>
              <w:bottom w:val="single" w:sz="4" w:space="0" w:color="auto"/>
            </w:tcBorders>
          </w:tcPr>
          <w:p w14:paraId="1E9CDF38" w14:textId="21D38368" w:rsidR="0075264E" w:rsidRPr="002F16E6" w:rsidDel="00A04964" w:rsidRDefault="0075264E" w:rsidP="00DB10C8">
            <w:pPr>
              <w:pStyle w:val="TableText"/>
              <w:spacing w:before="40" w:after="40"/>
              <w:rPr>
                <w:b/>
                <w:szCs w:val="18"/>
              </w:rPr>
            </w:pPr>
            <w:r w:rsidRPr="002F16E6">
              <w:rPr>
                <w:szCs w:val="18"/>
              </w:rPr>
              <w:t xml:space="preserve">Leigh-Smith et al. </w:t>
            </w:r>
            <w:r>
              <w:rPr>
                <w:szCs w:val="18"/>
              </w:rPr>
              <w:t>(2018)</w:t>
            </w:r>
          </w:p>
        </w:tc>
      </w:tr>
      <w:tr w:rsidR="0075264E" w:rsidRPr="00025E77" w14:paraId="706A77BE" w14:textId="77777777" w:rsidTr="002468C2">
        <w:trPr>
          <w:cantSplit/>
        </w:trPr>
        <w:tc>
          <w:tcPr>
            <w:tcW w:w="1711" w:type="dxa"/>
            <w:tcBorders>
              <w:top w:val="single" w:sz="4" w:space="0" w:color="auto"/>
              <w:bottom w:val="single" w:sz="4" w:space="0" w:color="auto"/>
            </w:tcBorders>
          </w:tcPr>
          <w:p w14:paraId="669A372C" w14:textId="43A62088" w:rsidR="0075264E" w:rsidRPr="002F16E6" w:rsidDel="002D18F7" w:rsidRDefault="0075264E" w:rsidP="00DB10C8">
            <w:pPr>
              <w:pStyle w:val="TableText"/>
              <w:spacing w:before="40" w:after="40"/>
              <w:rPr>
                <w:szCs w:val="18"/>
              </w:rPr>
            </w:pPr>
            <w:r w:rsidRPr="002F16E6">
              <w:rPr>
                <w:szCs w:val="18"/>
              </w:rPr>
              <w:t>Cnidaria</w:t>
            </w:r>
            <w:r>
              <w:rPr>
                <w:szCs w:val="18"/>
              </w:rPr>
              <w:t xml:space="preserve"> (coral)</w:t>
            </w:r>
          </w:p>
        </w:tc>
        <w:tc>
          <w:tcPr>
            <w:tcW w:w="1564" w:type="dxa"/>
            <w:tcBorders>
              <w:top w:val="single" w:sz="4" w:space="0" w:color="auto"/>
              <w:bottom w:val="single" w:sz="4" w:space="0" w:color="auto"/>
            </w:tcBorders>
          </w:tcPr>
          <w:p w14:paraId="45437511" w14:textId="573ACBBC" w:rsidR="0075264E" w:rsidRPr="002F16E6" w:rsidRDefault="0075264E" w:rsidP="00DB10C8">
            <w:pPr>
              <w:pStyle w:val="TableText"/>
              <w:spacing w:before="40" w:after="40"/>
              <w:rPr>
                <w:rStyle w:val="Emphasis"/>
                <w:szCs w:val="18"/>
              </w:rPr>
            </w:pPr>
            <w:r w:rsidRPr="002F16E6">
              <w:rPr>
                <w:rStyle w:val="Emphasis"/>
                <w:szCs w:val="18"/>
              </w:rPr>
              <w:t>Acropora spathulata</w:t>
            </w:r>
          </w:p>
        </w:tc>
        <w:tc>
          <w:tcPr>
            <w:tcW w:w="1450" w:type="dxa"/>
            <w:tcBorders>
              <w:top w:val="single" w:sz="4" w:space="0" w:color="auto"/>
              <w:bottom w:val="single" w:sz="4" w:space="0" w:color="auto"/>
            </w:tcBorders>
          </w:tcPr>
          <w:p w14:paraId="47EEDE19" w14:textId="4A64F95C" w:rsidR="0075264E" w:rsidRPr="002F16E6" w:rsidRDefault="0075264E" w:rsidP="00DB10C8">
            <w:pPr>
              <w:pStyle w:val="TableText"/>
              <w:spacing w:before="40" w:after="40"/>
              <w:rPr>
                <w:szCs w:val="18"/>
              </w:rPr>
            </w:pPr>
            <w:r w:rsidRPr="00EC3C0B">
              <w:rPr>
                <w:szCs w:val="18"/>
              </w:rPr>
              <w:t>Gametes</w:t>
            </w:r>
          </w:p>
        </w:tc>
        <w:tc>
          <w:tcPr>
            <w:tcW w:w="975" w:type="dxa"/>
            <w:tcBorders>
              <w:top w:val="single" w:sz="4" w:space="0" w:color="auto"/>
              <w:bottom w:val="single" w:sz="4" w:space="0" w:color="auto"/>
            </w:tcBorders>
          </w:tcPr>
          <w:p w14:paraId="31CB4584" w14:textId="1EBF0A54" w:rsidR="0075264E" w:rsidRPr="002F16E6" w:rsidRDefault="0075264E" w:rsidP="00DB10C8">
            <w:pPr>
              <w:pStyle w:val="TableText"/>
              <w:spacing w:before="40" w:after="40"/>
              <w:rPr>
                <w:szCs w:val="18"/>
              </w:rPr>
            </w:pPr>
            <w:r w:rsidRPr="00EC3C0B">
              <w:rPr>
                <w:szCs w:val="18"/>
              </w:rPr>
              <w:t>5.5</w:t>
            </w:r>
          </w:p>
        </w:tc>
        <w:tc>
          <w:tcPr>
            <w:tcW w:w="828" w:type="dxa"/>
            <w:tcBorders>
              <w:top w:val="single" w:sz="4" w:space="0" w:color="auto"/>
              <w:bottom w:val="single" w:sz="4" w:space="0" w:color="auto"/>
            </w:tcBorders>
          </w:tcPr>
          <w:p w14:paraId="5E36AA06" w14:textId="21FBEC12" w:rsidR="0075264E" w:rsidRPr="002F16E6" w:rsidRDefault="0075264E" w:rsidP="00DB10C8">
            <w:pPr>
              <w:pStyle w:val="TableText"/>
              <w:spacing w:before="40" w:after="40"/>
              <w:rPr>
                <w:szCs w:val="18"/>
              </w:rPr>
            </w:pPr>
            <w:r w:rsidRPr="00EC3C0B">
              <w:rPr>
                <w:szCs w:val="18"/>
              </w:rPr>
              <w:t>Chronic</w:t>
            </w:r>
          </w:p>
        </w:tc>
        <w:tc>
          <w:tcPr>
            <w:tcW w:w="1406" w:type="dxa"/>
            <w:tcBorders>
              <w:top w:val="single" w:sz="4" w:space="0" w:color="auto"/>
              <w:bottom w:val="single" w:sz="4" w:space="0" w:color="auto"/>
            </w:tcBorders>
          </w:tcPr>
          <w:p w14:paraId="7225968C" w14:textId="589C20D1" w:rsidR="0075264E" w:rsidRPr="002F16E6" w:rsidRDefault="0075264E" w:rsidP="00DB10C8">
            <w:pPr>
              <w:pStyle w:val="TableText"/>
              <w:spacing w:before="40" w:after="40"/>
              <w:rPr>
                <w:szCs w:val="18"/>
              </w:rPr>
            </w:pPr>
            <w:r w:rsidRPr="00EC3C0B">
              <w:rPr>
                <w:szCs w:val="18"/>
              </w:rPr>
              <w:t>EC10</w:t>
            </w:r>
            <w:r>
              <w:rPr>
                <w:szCs w:val="18"/>
              </w:rPr>
              <w:t xml:space="preserve"> </w:t>
            </w:r>
            <w:r w:rsidRPr="00EC3C0B">
              <w:rPr>
                <w:szCs w:val="18"/>
              </w:rPr>
              <w:t>(</w:t>
            </w:r>
            <w:r>
              <w:rPr>
                <w:szCs w:val="18"/>
              </w:rPr>
              <w:t>f</w:t>
            </w:r>
            <w:r w:rsidRPr="00EC3C0B">
              <w:rPr>
                <w:szCs w:val="18"/>
              </w:rPr>
              <w:t>ertilisation)</w:t>
            </w:r>
          </w:p>
        </w:tc>
        <w:tc>
          <w:tcPr>
            <w:tcW w:w="1111" w:type="dxa"/>
            <w:tcBorders>
              <w:top w:val="single" w:sz="4" w:space="0" w:color="auto"/>
              <w:bottom w:val="single" w:sz="4" w:space="0" w:color="auto"/>
            </w:tcBorders>
          </w:tcPr>
          <w:p w14:paraId="270D680E" w14:textId="78A3C731" w:rsidR="0075264E" w:rsidRPr="002F16E6" w:rsidRDefault="0075264E" w:rsidP="00DB10C8">
            <w:pPr>
              <w:pStyle w:val="TableText"/>
              <w:spacing w:before="40" w:after="40"/>
              <w:rPr>
                <w:szCs w:val="18"/>
              </w:rPr>
            </w:pPr>
            <w:r w:rsidRPr="00EC3C0B">
              <w:rPr>
                <w:szCs w:val="18"/>
              </w:rPr>
              <w:t>Seawater</w:t>
            </w:r>
          </w:p>
        </w:tc>
        <w:tc>
          <w:tcPr>
            <w:tcW w:w="697" w:type="dxa"/>
            <w:tcBorders>
              <w:top w:val="single" w:sz="4" w:space="0" w:color="auto"/>
              <w:bottom w:val="single" w:sz="4" w:space="0" w:color="auto"/>
            </w:tcBorders>
          </w:tcPr>
          <w:p w14:paraId="485DA9D7" w14:textId="3E1D97C4" w:rsidR="0075264E" w:rsidRPr="002F16E6" w:rsidRDefault="0075264E" w:rsidP="00DB10C8">
            <w:pPr>
              <w:pStyle w:val="TableText"/>
              <w:spacing w:before="40" w:after="40"/>
              <w:rPr>
                <w:szCs w:val="18"/>
              </w:rPr>
            </w:pPr>
            <w:r w:rsidRPr="00EC3C0B">
              <w:rPr>
                <w:szCs w:val="18"/>
              </w:rPr>
              <w:t>24–25</w:t>
            </w:r>
          </w:p>
        </w:tc>
        <w:tc>
          <w:tcPr>
            <w:tcW w:w="833" w:type="dxa"/>
            <w:tcBorders>
              <w:top w:val="single" w:sz="4" w:space="0" w:color="auto"/>
              <w:bottom w:val="single" w:sz="4" w:space="0" w:color="auto"/>
            </w:tcBorders>
          </w:tcPr>
          <w:p w14:paraId="4C498541" w14:textId="10540283" w:rsidR="0075264E" w:rsidRPr="002F16E6" w:rsidRDefault="0075264E" w:rsidP="00DB10C8">
            <w:pPr>
              <w:pStyle w:val="TableText"/>
              <w:spacing w:before="40" w:after="40"/>
              <w:rPr>
                <w:szCs w:val="18"/>
              </w:rPr>
            </w:pPr>
            <w:r w:rsidRPr="00EC3C0B">
              <w:rPr>
                <w:szCs w:val="18"/>
              </w:rPr>
              <w:t>37–39</w:t>
            </w:r>
            <w:r w:rsidRPr="00296509">
              <w:rPr>
                <w:rStyle w:val="Strong"/>
                <w:b w:val="0"/>
                <w:bCs w:val="0"/>
                <w:szCs w:val="18"/>
                <w:vertAlign w:val="superscript"/>
              </w:rPr>
              <w:t>b</w:t>
            </w:r>
          </w:p>
        </w:tc>
        <w:tc>
          <w:tcPr>
            <w:tcW w:w="765" w:type="dxa"/>
            <w:tcBorders>
              <w:top w:val="single" w:sz="4" w:space="0" w:color="auto"/>
              <w:bottom w:val="single" w:sz="4" w:space="0" w:color="auto"/>
            </w:tcBorders>
          </w:tcPr>
          <w:p w14:paraId="3B89FAE3" w14:textId="01F119EF" w:rsidR="0075264E" w:rsidRPr="002F16E6" w:rsidRDefault="0075264E" w:rsidP="00DB10C8">
            <w:pPr>
              <w:pStyle w:val="TableText"/>
              <w:spacing w:before="40" w:after="40"/>
              <w:rPr>
                <w:szCs w:val="18"/>
              </w:rPr>
            </w:pPr>
            <w:r w:rsidRPr="00EC3C0B">
              <w:rPr>
                <w:szCs w:val="18"/>
              </w:rPr>
              <w:t>7.9–8.5</w:t>
            </w:r>
          </w:p>
        </w:tc>
        <w:tc>
          <w:tcPr>
            <w:tcW w:w="1276" w:type="dxa"/>
            <w:tcBorders>
              <w:top w:val="single" w:sz="4" w:space="0" w:color="auto"/>
              <w:bottom w:val="single" w:sz="4" w:space="0" w:color="auto"/>
            </w:tcBorders>
          </w:tcPr>
          <w:p w14:paraId="376A9C00" w14:textId="197C9E19" w:rsidR="0075264E" w:rsidRDefault="0075264E" w:rsidP="00DB10C8">
            <w:pPr>
              <w:pStyle w:val="TableText"/>
              <w:spacing w:before="40" w:after="40"/>
              <w:ind w:right="284"/>
              <w:jc w:val="right"/>
              <w:rPr>
                <w:b/>
                <w:szCs w:val="18"/>
              </w:rPr>
            </w:pPr>
            <w:r w:rsidRPr="00EC3C0B">
              <w:rPr>
                <w:szCs w:val="18"/>
              </w:rPr>
              <w:t>21</w:t>
            </w:r>
            <w:r w:rsidRPr="00B603D1">
              <w:rPr>
                <w:bCs/>
                <w:szCs w:val="18"/>
              </w:rPr>
              <w:t>,</w:t>
            </w:r>
            <w:r w:rsidRPr="00EC3C0B">
              <w:rPr>
                <w:szCs w:val="18"/>
              </w:rPr>
              <w:t>000</w:t>
            </w:r>
          </w:p>
        </w:tc>
        <w:tc>
          <w:tcPr>
            <w:tcW w:w="1378" w:type="dxa"/>
            <w:tcBorders>
              <w:top w:val="single" w:sz="4" w:space="0" w:color="auto"/>
              <w:bottom w:val="single" w:sz="4" w:space="0" w:color="auto"/>
            </w:tcBorders>
          </w:tcPr>
          <w:p w14:paraId="0FEF750F" w14:textId="5CC9E85E" w:rsidR="0075264E" w:rsidRPr="002F16E6" w:rsidDel="00A04964" w:rsidRDefault="0075264E" w:rsidP="00DB10C8">
            <w:pPr>
              <w:pStyle w:val="TableText"/>
              <w:spacing w:before="40" w:after="40"/>
              <w:rPr>
                <w:b/>
                <w:szCs w:val="18"/>
              </w:rPr>
            </w:pPr>
            <w:r w:rsidRPr="00EC3C0B">
              <w:rPr>
                <w:szCs w:val="18"/>
              </w:rPr>
              <w:t>Leigh-Smith et al. (2018)</w:t>
            </w:r>
          </w:p>
        </w:tc>
      </w:tr>
      <w:tr w:rsidR="0075264E" w:rsidRPr="00025E77" w14:paraId="4B1B4B31" w14:textId="77777777" w:rsidTr="002468C2">
        <w:trPr>
          <w:cantSplit/>
        </w:trPr>
        <w:tc>
          <w:tcPr>
            <w:tcW w:w="1711" w:type="dxa"/>
            <w:tcBorders>
              <w:top w:val="single" w:sz="4" w:space="0" w:color="auto"/>
              <w:bottom w:val="single" w:sz="4" w:space="0" w:color="auto"/>
            </w:tcBorders>
          </w:tcPr>
          <w:p w14:paraId="0552D342" w14:textId="6E9FC85A" w:rsidR="0075264E" w:rsidRPr="002F16E6" w:rsidDel="002D18F7" w:rsidRDefault="0075264E" w:rsidP="00DB10C8">
            <w:pPr>
              <w:pStyle w:val="TableText"/>
              <w:spacing w:before="40" w:after="40"/>
              <w:rPr>
                <w:szCs w:val="18"/>
              </w:rPr>
            </w:pPr>
            <w:r w:rsidRPr="002F16E6">
              <w:rPr>
                <w:szCs w:val="18"/>
              </w:rPr>
              <w:t>Cnidaria</w:t>
            </w:r>
            <w:r>
              <w:rPr>
                <w:szCs w:val="18"/>
              </w:rPr>
              <w:t xml:space="preserve"> (coral)</w:t>
            </w:r>
          </w:p>
        </w:tc>
        <w:tc>
          <w:tcPr>
            <w:tcW w:w="1564" w:type="dxa"/>
            <w:tcBorders>
              <w:top w:val="single" w:sz="4" w:space="0" w:color="auto"/>
              <w:bottom w:val="single" w:sz="4" w:space="0" w:color="auto"/>
            </w:tcBorders>
          </w:tcPr>
          <w:p w14:paraId="557F3FA6" w14:textId="43B5558D" w:rsidR="0075264E" w:rsidRPr="002F16E6" w:rsidRDefault="0075264E" w:rsidP="00DB10C8">
            <w:pPr>
              <w:pStyle w:val="TableText"/>
              <w:spacing w:before="40" w:after="40"/>
              <w:rPr>
                <w:rStyle w:val="Emphasis"/>
                <w:szCs w:val="18"/>
              </w:rPr>
            </w:pPr>
            <w:r w:rsidRPr="002F16E6">
              <w:rPr>
                <w:rStyle w:val="Emphasis"/>
                <w:szCs w:val="18"/>
              </w:rPr>
              <w:t>Platygyra daedalea</w:t>
            </w:r>
          </w:p>
        </w:tc>
        <w:tc>
          <w:tcPr>
            <w:tcW w:w="1450" w:type="dxa"/>
            <w:tcBorders>
              <w:top w:val="single" w:sz="4" w:space="0" w:color="auto"/>
              <w:bottom w:val="single" w:sz="4" w:space="0" w:color="auto"/>
            </w:tcBorders>
          </w:tcPr>
          <w:p w14:paraId="0DB9B7BF" w14:textId="1E9FE102" w:rsidR="0075264E" w:rsidRPr="002F16E6" w:rsidRDefault="0075264E" w:rsidP="00DB10C8">
            <w:pPr>
              <w:pStyle w:val="TableText"/>
              <w:spacing w:before="40" w:after="40"/>
              <w:rPr>
                <w:szCs w:val="18"/>
              </w:rPr>
            </w:pPr>
            <w:r w:rsidRPr="002F16E6">
              <w:rPr>
                <w:szCs w:val="18"/>
              </w:rPr>
              <w:t>Gametes</w:t>
            </w:r>
          </w:p>
        </w:tc>
        <w:tc>
          <w:tcPr>
            <w:tcW w:w="975" w:type="dxa"/>
            <w:tcBorders>
              <w:top w:val="single" w:sz="4" w:space="0" w:color="auto"/>
              <w:bottom w:val="single" w:sz="4" w:space="0" w:color="auto"/>
            </w:tcBorders>
          </w:tcPr>
          <w:p w14:paraId="28CAD834" w14:textId="7687DAF2" w:rsidR="0075264E" w:rsidRPr="002F16E6" w:rsidRDefault="0075264E" w:rsidP="00DB10C8">
            <w:pPr>
              <w:pStyle w:val="TableText"/>
              <w:spacing w:before="40" w:after="40"/>
              <w:rPr>
                <w:szCs w:val="18"/>
              </w:rPr>
            </w:pPr>
            <w:r w:rsidRPr="002F16E6">
              <w:rPr>
                <w:szCs w:val="18"/>
              </w:rPr>
              <w:t>5.5</w:t>
            </w:r>
          </w:p>
        </w:tc>
        <w:tc>
          <w:tcPr>
            <w:tcW w:w="828" w:type="dxa"/>
            <w:tcBorders>
              <w:top w:val="single" w:sz="4" w:space="0" w:color="auto"/>
              <w:bottom w:val="single" w:sz="4" w:space="0" w:color="auto"/>
            </w:tcBorders>
          </w:tcPr>
          <w:p w14:paraId="08D5171D" w14:textId="54E77238" w:rsidR="0075264E" w:rsidRPr="002F16E6" w:rsidRDefault="0075264E" w:rsidP="00DB10C8">
            <w:pPr>
              <w:pStyle w:val="TableText"/>
              <w:spacing w:before="40" w:after="40"/>
              <w:rPr>
                <w:szCs w:val="18"/>
              </w:rPr>
            </w:pPr>
            <w:r w:rsidRPr="002F16E6">
              <w:rPr>
                <w:szCs w:val="18"/>
              </w:rPr>
              <w:t>Chronic</w:t>
            </w:r>
          </w:p>
        </w:tc>
        <w:tc>
          <w:tcPr>
            <w:tcW w:w="1406" w:type="dxa"/>
            <w:tcBorders>
              <w:top w:val="single" w:sz="4" w:space="0" w:color="auto"/>
              <w:bottom w:val="single" w:sz="4" w:space="0" w:color="auto"/>
            </w:tcBorders>
          </w:tcPr>
          <w:p w14:paraId="71E46D4D" w14:textId="4E15B55F" w:rsidR="0075264E" w:rsidRPr="002F16E6" w:rsidRDefault="0075264E" w:rsidP="00DB10C8">
            <w:pPr>
              <w:pStyle w:val="TableText"/>
              <w:spacing w:before="40" w:after="40"/>
              <w:rPr>
                <w:szCs w:val="18"/>
              </w:rPr>
            </w:pPr>
            <w:r w:rsidRPr="002F16E6">
              <w:rPr>
                <w:szCs w:val="18"/>
              </w:rPr>
              <w:t>NOEC</w:t>
            </w:r>
            <w:r>
              <w:rPr>
                <w:szCs w:val="18"/>
              </w:rPr>
              <w:t xml:space="preserve"> </w:t>
            </w:r>
            <w:r w:rsidRPr="002F16E6">
              <w:rPr>
                <w:szCs w:val="18"/>
              </w:rPr>
              <w:t>(</w:t>
            </w:r>
            <w:r>
              <w:rPr>
                <w:szCs w:val="18"/>
              </w:rPr>
              <w:t>f</w:t>
            </w:r>
            <w:r w:rsidRPr="002F16E6">
              <w:rPr>
                <w:szCs w:val="18"/>
              </w:rPr>
              <w:t>ertilisation)</w:t>
            </w:r>
          </w:p>
        </w:tc>
        <w:tc>
          <w:tcPr>
            <w:tcW w:w="1111" w:type="dxa"/>
            <w:tcBorders>
              <w:top w:val="single" w:sz="4" w:space="0" w:color="auto"/>
              <w:bottom w:val="single" w:sz="4" w:space="0" w:color="auto"/>
            </w:tcBorders>
          </w:tcPr>
          <w:p w14:paraId="634224E5" w14:textId="31DBCDFC" w:rsidR="0075264E" w:rsidRPr="002F16E6" w:rsidRDefault="0075264E" w:rsidP="00DB10C8">
            <w:pPr>
              <w:pStyle w:val="TableText"/>
              <w:spacing w:before="40" w:after="40"/>
              <w:rPr>
                <w:szCs w:val="18"/>
              </w:rPr>
            </w:pPr>
            <w:r w:rsidRPr="002F16E6">
              <w:rPr>
                <w:szCs w:val="18"/>
              </w:rPr>
              <w:t>Seawater</w:t>
            </w:r>
          </w:p>
        </w:tc>
        <w:tc>
          <w:tcPr>
            <w:tcW w:w="697" w:type="dxa"/>
            <w:tcBorders>
              <w:top w:val="single" w:sz="4" w:space="0" w:color="auto"/>
              <w:bottom w:val="single" w:sz="4" w:space="0" w:color="auto"/>
            </w:tcBorders>
          </w:tcPr>
          <w:p w14:paraId="7B8E640B" w14:textId="587A1988" w:rsidR="0075264E" w:rsidRPr="002F16E6" w:rsidRDefault="0075264E" w:rsidP="00DB10C8">
            <w:pPr>
              <w:pStyle w:val="TableText"/>
              <w:spacing w:before="40" w:after="40"/>
              <w:rPr>
                <w:szCs w:val="18"/>
              </w:rPr>
            </w:pPr>
            <w:r w:rsidRPr="002F16E6">
              <w:rPr>
                <w:szCs w:val="18"/>
              </w:rPr>
              <w:t>24–25</w:t>
            </w:r>
          </w:p>
        </w:tc>
        <w:tc>
          <w:tcPr>
            <w:tcW w:w="833" w:type="dxa"/>
            <w:tcBorders>
              <w:top w:val="single" w:sz="4" w:space="0" w:color="auto"/>
              <w:bottom w:val="single" w:sz="4" w:space="0" w:color="auto"/>
            </w:tcBorders>
          </w:tcPr>
          <w:p w14:paraId="20A0E7B1" w14:textId="5F326034" w:rsidR="0075264E" w:rsidRPr="002F16E6" w:rsidRDefault="0075264E" w:rsidP="00DB10C8">
            <w:pPr>
              <w:pStyle w:val="TableText"/>
              <w:spacing w:before="40" w:after="40"/>
              <w:rPr>
                <w:szCs w:val="18"/>
              </w:rPr>
            </w:pPr>
            <w:r w:rsidRPr="002F16E6">
              <w:rPr>
                <w:szCs w:val="18"/>
              </w:rPr>
              <w:t>37–39</w:t>
            </w:r>
            <w:r w:rsidRPr="0041611B">
              <w:rPr>
                <w:rStyle w:val="Strong"/>
                <w:b w:val="0"/>
                <w:bCs w:val="0"/>
                <w:szCs w:val="18"/>
                <w:vertAlign w:val="superscript"/>
              </w:rPr>
              <w:t>b</w:t>
            </w:r>
          </w:p>
        </w:tc>
        <w:tc>
          <w:tcPr>
            <w:tcW w:w="765" w:type="dxa"/>
            <w:tcBorders>
              <w:top w:val="single" w:sz="4" w:space="0" w:color="auto"/>
              <w:bottom w:val="single" w:sz="4" w:space="0" w:color="auto"/>
            </w:tcBorders>
          </w:tcPr>
          <w:p w14:paraId="57E54824" w14:textId="2AA19704" w:rsidR="0075264E" w:rsidRPr="002F16E6" w:rsidRDefault="0075264E" w:rsidP="00DB10C8">
            <w:pPr>
              <w:pStyle w:val="TableText"/>
              <w:spacing w:before="40" w:after="40"/>
              <w:rPr>
                <w:szCs w:val="18"/>
              </w:rPr>
            </w:pPr>
            <w:r w:rsidRPr="002F16E6">
              <w:rPr>
                <w:szCs w:val="18"/>
              </w:rPr>
              <w:t>7.9–8.5</w:t>
            </w:r>
          </w:p>
        </w:tc>
        <w:tc>
          <w:tcPr>
            <w:tcW w:w="1276" w:type="dxa"/>
            <w:tcBorders>
              <w:top w:val="single" w:sz="4" w:space="0" w:color="auto"/>
              <w:bottom w:val="single" w:sz="4" w:space="0" w:color="auto"/>
            </w:tcBorders>
          </w:tcPr>
          <w:p w14:paraId="120D7AED" w14:textId="142B2C0E" w:rsidR="0075264E" w:rsidRDefault="0075264E" w:rsidP="00DB10C8">
            <w:pPr>
              <w:pStyle w:val="TableText"/>
              <w:spacing w:before="40" w:after="40"/>
              <w:ind w:right="284"/>
              <w:jc w:val="right"/>
              <w:rPr>
                <w:b/>
                <w:szCs w:val="18"/>
              </w:rPr>
            </w:pPr>
            <w:r w:rsidRPr="002F16E6">
              <w:rPr>
                <w:szCs w:val="18"/>
              </w:rPr>
              <w:t>2</w:t>
            </w:r>
            <w:r w:rsidRPr="00B603D1">
              <w:rPr>
                <w:bCs/>
                <w:szCs w:val="18"/>
              </w:rPr>
              <w:t>,</w:t>
            </w:r>
            <w:r w:rsidRPr="002F16E6">
              <w:rPr>
                <w:szCs w:val="18"/>
              </w:rPr>
              <w:t>750</w:t>
            </w:r>
          </w:p>
        </w:tc>
        <w:tc>
          <w:tcPr>
            <w:tcW w:w="1378" w:type="dxa"/>
            <w:tcBorders>
              <w:top w:val="single" w:sz="4" w:space="0" w:color="auto"/>
              <w:bottom w:val="single" w:sz="4" w:space="0" w:color="auto"/>
            </w:tcBorders>
          </w:tcPr>
          <w:p w14:paraId="2A319484" w14:textId="5745C005" w:rsidR="0075264E" w:rsidRPr="002F16E6" w:rsidDel="00A04964" w:rsidRDefault="0075264E" w:rsidP="00DB10C8">
            <w:pPr>
              <w:pStyle w:val="TableText"/>
              <w:spacing w:before="40" w:after="40"/>
              <w:rPr>
                <w:b/>
                <w:szCs w:val="18"/>
              </w:rPr>
            </w:pPr>
            <w:r w:rsidRPr="002F16E6">
              <w:rPr>
                <w:szCs w:val="18"/>
              </w:rPr>
              <w:t>Leigh-Smith et al. (2018)</w:t>
            </w:r>
          </w:p>
        </w:tc>
      </w:tr>
      <w:tr w:rsidR="0075264E" w:rsidRPr="00025E77" w14:paraId="6DEB0B4E" w14:textId="77777777" w:rsidTr="002468C2">
        <w:trPr>
          <w:cantSplit/>
        </w:trPr>
        <w:tc>
          <w:tcPr>
            <w:tcW w:w="1711" w:type="dxa"/>
            <w:tcBorders>
              <w:top w:val="single" w:sz="4" w:space="0" w:color="auto"/>
              <w:bottom w:val="single" w:sz="4" w:space="0" w:color="auto"/>
            </w:tcBorders>
          </w:tcPr>
          <w:p w14:paraId="17EC7CE0" w14:textId="7CC18352" w:rsidR="0075264E" w:rsidRPr="00146699" w:rsidRDefault="0075264E" w:rsidP="00DB10C8">
            <w:pPr>
              <w:pStyle w:val="TableText"/>
              <w:spacing w:before="40" w:after="40"/>
              <w:rPr>
                <w:szCs w:val="18"/>
              </w:rPr>
            </w:pPr>
            <w:r w:rsidRPr="00146699">
              <w:rPr>
                <w:szCs w:val="18"/>
              </w:rPr>
              <w:t>Echinoderm</w:t>
            </w:r>
            <w:r>
              <w:rPr>
                <w:szCs w:val="18"/>
              </w:rPr>
              <w:t xml:space="preserve"> </w:t>
            </w:r>
            <w:r w:rsidRPr="00146699">
              <w:rPr>
                <w:szCs w:val="18"/>
              </w:rPr>
              <w:t>(</w:t>
            </w:r>
            <w:r>
              <w:rPr>
                <w:szCs w:val="18"/>
              </w:rPr>
              <w:t>s</w:t>
            </w:r>
            <w:r w:rsidRPr="00146699">
              <w:rPr>
                <w:szCs w:val="18"/>
              </w:rPr>
              <w:t>ea urchin)</w:t>
            </w:r>
          </w:p>
        </w:tc>
        <w:tc>
          <w:tcPr>
            <w:tcW w:w="1564" w:type="dxa"/>
            <w:tcBorders>
              <w:top w:val="single" w:sz="4" w:space="0" w:color="auto"/>
              <w:bottom w:val="single" w:sz="4" w:space="0" w:color="auto"/>
            </w:tcBorders>
          </w:tcPr>
          <w:p w14:paraId="667F562B" w14:textId="59355923" w:rsidR="0075264E" w:rsidRPr="00146699" w:rsidRDefault="0075264E" w:rsidP="00DB10C8">
            <w:pPr>
              <w:pStyle w:val="TableText"/>
              <w:spacing w:before="40" w:after="40"/>
              <w:rPr>
                <w:rStyle w:val="Emphasis"/>
                <w:szCs w:val="18"/>
              </w:rPr>
            </w:pPr>
            <w:r w:rsidRPr="00146699">
              <w:rPr>
                <w:rStyle w:val="Emphasis"/>
                <w:szCs w:val="18"/>
              </w:rPr>
              <w:t>Heliocidaris tuberculata</w:t>
            </w:r>
          </w:p>
        </w:tc>
        <w:tc>
          <w:tcPr>
            <w:tcW w:w="1450" w:type="dxa"/>
            <w:tcBorders>
              <w:top w:val="single" w:sz="4" w:space="0" w:color="auto"/>
              <w:bottom w:val="single" w:sz="4" w:space="0" w:color="auto"/>
            </w:tcBorders>
          </w:tcPr>
          <w:p w14:paraId="3E19A3AF" w14:textId="6EA96F20" w:rsidR="0075264E" w:rsidRPr="00146699" w:rsidRDefault="0075264E" w:rsidP="00DB10C8">
            <w:pPr>
              <w:pStyle w:val="TableText"/>
              <w:spacing w:before="40" w:after="40"/>
              <w:rPr>
                <w:szCs w:val="18"/>
              </w:rPr>
            </w:pPr>
            <w:r w:rsidRPr="00146699">
              <w:rPr>
                <w:szCs w:val="18"/>
              </w:rPr>
              <w:t>Embryo/larva</w:t>
            </w:r>
          </w:p>
        </w:tc>
        <w:tc>
          <w:tcPr>
            <w:tcW w:w="975" w:type="dxa"/>
            <w:tcBorders>
              <w:top w:val="single" w:sz="4" w:space="0" w:color="auto"/>
              <w:bottom w:val="single" w:sz="4" w:space="0" w:color="auto"/>
            </w:tcBorders>
          </w:tcPr>
          <w:p w14:paraId="78A95846" w14:textId="75190F8A" w:rsidR="0075264E" w:rsidRPr="00146699" w:rsidRDefault="0075264E" w:rsidP="00DB10C8">
            <w:pPr>
              <w:pStyle w:val="TableText"/>
              <w:spacing w:before="40" w:after="40"/>
              <w:rPr>
                <w:szCs w:val="18"/>
              </w:rPr>
            </w:pPr>
            <w:r w:rsidRPr="00146699">
              <w:rPr>
                <w:szCs w:val="18"/>
              </w:rPr>
              <w:t>72</w:t>
            </w:r>
          </w:p>
        </w:tc>
        <w:tc>
          <w:tcPr>
            <w:tcW w:w="828" w:type="dxa"/>
            <w:tcBorders>
              <w:top w:val="single" w:sz="4" w:space="0" w:color="auto"/>
              <w:bottom w:val="single" w:sz="4" w:space="0" w:color="auto"/>
            </w:tcBorders>
          </w:tcPr>
          <w:p w14:paraId="13AC5E42" w14:textId="5D761725" w:rsidR="0075264E" w:rsidRPr="00146699" w:rsidRDefault="0075264E" w:rsidP="00DB10C8">
            <w:pPr>
              <w:pStyle w:val="TableText"/>
              <w:spacing w:before="40" w:after="40"/>
              <w:rPr>
                <w:szCs w:val="18"/>
              </w:rPr>
            </w:pPr>
            <w:r w:rsidRPr="00146699">
              <w:rPr>
                <w:szCs w:val="18"/>
              </w:rPr>
              <w:t>Chronic</w:t>
            </w:r>
          </w:p>
        </w:tc>
        <w:tc>
          <w:tcPr>
            <w:tcW w:w="1406" w:type="dxa"/>
            <w:tcBorders>
              <w:top w:val="single" w:sz="4" w:space="0" w:color="auto"/>
              <w:bottom w:val="single" w:sz="4" w:space="0" w:color="auto"/>
            </w:tcBorders>
          </w:tcPr>
          <w:p w14:paraId="56A8C1F2" w14:textId="26D7CC63" w:rsidR="0075264E" w:rsidRPr="00146699" w:rsidRDefault="0075264E" w:rsidP="00DB10C8">
            <w:pPr>
              <w:pStyle w:val="TableText"/>
              <w:spacing w:before="40" w:after="40"/>
              <w:rPr>
                <w:szCs w:val="18"/>
              </w:rPr>
            </w:pPr>
            <w:r w:rsidRPr="00146699">
              <w:rPr>
                <w:szCs w:val="18"/>
              </w:rPr>
              <w:t>NOEC (</w:t>
            </w:r>
            <w:r>
              <w:rPr>
                <w:szCs w:val="18"/>
              </w:rPr>
              <w:t>l</w:t>
            </w:r>
            <w:r w:rsidRPr="00146699">
              <w:rPr>
                <w:szCs w:val="18"/>
              </w:rPr>
              <w:t>arval development)</w:t>
            </w:r>
          </w:p>
        </w:tc>
        <w:tc>
          <w:tcPr>
            <w:tcW w:w="1111" w:type="dxa"/>
            <w:tcBorders>
              <w:top w:val="single" w:sz="4" w:space="0" w:color="auto"/>
              <w:bottom w:val="single" w:sz="4" w:space="0" w:color="auto"/>
            </w:tcBorders>
          </w:tcPr>
          <w:p w14:paraId="2325550E" w14:textId="3B375085" w:rsidR="0075264E" w:rsidRPr="00146699" w:rsidRDefault="0075264E" w:rsidP="00DB10C8">
            <w:pPr>
              <w:pStyle w:val="TableText"/>
              <w:spacing w:before="40" w:after="40"/>
              <w:rPr>
                <w:szCs w:val="18"/>
              </w:rPr>
            </w:pPr>
            <w:r w:rsidRPr="00146699">
              <w:rPr>
                <w:szCs w:val="18"/>
              </w:rPr>
              <w:t>Filtered seawater</w:t>
            </w:r>
          </w:p>
        </w:tc>
        <w:tc>
          <w:tcPr>
            <w:tcW w:w="697" w:type="dxa"/>
            <w:tcBorders>
              <w:top w:val="single" w:sz="4" w:space="0" w:color="auto"/>
              <w:bottom w:val="single" w:sz="4" w:space="0" w:color="auto"/>
            </w:tcBorders>
          </w:tcPr>
          <w:p w14:paraId="6A3CC264" w14:textId="457D0740" w:rsidR="0075264E" w:rsidRPr="00146699" w:rsidRDefault="0075264E" w:rsidP="00DB10C8">
            <w:pPr>
              <w:pStyle w:val="TableText"/>
              <w:spacing w:before="40" w:after="40"/>
              <w:rPr>
                <w:szCs w:val="18"/>
              </w:rPr>
            </w:pPr>
            <w:r w:rsidRPr="00146699">
              <w:rPr>
                <w:szCs w:val="18"/>
              </w:rPr>
              <w:t>18</w:t>
            </w:r>
            <w:r w:rsidR="00C617A0">
              <w:rPr>
                <w:szCs w:val="18"/>
              </w:rPr>
              <w:t xml:space="preserve"> </w:t>
            </w:r>
            <w:r w:rsidRPr="00146699">
              <w:rPr>
                <w:szCs w:val="18"/>
              </w:rPr>
              <w:t>±</w:t>
            </w:r>
            <w:r w:rsidR="00C617A0">
              <w:rPr>
                <w:szCs w:val="18"/>
              </w:rPr>
              <w:t xml:space="preserve"> </w:t>
            </w:r>
            <w:r w:rsidRPr="00146699">
              <w:rPr>
                <w:szCs w:val="18"/>
              </w:rPr>
              <w:t>2</w:t>
            </w:r>
          </w:p>
        </w:tc>
        <w:tc>
          <w:tcPr>
            <w:tcW w:w="833" w:type="dxa"/>
            <w:tcBorders>
              <w:top w:val="single" w:sz="4" w:space="0" w:color="auto"/>
              <w:bottom w:val="single" w:sz="4" w:space="0" w:color="auto"/>
            </w:tcBorders>
          </w:tcPr>
          <w:p w14:paraId="37FA5B08" w14:textId="56E567DA" w:rsidR="0075264E" w:rsidRPr="00146699" w:rsidRDefault="0075264E" w:rsidP="00DB10C8">
            <w:pPr>
              <w:pStyle w:val="TableText"/>
              <w:spacing w:before="40" w:after="40"/>
              <w:rPr>
                <w:szCs w:val="18"/>
              </w:rPr>
            </w:pPr>
            <w:r w:rsidRPr="00146699">
              <w:rPr>
                <w:szCs w:val="18"/>
              </w:rPr>
              <w:t>34±2</w:t>
            </w:r>
          </w:p>
        </w:tc>
        <w:tc>
          <w:tcPr>
            <w:tcW w:w="765" w:type="dxa"/>
            <w:tcBorders>
              <w:top w:val="single" w:sz="4" w:space="0" w:color="auto"/>
              <w:bottom w:val="single" w:sz="4" w:space="0" w:color="auto"/>
            </w:tcBorders>
          </w:tcPr>
          <w:p w14:paraId="1A83208B" w14:textId="3FC8C583" w:rsidR="0075264E" w:rsidRPr="00146699" w:rsidRDefault="0075264E" w:rsidP="00DB10C8">
            <w:pPr>
              <w:pStyle w:val="TableText"/>
              <w:spacing w:before="40" w:after="40"/>
              <w:rPr>
                <w:szCs w:val="18"/>
              </w:rPr>
            </w:pPr>
            <w:r>
              <w:rPr>
                <w:szCs w:val="18"/>
              </w:rPr>
              <w:t>—</w:t>
            </w:r>
          </w:p>
        </w:tc>
        <w:tc>
          <w:tcPr>
            <w:tcW w:w="1276" w:type="dxa"/>
            <w:tcBorders>
              <w:top w:val="single" w:sz="4" w:space="0" w:color="auto"/>
              <w:bottom w:val="single" w:sz="4" w:space="0" w:color="auto"/>
            </w:tcBorders>
          </w:tcPr>
          <w:p w14:paraId="338437C8" w14:textId="144DFA60" w:rsidR="0075264E" w:rsidRPr="00146699" w:rsidRDefault="0075264E" w:rsidP="00DB10C8">
            <w:pPr>
              <w:pStyle w:val="TableText"/>
              <w:spacing w:before="40" w:after="40"/>
              <w:ind w:right="284"/>
              <w:jc w:val="right"/>
              <w:rPr>
                <w:szCs w:val="18"/>
              </w:rPr>
            </w:pPr>
            <w:r w:rsidRPr="00146699">
              <w:rPr>
                <w:szCs w:val="18"/>
              </w:rPr>
              <w:t>2</w:t>
            </w:r>
            <w:r w:rsidRPr="00DE5182">
              <w:rPr>
                <w:bCs/>
                <w:szCs w:val="18"/>
              </w:rPr>
              <w:t>,</w:t>
            </w:r>
            <w:r w:rsidRPr="00146699">
              <w:rPr>
                <w:szCs w:val="18"/>
              </w:rPr>
              <w:t>000</w:t>
            </w:r>
          </w:p>
        </w:tc>
        <w:tc>
          <w:tcPr>
            <w:tcW w:w="1378" w:type="dxa"/>
            <w:tcBorders>
              <w:top w:val="single" w:sz="4" w:space="0" w:color="auto"/>
              <w:bottom w:val="single" w:sz="4" w:space="0" w:color="auto"/>
            </w:tcBorders>
          </w:tcPr>
          <w:p w14:paraId="725CD1D7" w14:textId="2D1C0AE4" w:rsidR="0075264E" w:rsidRPr="002F16E6" w:rsidRDefault="0075264E" w:rsidP="00DB10C8">
            <w:pPr>
              <w:pStyle w:val="TableText"/>
              <w:spacing w:before="40" w:after="40"/>
              <w:rPr>
                <w:szCs w:val="18"/>
              </w:rPr>
            </w:pPr>
            <w:r w:rsidRPr="00146699">
              <w:rPr>
                <w:szCs w:val="18"/>
              </w:rPr>
              <w:t>Doyle (1999) as cited by Markich et al. (2002)</w:t>
            </w:r>
          </w:p>
        </w:tc>
      </w:tr>
      <w:tr w:rsidR="0075264E" w:rsidRPr="00191EC2" w14:paraId="015B640F" w14:textId="77777777" w:rsidTr="002468C2">
        <w:trPr>
          <w:cantSplit/>
        </w:trPr>
        <w:tc>
          <w:tcPr>
            <w:tcW w:w="1711" w:type="dxa"/>
            <w:tcBorders>
              <w:top w:val="single" w:sz="4" w:space="0" w:color="auto"/>
              <w:left w:val="nil"/>
              <w:bottom w:val="single" w:sz="4" w:space="0" w:color="auto"/>
              <w:right w:val="nil"/>
            </w:tcBorders>
          </w:tcPr>
          <w:p w14:paraId="768B7E17" w14:textId="12CCCB86" w:rsidR="0075264E" w:rsidRPr="00AE5DAC" w:rsidDel="009C0E7F" w:rsidRDefault="0075264E" w:rsidP="00DB10C8">
            <w:pPr>
              <w:pStyle w:val="TableText"/>
              <w:spacing w:before="40" w:after="40"/>
              <w:rPr>
                <w:rFonts w:cstheme="minorHAnsi"/>
                <w:szCs w:val="18"/>
              </w:rPr>
            </w:pPr>
            <w:r>
              <w:rPr>
                <w:rFonts w:cstheme="minorHAnsi"/>
                <w:szCs w:val="18"/>
              </w:rPr>
              <w:t>Mollusc (bivalve)</w:t>
            </w:r>
          </w:p>
        </w:tc>
        <w:tc>
          <w:tcPr>
            <w:tcW w:w="1564" w:type="dxa"/>
            <w:tcBorders>
              <w:top w:val="single" w:sz="4" w:space="0" w:color="auto"/>
              <w:left w:val="nil"/>
              <w:bottom w:val="single" w:sz="4" w:space="0" w:color="auto"/>
              <w:right w:val="nil"/>
            </w:tcBorders>
          </w:tcPr>
          <w:p w14:paraId="60712A65" w14:textId="377A8494" w:rsidR="0075264E" w:rsidRPr="00AE5DAC" w:rsidRDefault="0075264E" w:rsidP="00DB10C8">
            <w:pPr>
              <w:pStyle w:val="TableText"/>
              <w:spacing w:before="40" w:after="40"/>
              <w:rPr>
                <w:rFonts w:cstheme="minorHAnsi"/>
                <w:i/>
                <w:iCs/>
                <w:color w:val="000000"/>
                <w:szCs w:val="18"/>
              </w:rPr>
            </w:pPr>
            <w:r w:rsidRPr="00AE5DAC">
              <w:rPr>
                <w:rFonts w:cstheme="minorHAnsi"/>
                <w:i/>
                <w:iCs/>
                <w:color w:val="000000"/>
                <w:szCs w:val="18"/>
              </w:rPr>
              <w:t>Anadara trapezia</w:t>
            </w:r>
          </w:p>
        </w:tc>
        <w:tc>
          <w:tcPr>
            <w:tcW w:w="1450" w:type="dxa"/>
            <w:tcBorders>
              <w:top w:val="single" w:sz="4" w:space="0" w:color="auto"/>
              <w:left w:val="nil"/>
              <w:bottom w:val="single" w:sz="4" w:space="0" w:color="auto"/>
              <w:right w:val="nil"/>
            </w:tcBorders>
          </w:tcPr>
          <w:p w14:paraId="70745010" w14:textId="723CE0ED" w:rsidR="0075264E" w:rsidRPr="00AE5DAC" w:rsidRDefault="0075264E" w:rsidP="00DB10C8">
            <w:pPr>
              <w:pStyle w:val="TableText"/>
              <w:spacing w:before="40" w:after="40"/>
              <w:rPr>
                <w:rFonts w:cstheme="minorHAnsi"/>
                <w:szCs w:val="18"/>
              </w:rPr>
            </w:pPr>
            <w:r w:rsidRPr="00AE5DAC">
              <w:rPr>
                <w:rFonts w:cstheme="minorHAnsi"/>
                <w:szCs w:val="18"/>
              </w:rPr>
              <w:t>Embryo</w:t>
            </w:r>
          </w:p>
        </w:tc>
        <w:tc>
          <w:tcPr>
            <w:tcW w:w="975" w:type="dxa"/>
            <w:tcBorders>
              <w:top w:val="single" w:sz="4" w:space="0" w:color="auto"/>
              <w:left w:val="nil"/>
              <w:bottom w:val="single" w:sz="4" w:space="0" w:color="auto"/>
              <w:right w:val="nil"/>
            </w:tcBorders>
          </w:tcPr>
          <w:p w14:paraId="39305AD1" w14:textId="248DE906" w:rsidR="0075264E" w:rsidRDefault="0075264E" w:rsidP="00DB10C8">
            <w:pPr>
              <w:pStyle w:val="TableText"/>
              <w:spacing w:before="40" w:after="40"/>
              <w:rPr>
                <w:rFonts w:cstheme="minorHAnsi"/>
                <w:szCs w:val="18"/>
              </w:rPr>
            </w:pPr>
            <w:r>
              <w:rPr>
                <w:rFonts w:cstheme="minorHAnsi"/>
                <w:szCs w:val="18"/>
              </w:rPr>
              <w:t>48</w:t>
            </w:r>
          </w:p>
        </w:tc>
        <w:tc>
          <w:tcPr>
            <w:tcW w:w="828" w:type="dxa"/>
            <w:tcBorders>
              <w:top w:val="single" w:sz="4" w:space="0" w:color="auto"/>
              <w:left w:val="nil"/>
              <w:bottom w:val="single" w:sz="4" w:space="0" w:color="auto"/>
              <w:right w:val="nil"/>
            </w:tcBorders>
          </w:tcPr>
          <w:p w14:paraId="0F18D813" w14:textId="7331477F" w:rsidR="0075264E" w:rsidRDefault="0075264E" w:rsidP="00DB10C8">
            <w:pPr>
              <w:pStyle w:val="TableText"/>
              <w:spacing w:before="40" w:after="40"/>
              <w:rPr>
                <w:szCs w:val="18"/>
              </w:rPr>
            </w:pPr>
            <w:r>
              <w:rPr>
                <w:szCs w:val="18"/>
              </w:rPr>
              <w:t>Chronic</w:t>
            </w:r>
          </w:p>
        </w:tc>
        <w:tc>
          <w:tcPr>
            <w:tcW w:w="1406" w:type="dxa"/>
            <w:tcBorders>
              <w:top w:val="single" w:sz="4" w:space="0" w:color="auto"/>
              <w:left w:val="nil"/>
              <w:bottom w:val="single" w:sz="4" w:space="0" w:color="auto"/>
              <w:right w:val="nil"/>
            </w:tcBorders>
          </w:tcPr>
          <w:p w14:paraId="472603B4" w14:textId="4490B571" w:rsidR="0075264E" w:rsidRPr="00AE5DAC" w:rsidRDefault="0075264E" w:rsidP="00DB10C8">
            <w:pPr>
              <w:pStyle w:val="TableText"/>
              <w:spacing w:before="40" w:after="40"/>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1111" w:type="dxa"/>
            <w:tcBorders>
              <w:top w:val="single" w:sz="4" w:space="0" w:color="auto"/>
              <w:left w:val="nil"/>
              <w:bottom w:val="single" w:sz="4" w:space="0" w:color="auto"/>
              <w:right w:val="nil"/>
            </w:tcBorders>
          </w:tcPr>
          <w:p w14:paraId="1868F014" w14:textId="7E8D95E0" w:rsidR="0075264E" w:rsidRPr="00AE5DAC" w:rsidRDefault="0075264E" w:rsidP="00DB10C8">
            <w:pPr>
              <w:pStyle w:val="TableText"/>
              <w:spacing w:before="40" w:after="40"/>
              <w:rPr>
                <w:rFonts w:cstheme="minorHAnsi"/>
                <w:szCs w:val="18"/>
              </w:rPr>
            </w:pPr>
            <w:r w:rsidRPr="00AE5DAC">
              <w:rPr>
                <w:rFonts w:cstheme="minorHAnsi"/>
                <w:szCs w:val="18"/>
              </w:rPr>
              <w:t>Seawater</w:t>
            </w:r>
          </w:p>
        </w:tc>
        <w:tc>
          <w:tcPr>
            <w:tcW w:w="697" w:type="dxa"/>
            <w:tcBorders>
              <w:top w:val="single" w:sz="4" w:space="0" w:color="auto"/>
              <w:left w:val="nil"/>
              <w:bottom w:val="single" w:sz="4" w:space="0" w:color="auto"/>
              <w:right w:val="nil"/>
            </w:tcBorders>
          </w:tcPr>
          <w:p w14:paraId="0CCEE105" w14:textId="18BBACD0" w:rsidR="0075264E" w:rsidRPr="00AE5DAC" w:rsidRDefault="0075264E" w:rsidP="00DB10C8">
            <w:pPr>
              <w:pStyle w:val="TableText"/>
              <w:spacing w:before="40" w:after="40"/>
              <w:rPr>
                <w:rFonts w:cstheme="minorHAnsi"/>
                <w:szCs w:val="18"/>
              </w:rPr>
            </w:pPr>
            <w:r w:rsidRPr="00AE5DAC">
              <w:rPr>
                <w:rFonts w:cstheme="minorHAnsi"/>
                <w:szCs w:val="18"/>
              </w:rPr>
              <w:t>21</w:t>
            </w:r>
          </w:p>
        </w:tc>
        <w:tc>
          <w:tcPr>
            <w:tcW w:w="833" w:type="dxa"/>
            <w:tcBorders>
              <w:top w:val="single" w:sz="4" w:space="0" w:color="auto"/>
              <w:left w:val="nil"/>
              <w:bottom w:val="single" w:sz="4" w:space="0" w:color="auto"/>
              <w:right w:val="nil"/>
            </w:tcBorders>
          </w:tcPr>
          <w:p w14:paraId="779B47AB" w14:textId="72E15365" w:rsidR="0075264E" w:rsidRPr="00AE5DAC" w:rsidRDefault="0075264E" w:rsidP="00DB10C8">
            <w:pPr>
              <w:pStyle w:val="TableText"/>
              <w:spacing w:before="40" w:after="40"/>
              <w:rPr>
                <w:rFonts w:cstheme="minorHAnsi"/>
                <w:szCs w:val="18"/>
              </w:rPr>
            </w:pPr>
            <w:r w:rsidRPr="00AE5DAC">
              <w:rPr>
                <w:rFonts w:cstheme="minorHAnsi"/>
                <w:szCs w:val="18"/>
              </w:rPr>
              <w:t>30</w:t>
            </w:r>
          </w:p>
        </w:tc>
        <w:tc>
          <w:tcPr>
            <w:tcW w:w="765" w:type="dxa"/>
            <w:tcBorders>
              <w:top w:val="single" w:sz="4" w:space="0" w:color="auto"/>
              <w:left w:val="nil"/>
              <w:bottom w:val="single" w:sz="4" w:space="0" w:color="auto"/>
              <w:right w:val="nil"/>
            </w:tcBorders>
          </w:tcPr>
          <w:p w14:paraId="1B195692" w14:textId="49492D7F" w:rsidR="0075264E" w:rsidRPr="00AE5DAC" w:rsidRDefault="0075264E" w:rsidP="00DB10C8">
            <w:pPr>
              <w:pStyle w:val="TableText"/>
              <w:spacing w:before="40" w:after="40"/>
              <w:rPr>
                <w:rFonts w:cstheme="minorHAnsi"/>
                <w:szCs w:val="18"/>
              </w:rPr>
            </w:pPr>
            <w:r w:rsidRPr="00AE5DAC">
              <w:rPr>
                <w:rFonts w:cstheme="minorHAnsi"/>
                <w:szCs w:val="18"/>
              </w:rPr>
              <w:t>7.9</w:t>
            </w:r>
          </w:p>
        </w:tc>
        <w:tc>
          <w:tcPr>
            <w:tcW w:w="1276" w:type="dxa"/>
            <w:tcBorders>
              <w:top w:val="single" w:sz="4" w:space="0" w:color="auto"/>
              <w:left w:val="nil"/>
              <w:bottom w:val="single" w:sz="4" w:space="0" w:color="auto"/>
              <w:right w:val="nil"/>
            </w:tcBorders>
          </w:tcPr>
          <w:p w14:paraId="361AE4A6" w14:textId="176338E1" w:rsidR="0075264E" w:rsidRDefault="0075264E" w:rsidP="00DB10C8">
            <w:pPr>
              <w:pStyle w:val="TableText"/>
              <w:spacing w:before="40" w:after="40"/>
              <w:ind w:right="284"/>
              <w:jc w:val="right"/>
              <w:rPr>
                <w:rFonts w:cstheme="minorHAnsi"/>
                <w:szCs w:val="18"/>
              </w:rPr>
            </w:pPr>
            <w:r>
              <w:rPr>
                <w:rFonts w:cstheme="minorHAnsi"/>
                <w:szCs w:val="18"/>
              </w:rPr>
              <w:t>935</w:t>
            </w:r>
          </w:p>
        </w:tc>
        <w:tc>
          <w:tcPr>
            <w:tcW w:w="1378" w:type="dxa"/>
            <w:tcBorders>
              <w:top w:val="single" w:sz="4" w:space="0" w:color="auto"/>
              <w:bottom w:val="single" w:sz="4" w:space="0" w:color="auto"/>
            </w:tcBorders>
          </w:tcPr>
          <w:p w14:paraId="40C28454" w14:textId="5489DE1D" w:rsidR="0075264E" w:rsidRPr="00AE5DAC" w:rsidRDefault="0075264E" w:rsidP="00DB10C8">
            <w:pPr>
              <w:pStyle w:val="TableText"/>
              <w:spacing w:before="40" w:after="40"/>
              <w:rPr>
                <w:rFonts w:cstheme="minorHAnsi"/>
                <w:szCs w:val="18"/>
              </w:rPr>
            </w:pPr>
            <w:r w:rsidRPr="00AE5DAC">
              <w:rPr>
                <w:rFonts w:cstheme="minorHAnsi"/>
                <w:szCs w:val="18"/>
              </w:rPr>
              <w:t xml:space="preserve">Markich </w:t>
            </w:r>
            <w:r>
              <w:rPr>
                <w:rFonts w:cstheme="minorHAnsi"/>
                <w:szCs w:val="18"/>
              </w:rPr>
              <w:t>(</w:t>
            </w:r>
            <w:r w:rsidRPr="00AE5DAC">
              <w:rPr>
                <w:rFonts w:cstheme="minorHAnsi"/>
                <w:szCs w:val="18"/>
              </w:rPr>
              <w:t>2021</w:t>
            </w:r>
            <w:r>
              <w:rPr>
                <w:rFonts w:cstheme="minorHAnsi"/>
                <w:szCs w:val="18"/>
              </w:rPr>
              <w:t>)</w:t>
            </w:r>
          </w:p>
        </w:tc>
      </w:tr>
      <w:tr w:rsidR="0075264E" w:rsidRPr="00191EC2" w14:paraId="00A1CBDC" w14:textId="77777777" w:rsidTr="002468C2">
        <w:trPr>
          <w:cantSplit/>
        </w:trPr>
        <w:tc>
          <w:tcPr>
            <w:tcW w:w="1711" w:type="dxa"/>
            <w:tcBorders>
              <w:top w:val="single" w:sz="4" w:space="0" w:color="auto"/>
              <w:left w:val="nil"/>
              <w:bottom w:val="single" w:sz="4" w:space="0" w:color="auto"/>
              <w:right w:val="nil"/>
            </w:tcBorders>
          </w:tcPr>
          <w:p w14:paraId="5300889B" w14:textId="2EC20F08" w:rsidR="0075264E" w:rsidRPr="00AE5DAC" w:rsidDel="009C0E7F" w:rsidRDefault="0075264E" w:rsidP="00DB10C8">
            <w:pPr>
              <w:pStyle w:val="TableText"/>
              <w:spacing w:before="40" w:after="40"/>
              <w:rPr>
                <w:rFonts w:cstheme="minorHAnsi"/>
                <w:szCs w:val="18"/>
              </w:rPr>
            </w:pPr>
            <w:r>
              <w:rPr>
                <w:rFonts w:cstheme="minorHAnsi"/>
                <w:szCs w:val="18"/>
              </w:rPr>
              <w:t>Mollusc (bivalve)</w:t>
            </w:r>
          </w:p>
        </w:tc>
        <w:tc>
          <w:tcPr>
            <w:tcW w:w="1564" w:type="dxa"/>
            <w:tcBorders>
              <w:top w:val="single" w:sz="4" w:space="0" w:color="auto"/>
              <w:left w:val="nil"/>
              <w:bottom w:val="single" w:sz="4" w:space="0" w:color="auto"/>
              <w:right w:val="nil"/>
            </w:tcBorders>
          </w:tcPr>
          <w:p w14:paraId="56858A15" w14:textId="55AADEE0" w:rsidR="0075264E" w:rsidRPr="00AE5DAC" w:rsidRDefault="0075264E" w:rsidP="00DB10C8">
            <w:pPr>
              <w:pStyle w:val="TableText"/>
              <w:spacing w:before="40" w:after="40"/>
              <w:rPr>
                <w:rFonts w:cstheme="minorHAnsi"/>
                <w:i/>
                <w:iCs/>
                <w:color w:val="000000"/>
                <w:szCs w:val="18"/>
              </w:rPr>
            </w:pPr>
            <w:r w:rsidRPr="00AE5DAC">
              <w:rPr>
                <w:rFonts w:cstheme="minorHAnsi"/>
                <w:i/>
                <w:iCs/>
                <w:color w:val="000000"/>
                <w:szCs w:val="18"/>
              </w:rPr>
              <w:t>Barnea australasiae</w:t>
            </w:r>
          </w:p>
        </w:tc>
        <w:tc>
          <w:tcPr>
            <w:tcW w:w="1450" w:type="dxa"/>
            <w:tcBorders>
              <w:top w:val="single" w:sz="4" w:space="0" w:color="auto"/>
              <w:left w:val="nil"/>
              <w:bottom w:val="single" w:sz="4" w:space="0" w:color="auto"/>
              <w:right w:val="nil"/>
            </w:tcBorders>
          </w:tcPr>
          <w:p w14:paraId="5C0F376C" w14:textId="17351470" w:rsidR="0075264E" w:rsidRPr="00AE5DAC" w:rsidRDefault="0075264E" w:rsidP="00DB10C8">
            <w:pPr>
              <w:pStyle w:val="TableText"/>
              <w:spacing w:before="40" w:after="40"/>
              <w:rPr>
                <w:rFonts w:cstheme="minorHAnsi"/>
                <w:szCs w:val="18"/>
              </w:rPr>
            </w:pPr>
            <w:r w:rsidRPr="00AE5DAC">
              <w:rPr>
                <w:rFonts w:cstheme="minorHAnsi"/>
                <w:szCs w:val="18"/>
              </w:rPr>
              <w:t>Embryo</w:t>
            </w:r>
          </w:p>
        </w:tc>
        <w:tc>
          <w:tcPr>
            <w:tcW w:w="975" w:type="dxa"/>
            <w:tcBorders>
              <w:top w:val="single" w:sz="4" w:space="0" w:color="auto"/>
              <w:left w:val="nil"/>
              <w:bottom w:val="single" w:sz="4" w:space="0" w:color="auto"/>
              <w:right w:val="nil"/>
            </w:tcBorders>
          </w:tcPr>
          <w:p w14:paraId="4ECE045F" w14:textId="6A5DD717" w:rsidR="0075264E" w:rsidRDefault="0075264E" w:rsidP="00DB10C8">
            <w:pPr>
              <w:pStyle w:val="TableText"/>
              <w:spacing w:before="40" w:after="40"/>
              <w:rPr>
                <w:rFonts w:cstheme="minorHAnsi"/>
                <w:szCs w:val="18"/>
              </w:rPr>
            </w:pPr>
            <w:r>
              <w:rPr>
                <w:rFonts w:cstheme="minorHAnsi"/>
                <w:szCs w:val="18"/>
              </w:rPr>
              <w:t>48</w:t>
            </w:r>
          </w:p>
        </w:tc>
        <w:tc>
          <w:tcPr>
            <w:tcW w:w="828" w:type="dxa"/>
            <w:tcBorders>
              <w:top w:val="single" w:sz="4" w:space="0" w:color="auto"/>
              <w:left w:val="nil"/>
              <w:bottom w:val="single" w:sz="4" w:space="0" w:color="auto"/>
              <w:right w:val="nil"/>
            </w:tcBorders>
          </w:tcPr>
          <w:p w14:paraId="508A9E0E" w14:textId="2D11755B" w:rsidR="0075264E" w:rsidRDefault="0075264E" w:rsidP="00DB10C8">
            <w:pPr>
              <w:pStyle w:val="TableText"/>
              <w:spacing w:before="40" w:after="40"/>
              <w:rPr>
                <w:szCs w:val="18"/>
              </w:rPr>
            </w:pPr>
            <w:r>
              <w:rPr>
                <w:szCs w:val="18"/>
              </w:rPr>
              <w:t>Chronic</w:t>
            </w:r>
          </w:p>
        </w:tc>
        <w:tc>
          <w:tcPr>
            <w:tcW w:w="1406" w:type="dxa"/>
            <w:tcBorders>
              <w:top w:val="single" w:sz="4" w:space="0" w:color="auto"/>
              <w:left w:val="nil"/>
              <w:bottom w:val="single" w:sz="4" w:space="0" w:color="auto"/>
              <w:right w:val="nil"/>
            </w:tcBorders>
          </w:tcPr>
          <w:p w14:paraId="70DE6E5A" w14:textId="11D00265" w:rsidR="0075264E" w:rsidRPr="00AE5DAC" w:rsidRDefault="0075264E" w:rsidP="00DB10C8">
            <w:pPr>
              <w:pStyle w:val="TableText"/>
              <w:spacing w:before="40" w:after="40"/>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1111" w:type="dxa"/>
            <w:tcBorders>
              <w:top w:val="single" w:sz="4" w:space="0" w:color="auto"/>
              <w:left w:val="nil"/>
              <w:bottom w:val="single" w:sz="4" w:space="0" w:color="auto"/>
              <w:right w:val="nil"/>
            </w:tcBorders>
          </w:tcPr>
          <w:p w14:paraId="203C68C9" w14:textId="73F8AA77" w:rsidR="0075264E" w:rsidRPr="00AE5DAC" w:rsidRDefault="0075264E" w:rsidP="00DB10C8">
            <w:pPr>
              <w:pStyle w:val="TableText"/>
              <w:spacing w:before="40" w:after="40"/>
              <w:rPr>
                <w:rFonts w:cstheme="minorHAnsi"/>
                <w:szCs w:val="18"/>
              </w:rPr>
            </w:pPr>
            <w:r w:rsidRPr="00AE5DAC">
              <w:rPr>
                <w:rFonts w:cstheme="minorHAnsi"/>
                <w:szCs w:val="18"/>
              </w:rPr>
              <w:t>Seawater</w:t>
            </w:r>
          </w:p>
        </w:tc>
        <w:tc>
          <w:tcPr>
            <w:tcW w:w="697" w:type="dxa"/>
            <w:tcBorders>
              <w:top w:val="single" w:sz="4" w:space="0" w:color="auto"/>
              <w:left w:val="nil"/>
              <w:bottom w:val="single" w:sz="4" w:space="0" w:color="auto"/>
              <w:right w:val="nil"/>
            </w:tcBorders>
          </w:tcPr>
          <w:p w14:paraId="488CA4AF" w14:textId="25B085E7" w:rsidR="0075264E" w:rsidRPr="00AE5DAC" w:rsidRDefault="0075264E" w:rsidP="00DB10C8">
            <w:pPr>
              <w:pStyle w:val="TableText"/>
              <w:spacing w:before="40" w:after="40"/>
              <w:rPr>
                <w:rFonts w:cstheme="minorHAnsi"/>
                <w:szCs w:val="18"/>
              </w:rPr>
            </w:pPr>
            <w:r w:rsidRPr="00AE5DAC">
              <w:rPr>
                <w:rFonts w:cstheme="minorHAnsi"/>
                <w:szCs w:val="18"/>
              </w:rPr>
              <w:t>21</w:t>
            </w:r>
          </w:p>
        </w:tc>
        <w:tc>
          <w:tcPr>
            <w:tcW w:w="833" w:type="dxa"/>
            <w:tcBorders>
              <w:top w:val="single" w:sz="4" w:space="0" w:color="auto"/>
              <w:left w:val="nil"/>
              <w:bottom w:val="single" w:sz="4" w:space="0" w:color="auto"/>
              <w:right w:val="nil"/>
            </w:tcBorders>
          </w:tcPr>
          <w:p w14:paraId="5696BA38" w14:textId="000DAD56" w:rsidR="0075264E" w:rsidRPr="00AE5DAC" w:rsidRDefault="0075264E" w:rsidP="00DB10C8">
            <w:pPr>
              <w:pStyle w:val="TableText"/>
              <w:spacing w:before="40" w:after="40"/>
              <w:rPr>
                <w:rFonts w:cstheme="minorHAnsi"/>
                <w:szCs w:val="18"/>
              </w:rPr>
            </w:pPr>
            <w:r w:rsidRPr="00AE5DAC">
              <w:rPr>
                <w:rFonts w:cstheme="minorHAnsi"/>
                <w:szCs w:val="18"/>
              </w:rPr>
              <w:t>30</w:t>
            </w:r>
          </w:p>
        </w:tc>
        <w:tc>
          <w:tcPr>
            <w:tcW w:w="765" w:type="dxa"/>
            <w:tcBorders>
              <w:top w:val="single" w:sz="4" w:space="0" w:color="auto"/>
              <w:left w:val="nil"/>
              <w:bottom w:val="single" w:sz="4" w:space="0" w:color="auto"/>
              <w:right w:val="nil"/>
            </w:tcBorders>
          </w:tcPr>
          <w:p w14:paraId="6F72DEB7" w14:textId="27BF7B7C" w:rsidR="0075264E" w:rsidRPr="00AE5DAC" w:rsidRDefault="0075264E" w:rsidP="00DB10C8">
            <w:pPr>
              <w:pStyle w:val="TableText"/>
              <w:spacing w:before="40" w:after="40"/>
              <w:rPr>
                <w:rFonts w:cstheme="minorHAnsi"/>
                <w:szCs w:val="18"/>
              </w:rPr>
            </w:pPr>
            <w:r w:rsidRPr="00AE5DAC">
              <w:rPr>
                <w:rFonts w:cstheme="minorHAnsi"/>
                <w:szCs w:val="18"/>
              </w:rPr>
              <w:t>7.9</w:t>
            </w:r>
          </w:p>
        </w:tc>
        <w:tc>
          <w:tcPr>
            <w:tcW w:w="1276" w:type="dxa"/>
            <w:tcBorders>
              <w:top w:val="single" w:sz="4" w:space="0" w:color="auto"/>
              <w:left w:val="nil"/>
              <w:bottom w:val="single" w:sz="4" w:space="0" w:color="auto"/>
              <w:right w:val="nil"/>
            </w:tcBorders>
          </w:tcPr>
          <w:p w14:paraId="24D713A9" w14:textId="77F10336" w:rsidR="0075264E" w:rsidRDefault="0075264E" w:rsidP="00DB10C8">
            <w:pPr>
              <w:pStyle w:val="TableText"/>
              <w:spacing w:before="40" w:after="40"/>
              <w:ind w:right="284"/>
              <w:jc w:val="right"/>
              <w:rPr>
                <w:rFonts w:cstheme="minorHAnsi"/>
                <w:szCs w:val="18"/>
              </w:rPr>
            </w:pPr>
            <w:r>
              <w:rPr>
                <w:rFonts w:cstheme="minorHAnsi"/>
                <w:szCs w:val="18"/>
              </w:rPr>
              <w:t>893</w:t>
            </w:r>
          </w:p>
        </w:tc>
        <w:tc>
          <w:tcPr>
            <w:tcW w:w="1378" w:type="dxa"/>
            <w:tcBorders>
              <w:top w:val="single" w:sz="4" w:space="0" w:color="auto"/>
              <w:bottom w:val="single" w:sz="4" w:space="0" w:color="auto"/>
            </w:tcBorders>
          </w:tcPr>
          <w:p w14:paraId="6A19F390" w14:textId="74151AD0" w:rsidR="0075264E" w:rsidRPr="00AE5DAC" w:rsidRDefault="0075264E" w:rsidP="00DB10C8">
            <w:pPr>
              <w:pStyle w:val="TableText"/>
              <w:spacing w:before="40" w:after="40"/>
              <w:rPr>
                <w:rFonts w:cstheme="minorHAnsi"/>
                <w:szCs w:val="18"/>
              </w:rPr>
            </w:pPr>
            <w:r w:rsidRPr="00AE5DAC">
              <w:rPr>
                <w:rFonts w:cstheme="minorHAnsi"/>
                <w:szCs w:val="18"/>
              </w:rPr>
              <w:t xml:space="preserve">Markich </w:t>
            </w:r>
            <w:r>
              <w:rPr>
                <w:rFonts w:cstheme="minorHAnsi"/>
                <w:szCs w:val="18"/>
              </w:rPr>
              <w:t>(</w:t>
            </w:r>
            <w:r w:rsidRPr="00AE5DAC">
              <w:rPr>
                <w:rFonts w:cstheme="minorHAnsi"/>
                <w:szCs w:val="18"/>
              </w:rPr>
              <w:t>2021</w:t>
            </w:r>
            <w:r>
              <w:rPr>
                <w:rFonts w:cstheme="minorHAnsi"/>
                <w:szCs w:val="18"/>
              </w:rPr>
              <w:t>)</w:t>
            </w:r>
          </w:p>
        </w:tc>
      </w:tr>
      <w:tr w:rsidR="0075264E" w:rsidRPr="00191EC2" w14:paraId="3D41477E" w14:textId="77777777" w:rsidTr="002468C2">
        <w:trPr>
          <w:cantSplit/>
        </w:trPr>
        <w:tc>
          <w:tcPr>
            <w:tcW w:w="1711" w:type="dxa"/>
            <w:tcBorders>
              <w:top w:val="single" w:sz="4" w:space="0" w:color="auto"/>
              <w:left w:val="nil"/>
              <w:bottom w:val="single" w:sz="4" w:space="0" w:color="auto"/>
              <w:right w:val="nil"/>
            </w:tcBorders>
          </w:tcPr>
          <w:p w14:paraId="44DA477B" w14:textId="49BA6BD1" w:rsidR="0075264E" w:rsidRPr="00AE5DAC" w:rsidDel="009C0E7F" w:rsidRDefault="0075264E" w:rsidP="00DB10C8">
            <w:pPr>
              <w:pStyle w:val="TableText"/>
              <w:spacing w:before="40" w:after="40"/>
              <w:rPr>
                <w:rFonts w:cstheme="minorHAnsi"/>
                <w:szCs w:val="18"/>
              </w:rPr>
            </w:pPr>
            <w:r>
              <w:rPr>
                <w:rFonts w:cstheme="minorHAnsi"/>
                <w:szCs w:val="18"/>
              </w:rPr>
              <w:lastRenderedPageBreak/>
              <w:t>Mollusc (bivalve)</w:t>
            </w:r>
          </w:p>
        </w:tc>
        <w:tc>
          <w:tcPr>
            <w:tcW w:w="1564" w:type="dxa"/>
            <w:tcBorders>
              <w:top w:val="single" w:sz="4" w:space="0" w:color="auto"/>
              <w:left w:val="nil"/>
              <w:bottom w:val="single" w:sz="4" w:space="0" w:color="auto"/>
              <w:right w:val="nil"/>
            </w:tcBorders>
          </w:tcPr>
          <w:p w14:paraId="04F51ACB" w14:textId="72565F8B" w:rsidR="0075264E" w:rsidRPr="00AE5DAC" w:rsidRDefault="0075264E" w:rsidP="00DB10C8">
            <w:pPr>
              <w:pStyle w:val="TableText"/>
              <w:spacing w:before="40" w:after="40"/>
              <w:rPr>
                <w:rFonts w:cstheme="minorHAnsi"/>
                <w:i/>
                <w:iCs/>
                <w:color w:val="000000"/>
                <w:szCs w:val="18"/>
              </w:rPr>
            </w:pPr>
            <w:r w:rsidRPr="00AE5DAC">
              <w:rPr>
                <w:rFonts w:cstheme="minorHAnsi"/>
                <w:i/>
                <w:iCs/>
                <w:color w:val="000000"/>
                <w:szCs w:val="18"/>
              </w:rPr>
              <w:t>Fulvia tenuicostata</w:t>
            </w:r>
          </w:p>
        </w:tc>
        <w:tc>
          <w:tcPr>
            <w:tcW w:w="1450" w:type="dxa"/>
            <w:tcBorders>
              <w:top w:val="single" w:sz="4" w:space="0" w:color="auto"/>
              <w:left w:val="nil"/>
              <w:bottom w:val="single" w:sz="4" w:space="0" w:color="auto"/>
              <w:right w:val="nil"/>
            </w:tcBorders>
          </w:tcPr>
          <w:p w14:paraId="4A11A0CE" w14:textId="769C5573" w:rsidR="0075264E" w:rsidRPr="00AE5DAC" w:rsidRDefault="0075264E" w:rsidP="00DB10C8">
            <w:pPr>
              <w:pStyle w:val="TableText"/>
              <w:spacing w:before="40" w:after="40"/>
              <w:rPr>
                <w:rFonts w:cstheme="minorHAnsi"/>
                <w:szCs w:val="18"/>
              </w:rPr>
            </w:pPr>
            <w:r>
              <w:rPr>
                <w:rFonts w:cstheme="minorHAnsi"/>
                <w:szCs w:val="18"/>
              </w:rPr>
              <w:t>Embryo</w:t>
            </w:r>
          </w:p>
        </w:tc>
        <w:tc>
          <w:tcPr>
            <w:tcW w:w="975" w:type="dxa"/>
            <w:tcBorders>
              <w:top w:val="single" w:sz="4" w:space="0" w:color="auto"/>
              <w:left w:val="nil"/>
              <w:bottom w:val="single" w:sz="4" w:space="0" w:color="auto"/>
              <w:right w:val="nil"/>
            </w:tcBorders>
          </w:tcPr>
          <w:p w14:paraId="2152EE7B" w14:textId="668703A7" w:rsidR="0075264E" w:rsidRDefault="0075264E" w:rsidP="00DB10C8">
            <w:pPr>
              <w:pStyle w:val="TableText"/>
              <w:spacing w:before="40" w:after="40"/>
              <w:rPr>
                <w:rFonts w:cstheme="minorHAnsi"/>
                <w:szCs w:val="18"/>
              </w:rPr>
            </w:pPr>
            <w:r>
              <w:rPr>
                <w:rFonts w:cstheme="minorHAnsi"/>
                <w:szCs w:val="18"/>
              </w:rPr>
              <w:t>48</w:t>
            </w:r>
          </w:p>
        </w:tc>
        <w:tc>
          <w:tcPr>
            <w:tcW w:w="828" w:type="dxa"/>
            <w:tcBorders>
              <w:top w:val="single" w:sz="4" w:space="0" w:color="auto"/>
              <w:left w:val="nil"/>
              <w:bottom w:val="single" w:sz="4" w:space="0" w:color="auto"/>
              <w:right w:val="nil"/>
            </w:tcBorders>
          </w:tcPr>
          <w:p w14:paraId="0593B0E4" w14:textId="64A406A4" w:rsidR="0075264E" w:rsidRDefault="0075264E" w:rsidP="00DB10C8">
            <w:pPr>
              <w:pStyle w:val="TableText"/>
              <w:spacing w:before="40" w:after="40"/>
              <w:rPr>
                <w:szCs w:val="18"/>
              </w:rPr>
            </w:pPr>
            <w:r>
              <w:rPr>
                <w:szCs w:val="18"/>
              </w:rPr>
              <w:t>Chronic</w:t>
            </w:r>
          </w:p>
        </w:tc>
        <w:tc>
          <w:tcPr>
            <w:tcW w:w="1406" w:type="dxa"/>
            <w:tcBorders>
              <w:top w:val="single" w:sz="4" w:space="0" w:color="auto"/>
              <w:left w:val="nil"/>
              <w:bottom w:val="single" w:sz="4" w:space="0" w:color="auto"/>
              <w:right w:val="nil"/>
            </w:tcBorders>
          </w:tcPr>
          <w:p w14:paraId="0DF5C3E4" w14:textId="039FADC7" w:rsidR="0075264E" w:rsidRPr="00AE5DAC" w:rsidRDefault="0075264E" w:rsidP="00DB10C8">
            <w:pPr>
              <w:pStyle w:val="TableText"/>
              <w:spacing w:before="40" w:after="40"/>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1111" w:type="dxa"/>
            <w:tcBorders>
              <w:top w:val="single" w:sz="4" w:space="0" w:color="auto"/>
              <w:left w:val="nil"/>
              <w:bottom w:val="single" w:sz="4" w:space="0" w:color="auto"/>
              <w:right w:val="nil"/>
            </w:tcBorders>
          </w:tcPr>
          <w:p w14:paraId="2868C9FC" w14:textId="1FDA69DC" w:rsidR="0075264E" w:rsidRPr="00AE5DAC" w:rsidRDefault="0075264E" w:rsidP="00DB10C8">
            <w:pPr>
              <w:pStyle w:val="TableText"/>
              <w:spacing w:before="40" w:after="40"/>
              <w:rPr>
                <w:rFonts w:cstheme="minorHAnsi"/>
                <w:szCs w:val="18"/>
              </w:rPr>
            </w:pPr>
            <w:r w:rsidRPr="00AE5DAC">
              <w:rPr>
                <w:rFonts w:cstheme="minorHAnsi"/>
                <w:szCs w:val="18"/>
              </w:rPr>
              <w:t>Seawater</w:t>
            </w:r>
          </w:p>
        </w:tc>
        <w:tc>
          <w:tcPr>
            <w:tcW w:w="697" w:type="dxa"/>
            <w:tcBorders>
              <w:top w:val="single" w:sz="4" w:space="0" w:color="auto"/>
              <w:left w:val="nil"/>
              <w:bottom w:val="single" w:sz="4" w:space="0" w:color="auto"/>
              <w:right w:val="nil"/>
            </w:tcBorders>
          </w:tcPr>
          <w:p w14:paraId="57199F50" w14:textId="191BEA1A" w:rsidR="0075264E" w:rsidRPr="00AE5DAC" w:rsidRDefault="0075264E" w:rsidP="00DB10C8">
            <w:pPr>
              <w:pStyle w:val="TableText"/>
              <w:spacing w:before="40" w:after="40"/>
              <w:rPr>
                <w:rFonts w:cstheme="minorHAnsi"/>
                <w:szCs w:val="18"/>
              </w:rPr>
            </w:pPr>
            <w:r w:rsidRPr="00AE5DAC">
              <w:rPr>
                <w:rFonts w:cstheme="minorHAnsi"/>
                <w:szCs w:val="18"/>
              </w:rPr>
              <w:t>21</w:t>
            </w:r>
          </w:p>
        </w:tc>
        <w:tc>
          <w:tcPr>
            <w:tcW w:w="833" w:type="dxa"/>
            <w:tcBorders>
              <w:top w:val="single" w:sz="4" w:space="0" w:color="auto"/>
              <w:left w:val="nil"/>
              <w:bottom w:val="single" w:sz="4" w:space="0" w:color="auto"/>
              <w:right w:val="nil"/>
            </w:tcBorders>
          </w:tcPr>
          <w:p w14:paraId="0D01A6F1" w14:textId="5EF09E5E" w:rsidR="0075264E" w:rsidRPr="00AE5DAC" w:rsidRDefault="0075264E" w:rsidP="00DB10C8">
            <w:pPr>
              <w:pStyle w:val="TableText"/>
              <w:spacing w:before="40" w:after="40"/>
              <w:rPr>
                <w:rFonts w:cstheme="minorHAnsi"/>
                <w:szCs w:val="18"/>
              </w:rPr>
            </w:pPr>
            <w:r w:rsidRPr="00AE5DAC">
              <w:rPr>
                <w:rFonts w:cstheme="minorHAnsi"/>
                <w:szCs w:val="18"/>
              </w:rPr>
              <w:t>30</w:t>
            </w:r>
          </w:p>
        </w:tc>
        <w:tc>
          <w:tcPr>
            <w:tcW w:w="765" w:type="dxa"/>
            <w:tcBorders>
              <w:top w:val="single" w:sz="4" w:space="0" w:color="auto"/>
              <w:left w:val="nil"/>
              <w:bottom w:val="single" w:sz="4" w:space="0" w:color="auto"/>
              <w:right w:val="nil"/>
            </w:tcBorders>
          </w:tcPr>
          <w:p w14:paraId="136E2E17" w14:textId="4FF85B75" w:rsidR="0075264E" w:rsidRPr="00AE5DAC" w:rsidRDefault="0075264E" w:rsidP="00DB10C8">
            <w:pPr>
              <w:pStyle w:val="TableText"/>
              <w:spacing w:before="40" w:after="40"/>
              <w:rPr>
                <w:rFonts w:cstheme="minorHAnsi"/>
                <w:szCs w:val="18"/>
              </w:rPr>
            </w:pPr>
            <w:r w:rsidRPr="00AE5DAC">
              <w:rPr>
                <w:rFonts w:cstheme="minorHAnsi"/>
                <w:szCs w:val="18"/>
              </w:rPr>
              <w:t>7.9</w:t>
            </w:r>
          </w:p>
        </w:tc>
        <w:tc>
          <w:tcPr>
            <w:tcW w:w="1276" w:type="dxa"/>
            <w:tcBorders>
              <w:top w:val="single" w:sz="4" w:space="0" w:color="auto"/>
              <w:left w:val="nil"/>
              <w:bottom w:val="single" w:sz="4" w:space="0" w:color="auto"/>
              <w:right w:val="nil"/>
            </w:tcBorders>
          </w:tcPr>
          <w:p w14:paraId="04EAE739" w14:textId="05D97325" w:rsidR="0075264E" w:rsidRDefault="0075264E" w:rsidP="00DB10C8">
            <w:pPr>
              <w:pStyle w:val="TableText"/>
              <w:spacing w:before="40" w:after="40"/>
              <w:ind w:right="284"/>
              <w:jc w:val="right"/>
              <w:rPr>
                <w:rFonts w:cstheme="minorHAnsi"/>
                <w:szCs w:val="18"/>
              </w:rPr>
            </w:pPr>
            <w:r>
              <w:rPr>
                <w:rFonts w:cstheme="minorHAnsi"/>
                <w:szCs w:val="18"/>
              </w:rPr>
              <w:t>806</w:t>
            </w:r>
          </w:p>
        </w:tc>
        <w:tc>
          <w:tcPr>
            <w:tcW w:w="1378" w:type="dxa"/>
            <w:tcBorders>
              <w:top w:val="single" w:sz="4" w:space="0" w:color="auto"/>
              <w:bottom w:val="single" w:sz="4" w:space="0" w:color="auto"/>
            </w:tcBorders>
          </w:tcPr>
          <w:p w14:paraId="42B53865" w14:textId="02230B8A" w:rsidR="0075264E" w:rsidRPr="00AE5DAC" w:rsidRDefault="0075264E" w:rsidP="00DB10C8">
            <w:pPr>
              <w:pStyle w:val="TableText"/>
              <w:spacing w:before="40" w:after="40"/>
              <w:rPr>
                <w:rFonts w:cstheme="minorHAnsi"/>
                <w:szCs w:val="18"/>
              </w:rPr>
            </w:pPr>
            <w:r w:rsidRPr="00AE5DAC">
              <w:rPr>
                <w:rFonts w:cstheme="minorHAnsi"/>
                <w:szCs w:val="18"/>
              </w:rPr>
              <w:t xml:space="preserve">Markich </w:t>
            </w:r>
            <w:r>
              <w:rPr>
                <w:rFonts w:cstheme="minorHAnsi"/>
                <w:szCs w:val="18"/>
              </w:rPr>
              <w:t>(</w:t>
            </w:r>
            <w:r w:rsidRPr="00AE5DAC">
              <w:rPr>
                <w:rFonts w:cstheme="minorHAnsi"/>
                <w:szCs w:val="18"/>
              </w:rPr>
              <w:t>2021</w:t>
            </w:r>
            <w:r>
              <w:rPr>
                <w:rFonts w:cstheme="minorHAnsi"/>
                <w:szCs w:val="18"/>
              </w:rPr>
              <w:t>)</w:t>
            </w:r>
          </w:p>
        </w:tc>
      </w:tr>
      <w:tr w:rsidR="0075264E" w:rsidRPr="00191EC2" w14:paraId="7CD0BE56" w14:textId="77777777" w:rsidTr="002468C2">
        <w:trPr>
          <w:cantSplit/>
        </w:trPr>
        <w:tc>
          <w:tcPr>
            <w:tcW w:w="1711" w:type="dxa"/>
            <w:tcBorders>
              <w:top w:val="single" w:sz="4" w:space="0" w:color="auto"/>
              <w:left w:val="nil"/>
              <w:bottom w:val="single" w:sz="4" w:space="0" w:color="auto"/>
              <w:right w:val="nil"/>
            </w:tcBorders>
          </w:tcPr>
          <w:p w14:paraId="1FF19394" w14:textId="72CCD60C" w:rsidR="0075264E" w:rsidRPr="00AE5DAC" w:rsidDel="009C0E7F" w:rsidRDefault="0075264E" w:rsidP="00DB10C8">
            <w:pPr>
              <w:pStyle w:val="TableText"/>
              <w:spacing w:before="40" w:after="40"/>
              <w:rPr>
                <w:rFonts w:cstheme="minorHAnsi"/>
                <w:szCs w:val="18"/>
              </w:rPr>
            </w:pPr>
            <w:r>
              <w:rPr>
                <w:rFonts w:cstheme="minorHAnsi"/>
                <w:szCs w:val="18"/>
              </w:rPr>
              <w:t>Mollusc (bivalve)</w:t>
            </w:r>
          </w:p>
        </w:tc>
        <w:tc>
          <w:tcPr>
            <w:tcW w:w="1564" w:type="dxa"/>
            <w:tcBorders>
              <w:top w:val="single" w:sz="4" w:space="0" w:color="auto"/>
              <w:left w:val="nil"/>
              <w:bottom w:val="single" w:sz="4" w:space="0" w:color="auto"/>
              <w:right w:val="nil"/>
            </w:tcBorders>
          </w:tcPr>
          <w:p w14:paraId="11B764B8" w14:textId="153F0C31" w:rsidR="0075264E" w:rsidRPr="00AE5DAC" w:rsidRDefault="0075264E" w:rsidP="00DB10C8">
            <w:pPr>
              <w:pStyle w:val="TableText"/>
              <w:spacing w:before="40" w:after="40"/>
              <w:rPr>
                <w:rFonts w:cstheme="minorHAnsi"/>
                <w:i/>
                <w:iCs/>
                <w:color w:val="000000"/>
                <w:szCs w:val="18"/>
              </w:rPr>
            </w:pPr>
            <w:r w:rsidRPr="00AE5DAC">
              <w:rPr>
                <w:rFonts w:cstheme="minorHAnsi"/>
                <w:i/>
                <w:iCs/>
                <w:color w:val="000000"/>
                <w:szCs w:val="18"/>
              </w:rPr>
              <w:t>Hiatula alba</w:t>
            </w:r>
          </w:p>
        </w:tc>
        <w:tc>
          <w:tcPr>
            <w:tcW w:w="1450" w:type="dxa"/>
            <w:tcBorders>
              <w:top w:val="single" w:sz="4" w:space="0" w:color="auto"/>
              <w:left w:val="nil"/>
              <w:bottom w:val="single" w:sz="4" w:space="0" w:color="auto"/>
              <w:right w:val="nil"/>
            </w:tcBorders>
          </w:tcPr>
          <w:p w14:paraId="439F930D" w14:textId="2EC35DE9" w:rsidR="0075264E" w:rsidRPr="00AE5DAC" w:rsidRDefault="0075264E" w:rsidP="00DB10C8">
            <w:pPr>
              <w:pStyle w:val="TableText"/>
              <w:spacing w:before="40" w:after="40"/>
              <w:rPr>
                <w:rFonts w:cstheme="minorHAnsi"/>
                <w:szCs w:val="18"/>
              </w:rPr>
            </w:pPr>
            <w:r w:rsidRPr="00AE5DAC">
              <w:rPr>
                <w:rFonts w:cstheme="minorHAnsi"/>
                <w:szCs w:val="18"/>
              </w:rPr>
              <w:t>Embryo</w:t>
            </w:r>
          </w:p>
        </w:tc>
        <w:tc>
          <w:tcPr>
            <w:tcW w:w="975" w:type="dxa"/>
            <w:tcBorders>
              <w:top w:val="single" w:sz="4" w:space="0" w:color="auto"/>
              <w:left w:val="nil"/>
              <w:bottom w:val="single" w:sz="4" w:space="0" w:color="auto"/>
              <w:right w:val="nil"/>
            </w:tcBorders>
          </w:tcPr>
          <w:p w14:paraId="5BD93A01" w14:textId="17F690A2" w:rsidR="0075264E" w:rsidRDefault="0075264E" w:rsidP="00DB10C8">
            <w:pPr>
              <w:pStyle w:val="TableText"/>
              <w:spacing w:before="40" w:after="40"/>
              <w:rPr>
                <w:rFonts w:cstheme="minorHAnsi"/>
                <w:szCs w:val="18"/>
              </w:rPr>
            </w:pPr>
            <w:r>
              <w:rPr>
                <w:rFonts w:cstheme="minorHAnsi"/>
                <w:szCs w:val="18"/>
              </w:rPr>
              <w:t>48</w:t>
            </w:r>
          </w:p>
        </w:tc>
        <w:tc>
          <w:tcPr>
            <w:tcW w:w="828" w:type="dxa"/>
            <w:tcBorders>
              <w:top w:val="single" w:sz="4" w:space="0" w:color="auto"/>
              <w:left w:val="nil"/>
              <w:bottom w:val="single" w:sz="4" w:space="0" w:color="auto"/>
              <w:right w:val="nil"/>
            </w:tcBorders>
          </w:tcPr>
          <w:p w14:paraId="379321DD" w14:textId="69175A49" w:rsidR="0075264E" w:rsidRDefault="0075264E" w:rsidP="00DB10C8">
            <w:pPr>
              <w:pStyle w:val="TableText"/>
              <w:spacing w:before="40" w:after="40"/>
              <w:rPr>
                <w:szCs w:val="18"/>
              </w:rPr>
            </w:pPr>
            <w:r>
              <w:rPr>
                <w:szCs w:val="18"/>
              </w:rPr>
              <w:t>Chronic</w:t>
            </w:r>
          </w:p>
        </w:tc>
        <w:tc>
          <w:tcPr>
            <w:tcW w:w="1406" w:type="dxa"/>
            <w:tcBorders>
              <w:top w:val="single" w:sz="4" w:space="0" w:color="auto"/>
              <w:left w:val="nil"/>
              <w:bottom w:val="single" w:sz="4" w:space="0" w:color="auto"/>
              <w:right w:val="nil"/>
            </w:tcBorders>
          </w:tcPr>
          <w:p w14:paraId="2286EB89" w14:textId="3FEF8EA4" w:rsidR="0075264E" w:rsidRPr="00AE5DAC" w:rsidRDefault="0075264E" w:rsidP="00DB10C8">
            <w:pPr>
              <w:pStyle w:val="TableText"/>
              <w:spacing w:before="40" w:after="40"/>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1111" w:type="dxa"/>
            <w:tcBorders>
              <w:top w:val="single" w:sz="4" w:space="0" w:color="auto"/>
              <w:left w:val="nil"/>
              <w:bottom w:val="single" w:sz="4" w:space="0" w:color="auto"/>
              <w:right w:val="nil"/>
            </w:tcBorders>
          </w:tcPr>
          <w:p w14:paraId="2D06AEDA" w14:textId="64400789" w:rsidR="0075264E" w:rsidRPr="00AE5DAC" w:rsidRDefault="0075264E" w:rsidP="00DB10C8">
            <w:pPr>
              <w:pStyle w:val="TableText"/>
              <w:spacing w:before="40" w:after="40"/>
              <w:rPr>
                <w:rFonts w:cstheme="minorHAnsi"/>
                <w:szCs w:val="18"/>
              </w:rPr>
            </w:pPr>
            <w:r w:rsidRPr="00AE5DAC">
              <w:rPr>
                <w:rFonts w:cstheme="minorHAnsi"/>
                <w:szCs w:val="18"/>
              </w:rPr>
              <w:t>Seawater</w:t>
            </w:r>
          </w:p>
        </w:tc>
        <w:tc>
          <w:tcPr>
            <w:tcW w:w="697" w:type="dxa"/>
            <w:tcBorders>
              <w:top w:val="single" w:sz="4" w:space="0" w:color="auto"/>
              <w:left w:val="nil"/>
              <w:bottom w:val="single" w:sz="4" w:space="0" w:color="auto"/>
              <w:right w:val="nil"/>
            </w:tcBorders>
          </w:tcPr>
          <w:p w14:paraId="746EB0FE" w14:textId="076E0A6F" w:rsidR="0075264E" w:rsidRPr="00AE5DAC" w:rsidRDefault="0075264E" w:rsidP="00DB10C8">
            <w:pPr>
              <w:pStyle w:val="TableText"/>
              <w:spacing w:before="40" w:after="40"/>
              <w:rPr>
                <w:rFonts w:cstheme="minorHAnsi"/>
                <w:szCs w:val="18"/>
              </w:rPr>
            </w:pPr>
            <w:r w:rsidRPr="00AE5DAC">
              <w:rPr>
                <w:rFonts w:cstheme="minorHAnsi"/>
                <w:szCs w:val="18"/>
              </w:rPr>
              <w:t>21</w:t>
            </w:r>
          </w:p>
        </w:tc>
        <w:tc>
          <w:tcPr>
            <w:tcW w:w="833" w:type="dxa"/>
            <w:tcBorders>
              <w:top w:val="single" w:sz="4" w:space="0" w:color="auto"/>
              <w:left w:val="nil"/>
              <w:bottom w:val="single" w:sz="4" w:space="0" w:color="auto"/>
              <w:right w:val="nil"/>
            </w:tcBorders>
          </w:tcPr>
          <w:p w14:paraId="5588EB45" w14:textId="2392FAE0" w:rsidR="0075264E" w:rsidRPr="00AE5DAC" w:rsidRDefault="0075264E" w:rsidP="00DB10C8">
            <w:pPr>
              <w:pStyle w:val="TableText"/>
              <w:spacing w:before="40" w:after="40"/>
              <w:rPr>
                <w:rFonts w:cstheme="minorHAnsi"/>
                <w:szCs w:val="18"/>
              </w:rPr>
            </w:pPr>
            <w:r w:rsidRPr="00AE5DAC">
              <w:rPr>
                <w:rFonts w:cstheme="minorHAnsi"/>
                <w:szCs w:val="18"/>
              </w:rPr>
              <w:t>30</w:t>
            </w:r>
          </w:p>
        </w:tc>
        <w:tc>
          <w:tcPr>
            <w:tcW w:w="765" w:type="dxa"/>
            <w:tcBorders>
              <w:top w:val="single" w:sz="4" w:space="0" w:color="auto"/>
              <w:left w:val="nil"/>
              <w:bottom w:val="single" w:sz="4" w:space="0" w:color="auto"/>
              <w:right w:val="nil"/>
            </w:tcBorders>
          </w:tcPr>
          <w:p w14:paraId="00B69E98" w14:textId="58AF1FD7" w:rsidR="0075264E" w:rsidRPr="00AE5DAC" w:rsidRDefault="0075264E" w:rsidP="00DB10C8">
            <w:pPr>
              <w:pStyle w:val="TableText"/>
              <w:spacing w:before="40" w:after="40"/>
              <w:rPr>
                <w:rFonts w:cstheme="minorHAnsi"/>
                <w:szCs w:val="18"/>
              </w:rPr>
            </w:pPr>
            <w:r w:rsidRPr="00AE5DAC">
              <w:rPr>
                <w:rFonts w:cstheme="minorHAnsi"/>
                <w:szCs w:val="18"/>
              </w:rPr>
              <w:t>7.9</w:t>
            </w:r>
          </w:p>
        </w:tc>
        <w:tc>
          <w:tcPr>
            <w:tcW w:w="1276" w:type="dxa"/>
            <w:tcBorders>
              <w:top w:val="single" w:sz="4" w:space="0" w:color="auto"/>
              <w:left w:val="nil"/>
              <w:bottom w:val="single" w:sz="4" w:space="0" w:color="auto"/>
              <w:right w:val="nil"/>
            </w:tcBorders>
          </w:tcPr>
          <w:p w14:paraId="78EEEF9A" w14:textId="51656B59" w:rsidR="0075264E" w:rsidRDefault="0075264E" w:rsidP="00DB10C8">
            <w:pPr>
              <w:pStyle w:val="TableText"/>
              <w:spacing w:before="40" w:after="40"/>
              <w:ind w:right="284"/>
              <w:jc w:val="right"/>
              <w:rPr>
                <w:rFonts w:cstheme="minorHAnsi"/>
                <w:szCs w:val="18"/>
              </w:rPr>
            </w:pPr>
            <w:r>
              <w:rPr>
                <w:rFonts w:cstheme="minorHAnsi"/>
                <w:szCs w:val="18"/>
              </w:rPr>
              <w:t>810</w:t>
            </w:r>
          </w:p>
        </w:tc>
        <w:tc>
          <w:tcPr>
            <w:tcW w:w="1378" w:type="dxa"/>
            <w:tcBorders>
              <w:top w:val="single" w:sz="4" w:space="0" w:color="auto"/>
              <w:bottom w:val="single" w:sz="4" w:space="0" w:color="auto"/>
            </w:tcBorders>
          </w:tcPr>
          <w:p w14:paraId="016AE49B" w14:textId="3AD412EB" w:rsidR="0075264E" w:rsidRPr="00AE5DAC" w:rsidRDefault="0075264E" w:rsidP="00DB10C8">
            <w:pPr>
              <w:pStyle w:val="TableText"/>
              <w:spacing w:before="40" w:after="40"/>
              <w:rPr>
                <w:rFonts w:cstheme="minorHAnsi"/>
                <w:szCs w:val="18"/>
              </w:rPr>
            </w:pPr>
            <w:r w:rsidRPr="00AE5DAC">
              <w:rPr>
                <w:rFonts w:cstheme="minorHAnsi"/>
                <w:szCs w:val="18"/>
              </w:rPr>
              <w:t xml:space="preserve">Markich </w:t>
            </w:r>
            <w:r>
              <w:rPr>
                <w:rFonts w:cstheme="minorHAnsi"/>
                <w:szCs w:val="18"/>
              </w:rPr>
              <w:t>(</w:t>
            </w:r>
            <w:r w:rsidRPr="00AE5DAC">
              <w:rPr>
                <w:rFonts w:cstheme="minorHAnsi"/>
                <w:szCs w:val="18"/>
              </w:rPr>
              <w:t>2021</w:t>
            </w:r>
            <w:r>
              <w:rPr>
                <w:rFonts w:cstheme="minorHAnsi"/>
                <w:szCs w:val="18"/>
              </w:rPr>
              <w:t>)</w:t>
            </w:r>
          </w:p>
        </w:tc>
      </w:tr>
      <w:tr w:rsidR="0075264E" w:rsidRPr="00191EC2" w14:paraId="4C5B0BD3" w14:textId="77777777" w:rsidTr="002468C2">
        <w:trPr>
          <w:cantSplit/>
        </w:trPr>
        <w:tc>
          <w:tcPr>
            <w:tcW w:w="1711" w:type="dxa"/>
            <w:tcBorders>
              <w:top w:val="single" w:sz="4" w:space="0" w:color="auto"/>
              <w:left w:val="nil"/>
              <w:bottom w:val="single" w:sz="4" w:space="0" w:color="auto"/>
              <w:right w:val="nil"/>
            </w:tcBorders>
          </w:tcPr>
          <w:p w14:paraId="5D264950" w14:textId="0148306B" w:rsidR="0075264E" w:rsidRPr="00AE5DAC" w:rsidDel="009C0E7F" w:rsidRDefault="0075264E" w:rsidP="00DB10C8">
            <w:pPr>
              <w:pStyle w:val="TableText"/>
              <w:spacing w:before="40" w:after="40"/>
              <w:rPr>
                <w:rFonts w:cstheme="minorHAnsi"/>
                <w:szCs w:val="18"/>
              </w:rPr>
            </w:pPr>
            <w:r>
              <w:rPr>
                <w:rFonts w:cstheme="minorHAnsi"/>
                <w:szCs w:val="18"/>
              </w:rPr>
              <w:t>Mollusc (bivalve)</w:t>
            </w:r>
          </w:p>
        </w:tc>
        <w:tc>
          <w:tcPr>
            <w:tcW w:w="1564" w:type="dxa"/>
            <w:tcBorders>
              <w:top w:val="single" w:sz="4" w:space="0" w:color="auto"/>
              <w:left w:val="nil"/>
              <w:bottom w:val="single" w:sz="4" w:space="0" w:color="auto"/>
              <w:right w:val="nil"/>
            </w:tcBorders>
          </w:tcPr>
          <w:p w14:paraId="20D772E8" w14:textId="607C55F0" w:rsidR="0075264E" w:rsidRPr="00AE5DAC" w:rsidRDefault="0075264E" w:rsidP="00DB10C8">
            <w:pPr>
              <w:pStyle w:val="TableText"/>
              <w:spacing w:before="40" w:after="40"/>
              <w:rPr>
                <w:rFonts w:cstheme="minorHAnsi"/>
                <w:i/>
                <w:iCs/>
                <w:color w:val="000000"/>
                <w:szCs w:val="18"/>
              </w:rPr>
            </w:pPr>
            <w:r w:rsidRPr="00AE5DAC">
              <w:rPr>
                <w:rFonts w:cstheme="minorHAnsi"/>
                <w:i/>
                <w:iCs/>
                <w:color w:val="000000"/>
                <w:szCs w:val="18"/>
              </w:rPr>
              <w:t>Irus crenatus</w:t>
            </w:r>
          </w:p>
        </w:tc>
        <w:tc>
          <w:tcPr>
            <w:tcW w:w="1450" w:type="dxa"/>
            <w:tcBorders>
              <w:top w:val="single" w:sz="4" w:space="0" w:color="auto"/>
              <w:left w:val="nil"/>
              <w:bottom w:val="single" w:sz="4" w:space="0" w:color="auto"/>
              <w:right w:val="nil"/>
            </w:tcBorders>
          </w:tcPr>
          <w:p w14:paraId="045FF6E4" w14:textId="1CF9CBF4" w:rsidR="0075264E" w:rsidRPr="00AE5DAC" w:rsidRDefault="0075264E" w:rsidP="00DB10C8">
            <w:pPr>
              <w:pStyle w:val="TableText"/>
              <w:spacing w:before="40" w:after="40"/>
              <w:rPr>
                <w:rFonts w:cstheme="minorHAnsi"/>
                <w:szCs w:val="18"/>
              </w:rPr>
            </w:pPr>
            <w:r w:rsidRPr="00AE5DAC">
              <w:rPr>
                <w:rFonts w:cstheme="minorHAnsi"/>
                <w:szCs w:val="18"/>
              </w:rPr>
              <w:t>Embryo</w:t>
            </w:r>
          </w:p>
        </w:tc>
        <w:tc>
          <w:tcPr>
            <w:tcW w:w="975" w:type="dxa"/>
            <w:tcBorders>
              <w:top w:val="single" w:sz="4" w:space="0" w:color="auto"/>
              <w:left w:val="nil"/>
              <w:bottom w:val="single" w:sz="4" w:space="0" w:color="auto"/>
              <w:right w:val="nil"/>
            </w:tcBorders>
          </w:tcPr>
          <w:p w14:paraId="708F3CAD" w14:textId="36121B78" w:rsidR="0075264E" w:rsidRDefault="0075264E" w:rsidP="00DB10C8">
            <w:pPr>
              <w:pStyle w:val="TableText"/>
              <w:spacing w:before="40" w:after="40"/>
              <w:rPr>
                <w:rFonts w:cstheme="minorHAnsi"/>
                <w:szCs w:val="18"/>
              </w:rPr>
            </w:pPr>
            <w:r>
              <w:rPr>
                <w:rFonts w:cstheme="minorHAnsi"/>
                <w:szCs w:val="18"/>
              </w:rPr>
              <w:t>48</w:t>
            </w:r>
          </w:p>
        </w:tc>
        <w:tc>
          <w:tcPr>
            <w:tcW w:w="828" w:type="dxa"/>
            <w:tcBorders>
              <w:top w:val="single" w:sz="4" w:space="0" w:color="auto"/>
              <w:left w:val="nil"/>
              <w:bottom w:val="single" w:sz="4" w:space="0" w:color="auto"/>
              <w:right w:val="nil"/>
            </w:tcBorders>
          </w:tcPr>
          <w:p w14:paraId="4217AD5D" w14:textId="6FB49D89" w:rsidR="0075264E" w:rsidRDefault="0075264E" w:rsidP="00DB10C8">
            <w:pPr>
              <w:pStyle w:val="TableText"/>
              <w:spacing w:before="40" w:after="40"/>
              <w:rPr>
                <w:szCs w:val="18"/>
              </w:rPr>
            </w:pPr>
            <w:r>
              <w:rPr>
                <w:szCs w:val="18"/>
              </w:rPr>
              <w:t>Chronic</w:t>
            </w:r>
          </w:p>
        </w:tc>
        <w:tc>
          <w:tcPr>
            <w:tcW w:w="1406" w:type="dxa"/>
            <w:tcBorders>
              <w:top w:val="single" w:sz="4" w:space="0" w:color="auto"/>
              <w:left w:val="nil"/>
              <w:bottom w:val="single" w:sz="4" w:space="0" w:color="auto"/>
              <w:right w:val="nil"/>
            </w:tcBorders>
          </w:tcPr>
          <w:p w14:paraId="21628DA5" w14:textId="7F0C93E4" w:rsidR="0075264E" w:rsidRPr="00AE5DAC" w:rsidRDefault="0075264E" w:rsidP="00DB10C8">
            <w:pPr>
              <w:pStyle w:val="TableText"/>
              <w:spacing w:before="40" w:after="40"/>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1111" w:type="dxa"/>
            <w:tcBorders>
              <w:top w:val="single" w:sz="4" w:space="0" w:color="auto"/>
              <w:left w:val="nil"/>
              <w:bottom w:val="single" w:sz="4" w:space="0" w:color="auto"/>
              <w:right w:val="nil"/>
            </w:tcBorders>
          </w:tcPr>
          <w:p w14:paraId="5CE0CA02" w14:textId="20928D16" w:rsidR="0075264E" w:rsidRPr="00AE5DAC" w:rsidRDefault="0075264E" w:rsidP="00DB10C8">
            <w:pPr>
              <w:pStyle w:val="TableText"/>
              <w:spacing w:before="40" w:after="40"/>
              <w:rPr>
                <w:rFonts w:cstheme="minorHAnsi"/>
                <w:szCs w:val="18"/>
              </w:rPr>
            </w:pPr>
            <w:r w:rsidRPr="00AE5DAC">
              <w:rPr>
                <w:rFonts w:cstheme="minorHAnsi"/>
                <w:szCs w:val="18"/>
              </w:rPr>
              <w:t>Seawater</w:t>
            </w:r>
          </w:p>
        </w:tc>
        <w:tc>
          <w:tcPr>
            <w:tcW w:w="697" w:type="dxa"/>
            <w:tcBorders>
              <w:top w:val="single" w:sz="4" w:space="0" w:color="auto"/>
              <w:left w:val="nil"/>
              <w:bottom w:val="single" w:sz="4" w:space="0" w:color="auto"/>
              <w:right w:val="nil"/>
            </w:tcBorders>
          </w:tcPr>
          <w:p w14:paraId="36B28B1D" w14:textId="313B5731" w:rsidR="0075264E" w:rsidRPr="00AE5DAC" w:rsidRDefault="0075264E" w:rsidP="00DB10C8">
            <w:pPr>
              <w:pStyle w:val="TableText"/>
              <w:spacing w:before="40" w:after="40"/>
              <w:rPr>
                <w:rFonts w:cstheme="minorHAnsi"/>
                <w:szCs w:val="18"/>
              </w:rPr>
            </w:pPr>
            <w:r w:rsidRPr="00AE5DAC">
              <w:rPr>
                <w:rFonts w:cstheme="minorHAnsi"/>
                <w:szCs w:val="18"/>
              </w:rPr>
              <w:t>21</w:t>
            </w:r>
          </w:p>
        </w:tc>
        <w:tc>
          <w:tcPr>
            <w:tcW w:w="833" w:type="dxa"/>
            <w:tcBorders>
              <w:top w:val="single" w:sz="4" w:space="0" w:color="auto"/>
              <w:left w:val="nil"/>
              <w:bottom w:val="single" w:sz="4" w:space="0" w:color="auto"/>
              <w:right w:val="nil"/>
            </w:tcBorders>
          </w:tcPr>
          <w:p w14:paraId="7A8FAFF3" w14:textId="4C8CB03E" w:rsidR="0075264E" w:rsidRPr="00AE5DAC" w:rsidRDefault="0075264E" w:rsidP="00DB10C8">
            <w:pPr>
              <w:pStyle w:val="TableText"/>
              <w:spacing w:before="40" w:after="40"/>
              <w:rPr>
                <w:rFonts w:cstheme="minorHAnsi"/>
                <w:szCs w:val="18"/>
              </w:rPr>
            </w:pPr>
            <w:r w:rsidRPr="00AE5DAC">
              <w:rPr>
                <w:rFonts w:cstheme="minorHAnsi"/>
                <w:szCs w:val="18"/>
              </w:rPr>
              <w:t>30</w:t>
            </w:r>
          </w:p>
        </w:tc>
        <w:tc>
          <w:tcPr>
            <w:tcW w:w="765" w:type="dxa"/>
            <w:tcBorders>
              <w:top w:val="single" w:sz="4" w:space="0" w:color="auto"/>
              <w:left w:val="nil"/>
              <w:bottom w:val="single" w:sz="4" w:space="0" w:color="auto"/>
              <w:right w:val="nil"/>
            </w:tcBorders>
          </w:tcPr>
          <w:p w14:paraId="755DE400" w14:textId="4C521244" w:rsidR="0075264E" w:rsidRPr="00AE5DAC" w:rsidRDefault="0075264E" w:rsidP="00DB10C8">
            <w:pPr>
              <w:pStyle w:val="TableText"/>
              <w:spacing w:before="40" w:after="40"/>
              <w:rPr>
                <w:rFonts w:cstheme="minorHAnsi"/>
                <w:szCs w:val="18"/>
              </w:rPr>
            </w:pPr>
            <w:r w:rsidRPr="00AE5DAC">
              <w:rPr>
                <w:rFonts w:cstheme="minorHAnsi"/>
                <w:szCs w:val="18"/>
              </w:rPr>
              <w:t>7.9</w:t>
            </w:r>
          </w:p>
        </w:tc>
        <w:tc>
          <w:tcPr>
            <w:tcW w:w="1276" w:type="dxa"/>
            <w:tcBorders>
              <w:top w:val="single" w:sz="4" w:space="0" w:color="auto"/>
              <w:left w:val="nil"/>
              <w:bottom w:val="single" w:sz="4" w:space="0" w:color="auto"/>
              <w:right w:val="nil"/>
            </w:tcBorders>
          </w:tcPr>
          <w:p w14:paraId="2E00D567" w14:textId="03938915" w:rsidR="0075264E" w:rsidRDefault="0075264E" w:rsidP="00DB10C8">
            <w:pPr>
              <w:pStyle w:val="TableText"/>
              <w:spacing w:before="40" w:after="40"/>
              <w:ind w:right="284"/>
              <w:jc w:val="right"/>
              <w:rPr>
                <w:rFonts w:cstheme="minorHAnsi"/>
                <w:szCs w:val="18"/>
              </w:rPr>
            </w:pPr>
            <w:r>
              <w:rPr>
                <w:rFonts w:cstheme="minorHAnsi"/>
                <w:szCs w:val="18"/>
              </w:rPr>
              <w:t>1,020</w:t>
            </w:r>
          </w:p>
        </w:tc>
        <w:tc>
          <w:tcPr>
            <w:tcW w:w="1378" w:type="dxa"/>
            <w:tcBorders>
              <w:top w:val="single" w:sz="4" w:space="0" w:color="auto"/>
              <w:bottom w:val="single" w:sz="4" w:space="0" w:color="auto"/>
            </w:tcBorders>
          </w:tcPr>
          <w:p w14:paraId="71079E91" w14:textId="4DFE9DF4" w:rsidR="0075264E" w:rsidRPr="00AE5DAC" w:rsidRDefault="0075264E" w:rsidP="00DB10C8">
            <w:pPr>
              <w:pStyle w:val="TableText"/>
              <w:spacing w:before="40" w:after="40"/>
              <w:rPr>
                <w:rFonts w:cstheme="minorHAnsi"/>
                <w:szCs w:val="18"/>
              </w:rPr>
            </w:pPr>
            <w:r w:rsidRPr="00AE5DAC">
              <w:rPr>
                <w:rFonts w:cstheme="minorHAnsi"/>
                <w:szCs w:val="18"/>
              </w:rPr>
              <w:t xml:space="preserve">Markich </w:t>
            </w:r>
            <w:r>
              <w:rPr>
                <w:rFonts w:cstheme="minorHAnsi"/>
                <w:szCs w:val="18"/>
              </w:rPr>
              <w:t>(</w:t>
            </w:r>
            <w:r w:rsidRPr="00AE5DAC">
              <w:rPr>
                <w:rFonts w:cstheme="minorHAnsi"/>
                <w:szCs w:val="18"/>
              </w:rPr>
              <w:t>2021</w:t>
            </w:r>
            <w:r>
              <w:rPr>
                <w:rFonts w:cstheme="minorHAnsi"/>
                <w:szCs w:val="18"/>
              </w:rPr>
              <w:t>)</w:t>
            </w:r>
          </w:p>
        </w:tc>
      </w:tr>
      <w:tr w:rsidR="0075264E" w:rsidRPr="00191EC2" w14:paraId="7A22942B" w14:textId="77777777" w:rsidTr="002468C2">
        <w:trPr>
          <w:cantSplit/>
        </w:trPr>
        <w:tc>
          <w:tcPr>
            <w:tcW w:w="1711" w:type="dxa"/>
            <w:tcBorders>
              <w:top w:val="single" w:sz="4" w:space="0" w:color="auto"/>
              <w:left w:val="nil"/>
              <w:bottom w:val="single" w:sz="4" w:space="0" w:color="auto"/>
              <w:right w:val="nil"/>
            </w:tcBorders>
          </w:tcPr>
          <w:p w14:paraId="2FAA4665" w14:textId="013BE8E3" w:rsidR="0075264E" w:rsidRPr="002F16E6" w:rsidRDefault="0075264E" w:rsidP="00DB10C8">
            <w:pPr>
              <w:pStyle w:val="TableText"/>
              <w:spacing w:before="40" w:after="40"/>
              <w:rPr>
                <w:szCs w:val="18"/>
              </w:rPr>
            </w:pPr>
            <w:r>
              <w:rPr>
                <w:rFonts w:cstheme="minorHAnsi"/>
                <w:szCs w:val="18"/>
              </w:rPr>
              <w:t>Mollusc (bivalve)</w:t>
            </w:r>
          </w:p>
        </w:tc>
        <w:tc>
          <w:tcPr>
            <w:tcW w:w="1564" w:type="dxa"/>
            <w:tcBorders>
              <w:top w:val="single" w:sz="4" w:space="0" w:color="auto"/>
              <w:left w:val="nil"/>
              <w:bottom w:val="single" w:sz="4" w:space="0" w:color="auto"/>
              <w:right w:val="nil"/>
            </w:tcBorders>
          </w:tcPr>
          <w:p w14:paraId="325B6A62" w14:textId="7261F693" w:rsidR="0075264E" w:rsidRPr="002F16E6" w:rsidRDefault="0075264E" w:rsidP="00DB10C8">
            <w:pPr>
              <w:pStyle w:val="TableText"/>
              <w:spacing w:before="40" w:after="40"/>
              <w:rPr>
                <w:i/>
                <w:iCs/>
                <w:szCs w:val="18"/>
              </w:rPr>
            </w:pPr>
            <w:r w:rsidRPr="00AE5DAC">
              <w:rPr>
                <w:rFonts w:cstheme="minorHAnsi"/>
                <w:i/>
                <w:iCs/>
                <w:color w:val="000000"/>
                <w:szCs w:val="18"/>
              </w:rPr>
              <w:t>Magallana gigas</w:t>
            </w:r>
            <w:r w:rsidRPr="009F7C96">
              <w:rPr>
                <w:rFonts w:cstheme="minorHAnsi"/>
                <w:color w:val="000000"/>
                <w:szCs w:val="18"/>
                <w:vertAlign w:val="superscript"/>
              </w:rPr>
              <w:t>b</w:t>
            </w:r>
          </w:p>
        </w:tc>
        <w:tc>
          <w:tcPr>
            <w:tcW w:w="1450" w:type="dxa"/>
            <w:tcBorders>
              <w:top w:val="single" w:sz="4" w:space="0" w:color="auto"/>
              <w:left w:val="nil"/>
              <w:bottom w:val="single" w:sz="4" w:space="0" w:color="auto"/>
              <w:right w:val="nil"/>
            </w:tcBorders>
          </w:tcPr>
          <w:p w14:paraId="780CF555" w14:textId="0D398566" w:rsidR="0075264E" w:rsidRPr="002F16E6" w:rsidRDefault="0075264E" w:rsidP="00DB10C8">
            <w:pPr>
              <w:pStyle w:val="TableText"/>
              <w:spacing w:before="40" w:after="40"/>
              <w:rPr>
                <w:szCs w:val="18"/>
              </w:rPr>
            </w:pPr>
            <w:r w:rsidRPr="00AE5DAC">
              <w:rPr>
                <w:rFonts w:cstheme="minorHAnsi"/>
                <w:szCs w:val="18"/>
              </w:rPr>
              <w:t>Embryo</w:t>
            </w:r>
          </w:p>
        </w:tc>
        <w:tc>
          <w:tcPr>
            <w:tcW w:w="975" w:type="dxa"/>
            <w:tcBorders>
              <w:top w:val="single" w:sz="4" w:space="0" w:color="auto"/>
              <w:left w:val="nil"/>
              <w:bottom w:val="single" w:sz="4" w:space="0" w:color="auto"/>
              <w:right w:val="nil"/>
            </w:tcBorders>
          </w:tcPr>
          <w:p w14:paraId="242CC5E0" w14:textId="3CE32C14" w:rsidR="0075264E" w:rsidRPr="002F16E6" w:rsidRDefault="0075264E" w:rsidP="00DB10C8">
            <w:pPr>
              <w:pStyle w:val="TableText"/>
              <w:spacing w:before="40" w:after="40"/>
              <w:rPr>
                <w:szCs w:val="18"/>
              </w:rPr>
            </w:pPr>
            <w:r>
              <w:rPr>
                <w:rFonts w:cstheme="minorHAnsi"/>
                <w:szCs w:val="18"/>
              </w:rPr>
              <w:t>48</w:t>
            </w:r>
          </w:p>
        </w:tc>
        <w:tc>
          <w:tcPr>
            <w:tcW w:w="828" w:type="dxa"/>
            <w:tcBorders>
              <w:top w:val="single" w:sz="4" w:space="0" w:color="auto"/>
              <w:left w:val="nil"/>
              <w:bottom w:val="single" w:sz="4" w:space="0" w:color="auto"/>
              <w:right w:val="nil"/>
            </w:tcBorders>
          </w:tcPr>
          <w:p w14:paraId="64AFEFED" w14:textId="33870D8E" w:rsidR="0075264E" w:rsidRPr="002F16E6" w:rsidRDefault="0075264E" w:rsidP="00DB10C8">
            <w:pPr>
              <w:pStyle w:val="TableText"/>
              <w:spacing w:before="40" w:after="40"/>
              <w:rPr>
                <w:szCs w:val="18"/>
              </w:rPr>
            </w:pPr>
            <w:r>
              <w:rPr>
                <w:szCs w:val="18"/>
              </w:rPr>
              <w:t>Chronic</w:t>
            </w:r>
          </w:p>
        </w:tc>
        <w:tc>
          <w:tcPr>
            <w:tcW w:w="1406" w:type="dxa"/>
            <w:tcBorders>
              <w:top w:val="single" w:sz="4" w:space="0" w:color="auto"/>
              <w:left w:val="nil"/>
              <w:bottom w:val="single" w:sz="4" w:space="0" w:color="auto"/>
              <w:right w:val="nil"/>
            </w:tcBorders>
          </w:tcPr>
          <w:p w14:paraId="4C9430DC" w14:textId="6CE2F34F" w:rsidR="0075264E" w:rsidRPr="002F16E6" w:rsidRDefault="0075264E" w:rsidP="00DB10C8">
            <w:pPr>
              <w:pStyle w:val="TableText"/>
              <w:spacing w:before="40" w:after="40"/>
              <w:rPr>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1111" w:type="dxa"/>
            <w:tcBorders>
              <w:top w:val="single" w:sz="4" w:space="0" w:color="auto"/>
              <w:left w:val="nil"/>
              <w:bottom w:val="single" w:sz="4" w:space="0" w:color="auto"/>
              <w:right w:val="nil"/>
            </w:tcBorders>
          </w:tcPr>
          <w:p w14:paraId="6C2358FC" w14:textId="599CFF68" w:rsidR="0075264E" w:rsidRPr="002F16E6" w:rsidRDefault="0075264E" w:rsidP="00DB10C8">
            <w:pPr>
              <w:pStyle w:val="TableText"/>
              <w:spacing w:before="40" w:after="40"/>
              <w:rPr>
                <w:szCs w:val="18"/>
              </w:rPr>
            </w:pPr>
            <w:r w:rsidRPr="00AE5DAC">
              <w:rPr>
                <w:rFonts w:cstheme="minorHAnsi"/>
                <w:szCs w:val="18"/>
              </w:rPr>
              <w:t>Seawater</w:t>
            </w:r>
          </w:p>
        </w:tc>
        <w:tc>
          <w:tcPr>
            <w:tcW w:w="697" w:type="dxa"/>
            <w:tcBorders>
              <w:top w:val="single" w:sz="4" w:space="0" w:color="auto"/>
              <w:left w:val="nil"/>
              <w:bottom w:val="single" w:sz="4" w:space="0" w:color="auto"/>
              <w:right w:val="nil"/>
            </w:tcBorders>
          </w:tcPr>
          <w:p w14:paraId="2319BF6C" w14:textId="76FF0D39" w:rsidR="0075264E" w:rsidRPr="002F16E6" w:rsidRDefault="0075264E" w:rsidP="00DB10C8">
            <w:pPr>
              <w:pStyle w:val="TableText"/>
              <w:spacing w:before="40" w:after="40"/>
              <w:rPr>
                <w:szCs w:val="18"/>
              </w:rPr>
            </w:pPr>
            <w:r w:rsidRPr="00AE5DAC">
              <w:rPr>
                <w:rFonts w:cstheme="minorHAnsi"/>
                <w:szCs w:val="18"/>
              </w:rPr>
              <w:t>21</w:t>
            </w:r>
          </w:p>
        </w:tc>
        <w:tc>
          <w:tcPr>
            <w:tcW w:w="833" w:type="dxa"/>
            <w:tcBorders>
              <w:top w:val="single" w:sz="4" w:space="0" w:color="auto"/>
              <w:left w:val="nil"/>
              <w:bottom w:val="single" w:sz="4" w:space="0" w:color="auto"/>
              <w:right w:val="nil"/>
            </w:tcBorders>
          </w:tcPr>
          <w:p w14:paraId="2DD16016" w14:textId="31AB38BF" w:rsidR="0075264E" w:rsidRPr="002F16E6" w:rsidRDefault="0075264E" w:rsidP="00DB10C8">
            <w:pPr>
              <w:pStyle w:val="TableText"/>
              <w:spacing w:before="40" w:after="40"/>
              <w:rPr>
                <w:szCs w:val="18"/>
              </w:rPr>
            </w:pPr>
            <w:r w:rsidRPr="00AE5DAC">
              <w:rPr>
                <w:rFonts w:cstheme="minorHAnsi"/>
                <w:szCs w:val="18"/>
              </w:rPr>
              <w:t>30</w:t>
            </w:r>
          </w:p>
        </w:tc>
        <w:tc>
          <w:tcPr>
            <w:tcW w:w="765" w:type="dxa"/>
            <w:tcBorders>
              <w:top w:val="single" w:sz="4" w:space="0" w:color="auto"/>
              <w:left w:val="nil"/>
              <w:bottom w:val="single" w:sz="4" w:space="0" w:color="auto"/>
              <w:right w:val="nil"/>
            </w:tcBorders>
          </w:tcPr>
          <w:p w14:paraId="545FFB44" w14:textId="10ACC6BD" w:rsidR="0075264E" w:rsidRPr="002F16E6" w:rsidRDefault="0075264E" w:rsidP="00DB10C8">
            <w:pPr>
              <w:pStyle w:val="TableText"/>
              <w:spacing w:before="40" w:after="40"/>
              <w:rPr>
                <w:szCs w:val="18"/>
              </w:rPr>
            </w:pPr>
            <w:r w:rsidRPr="00AE5DAC">
              <w:rPr>
                <w:rFonts w:cstheme="minorHAnsi"/>
                <w:szCs w:val="18"/>
              </w:rPr>
              <w:t>7.9</w:t>
            </w:r>
          </w:p>
        </w:tc>
        <w:tc>
          <w:tcPr>
            <w:tcW w:w="1276" w:type="dxa"/>
            <w:tcBorders>
              <w:top w:val="single" w:sz="4" w:space="0" w:color="auto"/>
              <w:left w:val="nil"/>
              <w:bottom w:val="single" w:sz="4" w:space="0" w:color="auto"/>
              <w:right w:val="nil"/>
            </w:tcBorders>
          </w:tcPr>
          <w:p w14:paraId="0137404A" w14:textId="2BB026EA" w:rsidR="0075264E" w:rsidRPr="002F16E6" w:rsidRDefault="0075264E" w:rsidP="00DB10C8">
            <w:pPr>
              <w:pStyle w:val="TableText"/>
              <w:spacing w:before="40" w:after="40"/>
              <w:ind w:right="284"/>
              <w:jc w:val="right"/>
              <w:rPr>
                <w:szCs w:val="18"/>
              </w:rPr>
            </w:pPr>
            <w:r>
              <w:rPr>
                <w:rFonts w:cstheme="minorHAnsi"/>
                <w:szCs w:val="18"/>
              </w:rPr>
              <w:t>724</w:t>
            </w:r>
          </w:p>
        </w:tc>
        <w:tc>
          <w:tcPr>
            <w:tcW w:w="1378" w:type="dxa"/>
            <w:tcBorders>
              <w:top w:val="single" w:sz="4" w:space="0" w:color="auto"/>
              <w:bottom w:val="single" w:sz="4" w:space="0" w:color="auto"/>
            </w:tcBorders>
          </w:tcPr>
          <w:p w14:paraId="3FAA0F87" w14:textId="5C9EBC59" w:rsidR="0075264E" w:rsidRPr="002F16E6" w:rsidRDefault="0075264E" w:rsidP="00DB10C8">
            <w:pPr>
              <w:pStyle w:val="TableText"/>
              <w:spacing w:before="40" w:after="40"/>
              <w:rPr>
                <w:szCs w:val="18"/>
              </w:rPr>
            </w:pPr>
            <w:r w:rsidRPr="00AE5DAC">
              <w:rPr>
                <w:rFonts w:cstheme="minorHAnsi"/>
                <w:szCs w:val="18"/>
              </w:rPr>
              <w:t xml:space="preserve">Markich </w:t>
            </w:r>
            <w:r>
              <w:rPr>
                <w:rFonts w:cstheme="minorHAnsi"/>
                <w:szCs w:val="18"/>
              </w:rPr>
              <w:t>(</w:t>
            </w:r>
            <w:r w:rsidRPr="00AE5DAC">
              <w:rPr>
                <w:rFonts w:cstheme="minorHAnsi"/>
                <w:szCs w:val="18"/>
              </w:rPr>
              <w:t>2021</w:t>
            </w:r>
            <w:r>
              <w:rPr>
                <w:rFonts w:cstheme="minorHAnsi"/>
                <w:szCs w:val="18"/>
              </w:rPr>
              <w:t>)</w:t>
            </w:r>
          </w:p>
        </w:tc>
      </w:tr>
      <w:tr w:rsidR="0075264E" w:rsidRPr="00191EC2" w14:paraId="44F57B20" w14:textId="77777777" w:rsidTr="002468C2">
        <w:trPr>
          <w:cantSplit/>
        </w:trPr>
        <w:tc>
          <w:tcPr>
            <w:tcW w:w="1711" w:type="dxa"/>
            <w:tcBorders>
              <w:top w:val="single" w:sz="4" w:space="0" w:color="auto"/>
              <w:left w:val="nil"/>
              <w:bottom w:val="single" w:sz="4" w:space="0" w:color="auto"/>
              <w:right w:val="nil"/>
            </w:tcBorders>
          </w:tcPr>
          <w:p w14:paraId="1B9B3108" w14:textId="539AF884" w:rsidR="0075264E" w:rsidRPr="002F16E6" w:rsidRDefault="0075264E" w:rsidP="00DB10C8">
            <w:pPr>
              <w:pStyle w:val="TableText"/>
              <w:spacing w:before="40" w:after="40"/>
              <w:rPr>
                <w:szCs w:val="18"/>
              </w:rPr>
            </w:pPr>
            <w:r>
              <w:rPr>
                <w:rFonts w:cstheme="minorHAnsi"/>
                <w:szCs w:val="18"/>
              </w:rPr>
              <w:t>Mollusc (bivalve)</w:t>
            </w:r>
          </w:p>
        </w:tc>
        <w:tc>
          <w:tcPr>
            <w:tcW w:w="1564" w:type="dxa"/>
            <w:tcBorders>
              <w:top w:val="single" w:sz="4" w:space="0" w:color="auto"/>
              <w:left w:val="nil"/>
              <w:bottom w:val="single" w:sz="4" w:space="0" w:color="auto"/>
              <w:right w:val="nil"/>
            </w:tcBorders>
          </w:tcPr>
          <w:p w14:paraId="2BB4B9AD" w14:textId="7B3CB9B7" w:rsidR="0075264E" w:rsidRPr="002F16E6" w:rsidRDefault="0075264E" w:rsidP="00DB10C8">
            <w:pPr>
              <w:pStyle w:val="TableText"/>
              <w:spacing w:before="40" w:after="40"/>
              <w:rPr>
                <w:i/>
                <w:iCs/>
                <w:szCs w:val="18"/>
              </w:rPr>
            </w:pPr>
            <w:r w:rsidRPr="00AE5DAC">
              <w:rPr>
                <w:rFonts w:cstheme="minorHAnsi"/>
                <w:i/>
                <w:iCs/>
                <w:color w:val="000000"/>
                <w:szCs w:val="18"/>
              </w:rPr>
              <w:t>Saccostrea glomerata</w:t>
            </w:r>
          </w:p>
        </w:tc>
        <w:tc>
          <w:tcPr>
            <w:tcW w:w="1450" w:type="dxa"/>
            <w:tcBorders>
              <w:top w:val="single" w:sz="4" w:space="0" w:color="auto"/>
              <w:left w:val="nil"/>
              <w:bottom w:val="single" w:sz="4" w:space="0" w:color="auto"/>
              <w:right w:val="nil"/>
            </w:tcBorders>
          </w:tcPr>
          <w:p w14:paraId="4F43FD69" w14:textId="67B5D8D4" w:rsidR="0075264E" w:rsidRPr="002F16E6" w:rsidRDefault="0075264E" w:rsidP="00DB10C8">
            <w:pPr>
              <w:pStyle w:val="TableText"/>
              <w:spacing w:before="40" w:after="40"/>
              <w:rPr>
                <w:szCs w:val="18"/>
              </w:rPr>
            </w:pPr>
            <w:r w:rsidRPr="00AE5DAC">
              <w:rPr>
                <w:rFonts w:cstheme="minorHAnsi"/>
                <w:szCs w:val="18"/>
              </w:rPr>
              <w:t>Embryo</w:t>
            </w:r>
          </w:p>
        </w:tc>
        <w:tc>
          <w:tcPr>
            <w:tcW w:w="975" w:type="dxa"/>
            <w:tcBorders>
              <w:top w:val="single" w:sz="4" w:space="0" w:color="auto"/>
              <w:left w:val="nil"/>
              <w:bottom w:val="single" w:sz="4" w:space="0" w:color="auto"/>
              <w:right w:val="nil"/>
            </w:tcBorders>
          </w:tcPr>
          <w:p w14:paraId="7E5D7DA2" w14:textId="76322D51" w:rsidR="0075264E" w:rsidRPr="002F16E6" w:rsidRDefault="0075264E" w:rsidP="00DB10C8">
            <w:pPr>
              <w:pStyle w:val="TableText"/>
              <w:spacing w:before="40" w:after="40"/>
              <w:rPr>
                <w:szCs w:val="18"/>
              </w:rPr>
            </w:pPr>
            <w:r>
              <w:rPr>
                <w:rFonts w:cstheme="minorHAnsi"/>
                <w:szCs w:val="18"/>
              </w:rPr>
              <w:t>48</w:t>
            </w:r>
          </w:p>
        </w:tc>
        <w:tc>
          <w:tcPr>
            <w:tcW w:w="828" w:type="dxa"/>
            <w:tcBorders>
              <w:top w:val="single" w:sz="4" w:space="0" w:color="auto"/>
              <w:left w:val="nil"/>
              <w:bottom w:val="single" w:sz="4" w:space="0" w:color="auto"/>
              <w:right w:val="nil"/>
            </w:tcBorders>
          </w:tcPr>
          <w:p w14:paraId="63A99D8B" w14:textId="55321D01" w:rsidR="0075264E" w:rsidRPr="002F16E6" w:rsidRDefault="0075264E" w:rsidP="00DB10C8">
            <w:pPr>
              <w:pStyle w:val="TableText"/>
              <w:spacing w:before="40" w:after="40"/>
              <w:rPr>
                <w:szCs w:val="18"/>
              </w:rPr>
            </w:pPr>
            <w:r>
              <w:rPr>
                <w:szCs w:val="18"/>
              </w:rPr>
              <w:t xml:space="preserve">Chronic </w:t>
            </w:r>
          </w:p>
        </w:tc>
        <w:tc>
          <w:tcPr>
            <w:tcW w:w="1406" w:type="dxa"/>
            <w:tcBorders>
              <w:top w:val="single" w:sz="4" w:space="0" w:color="auto"/>
              <w:left w:val="nil"/>
              <w:bottom w:val="single" w:sz="4" w:space="0" w:color="auto"/>
              <w:right w:val="nil"/>
            </w:tcBorders>
          </w:tcPr>
          <w:p w14:paraId="7D0DDAB3" w14:textId="0A14C559" w:rsidR="0075264E" w:rsidRPr="002F16E6" w:rsidRDefault="0075264E" w:rsidP="00DB10C8">
            <w:pPr>
              <w:pStyle w:val="TableText"/>
              <w:spacing w:before="40" w:after="40"/>
              <w:rPr>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1111" w:type="dxa"/>
            <w:tcBorders>
              <w:top w:val="single" w:sz="4" w:space="0" w:color="auto"/>
              <w:left w:val="nil"/>
              <w:bottom w:val="single" w:sz="4" w:space="0" w:color="auto"/>
              <w:right w:val="nil"/>
            </w:tcBorders>
          </w:tcPr>
          <w:p w14:paraId="178BF2E0" w14:textId="59E3AD64" w:rsidR="0075264E" w:rsidRPr="002F16E6" w:rsidRDefault="0075264E" w:rsidP="00DB10C8">
            <w:pPr>
              <w:pStyle w:val="TableText"/>
              <w:spacing w:before="40" w:after="40"/>
              <w:rPr>
                <w:szCs w:val="18"/>
              </w:rPr>
            </w:pPr>
            <w:r w:rsidRPr="00AE5DAC">
              <w:rPr>
                <w:rFonts w:cstheme="minorHAnsi"/>
                <w:szCs w:val="18"/>
              </w:rPr>
              <w:t>Seawater</w:t>
            </w:r>
          </w:p>
        </w:tc>
        <w:tc>
          <w:tcPr>
            <w:tcW w:w="697" w:type="dxa"/>
            <w:tcBorders>
              <w:top w:val="single" w:sz="4" w:space="0" w:color="auto"/>
              <w:left w:val="nil"/>
              <w:bottom w:val="single" w:sz="4" w:space="0" w:color="auto"/>
              <w:right w:val="nil"/>
            </w:tcBorders>
          </w:tcPr>
          <w:p w14:paraId="6EF139F0" w14:textId="0E7FA8CD" w:rsidR="0075264E" w:rsidRPr="002F16E6" w:rsidRDefault="0075264E" w:rsidP="00DB10C8">
            <w:pPr>
              <w:pStyle w:val="TableText"/>
              <w:spacing w:before="40" w:after="40"/>
              <w:rPr>
                <w:szCs w:val="18"/>
              </w:rPr>
            </w:pPr>
            <w:r w:rsidRPr="00AE5DAC">
              <w:rPr>
                <w:rFonts w:cstheme="minorHAnsi"/>
                <w:szCs w:val="18"/>
              </w:rPr>
              <w:t>21</w:t>
            </w:r>
          </w:p>
        </w:tc>
        <w:tc>
          <w:tcPr>
            <w:tcW w:w="833" w:type="dxa"/>
            <w:tcBorders>
              <w:top w:val="single" w:sz="4" w:space="0" w:color="auto"/>
              <w:left w:val="nil"/>
              <w:bottom w:val="single" w:sz="4" w:space="0" w:color="auto"/>
              <w:right w:val="nil"/>
            </w:tcBorders>
          </w:tcPr>
          <w:p w14:paraId="37489FBA" w14:textId="527B8149" w:rsidR="0075264E" w:rsidRPr="002F16E6" w:rsidRDefault="0075264E" w:rsidP="00DB10C8">
            <w:pPr>
              <w:pStyle w:val="TableText"/>
              <w:spacing w:before="40" w:after="40"/>
              <w:rPr>
                <w:szCs w:val="18"/>
              </w:rPr>
            </w:pPr>
            <w:r w:rsidRPr="00AE5DAC">
              <w:rPr>
                <w:rFonts w:cstheme="minorHAnsi"/>
                <w:szCs w:val="18"/>
              </w:rPr>
              <w:t>30</w:t>
            </w:r>
          </w:p>
        </w:tc>
        <w:tc>
          <w:tcPr>
            <w:tcW w:w="765" w:type="dxa"/>
            <w:tcBorders>
              <w:top w:val="single" w:sz="4" w:space="0" w:color="auto"/>
              <w:left w:val="nil"/>
              <w:bottom w:val="single" w:sz="4" w:space="0" w:color="auto"/>
              <w:right w:val="nil"/>
            </w:tcBorders>
          </w:tcPr>
          <w:p w14:paraId="78248001" w14:textId="671BABED" w:rsidR="0075264E" w:rsidRPr="002F16E6" w:rsidRDefault="0075264E" w:rsidP="00DB10C8">
            <w:pPr>
              <w:pStyle w:val="TableText"/>
              <w:spacing w:before="40" w:after="40"/>
              <w:rPr>
                <w:szCs w:val="18"/>
              </w:rPr>
            </w:pPr>
            <w:r w:rsidRPr="00AE5DAC">
              <w:rPr>
                <w:rFonts w:cstheme="minorHAnsi"/>
                <w:szCs w:val="18"/>
              </w:rPr>
              <w:t>7.9</w:t>
            </w:r>
          </w:p>
        </w:tc>
        <w:tc>
          <w:tcPr>
            <w:tcW w:w="1276" w:type="dxa"/>
            <w:tcBorders>
              <w:top w:val="single" w:sz="4" w:space="0" w:color="auto"/>
              <w:left w:val="nil"/>
              <w:bottom w:val="single" w:sz="4" w:space="0" w:color="auto"/>
              <w:right w:val="nil"/>
            </w:tcBorders>
          </w:tcPr>
          <w:p w14:paraId="2B4F939C" w14:textId="06382823" w:rsidR="0075264E" w:rsidRPr="002F16E6" w:rsidRDefault="0075264E" w:rsidP="00DB10C8">
            <w:pPr>
              <w:pStyle w:val="TableText"/>
              <w:spacing w:before="40" w:after="40"/>
              <w:ind w:right="284"/>
              <w:jc w:val="right"/>
              <w:rPr>
                <w:szCs w:val="18"/>
              </w:rPr>
            </w:pPr>
            <w:r>
              <w:rPr>
                <w:rFonts w:cstheme="minorHAnsi"/>
                <w:szCs w:val="18"/>
              </w:rPr>
              <w:t>738</w:t>
            </w:r>
          </w:p>
        </w:tc>
        <w:tc>
          <w:tcPr>
            <w:tcW w:w="1378" w:type="dxa"/>
            <w:tcBorders>
              <w:top w:val="single" w:sz="4" w:space="0" w:color="auto"/>
              <w:bottom w:val="single" w:sz="4" w:space="0" w:color="auto"/>
            </w:tcBorders>
          </w:tcPr>
          <w:p w14:paraId="26DE9B38" w14:textId="73ADB6A3" w:rsidR="0075264E" w:rsidRPr="002F16E6" w:rsidRDefault="0075264E" w:rsidP="00DB10C8">
            <w:pPr>
              <w:pStyle w:val="TableText"/>
              <w:spacing w:before="40" w:after="40"/>
              <w:rPr>
                <w:szCs w:val="18"/>
              </w:rPr>
            </w:pPr>
            <w:r w:rsidRPr="00AE5DAC">
              <w:rPr>
                <w:rFonts w:cstheme="minorHAnsi"/>
                <w:szCs w:val="18"/>
              </w:rPr>
              <w:t xml:space="preserve">Markich </w:t>
            </w:r>
            <w:r>
              <w:rPr>
                <w:rFonts w:cstheme="minorHAnsi"/>
                <w:szCs w:val="18"/>
              </w:rPr>
              <w:t>(</w:t>
            </w:r>
            <w:r w:rsidRPr="00AE5DAC">
              <w:rPr>
                <w:rFonts w:cstheme="minorHAnsi"/>
                <w:szCs w:val="18"/>
              </w:rPr>
              <w:t>2021</w:t>
            </w:r>
            <w:r>
              <w:rPr>
                <w:rFonts w:cstheme="minorHAnsi"/>
                <w:szCs w:val="18"/>
              </w:rPr>
              <w:t>)</w:t>
            </w:r>
          </w:p>
        </w:tc>
      </w:tr>
      <w:tr w:rsidR="0075264E" w:rsidRPr="00191EC2" w14:paraId="33F60A24" w14:textId="77777777" w:rsidTr="002468C2">
        <w:trPr>
          <w:cantSplit/>
        </w:trPr>
        <w:tc>
          <w:tcPr>
            <w:tcW w:w="1711" w:type="dxa"/>
            <w:tcBorders>
              <w:top w:val="single" w:sz="4" w:space="0" w:color="auto"/>
              <w:left w:val="nil"/>
              <w:bottom w:val="single" w:sz="4" w:space="0" w:color="auto"/>
              <w:right w:val="nil"/>
            </w:tcBorders>
          </w:tcPr>
          <w:p w14:paraId="29EF148E" w14:textId="41C72831" w:rsidR="0075264E" w:rsidRDefault="0075264E" w:rsidP="00DB10C8">
            <w:pPr>
              <w:pStyle w:val="TableText"/>
              <w:spacing w:before="40" w:after="40"/>
              <w:rPr>
                <w:rFonts w:cstheme="minorHAnsi"/>
                <w:szCs w:val="18"/>
              </w:rPr>
            </w:pPr>
            <w:r>
              <w:rPr>
                <w:rFonts w:cstheme="minorHAnsi"/>
                <w:szCs w:val="18"/>
              </w:rPr>
              <w:t>Mollusc (bivalve)</w:t>
            </w:r>
          </w:p>
        </w:tc>
        <w:tc>
          <w:tcPr>
            <w:tcW w:w="1564" w:type="dxa"/>
            <w:tcBorders>
              <w:top w:val="single" w:sz="4" w:space="0" w:color="auto"/>
              <w:left w:val="nil"/>
              <w:bottom w:val="single" w:sz="4" w:space="0" w:color="auto"/>
              <w:right w:val="nil"/>
            </w:tcBorders>
          </w:tcPr>
          <w:p w14:paraId="53F4631A" w14:textId="2378DAFC" w:rsidR="0075264E" w:rsidRPr="00AE5DAC" w:rsidRDefault="0075264E" w:rsidP="00DB10C8">
            <w:pPr>
              <w:pStyle w:val="TableText"/>
              <w:spacing w:before="40" w:after="40"/>
              <w:rPr>
                <w:rFonts w:cstheme="minorHAnsi"/>
                <w:i/>
                <w:iCs/>
                <w:color w:val="000000"/>
                <w:szCs w:val="18"/>
              </w:rPr>
            </w:pPr>
            <w:r w:rsidRPr="00AE5DAC">
              <w:rPr>
                <w:rFonts w:cstheme="minorHAnsi"/>
                <w:i/>
                <w:iCs/>
                <w:color w:val="000000"/>
                <w:szCs w:val="18"/>
              </w:rPr>
              <w:t>Scaeochlamys livida</w:t>
            </w:r>
          </w:p>
        </w:tc>
        <w:tc>
          <w:tcPr>
            <w:tcW w:w="1450" w:type="dxa"/>
            <w:tcBorders>
              <w:top w:val="single" w:sz="4" w:space="0" w:color="auto"/>
              <w:left w:val="nil"/>
              <w:bottom w:val="single" w:sz="4" w:space="0" w:color="auto"/>
              <w:right w:val="nil"/>
            </w:tcBorders>
          </w:tcPr>
          <w:p w14:paraId="618ABC47" w14:textId="6E75C87D" w:rsidR="0075264E" w:rsidRPr="00AE5DAC" w:rsidRDefault="0075264E" w:rsidP="00DB10C8">
            <w:pPr>
              <w:pStyle w:val="TableText"/>
              <w:spacing w:before="40" w:after="40"/>
              <w:rPr>
                <w:rFonts w:cstheme="minorHAnsi"/>
                <w:szCs w:val="18"/>
              </w:rPr>
            </w:pPr>
            <w:r w:rsidRPr="00AE5DAC">
              <w:rPr>
                <w:rFonts w:cstheme="minorHAnsi"/>
                <w:szCs w:val="18"/>
              </w:rPr>
              <w:t>Embryo</w:t>
            </w:r>
          </w:p>
        </w:tc>
        <w:tc>
          <w:tcPr>
            <w:tcW w:w="975" w:type="dxa"/>
            <w:tcBorders>
              <w:top w:val="single" w:sz="4" w:space="0" w:color="auto"/>
              <w:left w:val="nil"/>
              <w:bottom w:val="single" w:sz="4" w:space="0" w:color="auto"/>
              <w:right w:val="nil"/>
            </w:tcBorders>
          </w:tcPr>
          <w:p w14:paraId="2265D5D9" w14:textId="37996689" w:rsidR="0075264E" w:rsidRDefault="0075264E" w:rsidP="00DB10C8">
            <w:pPr>
              <w:pStyle w:val="TableText"/>
              <w:spacing w:before="40" w:after="40"/>
              <w:rPr>
                <w:rFonts w:cstheme="minorHAnsi"/>
                <w:szCs w:val="18"/>
              </w:rPr>
            </w:pPr>
            <w:r>
              <w:rPr>
                <w:rFonts w:cstheme="minorHAnsi"/>
                <w:szCs w:val="18"/>
              </w:rPr>
              <w:t>48</w:t>
            </w:r>
          </w:p>
        </w:tc>
        <w:tc>
          <w:tcPr>
            <w:tcW w:w="828" w:type="dxa"/>
            <w:tcBorders>
              <w:top w:val="single" w:sz="4" w:space="0" w:color="auto"/>
              <w:left w:val="nil"/>
              <w:bottom w:val="single" w:sz="4" w:space="0" w:color="auto"/>
              <w:right w:val="nil"/>
            </w:tcBorders>
          </w:tcPr>
          <w:p w14:paraId="37C9A872" w14:textId="12FF6AAB" w:rsidR="0075264E" w:rsidRDefault="0075264E" w:rsidP="00DB10C8">
            <w:pPr>
              <w:pStyle w:val="TableText"/>
              <w:spacing w:before="40" w:after="40"/>
              <w:rPr>
                <w:szCs w:val="18"/>
              </w:rPr>
            </w:pPr>
            <w:r>
              <w:rPr>
                <w:szCs w:val="18"/>
              </w:rPr>
              <w:t>Chronic</w:t>
            </w:r>
          </w:p>
        </w:tc>
        <w:tc>
          <w:tcPr>
            <w:tcW w:w="1406" w:type="dxa"/>
            <w:tcBorders>
              <w:top w:val="single" w:sz="4" w:space="0" w:color="auto"/>
              <w:left w:val="nil"/>
              <w:bottom w:val="single" w:sz="4" w:space="0" w:color="auto"/>
              <w:right w:val="nil"/>
            </w:tcBorders>
          </w:tcPr>
          <w:p w14:paraId="4E4FE33F" w14:textId="6BABCDE0" w:rsidR="0075264E" w:rsidRPr="00AE5DAC" w:rsidRDefault="0075264E" w:rsidP="00DB10C8">
            <w:pPr>
              <w:pStyle w:val="TableText"/>
              <w:spacing w:before="40" w:after="40"/>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1111" w:type="dxa"/>
            <w:tcBorders>
              <w:top w:val="single" w:sz="4" w:space="0" w:color="auto"/>
              <w:left w:val="nil"/>
              <w:bottom w:val="single" w:sz="4" w:space="0" w:color="auto"/>
              <w:right w:val="nil"/>
            </w:tcBorders>
          </w:tcPr>
          <w:p w14:paraId="69CDCCD0" w14:textId="39060D93" w:rsidR="0075264E" w:rsidRPr="00AE5DAC" w:rsidRDefault="0075264E" w:rsidP="00DB10C8">
            <w:pPr>
              <w:pStyle w:val="TableText"/>
              <w:spacing w:before="40" w:after="40"/>
              <w:rPr>
                <w:rFonts w:cstheme="minorHAnsi"/>
                <w:szCs w:val="18"/>
              </w:rPr>
            </w:pPr>
            <w:r w:rsidRPr="00AE5DAC">
              <w:rPr>
                <w:rFonts w:cstheme="minorHAnsi"/>
                <w:szCs w:val="18"/>
              </w:rPr>
              <w:t>Seawater</w:t>
            </w:r>
          </w:p>
        </w:tc>
        <w:tc>
          <w:tcPr>
            <w:tcW w:w="697" w:type="dxa"/>
            <w:tcBorders>
              <w:top w:val="single" w:sz="4" w:space="0" w:color="auto"/>
              <w:left w:val="nil"/>
              <w:bottom w:val="single" w:sz="4" w:space="0" w:color="auto"/>
              <w:right w:val="nil"/>
            </w:tcBorders>
          </w:tcPr>
          <w:p w14:paraId="17373B1B" w14:textId="38439C57" w:rsidR="0075264E" w:rsidRPr="00AE5DAC" w:rsidRDefault="0075264E" w:rsidP="00DB10C8">
            <w:pPr>
              <w:pStyle w:val="TableText"/>
              <w:spacing w:before="40" w:after="40"/>
              <w:rPr>
                <w:rFonts w:cstheme="minorHAnsi"/>
                <w:szCs w:val="18"/>
              </w:rPr>
            </w:pPr>
            <w:r w:rsidRPr="00AE5DAC">
              <w:rPr>
                <w:rFonts w:cstheme="minorHAnsi"/>
                <w:szCs w:val="18"/>
              </w:rPr>
              <w:t>21</w:t>
            </w:r>
          </w:p>
        </w:tc>
        <w:tc>
          <w:tcPr>
            <w:tcW w:w="833" w:type="dxa"/>
            <w:tcBorders>
              <w:top w:val="single" w:sz="4" w:space="0" w:color="auto"/>
              <w:left w:val="nil"/>
              <w:bottom w:val="single" w:sz="4" w:space="0" w:color="auto"/>
              <w:right w:val="nil"/>
            </w:tcBorders>
          </w:tcPr>
          <w:p w14:paraId="3CE331BB" w14:textId="14D18A94" w:rsidR="0075264E" w:rsidRPr="00AE5DAC" w:rsidRDefault="0075264E" w:rsidP="00DB10C8">
            <w:pPr>
              <w:pStyle w:val="TableText"/>
              <w:spacing w:before="40" w:after="40"/>
              <w:rPr>
                <w:rFonts w:cstheme="minorHAnsi"/>
                <w:szCs w:val="18"/>
              </w:rPr>
            </w:pPr>
            <w:r w:rsidRPr="00AE5DAC">
              <w:rPr>
                <w:rFonts w:cstheme="minorHAnsi"/>
                <w:szCs w:val="18"/>
              </w:rPr>
              <w:t>30</w:t>
            </w:r>
          </w:p>
        </w:tc>
        <w:tc>
          <w:tcPr>
            <w:tcW w:w="765" w:type="dxa"/>
            <w:tcBorders>
              <w:top w:val="single" w:sz="4" w:space="0" w:color="auto"/>
              <w:left w:val="nil"/>
              <w:bottom w:val="single" w:sz="4" w:space="0" w:color="auto"/>
              <w:right w:val="nil"/>
            </w:tcBorders>
          </w:tcPr>
          <w:p w14:paraId="72F7B23D" w14:textId="45BE027E" w:rsidR="0075264E" w:rsidRPr="00AE5DAC" w:rsidRDefault="0075264E" w:rsidP="00DB10C8">
            <w:pPr>
              <w:pStyle w:val="TableText"/>
              <w:spacing w:before="40" w:after="40"/>
              <w:rPr>
                <w:rFonts w:cstheme="minorHAnsi"/>
                <w:szCs w:val="18"/>
              </w:rPr>
            </w:pPr>
            <w:r w:rsidRPr="00AE5DAC">
              <w:rPr>
                <w:rFonts w:cstheme="minorHAnsi"/>
                <w:szCs w:val="18"/>
              </w:rPr>
              <w:t>7.9</w:t>
            </w:r>
          </w:p>
        </w:tc>
        <w:tc>
          <w:tcPr>
            <w:tcW w:w="1276" w:type="dxa"/>
            <w:tcBorders>
              <w:top w:val="single" w:sz="4" w:space="0" w:color="auto"/>
              <w:left w:val="nil"/>
              <w:bottom w:val="single" w:sz="4" w:space="0" w:color="auto"/>
              <w:right w:val="nil"/>
            </w:tcBorders>
          </w:tcPr>
          <w:p w14:paraId="237DD02A" w14:textId="2572747E" w:rsidR="0075264E" w:rsidRDefault="0075264E" w:rsidP="00DB10C8">
            <w:pPr>
              <w:pStyle w:val="TableText"/>
              <w:spacing w:before="40" w:after="40"/>
              <w:ind w:right="284"/>
              <w:jc w:val="right"/>
              <w:rPr>
                <w:rFonts w:cstheme="minorHAnsi"/>
                <w:szCs w:val="18"/>
              </w:rPr>
            </w:pPr>
            <w:r>
              <w:rPr>
                <w:rFonts w:cstheme="minorHAnsi"/>
                <w:szCs w:val="18"/>
              </w:rPr>
              <w:t>1,270</w:t>
            </w:r>
          </w:p>
        </w:tc>
        <w:tc>
          <w:tcPr>
            <w:tcW w:w="1378" w:type="dxa"/>
            <w:tcBorders>
              <w:top w:val="single" w:sz="4" w:space="0" w:color="auto"/>
              <w:bottom w:val="single" w:sz="4" w:space="0" w:color="auto"/>
            </w:tcBorders>
          </w:tcPr>
          <w:p w14:paraId="2CA7946E" w14:textId="32EBBBA6" w:rsidR="0075264E" w:rsidRPr="00AE5DAC" w:rsidRDefault="0075264E" w:rsidP="00DB10C8">
            <w:pPr>
              <w:pStyle w:val="TableText"/>
              <w:spacing w:before="40" w:after="40"/>
              <w:rPr>
                <w:rFonts w:cstheme="minorHAnsi"/>
                <w:szCs w:val="18"/>
              </w:rPr>
            </w:pPr>
            <w:r w:rsidRPr="00AE5DAC">
              <w:rPr>
                <w:rFonts w:cstheme="minorHAnsi"/>
                <w:szCs w:val="18"/>
              </w:rPr>
              <w:t xml:space="preserve">Markich </w:t>
            </w:r>
            <w:r>
              <w:rPr>
                <w:rFonts w:cstheme="minorHAnsi"/>
                <w:szCs w:val="18"/>
              </w:rPr>
              <w:t>(</w:t>
            </w:r>
            <w:r w:rsidRPr="00AE5DAC">
              <w:rPr>
                <w:rFonts w:cstheme="minorHAnsi"/>
                <w:szCs w:val="18"/>
              </w:rPr>
              <w:t>2021</w:t>
            </w:r>
            <w:r>
              <w:rPr>
                <w:rFonts w:cstheme="minorHAnsi"/>
                <w:szCs w:val="18"/>
              </w:rPr>
              <w:t>)</w:t>
            </w:r>
          </w:p>
        </w:tc>
      </w:tr>
      <w:tr w:rsidR="0075264E" w:rsidRPr="00191EC2" w14:paraId="4B763FCA" w14:textId="77777777" w:rsidTr="002468C2">
        <w:trPr>
          <w:cantSplit/>
        </w:trPr>
        <w:tc>
          <w:tcPr>
            <w:tcW w:w="1711" w:type="dxa"/>
            <w:tcBorders>
              <w:top w:val="single" w:sz="4" w:space="0" w:color="auto"/>
              <w:left w:val="nil"/>
              <w:bottom w:val="single" w:sz="4" w:space="0" w:color="auto"/>
              <w:right w:val="nil"/>
            </w:tcBorders>
          </w:tcPr>
          <w:p w14:paraId="581AE9EF" w14:textId="4F660E25" w:rsidR="0075264E" w:rsidRDefault="0075264E" w:rsidP="00DB10C8">
            <w:pPr>
              <w:pStyle w:val="TableText"/>
              <w:spacing w:before="40" w:after="40"/>
              <w:rPr>
                <w:rFonts w:cstheme="minorHAnsi"/>
                <w:szCs w:val="18"/>
              </w:rPr>
            </w:pPr>
            <w:r>
              <w:rPr>
                <w:rFonts w:cstheme="minorHAnsi"/>
                <w:szCs w:val="18"/>
              </w:rPr>
              <w:t>Mollusc (bivalve)</w:t>
            </w:r>
          </w:p>
        </w:tc>
        <w:tc>
          <w:tcPr>
            <w:tcW w:w="1564" w:type="dxa"/>
            <w:tcBorders>
              <w:top w:val="single" w:sz="4" w:space="0" w:color="auto"/>
              <w:left w:val="nil"/>
              <w:bottom w:val="single" w:sz="4" w:space="0" w:color="auto"/>
              <w:right w:val="nil"/>
            </w:tcBorders>
          </w:tcPr>
          <w:p w14:paraId="1B8D67F1" w14:textId="38C6B879" w:rsidR="0075264E" w:rsidRPr="00AE5DAC" w:rsidRDefault="0075264E" w:rsidP="00DB10C8">
            <w:pPr>
              <w:pStyle w:val="TableText"/>
              <w:spacing w:before="40" w:after="40"/>
              <w:rPr>
                <w:rFonts w:cstheme="minorHAnsi"/>
                <w:i/>
                <w:iCs/>
                <w:color w:val="000000"/>
                <w:szCs w:val="18"/>
              </w:rPr>
            </w:pPr>
            <w:r w:rsidRPr="00AE5DAC">
              <w:rPr>
                <w:rFonts w:cstheme="minorHAnsi"/>
                <w:i/>
                <w:iCs/>
                <w:color w:val="000000"/>
                <w:szCs w:val="18"/>
              </w:rPr>
              <w:t>Spisula trigonella</w:t>
            </w:r>
          </w:p>
        </w:tc>
        <w:tc>
          <w:tcPr>
            <w:tcW w:w="1450" w:type="dxa"/>
            <w:tcBorders>
              <w:top w:val="single" w:sz="4" w:space="0" w:color="auto"/>
              <w:left w:val="nil"/>
              <w:bottom w:val="single" w:sz="4" w:space="0" w:color="auto"/>
              <w:right w:val="nil"/>
            </w:tcBorders>
          </w:tcPr>
          <w:p w14:paraId="1AD95488" w14:textId="3A9FC39D" w:rsidR="0075264E" w:rsidRPr="00AE5DAC" w:rsidRDefault="0075264E" w:rsidP="00DB10C8">
            <w:pPr>
              <w:pStyle w:val="TableText"/>
              <w:spacing w:before="40" w:after="40"/>
              <w:rPr>
                <w:rFonts w:cstheme="minorHAnsi"/>
                <w:szCs w:val="18"/>
              </w:rPr>
            </w:pPr>
            <w:r w:rsidRPr="00AE5DAC">
              <w:rPr>
                <w:rFonts w:cstheme="minorHAnsi"/>
                <w:szCs w:val="18"/>
              </w:rPr>
              <w:t>Embryo</w:t>
            </w:r>
          </w:p>
        </w:tc>
        <w:tc>
          <w:tcPr>
            <w:tcW w:w="975" w:type="dxa"/>
            <w:tcBorders>
              <w:top w:val="single" w:sz="4" w:space="0" w:color="auto"/>
              <w:left w:val="nil"/>
              <w:bottom w:val="single" w:sz="4" w:space="0" w:color="auto"/>
              <w:right w:val="nil"/>
            </w:tcBorders>
          </w:tcPr>
          <w:p w14:paraId="1E8C9FED" w14:textId="1E2026B8" w:rsidR="0075264E" w:rsidRDefault="0075264E" w:rsidP="00DB10C8">
            <w:pPr>
              <w:pStyle w:val="TableText"/>
              <w:spacing w:before="40" w:after="40"/>
              <w:rPr>
                <w:rFonts w:cstheme="minorHAnsi"/>
                <w:szCs w:val="18"/>
              </w:rPr>
            </w:pPr>
            <w:r>
              <w:rPr>
                <w:rFonts w:cstheme="minorHAnsi"/>
                <w:szCs w:val="18"/>
              </w:rPr>
              <w:t>48</w:t>
            </w:r>
          </w:p>
        </w:tc>
        <w:tc>
          <w:tcPr>
            <w:tcW w:w="828" w:type="dxa"/>
            <w:tcBorders>
              <w:top w:val="single" w:sz="4" w:space="0" w:color="auto"/>
              <w:left w:val="nil"/>
              <w:bottom w:val="single" w:sz="4" w:space="0" w:color="auto"/>
              <w:right w:val="nil"/>
            </w:tcBorders>
          </w:tcPr>
          <w:p w14:paraId="13E01B9F" w14:textId="527A1BA9" w:rsidR="0075264E" w:rsidRDefault="0075264E" w:rsidP="00DB10C8">
            <w:pPr>
              <w:pStyle w:val="TableText"/>
              <w:spacing w:before="40" w:after="40"/>
              <w:rPr>
                <w:szCs w:val="18"/>
              </w:rPr>
            </w:pPr>
            <w:r>
              <w:rPr>
                <w:szCs w:val="18"/>
              </w:rPr>
              <w:t>Chronic</w:t>
            </w:r>
          </w:p>
        </w:tc>
        <w:tc>
          <w:tcPr>
            <w:tcW w:w="1406" w:type="dxa"/>
            <w:tcBorders>
              <w:top w:val="single" w:sz="4" w:space="0" w:color="auto"/>
              <w:left w:val="nil"/>
              <w:bottom w:val="single" w:sz="4" w:space="0" w:color="auto"/>
              <w:right w:val="nil"/>
            </w:tcBorders>
          </w:tcPr>
          <w:p w14:paraId="1790520B" w14:textId="318412CA" w:rsidR="0075264E" w:rsidRPr="00AE5DAC" w:rsidRDefault="0075264E" w:rsidP="00DB10C8">
            <w:pPr>
              <w:pStyle w:val="TableText"/>
              <w:spacing w:before="40" w:after="40"/>
              <w:rPr>
                <w:rFonts w:cstheme="minorHAnsi"/>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1111" w:type="dxa"/>
            <w:tcBorders>
              <w:top w:val="single" w:sz="4" w:space="0" w:color="auto"/>
              <w:left w:val="nil"/>
              <w:bottom w:val="single" w:sz="4" w:space="0" w:color="auto"/>
              <w:right w:val="nil"/>
            </w:tcBorders>
          </w:tcPr>
          <w:p w14:paraId="16A83B14" w14:textId="32D1948B" w:rsidR="0075264E" w:rsidRPr="00AE5DAC" w:rsidRDefault="0075264E" w:rsidP="00DB10C8">
            <w:pPr>
              <w:pStyle w:val="TableText"/>
              <w:spacing w:before="40" w:after="40"/>
              <w:rPr>
                <w:rFonts w:cstheme="minorHAnsi"/>
                <w:szCs w:val="18"/>
              </w:rPr>
            </w:pPr>
            <w:r w:rsidRPr="00AE5DAC">
              <w:rPr>
                <w:rFonts w:cstheme="minorHAnsi"/>
                <w:szCs w:val="18"/>
              </w:rPr>
              <w:t>Seawater</w:t>
            </w:r>
          </w:p>
        </w:tc>
        <w:tc>
          <w:tcPr>
            <w:tcW w:w="697" w:type="dxa"/>
            <w:tcBorders>
              <w:top w:val="single" w:sz="4" w:space="0" w:color="auto"/>
              <w:left w:val="nil"/>
              <w:bottom w:val="single" w:sz="4" w:space="0" w:color="auto"/>
              <w:right w:val="nil"/>
            </w:tcBorders>
          </w:tcPr>
          <w:p w14:paraId="4EEF21E4" w14:textId="2D3C6513" w:rsidR="0075264E" w:rsidRPr="00AE5DAC" w:rsidRDefault="0075264E" w:rsidP="00DB10C8">
            <w:pPr>
              <w:pStyle w:val="TableText"/>
              <w:spacing w:before="40" w:after="40"/>
              <w:rPr>
                <w:rFonts w:cstheme="minorHAnsi"/>
                <w:szCs w:val="18"/>
              </w:rPr>
            </w:pPr>
            <w:r w:rsidRPr="00AE5DAC">
              <w:rPr>
                <w:rFonts w:cstheme="minorHAnsi"/>
                <w:szCs w:val="18"/>
              </w:rPr>
              <w:t>21</w:t>
            </w:r>
          </w:p>
        </w:tc>
        <w:tc>
          <w:tcPr>
            <w:tcW w:w="833" w:type="dxa"/>
            <w:tcBorders>
              <w:top w:val="single" w:sz="4" w:space="0" w:color="auto"/>
              <w:left w:val="nil"/>
              <w:bottom w:val="single" w:sz="4" w:space="0" w:color="auto"/>
              <w:right w:val="nil"/>
            </w:tcBorders>
          </w:tcPr>
          <w:p w14:paraId="46F40770" w14:textId="00FE55CF" w:rsidR="0075264E" w:rsidRPr="00AE5DAC" w:rsidRDefault="0075264E" w:rsidP="00DB10C8">
            <w:pPr>
              <w:pStyle w:val="TableText"/>
              <w:spacing w:before="40" w:after="40"/>
              <w:rPr>
                <w:rFonts w:cstheme="minorHAnsi"/>
                <w:szCs w:val="18"/>
              </w:rPr>
            </w:pPr>
            <w:r w:rsidRPr="00AE5DAC">
              <w:rPr>
                <w:rFonts w:cstheme="minorHAnsi"/>
                <w:szCs w:val="18"/>
              </w:rPr>
              <w:t>30</w:t>
            </w:r>
          </w:p>
        </w:tc>
        <w:tc>
          <w:tcPr>
            <w:tcW w:w="765" w:type="dxa"/>
            <w:tcBorders>
              <w:top w:val="single" w:sz="4" w:space="0" w:color="auto"/>
              <w:left w:val="nil"/>
              <w:bottom w:val="single" w:sz="4" w:space="0" w:color="auto"/>
              <w:right w:val="nil"/>
            </w:tcBorders>
          </w:tcPr>
          <w:p w14:paraId="1ACE24D6" w14:textId="382E99C0" w:rsidR="0075264E" w:rsidRPr="00AE5DAC" w:rsidRDefault="0075264E" w:rsidP="00DB10C8">
            <w:pPr>
              <w:pStyle w:val="TableText"/>
              <w:spacing w:before="40" w:after="40"/>
              <w:rPr>
                <w:rFonts w:cstheme="minorHAnsi"/>
                <w:szCs w:val="18"/>
              </w:rPr>
            </w:pPr>
            <w:r w:rsidRPr="00AE5DAC">
              <w:rPr>
                <w:rFonts w:cstheme="minorHAnsi"/>
                <w:szCs w:val="18"/>
              </w:rPr>
              <w:t>7.9</w:t>
            </w:r>
          </w:p>
        </w:tc>
        <w:tc>
          <w:tcPr>
            <w:tcW w:w="1276" w:type="dxa"/>
            <w:tcBorders>
              <w:top w:val="single" w:sz="4" w:space="0" w:color="auto"/>
              <w:left w:val="nil"/>
              <w:bottom w:val="single" w:sz="4" w:space="0" w:color="auto"/>
              <w:right w:val="nil"/>
            </w:tcBorders>
          </w:tcPr>
          <w:p w14:paraId="7167F4B7" w14:textId="6ECD3364" w:rsidR="0075264E" w:rsidRDefault="0075264E" w:rsidP="00DB10C8">
            <w:pPr>
              <w:pStyle w:val="TableText"/>
              <w:spacing w:before="40" w:after="40"/>
              <w:ind w:right="284"/>
              <w:jc w:val="right"/>
              <w:rPr>
                <w:rFonts w:cstheme="minorHAnsi"/>
                <w:szCs w:val="18"/>
              </w:rPr>
            </w:pPr>
            <w:r>
              <w:rPr>
                <w:rFonts w:cstheme="minorHAnsi"/>
                <w:szCs w:val="18"/>
              </w:rPr>
              <w:t>948</w:t>
            </w:r>
          </w:p>
        </w:tc>
        <w:tc>
          <w:tcPr>
            <w:tcW w:w="1378" w:type="dxa"/>
            <w:tcBorders>
              <w:top w:val="single" w:sz="4" w:space="0" w:color="auto"/>
              <w:bottom w:val="single" w:sz="4" w:space="0" w:color="auto"/>
            </w:tcBorders>
          </w:tcPr>
          <w:p w14:paraId="3C23FB8E" w14:textId="5139640F" w:rsidR="0075264E" w:rsidRPr="00AE5DAC" w:rsidRDefault="0075264E" w:rsidP="00DB10C8">
            <w:pPr>
              <w:pStyle w:val="TableText"/>
              <w:spacing w:before="40" w:after="40"/>
              <w:rPr>
                <w:rFonts w:cstheme="minorHAnsi"/>
                <w:szCs w:val="18"/>
              </w:rPr>
            </w:pPr>
            <w:r w:rsidRPr="00AE5DAC">
              <w:rPr>
                <w:rFonts w:cstheme="minorHAnsi"/>
                <w:szCs w:val="18"/>
              </w:rPr>
              <w:t xml:space="preserve">Markich </w:t>
            </w:r>
            <w:r>
              <w:rPr>
                <w:rFonts w:cstheme="minorHAnsi"/>
                <w:szCs w:val="18"/>
              </w:rPr>
              <w:t>(</w:t>
            </w:r>
            <w:r w:rsidRPr="00AE5DAC">
              <w:rPr>
                <w:rFonts w:cstheme="minorHAnsi"/>
                <w:szCs w:val="18"/>
              </w:rPr>
              <w:t>2021</w:t>
            </w:r>
            <w:r>
              <w:rPr>
                <w:rFonts w:cstheme="minorHAnsi"/>
                <w:szCs w:val="18"/>
              </w:rPr>
              <w:t>)</w:t>
            </w:r>
          </w:p>
        </w:tc>
      </w:tr>
      <w:tr w:rsidR="0075264E" w:rsidRPr="00191EC2" w14:paraId="059DE409" w14:textId="77777777" w:rsidTr="002468C2">
        <w:trPr>
          <w:cantSplit/>
        </w:trPr>
        <w:tc>
          <w:tcPr>
            <w:tcW w:w="1711" w:type="dxa"/>
            <w:tcBorders>
              <w:top w:val="single" w:sz="4" w:space="0" w:color="auto"/>
              <w:left w:val="nil"/>
              <w:bottom w:val="single" w:sz="4" w:space="0" w:color="auto"/>
              <w:right w:val="nil"/>
            </w:tcBorders>
          </w:tcPr>
          <w:p w14:paraId="6DF76D6A" w14:textId="14DBE273" w:rsidR="0075264E" w:rsidRPr="002F16E6" w:rsidRDefault="0075264E" w:rsidP="00DB10C8">
            <w:pPr>
              <w:pStyle w:val="TableText"/>
              <w:spacing w:before="40" w:after="40"/>
              <w:rPr>
                <w:szCs w:val="18"/>
              </w:rPr>
            </w:pPr>
            <w:r>
              <w:rPr>
                <w:rFonts w:cstheme="minorHAnsi"/>
                <w:szCs w:val="18"/>
              </w:rPr>
              <w:t>Mollusc (bivalve)</w:t>
            </w:r>
          </w:p>
        </w:tc>
        <w:tc>
          <w:tcPr>
            <w:tcW w:w="1564" w:type="dxa"/>
            <w:tcBorders>
              <w:top w:val="single" w:sz="4" w:space="0" w:color="auto"/>
              <w:left w:val="nil"/>
              <w:bottom w:val="single" w:sz="4" w:space="0" w:color="auto"/>
              <w:right w:val="nil"/>
            </w:tcBorders>
          </w:tcPr>
          <w:p w14:paraId="482D5D5D" w14:textId="302DDC07" w:rsidR="0075264E" w:rsidRPr="002F16E6" w:rsidRDefault="0075264E" w:rsidP="00DB10C8">
            <w:pPr>
              <w:pStyle w:val="TableText"/>
              <w:spacing w:before="40" w:after="40"/>
              <w:rPr>
                <w:i/>
                <w:iCs/>
                <w:szCs w:val="18"/>
              </w:rPr>
            </w:pPr>
            <w:r w:rsidRPr="00AE5DAC">
              <w:rPr>
                <w:rFonts w:cstheme="minorHAnsi"/>
                <w:i/>
                <w:iCs/>
                <w:color w:val="000000"/>
                <w:szCs w:val="18"/>
              </w:rPr>
              <w:t>Xenostrobus securis</w:t>
            </w:r>
          </w:p>
        </w:tc>
        <w:tc>
          <w:tcPr>
            <w:tcW w:w="1450" w:type="dxa"/>
            <w:tcBorders>
              <w:top w:val="single" w:sz="4" w:space="0" w:color="auto"/>
              <w:left w:val="nil"/>
              <w:bottom w:val="single" w:sz="4" w:space="0" w:color="auto"/>
              <w:right w:val="nil"/>
            </w:tcBorders>
          </w:tcPr>
          <w:p w14:paraId="0F639B52" w14:textId="6A5EBCF3" w:rsidR="0075264E" w:rsidRPr="002F16E6" w:rsidRDefault="0075264E" w:rsidP="00DB10C8">
            <w:pPr>
              <w:pStyle w:val="TableText"/>
              <w:spacing w:before="40" w:after="40"/>
              <w:rPr>
                <w:szCs w:val="18"/>
              </w:rPr>
            </w:pPr>
            <w:r w:rsidRPr="00AE5DAC">
              <w:rPr>
                <w:rFonts w:cstheme="minorHAnsi"/>
                <w:szCs w:val="18"/>
              </w:rPr>
              <w:t>Embryo</w:t>
            </w:r>
          </w:p>
        </w:tc>
        <w:tc>
          <w:tcPr>
            <w:tcW w:w="975" w:type="dxa"/>
            <w:tcBorders>
              <w:top w:val="single" w:sz="4" w:space="0" w:color="auto"/>
              <w:left w:val="nil"/>
              <w:bottom w:val="single" w:sz="4" w:space="0" w:color="auto"/>
              <w:right w:val="nil"/>
            </w:tcBorders>
          </w:tcPr>
          <w:p w14:paraId="7B4A46CB" w14:textId="5F294BDF" w:rsidR="0075264E" w:rsidRPr="002F16E6" w:rsidRDefault="0075264E" w:rsidP="00DB10C8">
            <w:pPr>
              <w:pStyle w:val="TableText"/>
              <w:spacing w:before="40" w:after="40"/>
              <w:rPr>
                <w:szCs w:val="18"/>
              </w:rPr>
            </w:pPr>
            <w:r>
              <w:rPr>
                <w:rFonts w:cstheme="minorHAnsi"/>
                <w:szCs w:val="18"/>
              </w:rPr>
              <w:t>48</w:t>
            </w:r>
          </w:p>
        </w:tc>
        <w:tc>
          <w:tcPr>
            <w:tcW w:w="828" w:type="dxa"/>
            <w:tcBorders>
              <w:top w:val="single" w:sz="4" w:space="0" w:color="auto"/>
              <w:left w:val="nil"/>
              <w:bottom w:val="single" w:sz="4" w:space="0" w:color="auto"/>
              <w:right w:val="nil"/>
            </w:tcBorders>
          </w:tcPr>
          <w:p w14:paraId="6B8AC7D0" w14:textId="6163CA10" w:rsidR="0075264E" w:rsidRPr="002F16E6" w:rsidRDefault="0075264E" w:rsidP="00DB10C8">
            <w:pPr>
              <w:pStyle w:val="TableText"/>
              <w:spacing w:before="40" w:after="40"/>
              <w:rPr>
                <w:szCs w:val="18"/>
              </w:rPr>
            </w:pPr>
            <w:r>
              <w:rPr>
                <w:szCs w:val="18"/>
              </w:rPr>
              <w:t>Chronic</w:t>
            </w:r>
          </w:p>
        </w:tc>
        <w:tc>
          <w:tcPr>
            <w:tcW w:w="1406" w:type="dxa"/>
            <w:tcBorders>
              <w:top w:val="single" w:sz="4" w:space="0" w:color="auto"/>
              <w:left w:val="nil"/>
              <w:bottom w:val="single" w:sz="4" w:space="0" w:color="auto"/>
              <w:right w:val="nil"/>
            </w:tcBorders>
          </w:tcPr>
          <w:p w14:paraId="46207052" w14:textId="674C1959" w:rsidR="0075264E" w:rsidRPr="002F16E6" w:rsidRDefault="0075264E" w:rsidP="00DB10C8">
            <w:pPr>
              <w:pStyle w:val="TableText"/>
              <w:spacing w:before="40" w:after="40"/>
              <w:rPr>
                <w:szCs w:val="18"/>
              </w:rPr>
            </w:pPr>
            <w:r w:rsidRPr="00AE5DAC">
              <w:rPr>
                <w:rFonts w:cstheme="minorHAnsi"/>
                <w:szCs w:val="18"/>
              </w:rPr>
              <w:t>NEC (</w:t>
            </w:r>
            <w:r>
              <w:rPr>
                <w:rFonts w:cstheme="minorHAnsi"/>
                <w:szCs w:val="18"/>
              </w:rPr>
              <w:t>a</w:t>
            </w:r>
            <w:r w:rsidRPr="00AE5DAC">
              <w:rPr>
                <w:rFonts w:cstheme="minorHAnsi"/>
                <w:szCs w:val="18"/>
              </w:rPr>
              <w:t>bnormalities)</w:t>
            </w:r>
          </w:p>
        </w:tc>
        <w:tc>
          <w:tcPr>
            <w:tcW w:w="1111" w:type="dxa"/>
            <w:tcBorders>
              <w:top w:val="single" w:sz="4" w:space="0" w:color="auto"/>
              <w:left w:val="nil"/>
              <w:bottom w:val="single" w:sz="4" w:space="0" w:color="auto"/>
              <w:right w:val="nil"/>
            </w:tcBorders>
          </w:tcPr>
          <w:p w14:paraId="6581DA12" w14:textId="6D7566BD" w:rsidR="0075264E" w:rsidRPr="002F16E6" w:rsidRDefault="0075264E" w:rsidP="00DB10C8">
            <w:pPr>
              <w:pStyle w:val="TableText"/>
              <w:spacing w:before="40" w:after="40"/>
              <w:rPr>
                <w:szCs w:val="18"/>
              </w:rPr>
            </w:pPr>
            <w:r w:rsidRPr="00AE5DAC">
              <w:rPr>
                <w:rFonts w:cstheme="minorHAnsi"/>
                <w:szCs w:val="18"/>
              </w:rPr>
              <w:t>Seawater</w:t>
            </w:r>
          </w:p>
        </w:tc>
        <w:tc>
          <w:tcPr>
            <w:tcW w:w="697" w:type="dxa"/>
            <w:tcBorders>
              <w:top w:val="single" w:sz="4" w:space="0" w:color="auto"/>
              <w:left w:val="nil"/>
              <w:bottom w:val="single" w:sz="4" w:space="0" w:color="auto"/>
              <w:right w:val="nil"/>
            </w:tcBorders>
          </w:tcPr>
          <w:p w14:paraId="4197CE0A" w14:textId="4BF340B8" w:rsidR="0075264E" w:rsidRPr="002F16E6" w:rsidRDefault="0075264E" w:rsidP="00DB10C8">
            <w:pPr>
              <w:pStyle w:val="TableText"/>
              <w:spacing w:before="40" w:after="40"/>
              <w:rPr>
                <w:szCs w:val="18"/>
              </w:rPr>
            </w:pPr>
            <w:r w:rsidRPr="00AE5DAC">
              <w:rPr>
                <w:rFonts w:cstheme="minorHAnsi"/>
                <w:szCs w:val="18"/>
              </w:rPr>
              <w:t>21</w:t>
            </w:r>
          </w:p>
        </w:tc>
        <w:tc>
          <w:tcPr>
            <w:tcW w:w="833" w:type="dxa"/>
            <w:tcBorders>
              <w:top w:val="single" w:sz="4" w:space="0" w:color="auto"/>
              <w:left w:val="nil"/>
              <w:bottom w:val="single" w:sz="4" w:space="0" w:color="auto"/>
              <w:right w:val="nil"/>
            </w:tcBorders>
          </w:tcPr>
          <w:p w14:paraId="77C825E1" w14:textId="4E06A796" w:rsidR="0075264E" w:rsidRPr="002F16E6" w:rsidRDefault="0075264E" w:rsidP="00DB10C8">
            <w:pPr>
              <w:pStyle w:val="TableText"/>
              <w:spacing w:before="40" w:after="40"/>
              <w:rPr>
                <w:szCs w:val="18"/>
              </w:rPr>
            </w:pPr>
            <w:r w:rsidRPr="00AE5DAC">
              <w:rPr>
                <w:rFonts w:cstheme="minorHAnsi"/>
                <w:szCs w:val="18"/>
              </w:rPr>
              <w:t>30</w:t>
            </w:r>
          </w:p>
        </w:tc>
        <w:tc>
          <w:tcPr>
            <w:tcW w:w="765" w:type="dxa"/>
            <w:tcBorders>
              <w:top w:val="single" w:sz="4" w:space="0" w:color="auto"/>
              <w:left w:val="nil"/>
              <w:bottom w:val="single" w:sz="4" w:space="0" w:color="auto"/>
              <w:right w:val="nil"/>
            </w:tcBorders>
          </w:tcPr>
          <w:p w14:paraId="5462172F" w14:textId="7058100A" w:rsidR="0075264E" w:rsidRPr="002F16E6" w:rsidRDefault="0075264E" w:rsidP="00DB10C8">
            <w:pPr>
              <w:pStyle w:val="TableText"/>
              <w:spacing w:before="40" w:after="40"/>
              <w:rPr>
                <w:szCs w:val="18"/>
              </w:rPr>
            </w:pPr>
            <w:r w:rsidRPr="00AE5DAC">
              <w:rPr>
                <w:rFonts w:cstheme="minorHAnsi"/>
                <w:szCs w:val="18"/>
              </w:rPr>
              <w:t>7.9</w:t>
            </w:r>
          </w:p>
        </w:tc>
        <w:tc>
          <w:tcPr>
            <w:tcW w:w="1276" w:type="dxa"/>
            <w:tcBorders>
              <w:top w:val="single" w:sz="4" w:space="0" w:color="auto"/>
              <w:left w:val="nil"/>
              <w:bottom w:val="single" w:sz="4" w:space="0" w:color="auto"/>
              <w:right w:val="nil"/>
            </w:tcBorders>
          </w:tcPr>
          <w:p w14:paraId="52203606" w14:textId="46C1ABC7" w:rsidR="0075264E" w:rsidRPr="002F16E6" w:rsidRDefault="0075264E" w:rsidP="00DB10C8">
            <w:pPr>
              <w:pStyle w:val="TableText"/>
              <w:spacing w:before="40" w:after="40"/>
              <w:ind w:right="284"/>
              <w:jc w:val="right"/>
              <w:rPr>
                <w:szCs w:val="18"/>
              </w:rPr>
            </w:pPr>
            <w:r>
              <w:rPr>
                <w:rFonts w:cstheme="minorHAnsi"/>
                <w:szCs w:val="18"/>
              </w:rPr>
              <w:t>896</w:t>
            </w:r>
          </w:p>
        </w:tc>
        <w:tc>
          <w:tcPr>
            <w:tcW w:w="1378" w:type="dxa"/>
            <w:tcBorders>
              <w:top w:val="single" w:sz="4" w:space="0" w:color="auto"/>
              <w:bottom w:val="single" w:sz="4" w:space="0" w:color="auto"/>
            </w:tcBorders>
          </w:tcPr>
          <w:p w14:paraId="38C556C0" w14:textId="52F51FFF" w:rsidR="0075264E" w:rsidRPr="002F16E6" w:rsidRDefault="0075264E" w:rsidP="00DB10C8">
            <w:pPr>
              <w:pStyle w:val="TableText"/>
              <w:spacing w:before="40" w:after="40"/>
              <w:rPr>
                <w:szCs w:val="18"/>
              </w:rPr>
            </w:pPr>
            <w:r w:rsidRPr="00AE5DAC">
              <w:rPr>
                <w:rFonts w:cstheme="minorHAnsi"/>
                <w:szCs w:val="18"/>
              </w:rPr>
              <w:t xml:space="preserve">Markich </w:t>
            </w:r>
            <w:r>
              <w:rPr>
                <w:rFonts w:cstheme="minorHAnsi"/>
                <w:szCs w:val="18"/>
              </w:rPr>
              <w:t>(</w:t>
            </w:r>
            <w:r w:rsidRPr="00AE5DAC">
              <w:rPr>
                <w:rFonts w:cstheme="minorHAnsi"/>
                <w:szCs w:val="18"/>
              </w:rPr>
              <w:t>2021</w:t>
            </w:r>
            <w:r>
              <w:rPr>
                <w:rFonts w:cstheme="minorHAnsi"/>
                <w:szCs w:val="18"/>
              </w:rPr>
              <w:t>)</w:t>
            </w:r>
          </w:p>
        </w:tc>
      </w:tr>
      <w:tr w:rsidR="0075264E" w:rsidRPr="00191EC2" w14:paraId="27F32450" w14:textId="77777777" w:rsidTr="002468C2">
        <w:trPr>
          <w:cantSplit/>
        </w:trPr>
        <w:tc>
          <w:tcPr>
            <w:tcW w:w="1711" w:type="dxa"/>
            <w:tcBorders>
              <w:top w:val="single" w:sz="4" w:space="0" w:color="auto"/>
              <w:left w:val="nil"/>
              <w:bottom w:val="single" w:sz="4" w:space="0" w:color="auto"/>
              <w:right w:val="nil"/>
            </w:tcBorders>
          </w:tcPr>
          <w:p w14:paraId="647F17F1" w14:textId="2FD7627E" w:rsidR="0075264E" w:rsidRPr="00AE5DAC" w:rsidRDefault="0075264E" w:rsidP="00DB10C8">
            <w:pPr>
              <w:pStyle w:val="TableText"/>
              <w:spacing w:before="40" w:after="40"/>
              <w:rPr>
                <w:rFonts w:cstheme="minorHAnsi"/>
                <w:szCs w:val="18"/>
              </w:rPr>
            </w:pPr>
            <w:r>
              <w:rPr>
                <w:rFonts w:cstheme="minorHAnsi"/>
                <w:szCs w:val="18"/>
              </w:rPr>
              <w:t>Mollusc (gastropod)</w:t>
            </w:r>
          </w:p>
        </w:tc>
        <w:tc>
          <w:tcPr>
            <w:tcW w:w="1564" w:type="dxa"/>
            <w:tcBorders>
              <w:top w:val="single" w:sz="4" w:space="0" w:color="auto"/>
              <w:left w:val="nil"/>
              <w:bottom w:val="single" w:sz="4" w:space="0" w:color="auto"/>
              <w:right w:val="nil"/>
            </w:tcBorders>
          </w:tcPr>
          <w:p w14:paraId="7AC67155" w14:textId="224D891B" w:rsidR="0075264E" w:rsidRPr="00AE5DAC" w:rsidRDefault="0075264E" w:rsidP="00DB10C8">
            <w:pPr>
              <w:pStyle w:val="TableText"/>
              <w:spacing w:before="40" w:after="40"/>
              <w:rPr>
                <w:rFonts w:cstheme="minorHAnsi"/>
                <w:i/>
                <w:iCs/>
                <w:color w:val="000000"/>
                <w:szCs w:val="18"/>
              </w:rPr>
            </w:pPr>
            <w:r w:rsidRPr="002F16E6">
              <w:rPr>
                <w:i/>
                <w:iCs/>
                <w:szCs w:val="18"/>
              </w:rPr>
              <w:t>Haliotis rubra</w:t>
            </w:r>
          </w:p>
        </w:tc>
        <w:tc>
          <w:tcPr>
            <w:tcW w:w="1450" w:type="dxa"/>
            <w:tcBorders>
              <w:top w:val="single" w:sz="4" w:space="0" w:color="auto"/>
              <w:left w:val="nil"/>
              <w:bottom w:val="single" w:sz="4" w:space="0" w:color="auto"/>
              <w:right w:val="nil"/>
            </w:tcBorders>
          </w:tcPr>
          <w:p w14:paraId="29F6C297" w14:textId="13919A77" w:rsidR="0075264E" w:rsidRPr="00AE5DAC" w:rsidRDefault="0075264E" w:rsidP="00DB10C8">
            <w:pPr>
              <w:pStyle w:val="TableText"/>
              <w:spacing w:before="40" w:after="40"/>
              <w:rPr>
                <w:rFonts w:cstheme="minorHAnsi"/>
                <w:szCs w:val="18"/>
              </w:rPr>
            </w:pPr>
            <w:r w:rsidRPr="002F16E6">
              <w:rPr>
                <w:szCs w:val="18"/>
              </w:rPr>
              <w:t>Embryo-larval (1 hour post fertilisation)</w:t>
            </w:r>
          </w:p>
        </w:tc>
        <w:tc>
          <w:tcPr>
            <w:tcW w:w="975" w:type="dxa"/>
            <w:tcBorders>
              <w:top w:val="single" w:sz="4" w:space="0" w:color="auto"/>
              <w:left w:val="nil"/>
              <w:bottom w:val="single" w:sz="4" w:space="0" w:color="auto"/>
              <w:right w:val="nil"/>
            </w:tcBorders>
          </w:tcPr>
          <w:p w14:paraId="7A93E64E" w14:textId="53DF8FE9" w:rsidR="0075264E" w:rsidRDefault="0075264E" w:rsidP="00DB10C8">
            <w:pPr>
              <w:pStyle w:val="TableText"/>
              <w:spacing w:before="40" w:after="40"/>
              <w:rPr>
                <w:rFonts w:cstheme="minorHAnsi"/>
                <w:szCs w:val="18"/>
              </w:rPr>
            </w:pPr>
            <w:r w:rsidRPr="002F16E6">
              <w:rPr>
                <w:szCs w:val="18"/>
              </w:rPr>
              <w:t>48</w:t>
            </w:r>
          </w:p>
        </w:tc>
        <w:tc>
          <w:tcPr>
            <w:tcW w:w="828" w:type="dxa"/>
            <w:tcBorders>
              <w:top w:val="single" w:sz="4" w:space="0" w:color="auto"/>
              <w:left w:val="nil"/>
              <w:bottom w:val="single" w:sz="4" w:space="0" w:color="auto"/>
              <w:right w:val="nil"/>
            </w:tcBorders>
          </w:tcPr>
          <w:p w14:paraId="16F73B2B" w14:textId="42A0BED4" w:rsidR="0075264E" w:rsidRDefault="0075264E" w:rsidP="00DB10C8">
            <w:pPr>
              <w:pStyle w:val="TableText"/>
              <w:spacing w:before="40" w:after="40"/>
              <w:rPr>
                <w:szCs w:val="18"/>
              </w:rPr>
            </w:pPr>
            <w:r w:rsidRPr="002F16E6">
              <w:rPr>
                <w:szCs w:val="18"/>
              </w:rPr>
              <w:t>Chronic</w:t>
            </w:r>
          </w:p>
        </w:tc>
        <w:tc>
          <w:tcPr>
            <w:tcW w:w="1406" w:type="dxa"/>
            <w:tcBorders>
              <w:top w:val="single" w:sz="4" w:space="0" w:color="auto"/>
              <w:left w:val="nil"/>
              <w:bottom w:val="single" w:sz="4" w:space="0" w:color="auto"/>
              <w:right w:val="nil"/>
            </w:tcBorders>
          </w:tcPr>
          <w:p w14:paraId="25A5ABA0" w14:textId="2BC5950C" w:rsidR="0075264E" w:rsidRPr="00AE5DAC" w:rsidRDefault="0075264E" w:rsidP="00DB10C8">
            <w:pPr>
              <w:pStyle w:val="TableText"/>
              <w:spacing w:before="40" w:after="40"/>
              <w:rPr>
                <w:rFonts w:cstheme="minorHAnsi"/>
                <w:szCs w:val="18"/>
              </w:rPr>
            </w:pPr>
            <w:r w:rsidRPr="002F16E6">
              <w:rPr>
                <w:szCs w:val="18"/>
              </w:rPr>
              <w:t>EC10 (</w:t>
            </w:r>
            <w:r>
              <w:rPr>
                <w:szCs w:val="18"/>
              </w:rPr>
              <w:t>n</w:t>
            </w:r>
            <w:r w:rsidRPr="002F16E6">
              <w:rPr>
                <w:szCs w:val="18"/>
              </w:rPr>
              <w:t>ormal development)</w:t>
            </w:r>
          </w:p>
        </w:tc>
        <w:tc>
          <w:tcPr>
            <w:tcW w:w="1111" w:type="dxa"/>
            <w:tcBorders>
              <w:top w:val="single" w:sz="4" w:space="0" w:color="auto"/>
              <w:left w:val="nil"/>
              <w:bottom w:val="single" w:sz="4" w:space="0" w:color="auto"/>
              <w:right w:val="nil"/>
            </w:tcBorders>
          </w:tcPr>
          <w:p w14:paraId="5FB5EC25" w14:textId="55F3B284" w:rsidR="0075264E" w:rsidRPr="00AE5DAC" w:rsidRDefault="0075264E" w:rsidP="00DB10C8">
            <w:pPr>
              <w:pStyle w:val="TableText"/>
              <w:spacing w:before="40" w:after="40"/>
              <w:rPr>
                <w:rFonts w:cstheme="minorHAnsi"/>
                <w:szCs w:val="18"/>
              </w:rPr>
            </w:pPr>
            <w:r w:rsidRPr="002F16E6">
              <w:rPr>
                <w:szCs w:val="18"/>
              </w:rPr>
              <w:t>Seawater</w:t>
            </w:r>
          </w:p>
        </w:tc>
        <w:tc>
          <w:tcPr>
            <w:tcW w:w="697" w:type="dxa"/>
            <w:tcBorders>
              <w:top w:val="single" w:sz="4" w:space="0" w:color="auto"/>
              <w:left w:val="nil"/>
              <w:bottom w:val="single" w:sz="4" w:space="0" w:color="auto"/>
              <w:right w:val="nil"/>
            </w:tcBorders>
          </w:tcPr>
          <w:p w14:paraId="61312B2B" w14:textId="011464E6" w:rsidR="0075264E" w:rsidRPr="00AE5DAC" w:rsidRDefault="0075264E" w:rsidP="00DB10C8">
            <w:pPr>
              <w:pStyle w:val="TableText"/>
              <w:spacing w:before="40" w:after="40"/>
              <w:rPr>
                <w:rFonts w:cstheme="minorHAnsi"/>
                <w:szCs w:val="18"/>
              </w:rPr>
            </w:pPr>
            <w:r w:rsidRPr="002F16E6">
              <w:rPr>
                <w:szCs w:val="18"/>
              </w:rPr>
              <w:t>20</w:t>
            </w:r>
          </w:p>
        </w:tc>
        <w:tc>
          <w:tcPr>
            <w:tcW w:w="833" w:type="dxa"/>
            <w:tcBorders>
              <w:top w:val="single" w:sz="4" w:space="0" w:color="auto"/>
              <w:left w:val="nil"/>
              <w:bottom w:val="single" w:sz="4" w:space="0" w:color="auto"/>
              <w:right w:val="nil"/>
            </w:tcBorders>
          </w:tcPr>
          <w:p w14:paraId="365207C2" w14:textId="066F7119" w:rsidR="0075264E" w:rsidRPr="00AE5DAC" w:rsidRDefault="0075264E" w:rsidP="00DB10C8">
            <w:pPr>
              <w:pStyle w:val="TableText"/>
              <w:spacing w:before="40" w:after="40"/>
              <w:rPr>
                <w:rFonts w:cstheme="minorHAnsi"/>
                <w:szCs w:val="18"/>
              </w:rPr>
            </w:pPr>
            <w:r w:rsidRPr="002F16E6">
              <w:rPr>
                <w:szCs w:val="18"/>
              </w:rPr>
              <w:t>Not stated</w:t>
            </w:r>
          </w:p>
        </w:tc>
        <w:tc>
          <w:tcPr>
            <w:tcW w:w="765" w:type="dxa"/>
            <w:tcBorders>
              <w:top w:val="single" w:sz="4" w:space="0" w:color="auto"/>
              <w:left w:val="nil"/>
              <w:bottom w:val="single" w:sz="4" w:space="0" w:color="auto"/>
              <w:right w:val="nil"/>
            </w:tcBorders>
          </w:tcPr>
          <w:p w14:paraId="04006FFA" w14:textId="7C527FA1" w:rsidR="0075264E" w:rsidRPr="00AE5DAC" w:rsidRDefault="0075264E" w:rsidP="00DB10C8">
            <w:pPr>
              <w:pStyle w:val="TableText"/>
              <w:spacing w:before="40" w:after="40"/>
              <w:rPr>
                <w:rFonts w:cstheme="minorHAnsi"/>
                <w:szCs w:val="18"/>
              </w:rPr>
            </w:pPr>
            <w:r w:rsidRPr="002F16E6">
              <w:rPr>
                <w:szCs w:val="18"/>
              </w:rPr>
              <w:t>7.3</w:t>
            </w:r>
          </w:p>
        </w:tc>
        <w:tc>
          <w:tcPr>
            <w:tcW w:w="1276" w:type="dxa"/>
            <w:tcBorders>
              <w:top w:val="single" w:sz="4" w:space="0" w:color="auto"/>
              <w:left w:val="nil"/>
              <w:bottom w:val="single" w:sz="4" w:space="0" w:color="auto"/>
              <w:right w:val="nil"/>
            </w:tcBorders>
          </w:tcPr>
          <w:p w14:paraId="1FD47CC6" w14:textId="03F74DFF" w:rsidR="0075264E" w:rsidRDefault="0075264E" w:rsidP="00DB10C8">
            <w:pPr>
              <w:pStyle w:val="TableText"/>
              <w:spacing w:before="40" w:after="40"/>
              <w:ind w:right="284"/>
              <w:jc w:val="right"/>
              <w:rPr>
                <w:b/>
                <w:szCs w:val="18"/>
              </w:rPr>
            </w:pPr>
            <w:r w:rsidRPr="002F16E6">
              <w:rPr>
                <w:szCs w:val="18"/>
              </w:rPr>
              <w:t>4</w:t>
            </w:r>
            <w:r w:rsidRPr="00B603D1">
              <w:rPr>
                <w:bCs/>
                <w:szCs w:val="18"/>
              </w:rPr>
              <w:t>,</w:t>
            </w:r>
            <w:r w:rsidRPr="002F16E6">
              <w:rPr>
                <w:szCs w:val="18"/>
              </w:rPr>
              <w:t>360</w:t>
            </w:r>
          </w:p>
        </w:tc>
        <w:tc>
          <w:tcPr>
            <w:tcW w:w="1378" w:type="dxa"/>
            <w:tcBorders>
              <w:top w:val="single" w:sz="4" w:space="0" w:color="auto"/>
              <w:bottom w:val="single" w:sz="4" w:space="0" w:color="auto"/>
            </w:tcBorders>
          </w:tcPr>
          <w:p w14:paraId="35C37F30" w14:textId="4177ED27" w:rsidR="0075264E" w:rsidRDefault="0075264E" w:rsidP="00DB10C8">
            <w:pPr>
              <w:pStyle w:val="TableText"/>
              <w:spacing w:before="40" w:after="40"/>
              <w:rPr>
                <w:b/>
                <w:szCs w:val="18"/>
              </w:rPr>
            </w:pPr>
            <w:r w:rsidRPr="002F16E6">
              <w:rPr>
                <w:rFonts w:eastAsia="Arial Unicode MS" w:cs="Arial Unicode MS"/>
                <w:szCs w:val="18"/>
              </w:rPr>
              <w:t xml:space="preserve">Gorski </w:t>
            </w:r>
            <w:r>
              <w:rPr>
                <w:szCs w:val="18"/>
              </w:rPr>
              <w:t>and</w:t>
            </w:r>
            <w:r w:rsidRPr="002F16E6">
              <w:rPr>
                <w:rFonts w:eastAsia="Arial Unicode MS" w:cs="Arial Unicode MS"/>
                <w:szCs w:val="18"/>
              </w:rPr>
              <w:t xml:space="preserve"> Nugegoda (2006)</w:t>
            </w:r>
          </w:p>
        </w:tc>
      </w:tr>
      <w:tr w:rsidR="0075264E" w:rsidRPr="00191EC2" w14:paraId="6481230F" w14:textId="77777777" w:rsidTr="002468C2">
        <w:trPr>
          <w:cantSplit/>
        </w:trPr>
        <w:tc>
          <w:tcPr>
            <w:tcW w:w="1711" w:type="dxa"/>
            <w:tcBorders>
              <w:top w:val="single" w:sz="4" w:space="0" w:color="auto"/>
              <w:left w:val="nil"/>
              <w:bottom w:val="single" w:sz="4" w:space="0" w:color="auto"/>
              <w:right w:val="nil"/>
            </w:tcBorders>
          </w:tcPr>
          <w:p w14:paraId="7E099524" w14:textId="1FF9CA77" w:rsidR="0075264E" w:rsidRPr="00AE5DAC" w:rsidRDefault="0075264E" w:rsidP="00DB10C8">
            <w:pPr>
              <w:pStyle w:val="TableText"/>
              <w:spacing w:before="40" w:after="40"/>
              <w:rPr>
                <w:rFonts w:cstheme="minorHAnsi"/>
                <w:szCs w:val="18"/>
              </w:rPr>
            </w:pPr>
            <w:r>
              <w:rPr>
                <w:rFonts w:cstheme="minorHAnsi"/>
                <w:szCs w:val="18"/>
              </w:rPr>
              <w:t>Mollusc (gastropod)</w:t>
            </w:r>
          </w:p>
        </w:tc>
        <w:tc>
          <w:tcPr>
            <w:tcW w:w="1564" w:type="dxa"/>
            <w:tcBorders>
              <w:top w:val="single" w:sz="4" w:space="0" w:color="auto"/>
              <w:left w:val="nil"/>
              <w:bottom w:val="single" w:sz="4" w:space="0" w:color="auto"/>
              <w:right w:val="nil"/>
            </w:tcBorders>
          </w:tcPr>
          <w:p w14:paraId="50AB7559" w14:textId="4CD90994" w:rsidR="0075264E" w:rsidRPr="00AE5DAC" w:rsidRDefault="0075264E" w:rsidP="00DB10C8">
            <w:pPr>
              <w:pStyle w:val="TableText"/>
              <w:spacing w:before="40" w:after="40"/>
              <w:rPr>
                <w:rFonts w:cstheme="minorHAnsi"/>
                <w:i/>
                <w:iCs/>
                <w:color w:val="000000"/>
                <w:szCs w:val="18"/>
              </w:rPr>
            </w:pPr>
            <w:r w:rsidRPr="002F16E6">
              <w:rPr>
                <w:i/>
                <w:iCs/>
                <w:szCs w:val="18"/>
              </w:rPr>
              <w:t>Haliotis rubra</w:t>
            </w:r>
          </w:p>
        </w:tc>
        <w:tc>
          <w:tcPr>
            <w:tcW w:w="1450" w:type="dxa"/>
            <w:tcBorders>
              <w:top w:val="single" w:sz="4" w:space="0" w:color="auto"/>
              <w:left w:val="nil"/>
              <w:bottom w:val="single" w:sz="4" w:space="0" w:color="auto"/>
              <w:right w:val="nil"/>
            </w:tcBorders>
          </w:tcPr>
          <w:p w14:paraId="5CC1A721" w14:textId="30D1CFE1" w:rsidR="0075264E" w:rsidRPr="00AE5DAC" w:rsidRDefault="0075264E" w:rsidP="00DB10C8">
            <w:pPr>
              <w:pStyle w:val="TableText"/>
              <w:spacing w:before="40" w:after="40"/>
              <w:rPr>
                <w:rFonts w:cstheme="minorHAnsi"/>
                <w:szCs w:val="18"/>
              </w:rPr>
            </w:pPr>
            <w:r w:rsidRPr="002F16E6">
              <w:rPr>
                <w:szCs w:val="18"/>
              </w:rPr>
              <w:t>Embryo-larval (1 hour post fertilisation)</w:t>
            </w:r>
          </w:p>
        </w:tc>
        <w:tc>
          <w:tcPr>
            <w:tcW w:w="975" w:type="dxa"/>
            <w:tcBorders>
              <w:top w:val="single" w:sz="4" w:space="0" w:color="auto"/>
              <w:left w:val="nil"/>
              <w:bottom w:val="single" w:sz="4" w:space="0" w:color="auto"/>
              <w:right w:val="nil"/>
            </w:tcBorders>
          </w:tcPr>
          <w:p w14:paraId="0C3587FD" w14:textId="7C20B4FD" w:rsidR="0075264E" w:rsidRDefault="0075264E" w:rsidP="00DB10C8">
            <w:pPr>
              <w:pStyle w:val="TableText"/>
              <w:spacing w:before="40" w:after="40"/>
              <w:rPr>
                <w:rFonts w:cstheme="minorHAnsi"/>
                <w:szCs w:val="18"/>
              </w:rPr>
            </w:pPr>
            <w:r w:rsidRPr="002F16E6">
              <w:rPr>
                <w:szCs w:val="18"/>
              </w:rPr>
              <w:t>48</w:t>
            </w:r>
          </w:p>
        </w:tc>
        <w:tc>
          <w:tcPr>
            <w:tcW w:w="828" w:type="dxa"/>
            <w:tcBorders>
              <w:top w:val="single" w:sz="4" w:space="0" w:color="auto"/>
              <w:left w:val="nil"/>
              <w:bottom w:val="single" w:sz="4" w:space="0" w:color="auto"/>
              <w:right w:val="nil"/>
            </w:tcBorders>
          </w:tcPr>
          <w:p w14:paraId="7CAEB712" w14:textId="0DCC4E57" w:rsidR="0075264E" w:rsidRDefault="0075264E" w:rsidP="00DB10C8">
            <w:pPr>
              <w:pStyle w:val="TableText"/>
              <w:spacing w:before="40" w:after="40"/>
              <w:rPr>
                <w:szCs w:val="18"/>
              </w:rPr>
            </w:pPr>
            <w:r w:rsidRPr="002F16E6">
              <w:rPr>
                <w:szCs w:val="18"/>
              </w:rPr>
              <w:t>Chronic</w:t>
            </w:r>
          </w:p>
        </w:tc>
        <w:tc>
          <w:tcPr>
            <w:tcW w:w="1406" w:type="dxa"/>
            <w:tcBorders>
              <w:top w:val="single" w:sz="4" w:space="0" w:color="auto"/>
              <w:left w:val="nil"/>
              <w:bottom w:val="single" w:sz="4" w:space="0" w:color="auto"/>
              <w:right w:val="nil"/>
            </w:tcBorders>
          </w:tcPr>
          <w:p w14:paraId="55B2164A" w14:textId="71E61FD1" w:rsidR="0075264E" w:rsidRPr="00AE5DAC" w:rsidRDefault="0075264E" w:rsidP="00DB10C8">
            <w:pPr>
              <w:pStyle w:val="TableText"/>
              <w:spacing w:before="40" w:after="40"/>
              <w:rPr>
                <w:rFonts w:cstheme="minorHAnsi"/>
                <w:szCs w:val="18"/>
              </w:rPr>
            </w:pPr>
            <w:r w:rsidRPr="002F16E6">
              <w:rPr>
                <w:szCs w:val="18"/>
              </w:rPr>
              <w:t>NOEC (</w:t>
            </w:r>
            <w:r>
              <w:rPr>
                <w:szCs w:val="18"/>
              </w:rPr>
              <w:t>n</w:t>
            </w:r>
            <w:r w:rsidRPr="002F16E6">
              <w:rPr>
                <w:szCs w:val="18"/>
              </w:rPr>
              <w:t>ormal development)</w:t>
            </w:r>
          </w:p>
        </w:tc>
        <w:tc>
          <w:tcPr>
            <w:tcW w:w="1111" w:type="dxa"/>
            <w:tcBorders>
              <w:top w:val="single" w:sz="4" w:space="0" w:color="auto"/>
              <w:left w:val="nil"/>
              <w:bottom w:val="single" w:sz="4" w:space="0" w:color="auto"/>
              <w:right w:val="nil"/>
            </w:tcBorders>
          </w:tcPr>
          <w:p w14:paraId="2C0DEC2D" w14:textId="245F8851" w:rsidR="0075264E" w:rsidRPr="00AE5DAC" w:rsidRDefault="0075264E" w:rsidP="00DB10C8">
            <w:pPr>
              <w:pStyle w:val="TableText"/>
              <w:spacing w:before="40" w:after="40"/>
              <w:rPr>
                <w:rFonts w:cstheme="minorHAnsi"/>
                <w:szCs w:val="18"/>
              </w:rPr>
            </w:pPr>
            <w:r w:rsidRPr="002F16E6">
              <w:rPr>
                <w:szCs w:val="18"/>
              </w:rPr>
              <w:t>Seawater</w:t>
            </w:r>
          </w:p>
        </w:tc>
        <w:tc>
          <w:tcPr>
            <w:tcW w:w="697" w:type="dxa"/>
            <w:tcBorders>
              <w:top w:val="single" w:sz="4" w:space="0" w:color="auto"/>
              <w:left w:val="nil"/>
              <w:bottom w:val="single" w:sz="4" w:space="0" w:color="auto"/>
              <w:right w:val="nil"/>
            </w:tcBorders>
          </w:tcPr>
          <w:p w14:paraId="2D2A4547" w14:textId="7FFD5AC5" w:rsidR="0075264E" w:rsidRPr="00AE5DAC" w:rsidRDefault="0075264E" w:rsidP="00DB10C8">
            <w:pPr>
              <w:pStyle w:val="TableText"/>
              <w:spacing w:before="40" w:after="40"/>
              <w:rPr>
                <w:rFonts w:cstheme="minorHAnsi"/>
                <w:szCs w:val="18"/>
              </w:rPr>
            </w:pPr>
            <w:r w:rsidRPr="002F16E6">
              <w:rPr>
                <w:szCs w:val="18"/>
              </w:rPr>
              <w:t>20</w:t>
            </w:r>
          </w:p>
        </w:tc>
        <w:tc>
          <w:tcPr>
            <w:tcW w:w="833" w:type="dxa"/>
            <w:tcBorders>
              <w:top w:val="single" w:sz="4" w:space="0" w:color="auto"/>
              <w:left w:val="nil"/>
              <w:bottom w:val="single" w:sz="4" w:space="0" w:color="auto"/>
              <w:right w:val="nil"/>
            </w:tcBorders>
          </w:tcPr>
          <w:p w14:paraId="49B080D8" w14:textId="3590457B" w:rsidR="0075264E" w:rsidRPr="00AE5DAC" w:rsidRDefault="0075264E" w:rsidP="00DB10C8">
            <w:pPr>
              <w:pStyle w:val="TableText"/>
              <w:spacing w:before="40" w:after="40"/>
              <w:rPr>
                <w:rFonts w:cstheme="minorHAnsi"/>
                <w:szCs w:val="18"/>
              </w:rPr>
            </w:pPr>
            <w:r w:rsidRPr="002F16E6">
              <w:rPr>
                <w:szCs w:val="18"/>
              </w:rPr>
              <w:t>Not stated</w:t>
            </w:r>
          </w:p>
        </w:tc>
        <w:tc>
          <w:tcPr>
            <w:tcW w:w="765" w:type="dxa"/>
            <w:tcBorders>
              <w:top w:val="single" w:sz="4" w:space="0" w:color="auto"/>
              <w:left w:val="nil"/>
              <w:bottom w:val="single" w:sz="4" w:space="0" w:color="auto"/>
              <w:right w:val="nil"/>
            </w:tcBorders>
          </w:tcPr>
          <w:p w14:paraId="134BC653" w14:textId="7AC65A91" w:rsidR="0075264E" w:rsidRPr="00AE5DAC" w:rsidRDefault="0075264E" w:rsidP="00DB10C8">
            <w:pPr>
              <w:pStyle w:val="TableText"/>
              <w:spacing w:before="40" w:after="40"/>
              <w:rPr>
                <w:rFonts w:cstheme="minorHAnsi"/>
                <w:szCs w:val="18"/>
              </w:rPr>
            </w:pPr>
            <w:r w:rsidRPr="002F16E6">
              <w:rPr>
                <w:szCs w:val="18"/>
              </w:rPr>
              <w:t>7.3</w:t>
            </w:r>
          </w:p>
        </w:tc>
        <w:tc>
          <w:tcPr>
            <w:tcW w:w="1276" w:type="dxa"/>
            <w:tcBorders>
              <w:top w:val="single" w:sz="4" w:space="0" w:color="auto"/>
              <w:left w:val="nil"/>
              <w:bottom w:val="single" w:sz="4" w:space="0" w:color="auto"/>
              <w:right w:val="nil"/>
            </w:tcBorders>
          </w:tcPr>
          <w:p w14:paraId="5D040830" w14:textId="268D798B" w:rsidR="0075264E" w:rsidRDefault="0075264E" w:rsidP="00DB10C8">
            <w:pPr>
              <w:pStyle w:val="TableText"/>
              <w:spacing w:before="40" w:after="40"/>
              <w:ind w:right="284"/>
              <w:jc w:val="right"/>
              <w:rPr>
                <w:b/>
                <w:szCs w:val="18"/>
              </w:rPr>
            </w:pPr>
            <w:r w:rsidRPr="002F16E6">
              <w:rPr>
                <w:szCs w:val="18"/>
              </w:rPr>
              <w:t>1</w:t>
            </w:r>
            <w:r w:rsidRPr="00B603D1">
              <w:rPr>
                <w:bCs/>
                <w:szCs w:val="18"/>
              </w:rPr>
              <w:t>,</w:t>
            </w:r>
            <w:r w:rsidRPr="002F16E6">
              <w:rPr>
                <w:szCs w:val="18"/>
              </w:rPr>
              <w:t>280</w:t>
            </w:r>
          </w:p>
        </w:tc>
        <w:tc>
          <w:tcPr>
            <w:tcW w:w="1378" w:type="dxa"/>
            <w:tcBorders>
              <w:top w:val="single" w:sz="4" w:space="0" w:color="auto"/>
              <w:bottom w:val="single" w:sz="4" w:space="0" w:color="auto"/>
            </w:tcBorders>
          </w:tcPr>
          <w:p w14:paraId="7EBAEF74" w14:textId="1C7C8F8E" w:rsidR="0075264E" w:rsidRDefault="0075264E" w:rsidP="00DB10C8">
            <w:pPr>
              <w:pStyle w:val="TableText"/>
              <w:spacing w:before="40" w:after="40"/>
              <w:rPr>
                <w:b/>
                <w:szCs w:val="18"/>
              </w:rPr>
            </w:pPr>
            <w:r w:rsidRPr="002F16E6">
              <w:rPr>
                <w:rFonts w:eastAsia="Arial Unicode MS" w:cs="Arial Unicode MS"/>
                <w:szCs w:val="18"/>
              </w:rPr>
              <w:t xml:space="preserve">Gorski </w:t>
            </w:r>
            <w:r>
              <w:rPr>
                <w:szCs w:val="18"/>
              </w:rPr>
              <w:t>and</w:t>
            </w:r>
            <w:r w:rsidRPr="002F16E6">
              <w:rPr>
                <w:rFonts w:eastAsia="Arial Unicode MS" w:cs="Arial Unicode MS"/>
                <w:szCs w:val="18"/>
              </w:rPr>
              <w:t xml:space="preserve"> Nugegoda (2006)</w:t>
            </w:r>
          </w:p>
        </w:tc>
      </w:tr>
      <w:tr w:rsidR="0075264E" w:rsidRPr="00191EC2" w14:paraId="3E43FD0F" w14:textId="77777777" w:rsidTr="002468C2">
        <w:trPr>
          <w:cantSplit/>
        </w:trPr>
        <w:tc>
          <w:tcPr>
            <w:tcW w:w="1711" w:type="dxa"/>
            <w:tcBorders>
              <w:top w:val="single" w:sz="4" w:space="0" w:color="auto"/>
              <w:bottom w:val="single" w:sz="4" w:space="0" w:color="auto"/>
            </w:tcBorders>
          </w:tcPr>
          <w:p w14:paraId="008B065C" w14:textId="3ED18FF4" w:rsidR="0075264E" w:rsidRPr="002F16E6" w:rsidRDefault="0075264E" w:rsidP="00DB10C8">
            <w:pPr>
              <w:pStyle w:val="TableText"/>
              <w:spacing w:before="40" w:after="40"/>
              <w:rPr>
                <w:rFonts w:eastAsia="Times New Roman" w:cs="Times New Roman"/>
                <w:szCs w:val="18"/>
              </w:rPr>
            </w:pPr>
            <w:r w:rsidRPr="002F16E6">
              <w:rPr>
                <w:szCs w:val="18"/>
              </w:rPr>
              <w:t>Crustacean</w:t>
            </w:r>
            <w:r>
              <w:rPr>
                <w:szCs w:val="18"/>
              </w:rPr>
              <w:t xml:space="preserve"> (crab)</w:t>
            </w:r>
          </w:p>
        </w:tc>
        <w:tc>
          <w:tcPr>
            <w:tcW w:w="1564" w:type="dxa"/>
            <w:tcBorders>
              <w:top w:val="single" w:sz="4" w:space="0" w:color="auto"/>
              <w:bottom w:val="single" w:sz="4" w:space="0" w:color="auto"/>
            </w:tcBorders>
          </w:tcPr>
          <w:p w14:paraId="707FA473" w14:textId="088C638D" w:rsidR="0075264E" w:rsidRPr="002F16E6" w:rsidRDefault="0075264E" w:rsidP="00DB10C8">
            <w:pPr>
              <w:pStyle w:val="TableText"/>
              <w:spacing w:before="40" w:after="40"/>
              <w:rPr>
                <w:i/>
                <w:iCs/>
                <w:szCs w:val="18"/>
              </w:rPr>
            </w:pPr>
            <w:r w:rsidRPr="002F16E6">
              <w:rPr>
                <w:rStyle w:val="Emphasis"/>
                <w:szCs w:val="18"/>
              </w:rPr>
              <w:t>Cancer anthonyi</w:t>
            </w:r>
          </w:p>
        </w:tc>
        <w:tc>
          <w:tcPr>
            <w:tcW w:w="1450" w:type="dxa"/>
            <w:tcBorders>
              <w:top w:val="single" w:sz="4" w:space="0" w:color="auto"/>
              <w:bottom w:val="single" w:sz="4" w:space="0" w:color="auto"/>
            </w:tcBorders>
          </w:tcPr>
          <w:p w14:paraId="6BD4D659" w14:textId="0CD3DEE2" w:rsidR="0075264E" w:rsidRPr="002F16E6" w:rsidRDefault="0075264E" w:rsidP="00DB10C8">
            <w:pPr>
              <w:pStyle w:val="TableText"/>
              <w:spacing w:before="40" w:after="40"/>
              <w:rPr>
                <w:szCs w:val="18"/>
              </w:rPr>
            </w:pPr>
            <w:r w:rsidRPr="002F16E6">
              <w:rPr>
                <w:szCs w:val="18"/>
              </w:rPr>
              <w:t>Embryo</w:t>
            </w:r>
          </w:p>
        </w:tc>
        <w:tc>
          <w:tcPr>
            <w:tcW w:w="975" w:type="dxa"/>
            <w:tcBorders>
              <w:top w:val="single" w:sz="4" w:space="0" w:color="auto"/>
              <w:bottom w:val="single" w:sz="4" w:space="0" w:color="auto"/>
            </w:tcBorders>
          </w:tcPr>
          <w:p w14:paraId="5F300266" w14:textId="371A4298" w:rsidR="0075264E" w:rsidRPr="002F16E6" w:rsidRDefault="0075264E" w:rsidP="00DB10C8">
            <w:pPr>
              <w:pStyle w:val="TableText"/>
              <w:spacing w:before="40" w:after="40"/>
              <w:rPr>
                <w:szCs w:val="18"/>
              </w:rPr>
            </w:pPr>
            <w:r w:rsidRPr="002F16E6">
              <w:rPr>
                <w:szCs w:val="18"/>
              </w:rPr>
              <w:t>168</w:t>
            </w:r>
          </w:p>
        </w:tc>
        <w:tc>
          <w:tcPr>
            <w:tcW w:w="828" w:type="dxa"/>
            <w:tcBorders>
              <w:top w:val="single" w:sz="4" w:space="0" w:color="auto"/>
              <w:bottom w:val="single" w:sz="4" w:space="0" w:color="auto"/>
            </w:tcBorders>
          </w:tcPr>
          <w:p w14:paraId="4FD8FCD0" w14:textId="0579876E" w:rsidR="0075264E" w:rsidRPr="002F16E6" w:rsidRDefault="0075264E" w:rsidP="00DB10C8">
            <w:pPr>
              <w:pStyle w:val="TableText"/>
              <w:spacing w:before="40" w:after="40"/>
              <w:rPr>
                <w:szCs w:val="18"/>
              </w:rPr>
            </w:pPr>
            <w:r w:rsidRPr="002F16E6">
              <w:rPr>
                <w:szCs w:val="18"/>
              </w:rPr>
              <w:t>Chronic</w:t>
            </w:r>
          </w:p>
        </w:tc>
        <w:tc>
          <w:tcPr>
            <w:tcW w:w="1406" w:type="dxa"/>
            <w:tcBorders>
              <w:top w:val="single" w:sz="4" w:space="0" w:color="auto"/>
              <w:bottom w:val="single" w:sz="4" w:space="0" w:color="auto"/>
            </w:tcBorders>
          </w:tcPr>
          <w:p w14:paraId="526797C5" w14:textId="70388CC8" w:rsidR="0075264E" w:rsidRPr="002F16E6" w:rsidRDefault="0075264E" w:rsidP="00DB10C8">
            <w:pPr>
              <w:pStyle w:val="TableText"/>
              <w:spacing w:before="40" w:after="40"/>
              <w:rPr>
                <w:szCs w:val="18"/>
              </w:rPr>
            </w:pPr>
            <w:r w:rsidRPr="002F16E6">
              <w:rPr>
                <w:szCs w:val="18"/>
              </w:rPr>
              <w:t>NOEC (</w:t>
            </w:r>
            <w:r>
              <w:rPr>
                <w:szCs w:val="18"/>
              </w:rPr>
              <w:t>m</w:t>
            </w:r>
            <w:r w:rsidRPr="002F16E6">
              <w:rPr>
                <w:szCs w:val="18"/>
              </w:rPr>
              <w:t>ortality)</w:t>
            </w:r>
          </w:p>
        </w:tc>
        <w:tc>
          <w:tcPr>
            <w:tcW w:w="1111" w:type="dxa"/>
            <w:tcBorders>
              <w:top w:val="single" w:sz="4" w:space="0" w:color="auto"/>
              <w:bottom w:val="single" w:sz="4" w:space="0" w:color="auto"/>
            </w:tcBorders>
          </w:tcPr>
          <w:p w14:paraId="6B364318" w14:textId="447DC1D4" w:rsidR="0075264E" w:rsidRPr="002F16E6" w:rsidRDefault="0075264E" w:rsidP="00DB10C8">
            <w:pPr>
              <w:pStyle w:val="TableText"/>
              <w:spacing w:before="40" w:after="40"/>
              <w:rPr>
                <w:szCs w:val="18"/>
              </w:rPr>
            </w:pPr>
            <w:r w:rsidRPr="002F16E6">
              <w:rPr>
                <w:szCs w:val="18"/>
              </w:rPr>
              <w:t>Seawater</w:t>
            </w:r>
          </w:p>
        </w:tc>
        <w:tc>
          <w:tcPr>
            <w:tcW w:w="697" w:type="dxa"/>
            <w:tcBorders>
              <w:top w:val="single" w:sz="4" w:space="0" w:color="auto"/>
              <w:bottom w:val="single" w:sz="4" w:space="0" w:color="auto"/>
            </w:tcBorders>
          </w:tcPr>
          <w:p w14:paraId="1BB8EA74" w14:textId="2781AE85" w:rsidR="0075264E" w:rsidRPr="002F16E6" w:rsidRDefault="0075264E" w:rsidP="00DB10C8">
            <w:pPr>
              <w:pStyle w:val="TableText"/>
              <w:spacing w:before="40" w:after="40"/>
              <w:rPr>
                <w:szCs w:val="18"/>
              </w:rPr>
            </w:pPr>
            <w:r w:rsidRPr="002F16E6">
              <w:rPr>
                <w:szCs w:val="18"/>
              </w:rPr>
              <w:t>20</w:t>
            </w:r>
          </w:p>
        </w:tc>
        <w:tc>
          <w:tcPr>
            <w:tcW w:w="833" w:type="dxa"/>
            <w:tcBorders>
              <w:top w:val="single" w:sz="4" w:space="0" w:color="auto"/>
              <w:bottom w:val="single" w:sz="4" w:space="0" w:color="auto"/>
            </w:tcBorders>
          </w:tcPr>
          <w:p w14:paraId="20072C00" w14:textId="64D11A48" w:rsidR="0075264E" w:rsidRPr="002F16E6" w:rsidRDefault="0075264E" w:rsidP="00DB10C8">
            <w:pPr>
              <w:pStyle w:val="TableText"/>
              <w:spacing w:before="40" w:after="40"/>
              <w:rPr>
                <w:szCs w:val="18"/>
              </w:rPr>
            </w:pPr>
            <w:r w:rsidRPr="002F16E6">
              <w:rPr>
                <w:szCs w:val="18"/>
              </w:rPr>
              <w:t>34</w:t>
            </w:r>
          </w:p>
        </w:tc>
        <w:tc>
          <w:tcPr>
            <w:tcW w:w="765" w:type="dxa"/>
            <w:tcBorders>
              <w:top w:val="single" w:sz="4" w:space="0" w:color="auto"/>
              <w:bottom w:val="single" w:sz="4" w:space="0" w:color="auto"/>
            </w:tcBorders>
          </w:tcPr>
          <w:p w14:paraId="4E2FB6E5" w14:textId="44EA3AC9" w:rsidR="0075264E" w:rsidRPr="002F16E6" w:rsidRDefault="0075264E" w:rsidP="00DB10C8">
            <w:pPr>
              <w:pStyle w:val="TableText"/>
              <w:spacing w:before="40" w:after="40"/>
              <w:rPr>
                <w:szCs w:val="18"/>
              </w:rPr>
            </w:pPr>
            <w:r w:rsidRPr="002F16E6">
              <w:rPr>
                <w:szCs w:val="18"/>
              </w:rPr>
              <w:t>7.8</w:t>
            </w:r>
          </w:p>
        </w:tc>
        <w:tc>
          <w:tcPr>
            <w:tcW w:w="1276" w:type="dxa"/>
            <w:tcBorders>
              <w:top w:val="single" w:sz="4" w:space="0" w:color="auto"/>
              <w:bottom w:val="single" w:sz="4" w:space="0" w:color="auto"/>
            </w:tcBorders>
          </w:tcPr>
          <w:p w14:paraId="17884031" w14:textId="7879B523" w:rsidR="0075264E" w:rsidRPr="002F16E6" w:rsidRDefault="0075264E" w:rsidP="00DB10C8">
            <w:pPr>
              <w:pStyle w:val="TableText"/>
              <w:spacing w:before="40" w:after="40"/>
              <w:ind w:right="284"/>
              <w:jc w:val="right"/>
              <w:rPr>
                <w:b/>
                <w:szCs w:val="18"/>
              </w:rPr>
            </w:pPr>
            <w:r w:rsidRPr="002F16E6">
              <w:rPr>
                <w:szCs w:val="18"/>
              </w:rPr>
              <w:t>100</w:t>
            </w:r>
            <w:r w:rsidRPr="00DE5182">
              <w:rPr>
                <w:bCs/>
                <w:szCs w:val="18"/>
              </w:rPr>
              <w:t>,</w:t>
            </w:r>
            <w:r w:rsidRPr="002F16E6">
              <w:rPr>
                <w:szCs w:val="18"/>
              </w:rPr>
              <w:t>000</w:t>
            </w:r>
          </w:p>
        </w:tc>
        <w:tc>
          <w:tcPr>
            <w:tcW w:w="1378" w:type="dxa"/>
            <w:tcBorders>
              <w:top w:val="single" w:sz="4" w:space="0" w:color="auto"/>
              <w:bottom w:val="single" w:sz="4" w:space="0" w:color="auto"/>
            </w:tcBorders>
          </w:tcPr>
          <w:p w14:paraId="611358D6" w14:textId="20ADE925" w:rsidR="0075264E" w:rsidRPr="002F16E6" w:rsidRDefault="0075264E" w:rsidP="00DB10C8">
            <w:pPr>
              <w:pStyle w:val="TableText"/>
              <w:spacing w:before="40" w:after="40"/>
              <w:rPr>
                <w:b/>
                <w:szCs w:val="18"/>
              </w:rPr>
            </w:pPr>
            <w:r w:rsidRPr="002F16E6">
              <w:rPr>
                <w:szCs w:val="18"/>
              </w:rPr>
              <w:t>Macdonald et al. (19</w:t>
            </w:r>
            <w:r>
              <w:rPr>
                <w:szCs w:val="18"/>
              </w:rPr>
              <w:t>8</w:t>
            </w:r>
            <w:r w:rsidRPr="002F16E6">
              <w:rPr>
                <w:szCs w:val="18"/>
              </w:rPr>
              <w:t>8)</w:t>
            </w:r>
          </w:p>
        </w:tc>
      </w:tr>
      <w:tr w:rsidR="0075264E" w:rsidRPr="00191EC2" w14:paraId="0EAE289E" w14:textId="77777777" w:rsidTr="002468C2">
        <w:trPr>
          <w:cantSplit/>
        </w:trPr>
        <w:tc>
          <w:tcPr>
            <w:tcW w:w="1711" w:type="dxa"/>
            <w:tcBorders>
              <w:top w:val="single" w:sz="4" w:space="0" w:color="auto"/>
              <w:bottom w:val="single" w:sz="12" w:space="0" w:color="auto"/>
            </w:tcBorders>
          </w:tcPr>
          <w:p w14:paraId="514FF0D4" w14:textId="541D5315" w:rsidR="0075264E" w:rsidRPr="002F16E6" w:rsidRDefault="0075264E" w:rsidP="00DB10C8">
            <w:pPr>
              <w:pStyle w:val="TableText"/>
              <w:spacing w:before="40" w:after="40"/>
              <w:rPr>
                <w:rFonts w:eastAsia="Times New Roman" w:cs="Times New Roman"/>
                <w:szCs w:val="18"/>
              </w:rPr>
            </w:pPr>
            <w:r w:rsidRPr="002F16E6">
              <w:rPr>
                <w:szCs w:val="18"/>
              </w:rPr>
              <w:t>Crustacean</w:t>
            </w:r>
            <w:r>
              <w:rPr>
                <w:szCs w:val="18"/>
              </w:rPr>
              <w:t xml:space="preserve"> (crab)</w:t>
            </w:r>
          </w:p>
        </w:tc>
        <w:tc>
          <w:tcPr>
            <w:tcW w:w="1564" w:type="dxa"/>
            <w:tcBorders>
              <w:top w:val="single" w:sz="4" w:space="0" w:color="auto"/>
              <w:bottom w:val="single" w:sz="12" w:space="0" w:color="auto"/>
            </w:tcBorders>
          </w:tcPr>
          <w:p w14:paraId="02D6E0B1" w14:textId="04093B01" w:rsidR="0075264E" w:rsidRPr="002F16E6" w:rsidRDefault="0075264E" w:rsidP="00DB10C8">
            <w:pPr>
              <w:pStyle w:val="TableText"/>
              <w:spacing w:before="40" w:after="40"/>
              <w:rPr>
                <w:i/>
                <w:iCs/>
                <w:szCs w:val="18"/>
              </w:rPr>
            </w:pPr>
            <w:r w:rsidRPr="002F16E6">
              <w:rPr>
                <w:rStyle w:val="Emphasis"/>
                <w:szCs w:val="18"/>
              </w:rPr>
              <w:t>Cancer anthonyi</w:t>
            </w:r>
          </w:p>
        </w:tc>
        <w:tc>
          <w:tcPr>
            <w:tcW w:w="1450" w:type="dxa"/>
            <w:tcBorders>
              <w:top w:val="single" w:sz="4" w:space="0" w:color="auto"/>
              <w:bottom w:val="single" w:sz="12" w:space="0" w:color="auto"/>
            </w:tcBorders>
          </w:tcPr>
          <w:p w14:paraId="08769A74" w14:textId="4AD5EA10" w:rsidR="0075264E" w:rsidRPr="002F16E6" w:rsidRDefault="0075264E" w:rsidP="00DB10C8">
            <w:pPr>
              <w:pStyle w:val="TableText"/>
              <w:spacing w:before="40" w:after="40"/>
              <w:rPr>
                <w:szCs w:val="18"/>
              </w:rPr>
            </w:pPr>
            <w:r w:rsidRPr="002F16E6">
              <w:rPr>
                <w:szCs w:val="18"/>
              </w:rPr>
              <w:t>Embryo</w:t>
            </w:r>
          </w:p>
        </w:tc>
        <w:tc>
          <w:tcPr>
            <w:tcW w:w="975" w:type="dxa"/>
            <w:tcBorders>
              <w:top w:val="single" w:sz="4" w:space="0" w:color="auto"/>
              <w:bottom w:val="single" w:sz="12" w:space="0" w:color="auto"/>
            </w:tcBorders>
          </w:tcPr>
          <w:p w14:paraId="491017CE" w14:textId="0B813571" w:rsidR="0075264E" w:rsidRPr="002F16E6" w:rsidRDefault="0075264E" w:rsidP="00DB10C8">
            <w:pPr>
              <w:pStyle w:val="TableText"/>
              <w:spacing w:before="40" w:after="40"/>
              <w:rPr>
                <w:szCs w:val="18"/>
              </w:rPr>
            </w:pPr>
            <w:r w:rsidRPr="002F16E6">
              <w:rPr>
                <w:szCs w:val="18"/>
              </w:rPr>
              <w:t>168</w:t>
            </w:r>
          </w:p>
        </w:tc>
        <w:tc>
          <w:tcPr>
            <w:tcW w:w="828" w:type="dxa"/>
            <w:tcBorders>
              <w:top w:val="single" w:sz="4" w:space="0" w:color="auto"/>
              <w:bottom w:val="single" w:sz="12" w:space="0" w:color="auto"/>
            </w:tcBorders>
          </w:tcPr>
          <w:p w14:paraId="096E0522" w14:textId="76EBEA6B" w:rsidR="0075264E" w:rsidRPr="002F16E6" w:rsidRDefault="0075264E" w:rsidP="00DB10C8">
            <w:pPr>
              <w:pStyle w:val="TableText"/>
              <w:spacing w:before="40" w:after="40"/>
              <w:rPr>
                <w:szCs w:val="18"/>
              </w:rPr>
            </w:pPr>
            <w:r w:rsidRPr="002F16E6">
              <w:rPr>
                <w:szCs w:val="18"/>
              </w:rPr>
              <w:t>Chronic</w:t>
            </w:r>
          </w:p>
        </w:tc>
        <w:tc>
          <w:tcPr>
            <w:tcW w:w="1406" w:type="dxa"/>
            <w:tcBorders>
              <w:top w:val="single" w:sz="4" w:space="0" w:color="auto"/>
              <w:bottom w:val="single" w:sz="12" w:space="0" w:color="auto"/>
            </w:tcBorders>
          </w:tcPr>
          <w:p w14:paraId="5CC7A298" w14:textId="30E90F4C" w:rsidR="0075264E" w:rsidRPr="002F16E6" w:rsidRDefault="0075264E" w:rsidP="00DB10C8">
            <w:pPr>
              <w:pStyle w:val="TableText"/>
              <w:spacing w:before="40" w:after="40"/>
              <w:rPr>
                <w:szCs w:val="18"/>
              </w:rPr>
            </w:pPr>
            <w:r w:rsidRPr="002F16E6">
              <w:rPr>
                <w:szCs w:val="18"/>
              </w:rPr>
              <w:t>NOEC (</w:t>
            </w:r>
            <w:r>
              <w:rPr>
                <w:szCs w:val="18"/>
              </w:rPr>
              <w:t>h</w:t>
            </w:r>
            <w:r w:rsidRPr="002F16E6">
              <w:rPr>
                <w:szCs w:val="18"/>
              </w:rPr>
              <w:t>atching)</w:t>
            </w:r>
          </w:p>
        </w:tc>
        <w:tc>
          <w:tcPr>
            <w:tcW w:w="1111" w:type="dxa"/>
            <w:tcBorders>
              <w:top w:val="single" w:sz="4" w:space="0" w:color="auto"/>
              <w:bottom w:val="single" w:sz="12" w:space="0" w:color="auto"/>
            </w:tcBorders>
          </w:tcPr>
          <w:p w14:paraId="71B598BA" w14:textId="77FCAA00" w:rsidR="0075264E" w:rsidRPr="002F16E6" w:rsidRDefault="0075264E" w:rsidP="00DB10C8">
            <w:pPr>
              <w:pStyle w:val="TableText"/>
              <w:spacing w:before="40" w:after="40"/>
              <w:rPr>
                <w:szCs w:val="18"/>
              </w:rPr>
            </w:pPr>
            <w:r w:rsidRPr="002F16E6">
              <w:rPr>
                <w:szCs w:val="18"/>
              </w:rPr>
              <w:t>Seawater</w:t>
            </w:r>
          </w:p>
        </w:tc>
        <w:tc>
          <w:tcPr>
            <w:tcW w:w="697" w:type="dxa"/>
            <w:tcBorders>
              <w:top w:val="single" w:sz="4" w:space="0" w:color="auto"/>
              <w:bottom w:val="single" w:sz="12" w:space="0" w:color="auto"/>
            </w:tcBorders>
          </w:tcPr>
          <w:p w14:paraId="5EB10CE8" w14:textId="3312C893" w:rsidR="0075264E" w:rsidRPr="002F16E6" w:rsidRDefault="0075264E" w:rsidP="00DB10C8">
            <w:pPr>
              <w:pStyle w:val="TableText"/>
              <w:spacing w:before="40" w:after="40"/>
              <w:rPr>
                <w:szCs w:val="18"/>
              </w:rPr>
            </w:pPr>
            <w:r w:rsidRPr="002F16E6">
              <w:rPr>
                <w:szCs w:val="18"/>
              </w:rPr>
              <w:t>20</w:t>
            </w:r>
          </w:p>
        </w:tc>
        <w:tc>
          <w:tcPr>
            <w:tcW w:w="833" w:type="dxa"/>
            <w:tcBorders>
              <w:top w:val="single" w:sz="4" w:space="0" w:color="auto"/>
              <w:bottom w:val="single" w:sz="12" w:space="0" w:color="auto"/>
            </w:tcBorders>
          </w:tcPr>
          <w:p w14:paraId="49490B81" w14:textId="4F1C9468" w:rsidR="0075264E" w:rsidRPr="002F16E6" w:rsidRDefault="0075264E" w:rsidP="00DB10C8">
            <w:pPr>
              <w:pStyle w:val="TableText"/>
              <w:spacing w:before="40" w:after="40"/>
              <w:rPr>
                <w:szCs w:val="18"/>
              </w:rPr>
            </w:pPr>
            <w:r w:rsidRPr="002F16E6">
              <w:rPr>
                <w:szCs w:val="18"/>
              </w:rPr>
              <w:t>34</w:t>
            </w:r>
          </w:p>
        </w:tc>
        <w:tc>
          <w:tcPr>
            <w:tcW w:w="765" w:type="dxa"/>
            <w:tcBorders>
              <w:top w:val="single" w:sz="4" w:space="0" w:color="auto"/>
              <w:bottom w:val="single" w:sz="12" w:space="0" w:color="auto"/>
            </w:tcBorders>
          </w:tcPr>
          <w:p w14:paraId="124B2AEF" w14:textId="167647DB" w:rsidR="0075264E" w:rsidRPr="002F16E6" w:rsidRDefault="0075264E" w:rsidP="00DB10C8">
            <w:pPr>
              <w:pStyle w:val="TableText"/>
              <w:spacing w:before="40" w:after="40"/>
              <w:rPr>
                <w:szCs w:val="18"/>
              </w:rPr>
            </w:pPr>
            <w:r w:rsidRPr="002F16E6">
              <w:rPr>
                <w:szCs w:val="18"/>
              </w:rPr>
              <w:t>7.8</w:t>
            </w:r>
          </w:p>
        </w:tc>
        <w:tc>
          <w:tcPr>
            <w:tcW w:w="1276" w:type="dxa"/>
            <w:tcBorders>
              <w:top w:val="single" w:sz="4" w:space="0" w:color="auto"/>
              <w:bottom w:val="single" w:sz="12" w:space="0" w:color="auto"/>
            </w:tcBorders>
          </w:tcPr>
          <w:p w14:paraId="68BAC8D8" w14:textId="195A0C75" w:rsidR="0075264E" w:rsidRPr="002F16E6" w:rsidRDefault="0075264E" w:rsidP="00DB10C8">
            <w:pPr>
              <w:pStyle w:val="TableText"/>
              <w:spacing w:before="40" w:after="40"/>
              <w:ind w:right="284"/>
              <w:jc w:val="right"/>
              <w:rPr>
                <w:b/>
                <w:szCs w:val="18"/>
              </w:rPr>
            </w:pPr>
            <w:r w:rsidRPr="002F16E6">
              <w:rPr>
                <w:szCs w:val="18"/>
              </w:rPr>
              <w:t>1</w:t>
            </w:r>
            <w:r w:rsidRPr="00DE5182">
              <w:rPr>
                <w:bCs/>
                <w:szCs w:val="18"/>
              </w:rPr>
              <w:t>,</w:t>
            </w:r>
            <w:r w:rsidRPr="002F16E6">
              <w:rPr>
                <w:szCs w:val="18"/>
              </w:rPr>
              <w:t>000</w:t>
            </w:r>
          </w:p>
        </w:tc>
        <w:tc>
          <w:tcPr>
            <w:tcW w:w="1378" w:type="dxa"/>
            <w:tcBorders>
              <w:top w:val="single" w:sz="4" w:space="0" w:color="auto"/>
              <w:bottom w:val="single" w:sz="12" w:space="0" w:color="auto"/>
            </w:tcBorders>
          </w:tcPr>
          <w:p w14:paraId="60B8053F" w14:textId="3CCCEC7A" w:rsidR="0075264E" w:rsidRPr="002F16E6" w:rsidRDefault="0075264E" w:rsidP="00DB10C8">
            <w:pPr>
              <w:pStyle w:val="TableText"/>
              <w:spacing w:before="40" w:after="40"/>
              <w:rPr>
                <w:b/>
                <w:szCs w:val="18"/>
              </w:rPr>
            </w:pPr>
            <w:r w:rsidRPr="002F16E6">
              <w:rPr>
                <w:szCs w:val="18"/>
              </w:rPr>
              <w:t>Macdonald et al. (19</w:t>
            </w:r>
            <w:r>
              <w:rPr>
                <w:szCs w:val="18"/>
              </w:rPr>
              <w:t>8</w:t>
            </w:r>
            <w:r w:rsidRPr="002F16E6">
              <w:rPr>
                <w:szCs w:val="18"/>
              </w:rPr>
              <w:t>8)</w:t>
            </w:r>
          </w:p>
        </w:tc>
      </w:tr>
    </w:tbl>
    <w:p w14:paraId="487133FD" w14:textId="307D0212" w:rsidR="005E08CB" w:rsidRPr="00E300C7" w:rsidRDefault="00A77C64" w:rsidP="006F74B4">
      <w:pPr>
        <w:pStyle w:val="FigureTableNoteSource"/>
        <w:spacing w:before="50" w:after="50" w:line="240" w:lineRule="auto"/>
      </w:pPr>
      <w:r w:rsidRPr="00BC2BED">
        <w:rPr>
          <w:rStyle w:val="Strong"/>
          <w:b w:val="0"/>
          <w:bCs w:val="0"/>
          <w:vertAlign w:val="superscript"/>
        </w:rPr>
        <w:t>a</w:t>
      </w:r>
      <w:r w:rsidRPr="00E300C7">
        <w:rPr>
          <w:rStyle w:val="Strong"/>
          <w:b w:val="0"/>
          <w:bCs w:val="0"/>
        </w:rPr>
        <w:t xml:space="preserve"> </w:t>
      </w:r>
      <w:r w:rsidR="005E08CB" w:rsidRPr="00E300C7">
        <w:rPr>
          <w:rStyle w:val="Strong"/>
          <w:b w:val="0"/>
          <w:bCs w:val="0"/>
        </w:rPr>
        <w:t xml:space="preserve">The data reported here went through a further </w:t>
      </w:r>
      <w:r w:rsidR="00F93F8C" w:rsidRPr="00E300C7">
        <w:rPr>
          <w:rStyle w:val="Strong"/>
          <w:b w:val="0"/>
          <w:bCs w:val="0"/>
        </w:rPr>
        <w:t>selection</w:t>
      </w:r>
      <w:r w:rsidR="005E08CB" w:rsidRPr="00E300C7">
        <w:rPr>
          <w:rStyle w:val="Strong"/>
          <w:b w:val="0"/>
          <w:bCs w:val="0"/>
        </w:rPr>
        <w:t xml:space="preserve"> process</w:t>
      </w:r>
      <w:r w:rsidR="00F93F8C" w:rsidRPr="00E300C7">
        <w:rPr>
          <w:rStyle w:val="Strong"/>
          <w:b w:val="0"/>
          <w:bCs w:val="0"/>
        </w:rPr>
        <w:t>,</w:t>
      </w:r>
      <w:r w:rsidR="005E08CB" w:rsidRPr="00E300C7">
        <w:rPr>
          <w:rStyle w:val="Strong"/>
          <w:b w:val="0"/>
          <w:bCs w:val="0"/>
        </w:rPr>
        <w:t xml:space="preserve"> </w:t>
      </w:r>
      <w:r w:rsidR="00F93F8C" w:rsidRPr="00E300C7">
        <w:rPr>
          <w:rStyle w:val="Strong"/>
          <w:b w:val="0"/>
          <w:bCs w:val="0"/>
        </w:rPr>
        <w:t>including</w:t>
      </w:r>
      <w:r w:rsidR="005E08CB" w:rsidRPr="00E300C7">
        <w:rPr>
          <w:rStyle w:val="Strong"/>
          <w:b w:val="0"/>
          <w:bCs w:val="0"/>
        </w:rPr>
        <w:t xml:space="preserve"> calculation of geometric means</w:t>
      </w:r>
      <w:r w:rsidR="00F93F8C" w:rsidRPr="00E300C7">
        <w:rPr>
          <w:rStyle w:val="Strong"/>
          <w:b w:val="0"/>
          <w:bCs w:val="0"/>
        </w:rPr>
        <w:t xml:space="preserve"> </w:t>
      </w:r>
      <w:r w:rsidR="005E08CB" w:rsidRPr="00E300C7">
        <w:rPr>
          <w:rStyle w:val="Strong"/>
          <w:b w:val="0"/>
          <w:bCs w:val="0"/>
        </w:rPr>
        <w:t>and selection of the lowest value where necessary</w:t>
      </w:r>
      <w:r w:rsidR="00F93F8C" w:rsidRPr="00E300C7">
        <w:rPr>
          <w:rStyle w:val="Strong"/>
          <w:b w:val="0"/>
          <w:bCs w:val="0"/>
        </w:rPr>
        <w:t>,</w:t>
      </w:r>
      <w:r w:rsidR="005E08CB" w:rsidRPr="00E300C7">
        <w:rPr>
          <w:rStyle w:val="Strong"/>
          <w:b w:val="0"/>
          <w:bCs w:val="0"/>
        </w:rPr>
        <w:t xml:space="preserve"> to have one value for each species as </w:t>
      </w:r>
      <w:r w:rsidR="00D448D7">
        <w:rPr>
          <w:rStyle w:val="Strong"/>
          <w:b w:val="0"/>
          <w:bCs w:val="0"/>
        </w:rPr>
        <w:t>shown</w:t>
      </w:r>
      <w:r w:rsidR="00D448D7" w:rsidRPr="00E300C7">
        <w:rPr>
          <w:rStyle w:val="Strong"/>
          <w:b w:val="0"/>
          <w:bCs w:val="0"/>
        </w:rPr>
        <w:t xml:space="preserve"> </w:t>
      </w:r>
      <w:r w:rsidR="005E08CB" w:rsidRPr="00E300C7">
        <w:rPr>
          <w:rStyle w:val="Strong"/>
          <w:b w:val="0"/>
          <w:bCs w:val="0"/>
        </w:rPr>
        <w:t xml:space="preserve">in </w:t>
      </w:r>
      <w:r w:rsidR="005E08CB" w:rsidRPr="00E300C7">
        <w:rPr>
          <w:rStyle w:val="Strong"/>
          <w:b w:val="0"/>
          <w:bCs w:val="0"/>
        </w:rPr>
        <w:fldChar w:fldCharType="begin"/>
      </w:r>
      <w:r w:rsidR="005E08CB" w:rsidRPr="00E300C7">
        <w:rPr>
          <w:rStyle w:val="Strong"/>
          <w:b w:val="0"/>
          <w:bCs w:val="0"/>
        </w:rPr>
        <w:instrText xml:space="preserve"> REF _Ref24813846 \h  \* MERGEFORMAT </w:instrText>
      </w:r>
      <w:r w:rsidR="005E08CB" w:rsidRPr="00E300C7">
        <w:rPr>
          <w:rStyle w:val="Strong"/>
          <w:b w:val="0"/>
          <w:bCs w:val="0"/>
        </w:rPr>
      </w:r>
      <w:r w:rsidR="005E08CB" w:rsidRPr="00E300C7">
        <w:rPr>
          <w:rStyle w:val="Strong"/>
          <w:b w:val="0"/>
          <w:bCs w:val="0"/>
        </w:rPr>
        <w:fldChar w:fldCharType="separate"/>
      </w:r>
      <w:r w:rsidR="00510BCB">
        <w:rPr>
          <w:rStyle w:val="Strong"/>
          <w:lang w:val="en-US"/>
        </w:rPr>
        <w:t>Error! Reference source not found.</w:t>
      </w:r>
      <w:r w:rsidR="005E08CB" w:rsidRPr="00E300C7">
        <w:rPr>
          <w:rStyle w:val="Strong"/>
          <w:b w:val="0"/>
          <w:bCs w:val="0"/>
        </w:rPr>
        <w:fldChar w:fldCharType="end"/>
      </w:r>
      <w:r w:rsidR="005E08CB" w:rsidRPr="00E300C7">
        <w:rPr>
          <w:rStyle w:val="Strong"/>
          <w:b w:val="0"/>
          <w:bCs w:val="0"/>
        </w:rPr>
        <w:t>.</w:t>
      </w:r>
    </w:p>
    <w:p w14:paraId="74B086F5" w14:textId="45157A91" w:rsidR="004E4810" w:rsidRPr="004E4810" w:rsidRDefault="00CA7377" w:rsidP="0085317C">
      <w:pPr>
        <w:pStyle w:val="FigureTableNoteSource"/>
        <w:rPr>
          <w:highlight w:val="yellow"/>
        </w:rPr>
        <w:sectPr w:rsidR="004E4810" w:rsidRPr="004E4810" w:rsidSect="00D2552D">
          <w:headerReference w:type="even" r:id="rId41"/>
          <w:headerReference w:type="default" r:id="rId42"/>
          <w:footerReference w:type="even" r:id="rId43"/>
          <w:footerReference w:type="default" r:id="rId44"/>
          <w:headerReference w:type="first" r:id="rId45"/>
          <w:footerReference w:type="first" r:id="rId46"/>
          <w:pgSz w:w="16838" w:h="11906" w:orient="landscape"/>
          <w:pgMar w:top="1418" w:right="1418" w:bottom="1418" w:left="1418" w:header="567" w:footer="283" w:gutter="0"/>
          <w:cols w:space="708"/>
          <w:docGrid w:linePitch="360"/>
        </w:sectPr>
      </w:pPr>
      <w:r>
        <w:rPr>
          <w:vertAlign w:val="superscript"/>
        </w:rPr>
        <w:t>b</w:t>
      </w:r>
      <w:r w:rsidR="005E08CB">
        <w:t xml:space="preserve"> Geometric mean</w:t>
      </w:r>
      <w:r w:rsidR="009E66E5">
        <w:t>.</w:t>
      </w:r>
    </w:p>
    <w:p w14:paraId="2B0F26AC" w14:textId="19BE587A" w:rsidR="00C4719C" w:rsidRDefault="00C4719C" w:rsidP="00C4719C">
      <w:pPr>
        <w:pStyle w:val="Heading2"/>
        <w:numPr>
          <w:ilvl w:val="0"/>
          <w:numId w:val="0"/>
        </w:numPr>
      </w:pPr>
      <w:bookmarkStart w:id="52" w:name="AppendixC"/>
      <w:bookmarkStart w:id="53" w:name="_Toc139008478"/>
      <w:bookmarkStart w:id="54" w:name="_Toc196928510"/>
      <w:bookmarkStart w:id="55" w:name="_Toc197784003"/>
      <w:bookmarkStart w:id="56" w:name="_Ref528068779"/>
      <w:bookmarkStart w:id="57" w:name="_Ref528068976"/>
      <w:bookmarkStart w:id="58" w:name="_Toc4498837"/>
      <w:bookmarkStart w:id="59" w:name="_Ref13150768"/>
      <w:r>
        <w:lastRenderedPageBreak/>
        <w:t>Appendix</w:t>
      </w:r>
      <w:r w:rsidR="00B14722">
        <w:t> C</w:t>
      </w:r>
      <w:bookmarkEnd w:id="52"/>
      <w:r w:rsidR="003A1923">
        <w:t>:</w:t>
      </w:r>
      <w:r>
        <w:t xml:space="preserve"> </w:t>
      </w:r>
      <w:r w:rsidR="003A1923">
        <w:t>c</w:t>
      </w:r>
      <w:r>
        <w:t>omparison of iron toxicity datasets with and without Markich (2021) bivalve data</w:t>
      </w:r>
      <w:bookmarkEnd w:id="53"/>
      <w:bookmarkEnd w:id="54"/>
      <w:bookmarkEnd w:id="55"/>
    </w:p>
    <w:p w14:paraId="7F4B6015" w14:textId="2C5DD187" w:rsidR="00C4719C" w:rsidRDefault="00C4719C" w:rsidP="00C4719C">
      <w:pPr>
        <w:rPr>
          <w:lang w:eastAsia="ja-JP"/>
        </w:rPr>
      </w:pPr>
      <w:r>
        <w:rPr>
          <w:lang w:val="en-US" w:bidi="en-US"/>
        </w:rPr>
        <w:t xml:space="preserve">The inclusion of the </w:t>
      </w:r>
      <w:r w:rsidR="00A02505">
        <w:rPr>
          <w:lang w:val="en-US" w:bidi="en-US"/>
        </w:rPr>
        <w:t>iron</w:t>
      </w:r>
      <w:r>
        <w:rPr>
          <w:lang w:val="en-US" w:bidi="en-US"/>
        </w:rPr>
        <w:t xml:space="preserve"> toxicity data for </w:t>
      </w:r>
      <w:r w:rsidRPr="002D3C1C">
        <w:rPr>
          <w:lang w:val="en-US" w:bidi="en-US"/>
        </w:rPr>
        <w:t xml:space="preserve">10 bivalve </w:t>
      </w:r>
      <w:r>
        <w:rPr>
          <w:lang w:val="en-US" w:bidi="en-US"/>
        </w:rPr>
        <w:t>species published</w:t>
      </w:r>
      <w:r w:rsidRPr="002D3C1C">
        <w:rPr>
          <w:lang w:val="en-US" w:bidi="en-US"/>
        </w:rPr>
        <w:t xml:space="preserve"> by Markich (2021) </w:t>
      </w:r>
      <w:r>
        <w:rPr>
          <w:lang w:val="en-US" w:bidi="en-US"/>
        </w:rPr>
        <w:t xml:space="preserve">resulted in </w:t>
      </w:r>
      <w:r w:rsidR="009E66E5">
        <w:rPr>
          <w:lang w:val="en-US" w:bidi="en-US"/>
        </w:rPr>
        <w:t xml:space="preserve">almost </w:t>
      </w:r>
      <w:r w:rsidR="00812F63">
        <w:rPr>
          <w:lang w:val="en-US" w:bidi="en-US"/>
        </w:rPr>
        <w:t>two</w:t>
      </w:r>
      <w:r w:rsidR="0085317C">
        <w:rPr>
          <w:lang w:val="en-US" w:bidi="en-US"/>
        </w:rPr>
        <w:t>-</w:t>
      </w:r>
      <w:r w:rsidR="00812F63">
        <w:rPr>
          <w:lang w:val="en-US" w:bidi="en-US"/>
        </w:rPr>
        <w:t>thirds</w:t>
      </w:r>
      <w:r>
        <w:rPr>
          <w:lang w:val="en-US" w:bidi="en-US"/>
        </w:rPr>
        <w:t xml:space="preserve"> of the dataset (i.e. 1</w:t>
      </w:r>
      <w:r w:rsidR="00B24CEF">
        <w:rPr>
          <w:lang w:val="en-US" w:bidi="en-US"/>
        </w:rPr>
        <w:t>0</w:t>
      </w:r>
      <w:r>
        <w:rPr>
          <w:lang w:val="en-US" w:bidi="en-US"/>
        </w:rPr>
        <w:t xml:space="preserve"> of the </w:t>
      </w:r>
      <w:r w:rsidR="00812F63">
        <w:rPr>
          <w:lang w:val="en-US" w:bidi="en-US"/>
        </w:rPr>
        <w:t>1</w:t>
      </w:r>
      <w:r w:rsidR="009E66E5">
        <w:rPr>
          <w:lang w:val="en-US" w:bidi="en-US"/>
        </w:rPr>
        <w:t>6</w:t>
      </w:r>
      <w:r w:rsidR="00812F63">
        <w:rPr>
          <w:lang w:val="en-US" w:bidi="en-US"/>
        </w:rPr>
        <w:t xml:space="preserve"> </w:t>
      </w:r>
      <w:r>
        <w:rPr>
          <w:lang w:val="en-US" w:bidi="en-US"/>
        </w:rPr>
        <w:t>species) being bivalves, thus potentially resulting in an unacceptable bias towards this taxonomic group. Consequently, an assessment of the effect of inclusion of the Markich (2021) bivalve species on the SSD and associated protective</w:t>
      </w:r>
      <w:r w:rsidR="00E63045">
        <w:rPr>
          <w:lang w:val="en-US" w:bidi="en-US"/>
        </w:rPr>
        <w:t>-</w:t>
      </w:r>
      <w:r>
        <w:rPr>
          <w:lang w:val="en-US" w:bidi="en-US"/>
        </w:rPr>
        <w:t xml:space="preserve">concentration (PC) values was undertaken. </w:t>
      </w:r>
      <w:r w:rsidR="006329B3">
        <w:rPr>
          <w:lang w:val="en-US" w:bidi="en-US"/>
        </w:rPr>
        <w:t>While there were other bivalve data</w:t>
      </w:r>
      <w:r w:rsidR="0047423E">
        <w:rPr>
          <w:lang w:val="en-US" w:bidi="en-US"/>
        </w:rPr>
        <w:t xml:space="preserve"> from other studies</w:t>
      </w:r>
      <w:r w:rsidR="00FC1A57">
        <w:rPr>
          <w:lang w:val="en-US" w:bidi="en-US"/>
        </w:rPr>
        <w:t>, these were excluded as not being of appropriate quality.</w:t>
      </w:r>
      <w:r w:rsidRPr="00770994">
        <w:rPr>
          <w:lang w:bidi="en-US"/>
        </w:rPr>
        <w:t xml:space="preserve"> </w:t>
      </w:r>
      <w:r w:rsidR="00873CA7">
        <w:rPr>
          <w:lang w:eastAsia="ja-JP"/>
        </w:rPr>
        <w:t>Species sensitivity distributions were constructed</w:t>
      </w:r>
      <w:r>
        <w:rPr>
          <w:lang w:eastAsia="ja-JP"/>
        </w:rPr>
        <w:t xml:space="preserve"> </w:t>
      </w:r>
      <w:r w:rsidR="00C0660B">
        <w:rPr>
          <w:lang w:eastAsia="ja-JP"/>
        </w:rPr>
        <w:t>for</w:t>
      </w:r>
      <w:r>
        <w:rPr>
          <w:lang w:eastAsia="ja-JP"/>
        </w:rPr>
        <w:t xml:space="preserve"> </w:t>
      </w:r>
      <w:r w:rsidR="00873CA7">
        <w:rPr>
          <w:lang w:eastAsia="ja-JP"/>
        </w:rPr>
        <w:t xml:space="preserve">the following </w:t>
      </w:r>
      <w:r w:rsidR="0094410C">
        <w:rPr>
          <w:lang w:eastAsia="ja-JP"/>
        </w:rPr>
        <w:t xml:space="preserve">3 </w:t>
      </w:r>
      <w:r>
        <w:rPr>
          <w:lang w:eastAsia="ja-JP"/>
        </w:rPr>
        <w:t>datasets</w:t>
      </w:r>
      <w:r w:rsidR="00873CA7">
        <w:rPr>
          <w:lang w:eastAsia="ja-JP"/>
        </w:rPr>
        <w:t>: (a) full dataset with all the Markich (2021) bivalve data (n</w:t>
      </w:r>
      <w:r w:rsidR="0094410C">
        <w:rPr>
          <w:lang w:eastAsia="ja-JP"/>
        </w:rPr>
        <w:t> </w:t>
      </w:r>
      <w:r w:rsidR="00873CA7">
        <w:rPr>
          <w:lang w:eastAsia="ja-JP"/>
        </w:rPr>
        <w:t>=</w:t>
      </w:r>
      <w:r w:rsidR="0094410C">
        <w:rPr>
          <w:lang w:eastAsia="ja-JP"/>
        </w:rPr>
        <w:t> </w:t>
      </w:r>
      <w:r w:rsidR="00873CA7">
        <w:rPr>
          <w:lang w:eastAsia="ja-JP"/>
        </w:rPr>
        <w:t>16)</w:t>
      </w:r>
      <w:r w:rsidR="0094410C">
        <w:rPr>
          <w:lang w:eastAsia="ja-JP"/>
        </w:rPr>
        <w:t>,</w:t>
      </w:r>
      <w:r w:rsidR="00873CA7">
        <w:rPr>
          <w:lang w:eastAsia="ja-JP"/>
        </w:rPr>
        <w:t xml:space="preserve"> (b)</w:t>
      </w:r>
      <w:r>
        <w:rPr>
          <w:lang w:eastAsia="ja-JP"/>
        </w:rPr>
        <w:t xml:space="preserve"> </w:t>
      </w:r>
      <w:r w:rsidR="00873CA7">
        <w:rPr>
          <w:lang w:eastAsia="ja-JP"/>
        </w:rPr>
        <w:t>dataset</w:t>
      </w:r>
      <w:r>
        <w:rPr>
          <w:lang w:eastAsia="ja-JP"/>
        </w:rPr>
        <w:t xml:space="preserve"> without the Markich (2021) bivalve data </w:t>
      </w:r>
      <w:r w:rsidR="00B16186">
        <w:rPr>
          <w:lang w:eastAsia="ja-JP"/>
        </w:rPr>
        <w:t>(n</w:t>
      </w:r>
      <w:r w:rsidR="0094410C">
        <w:rPr>
          <w:lang w:eastAsia="ja-JP"/>
        </w:rPr>
        <w:t> </w:t>
      </w:r>
      <w:r w:rsidR="00B16186">
        <w:rPr>
          <w:lang w:eastAsia="ja-JP"/>
        </w:rPr>
        <w:t>=</w:t>
      </w:r>
      <w:r w:rsidR="0094410C">
        <w:rPr>
          <w:lang w:eastAsia="ja-JP"/>
        </w:rPr>
        <w:t> </w:t>
      </w:r>
      <w:r w:rsidR="00B16186">
        <w:rPr>
          <w:lang w:eastAsia="ja-JP"/>
        </w:rPr>
        <w:t xml:space="preserve">6) and (c) dataset with only the lowest value from each of the bivalve groupings in Markich (2021) </w:t>
      </w:r>
      <w:r w:rsidR="00B16186">
        <w:t>(i.e. oyster, mussel, cockle, clam, scallop) (n</w:t>
      </w:r>
      <w:r w:rsidR="0094410C">
        <w:t> </w:t>
      </w:r>
      <w:r w:rsidR="00B16186">
        <w:t>=</w:t>
      </w:r>
      <w:r w:rsidR="0094410C">
        <w:t> </w:t>
      </w:r>
      <w:r w:rsidR="00B16186">
        <w:t>11). The SSDs</w:t>
      </w:r>
      <w:r w:rsidR="00B16186">
        <w:rPr>
          <w:lang w:eastAsia="ja-JP"/>
        </w:rPr>
        <w:t xml:space="preserve"> </w:t>
      </w:r>
      <w:r>
        <w:rPr>
          <w:lang w:eastAsia="ja-JP"/>
        </w:rPr>
        <w:t xml:space="preserve">are shown in </w:t>
      </w:r>
      <w:r w:rsidR="00854B26">
        <w:rPr>
          <w:lang w:eastAsia="ja-JP"/>
        </w:rPr>
        <w:fldChar w:fldCharType="begin"/>
      </w:r>
      <w:r w:rsidR="00854B26">
        <w:rPr>
          <w:lang w:eastAsia="ja-JP"/>
        </w:rPr>
        <w:instrText xml:space="preserve"> REF FigureC1 \h </w:instrText>
      </w:r>
      <w:r w:rsidR="00854B26">
        <w:rPr>
          <w:lang w:eastAsia="ja-JP"/>
        </w:rPr>
      </w:r>
      <w:r w:rsidR="00854B26">
        <w:rPr>
          <w:lang w:eastAsia="ja-JP"/>
        </w:rPr>
        <w:fldChar w:fldCharType="separate"/>
      </w:r>
      <w:r w:rsidR="00510BCB" w:rsidRPr="009E55C4">
        <w:t>Figure</w:t>
      </w:r>
      <w:r w:rsidR="00510BCB">
        <w:t> C</w:t>
      </w:r>
      <w:r w:rsidR="00510BCB" w:rsidRPr="009E55C4">
        <w:t>1</w:t>
      </w:r>
      <w:r w:rsidR="00854B26">
        <w:rPr>
          <w:lang w:eastAsia="ja-JP"/>
        </w:rPr>
        <w:fldChar w:fldCharType="end"/>
      </w:r>
      <w:r w:rsidR="00854B26">
        <w:rPr>
          <w:lang w:eastAsia="ja-JP"/>
        </w:rPr>
        <w:t xml:space="preserve">, </w:t>
      </w:r>
      <w:r w:rsidR="00854B26">
        <w:rPr>
          <w:lang w:eastAsia="ja-JP"/>
        </w:rPr>
        <w:fldChar w:fldCharType="begin"/>
      </w:r>
      <w:r w:rsidR="00854B26">
        <w:rPr>
          <w:lang w:eastAsia="ja-JP"/>
        </w:rPr>
        <w:instrText xml:space="preserve"> REF FigureC2 \h </w:instrText>
      </w:r>
      <w:r w:rsidR="00854B26">
        <w:rPr>
          <w:lang w:eastAsia="ja-JP"/>
        </w:rPr>
      </w:r>
      <w:r w:rsidR="00854B26">
        <w:rPr>
          <w:lang w:eastAsia="ja-JP"/>
        </w:rPr>
        <w:fldChar w:fldCharType="separate"/>
      </w:r>
      <w:r w:rsidR="00510BCB" w:rsidRPr="009E55C4">
        <w:t>Figure</w:t>
      </w:r>
      <w:r w:rsidR="00510BCB">
        <w:t> C2</w:t>
      </w:r>
      <w:r w:rsidR="00854B26">
        <w:rPr>
          <w:lang w:eastAsia="ja-JP"/>
        </w:rPr>
        <w:fldChar w:fldCharType="end"/>
      </w:r>
      <w:r w:rsidR="00854B26">
        <w:rPr>
          <w:lang w:eastAsia="ja-JP"/>
        </w:rPr>
        <w:t xml:space="preserve"> and </w:t>
      </w:r>
      <w:r w:rsidR="00854B26">
        <w:rPr>
          <w:lang w:eastAsia="ja-JP"/>
        </w:rPr>
        <w:fldChar w:fldCharType="begin"/>
      </w:r>
      <w:r w:rsidR="00854B26">
        <w:rPr>
          <w:lang w:eastAsia="ja-JP"/>
        </w:rPr>
        <w:instrText xml:space="preserve"> REF FigureC3 \h </w:instrText>
      </w:r>
      <w:r w:rsidR="00854B26">
        <w:rPr>
          <w:lang w:eastAsia="ja-JP"/>
        </w:rPr>
      </w:r>
      <w:r w:rsidR="00854B26">
        <w:rPr>
          <w:lang w:eastAsia="ja-JP"/>
        </w:rPr>
        <w:fldChar w:fldCharType="separate"/>
      </w:r>
      <w:r w:rsidR="00510BCB" w:rsidRPr="009E55C4">
        <w:t>Figure</w:t>
      </w:r>
      <w:r w:rsidR="00510BCB">
        <w:t> C3</w:t>
      </w:r>
      <w:r w:rsidR="00854B26">
        <w:rPr>
          <w:lang w:eastAsia="ja-JP"/>
        </w:rPr>
        <w:fldChar w:fldCharType="end"/>
      </w:r>
      <w:r>
        <w:rPr>
          <w:lang w:eastAsia="ja-JP"/>
        </w:rPr>
        <w:t xml:space="preserve"> </w:t>
      </w:r>
      <w:r w:rsidR="0010773A">
        <w:rPr>
          <w:lang w:eastAsia="ja-JP"/>
        </w:rPr>
        <w:t xml:space="preserve">and </w:t>
      </w:r>
      <w:r>
        <w:rPr>
          <w:lang w:eastAsia="ja-JP"/>
        </w:rPr>
        <w:t xml:space="preserve">the derived PC values in </w:t>
      </w:r>
      <w:r w:rsidR="0086584F">
        <w:rPr>
          <w:lang w:eastAsia="ja-JP"/>
        </w:rPr>
        <w:fldChar w:fldCharType="begin"/>
      </w:r>
      <w:r w:rsidR="0086584F">
        <w:rPr>
          <w:lang w:eastAsia="ja-JP"/>
        </w:rPr>
        <w:instrText xml:space="preserve"> REF TableC1 \h </w:instrText>
      </w:r>
      <w:r w:rsidR="0086584F">
        <w:rPr>
          <w:lang w:eastAsia="ja-JP"/>
        </w:rPr>
      </w:r>
      <w:r w:rsidR="0086584F">
        <w:rPr>
          <w:lang w:eastAsia="ja-JP"/>
        </w:rPr>
        <w:fldChar w:fldCharType="separate"/>
      </w:r>
      <w:r w:rsidR="00510BCB" w:rsidRPr="009E55C4">
        <w:t>Table</w:t>
      </w:r>
      <w:r w:rsidR="00510BCB">
        <w:t> C1</w:t>
      </w:r>
      <w:r w:rsidR="0086584F">
        <w:rPr>
          <w:lang w:eastAsia="ja-JP"/>
        </w:rPr>
        <w:fldChar w:fldCharType="end"/>
      </w:r>
      <w:r>
        <w:rPr>
          <w:lang w:eastAsia="ja-JP"/>
        </w:rPr>
        <w:t>.</w:t>
      </w:r>
    </w:p>
    <w:p w14:paraId="7241048C" w14:textId="033B9481" w:rsidR="0047423E" w:rsidRDefault="00803DEB" w:rsidP="0047423E">
      <w:pPr>
        <w:rPr>
          <w:lang w:val="en-US" w:bidi="en-US"/>
        </w:rPr>
      </w:pPr>
      <w:r>
        <w:rPr>
          <w:lang w:val="en-US" w:bidi="en-US"/>
        </w:rPr>
        <w:t xml:space="preserve">Overall, the PC95 and PC90 values did not differ much between the </w:t>
      </w:r>
      <w:r w:rsidR="00FE0C88">
        <w:rPr>
          <w:lang w:val="en-US" w:bidi="en-US"/>
        </w:rPr>
        <w:t xml:space="preserve">3 </w:t>
      </w:r>
      <w:r>
        <w:rPr>
          <w:lang w:val="en-US" w:bidi="en-US"/>
        </w:rPr>
        <w:t>datasets, but there were more noticeable differences in the PC99 and PC80 values (</w:t>
      </w:r>
      <w:r w:rsidR="0086584F">
        <w:rPr>
          <w:lang w:eastAsia="ja-JP"/>
        </w:rPr>
        <w:fldChar w:fldCharType="begin"/>
      </w:r>
      <w:r w:rsidR="0086584F">
        <w:rPr>
          <w:lang w:val="en-US" w:bidi="en-US"/>
        </w:rPr>
        <w:instrText xml:space="preserve"> REF TableC1 \h </w:instrText>
      </w:r>
      <w:r w:rsidR="0086584F">
        <w:rPr>
          <w:lang w:eastAsia="ja-JP"/>
        </w:rPr>
      </w:r>
      <w:r w:rsidR="0086584F">
        <w:rPr>
          <w:lang w:eastAsia="ja-JP"/>
        </w:rPr>
        <w:fldChar w:fldCharType="separate"/>
      </w:r>
      <w:r w:rsidR="00510BCB" w:rsidRPr="009E55C4">
        <w:t>Table</w:t>
      </w:r>
      <w:r w:rsidR="00510BCB">
        <w:t> C1</w:t>
      </w:r>
      <w:r w:rsidR="0086584F">
        <w:rPr>
          <w:lang w:eastAsia="ja-JP"/>
        </w:rPr>
        <w:fldChar w:fldCharType="end"/>
      </w:r>
      <w:r>
        <w:rPr>
          <w:lang w:eastAsia="ja-JP"/>
        </w:rPr>
        <w:t>)</w:t>
      </w:r>
      <w:r>
        <w:rPr>
          <w:lang w:val="en-US" w:bidi="en-US"/>
        </w:rPr>
        <w:t xml:space="preserve">. </w:t>
      </w:r>
      <w:r w:rsidR="0047423E">
        <w:rPr>
          <w:lang w:val="en-US" w:bidi="en-US"/>
        </w:rPr>
        <w:t xml:space="preserve">The </w:t>
      </w:r>
      <w:r w:rsidR="000D4C84">
        <w:rPr>
          <w:lang w:val="en-US" w:bidi="en-US"/>
        </w:rPr>
        <w:t xml:space="preserve">SSD </w:t>
      </w:r>
      <w:r w:rsidR="0047423E">
        <w:rPr>
          <w:lang w:val="en-US" w:bidi="en-US"/>
        </w:rPr>
        <w:t xml:space="preserve">including all of the Markich (2021) data </w:t>
      </w:r>
      <w:r w:rsidR="00EC7C03">
        <w:rPr>
          <w:lang w:val="en-US" w:bidi="en-US"/>
        </w:rPr>
        <w:t>(</w:t>
      </w:r>
      <w:r w:rsidR="00854B26">
        <w:rPr>
          <w:lang w:val="en-US" w:bidi="en-US"/>
        </w:rPr>
        <w:fldChar w:fldCharType="begin"/>
      </w:r>
      <w:r w:rsidR="00854B26">
        <w:rPr>
          <w:lang w:val="en-US" w:bidi="en-US"/>
        </w:rPr>
        <w:instrText xml:space="preserve"> REF FigureC1 \h </w:instrText>
      </w:r>
      <w:r w:rsidR="00854B26">
        <w:rPr>
          <w:lang w:val="en-US" w:bidi="en-US"/>
        </w:rPr>
      </w:r>
      <w:r w:rsidR="00854B26">
        <w:rPr>
          <w:lang w:val="en-US" w:bidi="en-US"/>
        </w:rPr>
        <w:fldChar w:fldCharType="separate"/>
      </w:r>
      <w:r w:rsidR="00510BCB" w:rsidRPr="009E55C4">
        <w:t>Figure</w:t>
      </w:r>
      <w:r w:rsidR="00510BCB">
        <w:t> C</w:t>
      </w:r>
      <w:r w:rsidR="00510BCB" w:rsidRPr="009E55C4">
        <w:t>1</w:t>
      </w:r>
      <w:r w:rsidR="00854B26">
        <w:rPr>
          <w:lang w:val="en-US" w:bidi="en-US"/>
        </w:rPr>
        <w:fldChar w:fldCharType="end"/>
      </w:r>
      <w:r w:rsidR="00EC7C03">
        <w:rPr>
          <w:lang w:val="en-US" w:bidi="en-US"/>
        </w:rPr>
        <w:t xml:space="preserve">) </w:t>
      </w:r>
      <w:r w:rsidR="0047423E">
        <w:rPr>
          <w:lang w:val="en-US" w:bidi="en-US"/>
        </w:rPr>
        <w:t xml:space="preserve">had a steep slope </w:t>
      </w:r>
      <w:r w:rsidR="00207A5D">
        <w:rPr>
          <w:lang w:val="en-US" w:bidi="en-US"/>
        </w:rPr>
        <w:t xml:space="preserve">at the lower end of the concentration range </w:t>
      </w:r>
      <w:r w:rsidR="00732D5F">
        <w:rPr>
          <w:lang w:val="en-US" w:bidi="en-US"/>
        </w:rPr>
        <w:t>due to</w:t>
      </w:r>
      <w:r w:rsidR="0047423E">
        <w:rPr>
          <w:lang w:val="en-US" w:bidi="en-US"/>
        </w:rPr>
        <w:t xml:space="preserve"> the bivalve data cover</w:t>
      </w:r>
      <w:r w:rsidR="003D4744">
        <w:rPr>
          <w:lang w:val="en-US" w:bidi="en-US"/>
        </w:rPr>
        <w:t>ing</w:t>
      </w:r>
      <w:r w:rsidR="0047423E">
        <w:rPr>
          <w:lang w:val="en-US" w:bidi="en-US"/>
        </w:rPr>
        <w:t xml:space="preserve"> a relatively narrow concentration range. </w:t>
      </w:r>
      <w:r>
        <w:rPr>
          <w:lang w:val="en-US" w:bidi="en-US"/>
        </w:rPr>
        <w:t xml:space="preserve">The steep slope </w:t>
      </w:r>
      <w:r w:rsidR="00BC7B77">
        <w:rPr>
          <w:lang w:val="en-US" w:bidi="en-US"/>
        </w:rPr>
        <w:t xml:space="preserve">for the full dataset </w:t>
      </w:r>
      <w:r>
        <w:rPr>
          <w:lang w:val="en-US" w:bidi="en-US"/>
        </w:rPr>
        <w:t xml:space="preserve">resulted in </w:t>
      </w:r>
      <w:r w:rsidR="000D4C84">
        <w:rPr>
          <w:lang w:val="en-US" w:bidi="en-US"/>
        </w:rPr>
        <w:t>a markedly narrower range of PC values compared to</w:t>
      </w:r>
      <w:r>
        <w:rPr>
          <w:lang w:val="en-US" w:bidi="en-US"/>
        </w:rPr>
        <w:t xml:space="preserve"> the dataset without the bivalve data</w:t>
      </w:r>
      <w:r w:rsidR="00BC7B77">
        <w:rPr>
          <w:lang w:val="en-US" w:bidi="en-US"/>
        </w:rPr>
        <w:t xml:space="preserve"> (</w:t>
      </w:r>
      <w:r w:rsidR="007A2BF4">
        <w:rPr>
          <w:lang w:eastAsia="ja-JP"/>
        </w:rPr>
        <w:fldChar w:fldCharType="begin"/>
      </w:r>
      <w:r w:rsidR="007A2BF4">
        <w:rPr>
          <w:lang w:val="en-US" w:bidi="en-US"/>
        </w:rPr>
        <w:instrText xml:space="preserve"> REF TableC1 \h </w:instrText>
      </w:r>
      <w:r w:rsidR="007A2BF4">
        <w:rPr>
          <w:lang w:eastAsia="ja-JP"/>
        </w:rPr>
      </w:r>
      <w:r w:rsidR="007A2BF4">
        <w:rPr>
          <w:lang w:eastAsia="ja-JP"/>
        </w:rPr>
        <w:fldChar w:fldCharType="separate"/>
      </w:r>
      <w:r w:rsidR="00510BCB" w:rsidRPr="009E55C4">
        <w:t>Table</w:t>
      </w:r>
      <w:r w:rsidR="00510BCB">
        <w:t> C1</w:t>
      </w:r>
      <w:r w:rsidR="007A2BF4">
        <w:rPr>
          <w:lang w:eastAsia="ja-JP"/>
        </w:rPr>
        <w:fldChar w:fldCharType="end"/>
      </w:r>
      <w:r w:rsidR="00BC7B77">
        <w:rPr>
          <w:lang w:eastAsia="ja-JP"/>
        </w:rPr>
        <w:t>)</w:t>
      </w:r>
      <w:r>
        <w:rPr>
          <w:lang w:val="en-US" w:bidi="en-US"/>
        </w:rPr>
        <w:t xml:space="preserve">. There was very little difference between the </w:t>
      </w:r>
      <w:r w:rsidR="00FE0C88">
        <w:rPr>
          <w:lang w:val="en-US" w:bidi="en-US"/>
        </w:rPr>
        <w:t xml:space="preserve">2 </w:t>
      </w:r>
      <w:r>
        <w:rPr>
          <w:lang w:val="en-US" w:bidi="en-US"/>
        </w:rPr>
        <w:t xml:space="preserve">datasets </w:t>
      </w:r>
      <w:r w:rsidR="0063272A">
        <w:rPr>
          <w:lang w:val="en-US" w:bidi="en-US"/>
        </w:rPr>
        <w:t>that</w:t>
      </w:r>
      <w:r w:rsidR="0038628A">
        <w:rPr>
          <w:lang w:val="en-US" w:bidi="en-US"/>
        </w:rPr>
        <w:t xml:space="preserve"> us</w:t>
      </w:r>
      <w:r w:rsidR="0063272A">
        <w:rPr>
          <w:lang w:val="en-US" w:bidi="en-US"/>
        </w:rPr>
        <w:t>ed</w:t>
      </w:r>
      <w:r w:rsidR="000D4C84">
        <w:rPr>
          <w:lang w:val="en-US" w:bidi="en-US"/>
        </w:rPr>
        <w:t xml:space="preserve"> all or a subset of the </w:t>
      </w:r>
      <w:r>
        <w:rPr>
          <w:lang w:val="en-US" w:bidi="en-US"/>
        </w:rPr>
        <w:t>bivalve data.</w:t>
      </w:r>
      <w:r w:rsidR="0047423E">
        <w:rPr>
          <w:lang w:val="en-US" w:bidi="en-US"/>
        </w:rPr>
        <w:t xml:space="preserve"> </w:t>
      </w:r>
      <w:r>
        <w:rPr>
          <w:lang w:val="en-US" w:bidi="en-US"/>
        </w:rPr>
        <w:t>T</w:t>
      </w:r>
      <w:r w:rsidR="00D94ECC">
        <w:rPr>
          <w:lang w:val="en-US" w:bidi="en-US"/>
        </w:rPr>
        <w:t>he fit</w:t>
      </w:r>
      <w:r>
        <w:rPr>
          <w:lang w:val="en-US" w:bidi="en-US"/>
        </w:rPr>
        <w:t>s</w:t>
      </w:r>
      <w:r w:rsidR="00D94ECC">
        <w:rPr>
          <w:lang w:val="en-US" w:bidi="en-US"/>
        </w:rPr>
        <w:t xml:space="preserve"> of </w:t>
      </w:r>
      <w:r>
        <w:rPr>
          <w:lang w:val="en-US" w:bidi="en-US"/>
        </w:rPr>
        <w:t xml:space="preserve">all </w:t>
      </w:r>
      <w:r w:rsidR="00357E67">
        <w:rPr>
          <w:lang w:val="en-US" w:bidi="en-US"/>
        </w:rPr>
        <w:t xml:space="preserve">3 </w:t>
      </w:r>
      <w:r w:rsidR="00D94ECC">
        <w:rPr>
          <w:lang w:val="en-US" w:bidi="en-US"/>
        </w:rPr>
        <w:t>SSD</w:t>
      </w:r>
      <w:r w:rsidR="000D4C84">
        <w:rPr>
          <w:lang w:val="en-US" w:bidi="en-US"/>
        </w:rPr>
        <w:t>s</w:t>
      </w:r>
      <w:r w:rsidR="00D94ECC">
        <w:rPr>
          <w:lang w:val="en-US" w:bidi="en-US"/>
        </w:rPr>
        <w:t xml:space="preserve"> </w:t>
      </w:r>
      <w:r w:rsidR="000D4C84">
        <w:rPr>
          <w:lang w:val="en-US" w:bidi="en-US"/>
        </w:rPr>
        <w:t>were</w:t>
      </w:r>
      <w:r w:rsidR="00D94ECC">
        <w:rPr>
          <w:lang w:val="en-US" w:bidi="en-US"/>
        </w:rPr>
        <w:t xml:space="preserve"> poor</w:t>
      </w:r>
      <w:r w:rsidR="00357E67">
        <w:rPr>
          <w:lang w:val="en-US" w:bidi="en-US"/>
        </w:rPr>
        <w:t>.</w:t>
      </w:r>
      <w:r>
        <w:rPr>
          <w:lang w:val="en-US" w:bidi="en-US"/>
        </w:rPr>
        <w:t xml:space="preserve"> </w:t>
      </w:r>
      <w:r w:rsidR="00357E67">
        <w:rPr>
          <w:lang w:val="en-US" w:bidi="en-US"/>
        </w:rPr>
        <w:t>T</w:t>
      </w:r>
      <w:r w:rsidR="000D4C84">
        <w:rPr>
          <w:lang w:val="en-US" w:bidi="en-US"/>
        </w:rPr>
        <w:t xml:space="preserve">herefore, </w:t>
      </w:r>
      <w:r>
        <w:rPr>
          <w:lang w:val="en-US" w:bidi="en-US"/>
        </w:rPr>
        <w:t>combined with the sample sizes</w:t>
      </w:r>
      <w:r w:rsidR="0047423E">
        <w:rPr>
          <w:lang w:val="en-US" w:bidi="en-US"/>
        </w:rPr>
        <w:t xml:space="preserve">, </w:t>
      </w:r>
      <w:r w:rsidR="000D4C84">
        <w:rPr>
          <w:lang w:val="en-US" w:bidi="en-US"/>
        </w:rPr>
        <w:t>the</w:t>
      </w:r>
      <w:r>
        <w:rPr>
          <w:lang w:val="en-US" w:bidi="en-US"/>
        </w:rPr>
        <w:t xml:space="preserve"> </w:t>
      </w:r>
      <w:r w:rsidR="00D94ECC">
        <w:rPr>
          <w:lang w:val="en-US" w:bidi="en-US"/>
        </w:rPr>
        <w:t xml:space="preserve">PC values </w:t>
      </w:r>
      <w:r>
        <w:rPr>
          <w:lang w:val="en-US" w:bidi="en-US"/>
        </w:rPr>
        <w:t xml:space="preserve">for datasets (a) and (c) </w:t>
      </w:r>
      <w:r w:rsidR="000D4C84">
        <w:rPr>
          <w:lang w:val="en-US" w:bidi="en-US"/>
        </w:rPr>
        <w:t xml:space="preserve">would be </w:t>
      </w:r>
      <w:r w:rsidR="00BC7B77">
        <w:rPr>
          <w:lang w:val="en-US" w:bidi="en-US"/>
        </w:rPr>
        <w:t>assigned as</w:t>
      </w:r>
      <w:r>
        <w:rPr>
          <w:lang w:val="en-US" w:bidi="en-US"/>
        </w:rPr>
        <w:t xml:space="preserve"> moderate reliability</w:t>
      </w:r>
      <w:r w:rsidR="00DD6E9D">
        <w:rPr>
          <w:lang w:val="en-US" w:bidi="en-US"/>
        </w:rPr>
        <w:t>,</w:t>
      </w:r>
      <w:r>
        <w:rPr>
          <w:lang w:val="en-US" w:bidi="en-US"/>
        </w:rPr>
        <w:t xml:space="preserve"> </w:t>
      </w:r>
      <w:r w:rsidR="000D4C84">
        <w:rPr>
          <w:lang w:val="en-US" w:bidi="en-US"/>
        </w:rPr>
        <w:t>while</w:t>
      </w:r>
      <w:r>
        <w:rPr>
          <w:lang w:val="en-US" w:bidi="en-US"/>
        </w:rPr>
        <w:t xml:space="preserve"> those for dataset (b) </w:t>
      </w:r>
      <w:r w:rsidR="000D4C84">
        <w:rPr>
          <w:lang w:val="en-US" w:bidi="en-US"/>
        </w:rPr>
        <w:t xml:space="preserve">would be </w:t>
      </w:r>
      <w:r w:rsidR="00BC7B77">
        <w:rPr>
          <w:lang w:val="en-US" w:bidi="en-US"/>
        </w:rPr>
        <w:t>assigned as</w:t>
      </w:r>
      <w:r>
        <w:rPr>
          <w:lang w:val="en-US" w:bidi="en-US"/>
        </w:rPr>
        <w:t xml:space="preserve"> low reliability</w:t>
      </w:r>
      <w:r w:rsidR="0047423E">
        <w:rPr>
          <w:lang w:val="en-US" w:bidi="en-US"/>
        </w:rPr>
        <w:t>.</w:t>
      </w:r>
    </w:p>
    <w:p w14:paraId="2EE3B604" w14:textId="1E809572" w:rsidR="0047423E" w:rsidRDefault="0047423E" w:rsidP="0047423E">
      <w:pPr>
        <w:rPr>
          <w:lang w:val="en-US" w:bidi="en-US"/>
        </w:rPr>
      </w:pPr>
      <w:r>
        <w:rPr>
          <w:lang w:val="en-US" w:bidi="en-US"/>
        </w:rPr>
        <w:t xml:space="preserve">Overall, the results did not provide any compelling argument to exclude the Markich (2021) bivalve data </w:t>
      </w:r>
      <w:r w:rsidR="00BC7B77">
        <w:rPr>
          <w:lang w:val="en-US" w:bidi="en-US"/>
        </w:rPr>
        <w:t xml:space="preserve">or only include a subset of the data </w:t>
      </w:r>
      <w:r>
        <w:rPr>
          <w:lang w:val="en-US" w:bidi="en-US"/>
        </w:rPr>
        <w:t xml:space="preserve">on the basis that </w:t>
      </w:r>
      <w:r w:rsidR="00BC7B77">
        <w:rPr>
          <w:lang w:val="en-US" w:bidi="en-US"/>
        </w:rPr>
        <w:t xml:space="preserve">including all the bivalve data would </w:t>
      </w:r>
      <w:r>
        <w:rPr>
          <w:lang w:val="en-US" w:bidi="en-US"/>
        </w:rPr>
        <w:t>result in an over-representation of this taxonomic group</w:t>
      </w:r>
      <w:r w:rsidR="0070281F">
        <w:rPr>
          <w:lang w:val="en-US" w:bidi="en-US"/>
        </w:rPr>
        <w:t xml:space="preserve"> </w:t>
      </w:r>
      <w:r w:rsidR="00C0660B">
        <w:rPr>
          <w:lang w:val="en-US" w:bidi="en-US"/>
        </w:rPr>
        <w:t>or</w:t>
      </w:r>
      <w:r w:rsidR="00BC7B77">
        <w:rPr>
          <w:lang w:val="en-US" w:bidi="en-US"/>
        </w:rPr>
        <w:t xml:space="preserve"> </w:t>
      </w:r>
      <w:r w:rsidR="0070281F">
        <w:rPr>
          <w:lang w:val="en-US" w:bidi="en-US"/>
        </w:rPr>
        <w:t>greatly influence the PC values</w:t>
      </w:r>
      <w:r>
        <w:rPr>
          <w:lang w:val="en-US" w:bidi="en-US"/>
        </w:rPr>
        <w:t xml:space="preserve">. </w:t>
      </w:r>
      <w:r w:rsidR="00BC7B77">
        <w:rPr>
          <w:lang w:val="en-US" w:bidi="en-US"/>
        </w:rPr>
        <w:t xml:space="preserve">Moreover, excluding the bivalve data would result in DGVs that were of lower </w:t>
      </w:r>
      <w:r w:rsidR="00E017DD">
        <w:rPr>
          <w:lang w:val="en-US" w:bidi="en-US"/>
        </w:rPr>
        <w:t>reliability</w:t>
      </w:r>
      <w:r w:rsidR="00BC7B77">
        <w:rPr>
          <w:lang w:val="en-US" w:bidi="en-US"/>
        </w:rPr>
        <w:t xml:space="preserve"> than if the bivalve data are included. </w:t>
      </w:r>
      <w:r>
        <w:rPr>
          <w:lang w:val="en-US" w:bidi="en-US"/>
        </w:rPr>
        <w:t xml:space="preserve">Consequently, the Markich (2021) </w:t>
      </w:r>
      <w:r w:rsidR="00BC7B77">
        <w:rPr>
          <w:lang w:val="en-US" w:bidi="en-US"/>
        </w:rPr>
        <w:t xml:space="preserve">bivalve </w:t>
      </w:r>
      <w:r>
        <w:rPr>
          <w:lang w:val="en-US" w:bidi="en-US"/>
        </w:rPr>
        <w:t>data were included as individual species values in the final dataset used to derive the DGVs.</w:t>
      </w:r>
    </w:p>
    <w:p w14:paraId="2D14A171" w14:textId="7BEAE859" w:rsidR="004065E8" w:rsidRDefault="004065E8" w:rsidP="004065E8">
      <w:pPr>
        <w:pStyle w:val="AppendixFigurecaption"/>
      </w:pPr>
      <w:bookmarkStart w:id="60" w:name="FigureC1"/>
      <w:bookmarkStart w:id="61" w:name="_Toc196928515"/>
      <w:bookmarkStart w:id="62" w:name="_Toc197784084"/>
      <w:r w:rsidRPr="009E55C4">
        <w:lastRenderedPageBreak/>
        <w:t>Figure</w:t>
      </w:r>
      <w:r>
        <w:t> C</w:t>
      </w:r>
      <w:r w:rsidRPr="009E55C4">
        <w:t>1</w:t>
      </w:r>
      <w:bookmarkEnd w:id="60"/>
      <w:r w:rsidRPr="009E55C4">
        <w:t xml:space="preserve">. </w:t>
      </w:r>
      <w:r>
        <w:t xml:space="preserve">Species sensitivity distribution for </w:t>
      </w:r>
      <w:r w:rsidR="00932DC0">
        <w:t xml:space="preserve">the </w:t>
      </w:r>
      <w:r>
        <w:t>dataset with (n = 16)</w:t>
      </w:r>
      <w:r w:rsidRPr="00DD6E9D">
        <w:t xml:space="preserve"> </w:t>
      </w:r>
      <w:r>
        <w:t>the Markich (2021) bivalve species data</w:t>
      </w:r>
      <w:bookmarkEnd w:id="61"/>
      <w:bookmarkEnd w:id="62"/>
    </w:p>
    <w:p w14:paraId="63D1F67E" w14:textId="4170AC07" w:rsidR="004D5B4E" w:rsidRDefault="004D5B4E" w:rsidP="0072578D">
      <w:pPr>
        <w:pStyle w:val="Figure"/>
        <w:rPr>
          <w:lang w:val="en-US" w:bidi="en-US"/>
        </w:rPr>
      </w:pPr>
      <w:r w:rsidRPr="0072578D">
        <w:drawing>
          <wp:inline distT="0" distB="0" distL="0" distR="0" wp14:anchorId="1A846E73" wp14:editId="64C7FCB7">
            <wp:extent cx="5760000" cy="5150010"/>
            <wp:effectExtent l="0" t="0" r="6350" b="0"/>
            <wp:docPr id="18390494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49424" name="Picture 1">
                      <a:extLst>
                        <a:ext uri="{C183D7F6-B498-43B3-948B-1728B52AA6E4}">
                          <adec:decorative xmlns:adec="http://schemas.microsoft.com/office/drawing/2017/decorative" val="1"/>
                        </a:ext>
                      </a:extLst>
                    </pic:cNvPr>
                    <pic:cNvPicPr/>
                  </pic:nvPicPr>
                  <pic:blipFill rotWithShape="1">
                    <a:blip r:embed="rId33"/>
                    <a:srcRect t="3693" r="2446" b="1581"/>
                    <a:stretch/>
                  </pic:blipFill>
                  <pic:spPr bwMode="auto">
                    <a:xfrm>
                      <a:off x="0" y="0"/>
                      <a:ext cx="5760000" cy="5150010"/>
                    </a:xfrm>
                    <a:prstGeom prst="rect">
                      <a:avLst/>
                    </a:prstGeom>
                    <a:ln>
                      <a:noFill/>
                    </a:ln>
                    <a:extLst>
                      <a:ext uri="{53640926-AAD7-44D8-BBD7-CCE9431645EC}">
                        <a14:shadowObscured xmlns:a14="http://schemas.microsoft.com/office/drawing/2010/main"/>
                      </a:ext>
                    </a:extLst>
                  </pic:spPr>
                </pic:pic>
              </a:graphicData>
            </a:graphic>
          </wp:inline>
        </w:drawing>
      </w:r>
    </w:p>
    <w:p w14:paraId="7EF4D08C" w14:textId="091500E9" w:rsidR="004065E8" w:rsidRDefault="004065E8" w:rsidP="004065E8">
      <w:pPr>
        <w:pStyle w:val="AppendixFigurecaption"/>
      </w:pPr>
      <w:bookmarkStart w:id="63" w:name="FigureC2"/>
      <w:bookmarkStart w:id="64" w:name="_Toc196928516"/>
      <w:bookmarkStart w:id="65" w:name="_Toc197784085"/>
      <w:r w:rsidRPr="009E55C4">
        <w:lastRenderedPageBreak/>
        <w:t>Figure</w:t>
      </w:r>
      <w:r>
        <w:t> C2</w:t>
      </w:r>
      <w:bookmarkEnd w:id="63"/>
      <w:r w:rsidRPr="009E55C4">
        <w:t xml:space="preserve">. </w:t>
      </w:r>
      <w:r>
        <w:t xml:space="preserve">Species sensitivity distribution for </w:t>
      </w:r>
      <w:r w:rsidR="00932DC0">
        <w:t xml:space="preserve">the </w:t>
      </w:r>
      <w:r>
        <w:t xml:space="preserve">dataset </w:t>
      </w:r>
      <w:r w:rsidR="00C14A1E">
        <w:t xml:space="preserve">(n = 6) </w:t>
      </w:r>
      <w:r>
        <w:t>without the Markich (2021) bivalve species data</w:t>
      </w:r>
      <w:bookmarkEnd w:id="64"/>
      <w:bookmarkEnd w:id="65"/>
    </w:p>
    <w:p w14:paraId="79764DE5" w14:textId="77777777" w:rsidR="004D5B4E" w:rsidRDefault="004D5B4E" w:rsidP="004D5B4E">
      <w:pPr>
        <w:pStyle w:val="Figure"/>
        <w:rPr>
          <w:lang w:val="en-US" w:bidi="en-US"/>
        </w:rPr>
      </w:pPr>
      <w:r>
        <w:drawing>
          <wp:inline distT="0" distB="0" distL="0" distR="0" wp14:anchorId="4A975436" wp14:editId="6FE2D7F4">
            <wp:extent cx="5760000" cy="5157845"/>
            <wp:effectExtent l="0" t="0" r="6350" b="0"/>
            <wp:docPr id="41595082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59107" name="Picture 3">
                      <a:extLst>
                        <a:ext uri="{C183D7F6-B498-43B3-948B-1728B52AA6E4}">
                          <adec:decorative xmlns:adec="http://schemas.microsoft.com/office/drawing/2017/decorative" val="1"/>
                        </a:ext>
                      </a:extLst>
                    </pic:cNvPr>
                    <pic:cNvPicPr/>
                  </pic:nvPicPr>
                  <pic:blipFill rotWithShape="1">
                    <a:blip r:embed="rId47"/>
                    <a:srcRect t="12124" r="5389" b="3156"/>
                    <a:stretch/>
                  </pic:blipFill>
                  <pic:spPr bwMode="auto">
                    <a:xfrm>
                      <a:off x="0" y="0"/>
                      <a:ext cx="5760000" cy="5157845"/>
                    </a:xfrm>
                    <a:prstGeom prst="rect">
                      <a:avLst/>
                    </a:prstGeom>
                    <a:ln>
                      <a:noFill/>
                    </a:ln>
                    <a:extLst>
                      <a:ext uri="{53640926-AAD7-44D8-BBD7-CCE9431645EC}">
                        <a14:shadowObscured xmlns:a14="http://schemas.microsoft.com/office/drawing/2010/main"/>
                      </a:ext>
                    </a:extLst>
                  </pic:spPr>
                </pic:pic>
              </a:graphicData>
            </a:graphic>
          </wp:inline>
        </w:drawing>
      </w:r>
    </w:p>
    <w:p w14:paraId="7889285C" w14:textId="1468CEA9" w:rsidR="00873CA7" w:rsidRDefault="00873CA7" w:rsidP="00192E9E">
      <w:pPr>
        <w:pStyle w:val="AppendixFigurecaption"/>
      </w:pPr>
      <w:bookmarkStart w:id="66" w:name="FigureC3"/>
      <w:bookmarkStart w:id="67" w:name="_Toc196928517"/>
      <w:bookmarkStart w:id="68" w:name="_Toc197784086"/>
      <w:r w:rsidRPr="009E55C4">
        <w:lastRenderedPageBreak/>
        <w:t>Figure</w:t>
      </w:r>
      <w:r w:rsidR="00B14722">
        <w:t> C</w:t>
      </w:r>
      <w:r w:rsidR="004065E8">
        <w:t>3</w:t>
      </w:r>
      <w:bookmarkEnd w:id="66"/>
      <w:r w:rsidRPr="009E55C4">
        <w:t xml:space="preserve">. </w:t>
      </w:r>
      <w:r>
        <w:t xml:space="preserve">Species sensitivity distribution for </w:t>
      </w:r>
      <w:r w:rsidR="00932DC0">
        <w:t xml:space="preserve">the </w:t>
      </w:r>
      <w:r>
        <w:t xml:space="preserve">dataset </w:t>
      </w:r>
      <w:r w:rsidR="00DB10C8">
        <w:t xml:space="preserve">(n = 11) </w:t>
      </w:r>
      <w:r>
        <w:t>with only the most sensitive value for each of the bivalve groupings</w:t>
      </w:r>
      <w:bookmarkEnd w:id="67"/>
      <w:bookmarkEnd w:id="68"/>
    </w:p>
    <w:p w14:paraId="49A9E24E" w14:textId="77777777" w:rsidR="0072578D" w:rsidRDefault="0072578D" w:rsidP="0072578D">
      <w:pPr>
        <w:pStyle w:val="Figure"/>
        <w:rPr>
          <w:lang w:val="en-US" w:bidi="en-US"/>
        </w:rPr>
      </w:pPr>
      <w:r w:rsidRPr="0072578D">
        <w:drawing>
          <wp:inline distT="0" distB="0" distL="0" distR="0" wp14:anchorId="155B97D1" wp14:editId="1605264A">
            <wp:extent cx="5760000" cy="5204164"/>
            <wp:effectExtent l="0" t="0" r="6350" b="3175"/>
            <wp:docPr id="140362483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25596" name="Picture 4">
                      <a:extLst>
                        <a:ext uri="{C183D7F6-B498-43B3-948B-1728B52AA6E4}">
                          <adec:decorative xmlns:adec="http://schemas.microsoft.com/office/drawing/2017/decorative" val="1"/>
                        </a:ext>
                      </a:extLst>
                    </pic:cNvPr>
                    <pic:cNvPicPr/>
                  </pic:nvPicPr>
                  <pic:blipFill rotWithShape="1">
                    <a:blip r:embed="rId48"/>
                    <a:srcRect t="11603" r="5511" b="3025"/>
                    <a:stretch/>
                  </pic:blipFill>
                  <pic:spPr bwMode="auto">
                    <a:xfrm>
                      <a:off x="0" y="0"/>
                      <a:ext cx="5760000" cy="5204164"/>
                    </a:xfrm>
                    <a:prstGeom prst="rect">
                      <a:avLst/>
                    </a:prstGeom>
                    <a:ln>
                      <a:noFill/>
                    </a:ln>
                    <a:extLst>
                      <a:ext uri="{53640926-AAD7-44D8-BBD7-CCE9431645EC}">
                        <a14:shadowObscured xmlns:a14="http://schemas.microsoft.com/office/drawing/2010/main"/>
                      </a:ext>
                    </a:extLst>
                  </pic:spPr>
                </pic:pic>
              </a:graphicData>
            </a:graphic>
          </wp:inline>
        </w:drawing>
      </w:r>
    </w:p>
    <w:p w14:paraId="6A619598" w14:textId="4E00B292" w:rsidR="0047423E" w:rsidRPr="009E55C4" w:rsidRDefault="0047423E" w:rsidP="00B025D1">
      <w:pPr>
        <w:pStyle w:val="AppendixTablecaption"/>
        <w:spacing w:before="240"/>
      </w:pPr>
      <w:bookmarkStart w:id="69" w:name="TableC1"/>
      <w:bookmarkStart w:id="70" w:name="_Toc178580470"/>
      <w:bookmarkStart w:id="71" w:name="_Toc196928519"/>
      <w:bookmarkStart w:id="72" w:name="_Toc197784131"/>
      <w:r w:rsidRPr="009E55C4">
        <w:t>Table</w:t>
      </w:r>
      <w:r w:rsidR="00B14722">
        <w:t> C1</w:t>
      </w:r>
      <w:bookmarkEnd w:id="69"/>
      <w:r w:rsidRPr="009E55C4">
        <w:t>. Toxicant protective concentration values</w:t>
      </w:r>
      <w:r w:rsidR="003A1923">
        <w:t xml:space="preserve"> for</w:t>
      </w:r>
      <w:r w:rsidRPr="009E55C4">
        <w:t xml:space="preserve"> </w:t>
      </w:r>
      <w:r>
        <w:t>iron</w:t>
      </w:r>
      <w:r w:rsidRPr="009E55C4">
        <w:t xml:space="preserve"> </w:t>
      </w:r>
      <w:r w:rsidR="00DD6E9D">
        <w:t xml:space="preserve">in </w:t>
      </w:r>
      <w:r w:rsidRPr="009E55C4">
        <w:t>marine water</w:t>
      </w:r>
      <w:bookmarkEnd w:id="70"/>
      <w:bookmarkEnd w:id="71"/>
      <w:bookmarkEnd w:id="72"/>
    </w:p>
    <w:tbl>
      <w:tblPr>
        <w:tblStyle w:val="TableGrid"/>
        <w:tblW w:w="8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3"/>
        <w:gridCol w:w="2353"/>
        <w:gridCol w:w="2352"/>
        <w:gridCol w:w="2352"/>
      </w:tblGrid>
      <w:tr w:rsidR="0047423E" w14:paraId="5FB276C0" w14:textId="77777777" w:rsidTr="007F273D">
        <w:trPr>
          <w:trHeight w:val="309"/>
        </w:trPr>
        <w:tc>
          <w:tcPr>
            <w:tcW w:w="853" w:type="pct"/>
            <w:tcBorders>
              <w:top w:val="single" w:sz="12" w:space="0" w:color="auto"/>
              <w:bottom w:val="single" w:sz="4" w:space="0" w:color="auto"/>
            </w:tcBorders>
          </w:tcPr>
          <w:p w14:paraId="3CB4C761" w14:textId="77777777" w:rsidR="0047423E" w:rsidRPr="009E55C4" w:rsidRDefault="0047423E" w:rsidP="00DB10C8">
            <w:pPr>
              <w:pStyle w:val="TableText"/>
              <w:spacing w:before="40" w:after="40"/>
              <w:rPr>
                <w:b/>
                <w:bCs/>
              </w:rPr>
            </w:pPr>
            <w:r w:rsidRPr="009E55C4">
              <w:rPr>
                <w:b/>
                <w:bCs/>
              </w:rPr>
              <w:t>Percent species protection (%)</w:t>
            </w:r>
          </w:p>
        </w:tc>
        <w:tc>
          <w:tcPr>
            <w:tcW w:w="1382" w:type="pct"/>
            <w:tcBorders>
              <w:top w:val="single" w:sz="12" w:space="0" w:color="auto"/>
              <w:bottom w:val="single" w:sz="4" w:space="0" w:color="auto"/>
            </w:tcBorders>
          </w:tcPr>
          <w:p w14:paraId="7E51A1EF" w14:textId="2683B5B2" w:rsidR="0047423E" w:rsidRPr="005D2C56" w:rsidRDefault="00E20199" w:rsidP="00DB10C8">
            <w:pPr>
              <w:pStyle w:val="TableText"/>
              <w:spacing w:before="40" w:after="40"/>
              <w:rPr>
                <w:rFonts w:ascii="Arial" w:hAnsi="Arial" w:cs="Arial"/>
                <w:b/>
                <w:bCs/>
                <w:szCs w:val="18"/>
              </w:rPr>
            </w:pPr>
            <w:r w:rsidRPr="00E20199">
              <w:rPr>
                <w:b/>
                <w:bCs/>
                <w:color w:val="000000" w:themeColor="text1"/>
              </w:rPr>
              <w:t xml:space="preserve">Toxicant protective concentration values (µg/L) </w:t>
            </w:r>
            <w:r>
              <w:rPr>
                <w:b/>
                <w:bCs/>
                <w:color w:val="000000" w:themeColor="text1"/>
              </w:rPr>
              <w:t>for d</w:t>
            </w:r>
            <w:r w:rsidR="0047423E" w:rsidRPr="009E55C4">
              <w:rPr>
                <w:b/>
                <w:bCs/>
                <w:color w:val="000000" w:themeColor="text1"/>
              </w:rPr>
              <w:t>ataset including Markich (2021) bivalve data (n</w:t>
            </w:r>
            <w:r w:rsidR="003A1923">
              <w:rPr>
                <w:b/>
                <w:bCs/>
                <w:color w:val="000000" w:themeColor="text1"/>
              </w:rPr>
              <w:t> </w:t>
            </w:r>
            <w:r w:rsidR="0047423E" w:rsidRPr="009E55C4">
              <w:rPr>
                <w:b/>
                <w:bCs/>
                <w:color w:val="000000" w:themeColor="text1"/>
              </w:rPr>
              <w:t>=</w:t>
            </w:r>
            <w:r w:rsidR="003A1923">
              <w:rPr>
                <w:b/>
                <w:bCs/>
                <w:color w:val="000000" w:themeColor="text1"/>
              </w:rPr>
              <w:t> </w:t>
            </w:r>
            <w:r w:rsidR="005A7ED9">
              <w:rPr>
                <w:b/>
                <w:bCs/>
                <w:color w:val="000000" w:themeColor="text1"/>
              </w:rPr>
              <w:t>1</w:t>
            </w:r>
            <w:r w:rsidR="00961F53">
              <w:rPr>
                <w:b/>
                <w:bCs/>
                <w:color w:val="000000" w:themeColor="text1"/>
              </w:rPr>
              <w:t>6</w:t>
            </w:r>
            <w:r w:rsidR="0047423E" w:rsidRPr="009E55C4">
              <w:rPr>
                <w:b/>
                <w:bCs/>
                <w:color w:val="000000" w:themeColor="text1"/>
              </w:rPr>
              <w:t>)</w:t>
            </w:r>
          </w:p>
        </w:tc>
        <w:tc>
          <w:tcPr>
            <w:tcW w:w="1382" w:type="pct"/>
            <w:tcBorders>
              <w:top w:val="single" w:sz="12" w:space="0" w:color="auto"/>
              <w:bottom w:val="single" w:sz="4" w:space="0" w:color="auto"/>
            </w:tcBorders>
          </w:tcPr>
          <w:p w14:paraId="4DD7FC4A" w14:textId="1AA7A620" w:rsidR="0047423E" w:rsidRPr="009E55C4" w:rsidRDefault="00E20199" w:rsidP="00DB10C8">
            <w:pPr>
              <w:pStyle w:val="TableText"/>
              <w:spacing w:before="40" w:after="40"/>
              <w:rPr>
                <w:b/>
                <w:bCs/>
                <w:color w:val="000000" w:themeColor="text1"/>
              </w:rPr>
            </w:pPr>
            <w:r w:rsidRPr="00E20199">
              <w:rPr>
                <w:b/>
                <w:bCs/>
                <w:color w:val="000000" w:themeColor="text1"/>
              </w:rPr>
              <w:t xml:space="preserve">Toxicant protective concentration values (µg/L) </w:t>
            </w:r>
            <w:r>
              <w:rPr>
                <w:b/>
                <w:bCs/>
                <w:color w:val="000000" w:themeColor="text1"/>
              </w:rPr>
              <w:t>for d</w:t>
            </w:r>
            <w:r w:rsidR="0047423E" w:rsidRPr="009E55C4">
              <w:rPr>
                <w:b/>
                <w:bCs/>
                <w:color w:val="000000" w:themeColor="text1"/>
              </w:rPr>
              <w:t>ataset excluding Markich (2021) bivalve data (n</w:t>
            </w:r>
            <w:r w:rsidR="003A1923">
              <w:rPr>
                <w:b/>
                <w:bCs/>
                <w:color w:val="000000" w:themeColor="text1"/>
              </w:rPr>
              <w:t> </w:t>
            </w:r>
            <w:r w:rsidR="0047423E" w:rsidRPr="009E55C4">
              <w:rPr>
                <w:b/>
                <w:bCs/>
                <w:color w:val="000000" w:themeColor="text1"/>
              </w:rPr>
              <w:t>=</w:t>
            </w:r>
            <w:r w:rsidR="003A1923">
              <w:rPr>
                <w:b/>
                <w:bCs/>
                <w:color w:val="000000" w:themeColor="text1"/>
              </w:rPr>
              <w:t> </w:t>
            </w:r>
            <w:r w:rsidR="00961F53">
              <w:rPr>
                <w:b/>
                <w:bCs/>
                <w:color w:val="000000" w:themeColor="text1"/>
              </w:rPr>
              <w:t>6</w:t>
            </w:r>
            <w:r w:rsidR="0047423E" w:rsidRPr="009E55C4">
              <w:rPr>
                <w:b/>
                <w:bCs/>
                <w:color w:val="000000" w:themeColor="text1"/>
              </w:rPr>
              <w:t>)</w:t>
            </w:r>
          </w:p>
        </w:tc>
        <w:tc>
          <w:tcPr>
            <w:tcW w:w="1382" w:type="pct"/>
            <w:tcBorders>
              <w:top w:val="single" w:sz="12" w:space="0" w:color="auto"/>
              <w:bottom w:val="single" w:sz="4" w:space="0" w:color="auto"/>
            </w:tcBorders>
          </w:tcPr>
          <w:p w14:paraId="18C52F40" w14:textId="1D3328C8" w:rsidR="0047423E" w:rsidRPr="009E55C4" w:rsidRDefault="00E20199" w:rsidP="00DB10C8">
            <w:pPr>
              <w:pStyle w:val="TableText"/>
              <w:spacing w:before="40" w:after="40"/>
              <w:rPr>
                <w:b/>
                <w:bCs/>
                <w:color w:val="000000" w:themeColor="text1"/>
              </w:rPr>
            </w:pPr>
            <w:r w:rsidRPr="00E20199">
              <w:rPr>
                <w:b/>
                <w:bCs/>
                <w:color w:val="000000" w:themeColor="text1"/>
              </w:rPr>
              <w:t xml:space="preserve">Toxicant protective concentration values (µg/L) </w:t>
            </w:r>
            <w:r>
              <w:rPr>
                <w:b/>
                <w:bCs/>
                <w:color w:val="000000" w:themeColor="text1"/>
              </w:rPr>
              <w:t>for d</w:t>
            </w:r>
            <w:r w:rsidR="0047423E">
              <w:rPr>
                <w:b/>
                <w:bCs/>
                <w:color w:val="000000" w:themeColor="text1"/>
              </w:rPr>
              <w:t xml:space="preserve">ataset including only most sensitive value for each bivalve </w:t>
            </w:r>
            <w:r w:rsidR="00873CA7">
              <w:rPr>
                <w:b/>
                <w:bCs/>
                <w:color w:val="000000" w:themeColor="text1"/>
              </w:rPr>
              <w:t xml:space="preserve">grouping </w:t>
            </w:r>
            <w:r w:rsidR="0047423E">
              <w:rPr>
                <w:b/>
                <w:bCs/>
                <w:color w:val="000000" w:themeColor="text1"/>
              </w:rPr>
              <w:t>(n</w:t>
            </w:r>
            <w:r w:rsidR="003A1923">
              <w:rPr>
                <w:b/>
                <w:bCs/>
                <w:color w:val="000000" w:themeColor="text1"/>
              </w:rPr>
              <w:t> </w:t>
            </w:r>
            <w:r w:rsidR="0047423E">
              <w:rPr>
                <w:b/>
                <w:bCs/>
                <w:color w:val="000000" w:themeColor="text1"/>
              </w:rPr>
              <w:t>=</w:t>
            </w:r>
            <w:r w:rsidR="003A1923">
              <w:rPr>
                <w:b/>
                <w:bCs/>
                <w:color w:val="000000" w:themeColor="text1"/>
              </w:rPr>
              <w:t> </w:t>
            </w:r>
            <w:r w:rsidR="005A7ED9">
              <w:rPr>
                <w:b/>
                <w:bCs/>
                <w:color w:val="000000" w:themeColor="text1"/>
              </w:rPr>
              <w:t>1</w:t>
            </w:r>
            <w:r w:rsidR="00961F53">
              <w:rPr>
                <w:b/>
                <w:bCs/>
                <w:color w:val="000000" w:themeColor="text1"/>
              </w:rPr>
              <w:t>1</w:t>
            </w:r>
            <w:r w:rsidR="0047423E">
              <w:rPr>
                <w:b/>
                <w:bCs/>
                <w:color w:val="000000" w:themeColor="text1"/>
              </w:rPr>
              <w:t>)</w:t>
            </w:r>
          </w:p>
        </w:tc>
      </w:tr>
      <w:tr w:rsidR="0047423E" w14:paraId="56289CF3" w14:textId="77777777" w:rsidTr="007F273D">
        <w:trPr>
          <w:trHeight w:val="309"/>
        </w:trPr>
        <w:tc>
          <w:tcPr>
            <w:tcW w:w="853" w:type="pct"/>
            <w:tcBorders>
              <w:top w:val="single" w:sz="12" w:space="0" w:color="auto"/>
              <w:bottom w:val="single" w:sz="4" w:space="0" w:color="auto"/>
            </w:tcBorders>
            <w:vAlign w:val="center"/>
          </w:tcPr>
          <w:p w14:paraId="5C828F0C" w14:textId="77777777" w:rsidR="0047423E" w:rsidRPr="000F337A" w:rsidRDefault="0047423E" w:rsidP="00977B2D">
            <w:pPr>
              <w:pStyle w:val="TableText"/>
              <w:spacing w:before="40" w:after="40"/>
              <w:ind w:right="510"/>
              <w:jc w:val="right"/>
            </w:pPr>
            <w:r w:rsidRPr="000F337A">
              <w:t>99</w:t>
            </w:r>
          </w:p>
        </w:tc>
        <w:tc>
          <w:tcPr>
            <w:tcW w:w="1382" w:type="pct"/>
            <w:tcBorders>
              <w:top w:val="single" w:sz="12" w:space="0" w:color="auto"/>
              <w:bottom w:val="single" w:sz="4" w:space="0" w:color="auto"/>
            </w:tcBorders>
            <w:vAlign w:val="center"/>
          </w:tcPr>
          <w:p w14:paraId="17B69D66" w14:textId="3C735175" w:rsidR="0047423E" w:rsidRPr="00A9566D" w:rsidRDefault="00A1765D" w:rsidP="00FD2779">
            <w:pPr>
              <w:pStyle w:val="TableText"/>
              <w:spacing w:before="40" w:after="40"/>
              <w:ind w:right="860"/>
              <w:jc w:val="right"/>
              <w:rPr>
                <w:rFonts w:cstheme="minorHAnsi"/>
                <w:szCs w:val="18"/>
              </w:rPr>
            </w:pPr>
            <w:r>
              <w:rPr>
                <w:rFonts w:cstheme="minorHAnsi"/>
                <w:szCs w:val="18"/>
              </w:rPr>
              <w:t>410</w:t>
            </w:r>
          </w:p>
        </w:tc>
        <w:tc>
          <w:tcPr>
            <w:tcW w:w="1382" w:type="pct"/>
            <w:tcBorders>
              <w:top w:val="single" w:sz="12" w:space="0" w:color="auto"/>
              <w:bottom w:val="single" w:sz="4" w:space="0" w:color="auto"/>
            </w:tcBorders>
            <w:vAlign w:val="center"/>
          </w:tcPr>
          <w:p w14:paraId="53C103F5" w14:textId="4982190E" w:rsidR="0047423E" w:rsidRPr="00A9566D" w:rsidRDefault="00961F53" w:rsidP="00FD2779">
            <w:pPr>
              <w:pStyle w:val="TableText"/>
              <w:spacing w:before="40" w:after="40"/>
              <w:ind w:right="810"/>
              <w:jc w:val="right"/>
              <w:rPr>
                <w:rFonts w:cstheme="minorHAnsi"/>
                <w:szCs w:val="18"/>
              </w:rPr>
            </w:pPr>
            <w:r>
              <w:rPr>
                <w:rFonts w:cstheme="minorHAnsi"/>
                <w:szCs w:val="18"/>
              </w:rPr>
              <w:t>120</w:t>
            </w:r>
          </w:p>
        </w:tc>
        <w:tc>
          <w:tcPr>
            <w:tcW w:w="1382" w:type="pct"/>
            <w:tcBorders>
              <w:top w:val="single" w:sz="12" w:space="0" w:color="auto"/>
              <w:bottom w:val="single" w:sz="4" w:space="0" w:color="auto"/>
            </w:tcBorders>
            <w:vAlign w:val="center"/>
          </w:tcPr>
          <w:p w14:paraId="2EC1A6CC" w14:textId="7AC37E1B" w:rsidR="0047423E" w:rsidRPr="00A9566D" w:rsidRDefault="00873CA7" w:rsidP="00FD2779">
            <w:pPr>
              <w:pStyle w:val="TableText"/>
              <w:spacing w:before="40" w:after="40"/>
              <w:ind w:right="891"/>
              <w:jc w:val="right"/>
              <w:rPr>
                <w:rFonts w:cstheme="minorHAnsi"/>
                <w:szCs w:val="18"/>
              </w:rPr>
            </w:pPr>
            <w:r>
              <w:rPr>
                <w:rFonts w:cstheme="minorHAnsi"/>
                <w:szCs w:val="18"/>
              </w:rPr>
              <w:t>360</w:t>
            </w:r>
          </w:p>
        </w:tc>
      </w:tr>
      <w:tr w:rsidR="0047423E" w14:paraId="2D316A2E" w14:textId="77777777" w:rsidTr="007F273D">
        <w:trPr>
          <w:trHeight w:val="309"/>
        </w:trPr>
        <w:tc>
          <w:tcPr>
            <w:tcW w:w="853" w:type="pct"/>
            <w:tcBorders>
              <w:top w:val="single" w:sz="4" w:space="0" w:color="auto"/>
              <w:bottom w:val="single" w:sz="4" w:space="0" w:color="auto"/>
            </w:tcBorders>
            <w:vAlign w:val="center"/>
          </w:tcPr>
          <w:p w14:paraId="6F1A02FF" w14:textId="77777777" w:rsidR="0047423E" w:rsidRPr="000F337A" w:rsidRDefault="0047423E" w:rsidP="00977B2D">
            <w:pPr>
              <w:pStyle w:val="TableText"/>
              <w:spacing w:before="40" w:after="40"/>
              <w:ind w:right="510"/>
              <w:jc w:val="right"/>
            </w:pPr>
            <w:r w:rsidRPr="000F337A">
              <w:t>95</w:t>
            </w:r>
          </w:p>
        </w:tc>
        <w:tc>
          <w:tcPr>
            <w:tcW w:w="1382" w:type="pct"/>
            <w:tcBorders>
              <w:top w:val="single" w:sz="4" w:space="0" w:color="auto"/>
              <w:bottom w:val="single" w:sz="4" w:space="0" w:color="auto"/>
            </w:tcBorders>
            <w:vAlign w:val="center"/>
          </w:tcPr>
          <w:p w14:paraId="53F1DFFB" w14:textId="2AE2ABD7" w:rsidR="0047423E" w:rsidRPr="00A9566D" w:rsidRDefault="00A1765D" w:rsidP="00FD2779">
            <w:pPr>
              <w:pStyle w:val="TableText"/>
              <w:spacing w:before="40" w:after="40"/>
              <w:ind w:right="860"/>
              <w:jc w:val="right"/>
              <w:rPr>
                <w:rFonts w:cstheme="minorHAnsi"/>
                <w:szCs w:val="18"/>
              </w:rPr>
            </w:pPr>
            <w:r>
              <w:rPr>
                <w:rFonts w:cstheme="minorHAnsi"/>
                <w:szCs w:val="18"/>
              </w:rPr>
              <w:t>540</w:t>
            </w:r>
          </w:p>
        </w:tc>
        <w:tc>
          <w:tcPr>
            <w:tcW w:w="1382" w:type="pct"/>
            <w:tcBorders>
              <w:top w:val="single" w:sz="4" w:space="0" w:color="auto"/>
              <w:bottom w:val="single" w:sz="4" w:space="0" w:color="auto"/>
            </w:tcBorders>
            <w:vAlign w:val="center"/>
          </w:tcPr>
          <w:p w14:paraId="012A76E1" w14:textId="50EB9506" w:rsidR="0047423E" w:rsidRDefault="00961F53" w:rsidP="00FD2779">
            <w:pPr>
              <w:pStyle w:val="TableText"/>
              <w:spacing w:before="40" w:after="40"/>
              <w:ind w:right="810"/>
              <w:jc w:val="right"/>
              <w:rPr>
                <w:rFonts w:cstheme="minorHAnsi"/>
                <w:szCs w:val="18"/>
              </w:rPr>
            </w:pPr>
            <w:r>
              <w:rPr>
                <w:rFonts w:cstheme="minorHAnsi"/>
                <w:szCs w:val="18"/>
              </w:rPr>
              <w:t>440</w:t>
            </w:r>
          </w:p>
        </w:tc>
        <w:tc>
          <w:tcPr>
            <w:tcW w:w="1382" w:type="pct"/>
            <w:tcBorders>
              <w:top w:val="single" w:sz="4" w:space="0" w:color="auto"/>
              <w:bottom w:val="single" w:sz="4" w:space="0" w:color="auto"/>
            </w:tcBorders>
            <w:vAlign w:val="center"/>
          </w:tcPr>
          <w:p w14:paraId="551F4F48" w14:textId="1C1F3355" w:rsidR="0047423E" w:rsidRDefault="00873CA7" w:rsidP="00FD2779">
            <w:pPr>
              <w:pStyle w:val="TableText"/>
              <w:spacing w:before="40" w:after="40"/>
              <w:ind w:right="891"/>
              <w:jc w:val="right"/>
              <w:rPr>
                <w:rFonts w:cstheme="minorHAnsi"/>
                <w:szCs w:val="18"/>
              </w:rPr>
            </w:pPr>
            <w:r>
              <w:rPr>
                <w:rFonts w:cstheme="minorHAnsi"/>
                <w:szCs w:val="18"/>
              </w:rPr>
              <w:t>520</w:t>
            </w:r>
          </w:p>
        </w:tc>
      </w:tr>
      <w:tr w:rsidR="0047423E" w14:paraId="2CA26296" w14:textId="77777777" w:rsidTr="007F273D">
        <w:trPr>
          <w:trHeight w:val="309"/>
        </w:trPr>
        <w:tc>
          <w:tcPr>
            <w:tcW w:w="853" w:type="pct"/>
            <w:tcBorders>
              <w:top w:val="single" w:sz="4" w:space="0" w:color="auto"/>
              <w:bottom w:val="single" w:sz="4" w:space="0" w:color="auto"/>
            </w:tcBorders>
            <w:vAlign w:val="center"/>
          </w:tcPr>
          <w:p w14:paraId="5BC330AA" w14:textId="77777777" w:rsidR="0047423E" w:rsidRPr="000F337A" w:rsidRDefault="0047423E" w:rsidP="00977B2D">
            <w:pPr>
              <w:pStyle w:val="TableText"/>
              <w:spacing w:before="40" w:after="40"/>
              <w:ind w:right="510"/>
              <w:jc w:val="right"/>
            </w:pPr>
            <w:r w:rsidRPr="000F337A">
              <w:t>90</w:t>
            </w:r>
          </w:p>
        </w:tc>
        <w:tc>
          <w:tcPr>
            <w:tcW w:w="1382" w:type="pct"/>
            <w:tcBorders>
              <w:top w:val="single" w:sz="4" w:space="0" w:color="auto"/>
              <w:bottom w:val="single" w:sz="4" w:space="0" w:color="auto"/>
            </w:tcBorders>
            <w:vAlign w:val="center"/>
          </w:tcPr>
          <w:p w14:paraId="6A2ECE4F" w14:textId="74011566" w:rsidR="0047423E" w:rsidRPr="00A9566D" w:rsidRDefault="00A1765D" w:rsidP="00FD2779">
            <w:pPr>
              <w:pStyle w:val="TableText"/>
              <w:spacing w:before="40" w:after="40"/>
              <w:ind w:right="860"/>
              <w:jc w:val="right"/>
              <w:rPr>
                <w:rFonts w:cstheme="minorHAnsi"/>
                <w:szCs w:val="18"/>
              </w:rPr>
            </w:pPr>
            <w:r>
              <w:rPr>
                <w:rFonts w:cstheme="minorHAnsi"/>
                <w:szCs w:val="18"/>
              </w:rPr>
              <w:t>640</w:t>
            </w:r>
          </w:p>
        </w:tc>
        <w:tc>
          <w:tcPr>
            <w:tcW w:w="1382" w:type="pct"/>
            <w:tcBorders>
              <w:top w:val="single" w:sz="4" w:space="0" w:color="auto"/>
              <w:bottom w:val="single" w:sz="4" w:space="0" w:color="auto"/>
            </w:tcBorders>
            <w:vAlign w:val="center"/>
          </w:tcPr>
          <w:p w14:paraId="20ADA3C3" w14:textId="6727EC71" w:rsidR="0047423E" w:rsidRDefault="00961F53" w:rsidP="00FD2779">
            <w:pPr>
              <w:pStyle w:val="TableText"/>
              <w:spacing w:before="40" w:after="40"/>
              <w:ind w:right="810"/>
              <w:jc w:val="right"/>
              <w:rPr>
                <w:rFonts w:cstheme="minorHAnsi"/>
                <w:szCs w:val="18"/>
              </w:rPr>
            </w:pPr>
            <w:r>
              <w:rPr>
                <w:rFonts w:cstheme="minorHAnsi"/>
                <w:szCs w:val="18"/>
              </w:rPr>
              <w:t>800</w:t>
            </w:r>
          </w:p>
        </w:tc>
        <w:tc>
          <w:tcPr>
            <w:tcW w:w="1382" w:type="pct"/>
            <w:tcBorders>
              <w:top w:val="single" w:sz="4" w:space="0" w:color="auto"/>
              <w:bottom w:val="single" w:sz="4" w:space="0" w:color="auto"/>
            </w:tcBorders>
            <w:vAlign w:val="center"/>
          </w:tcPr>
          <w:p w14:paraId="40703B5E" w14:textId="689EDBDE" w:rsidR="0047423E" w:rsidRDefault="00873CA7" w:rsidP="00FD2779">
            <w:pPr>
              <w:pStyle w:val="TableText"/>
              <w:spacing w:before="40" w:after="40"/>
              <w:ind w:right="891"/>
              <w:jc w:val="right"/>
              <w:rPr>
                <w:rFonts w:cstheme="minorHAnsi"/>
                <w:szCs w:val="18"/>
              </w:rPr>
            </w:pPr>
            <w:r>
              <w:rPr>
                <w:rFonts w:cstheme="minorHAnsi"/>
                <w:szCs w:val="18"/>
              </w:rPr>
              <w:t>650</w:t>
            </w:r>
          </w:p>
        </w:tc>
      </w:tr>
      <w:tr w:rsidR="0047423E" w14:paraId="3BD8A6A1" w14:textId="77777777" w:rsidTr="007F273D">
        <w:trPr>
          <w:trHeight w:val="309"/>
        </w:trPr>
        <w:tc>
          <w:tcPr>
            <w:tcW w:w="853" w:type="pct"/>
            <w:tcBorders>
              <w:top w:val="single" w:sz="4" w:space="0" w:color="auto"/>
              <w:bottom w:val="single" w:sz="12" w:space="0" w:color="auto"/>
            </w:tcBorders>
            <w:vAlign w:val="center"/>
          </w:tcPr>
          <w:p w14:paraId="6CACDB5F" w14:textId="77777777" w:rsidR="0047423E" w:rsidRPr="000F337A" w:rsidRDefault="0047423E" w:rsidP="00977B2D">
            <w:pPr>
              <w:pStyle w:val="TableText"/>
              <w:spacing w:before="40" w:after="40"/>
              <w:ind w:right="510"/>
              <w:jc w:val="right"/>
            </w:pPr>
            <w:r w:rsidRPr="000F337A">
              <w:t>80</w:t>
            </w:r>
          </w:p>
        </w:tc>
        <w:tc>
          <w:tcPr>
            <w:tcW w:w="1382" w:type="pct"/>
            <w:tcBorders>
              <w:top w:val="single" w:sz="4" w:space="0" w:color="auto"/>
              <w:bottom w:val="single" w:sz="12" w:space="0" w:color="auto"/>
            </w:tcBorders>
            <w:vAlign w:val="center"/>
          </w:tcPr>
          <w:p w14:paraId="3E68C545" w14:textId="3165D08E" w:rsidR="0047423E" w:rsidRPr="00A9566D" w:rsidRDefault="00A1765D" w:rsidP="00FD2779">
            <w:pPr>
              <w:pStyle w:val="TableText"/>
              <w:spacing w:before="40" w:after="40"/>
              <w:ind w:right="860"/>
              <w:jc w:val="right"/>
              <w:rPr>
                <w:rFonts w:cstheme="minorHAnsi"/>
                <w:szCs w:val="18"/>
              </w:rPr>
            </w:pPr>
            <w:r>
              <w:rPr>
                <w:rFonts w:cstheme="minorHAnsi"/>
                <w:szCs w:val="18"/>
              </w:rPr>
              <w:t>810</w:t>
            </w:r>
          </w:p>
        </w:tc>
        <w:tc>
          <w:tcPr>
            <w:tcW w:w="1382" w:type="pct"/>
            <w:tcBorders>
              <w:top w:val="single" w:sz="4" w:space="0" w:color="auto"/>
              <w:bottom w:val="single" w:sz="12" w:space="0" w:color="auto"/>
            </w:tcBorders>
            <w:vAlign w:val="center"/>
          </w:tcPr>
          <w:p w14:paraId="5464C859" w14:textId="18E07187" w:rsidR="0047423E" w:rsidRDefault="00873CA7" w:rsidP="00FD2779">
            <w:pPr>
              <w:pStyle w:val="TableText"/>
              <w:spacing w:before="40" w:after="40"/>
              <w:ind w:right="810"/>
              <w:jc w:val="right"/>
              <w:rPr>
                <w:rFonts w:cstheme="minorHAnsi"/>
                <w:szCs w:val="18"/>
              </w:rPr>
            </w:pPr>
            <w:r>
              <w:rPr>
                <w:rFonts w:cstheme="minorHAnsi"/>
                <w:szCs w:val="18"/>
              </w:rPr>
              <w:t>1</w:t>
            </w:r>
            <w:r w:rsidR="003A1923">
              <w:rPr>
                <w:rFonts w:cstheme="minorHAnsi"/>
                <w:szCs w:val="18"/>
              </w:rPr>
              <w:t>,</w:t>
            </w:r>
            <w:r>
              <w:rPr>
                <w:rFonts w:cstheme="minorHAnsi"/>
                <w:szCs w:val="18"/>
              </w:rPr>
              <w:t>500</w:t>
            </w:r>
          </w:p>
        </w:tc>
        <w:tc>
          <w:tcPr>
            <w:tcW w:w="1382" w:type="pct"/>
            <w:tcBorders>
              <w:top w:val="single" w:sz="4" w:space="0" w:color="auto"/>
              <w:bottom w:val="single" w:sz="12" w:space="0" w:color="auto"/>
            </w:tcBorders>
            <w:vAlign w:val="center"/>
          </w:tcPr>
          <w:p w14:paraId="3966E7D5" w14:textId="46A7716C" w:rsidR="0047423E" w:rsidRDefault="00873CA7" w:rsidP="00FD2779">
            <w:pPr>
              <w:pStyle w:val="TableText"/>
              <w:spacing w:before="40" w:after="40"/>
              <w:ind w:right="891"/>
              <w:jc w:val="right"/>
              <w:rPr>
                <w:rFonts w:cstheme="minorHAnsi"/>
                <w:szCs w:val="18"/>
              </w:rPr>
            </w:pPr>
            <w:r>
              <w:rPr>
                <w:rFonts w:cstheme="minorHAnsi"/>
                <w:szCs w:val="18"/>
              </w:rPr>
              <w:t>890</w:t>
            </w:r>
          </w:p>
        </w:tc>
      </w:tr>
    </w:tbl>
    <w:p w14:paraId="5C0AFEF4" w14:textId="3E8AAAE6" w:rsidR="00C4719C" w:rsidRPr="00E017DD" w:rsidRDefault="0047423E" w:rsidP="00CE307D">
      <w:pPr>
        <w:pStyle w:val="FigureTableNoteSource"/>
      </w:pPr>
      <w:r w:rsidRPr="003A1923">
        <w:rPr>
          <w:rStyle w:val="Strong"/>
          <w:b w:val="0"/>
          <w:bCs w:val="0"/>
          <w:sz w:val="16"/>
          <w:szCs w:val="16"/>
          <w:vertAlign w:val="superscript"/>
        </w:rPr>
        <w:t>a</w:t>
      </w:r>
      <w:r w:rsidRPr="003A1923">
        <w:rPr>
          <w:rStyle w:val="Strong"/>
          <w:sz w:val="16"/>
          <w:szCs w:val="16"/>
        </w:rPr>
        <w:t xml:space="preserve"> </w:t>
      </w:r>
      <w:r w:rsidRPr="00357CE9">
        <w:rPr>
          <w:rStyle w:val="Strong"/>
          <w:b w:val="0"/>
          <w:bCs w:val="0"/>
          <w:sz w:val="16"/>
          <w:szCs w:val="16"/>
        </w:rPr>
        <w:t xml:space="preserve">The </w:t>
      </w:r>
      <w:r w:rsidR="002B37C4">
        <w:rPr>
          <w:rStyle w:val="FigurecaptionChar"/>
          <w:rFonts w:asciiTheme="minorHAnsi" w:hAnsiTheme="minorHAnsi"/>
          <w:sz w:val="16"/>
          <w:szCs w:val="16"/>
        </w:rPr>
        <w:t>protective concentration</w:t>
      </w:r>
      <w:r>
        <w:rPr>
          <w:rStyle w:val="FigurecaptionChar"/>
          <w:rFonts w:asciiTheme="minorHAnsi" w:hAnsiTheme="minorHAnsi"/>
          <w:sz w:val="16"/>
          <w:szCs w:val="16"/>
        </w:rPr>
        <w:t xml:space="preserve"> values</w:t>
      </w:r>
      <w:r w:rsidRPr="00357CE9">
        <w:rPr>
          <w:rStyle w:val="FigurecaptionChar"/>
          <w:rFonts w:asciiTheme="minorHAnsi" w:hAnsiTheme="minorHAnsi"/>
          <w:sz w:val="16"/>
          <w:szCs w:val="16"/>
        </w:rPr>
        <w:t xml:space="preserve"> were derived </w:t>
      </w:r>
      <w:r w:rsidRPr="00357CE9">
        <w:rPr>
          <w:rFonts w:cstheme="minorHAnsi"/>
        </w:rPr>
        <w:t xml:space="preserve">using </w:t>
      </w:r>
      <w:r w:rsidRPr="00357CE9">
        <w:t xml:space="preserve">the </w:t>
      </w:r>
      <w:r w:rsidRPr="00CE307D">
        <w:t>Burrlioz</w:t>
      </w:r>
      <w:r w:rsidRPr="00357CE9">
        <w:t xml:space="preserve"> 2.0 software</w:t>
      </w:r>
      <w:r w:rsidR="00873CA7">
        <w:t xml:space="preserve"> and rounded to </w:t>
      </w:r>
      <w:r w:rsidR="003A1923">
        <w:t xml:space="preserve">2 </w:t>
      </w:r>
      <w:r w:rsidR="00873CA7">
        <w:t>significant figures</w:t>
      </w:r>
      <w:r>
        <w:t>.</w:t>
      </w:r>
    </w:p>
    <w:p w14:paraId="5CE3283A" w14:textId="77777777" w:rsidR="00606A7B" w:rsidRPr="00B74454" w:rsidRDefault="00606A7B" w:rsidP="002B37C4">
      <w:pPr>
        <w:pStyle w:val="Heading2"/>
        <w:numPr>
          <w:ilvl w:val="0"/>
          <w:numId w:val="0"/>
        </w:numPr>
      </w:pPr>
      <w:bookmarkStart w:id="73" w:name="_Toc4498839"/>
      <w:bookmarkStart w:id="74" w:name="_Toc196928511"/>
      <w:bookmarkStart w:id="75" w:name="_Toc197784004"/>
      <w:bookmarkEnd w:id="56"/>
      <w:bookmarkEnd w:id="57"/>
      <w:bookmarkEnd w:id="58"/>
      <w:bookmarkEnd w:id="59"/>
      <w:r w:rsidRPr="002B37C4">
        <w:lastRenderedPageBreak/>
        <w:t>References</w:t>
      </w:r>
      <w:bookmarkEnd w:id="73"/>
      <w:bookmarkEnd w:id="74"/>
      <w:bookmarkEnd w:id="75"/>
    </w:p>
    <w:p w14:paraId="6753E0EE" w14:textId="77777777" w:rsidR="00DB2826" w:rsidRDefault="00DB2826" w:rsidP="00DB2826">
      <w:pPr>
        <w:rPr>
          <w:rFonts w:cs="Arial"/>
        </w:rPr>
      </w:pPr>
      <w:r w:rsidRPr="004469B0">
        <w:t>Angel BM, Apte SC, Batley</w:t>
      </w:r>
      <w:r>
        <w:t xml:space="preserve"> GE and Golding LA (2016)</w:t>
      </w:r>
      <w:r w:rsidRPr="004469B0">
        <w:t xml:space="preserve"> </w:t>
      </w:r>
      <w:r>
        <w:t>‘</w:t>
      </w:r>
      <w:hyperlink r:id="rId49" w:history="1">
        <w:r w:rsidRPr="00BF7504">
          <w:rPr>
            <w:rStyle w:val="Hyperlink"/>
          </w:rPr>
          <w:t>Geochemical controls on aluminium concentrations in coastal waters</w:t>
        </w:r>
      </w:hyperlink>
      <w:r>
        <w:t>’,</w:t>
      </w:r>
      <w:r w:rsidRPr="004469B0">
        <w:t xml:space="preserve"> </w:t>
      </w:r>
      <w:r w:rsidRPr="002860AC">
        <w:rPr>
          <w:i/>
        </w:rPr>
        <w:t>Environmental Chemistry</w:t>
      </w:r>
      <w:r w:rsidRPr="002860AC">
        <w:t xml:space="preserve">, </w:t>
      </w:r>
      <w:r>
        <w:t>13:111–118, doi:</w:t>
      </w:r>
      <w:r w:rsidRPr="00BF7504">
        <w:t>10.1071/EN15029</w:t>
      </w:r>
      <w:r>
        <w:t>.</w:t>
      </w:r>
    </w:p>
    <w:p w14:paraId="17E8E86C" w14:textId="77777777" w:rsidR="00DB2826" w:rsidRPr="00264744" w:rsidRDefault="00DB2826" w:rsidP="00DB2826">
      <w:r w:rsidRPr="00264744">
        <w:t>ANZECC</w:t>
      </w:r>
      <w:r>
        <w:t xml:space="preserve"> and </w:t>
      </w:r>
      <w:r w:rsidRPr="00264744">
        <w:t>ARMCANZ</w:t>
      </w:r>
      <w:r>
        <w:t xml:space="preserve"> </w:t>
      </w:r>
      <w:r>
        <w:rPr>
          <w:lang w:eastAsia="ja-JP"/>
        </w:rPr>
        <w:t>(</w:t>
      </w:r>
      <w:r w:rsidRPr="00ED5FCF">
        <w:rPr>
          <w:lang w:eastAsia="ja-JP"/>
        </w:rPr>
        <w:t>Australian and New Zealand Environment and Conservation Council and Agriculture and Resource Management Council of Australia and New Zealand</w:t>
      </w:r>
      <w:r>
        <w:rPr>
          <w:lang w:eastAsia="ja-JP"/>
        </w:rPr>
        <w:t>)</w:t>
      </w:r>
      <w:r w:rsidRPr="00264744">
        <w:t xml:space="preserve"> (2000) </w:t>
      </w:r>
      <w:hyperlink r:id="rId50" w:history="1">
        <w:r w:rsidRPr="00EF5824">
          <w:rPr>
            <w:rStyle w:val="Hyperlink"/>
            <w:i/>
            <w:iCs/>
            <w:noProof/>
          </w:rPr>
          <w:t xml:space="preserve">Australian and New Zealand </w:t>
        </w:r>
        <w:r>
          <w:rPr>
            <w:rStyle w:val="Hyperlink"/>
            <w:i/>
            <w:iCs/>
            <w:noProof/>
          </w:rPr>
          <w:t>G</w:t>
        </w:r>
        <w:r w:rsidRPr="00EF5824">
          <w:rPr>
            <w:rStyle w:val="Hyperlink"/>
            <w:i/>
            <w:iCs/>
            <w:noProof/>
          </w:rPr>
          <w:t xml:space="preserve">uidelines for </w:t>
        </w:r>
        <w:r>
          <w:rPr>
            <w:rStyle w:val="Hyperlink"/>
            <w:i/>
            <w:iCs/>
            <w:noProof/>
          </w:rPr>
          <w:t>F</w:t>
        </w:r>
        <w:r w:rsidRPr="00EF5824">
          <w:rPr>
            <w:rStyle w:val="Hyperlink"/>
            <w:i/>
            <w:iCs/>
            <w:noProof/>
          </w:rPr>
          <w:t xml:space="preserve">resh and </w:t>
        </w:r>
        <w:r>
          <w:rPr>
            <w:rStyle w:val="Hyperlink"/>
            <w:i/>
            <w:iCs/>
            <w:noProof/>
          </w:rPr>
          <w:t>M</w:t>
        </w:r>
        <w:r w:rsidRPr="00EF5824">
          <w:rPr>
            <w:rStyle w:val="Hyperlink"/>
            <w:i/>
            <w:iCs/>
            <w:noProof/>
          </w:rPr>
          <w:t xml:space="preserve">arine </w:t>
        </w:r>
        <w:r>
          <w:rPr>
            <w:rStyle w:val="Hyperlink"/>
            <w:i/>
            <w:iCs/>
            <w:noProof/>
          </w:rPr>
          <w:t>W</w:t>
        </w:r>
        <w:r w:rsidRPr="00EF5824">
          <w:rPr>
            <w:rStyle w:val="Hyperlink"/>
            <w:i/>
            <w:iCs/>
            <w:noProof/>
          </w:rPr>
          <w:t xml:space="preserve">ater </w:t>
        </w:r>
        <w:r>
          <w:rPr>
            <w:rStyle w:val="Hyperlink"/>
            <w:i/>
            <w:iCs/>
            <w:noProof/>
          </w:rPr>
          <w:t>Q</w:t>
        </w:r>
        <w:r w:rsidRPr="00EF5824">
          <w:rPr>
            <w:rStyle w:val="Hyperlink"/>
            <w:i/>
            <w:iCs/>
            <w:noProof/>
          </w:rPr>
          <w:t xml:space="preserve">uality, volume </w:t>
        </w:r>
        <w:r>
          <w:rPr>
            <w:rStyle w:val="Hyperlink"/>
            <w:i/>
            <w:iCs/>
            <w:noProof/>
          </w:rPr>
          <w:t>1</w:t>
        </w:r>
        <w:r w:rsidRPr="00EF5824">
          <w:rPr>
            <w:rStyle w:val="Hyperlink"/>
            <w:i/>
            <w:iCs/>
            <w:noProof/>
          </w:rPr>
          <w:t xml:space="preserve">, </w:t>
        </w:r>
        <w:r>
          <w:rPr>
            <w:rStyle w:val="Hyperlink"/>
            <w:i/>
            <w:iCs/>
            <w:noProof/>
          </w:rPr>
          <w:t>the guidelines</w:t>
        </w:r>
      </w:hyperlink>
      <w:r>
        <w:rPr>
          <w:noProof/>
        </w:rPr>
        <w:t>, ANZECC and ARMCANZ.</w:t>
      </w:r>
    </w:p>
    <w:p w14:paraId="5D294888" w14:textId="77777777" w:rsidR="00DB2826" w:rsidRDefault="00DB2826" w:rsidP="00DB2826">
      <w:pPr>
        <w:rPr>
          <w:noProof/>
        </w:rPr>
      </w:pPr>
      <w:r w:rsidRPr="00380D60">
        <w:rPr>
          <w:noProof/>
        </w:rPr>
        <w:t xml:space="preserve">ANZG </w:t>
      </w:r>
      <w:r>
        <w:rPr>
          <w:noProof/>
        </w:rPr>
        <w:t>(Australian and New Zealand Guidelines) (</w:t>
      </w:r>
      <w:r w:rsidRPr="00380D60">
        <w:rPr>
          <w:noProof/>
        </w:rPr>
        <w:t>2018</w:t>
      </w:r>
      <w:r>
        <w:rPr>
          <w:noProof/>
        </w:rPr>
        <w:t>)</w:t>
      </w:r>
      <w:r w:rsidRPr="00380D60">
        <w:rPr>
          <w:noProof/>
        </w:rPr>
        <w:t xml:space="preserve"> </w:t>
      </w:r>
      <w:hyperlink r:id="rId51" w:history="1">
        <w:r w:rsidRPr="00857C34">
          <w:rPr>
            <w:rStyle w:val="Hyperlink"/>
            <w:i/>
            <w:iCs/>
          </w:rPr>
          <w:t xml:space="preserve">Australian and New Zealand </w:t>
        </w:r>
        <w:r>
          <w:rPr>
            <w:rStyle w:val="Hyperlink"/>
            <w:i/>
            <w:iCs/>
          </w:rPr>
          <w:t>G</w:t>
        </w:r>
        <w:r w:rsidRPr="00857C34">
          <w:rPr>
            <w:rStyle w:val="Hyperlink"/>
            <w:i/>
            <w:iCs/>
          </w:rPr>
          <w:t xml:space="preserve">uidelines for </w:t>
        </w:r>
        <w:r>
          <w:rPr>
            <w:rStyle w:val="Hyperlink"/>
            <w:i/>
            <w:iCs/>
          </w:rPr>
          <w:t>F</w:t>
        </w:r>
        <w:r w:rsidRPr="00857C34">
          <w:rPr>
            <w:rStyle w:val="Hyperlink"/>
            <w:i/>
            <w:iCs/>
          </w:rPr>
          <w:t xml:space="preserve">resh and </w:t>
        </w:r>
        <w:r>
          <w:rPr>
            <w:rStyle w:val="Hyperlink"/>
            <w:i/>
            <w:iCs/>
          </w:rPr>
          <w:t>M</w:t>
        </w:r>
        <w:r w:rsidRPr="00857C34">
          <w:rPr>
            <w:rStyle w:val="Hyperlink"/>
            <w:i/>
            <w:iCs/>
          </w:rPr>
          <w:t xml:space="preserve">arine </w:t>
        </w:r>
        <w:r>
          <w:rPr>
            <w:rStyle w:val="Hyperlink"/>
            <w:i/>
            <w:iCs/>
          </w:rPr>
          <w:t>W</w:t>
        </w:r>
        <w:r w:rsidRPr="00857C34">
          <w:rPr>
            <w:rStyle w:val="Hyperlink"/>
            <w:i/>
            <w:iCs/>
          </w:rPr>
          <w:t xml:space="preserve">ater </w:t>
        </w:r>
        <w:r>
          <w:rPr>
            <w:rStyle w:val="Hyperlink"/>
            <w:i/>
            <w:iCs/>
          </w:rPr>
          <w:t>Q</w:t>
        </w:r>
        <w:r w:rsidRPr="00857C34">
          <w:rPr>
            <w:rStyle w:val="Hyperlink"/>
            <w:i/>
            <w:iCs/>
          </w:rPr>
          <w:t>uality</w:t>
        </w:r>
      </w:hyperlink>
      <w:r>
        <w:rPr>
          <w:noProof/>
        </w:rPr>
        <w:t>,</w:t>
      </w:r>
      <w:r w:rsidRPr="00380D60">
        <w:rPr>
          <w:noProof/>
        </w:rPr>
        <w:t xml:space="preserve"> Australian and New Zealand </w:t>
      </w:r>
      <w:r>
        <w:rPr>
          <w:noProof/>
        </w:rPr>
        <w:t>g</w:t>
      </w:r>
      <w:r w:rsidRPr="00380D60">
        <w:rPr>
          <w:noProof/>
        </w:rPr>
        <w:t>overnments and Australian state and territory governments.</w:t>
      </w:r>
    </w:p>
    <w:p w14:paraId="50C781B0" w14:textId="54D913E5" w:rsidR="00E95E49" w:rsidRPr="00EF77E9" w:rsidRDefault="00E95E49" w:rsidP="00E95E49">
      <w:r w:rsidRPr="00EF77E9">
        <w:t>ANZG (</w:t>
      </w:r>
      <w:r w:rsidR="00795557" w:rsidRPr="00EF77E9">
        <w:t>202</w:t>
      </w:r>
      <w:r w:rsidR="00795557">
        <w:t>5</w:t>
      </w:r>
      <w:r w:rsidRPr="00EF77E9">
        <w:t xml:space="preserve">) </w:t>
      </w:r>
      <w:r w:rsidRPr="00EF77E9">
        <w:rPr>
          <w:i/>
          <w:iCs/>
        </w:rPr>
        <w:t>Optimisation of the US</w:t>
      </w:r>
      <w:r>
        <w:rPr>
          <w:i/>
          <w:iCs/>
        </w:rPr>
        <w:t xml:space="preserve"> </w:t>
      </w:r>
      <w:r w:rsidRPr="00EF77E9">
        <w:rPr>
          <w:i/>
          <w:iCs/>
        </w:rPr>
        <w:t>EPA (1991) pH 2 extraction method for measuring potentially bioavailable iron (iron III)</w:t>
      </w:r>
      <w:r w:rsidRPr="00EF77E9">
        <w:t>, Australian and New Zealand guidelines for fresh and marine water quality. CC BY 4.0. Australian and New Zealand Governments and Australian state and territory governments.</w:t>
      </w:r>
    </w:p>
    <w:p w14:paraId="1FDA5DA2" w14:textId="6F0D1781" w:rsidR="00C87BCE" w:rsidRPr="009232F5" w:rsidRDefault="00C87BCE" w:rsidP="00B74454">
      <w:r w:rsidRPr="00C87BCE">
        <w:t xml:space="preserve">ANZG </w:t>
      </w:r>
      <w:r>
        <w:t>(</w:t>
      </w:r>
      <w:r w:rsidRPr="00C87BCE">
        <w:t>2025</w:t>
      </w:r>
      <w:r>
        <w:t>)</w:t>
      </w:r>
      <w:r w:rsidRPr="00C87BCE">
        <w:t xml:space="preserve"> </w:t>
      </w:r>
      <w:r w:rsidRPr="00C87BCE">
        <w:rPr>
          <w:i/>
        </w:rPr>
        <w:t>Toxicant default guideline values for aquatic ecosystem protection: Iron in freshwater</w:t>
      </w:r>
      <w:r w:rsidR="00D45D46" w:rsidRPr="00D45D46">
        <w:rPr>
          <w:iCs/>
        </w:rPr>
        <w:t>,</w:t>
      </w:r>
      <w:r w:rsidRPr="00C87BCE">
        <w:rPr>
          <w:i/>
        </w:rPr>
        <w:t xml:space="preserve"> </w:t>
      </w:r>
      <w:r w:rsidRPr="00C87BCE">
        <w:t>Australian and New Zealand Guidelines for Fresh and Marine Water Quality</w:t>
      </w:r>
      <w:r w:rsidR="00D45D46">
        <w:t>,</w:t>
      </w:r>
      <w:r w:rsidRPr="00C87BCE">
        <w:t xml:space="preserve"> Australian and New Zealand Governments and Australian state and territory governments, Canberra.</w:t>
      </w:r>
    </w:p>
    <w:p w14:paraId="43BD9733" w14:textId="77777777" w:rsidR="008376BC" w:rsidRPr="00FC251C" w:rsidRDefault="008376BC" w:rsidP="00002103">
      <w:pPr>
        <w:rPr>
          <w:lang w:eastAsia="en-AU"/>
        </w:rPr>
      </w:pPr>
      <w:r w:rsidRPr="007B657C">
        <w:t xml:space="preserve">Balsamo Crespo E, Reichelt-Brushett A, Smith REW, Rose AL </w:t>
      </w:r>
      <w:r>
        <w:t>and</w:t>
      </w:r>
      <w:r w:rsidRPr="007B657C">
        <w:t xml:space="preserve"> Batley GE </w:t>
      </w:r>
      <w:r>
        <w:t>(</w:t>
      </w:r>
      <w:r w:rsidRPr="007B657C">
        <w:t>202</w:t>
      </w:r>
      <w:r>
        <w:t>3)</w:t>
      </w:r>
      <w:r w:rsidRPr="007B657C">
        <w:t xml:space="preserve"> </w:t>
      </w:r>
      <w:r>
        <w:t>‘</w:t>
      </w:r>
      <w:hyperlink r:id="rId52" w:history="1">
        <w:r w:rsidRPr="00F46B52">
          <w:rPr>
            <w:rStyle w:val="Hyperlink"/>
            <w:rFonts w:ascii="Calibri" w:hAnsi="Calibri" w:cs="Calibri"/>
            <w:bCs/>
          </w:rPr>
          <w:t>Improving the measurement of iron(III) bioavailability in freshwater samples: methods and performance</w:t>
        </w:r>
      </w:hyperlink>
      <w:r>
        <w:t>’,</w:t>
      </w:r>
      <w:r w:rsidRPr="007B657C">
        <w:t xml:space="preserve"> </w:t>
      </w:r>
      <w:r w:rsidRPr="007D50AE">
        <w:rPr>
          <w:i/>
          <w:iCs/>
        </w:rPr>
        <w:t>Environmental Toxicology and Chemistry</w:t>
      </w:r>
      <w:r>
        <w:rPr>
          <w:i/>
          <w:iCs/>
        </w:rPr>
        <w:t>,</w:t>
      </w:r>
      <w:r>
        <w:t xml:space="preserve"> 42:303–316, doi:</w:t>
      </w:r>
      <w:r w:rsidRPr="00F46B52">
        <w:t>10.1002/etc.5530</w:t>
      </w:r>
      <w:r>
        <w:t>.</w:t>
      </w:r>
    </w:p>
    <w:p w14:paraId="625EAC08" w14:textId="1593F379" w:rsidR="00E44065" w:rsidRDefault="00E44065" w:rsidP="00002103">
      <w:r w:rsidRPr="009232F5">
        <w:t xml:space="preserve">Bu-Olayan AH </w:t>
      </w:r>
      <w:r w:rsidR="006D7A6F">
        <w:t>and</w:t>
      </w:r>
      <w:r w:rsidRPr="009232F5">
        <w:t xml:space="preserve"> Thomas BV </w:t>
      </w:r>
      <w:r w:rsidR="005B70EC">
        <w:t>(</w:t>
      </w:r>
      <w:r w:rsidRPr="009232F5">
        <w:t>2008</w:t>
      </w:r>
      <w:r w:rsidR="005B70EC">
        <w:t>)</w:t>
      </w:r>
      <w:r w:rsidRPr="009232F5">
        <w:t xml:space="preserve"> </w:t>
      </w:r>
      <w:r w:rsidR="005B70EC">
        <w:t>‘</w:t>
      </w:r>
      <w:r w:rsidRPr="009232F5">
        <w:t xml:space="preserve">Trace metal toxicity and bioaccumulation in mudskipper </w:t>
      </w:r>
      <w:r w:rsidRPr="00EF0809">
        <w:rPr>
          <w:rStyle w:val="Emphasis"/>
        </w:rPr>
        <w:t>Periophthalmus waltoni</w:t>
      </w:r>
      <w:r w:rsidRPr="009232F5">
        <w:t xml:space="preserve"> Koumans 1941 (Gobiidae: Perciformes)</w:t>
      </w:r>
      <w:r w:rsidR="005B70EC">
        <w:t>’,</w:t>
      </w:r>
      <w:r w:rsidRPr="009232F5">
        <w:t xml:space="preserve"> </w:t>
      </w:r>
      <w:r w:rsidRPr="00EF0809">
        <w:rPr>
          <w:rStyle w:val="Emphasis"/>
        </w:rPr>
        <w:t>Turkish Journal of Fisheries and Aquatic Sciences</w:t>
      </w:r>
      <w:r w:rsidRPr="009232F5">
        <w:t>, 8</w:t>
      </w:r>
      <w:r w:rsidR="005B70EC">
        <w:t>:</w:t>
      </w:r>
      <w:r w:rsidRPr="009232F5">
        <w:t>215</w:t>
      </w:r>
      <w:r>
        <w:t>–</w:t>
      </w:r>
      <w:r w:rsidRPr="009232F5">
        <w:t>218.</w:t>
      </w:r>
    </w:p>
    <w:p w14:paraId="7FC99A62" w14:textId="77777777" w:rsidR="000C4F9D" w:rsidRDefault="000C4F9D" w:rsidP="000C4F9D">
      <w:r w:rsidRPr="00EC7046">
        <w:t xml:space="preserve">Cardwell AS, Rodriguez PH, Stubblefield WA, DeForest DK </w:t>
      </w:r>
      <w:r>
        <w:t>and</w:t>
      </w:r>
      <w:r w:rsidRPr="00EC7046">
        <w:t xml:space="preserve"> Adams WJ </w:t>
      </w:r>
      <w:r>
        <w:t>(</w:t>
      </w:r>
      <w:r w:rsidRPr="00EC7046">
        <w:t>2023</w:t>
      </w:r>
      <w:r>
        <w:t>)</w:t>
      </w:r>
      <w:r w:rsidRPr="00EC7046">
        <w:t xml:space="preserve"> </w:t>
      </w:r>
      <w:r>
        <w:t>‘</w:t>
      </w:r>
      <w:hyperlink r:id="rId53" w:history="1">
        <w:r w:rsidRPr="006E6C63">
          <w:rPr>
            <w:rStyle w:val="Hyperlink"/>
          </w:rPr>
          <w:t>Chronic toxicity of iron to aquatic organisms under variable pH, hardness, and dissolved organic carbon conditions</w:t>
        </w:r>
      </w:hyperlink>
      <w:r>
        <w:t>’,</w:t>
      </w:r>
      <w:r w:rsidRPr="00EC7046">
        <w:t xml:space="preserve"> </w:t>
      </w:r>
      <w:r w:rsidRPr="00EC7046">
        <w:rPr>
          <w:i/>
          <w:iCs/>
        </w:rPr>
        <w:t>Environmental Toxicology and Chemistry</w:t>
      </w:r>
      <w:r w:rsidRPr="00EC7046">
        <w:t>, 42</w:t>
      </w:r>
      <w:r>
        <w:t>:</w:t>
      </w:r>
      <w:r w:rsidRPr="00EC7046">
        <w:t>1371–1385</w:t>
      </w:r>
      <w:r>
        <w:t>, doi:</w:t>
      </w:r>
      <w:r w:rsidRPr="006E6C63">
        <w:t>10.1002/etc.5627</w:t>
      </w:r>
      <w:r w:rsidRPr="00EC7046">
        <w:t>.</w:t>
      </w:r>
    </w:p>
    <w:p w14:paraId="5505CEEB" w14:textId="3A1DA3AA" w:rsidR="00FC4225" w:rsidRDefault="00FC4225" w:rsidP="00A44053">
      <w:pPr>
        <w:rPr>
          <w:rFonts w:ascii="Calibri" w:hAnsi="Calibri" w:cs="Calibri"/>
          <w:bCs/>
        </w:rPr>
      </w:pPr>
      <w:r>
        <w:t>CCREM (Canadian Council of Resource and Environment Ministers) (1987)</w:t>
      </w:r>
      <w:r w:rsidRPr="000164C0">
        <w:t xml:space="preserve"> </w:t>
      </w:r>
      <w:r w:rsidRPr="00101672">
        <w:rPr>
          <w:i/>
          <w:iCs/>
        </w:rPr>
        <w:t xml:space="preserve">Canadian </w:t>
      </w:r>
      <w:r>
        <w:rPr>
          <w:i/>
          <w:iCs/>
        </w:rPr>
        <w:t>w</w:t>
      </w:r>
      <w:r w:rsidRPr="00101672">
        <w:rPr>
          <w:i/>
          <w:iCs/>
        </w:rPr>
        <w:t xml:space="preserve">ater </w:t>
      </w:r>
      <w:r>
        <w:rPr>
          <w:i/>
          <w:iCs/>
        </w:rPr>
        <w:t>q</w:t>
      </w:r>
      <w:r w:rsidRPr="00101672">
        <w:rPr>
          <w:i/>
          <w:iCs/>
        </w:rPr>
        <w:t xml:space="preserve">uality </w:t>
      </w:r>
      <w:r>
        <w:rPr>
          <w:i/>
          <w:iCs/>
        </w:rPr>
        <w:t>g</w:t>
      </w:r>
      <w:r w:rsidRPr="00101672">
        <w:rPr>
          <w:i/>
          <w:iCs/>
        </w:rPr>
        <w:t>uidelines</w:t>
      </w:r>
      <w:r>
        <w:t>,</w:t>
      </w:r>
      <w:r w:rsidRPr="000164C0">
        <w:t xml:space="preserve"> </w:t>
      </w:r>
      <w:r>
        <w:t>CCREM, Inland Water Directorate, Environment Canada, Ottawa.</w:t>
      </w:r>
    </w:p>
    <w:p w14:paraId="08DEC6A3" w14:textId="1A5E83F4" w:rsidR="00815D72" w:rsidRPr="009232F5" w:rsidRDefault="00815D72" w:rsidP="00815D72">
      <w:r>
        <w:t xml:space="preserve">Doyle C </w:t>
      </w:r>
      <w:r w:rsidR="005A4FD0">
        <w:t>(</w:t>
      </w:r>
      <w:r>
        <w:t>1999</w:t>
      </w:r>
      <w:r w:rsidR="005A4FD0">
        <w:t>)</w:t>
      </w:r>
      <w:r>
        <w:t xml:space="preserve"> </w:t>
      </w:r>
      <w:r w:rsidRPr="005A4FD0">
        <w:rPr>
          <w:i/>
          <w:iCs/>
        </w:rPr>
        <w:t>Toxicity characterisation of contaminated sediment pore water using the sea urchin</w:t>
      </w:r>
      <w:r>
        <w:t xml:space="preserve"> </w:t>
      </w:r>
      <w:r w:rsidRPr="00815D72">
        <w:rPr>
          <w:i/>
          <w:iCs/>
        </w:rPr>
        <w:t>Heliocidaris tuberculata</w:t>
      </w:r>
      <w:r>
        <w:t xml:space="preserve"> </w:t>
      </w:r>
      <w:r w:rsidR="005A4FD0">
        <w:t>[</w:t>
      </w:r>
      <w:r>
        <w:t xml:space="preserve">BSc (Hons) </w:t>
      </w:r>
      <w:r w:rsidR="005A4FD0">
        <w:t>t</w:t>
      </w:r>
      <w:r>
        <w:t>hesis</w:t>
      </w:r>
      <w:r w:rsidR="005A4FD0">
        <w:t>]</w:t>
      </w:r>
      <w:r>
        <w:t>, University of Technology, Sydney.</w:t>
      </w:r>
    </w:p>
    <w:p w14:paraId="64FAA37E" w14:textId="20F6E60C" w:rsidR="00E44065" w:rsidRPr="009232F5" w:rsidRDefault="00E44065" w:rsidP="00A44053">
      <w:r w:rsidRPr="009232F5">
        <w:t xml:space="preserve">Francesconi KA </w:t>
      </w:r>
      <w:r w:rsidR="006D7A6F">
        <w:t>and</w:t>
      </w:r>
      <w:r w:rsidRPr="009232F5">
        <w:t xml:space="preserve"> Edmonds JS </w:t>
      </w:r>
      <w:r w:rsidR="005B70EC">
        <w:t>(</w:t>
      </w:r>
      <w:r w:rsidRPr="009232F5">
        <w:t>1995</w:t>
      </w:r>
      <w:r w:rsidR="005B70EC">
        <w:t>)</w:t>
      </w:r>
      <w:r w:rsidRPr="009232F5">
        <w:t xml:space="preserve"> </w:t>
      </w:r>
      <w:r w:rsidR="005B70EC">
        <w:t>‘</w:t>
      </w:r>
      <w:hyperlink r:id="rId54" w:history="1">
        <w:r w:rsidRPr="005E4F89">
          <w:rPr>
            <w:rStyle w:val="Hyperlink"/>
          </w:rPr>
          <w:t>Short-term effects on sea trumpeter (</w:t>
        </w:r>
        <w:r w:rsidRPr="005E4F89">
          <w:rPr>
            <w:rStyle w:val="Hyperlink"/>
            <w:i/>
            <w:iCs/>
          </w:rPr>
          <w:t>Therapon humeralis</w:t>
        </w:r>
        <w:r w:rsidRPr="005E4F89">
          <w:rPr>
            <w:rStyle w:val="Hyperlink"/>
          </w:rPr>
          <w:t>) of oxidizing iron(II) in seawater</w:t>
        </w:r>
        <w:r w:rsidR="000C4144" w:rsidRPr="005E4F89">
          <w:rPr>
            <w:rStyle w:val="Hyperlink"/>
          </w:rPr>
          <w:t xml:space="preserve"> [PDF 368 KB]</w:t>
        </w:r>
      </w:hyperlink>
      <w:r w:rsidR="005B70EC">
        <w:t>’,</w:t>
      </w:r>
      <w:r w:rsidRPr="009232F5">
        <w:t xml:space="preserve"> </w:t>
      </w:r>
      <w:r w:rsidRPr="00EF0809">
        <w:rPr>
          <w:rStyle w:val="Emphasis"/>
        </w:rPr>
        <w:t>Bulletin of Environmental Contamination and Toxicology</w:t>
      </w:r>
      <w:r w:rsidRPr="009232F5">
        <w:t>, 54</w:t>
      </w:r>
      <w:r w:rsidR="005B70EC">
        <w:t>:</w:t>
      </w:r>
      <w:r w:rsidRPr="009232F5">
        <w:t>15</w:t>
      </w:r>
      <w:r>
        <w:t>–</w:t>
      </w:r>
      <w:r w:rsidRPr="009232F5">
        <w:t>21.</w:t>
      </w:r>
    </w:p>
    <w:p w14:paraId="77FD8C9E" w14:textId="77777777" w:rsidR="004516CD" w:rsidRDefault="004516CD" w:rsidP="004516CD">
      <w:r w:rsidRPr="009232F5">
        <w:t xml:space="preserve">Freeman JB </w:t>
      </w:r>
      <w:r>
        <w:t>and</w:t>
      </w:r>
      <w:r w:rsidRPr="009232F5">
        <w:t xml:space="preserve"> Dale R </w:t>
      </w:r>
      <w:r>
        <w:t>(</w:t>
      </w:r>
      <w:r w:rsidRPr="009232F5">
        <w:t>2013</w:t>
      </w:r>
      <w:r>
        <w:t>)</w:t>
      </w:r>
      <w:r w:rsidRPr="009232F5">
        <w:t xml:space="preserve"> </w:t>
      </w:r>
      <w:r>
        <w:t>‘</w:t>
      </w:r>
      <w:hyperlink r:id="rId55" w:history="1">
        <w:r w:rsidRPr="000A6610">
          <w:rPr>
            <w:rStyle w:val="Hyperlink"/>
          </w:rPr>
          <w:t>Assessing bimodality to detect the presence of a dual cognitive process</w:t>
        </w:r>
      </w:hyperlink>
      <w:r>
        <w:t>’,</w:t>
      </w:r>
      <w:r w:rsidRPr="009232F5">
        <w:t xml:space="preserve"> </w:t>
      </w:r>
      <w:r w:rsidRPr="00EF0809">
        <w:rPr>
          <w:rStyle w:val="Emphasis"/>
        </w:rPr>
        <w:t>Behavior Research Methods</w:t>
      </w:r>
      <w:r w:rsidRPr="009232F5">
        <w:t>, 45</w:t>
      </w:r>
      <w:r>
        <w:t>:</w:t>
      </w:r>
      <w:r w:rsidRPr="009232F5">
        <w:t>83</w:t>
      </w:r>
      <w:r>
        <w:t>–</w:t>
      </w:r>
      <w:r w:rsidRPr="009232F5">
        <w:t>97</w:t>
      </w:r>
      <w:r>
        <w:t>, doi:</w:t>
      </w:r>
      <w:r w:rsidRPr="000A6610">
        <w:t>10.3758/s13428-012-0225-x</w:t>
      </w:r>
      <w:r w:rsidRPr="009232F5">
        <w:t>.</w:t>
      </w:r>
    </w:p>
    <w:p w14:paraId="1F3198CF" w14:textId="0C260275" w:rsidR="00E44065" w:rsidRPr="009232F5" w:rsidRDefault="00E44065" w:rsidP="00A44053">
      <w:r w:rsidRPr="009232F5">
        <w:lastRenderedPageBreak/>
        <w:t xml:space="preserve">Frias-Espericueta MG, Voltolina D </w:t>
      </w:r>
      <w:r w:rsidR="006D7A6F">
        <w:t>and</w:t>
      </w:r>
      <w:r w:rsidRPr="009232F5">
        <w:t xml:space="preserve"> Osuna-Lopez JI </w:t>
      </w:r>
      <w:r w:rsidR="005B70EC">
        <w:t>(</w:t>
      </w:r>
      <w:r w:rsidRPr="009232F5">
        <w:t>2003</w:t>
      </w:r>
      <w:r w:rsidR="005B70EC">
        <w:t>)</w:t>
      </w:r>
      <w:r w:rsidRPr="009232F5">
        <w:t xml:space="preserve"> </w:t>
      </w:r>
      <w:r w:rsidR="005B70EC">
        <w:t>‘</w:t>
      </w:r>
      <w:hyperlink r:id="rId56" w:history="1">
        <w:r w:rsidRPr="00C92190">
          <w:rPr>
            <w:rStyle w:val="Hyperlink"/>
          </w:rPr>
          <w:t xml:space="preserve">Acute toxicity of copper, zinc, iron and manganese and of the mixtures copper-zinc and iron-manganese to whiteleg shrimp </w:t>
        </w:r>
        <w:r w:rsidRPr="00C92190">
          <w:rPr>
            <w:rStyle w:val="Hyperlink"/>
            <w:i/>
            <w:iCs/>
          </w:rPr>
          <w:t>Litopenaeus vannamei</w:t>
        </w:r>
        <w:r w:rsidRPr="00C92190">
          <w:rPr>
            <w:rStyle w:val="Hyperlink"/>
            <w:i/>
          </w:rPr>
          <w:t xml:space="preserve"> </w:t>
        </w:r>
        <w:r w:rsidRPr="00C92190">
          <w:rPr>
            <w:rStyle w:val="Hyperlink"/>
          </w:rPr>
          <w:t>postlarvae</w:t>
        </w:r>
      </w:hyperlink>
      <w:r w:rsidR="005B70EC">
        <w:t>’,</w:t>
      </w:r>
      <w:r w:rsidRPr="009232F5">
        <w:t xml:space="preserve"> </w:t>
      </w:r>
      <w:r w:rsidRPr="00EF0809">
        <w:rPr>
          <w:rStyle w:val="Emphasis"/>
        </w:rPr>
        <w:t>Bulletin of Environmental Contamination and Toxicology</w:t>
      </w:r>
      <w:r w:rsidRPr="009232F5">
        <w:t>, 71</w:t>
      </w:r>
      <w:r w:rsidR="005B70EC">
        <w:t>:</w:t>
      </w:r>
      <w:r w:rsidRPr="009232F5">
        <w:t>68</w:t>
      </w:r>
      <w:r>
        <w:t>–</w:t>
      </w:r>
      <w:r w:rsidRPr="009232F5">
        <w:t>74</w:t>
      </w:r>
      <w:r w:rsidR="00C92190">
        <w:t>, doi:</w:t>
      </w:r>
      <w:r w:rsidR="00C92190" w:rsidRPr="00C92190">
        <w:t>10.1007/s00128-003-0132-z</w:t>
      </w:r>
      <w:r w:rsidRPr="009232F5">
        <w:t>.</w:t>
      </w:r>
    </w:p>
    <w:p w14:paraId="4CBFF7B8" w14:textId="4E01F334" w:rsidR="00E44065" w:rsidRPr="009232F5" w:rsidRDefault="00E44065" w:rsidP="00A44053">
      <w:r w:rsidRPr="009232F5">
        <w:t xml:space="preserve">Gledhill M </w:t>
      </w:r>
      <w:r w:rsidR="006D7A6F">
        <w:t>and</w:t>
      </w:r>
      <w:r w:rsidRPr="009232F5">
        <w:t xml:space="preserve"> Buck KN </w:t>
      </w:r>
      <w:r w:rsidR="005B70EC">
        <w:t>(</w:t>
      </w:r>
      <w:r w:rsidRPr="009232F5">
        <w:t>2012</w:t>
      </w:r>
      <w:r w:rsidR="005B70EC">
        <w:t>)</w:t>
      </w:r>
      <w:r w:rsidRPr="009232F5">
        <w:t xml:space="preserve"> </w:t>
      </w:r>
      <w:r w:rsidR="005B70EC">
        <w:t>‘</w:t>
      </w:r>
      <w:hyperlink r:id="rId57" w:history="1">
        <w:r w:rsidRPr="00BE1D94">
          <w:rPr>
            <w:rStyle w:val="Hyperlink"/>
          </w:rPr>
          <w:t xml:space="preserve">The organic complexation of iron in the marine environment: </w:t>
        </w:r>
        <w:r w:rsidR="005B70EC" w:rsidRPr="00BE1D94">
          <w:rPr>
            <w:rStyle w:val="Hyperlink"/>
          </w:rPr>
          <w:t>a</w:t>
        </w:r>
        <w:r w:rsidRPr="00BE1D94">
          <w:rPr>
            <w:rStyle w:val="Hyperlink"/>
          </w:rPr>
          <w:t xml:space="preserve"> review</w:t>
        </w:r>
      </w:hyperlink>
      <w:r w:rsidR="005B70EC">
        <w:t>’,</w:t>
      </w:r>
      <w:r w:rsidRPr="009232F5">
        <w:t xml:space="preserve"> </w:t>
      </w:r>
      <w:r w:rsidRPr="00EF0809">
        <w:rPr>
          <w:rStyle w:val="Emphasis"/>
        </w:rPr>
        <w:t>Frontiers in Microbiology</w:t>
      </w:r>
      <w:r w:rsidRPr="009232F5">
        <w:t>, 3</w:t>
      </w:r>
      <w:r w:rsidR="005B70EC">
        <w:t>:</w:t>
      </w:r>
      <w:r w:rsidRPr="009232F5">
        <w:t>1</w:t>
      </w:r>
      <w:r>
        <w:t>–</w:t>
      </w:r>
      <w:r w:rsidRPr="009232F5">
        <w:t>17</w:t>
      </w:r>
      <w:r w:rsidR="00BE1D94">
        <w:t>, doi:</w:t>
      </w:r>
      <w:r w:rsidR="00BE1D94" w:rsidRPr="00BE1D94">
        <w:t>10.3389/fmicb.2012.00069</w:t>
      </w:r>
      <w:r w:rsidRPr="009232F5">
        <w:t>.</w:t>
      </w:r>
    </w:p>
    <w:p w14:paraId="7B8F225C" w14:textId="1B0ED63E" w:rsidR="00E44065" w:rsidRDefault="00E44065" w:rsidP="00A44053">
      <w:r w:rsidRPr="009232F5">
        <w:t xml:space="preserve">Gorski J </w:t>
      </w:r>
      <w:r w:rsidR="006D7A6F">
        <w:t>and</w:t>
      </w:r>
      <w:r w:rsidRPr="009232F5">
        <w:t xml:space="preserve"> Nugegoda D </w:t>
      </w:r>
      <w:r w:rsidR="005B70EC">
        <w:t>(</w:t>
      </w:r>
      <w:r w:rsidRPr="009232F5">
        <w:t>2006</w:t>
      </w:r>
      <w:r w:rsidR="005B70EC">
        <w:t>)</w:t>
      </w:r>
      <w:r w:rsidRPr="009232F5">
        <w:t xml:space="preserve"> </w:t>
      </w:r>
      <w:r w:rsidR="005B70EC">
        <w:t>‘</w:t>
      </w:r>
      <w:hyperlink r:id="rId58" w:history="1">
        <w:r w:rsidRPr="006212A2">
          <w:rPr>
            <w:rStyle w:val="Hyperlink"/>
          </w:rPr>
          <w:t xml:space="preserve">Sublethal toxicity of trace metals to larvae of the blacklip abalone, </w:t>
        </w:r>
        <w:r w:rsidRPr="006212A2">
          <w:rPr>
            <w:rStyle w:val="Hyperlink"/>
            <w:i/>
            <w:iCs/>
          </w:rPr>
          <w:t>Haliotis rubra</w:t>
        </w:r>
      </w:hyperlink>
      <w:r w:rsidR="005B70EC">
        <w:rPr>
          <w:rStyle w:val="Emphasis"/>
        </w:rPr>
        <w:t>’,</w:t>
      </w:r>
      <w:r w:rsidRPr="00EF0809">
        <w:rPr>
          <w:rStyle w:val="Emphasis"/>
        </w:rPr>
        <w:t xml:space="preserve"> Environmental Toxicology and Chemistry</w:t>
      </w:r>
      <w:r w:rsidRPr="009232F5">
        <w:t>, 25</w:t>
      </w:r>
      <w:r w:rsidR="005B70EC">
        <w:t>:</w:t>
      </w:r>
      <w:r w:rsidRPr="009232F5">
        <w:t>1360</w:t>
      </w:r>
      <w:r>
        <w:t>–</w:t>
      </w:r>
      <w:r w:rsidRPr="009232F5">
        <w:t>1367</w:t>
      </w:r>
      <w:r w:rsidR="006212A2">
        <w:t>, doi:</w:t>
      </w:r>
      <w:r w:rsidR="006212A2" w:rsidRPr="006212A2">
        <w:t>10.1897/05-060R.1</w:t>
      </w:r>
      <w:r w:rsidRPr="009232F5">
        <w:t>.</w:t>
      </w:r>
    </w:p>
    <w:p w14:paraId="639AE0B7" w14:textId="55E6984D" w:rsidR="00A55A8E" w:rsidRPr="00EC7046" w:rsidRDefault="00A55A8E" w:rsidP="00A55A8E">
      <w:pPr>
        <w:rPr>
          <w:rFonts w:ascii="Calibri" w:hAnsi="Calibri" w:cs="Calibri"/>
          <w:lang w:val="en-GB"/>
        </w:rPr>
      </w:pPr>
      <w:r w:rsidRPr="00EC7046">
        <w:rPr>
          <w:rFonts w:ascii="Calibri" w:hAnsi="Calibri" w:cs="Calibri"/>
          <w:lang w:val="en-GB"/>
        </w:rPr>
        <w:t xml:space="preserve">Han C, Kim HJ, Lee JS, Sakakura Y </w:t>
      </w:r>
      <w:r w:rsidR="006D7A6F">
        <w:rPr>
          <w:rFonts w:ascii="Calibri" w:hAnsi="Calibri" w:cs="Calibri"/>
          <w:lang w:val="en-GB"/>
        </w:rPr>
        <w:t>and</w:t>
      </w:r>
      <w:r w:rsidRPr="00EC7046">
        <w:rPr>
          <w:rFonts w:ascii="Calibri" w:hAnsi="Calibri" w:cs="Calibri"/>
          <w:lang w:val="en-GB"/>
        </w:rPr>
        <w:t xml:space="preserve"> Hagiwara A </w:t>
      </w:r>
      <w:r w:rsidR="005B70EC">
        <w:rPr>
          <w:rFonts w:ascii="Calibri" w:hAnsi="Calibri" w:cs="Calibri"/>
          <w:lang w:val="en-GB"/>
        </w:rPr>
        <w:t>(</w:t>
      </w:r>
      <w:r w:rsidRPr="00EC7046">
        <w:rPr>
          <w:rFonts w:ascii="Calibri" w:hAnsi="Calibri" w:cs="Calibri"/>
          <w:lang w:val="en-GB"/>
        </w:rPr>
        <w:t>2022</w:t>
      </w:r>
      <w:r w:rsidR="005B70EC">
        <w:rPr>
          <w:rFonts w:ascii="Calibri" w:hAnsi="Calibri" w:cs="Calibri"/>
          <w:lang w:val="en-GB"/>
        </w:rPr>
        <w:t>)</w:t>
      </w:r>
      <w:r w:rsidRPr="00EC7046">
        <w:rPr>
          <w:rFonts w:ascii="Calibri" w:hAnsi="Calibri" w:cs="Calibri"/>
          <w:lang w:val="en-GB"/>
        </w:rPr>
        <w:t xml:space="preserve"> </w:t>
      </w:r>
      <w:r w:rsidR="005B70EC">
        <w:rPr>
          <w:rFonts w:ascii="Calibri" w:hAnsi="Calibri" w:cs="Calibri"/>
          <w:lang w:val="en-GB"/>
        </w:rPr>
        <w:t>‘</w:t>
      </w:r>
      <w:hyperlink r:id="rId59" w:history="1">
        <w:r w:rsidRPr="00E00969">
          <w:rPr>
            <w:rStyle w:val="Hyperlink"/>
            <w:rFonts w:ascii="Calibri" w:hAnsi="Calibri" w:cs="Calibri"/>
            <w:lang w:val="en-GB"/>
          </w:rPr>
          <w:t>Iron reproductive toxicity of marine rotifer sibling species: adaptation to temperate and tropical habitats</w:t>
        </w:r>
      </w:hyperlink>
      <w:r w:rsidR="005B70EC">
        <w:rPr>
          <w:rFonts w:ascii="Calibri" w:hAnsi="Calibri" w:cs="Calibri"/>
          <w:lang w:val="en-GB"/>
        </w:rPr>
        <w:t>’,</w:t>
      </w:r>
      <w:r w:rsidRPr="00EC7046">
        <w:rPr>
          <w:rFonts w:ascii="Calibri" w:hAnsi="Calibri" w:cs="Calibri"/>
          <w:lang w:val="en-GB"/>
        </w:rPr>
        <w:t xml:space="preserve"> </w:t>
      </w:r>
      <w:r w:rsidRPr="00EC7046">
        <w:rPr>
          <w:rFonts w:ascii="Calibri" w:hAnsi="Calibri" w:cs="Calibri"/>
          <w:i/>
          <w:iCs/>
          <w:lang w:val="en-GB"/>
        </w:rPr>
        <w:t>Aquatic Toxicology</w:t>
      </w:r>
      <w:r w:rsidRPr="00EC7046">
        <w:rPr>
          <w:rFonts w:ascii="Calibri" w:hAnsi="Calibri" w:cs="Calibri"/>
          <w:lang w:val="en-GB"/>
        </w:rPr>
        <w:t>, 246</w:t>
      </w:r>
      <w:r w:rsidR="005B70EC">
        <w:rPr>
          <w:rFonts w:ascii="Calibri" w:hAnsi="Calibri" w:cs="Calibri"/>
          <w:lang w:val="en-GB"/>
        </w:rPr>
        <w:t>:</w:t>
      </w:r>
      <w:r w:rsidRPr="00EC7046">
        <w:rPr>
          <w:rFonts w:ascii="Calibri" w:hAnsi="Calibri" w:cs="Calibri"/>
          <w:lang w:val="en-GB"/>
        </w:rPr>
        <w:t>106135</w:t>
      </w:r>
      <w:r w:rsidR="00E00969">
        <w:rPr>
          <w:rFonts w:ascii="Calibri" w:hAnsi="Calibri" w:cs="Calibri"/>
          <w:lang w:val="en-GB"/>
        </w:rPr>
        <w:t>, doi:</w:t>
      </w:r>
      <w:r w:rsidR="00E00969" w:rsidRPr="00E00969">
        <w:rPr>
          <w:rFonts w:ascii="Calibri" w:hAnsi="Calibri" w:cs="Calibri"/>
          <w:lang w:val="en-GB"/>
        </w:rPr>
        <w:t>10.1016/j.aquatox.2022.106135</w:t>
      </w:r>
      <w:r w:rsidRPr="00EC7046">
        <w:rPr>
          <w:rFonts w:ascii="Calibri" w:hAnsi="Calibri" w:cs="Calibri"/>
          <w:lang w:val="en-GB"/>
        </w:rPr>
        <w:t>.</w:t>
      </w:r>
    </w:p>
    <w:p w14:paraId="3D261F6E" w14:textId="6AEB43F5" w:rsidR="00E44065" w:rsidRPr="009232F5" w:rsidRDefault="00E44065" w:rsidP="00A44053">
      <w:r w:rsidRPr="009232F5">
        <w:t xml:space="preserve">Kadar E, Simmance F, Martin O, Voulvoulis N, Widdicombe S, Mitov S, Lead JR </w:t>
      </w:r>
      <w:r w:rsidR="006D7A6F">
        <w:t>and</w:t>
      </w:r>
      <w:r w:rsidRPr="009232F5">
        <w:t xml:space="preserve"> Readman JW </w:t>
      </w:r>
      <w:r w:rsidR="005B70EC">
        <w:t>(</w:t>
      </w:r>
      <w:r w:rsidRPr="009232F5">
        <w:t>2010</w:t>
      </w:r>
      <w:r w:rsidR="005B70EC">
        <w:t>)</w:t>
      </w:r>
      <w:r w:rsidRPr="009232F5">
        <w:t xml:space="preserve"> </w:t>
      </w:r>
      <w:r w:rsidR="005B70EC">
        <w:t>‘</w:t>
      </w:r>
      <w:hyperlink r:id="rId60" w:history="1">
        <w:r w:rsidRPr="00AF1F6B">
          <w:rPr>
            <w:rStyle w:val="Hyperlink"/>
          </w:rPr>
          <w:t>The influence of engineered Fe</w:t>
        </w:r>
        <w:r w:rsidRPr="00AF1F6B">
          <w:rPr>
            <w:rStyle w:val="Hyperlink"/>
            <w:vertAlign w:val="subscript"/>
          </w:rPr>
          <w:t>2</w:t>
        </w:r>
        <w:r w:rsidRPr="00AF1F6B">
          <w:rPr>
            <w:rStyle w:val="Hyperlink"/>
          </w:rPr>
          <w:t>O</w:t>
        </w:r>
        <w:r w:rsidRPr="00AF1F6B">
          <w:rPr>
            <w:rStyle w:val="Hyperlink"/>
            <w:vertAlign w:val="subscript"/>
          </w:rPr>
          <w:t>3</w:t>
        </w:r>
        <w:r w:rsidRPr="00AF1F6B">
          <w:rPr>
            <w:rStyle w:val="Hyperlink"/>
          </w:rPr>
          <w:t xml:space="preserve"> nanoparticles and soluble (FeCl</w:t>
        </w:r>
        <w:r w:rsidRPr="00AF1F6B">
          <w:rPr>
            <w:rStyle w:val="Hyperlink"/>
            <w:vertAlign w:val="subscript"/>
          </w:rPr>
          <w:t>3</w:t>
        </w:r>
        <w:r w:rsidRPr="00AF1F6B">
          <w:rPr>
            <w:rStyle w:val="Hyperlink"/>
          </w:rPr>
          <w:t>) iron on the developmental toxicity caused by CO</w:t>
        </w:r>
        <w:r w:rsidRPr="00AF1F6B">
          <w:rPr>
            <w:rStyle w:val="Hyperlink"/>
            <w:vertAlign w:val="subscript"/>
          </w:rPr>
          <w:t>2</w:t>
        </w:r>
        <w:r w:rsidRPr="00AF1F6B">
          <w:rPr>
            <w:rStyle w:val="Hyperlink"/>
          </w:rPr>
          <w:t>-induced seawater acidification</w:t>
        </w:r>
      </w:hyperlink>
      <w:r w:rsidR="005B70EC">
        <w:t>’,</w:t>
      </w:r>
      <w:r w:rsidRPr="009232F5">
        <w:t xml:space="preserve"> </w:t>
      </w:r>
      <w:r w:rsidRPr="00EF0809">
        <w:rPr>
          <w:rStyle w:val="Emphasis"/>
        </w:rPr>
        <w:t>Environmental Pollution</w:t>
      </w:r>
      <w:r w:rsidRPr="009232F5">
        <w:t>, 158</w:t>
      </w:r>
      <w:r w:rsidR="005B70EC">
        <w:t>:</w:t>
      </w:r>
      <w:r w:rsidRPr="009232F5">
        <w:t>3490</w:t>
      </w:r>
      <w:r>
        <w:t>–</w:t>
      </w:r>
      <w:r w:rsidRPr="009232F5">
        <w:t>3497</w:t>
      </w:r>
      <w:r w:rsidR="00AF1F6B">
        <w:t>, doi:</w:t>
      </w:r>
      <w:r w:rsidR="00AF1F6B" w:rsidRPr="00AF1F6B">
        <w:t>10.1016/j.envpol.2010.03.025</w:t>
      </w:r>
      <w:r w:rsidRPr="009232F5">
        <w:t>.</w:t>
      </w:r>
    </w:p>
    <w:p w14:paraId="7A908A1C" w14:textId="42F20095" w:rsidR="00E44065" w:rsidRPr="009232F5" w:rsidRDefault="00E44065" w:rsidP="00A44053">
      <w:r w:rsidRPr="009232F5">
        <w:t xml:space="preserve">Keller AA, Garner K, Miller RJ </w:t>
      </w:r>
      <w:r w:rsidR="006D7A6F">
        <w:t>and</w:t>
      </w:r>
      <w:r w:rsidRPr="009232F5">
        <w:t xml:space="preserve"> Lenihan HS </w:t>
      </w:r>
      <w:r w:rsidR="005B70EC">
        <w:t>(</w:t>
      </w:r>
      <w:r w:rsidRPr="009232F5">
        <w:t>2012</w:t>
      </w:r>
      <w:r w:rsidR="005B70EC">
        <w:t>)</w:t>
      </w:r>
      <w:r w:rsidRPr="009232F5">
        <w:t xml:space="preserve"> </w:t>
      </w:r>
      <w:r w:rsidR="005B70EC">
        <w:t>‘</w:t>
      </w:r>
      <w:hyperlink r:id="rId61" w:history="1">
        <w:r w:rsidRPr="000F5B37">
          <w:rPr>
            <w:rStyle w:val="Hyperlink"/>
          </w:rPr>
          <w:t>Toxicity of nano-zerovalent iron to freshwater and marine organisms</w:t>
        </w:r>
      </w:hyperlink>
      <w:r w:rsidR="005B70EC">
        <w:t>’,</w:t>
      </w:r>
      <w:r w:rsidRPr="009232F5">
        <w:t xml:space="preserve"> </w:t>
      </w:r>
      <w:r w:rsidRPr="00EF0809">
        <w:rPr>
          <w:rStyle w:val="Emphasis"/>
        </w:rPr>
        <w:t>PLoS ONE</w:t>
      </w:r>
      <w:r w:rsidRPr="009232F5">
        <w:t>, 7</w:t>
      </w:r>
      <w:r w:rsidR="005B70EC">
        <w:t>:</w:t>
      </w:r>
      <w:r w:rsidRPr="009232F5">
        <w:t>e43983</w:t>
      </w:r>
      <w:r w:rsidR="000F5B37">
        <w:t>, doi:</w:t>
      </w:r>
      <w:r w:rsidR="000F5B37" w:rsidRPr="000F5B37">
        <w:t>10.1371/journal.pone.0043983</w:t>
      </w:r>
      <w:r w:rsidRPr="009232F5">
        <w:t>.</w:t>
      </w:r>
    </w:p>
    <w:p w14:paraId="160F5B7F" w14:textId="65144D7B" w:rsidR="00E44065" w:rsidRPr="009232F5" w:rsidRDefault="00E44065" w:rsidP="00A44053">
      <w:r w:rsidRPr="009232F5">
        <w:t xml:space="preserve">Kuma K, Katsumoto A, Nishioka J </w:t>
      </w:r>
      <w:r w:rsidR="006D7A6F">
        <w:t>and</w:t>
      </w:r>
      <w:r w:rsidRPr="009232F5">
        <w:t xml:space="preserve"> Matsunaga K </w:t>
      </w:r>
      <w:r w:rsidR="005B70EC">
        <w:t>(</w:t>
      </w:r>
      <w:r w:rsidRPr="009232F5">
        <w:t>1998</w:t>
      </w:r>
      <w:r w:rsidR="005B70EC">
        <w:t>)</w:t>
      </w:r>
      <w:r w:rsidRPr="009232F5">
        <w:t xml:space="preserve"> </w:t>
      </w:r>
      <w:r w:rsidR="005B70EC">
        <w:t>‘</w:t>
      </w:r>
      <w:hyperlink r:id="rId62" w:history="1">
        <w:r w:rsidRPr="00802497">
          <w:rPr>
            <w:rStyle w:val="Hyperlink"/>
          </w:rPr>
          <w:t>Size-fractionated iron concentrations and Fe(III) hydroxide solubilities in various coastal waters</w:t>
        </w:r>
      </w:hyperlink>
      <w:r w:rsidR="005B70EC">
        <w:t>’,</w:t>
      </w:r>
      <w:r w:rsidRPr="009232F5">
        <w:t xml:space="preserve"> </w:t>
      </w:r>
      <w:r w:rsidRPr="00EF0809">
        <w:rPr>
          <w:rStyle w:val="Emphasis"/>
        </w:rPr>
        <w:t>Estuarine, Coastal and Shelf Science</w:t>
      </w:r>
      <w:r>
        <w:t>, 47</w:t>
      </w:r>
      <w:r w:rsidR="005B70EC">
        <w:t>:</w:t>
      </w:r>
      <w:r>
        <w:t>275–</w:t>
      </w:r>
      <w:r w:rsidRPr="009232F5">
        <w:t>283</w:t>
      </w:r>
      <w:r w:rsidR="00802497">
        <w:t>, doi:</w:t>
      </w:r>
      <w:r w:rsidR="00802497" w:rsidRPr="00802497">
        <w:t>10.1006/ecss.1998.0355</w:t>
      </w:r>
      <w:r w:rsidRPr="009232F5">
        <w:t>.</w:t>
      </w:r>
    </w:p>
    <w:p w14:paraId="6635CC42" w14:textId="3AE837D0" w:rsidR="00E44065" w:rsidRPr="009232F5" w:rsidRDefault="00E44065" w:rsidP="00A44053">
      <w:r w:rsidRPr="009232F5">
        <w:t xml:space="preserve">Leigh-Smith J, Reichelt-Brushett A </w:t>
      </w:r>
      <w:r w:rsidR="006D7A6F">
        <w:t>and</w:t>
      </w:r>
      <w:r w:rsidRPr="009232F5">
        <w:t xml:space="preserve"> Rose AL </w:t>
      </w:r>
      <w:r w:rsidR="005B70EC">
        <w:t>(</w:t>
      </w:r>
      <w:r w:rsidRPr="009232F5">
        <w:t>2018</w:t>
      </w:r>
      <w:r w:rsidR="005B70EC">
        <w:t>)</w:t>
      </w:r>
      <w:r w:rsidRPr="009232F5">
        <w:t xml:space="preserve"> </w:t>
      </w:r>
      <w:r w:rsidR="005B70EC">
        <w:t>‘</w:t>
      </w:r>
      <w:hyperlink r:id="rId63" w:history="1">
        <w:r w:rsidRPr="00802497">
          <w:rPr>
            <w:rStyle w:val="Hyperlink"/>
          </w:rPr>
          <w:t>The characterization of iron (III) in seawater and related toxicity to early life stages of scleractinian corals</w:t>
        </w:r>
      </w:hyperlink>
      <w:r w:rsidR="005B70EC">
        <w:t>’,</w:t>
      </w:r>
      <w:r w:rsidRPr="009232F5">
        <w:t xml:space="preserve"> </w:t>
      </w:r>
      <w:r w:rsidRPr="00EF0809">
        <w:rPr>
          <w:rStyle w:val="Emphasis"/>
        </w:rPr>
        <w:t>Environmental Toxicology and Chemistry</w:t>
      </w:r>
      <w:r>
        <w:t>, 37</w:t>
      </w:r>
      <w:r w:rsidR="005B70EC">
        <w:t>:</w:t>
      </w:r>
      <w:r>
        <w:t>1104–</w:t>
      </w:r>
      <w:r w:rsidRPr="009232F5">
        <w:t>1114</w:t>
      </w:r>
      <w:r w:rsidR="00802497">
        <w:t>, doi:</w:t>
      </w:r>
      <w:r w:rsidR="00802497" w:rsidRPr="00802497">
        <w:t>10.1002/etc.4043</w:t>
      </w:r>
      <w:r w:rsidRPr="009232F5">
        <w:t>.</w:t>
      </w:r>
    </w:p>
    <w:p w14:paraId="2BF767B2" w14:textId="77777777" w:rsidR="005A5156" w:rsidRDefault="005A5156" w:rsidP="005A5156">
      <w:pPr>
        <w:rPr>
          <w:rFonts w:cs="Calibri"/>
        </w:rPr>
      </w:pPr>
      <w:r>
        <w:rPr>
          <w:rFonts w:cs="Calibri"/>
        </w:rPr>
        <w:t>Liu X and Millero FJ (2002)</w:t>
      </w:r>
      <w:r w:rsidRPr="00AD09FF">
        <w:rPr>
          <w:rFonts w:cs="Calibri"/>
        </w:rPr>
        <w:t xml:space="preserve"> </w:t>
      </w:r>
      <w:r>
        <w:rPr>
          <w:rFonts w:cs="Calibri"/>
        </w:rPr>
        <w:t>‘</w:t>
      </w:r>
      <w:hyperlink r:id="rId64" w:history="1">
        <w:r w:rsidRPr="009764B5">
          <w:rPr>
            <w:rStyle w:val="Hyperlink"/>
            <w:rFonts w:cs="Calibri"/>
          </w:rPr>
          <w:t>The solubility of iron in seawater</w:t>
        </w:r>
      </w:hyperlink>
      <w:r>
        <w:rPr>
          <w:rFonts w:cs="Calibri"/>
        </w:rPr>
        <w:t>’,</w:t>
      </w:r>
      <w:r w:rsidRPr="00AD09FF">
        <w:rPr>
          <w:rFonts w:cs="Calibri"/>
        </w:rPr>
        <w:t xml:space="preserve"> </w:t>
      </w:r>
      <w:r w:rsidRPr="00360FC8">
        <w:rPr>
          <w:rFonts w:cs="Calibri"/>
          <w:i/>
          <w:iCs/>
        </w:rPr>
        <w:t>Marine Chemistry</w:t>
      </w:r>
      <w:r>
        <w:rPr>
          <w:rFonts w:cs="Calibri"/>
          <w:i/>
          <w:iCs/>
        </w:rPr>
        <w:t>,</w:t>
      </w:r>
      <w:r w:rsidRPr="00AD09FF">
        <w:rPr>
          <w:rFonts w:cs="Calibri"/>
        </w:rPr>
        <w:t xml:space="preserve"> 77</w:t>
      </w:r>
      <w:r>
        <w:rPr>
          <w:rFonts w:cs="Calibri"/>
        </w:rPr>
        <w:t>:</w:t>
      </w:r>
      <w:r w:rsidRPr="00AD09FF">
        <w:rPr>
          <w:rFonts w:cs="Calibri"/>
        </w:rPr>
        <w:t>43</w:t>
      </w:r>
      <w:r>
        <w:rPr>
          <w:rFonts w:cs="Calibri"/>
        </w:rPr>
        <w:t>–</w:t>
      </w:r>
      <w:r w:rsidRPr="00AD09FF">
        <w:rPr>
          <w:rFonts w:cs="Calibri"/>
        </w:rPr>
        <w:t>54</w:t>
      </w:r>
      <w:r>
        <w:rPr>
          <w:rFonts w:cs="Calibri"/>
        </w:rPr>
        <w:t>, doi:</w:t>
      </w:r>
      <w:r w:rsidRPr="009764B5">
        <w:rPr>
          <w:rFonts w:cs="Calibri"/>
        </w:rPr>
        <w:t>10.1016/S0304-4203(01)00074-3</w:t>
      </w:r>
      <w:r w:rsidRPr="00AD09FF">
        <w:rPr>
          <w:rFonts w:cs="Calibri"/>
        </w:rPr>
        <w:t>.</w:t>
      </w:r>
    </w:p>
    <w:p w14:paraId="02D6A4BE" w14:textId="490A16E1" w:rsidR="00E44065" w:rsidRPr="009232F5" w:rsidRDefault="00E44065" w:rsidP="00A44053">
      <w:r w:rsidRPr="009232F5">
        <w:t xml:space="preserve">Macdonald JM, Shields JD </w:t>
      </w:r>
      <w:r w:rsidR="006D7A6F">
        <w:t>and</w:t>
      </w:r>
      <w:r w:rsidRPr="009232F5">
        <w:t xml:space="preserve"> Zimmerfaust RK </w:t>
      </w:r>
      <w:r w:rsidR="005B70EC">
        <w:t>(</w:t>
      </w:r>
      <w:r w:rsidRPr="009232F5">
        <w:t>1988</w:t>
      </w:r>
      <w:r w:rsidR="005B70EC">
        <w:t>)</w:t>
      </w:r>
      <w:r w:rsidRPr="009232F5">
        <w:t xml:space="preserve"> </w:t>
      </w:r>
      <w:r w:rsidR="005B70EC">
        <w:t>‘</w:t>
      </w:r>
      <w:hyperlink r:id="rId65" w:history="1">
        <w:r w:rsidRPr="00C57F0E">
          <w:rPr>
            <w:rStyle w:val="Hyperlink"/>
          </w:rPr>
          <w:t xml:space="preserve">Acute toxicities of 11 metals to early life-history stages of the yellow crab </w:t>
        </w:r>
        <w:r w:rsidRPr="00C57F0E">
          <w:rPr>
            <w:rStyle w:val="Hyperlink"/>
            <w:i/>
            <w:iCs/>
          </w:rPr>
          <w:t>Cancer anthonyi</w:t>
        </w:r>
      </w:hyperlink>
      <w:r w:rsidR="005B70EC">
        <w:rPr>
          <w:rStyle w:val="Emphasis"/>
        </w:rPr>
        <w:t>’,</w:t>
      </w:r>
      <w:r w:rsidRPr="00EF0809">
        <w:rPr>
          <w:rStyle w:val="Emphasis"/>
        </w:rPr>
        <w:t xml:space="preserve"> Marine Biology</w:t>
      </w:r>
      <w:r>
        <w:t>, 98,</w:t>
      </w:r>
      <w:r w:rsidR="005B70EC">
        <w:t>:</w:t>
      </w:r>
      <w:r>
        <w:t>201–</w:t>
      </w:r>
      <w:r w:rsidRPr="009232F5">
        <w:t>207</w:t>
      </w:r>
      <w:r w:rsidR="00C57F0E">
        <w:t>, doi:</w:t>
      </w:r>
      <w:r w:rsidR="00C57F0E" w:rsidRPr="00C57F0E">
        <w:t>10.1007/BF00391195</w:t>
      </w:r>
      <w:r w:rsidRPr="009232F5">
        <w:t>.</w:t>
      </w:r>
    </w:p>
    <w:p w14:paraId="1A9F27F5" w14:textId="77777777" w:rsidR="00362B99" w:rsidRDefault="00362B99" w:rsidP="00362B99">
      <w:r w:rsidRPr="00D57259">
        <w:t xml:space="preserve">Markich SJ (2021) </w:t>
      </w:r>
      <w:r>
        <w:t>‘</w:t>
      </w:r>
      <w:hyperlink r:id="rId66" w:history="1">
        <w:r w:rsidRPr="00B35895">
          <w:rPr>
            <w:rStyle w:val="Hyperlink"/>
          </w:rPr>
          <w:t>Comparative embryo/larval sensitivity of Australian marine bivalves to ten metals: a disjunct between physiology and phylogeny</w:t>
        </w:r>
      </w:hyperlink>
      <w:r>
        <w:t>’,</w:t>
      </w:r>
      <w:r w:rsidRPr="00D57259">
        <w:t xml:space="preserve"> </w:t>
      </w:r>
      <w:r w:rsidRPr="00256C9C">
        <w:rPr>
          <w:i/>
          <w:iCs/>
        </w:rPr>
        <w:t>Science of the Total Environment</w:t>
      </w:r>
      <w:r w:rsidRPr="00D57259">
        <w:t>, 789</w:t>
      </w:r>
      <w:r>
        <w:t>:</w:t>
      </w:r>
      <w:r w:rsidRPr="00D57259">
        <w:t>1479858</w:t>
      </w:r>
      <w:r>
        <w:t>, doi:</w:t>
      </w:r>
      <w:r w:rsidRPr="00B35895">
        <w:t>10.1016/j.scitotenv.2021.147988</w:t>
      </w:r>
      <w:r w:rsidRPr="00D57259">
        <w:t>.</w:t>
      </w:r>
    </w:p>
    <w:p w14:paraId="7DB3F6A1" w14:textId="77777777" w:rsidR="000554CB" w:rsidRDefault="000554CB" w:rsidP="000554CB">
      <w:pPr>
        <w:rPr>
          <w:rFonts w:cs="Arial"/>
        </w:rPr>
      </w:pPr>
      <w:r w:rsidRPr="00BE3CB9">
        <w:rPr>
          <w:rFonts w:cs="Arial"/>
        </w:rPr>
        <w:t>Markich SJ, Brown PR, Bat</w:t>
      </w:r>
      <w:r>
        <w:rPr>
          <w:rFonts w:cs="Arial"/>
        </w:rPr>
        <w:t>ley GE, Apte SC and Stauber JL (2001)</w:t>
      </w:r>
      <w:r w:rsidRPr="00BE3CB9">
        <w:rPr>
          <w:rFonts w:cs="Arial"/>
        </w:rPr>
        <w:t xml:space="preserve"> </w:t>
      </w:r>
      <w:r>
        <w:rPr>
          <w:rFonts w:cs="Arial"/>
        </w:rPr>
        <w:t>‘</w:t>
      </w:r>
      <w:r w:rsidRPr="00BE3CB9">
        <w:rPr>
          <w:rFonts w:cs="Arial"/>
        </w:rPr>
        <w:t>Incorporation of metal speciation and bioavailability into water quality guidelines for protecting aquatic ecosystems</w:t>
      </w:r>
      <w:r>
        <w:rPr>
          <w:rFonts w:cs="Arial"/>
        </w:rPr>
        <w:t>’,</w:t>
      </w:r>
      <w:r w:rsidRPr="00BE3CB9">
        <w:rPr>
          <w:rFonts w:cs="Arial"/>
        </w:rPr>
        <w:t xml:space="preserve"> </w:t>
      </w:r>
      <w:r w:rsidRPr="00360FC8">
        <w:rPr>
          <w:rFonts w:cs="Arial"/>
          <w:i/>
        </w:rPr>
        <w:t>Australasian Journal of Ecotoxicology</w:t>
      </w:r>
      <w:r w:rsidRPr="00BE3CB9">
        <w:rPr>
          <w:rFonts w:cs="Arial"/>
        </w:rPr>
        <w:t xml:space="preserve"> 7</w:t>
      </w:r>
      <w:r>
        <w:rPr>
          <w:rFonts w:cs="Arial"/>
        </w:rPr>
        <w:t>:</w:t>
      </w:r>
      <w:r w:rsidRPr="00BE3CB9">
        <w:rPr>
          <w:rFonts w:cs="Arial"/>
        </w:rPr>
        <w:t>109</w:t>
      </w:r>
      <w:r>
        <w:rPr>
          <w:rFonts w:cs="Arial"/>
        </w:rPr>
        <w:t>–</w:t>
      </w:r>
      <w:r w:rsidRPr="00BE3CB9">
        <w:rPr>
          <w:rFonts w:cs="Arial"/>
        </w:rPr>
        <w:t>122.</w:t>
      </w:r>
    </w:p>
    <w:p w14:paraId="254A0FC7" w14:textId="77777777" w:rsidR="00066C92" w:rsidRDefault="00066C92" w:rsidP="00066C92">
      <w:r>
        <w:t xml:space="preserve">Markich SJ, Warne M, Westbury AM and Roberts C (2002) ‘A compilation of data on the toxicity of chemicals to species in Australasia. Part 3: metals’, </w:t>
      </w:r>
      <w:r w:rsidRPr="00AB6474">
        <w:rPr>
          <w:rStyle w:val="Emphasis"/>
        </w:rPr>
        <w:t>Australasian Journal of Ecotoxicology</w:t>
      </w:r>
      <w:r>
        <w:t>, 8:1–72.</w:t>
      </w:r>
    </w:p>
    <w:p w14:paraId="16BA8EB2" w14:textId="77777777" w:rsidR="00DF218F" w:rsidRPr="000164C0" w:rsidRDefault="00DF218F" w:rsidP="00DF218F">
      <w:r w:rsidRPr="000164C0">
        <w:lastRenderedPageBreak/>
        <w:t>Norman L, Cabanes DJE, Blanco-Ameijeiras</w:t>
      </w:r>
      <w:r>
        <w:t xml:space="preserve"> S, Moisset SAM and Hassler CS (2014)</w:t>
      </w:r>
      <w:r w:rsidRPr="000164C0">
        <w:t xml:space="preserve"> </w:t>
      </w:r>
      <w:r>
        <w:t>‘</w:t>
      </w:r>
      <w:hyperlink r:id="rId67" w:history="1">
        <w:r w:rsidRPr="00937F75">
          <w:rPr>
            <w:rStyle w:val="Hyperlink"/>
          </w:rPr>
          <w:t>Iron biogeochemistry in aquatic systems: from source to bioavailability</w:t>
        </w:r>
      </w:hyperlink>
      <w:r>
        <w:t>’,</w:t>
      </w:r>
      <w:r w:rsidRPr="000164C0">
        <w:t xml:space="preserve"> </w:t>
      </w:r>
      <w:r w:rsidRPr="000164C0">
        <w:rPr>
          <w:i/>
          <w:iCs/>
        </w:rPr>
        <w:t>Chimia</w:t>
      </w:r>
      <w:r w:rsidRPr="000164C0">
        <w:t>, 68</w:t>
      </w:r>
      <w:r>
        <w:t>:</w:t>
      </w:r>
      <w:r w:rsidRPr="000164C0">
        <w:t>764</w:t>
      </w:r>
      <w:r>
        <w:t>–</w:t>
      </w:r>
      <w:r w:rsidRPr="000164C0">
        <w:t>771</w:t>
      </w:r>
      <w:r>
        <w:t>, doi:</w:t>
      </w:r>
      <w:r w:rsidRPr="00937F75">
        <w:t>10.2533/chimia.2014.764</w:t>
      </w:r>
      <w:r w:rsidRPr="000164C0">
        <w:t>.</w:t>
      </w:r>
    </w:p>
    <w:p w14:paraId="4A73AB4C" w14:textId="5D69C092" w:rsidR="00E44065" w:rsidRPr="009232F5" w:rsidRDefault="00E44065" w:rsidP="00A44053">
      <w:r w:rsidRPr="009232F5">
        <w:t xml:space="preserve">Pagano G, His E, Beiras R, DeBiase A, Korkina LG, Iaccarino M, Oral R, Quiniou F, Warnau M </w:t>
      </w:r>
      <w:r w:rsidR="006D7A6F">
        <w:t>and</w:t>
      </w:r>
      <w:r w:rsidRPr="009232F5">
        <w:t xml:space="preserve"> Trieff NM </w:t>
      </w:r>
      <w:r w:rsidR="00066C92">
        <w:t>(</w:t>
      </w:r>
      <w:r w:rsidRPr="009232F5">
        <w:t>1996</w:t>
      </w:r>
      <w:r w:rsidR="00066C92">
        <w:t>)</w:t>
      </w:r>
      <w:r w:rsidRPr="009232F5">
        <w:t xml:space="preserve"> </w:t>
      </w:r>
      <w:r w:rsidR="008113F4">
        <w:t>‘</w:t>
      </w:r>
      <w:hyperlink r:id="rId68" w:history="1">
        <w:r w:rsidRPr="008113F4">
          <w:rPr>
            <w:rStyle w:val="Hyperlink"/>
          </w:rPr>
          <w:t>Cytogenetic, developmental, and biochemical effects of aluminum, iron, and their mixture in sea urchins and mussels</w:t>
        </w:r>
      </w:hyperlink>
      <w:r w:rsidR="00066C92">
        <w:t>’,</w:t>
      </w:r>
      <w:r w:rsidRPr="009232F5">
        <w:t xml:space="preserve"> </w:t>
      </w:r>
      <w:r w:rsidRPr="00EF0809">
        <w:rPr>
          <w:rStyle w:val="Emphasis"/>
        </w:rPr>
        <w:t>Archives of Environmental Contamination and Toxicology</w:t>
      </w:r>
      <w:r>
        <w:t>, 31</w:t>
      </w:r>
      <w:r w:rsidR="00066C92">
        <w:t>:</w:t>
      </w:r>
      <w:r>
        <w:t>466–</w:t>
      </w:r>
      <w:r w:rsidRPr="009232F5">
        <w:t>474</w:t>
      </w:r>
      <w:r w:rsidR="008113F4">
        <w:t>, doi:</w:t>
      </w:r>
      <w:r w:rsidR="008113F4" w:rsidRPr="008113F4">
        <w:t>10.1007/bf00212429</w:t>
      </w:r>
      <w:r w:rsidRPr="009232F5">
        <w:t>.</w:t>
      </w:r>
    </w:p>
    <w:p w14:paraId="7AD8641A" w14:textId="77777777" w:rsidR="008B13E4" w:rsidRPr="0067628B" w:rsidRDefault="008B13E4" w:rsidP="008B13E4">
      <w:pPr>
        <w:rPr>
          <w:rFonts w:cs="Calibri"/>
        </w:rPr>
      </w:pPr>
      <w:r w:rsidRPr="00A40001">
        <w:rPr>
          <w:rFonts w:cs="Calibri"/>
        </w:rPr>
        <w:t xml:space="preserve">Phippen BW, Horvath C, Nordin R </w:t>
      </w:r>
      <w:r>
        <w:rPr>
          <w:rFonts w:cs="Calibri"/>
        </w:rPr>
        <w:t>and</w:t>
      </w:r>
      <w:r w:rsidRPr="00A40001">
        <w:rPr>
          <w:rFonts w:cs="Calibri"/>
        </w:rPr>
        <w:t xml:space="preserve"> Nagpal N </w:t>
      </w:r>
      <w:r>
        <w:rPr>
          <w:rFonts w:cs="Calibri"/>
        </w:rPr>
        <w:t>(</w:t>
      </w:r>
      <w:r w:rsidRPr="00A40001">
        <w:rPr>
          <w:rFonts w:cs="Calibri"/>
        </w:rPr>
        <w:t>2008</w:t>
      </w:r>
      <w:r>
        <w:rPr>
          <w:rFonts w:cs="Calibri"/>
        </w:rPr>
        <w:t>)</w:t>
      </w:r>
      <w:r w:rsidRPr="00A40001">
        <w:rPr>
          <w:rFonts w:cs="Calibri"/>
        </w:rPr>
        <w:t xml:space="preserve"> </w:t>
      </w:r>
      <w:hyperlink r:id="rId69" w:history="1">
        <w:r w:rsidRPr="00554C61">
          <w:rPr>
            <w:rStyle w:val="Hyperlink"/>
            <w:i/>
            <w:iCs/>
          </w:rPr>
          <w:t>Ambient water quality guidelines for iro</w:t>
        </w:r>
        <w:r>
          <w:rPr>
            <w:rStyle w:val="Hyperlink"/>
            <w:rFonts w:cs="Calibri"/>
            <w:i/>
            <w:iCs/>
          </w:rPr>
          <w:t xml:space="preserve">n </w:t>
        </w:r>
        <w:r w:rsidRPr="00554C61">
          <w:rPr>
            <w:rStyle w:val="Hyperlink"/>
            <w:rFonts w:cs="Calibri"/>
          </w:rPr>
          <w:t>[PDF 250 KB]</w:t>
        </w:r>
      </w:hyperlink>
      <w:r>
        <w:rPr>
          <w:rFonts w:cs="Calibri"/>
        </w:rPr>
        <w:t>,</w:t>
      </w:r>
      <w:r w:rsidRPr="00A40001">
        <w:rPr>
          <w:rFonts w:cs="Calibri"/>
        </w:rPr>
        <w:t xml:space="preserve"> </w:t>
      </w:r>
      <w:r>
        <w:rPr>
          <w:rFonts w:cs="Calibri"/>
        </w:rPr>
        <w:t>p</w:t>
      </w:r>
      <w:r w:rsidRPr="00A40001">
        <w:rPr>
          <w:rFonts w:cs="Calibri"/>
        </w:rPr>
        <w:t>repared for Science and Information Branch</w:t>
      </w:r>
      <w:r>
        <w:rPr>
          <w:rFonts w:cs="Calibri"/>
        </w:rPr>
        <w:t>,</w:t>
      </w:r>
      <w:r w:rsidRPr="00A40001">
        <w:rPr>
          <w:rFonts w:cs="Calibri"/>
        </w:rPr>
        <w:t xml:space="preserve"> Water Stewardship Division</w:t>
      </w:r>
      <w:r>
        <w:rPr>
          <w:rFonts w:cs="Calibri"/>
        </w:rPr>
        <w:t>,</w:t>
      </w:r>
      <w:r w:rsidRPr="00A40001">
        <w:rPr>
          <w:rFonts w:cs="Calibri"/>
        </w:rPr>
        <w:t xml:space="preserve"> Ministry of Environment</w:t>
      </w:r>
      <w:r>
        <w:rPr>
          <w:rFonts w:cs="Calibri"/>
        </w:rPr>
        <w:t xml:space="preserve">, </w:t>
      </w:r>
      <w:r w:rsidRPr="00A40001">
        <w:rPr>
          <w:rFonts w:cs="Calibri"/>
        </w:rPr>
        <w:t>Province of British Columbia.</w:t>
      </w:r>
    </w:p>
    <w:p w14:paraId="5FA43E73" w14:textId="77777777" w:rsidR="00004D43" w:rsidRDefault="00004D43" w:rsidP="00004D43">
      <w:pPr>
        <w:rPr>
          <w:color w:val="000000" w:themeColor="text1"/>
        </w:rPr>
      </w:pPr>
      <w:r>
        <w:rPr>
          <w:rFonts w:cs="Times New Roman"/>
          <w:color w:val="000000" w:themeColor="text1"/>
        </w:rPr>
        <w:t>Rai D, Eary LE and Zachara JM (1989)</w:t>
      </w:r>
      <w:r w:rsidRPr="00AD09FF">
        <w:rPr>
          <w:rFonts w:cs="Times New Roman"/>
          <w:color w:val="000000" w:themeColor="text1"/>
        </w:rPr>
        <w:t xml:space="preserve"> </w:t>
      </w:r>
      <w:r>
        <w:rPr>
          <w:rFonts w:cs="Times New Roman"/>
          <w:color w:val="000000" w:themeColor="text1"/>
        </w:rPr>
        <w:t>‘</w:t>
      </w:r>
      <w:hyperlink r:id="rId70" w:history="1">
        <w:r w:rsidRPr="00A95B6A">
          <w:rPr>
            <w:rStyle w:val="Hyperlink"/>
            <w:rFonts w:cs="Times New Roman"/>
          </w:rPr>
          <w:t>Environmental chemistry of chromium</w:t>
        </w:r>
      </w:hyperlink>
      <w:r>
        <w:rPr>
          <w:rFonts w:cs="Times New Roman"/>
          <w:color w:val="000000" w:themeColor="text1"/>
        </w:rPr>
        <w:t>’,</w:t>
      </w:r>
      <w:r w:rsidRPr="00AD09FF">
        <w:rPr>
          <w:rFonts w:cs="Times New Roman"/>
          <w:color w:val="000000" w:themeColor="text1"/>
        </w:rPr>
        <w:t xml:space="preserve"> </w:t>
      </w:r>
      <w:r w:rsidRPr="00360FC8">
        <w:rPr>
          <w:rFonts w:cs="Times New Roman"/>
          <w:i/>
          <w:color w:val="000000" w:themeColor="text1"/>
        </w:rPr>
        <w:t>Science of the Total Environment</w:t>
      </w:r>
      <w:r>
        <w:rPr>
          <w:rFonts w:cs="Times New Roman"/>
          <w:i/>
          <w:color w:val="000000" w:themeColor="text1"/>
        </w:rPr>
        <w:t>,</w:t>
      </w:r>
      <w:r>
        <w:rPr>
          <w:rFonts w:cs="Times New Roman"/>
          <w:color w:val="000000" w:themeColor="text1"/>
        </w:rPr>
        <w:t xml:space="preserve"> </w:t>
      </w:r>
      <w:r w:rsidRPr="00AD09FF">
        <w:rPr>
          <w:rFonts w:cs="Times New Roman"/>
          <w:color w:val="000000" w:themeColor="text1"/>
        </w:rPr>
        <w:t>86</w:t>
      </w:r>
      <w:r>
        <w:rPr>
          <w:rFonts w:cs="Times New Roman"/>
          <w:color w:val="000000" w:themeColor="text1"/>
        </w:rPr>
        <w:t>:</w:t>
      </w:r>
      <w:r w:rsidRPr="00AD09FF">
        <w:rPr>
          <w:rFonts w:cs="Times New Roman"/>
          <w:color w:val="000000" w:themeColor="text1"/>
        </w:rPr>
        <w:t>15</w:t>
      </w:r>
      <w:r>
        <w:rPr>
          <w:rFonts w:cs="Times New Roman"/>
          <w:color w:val="000000" w:themeColor="text1"/>
        </w:rPr>
        <w:t>–</w:t>
      </w:r>
      <w:r w:rsidRPr="00AD09FF">
        <w:rPr>
          <w:rFonts w:cs="Times New Roman"/>
          <w:color w:val="000000" w:themeColor="text1"/>
        </w:rPr>
        <w:t>23</w:t>
      </w:r>
      <w:r>
        <w:rPr>
          <w:rFonts w:cs="Times New Roman"/>
          <w:color w:val="000000" w:themeColor="text1"/>
        </w:rPr>
        <w:t>, doi:</w:t>
      </w:r>
      <w:r w:rsidRPr="00A95B6A">
        <w:rPr>
          <w:rFonts w:cs="Times New Roman"/>
          <w:color w:val="000000" w:themeColor="text1"/>
        </w:rPr>
        <w:t>10.1016/0048-9697(89)90189-7</w:t>
      </w:r>
      <w:r w:rsidRPr="00AD09FF">
        <w:rPr>
          <w:rFonts w:cs="Times New Roman"/>
          <w:color w:val="000000" w:themeColor="text1"/>
        </w:rPr>
        <w:t>.</w:t>
      </w:r>
    </w:p>
    <w:p w14:paraId="18E896F8" w14:textId="7D1A59CC" w:rsidR="00E44065" w:rsidRPr="009232F5" w:rsidRDefault="00E44065" w:rsidP="00B74454">
      <w:r>
        <w:t xml:space="preserve">Rodriguez PH, Arbildua JJ, Villavicencio G, Urrestarazu P, Opazo M, Cardwell AS, Stubblefield W, Nordheim E </w:t>
      </w:r>
      <w:r w:rsidR="006D7A6F">
        <w:t>and</w:t>
      </w:r>
      <w:r>
        <w:t xml:space="preserve"> Adams W </w:t>
      </w:r>
      <w:r w:rsidR="000F3421">
        <w:t>(</w:t>
      </w:r>
      <w:r>
        <w:t>2019</w:t>
      </w:r>
      <w:r w:rsidR="000F3421">
        <w:t>)</w:t>
      </w:r>
      <w:r>
        <w:t xml:space="preserve"> </w:t>
      </w:r>
      <w:r w:rsidR="000F3421">
        <w:t>‘</w:t>
      </w:r>
      <w:hyperlink r:id="rId71" w:history="1">
        <w:r w:rsidR="00252526" w:rsidRPr="00A75662">
          <w:rPr>
            <w:rStyle w:val="Hyperlink"/>
          </w:rPr>
          <w:t xml:space="preserve">Determination </w:t>
        </w:r>
        <w:r w:rsidR="0076600F" w:rsidRPr="00A75662">
          <w:rPr>
            <w:rStyle w:val="Hyperlink"/>
          </w:rPr>
          <w:t>of bioavailable aluminium in natural waters in the presence of suspended solids</w:t>
        </w:r>
      </w:hyperlink>
      <w:r w:rsidR="000F3421">
        <w:t>’,</w:t>
      </w:r>
      <w:r>
        <w:t xml:space="preserve"> </w:t>
      </w:r>
      <w:r w:rsidRPr="00D32FA1">
        <w:rPr>
          <w:rStyle w:val="Emphasis"/>
        </w:rPr>
        <w:t>Environmental Toxicology and Chemistry</w:t>
      </w:r>
      <w:r>
        <w:t>, 38</w:t>
      </w:r>
      <w:r w:rsidR="000F3421">
        <w:t>:</w:t>
      </w:r>
      <w:r>
        <w:t>1668–1681</w:t>
      </w:r>
      <w:r w:rsidR="00A75662">
        <w:t>, doi:</w:t>
      </w:r>
      <w:r w:rsidR="00A75662" w:rsidRPr="00A75662">
        <w:t>10.1002/etc.4448</w:t>
      </w:r>
      <w:r>
        <w:t>.</w:t>
      </w:r>
    </w:p>
    <w:p w14:paraId="3F28C347" w14:textId="77777777" w:rsidR="00FE1CAC" w:rsidRDefault="00FE1CAC" w:rsidP="00FE1CAC">
      <w:r>
        <w:t xml:space="preserve">Stumm W and Morgan JJ (1996) </w:t>
      </w:r>
      <w:r w:rsidRPr="00345495">
        <w:rPr>
          <w:i/>
          <w:iCs/>
        </w:rPr>
        <w:t xml:space="preserve">Aquatic chemistry: </w:t>
      </w:r>
      <w:r>
        <w:rPr>
          <w:i/>
          <w:iCs/>
        </w:rPr>
        <w:t>c</w:t>
      </w:r>
      <w:r w:rsidRPr="00345495">
        <w:rPr>
          <w:i/>
          <w:iCs/>
        </w:rPr>
        <w:t>hemical equilibria and rates in natural waters</w:t>
      </w:r>
      <w:r>
        <w:t>, Wiley, New York.</w:t>
      </w:r>
    </w:p>
    <w:p w14:paraId="3B33C612" w14:textId="45F52794" w:rsidR="00F16E8B" w:rsidRDefault="00F16E8B" w:rsidP="00F16E8B">
      <w:pPr>
        <w:rPr>
          <w:lang w:eastAsia="en-AU"/>
        </w:rPr>
      </w:pPr>
      <w:r w:rsidRPr="00EF77E9">
        <w:rPr>
          <w:lang w:eastAsia="en-AU"/>
        </w:rPr>
        <w:t>US</w:t>
      </w:r>
      <w:r>
        <w:rPr>
          <w:lang w:eastAsia="en-AU"/>
        </w:rPr>
        <w:t xml:space="preserve"> EPA </w:t>
      </w:r>
      <w:r w:rsidR="00D07CCA">
        <w:rPr>
          <w:rFonts w:cs="Calibri"/>
        </w:rPr>
        <w:t>(</w:t>
      </w:r>
      <w:r w:rsidR="00D07CCA" w:rsidRPr="0067628B">
        <w:rPr>
          <w:rFonts w:cs="Calibri"/>
        </w:rPr>
        <w:t>U</w:t>
      </w:r>
      <w:r w:rsidR="00D07CCA">
        <w:rPr>
          <w:rFonts w:cs="Calibri"/>
        </w:rPr>
        <w:t xml:space="preserve">nited </w:t>
      </w:r>
      <w:r w:rsidR="00D07CCA" w:rsidRPr="0067628B">
        <w:rPr>
          <w:rFonts w:cs="Calibri"/>
        </w:rPr>
        <w:t>S</w:t>
      </w:r>
      <w:r w:rsidR="00D07CCA">
        <w:rPr>
          <w:rFonts w:cs="Calibri"/>
        </w:rPr>
        <w:t>tates</w:t>
      </w:r>
      <w:r w:rsidR="00D07CCA" w:rsidRPr="0067628B">
        <w:rPr>
          <w:rFonts w:cs="Calibri"/>
        </w:rPr>
        <w:t xml:space="preserve"> Environmental Protection Agency</w:t>
      </w:r>
      <w:r w:rsidR="00D07CCA">
        <w:rPr>
          <w:rFonts w:cs="Calibri"/>
        </w:rPr>
        <w:t xml:space="preserve">) </w:t>
      </w:r>
      <w:r>
        <w:rPr>
          <w:lang w:eastAsia="en-AU"/>
        </w:rPr>
        <w:t>(1991)</w:t>
      </w:r>
      <w:r w:rsidRPr="00EF77E9">
        <w:rPr>
          <w:lang w:eastAsia="en-AU"/>
        </w:rPr>
        <w:t xml:space="preserve"> </w:t>
      </w:r>
      <w:r w:rsidRPr="00554C61">
        <w:rPr>
          <w:i/>
          <w:iCs/>
          <w:lang w:eastAsia="en-AU"/>
        </w:rPr>
        <w:t xml:space="preserve">Method 200.1 – </w:t>
      </w:r>
      <w:r>
        <w:rPr>
          <w:i/>
          <w:iCs/>
          <w:lang w:eastAsia="en-AU"/>
        </w:rPr>
        <w:t>d</w:t>
      </w:r>
      <w:r w:rsidRPr="00554C61">
        <w:rPr>
          <w:i/>
          <w:iCs/>
          <w:lang w:eastAsia="en-AU"/>
        </w:rPr>
        <w:t>etermination of acid</w:t>
      </w:r>
      <w:r>
        <w:rPr>
          <w:rFonts w:eastAsia="AdvTT181ea94d.I+20"/>
          <w:i/>
          <w:iCs/>
          <w:lang w:eastAsia="en-AU"/>
        </w:rPr>
        <w:t>-</w:t>
      </w:r>
      <w:r w:rsidRPr="00554C61">
        <w:rPr>
          <w:i/>
          <w:iCs/>
          <w:lang w:eastAsia="en-AU"/>
        </w:rPr>
        <w:t>soluble metals</w:t>
      </w:r>
      <w:r>
        <w:rPr>
          <w:lang w:eastAsia="en-AU"/>
        </w:rPr>
        <w:t>,</w:t>
      </w:r>
      <w:r w:rsidRPr="00EF77E9">
        <w:rPr>
          <w:lang w:eastAsia="en-AU"/>
        </w:rPr>
        <w:t xml:space="preserve"> </w:t>
      </w:r>
      <w:r>
        <w:rPr>
          <w:lang w:eastAsia="en-AU"/>
        </w:rPr>
        <w:t xml:space="preserve">US EPA Report No. </w:t>
      </w:r>
      <w:r w:rsidRPr="00EF77E9">
        <w:rPr>
          <w:lang w:eastAsia="en-AU"/>
        </w:rPr>
        <w:t>EPA/600/4</w:t>
      </w:r>
      <w:r w:rsidRPr="00EF77E9">
        <w:rPr>
          <w:rFonts w:eastAsia="AdvTTad02f5c0+20"/>
          <w:lang w:eastAsia="en-AU"/>
        </w:rPr>
        <w:t>‐</w:t>
      </w:r>
      <w:r w:rsidRPr="00EF77E9">
        <w:rPr>
          <w:lang w:eastAsia="en-AU"/>
        </w:rPr>
        <w:t>91/010</w:t>
      </w:r>
      <w:r>
        <w:rPr>
          <w:lang w:eastAsia="en-AU"/>
        </w:rPr>
        <w:t xml:space="preserve">, </w:t>
      </w:r>
      <w:r w:rsidRPr="00EF77E9">
        <w:rPr>
          <w:lang w:eastAsia="en-AU"/>
        </w:rPr>
        <w:t>Cincinnati.</w:t>
      </w:r>
    </w:p>
    <w:p w14:paraId="2ED298BC" w14:textId="77777777" w:rsidR="00125820" w:rsidRPr="00115895" w:rsidRDefault="00125820" w:rsidP="00125820">
      <w:r w:rsidRPr="00115895">
        <w:t>US</w:t>
      </w:r>
      <w:r>
        <w:t xml:space="preserve"> </w:t>
      </w:r>
      <w:r w:rsidRPr="00115895">
        <w:t>EPA</w:t>
      </w:r>
      <w:r>
        <w:t xml:space="preserve"> (</w:t>
      </w:r>
      <w:r w:rsidRPr="00115895">
        <w:t>1994</w:t>
      </w:r>
      <w:r>
        <w:t>)</w:t>
      </w:r>
      <w:r w:rsidRPr="00115895">
        <w:t xml:space="preserve"> </w:t>
      </w:r>
      <w:hyperlink r:id="rId72" w:history="1">
        <w:r w:rsidRPr="00554C61">
          <w:rPr>
            <w:rStyle w:val="Hyperlink"/>
            <w:i/>
          </w:rPr>
          <w:t xml:space="preserve">Method 200.8: </w:t>
        </w:r>
        <w:r w:rsidRPr="00AF33B7">
          <w:rPr>
            <w:rStyle w:val="Hyperlink"/>
            <w:i/>
          </w:rPr>
          <w:t>d</w:t>
        </w:r>
        <w:r w:rsidRPr="00554C61">
          <w:rPr>
            <w:rStyle w:val="Hyperlink"/>
            <w:i/>
          </w:rPr>
          <w:t xml:space="preserve">etermination of </w:t>
        </w:r>
        <w:r w:rsidRPr="00AF33B7">
          <w:rPr>
            <w:rStyle w:val="Hyperlink"/>
            <w:i/>
          </w:rPr>
          <w:t>t</w:t>
        </w:r>
        <w:r w:rsidRPr="00554C61">
          <w:rPr>
            <w:rStyle w:val="Hyperlink"/>
            <w:i/>
          </w:rPr>
          <w:t xml:space="preserve">race </w:t>
        </w:r>
        <w:r w:rsidRPr="00AF33B7">
          <w:rPr>
            <w:rStyle w:val="Hyperlink"/>
            <w:i/>
          </w:rPr>
          <w:t>e</w:t>
        </w:r>
        <w:r w:rsidRPr="00554C61">
          <w:rPr>
            <w:rStyle w:val="Hyperlink"/>
            <w:i/>
          </w:rPr>
          <w:t xml:space="preserve">lements in </w:t>
        </w:r>
        <w:r w:rsidRPr="00AF33B7">
          <w:rPr>
            <w:rStyle w:val="Hyperlink"/>
            <w:i/>
          </w:rPr>
          <w:t>w</w:t>
        </w:r>
        <w:r w:rsidRPr="00554C61">
          <w:rPr>
            <w:rStyle w:val="Hyperlink"/>
            <w:i/>
          </w:rPr>
          <w:t xml:space="preserve">aters and </w:t>
        </w:r>
        <w:r w:rsidRPr="00AF33B7">
          <w:rPr>
            <w:rStyle w:val="Hyperlink"/>
            <w:i/>
          </w:rPr>
          <w:t>w</w:t>
        </w:r>
        <w:r w:rsidRPr="00554C61">
          <w:rPr>
            <w:rStyle w:val="Hyperlink"/>
            <w:i/>
          </w:rPr>
          <w:t xml:space="preserve">astes by </w:t>
        </w:r>
        <w:r w:rsidRPr="00AF33B7">
          <w:rPr>
            <w:rStyle w:val="Hyperlink"/>
            <w:i/>
          </w:rPr>
          <w:t>i</w:t>
        </w:r>
        <w:r w:rsidRPr="00554C61">
          <w:rPr>
            <w:rStyle w:val="Hyperlink"/>
            <w:i/>
          </w:rPr>
          <w:t xml:space="preserve">nductively </w:t>
        </w:r>
        <w:r w:rsidRPr="00AF33B7">
          <w:rPr>
            <w:rStyle w:val="Hyperlink"/>
            <w:i/>
          </w:rPr>
          <w:t>c</w:t>
        </w:r>
        <w:r w:rsidRPr="00554C61">
          <w:rPr>
            <w:rStyle w:val="Hyperlink"/>
            <w:i/>
          </w:rPr>
          <w:t xml:space="preserve">oupled </w:t>
        </w:r>
        <w:r w:rsidRPr="00AF33B7">
          <w:rPr>
            <w:rStyle w:val="Hyperlink"/>
            <w:i/>
          </w:rPr>
          <w:t>p</w:t>
        </w:r>
        <w:r w:rsidRPr="00554C61">
          <w:rPr>
            <w:rStyle w:val="Hyperlink"/>
            <w:i/>
          </w:rPr>
          <w:t>lasma</w:t>
        </w:r>
        <w:r w:rsidRPr="00AF33B7">
          <w:rPr>
            <w:rStyle w:val="Hyperlink"/>
            <w:i/>
          </w:rPr>
          <w:t>–m</w:t>
        </w:r>
        <w:r w:rsidRPr="00554C61">
          <w:rPr>
            <w:rStyle w:val="Hyperlink"/>
            <w:i/>
          </w:rPr>
          <w:t xml:space="preserve">ass </w:t>
        </w:r>
        <w:r w:rsidRPr="00AF33B7">
          <w:rPr>
            <w:rStyle w:val="Hyperlink"/>
            <w:i/>
          </w:rPr>
          <w:t>s</w:t>
        </w:r>
        <w:r w:rsidRPr="00554C61">
          <w:rPr>
            <w:rStyle w:val="Hyperlink"/>
            <w:i/>
          </w:rPr>
          <w:t>pectrometry</w:t>
        </w:r>
      </w:hyperlink>
      <w:r>
        <w:rPr>
          <w:iCs/>
        </w:rPr>
        <w:t>, Revision 5.4,</w:t>
      </w:r>
      <w:r w:rsidRPr="00115895">
        <w:t xml:space="preserve"> Cincinnati.</w:t>
      </w:r>
    </w:p>
    <w:p w14:paraId="43D13112" w14:textId="77777777" w:rsidR="00BB1B01" w:rsidRPr="00115895" w:rsidRDefault="00BB1B01" w:rsidP="00BB1B01">
      <w:r w:rsidRPr="00115895">
        <w:t>US</w:t>
      </w:r>
      <w:r>
        <w:t xml:space="preserve"> </w:t>
      </w:r>
      <w:r w:rsidRPr="00115895">
        <w:t>EPA</w:t>
      </w:r>
      <w:r>
        <w:t xml:space="preserve"> (</w:t>
      </w:r>
      <w:r w:rsidRPr="00115895">
        <w:t>2002</w:t>
      </w:r>
      <w:r>
        <w:t>)</w:t>
      </w:r>
      <w:r w:rsidRPr="00115895">
        <w:t xml:space="preserve"> </w:t>
      </w:r>
      <w:hyperlink r:id="rId73" w:history="1">
        <w:r w:rsidRPr="00554C61">
          <w:rPr>
            <w:rStyle w:val="Hyperlink"/>
            <w:i/>
            <w:iCs/>
          </w:rPr>
          <w:t>Short-term methods for estimating the chronic toxicity of effluents and receiving waters to freshwater organisms</w:t>
        </w:r>
        <w:r w:rsidRPr="00E4254A">
          <w:rPr>
            <w:rStyle w:val="Hyperlink"/>
          </w:rPr>
          <w:t xml:space="preserve"> [PDF 4.7 MB]</w:t>
        </w:r>
      </w:hyperlink>
      <w:r>
        <w:rPr>
          <w:iCs/>
        </w:rPr>
        <w:t xml:space="preserve">, 4th edn, </w:t>
      </w:r>
      <w:r>
        <w:rPr>
          <w:lang w:eastAsia="en-AU"/>
        </w:rPr>
        <w:t xml:space="preserve">US EPA Report No. </w:t>
      </w:r>
      <w:r w:rsidRPr="00EF77E9">
        <w:rPr>
          <w:lang w:eastAsia="en-AU"/>
        </w:rPr>
        <w:t>EPA</w:t>
      </w:r>
      <w:r>
        <w:rPr>
          <w:lang w:eastAsia="en-AU"/>
        </w:rPr>
        <w:t>-821-R-02-013,</w:t>
      </w:r>
      <w:r w:rsidRPr="00115895">
        <w:t xml:space="preserve"> Office of Science and Technology</w:t>
      </w:r>
      <w:r>
        <w:t>,</w:t>
      </w:r>
      <w:r w:rsidRPr="00115895">
        <w:t xml:space="preserve"> Washington DC.</w:t>
      </w:r>
    </w:p>
    <w:p w14:paraId="7DA40342" w14:textId="77777777" w:rsidR="005B70EC" w:rsidRDefault="005B70EC" w:rsidP="005B70EC">
      <w:r w:rsidRPr="00264744">
        <w:t>Warne MS</w:t>
      </w:r>
      <w:r>
        <w:t xml:space="preserve">tJ, </w:t>
      </w:r>
      <w:r w:rsidRPr="00264744">
        <w:t>Batley GE</w:t>
      </w:r>
      <w:r>
        <w:t xml:space="preserve">, </w:t>
      </w:r>
      <w:r w:rsidRPr="00264744">
        <w:t>van Dam RA</w:t>
      </w:r>
      <w:r>
        <w:t xml:space="preserve">, </w:t>
      </w:r>
      <w:r w:rsidRPr="00264744">
        <w:t>Chapman JC</w:t>
      </w:r>
      <w:r>
        <w:t xml:space="preserve">, </w:t>
      </w:r>
      <w:r w:rsidRPr="00264744">
        <w:t>Fox DR</w:t>
      </w:r>
      <w:r>
        <w:t xml:space="preserve">, </w:t>
      </w:r>
      <w:r w:rsidRPr="00264744">
        <w:t>Hickey CW</w:t>
      </w:r>
      <w:r>
        <w:t xml:space="preserve"> and </w:t>
      </w:r>
      <w:r w:rsidRPr="00264744">
        <w:t xml:space="preserve">Stauber JL (2018) </w:t>
      </w:r>
      <w:hyperlink r:id="rId74" w:history="1">
        <w:r w:rsidRPr="00582E47">
          <w:rPr>
            <w:rStyle w:val="Hyperlink"/>
            <w:i/>
            <w:iCs/>
          </w:rPr>
          <w:t>Revised method for deriving Australian and New Zealand water quality guideline values for toxicants</w:t>
        </w:r>
      </w:hyperlink>
      <w:r>
        <w:t>, report p</w:t>
      </w:r>
      <w:r w:rsidRPr="00264744">
        <w:t>repared for the Australian and New Zealand Guidelines for Fresh and Marine Water Quality</w:t>
      </w:r>
      <w:r>
        <w:t>,</w:t>
      </w:r>
      <w:r w:rsidRPr="00264744">
        <w:t xml:space="preserve"> Australian and New Zealand </w:t>
      </w:r>
      <w:r>
        <w:t>g</w:t>
      </w:r>
      <w:r w:rsidRPr="00264744">
        <w:t>overnments and Australian state and territory governments.</w:t>
      </w:r>
    </w:p>
    <w:p w14:paraId="6AB7DF70" w14:textId="52FE6728" w:rsidR="00E44065" w:rsidRPr="009232F5" w:rsidRDefault="00E44065" w:rsidP="00A44053">
      <w:r w:rsidRPr="009232F5">
        <w:t xml:space="preserve">Wilson SP </w:t>
      </w:r>
      <w:r w:rsidR="006D7A6F">
        <w:t>and</w:t>
      </w:r>
      <w:r w:rsidRPr="009232F5">
        <w:t xml:space="preserve"> Hyne RV </w:t>
      </w:r>
      <w:r w:rsidR="00FE1CAC">
        <w:t>(</w:t>
      </w:r>
      <w:r w:rsidRPr="009232F5">
        <w:t>1997</w:t>
      </w:r>
      <w:r w:rsidR="00FE1CAC">
        <w:t>)</w:t>
      </w:r>
      <w:r w:rsidRPr="009232F5">
        <w:t xml:space="preserve"> </w:t>
      </w:r>
      <w:r w:rsidR="00FE1CAC">
        <w:t>‘</w:t>
      </w:r>
      <w:hyperlink r:id="rId75" w:history="1">
        <w:r w:rsidRPr="00A26FA0">
          <w:rPr>
            <w:rStyle w:val="Hyperlink"/>
          </w:rPr>
          <w:t>Toxicity of acid-sulfate soil leachate and aluminium to embryos of the Sydney Rock oyster</w:t>
        </w:r>
      </w:hyperlink>
      <w:r w:rsidR="00FE1CAC">
        <w:t>’,</w:t>
      </w:r>
      <w:r w:rsidRPr="009232F5">
        <w:t xml:space="preserve"> </w:t>
      </w:r>
      <w:r w:rsidRPr="00EF0809">
        <w:rPr>
          <w:rStyle w:val="Emphasis"/>
        </w:rPr>
        <w:t>Ecotoxicology and Environmental Safety</w:t>
      </w:r>
      <w:r>
        <w:t>, 37</w:t>
      </w:r>
      <w:r w:rsidR="00FE1CAC">
        <w:t>:</w:t>
      </w:r>
      <w:r>
        <w:t>30–</w:t>
      </w:r>
      <w:r w:rsidRPr="009232F5">
        <w:t>36</w:t>
      </w:r>
      <w:r w:rsidR="00A26FA0">
        <w:t>, doi:</w:t>
      </w:r>
      <w:r w:rsidR="00A26FA0" w:rsidRPr="00A26FA0">
        <w:t>10.1006/eesa.1996.1514</w:t>
      </w:r>
      <w:r w:rsidRPr="009232F5">
        <w:t>.</w:t>
      </w:r>
    </w:p>
    <w:p w14:paraId="0FE1587F" w14:textId="49625789" w:rsidR="001C0D1C" w:rsidRDefault="00E44065" w:rsidP="00606A7B">
      <w:r w:rsidRPr="009232F5">
        <w:t xml:space="preserve">Worsfold PJ, Lohan MC, Ussher SJ </w:t>
      </w:r>
      <w:r w:rsidR="006D7A6F">
        <w:t>and</w:t>
      </w:r>
      <w:r w:rsidRPr="009232F5">
        <w:t xml:space="preserve"> Bowie AR </w:t>
      </w:r>
      <w:r w:rsidR="00FE1CAC">
        <w:t>(</w:t>
      </w:r>
      <w:r w:rsidRPr="009232F5">
        <w:t>2014</w:t>
      </w:r>
      <w:r w:rsidR="00FE1CAC">
        <w:t>)</w:t>
      </w:r>
      <w:r w:rsidRPr="009232F5">
        <w:t xml:space="preserve"> </w:t>
      </w:r>
      <w:r w:rsidR="00FE1CAC">
        <w:t>‘</w:t>
      </w:r>
      <w:hyperlink r:id="rId76" w:history="1">
        <w:r w:rsidRPr="00002103">
          <w:rPr>
            <w:rStyle w:val="Hyperlink"/>
          </w:rPr>
          <w:t xml:space="preserve">Determination of dissolved iron in seawater: </w:t>
        </w:r>
        <w:r w:rsidR="00FE1CAC" w:rsidRPr="00002103">
          <w:rPr>
            <w:rStyle w:val="Hyperlink"/>
          </w:rPr>
          <w:t>a</w:t>
        </w:r>
        <w:r w:rsidRPr="00002103">
          <w:rPr>
            <w:rStyle w:val="Hyperlink"/>
          </w:rPr>
          <w:t xml:space="preserve"> historical review</w:t>
        </w:r>
      </w:hyperlink>
      <w:r w:rsidR="00FE1CAC">
        <w:t>’,</w:t>
      </w:r>
      <w:r w:rsidRPr="009232F5">
        <w:t xml:space="preserve"> </w:t>
      </w:r>
      <w:r w:rsidRPr="00EF0809">
        <w:rPr>
          <w:rStyle w:val="Emphasis"/>
        </w:rPr>
        <w:t>Marine Chemistry</w:t>
      </w:r>
      <w:r>
        <w:t>, 166</w:t>
      </w:r>
      <w:r w:rsidR="00FE1CAC">
        <w:t>:</w:t>
      </w:r>
      <w:r>
        <w:t>25–</w:t>
      </w:r>
      <w:r w:rsidRPr="009232F5">
        <w:t>35</w:t>
      </w:r>
      <w:r w:rsidR="00002103">
        <w:t>, doi:</w:t>
      </w:r>
      <w:r w:rsidR="00002103" w:rsidRPr="00002103">
        <w:t>10.1016/j.marchem.2014.08.009</w:t>
      </w:r>
      <w:r w:rsidRPr="009232F5">
        <w:t>.</w:t>
      </w:r>
    </w:p>
    <w:sectPr w:rsidR="001C0D1C" w:rsidSect="0039483A">
      <w:headerReference w:type="even" r:id="rId77"/>
      <w:headerReference w:type="default" r:id="rId78"/>
      <w:footerReference w:type="even" r:id="rId79"/>
      <w:footerReference w:type="default" r:id="rId80"/>
      <w:headerReference w:type="first" r:id="rId81"/>
      <w:footerReference w:type="first" r:id="rId82"/>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1AE43" w14:textId="77777777" w:rsidR="000F14A0" w:rsidRDefault="000F14A0">
      <w:pPr>
        <w:spacing w:after="0" w:line="240" w:lineRule="auto"/>
      </w:pPr>
      <w:r>
        <w:separator/>
      </w:r>
    </w:p>
  </w:endnote>
  <w:endnote w:type="continuationSeparator" w:id="0">
    <w:p w14:paraId="3E1E7D86" w14:textId="77777777" w:rsidR="000F14A0" w:rsidRDefault="000F14A0">
      <w:pPr>
        <w:spacing w:after="0" w:line="240" w:lineRule="auto"/>
      </w:pPr>
      <w:r>
        <w:continuationSeparator/>
      </w:r>
    </w:p>
  </w:endnote>
  <w:endnote w:type="continuationNotice" w:id="1">
    <w:p w14:paraId="61CD1BB5" w14:textId="77777777" w:rsidR="000F14A0" w:rsidRDefault="000F14A0">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vTT181ea94d.I+20">
    <w:altName w:val="Yu Gothic"/>
    <w:panose1 w:val="00000000000000000000"/>
    <w:charset w:val="80"/>
    <w:family w:val="auto"/>
    <w:notTrueType/>
    <w:pitch w:val="default"/>
    <w:sig w:usb0="00000001" w:usb1="08070000" w:usb2="00000010" w:usb3="00000000" w:csb0="00020000" w:csb1="00000000"/>
  </w:font>
  <w:font w:name="AdvTTad02f5c0+2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6539" w14:textId="58A14E78" w:rsidR="003302D4" w:rsidRDefault="003302D4">
    <w:pPr>
      <w:pStyle w:val="Footer"/>
    </w:pPr>
    <w:r>
      <w:rPr>
        <w:noProof/>
      </w:rPr>
      <mc:AlternateContent>
        <mc:Choice Requires="wps">
          <w:drawing>
            <wp:anchor distT="0" distB="0" distL="0" distR="0" simplePos="0" relativeHeight="251658256" behindDoc="0" locked="0" layoutInCell="1" allowOverlap="1" wp14:anchorId="3F4C4463" wp14:editId="4F83C046">
              <wp:simplePos x="635" y="635"/>
              <wp:positionH relativeFrom="page">
                <wp:align>center</wp:align>
              </wp:positionH>
              <wp:positionV relativeFrom="page">
                <wp:align>bottom</wp:align>
              </wp:positionV>
              <wp:extent cx="551815" cy="404495"/>
              <wp:effectExtent l="0" t="0" r="635" b="0"/>
              <wp:wrapNone/>
              <wp:docPr id="1434116099"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C8ECFEA" w14:textId="1DCB1CCD"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4C4463" id="_x0000_t202" coordsize="21600,21600" o:spt="202" path="m,l,21600r21600,l21600,xe">
              <v:stroke joinstyle="miter"/>
              <v:path gradientshapeok="t" o:connecttype="rect"/>
            </v:shapetype>
            <v:shape id="Text Box 17" o:spid="_x0000_s1027" type="#_x0000_t202" alt="OFFICIAL" style="position:absolute;left:0;text-align:left;margin-left:0;margin-top:0;width:43.45pt;height:31.8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C8ECFEA" w14:textId="1DCB1CCD"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75BB" w14:textId="631C743F" w:rsidR="003302D4" w:rsidRDefault="003302D4">
    <w:pPr>
      <w:pStyle w:val="Footer"/>
    </w:pPr>
    <w:r>
      <w:rPr>
        <w:noProof/>
      </w:rPr>
      <mc:AlternateContent>
        <mc:Choice Requires="wps">
          <w:drawing>
            <wp:anchor distT="0" distB="0" distL="0" distR="0" simplePos="0" relativeHeight="251658266" behindDoc="0" locked="0" layoutInCell="1" allowOverlap="1" wp14:anchorId="55A49397" wp14:editId="1D4E5226">
              <wp:simplePos x="635" y="635"/>
              <wp:positionH relativeFrom="page">
                <wp:align>center</wp:align>
              </wp:positionH>
              <wp:positionV relativeFrom="page">
                <wp:align>bottom</wp:align>
              </wp:positionV>
              <wp:extent cx="551815" cy="404495"/>
              <wp:effectExtent l="0" t="0" r="635" b="0"/>
              <wp:wrapNone/>
              <wp:docPr id="1123078677"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ADCD8FE" w14:textId="157D7419"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A49397" id="_x0000_t202" coordsize="21600,21600" o:spt="202" path="m,l,21600r21600,l21600,xe">
              <v:stroke joinstyle="miter"/>
              <v:path gradientshapeok="t" o:connecttype="rect"/>
            </v:shapetype>
            <v:shape id="Text Box 26" o:spid="_x0000_s1040" type="#_x0000_t202" alt="OFFICIAL" style="position:absolute;left:0;text-align:left;margin-left:0;margin-top:0;width:43.45pt;height:31.8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3Y5DgIAAB0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V7a30F9wqkcDAv3lq9brL1hPrwwhxvGQVC1&#10;4RkPqaCrKJwtShpwP//lj/lIPEYp6VAxFTUoaUrUd4MLieIaDTcau2QUt/k8x7g56AdAHRb4JCxP&#10;JnpdUKMpHeg31PMqFsIQMxzLVXQ3mg9hkC6+By5Wq5SEOrIsbMzW8ggd+YpkvvZvzNkz4wFX9QSj&#10;nFj5jvghN970dnUISH/aSuR2IPJMOWow7fX8XqLIf/9PWddXvfwF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dk92OQ4CAAAd&#10;BAAADgAAAAAAAAAAAAAAAAAuAgAAZHJzL2Uyb0RvYy54bWxQSwECLQAUAAYACAAAACEAH1WiDdsA&#10;AAADAQAADwAAAAAAAAAAAAAAAABoBAAAZHJzL2Rvd25yZXYueG1sUEsFBgAAAAAEAAQA8wAAAHAF&#10;AAAAAA==&#10;" filled="f" stroked="f">
              <v:textbox style="mso-fit-shape-to-text:t" inset="0,0,0,15pt">
                <w:txbxContent>
                  <w:p w14:paraId="4ADCD8FE" w14:textId="157D7419"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4154" w14:textId="2EB99C08" w:rsidR="00352419" w:rsidRDefault="00352419" w:rsidP="00352419">
    <w:pPr>
      <w:pStyle w:val="Footer"/>
      <w:tabs>
        <w:tab w:val="clear" w:pos="4536"/>
        <w:tab w:val="right" w:pos="14002"/>
      </w:tabs>
      <w:spacing w:before="120"/>
      <w:jc w:val="left"/>
    </w:pPr>
    <w:r>
      <w:t>Australian and New Zealand Guidelines for Fresh and Marine Water Quality</w:t>
    </w:r>
    <w:r>
      <w:tab/>
    </w:r>
    <w:r>
      <w:fldChar w:fldCharType="begin"/>
    </w:r>
    <w:r>
      <w:instrText xml:space="preserve"> PAGE   \* MERGEFORMAT </w:instrText>
    </w:r>
    <w:r>
      <w:fldChar w:fldCharType="separate"/>
    </w:r>
    <w:r>
      <w:rPr>
        <w:noProof/>
      </w:rPr>
      <w:t>14</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4924" w14:textId="03EC6E04" w:rsidR="003302D4" w:rsidRDefault="003302D4">
    <w:pPr>
      <w:pStyle w:val="Footer"/>
    </w:pPr>
    <w:r>
      <w:rPr>
        <w:noProof/>
      </w:rPr>
      <mc:AlternateContent>
        <mc:Choice Requires="wps">
          <w:drawing>
            <wp:anchor distT="0" distB="0" distL="0" distR="0" simplePos="0" relativeHeight="251658268" behindDoc="0" locked="0" layoutInCell="1" allowOverlap="1" wp14:anchorId="20453333" wp14:editId="08AB5EA8">
              <wp:simplePos x="635" y="635"/>
              <wp:positionH relativeFrom="page">
                <wp:align>center</wp:align>
              </wp:positionH>
              <wp:positionV relativeFrom="page">
                <wp:align>bottom</wp:align>
              </wp:positionV>
              <wp:extent cx="551815" cy="404495"/>
              <wp:effectExtent l="0" t="0" r="635" b="0"/>
              <wp:wrapNone/>
              <wp:docPr id="98818101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8E971C0" w14:textId="6EBD93B6"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453333" id="_x0000_t202" coordsize="21600,21600" o:spt="202" path="m,l,21600r21600,l21600,xe">
              <v:stroke joinstyle="miter"/>
              <v:path gradientshapeok="t" o:connecttype="rect"/>
            </v:shapetype>
            <v:shape id="Text Box 25" o:spid="_x0000_s1042" type="#_x0000_t202" alt="OFFICIAL" style="position:absolute;left:0;text-align:left;margin-left:0;margin-top:0;width:43.45pt;height:31.8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7yDwIAAB0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c7G9ndQn3AqB8PCveXrFmtvmA8vzOGGcRBU&#10;bXjGQyroKgpni5IG3M9/+WM+Eo9RSjpUTEUNSpoS9d3gQqK4RsONxi4ZxW0+zzFuDvoBUIcFPgnL&#10;k4leF9RoSgf6DfW8ioUwxAzHchXdjeZDGKSL74GL1SoloY4sCxuztTxCR74ima/9G3P2zHjAVT3B&#10;KCdWviN+yI03vV0dAtKfthK5HYg8U44aTHs9v5co8t//U9b1VS9/AQ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8NDvIPAgAA&#10;HQQAAA4AAAAAAAAAAAAAAAAALgIAAGRycy9lMm9Eb2MueG1sUEsBAi0AFAAGAAgAAAAhAB9Vog3b&#10;AAAAAwEAAA8AAAAAAAAAAAAAAAAAaQQAAGRycy9kb3ducmV2LnhtbFBLBQYAAAAABAAEAPMAAABx&#10;BQAAAAA=&#10;" filled="f" stroked="f">
              <v:textbox style="mso-fit-shape-to-text:t" inset="0,0,0,15pt">
                <w:txbxContent>
                  <w:p w14:paraId="38E971C0" w14:textId="6EBD93B6"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7A7D" w14:textId="36EBA0C9" w:rsidR="003302D4" w:rsidRDefault="003302D4">
    <w:pPr>
      <w:pStyle w:val="Footer"/>
    </w:pPr>
    <w:r>
      <w:rPr>
        <w:noProof/>
      </w:rPr>
      <mc:AlternateContent>
        <mc:Choice Requires="wps">
          <w:drawing>
            <wp:anchor distT="0" distB="0" distL="0" distR="0" simplePos="0" relativeHeight="251658271" behindDoc="0" locked="0" layoutInCell="1" allowOverlap="1" wp14:anchorId="08840AB3" wp14:editId="5C7809CD">
              <wp:simplePos x="635" y="635"/>
              <wp:positionH relativeFrom="page">
                <wp:align>center</wp:align>
              </wp:positionH>
              <wp:positionV relativeFrom="page">
                <wp:align>bottom</wp:align>
              </wp:positionV>
              <wp:extent cx="551815" cy="404495"/>
              <wp:effectExtent l="0" t="0" r="635" b="0"/>
              <wp:wrapNone/>
              <wp:docPr id="762003010"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22A6194" w14:textId="7EEE1DA3"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840AB3" id="_x0000_t202" coordsize="21600,21600" o:spt="202" path="m,l,21600r21600,l21600,xe">
              <v:stroke joinstyle="miter"/>
              <v:path gradientshapeok="t" o:connecttype="rect"/>
            </v:shapetype>
            <v:shape id="Text Box 29" o:spid="_x0000_s1044" type="#_x0000_t202" alt="OFFICIAL" style="position:absolute;left:0;text-align:left;margin-left:0;margin-top:0;width:43.45pt;height:31.85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BjM2bQPAgAA&#10;HQQAAA4AAAAAAAAAAAAAAAAALgIAAGRycy9lMm9Eb2MueG1sUEsBAi0AFAAGAAgAAAAhAB9Vog3b&#10;AAAAAwEAAA8AAAAAAAAAAAAAAAAAaQQAAGRycy9kb3ducmV2LnhtbFBLBQYAAAAABAAEAPMAAABx&#10;BQAAAAA=&#10;" filled="f" stroked="f">
              <v:textbox style="mso-fit-shape-to-text:t" inset="0,0,0,15pt">
                <w:txbxContent>
                  <w:p w14:paraId="122A6194" w14:textId="7EEE1DA3"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6B57" w14:textId="7A25E270" w:rsidR="003302D4" w:rsidRDefault="00D74F62" w:rsidP="00D74F62">
    <w:pPr>
      <w:pStyle w:val="Footer"/>
      <w:tabs>
        <w:tab w:val="clear" w:pos="4536"/>
        <w:tab w:val="right" w:pos="8931"/>
      </w:tabs>
    </w:pPr>
    <w:r>
      <w:t>Australian and New Zealand Guidelines for Fresh and Marine Water Quality</w:t>
    </w:r>
    <w:r>
      <w:tab/>
    </w:r>
    <w:r>
      <w:fldChar w:fldCharType="begin"/>
    </w:r>
    <w:r>
      <w:instrText xml:space="preserve"> PAGE   \* MERGEFORMAT </w:instrText>
    </w:r>
    <w:r>
      <w:fldChar w:fldCharType="separate"/>
    </w:r>
    <w:r>
      <w:t>16</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D8B7" w14:textId="45451D92" w:rsidR="00352419" w:rsidRDefault="003302D4" w:rsidP="00352419">
    <w:pPr>
      <w:pStyle w:val="Footer"/>
      <w:tabs>
        <w:tab w:val="clear" w:pos="4536"/>
        <w:tab w:val="right" w:pos="8931"/>
        <w:tab w:val="right" w:pos="14002"/>
      </w:tabs>
      <w:spacing w:before="120"/>
      <w:jc w:val="left"/>
    </w:pPr>
    <w:r>
      <w:rPr>
        <w:noProof/>
      </w:rPr>
      <mc:AlternateContent>
        <mc:Choice Requires="wps">
          <w:drawing>
            <wp:anchor distT="0" distB="0" distL="0" distR="0" simplePos="0" relativeHeight="251658254" behindDoc="0" locked="0" layoutInCell="1" allowOverlap="1" wp14:anchorId="078C4BF9" wp14:editId="76F89636">
              <wp:simplePos x="635" y="635"/>
              <wp:positionH relativeFrom="page">
                <wp:align>center</wp:align>
              </wp:positionH>
              <wp:positionV relativeFrom="page">
                <wp:align>bottom</wp:align>
              </wp:positionV>
              <wp:extent cx="551815" cy="404495"/>
              <wp:effectExtent l="0" t="0" r="6985" b="0"/>
              <wp:wrapNone/>
              <wp:docPr id="1317795331"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3972CE4" w14:textId="09A21C3F"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36000" numCol="1" spcCol="0" rtlCol="0" fromWordArt="0" anchor="b" anchorCtr="0" forceAA="0" compatLnSpc="1">
                      <a:prstTxWarp prst="textNoShape">
                        <a:avLst/>
                      </a:prstTxWarp>
                      <a:spAutoFit/>
                    </wps:bodyPr>
                  </wps:wsp>
                </a:graphicData>
              </a:graphic>
            </wp:anchor>
          </w:drawing>
        </mc:Choice>
        <mc:Fallback>
          <w:pict>
            <v:shapetype w14:anchorId="078C4BF9" id="_x0000_t202" coordsize="21600,21600" o:spt="202" path="m,l,21600r21600,l21600,xe">
              <v:stroke joinstyle="miter"/>
              <v:path gradientshapeok="t" o:connecttype="rect"/>
            </v:shapetype>
            <v:shape id="Text Box 28" o:spid="_x0000_s1046" type="#_x0000_t202" alt="OFFICIAL" style="position:absolute;margin-left:0;margin-top:0;width:43.45pt;height:31.8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" filled="f" stroked="f">
              <v:textbox style="mso-fit-shape-to-text:t" inset="0,0,0,1mm">
                <w:txbxContent>
                  <w:p w14:paraId="73972CE4" w14:textId="09A21C3F"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r w:rsidR="00352419">
      <w:t>Australian and New Zealand Guidelines for Fresh and Marine Water Quality</w:t>
    </w:r>
    <w:r w:rsidR="00352419">
      <w:tab/>
    </w:r>
    <w:r w:rsidR="00352419">
      <w:fldChar w:fldCharType="begin"/>
    </w:r>
    <w:r w:rsidR="00352419">
      <w:instrText xml:space="preserve"> PAGE   \* MERGEFORMAT </w:instrText>
    </w:r>
    <w:r w:rsidR="00352419">
      <w:fldChar w:fldCharType="separate"/>
    </w:r>
    <w:r w:rsidR="00352419">
      <w:t>17</w:t>
    </w:r>
    <w:r w:rsidR="0035241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01FD" w14:textId="13393644" w:rsidR="00797B90" w:rsidRDefault="00797B90" w:rsidP="00D32FA1">
    <w:pPr>
      <w:pStyle w:val="Footer"/>
      <w:tabs>
        <w:tab w:val="clear" w:pos="4536"/>
        <w:tab w:val="left" w:pos="8647"/>
        <w:tab w:val="left" w:pos="14034"/>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AA5A" w14:textId="5A2AFA68" w:rsidR="003179D5" w:rsidRDefault="003302D4" w:rsidP="00352419">
    <w:pPr>
      <w:pStyle w:val="Footer"/>
      <w:tabs>
        <w:tab w:val="clear" w:pos="4536"/>
        <w:tab w:val="right" w:pos="14002"/>
      </w:tabs>
      <w:spacing w:before="120"/>
      <w:jc w:val="left"/>
    </w:pPr>
    <w:r>
      <w:rPr>
        <w:noProof/>
      </w:rPr>
      <mc:AlternateContent>
        <mc:Choice Requires="wps">
          <w:drawing>
            <wp:anchor distT="0" distB="0" distL="0" distR="0" simplePos="0" relativeHeight="251658249" behindDoc="0" locked="0" layoutInCell="1" allowOverlap="1" wp14:anchorId="3DD54BBC" wp14:editId="64754A3B">
              <wp:simplePos x="635" y="635"/>
              <wp:positionH relativeFrom="page">
                <wp:align>center</wp:align>
              </wp:positionH>
              <wp:positionV relativeFrom="page">
                <wp:align>bottom</wp:align>
              </wp:positionV>
              <wp:extent cx="551815" cy="404495"/>
              <wp:effectExtent l="0" t="0" r="635" b="0"/>
              <wp:wrapNone/>
              <wp:docPr id="1721385835"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B7A4CF5" w14:textId="6DE70714"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D54BBC" id="_x0000_t202" coordsize="21600,21600" o:spt="202" path="m,l,21600r21600,l21600,xe">
              <v:stroke joinstyle="miter"/>
              <v:path gradientshapeok="t" o:connecttype="rect"/>
            </v:shapetype>
            <v:shape id="Text Box 16" o:spid="_x0000_s1030" type="#_x0000_t202" alt="OFFICIAL" style="position:absolute;margin-left:0;margin-top:0;width:43.45pt;height:31.8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dGWcxg4CAAAc&#10;BAAADgAAAAAAAAAAAAAAAAAuAgAAZHJzL2Uyb0RvYy54bWxQSwECLQAUAAYACAAAACEAH1WiDdsA&#10;AAADAQAADwAAAAAAAAAAAAAAAABoBAAAZHJzL2Rvd25yZXYueG1sUEsFBgAAAAAEAAQA8wAAAHAF&#10;AAAAAA==&#10;" filled="f" stroked="f">
              <v:textbox style="mso-fit-shape-to-text:t" inset="0,0,0,15pt">
                <w:txbxContent>
                  <w:p w14:paraId="0B7A4CF5" w14:textId="6DE70714"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r w:rsidR="00352419">
      <w:t>Australian and New Zealand Guidelines for Fresh and Marine Water Quality</w:t>
    </w:r>
    <w:r w:rsidR="00352419">
      <w:tab/>
    </w:r>
    <w:r w:rsidR="00352419">
      <w:fldChar w:fldCharType="begin"/>
    </w:r>
    <w:r w:rsidR="00352419">
      <w:instrText xml:space="preserve"> PAGE   \* MERGEFORMAT </w:instrText>
    </w:r>
    <w:r w:rsidR="00352419">
      <w:fldChar w:fldCharType="separate"/>
    </w:r>
    <w:r w:rsidR="00352419">
      <w:t>17</w:t>
    </w:r>
    <w:r w:rsidR="00352419">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AF48" w14:textId="7B7196BB" w:rsidR="003302D4" w:rsidRDefault="003302D4">
    <w:pPr>
      <w:pStyle w:val="Footer"/>
    </w:pPr>
    <w:r>
      <w:rPr>
        <w:noProof/>
      </w:rPr>
      <mc:AlternateContent>
        <mc:Choice Requires="wps">
          <w:drawing>
            <wp:anchor distT="0" distB="0" distL="0" distR="0" simplePos="0" relativeHeight="251658258" behindDoc="0" locked="0" layoutInCell="1" allowOverlap="1" wp14:anchorId="4FB0760C" wp14:editId="400761CA">
              <wp:simplePos x="635" y="635"/>
              <wp:positionH relativeFrom="page">
                <wp:align>center</wp:align>
              </wp:positionH>
              <wp:positionV relativeFrom="page">
                <wp:align>bottom</wp:align>
              </wp:positionV>
              <wp:extent cx="551815" cy="404495"/>
              <wp:effectExtent l="0" t="0" r="635" b="0"/>
              <wp:wrapNone/>
              <wp:docPr id="323373911"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EFAC0E" w14:textId="37A86B1B"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B0760C" id="_x0000_t202" coordsize="21600,21600" o:spt="202" path="m,l,21600r21600,l21600,xe">
              <v:stroke joinstyle="miter"/>
              <v:path gradientshapeok="t" o:connecttype="rect"/>
            </v:shapetype>
            <v:shape id="Text Box 20" o:spid="_x0000_s1032" type="#_x0000_t202" alt="OFFICIAL" style="position:absolute;left:0;text-align:left;margin-left:0;margin-top:0;width:43.45pt;height:31.8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XqRlQA4CAAAc&#10;BAAADgAAAAAAAAAAAAAAAAAuAgAAZHJzL2Uyb0RvYy54bWxQSwECLQAUAAYACAAAACEAH1WiDdsA&#10;AAADAQAADwAAAAAAAAAAAAAAAABoBAAAZHJzL2Rvd25yZXYueG1sUEsFBgAAAAAEAAQA8wAAAHAF&#10;AAAAAA==&#10;" filled="f" stroked="f">
              <v:textbox style="mso-fit-shape-to-text:t" inset="0,0,0,15pt">
                <w:txbxContent>
                  <w:p w14:paraId="5AEFAC0E" w14:textId="37A86B1B"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527ED" w14:textId="22979528" w:rsidR="00352419" w:rsidRDefault="00352419" w:rsidP="00352419">
    <w:pPr>
      <w:pStyle w:val="Footer"/>
      <w:tabs>
        <w:tab w:val="clear" w:pos="4536"/>
        <w:tab w:val="left" w:pos="8647"/>
        <w:tab w:val="left" w:pos="14034"/>
      </w:tabs>
      <w:spacing w:before="120"/>
      <w:jc w:val="left"/>
    </w:pPr>
    <w:r>
      <w:t>Australian and New Zealand Guidelines for Fresh and Marine Water Quality</w:t>
    </w:r>
    <w:r>
      <w:tab/>
    </w:r>
    <w:r>
      <w:fldChar w:fldCharType="begin"/>
    </w:r>
    <w:r>
      <w:instrText xml:space="preserve"> PAGE   \* MERGEFORMAT </w:instrText>
    </w:r>
    <w:r>
      <w:fldChar w:fldCharType="separate"/>
    </w:r>
    <w:r>
      <w:rPr>
        <w:noProof/>
      </w:rPr>
      <w:t>14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859D9" w14:textId="2818DB39" w:rsidR="003302D4" w:rsidRDefault="003302D4">
    <w:pPr>
      <w:pStyle w:val="Footer"/>
    </w:pPr>
    <w:r>
      <w:rPr>
        <w:noProof/>
      </w:rPr>
      <mc:AlternateContent>
        <mc:Choice Requires="wps">
          <w:drawing>
            <wp:anchor distT="0" distB="0" distL="0" distR="0" simplePos="0" relativeHeight="251658260" behindDoc="0" locked="0" layoutInCell="1" allowOverlap="1" wp14:anchorId="5C9ED8B8" wp14:editId="637E9C16">
              <wp:simplePos x="635" y="635"/>
              <wp:positionH relativeFrom="page">
                <wp:align>center</wp:align>
              </wp:positionH>
              <wp:positionV relativeFrom="page">
                <wp:align>bottom</wp:align>
              </wp:positionV>
              <wp:extent cx="551815" cy="404495"/>
              <wp:effectExtent l="0" t="0" r="635" b="0"/>
              <wp:wrapNone/>
              <wp:docPr id="1552036637"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6C0CF1" w14:textId="033934C0"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9ED8B8" id="_x0000_t202" coordsize="21600,21600" o:spt="202" path="m,l,21600r21600,l21600,xe">
              <v:stroke joinstyle="miter"/>
              <v:path gradientshapeok="t" o:connecttype="rect"/>
            </v:shapetype>
            <v:shape id="Text Box 19" o:spid="_x0000_s1034" type="#_x0000_t202" alt="OFFICIAL" style="position:absolute;left:0;text-align:left;margin-left:0;margin-top:0;width:43.45pt;height:31.8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qDwIAAB0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bY/XRsfwf1CadyMCzcW75usfaG+fDCHG4YB0HV&#10;hmc8pIKuonC2KGnA/fyXP+Yj8RilpEPFVNSgpClR3w0uJIprNNxo7JJR3ObzHOPmoB8AdVjgk7A8&#10;meh1QY2mdKDfUM+rWAhDzHAsV9HdaD6EQbr4HrhYrVIS6siysDFbyyN05CuS+dq/MWfPjAdc1ROM&#10;cmLlO+KH3HjT29UhIP1pK5Hbgcgz5ajBtNfze4ki//0/ZV1f9fIX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C9/4ioPAgAA&#10;HQQAAA4AAAAAAAAAAAAAAAAALgIAAGRycy9lMm9Eb2MueG1sUEsBAi0AFAAGAAgAAAAhAB9Vog3b&#10;AAAAAwEAAA8AAAAAAAAAAAAAAAAAaQQAAGRycy9kb3ducmV2LnhtbFBLBQYAAAAABAAEAPMAAABx&#10;BQAAAAA=&#10;" filled="f" stroked="f">
              <v:textbox style="mso-fit-shape-to-text:t" inset="0,0,0,15pt">
                <w:txbxContent>
                  <w:p w14:paraId="236C0CF1" w14:textId="033934C0"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C0134" w14:textId="7511C4C0" w:rsidR="003302D4" w:rsidRDefault="003302D4">
    <w:pPr>
      <w:pStyle w:val="Footer"/>
    </w:pPr>
    <w:r>
      <w:rPr>
        <w:noProof/>
      </w:rPr>
      <mc:AlternateContent>
        <mc:Choice Requires="wps">
          <w:drawing>
            <wp:anchor distT="0" distB="0" distL="0" distR="0" simplePos="0" relativeHeight="251658262" behindDoc="0" locked="0" layoutInCell="1" allowOverlap="1" wp14:anchorId="45B6033E" wp14:editId="3C43AF13">
              <wp:simplePos x="635" y="635"/>
              <wp:positionH relativeFrom="page">
                <wp:align>center</wp:align>
              </wp:positionH>
              <wp:positionV relativeFrom="page">
                <wp:align>bottom</wp:align>
              </wp:positionV>
              <wp:extent cx="551815" cy="404495"/>
              <wp:effectExtent l="0" t="0" r="635" b="0"/>
              <wp:wrapNone/>
              <wp:docPr id="1954349166"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5B008C" w14:textId="1330EC9B"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B6033E" id="_x0000_t202" coordsize="21600,21600" o:spt="202" path="m,l,21600r21600,l21600,xe">
              <v:stroke joinstyle="miter"/>
              <v:path gradientshapeok="t" o:connecttype="rect"/>
            </v:shapetype>
            <v:shape id="Text Box 23" o:spid="_x0000_s1036" type="#_x0000_t202" alt="OFFICIAL" style="position:absolute;left:0;text-align:left;margin-left:0;margin-top:0;width:43.45pt;height:31.8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AsQ/+aDQIAAB0E&#10;AAAOAAAAAAAAAAAAAAAAAC4CAABkcnMvZTJvRG9jLnhtbFBLAQItABQABgAIAAAAIQAfVaIN2wAA&#10;AAMBAAAPAAAAAAAAAAAAAAAAAGcEAABkcnMvZG93bnJldi54bWxQSwUGAAAAAAQABADzAAAAbwUA&#10;AAAA&#10;" filled="f" stroked="f">
              <v:textbox style="mso-fit-shape-to-text:t" inset="0,0,0,15pt">
                <w:txbxContent>
                  <w:p w14:paraId="595B008C" w14:textId="1330EC9B"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B5466" w14:textId="4D28DC6D" w:rsidR="003302D4" w:rsidRDefault="00D74F62" w:rsidP="00D74F62">
    <w:pPr>
      <w:pStyle w:val="Footer"/>
      <w:tabs>
        <w:tab w:val="clear" w:pos="4536"/>
        <w:tab w:val="right" w:pos="9070"/>
      </w:tabs>
    </w:pPr>
    <w:r>
      <w:t>Australian and New Zealand Guidelines for Fresh and Marine Water Quality</w:t>
    </w:r>
    <w:r>
      <w:tab/>
    </w:r>
    <w:r>
      <w:fldChar w:fldCharType="begin"/>
    </w:r>
    <w:r>
      <w:instrText xml:space="preserve"> PAGE   \* MERGEFORMAT </w:instrText>
    </w:r>
    <w:r>
      <w:fldChar w:fldCharType="separate"/>
    </w:r>
    <w:r>
      <w:t>iv</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CA95" w14:textId="1AD63FB7" w:rsidR="00797B90" w:rsidRDefault="003302D4" w:rsidP="00D32FA1">
    <w:pPr>
      <w:pStyle w:val="Footer"/>
      <w:tabs>
        <w:tab w:val="clear" w:pos="4536"/>
        <w:tab w:val="left" w:pos="8647"/>
        <w:tab w:val="left" w:pos="14034"/>
      </w:tabs>
      <w:spacing w:before="120"/>
    </w:pPr>
    <w:r>
      <w:rPr>
        <w:noProof/>
      </w:rPr>
      <mc:AlternateContent>
        <mc:Choice Requires="wps">
          <w:drawing>
            <wp:anchor distT="0" distB="0" distL="0" distR="0" simplePos="0" relativeHeight="251658252" behindDoc="0" locked="0" layoutInCell="1" allowOverlap="1" wp14:anchorId="285705F5" wp14:editId="11E4872F">
              <wp:simplePos x="635" y="635"/>
              <wp:positionH relativeFrom="page">
                <wp:align>center</wp:align>
              </wp:positionH>
              <wp:positionV relativeFrom="page">
                <wp:align>bottom</wp:align>
              </wp:positionV>
              <wp:extent cx="551815" cy="404495"/>
              <wp:effectExtent l="0" t="0" r="635" b="0"/>
              <wp:wrapNone/>
              <wp:docPr id="103049747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A0B3A80" w14:textId="6BCFF27A"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705F5" id="_x0000_t202" coordsize="21600,21600" o:spt="202" path="m,l,21600r21600,l21600,xe">
              <v:stroke joinstyle="miter"/>
              <v:path gradientshapeok="t" o:connecttype="rect"/>
            </v:shapetype>
            <v:shape id="Text Box 22" o:spid="_x0000_s1038" type="#_x0000_t202" alt="OFFICIAL" style="position:absolute;left:0;text-align:left;margin-left:0;margin-top:0;width:43.45pt;height:31.8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nDwIAAB0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bY/Xxsfwf1CadyMCzcW75usfaG+fDCHG4YB0HV&#10;hmc8pIKuonC2KGnA/fyXP+Yj8RilpEPFVNSgpClR3w0uJIprNNxo7JJR3OazHOPmoB8AdVjgk7A8&#10;meh1QY2mdKDfUM+rWAhDzHAsV9HdaD6EQbr4HrhYrVIS6siysDFbyyN05CuS+dq/MWfPjAdc1ROM&#10;cmLlO+KH3HjT29UhIP1pK5Hbgcgz5ajBtNfze4ki//0/ZV1f9fIX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Nz8Y2cPAgAA&#10;HQQAAA4AAAAAAAAAAAAAAAAALgIAAGRycy9lMm9Eb2MueG1sUEsBAi0AFAAGAAgAAAAhAB9Vog3b&#10;AAAAAwEAAA8AAAAAAAAAAAAAAAAAaQQAAGRycy9kb3ducmV2LnhtbFBLBQYAAAAABAAEAPMAAABx&#10;BQAAAAA=&#10;" filled="f" stroked="f">
              <v:textbox style="mso-fit-shape-to-text:t" inset="0,0,0,15pt">
                <w:txbxContent>
                  <w:p w14:paraId="0A0B3A80" w14:textId="6BCFF27A"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r w:rsidR="00797B90">
      <w:t>Australian and New Zealand Guidelines for Fresh and Marine Water Quality</w:t>
    </w:r>
    <w:r w:rsidR="00797B90">
      <w:tab/>
    </w:r>
    <w:r w:rsidR="00797B90">
      <w:fldChar w:fldCharType="begin"/>
    </w:r>
    <w:r w:rsidR="00797B90">
      <w:instrText xml:space="preserve"> PAGE   \* MERGEFORMAT </w:instrText>
    </w:r>
    <w:r w:rsidR="00797B90">
      <w:fldChar w:fldCharType="separate"/>
    </w:r>
    <w:r w:rsidR="00FB6D8A">
      <w:rPr>
        <w:noProof/>
      </w:rPr>
      <w:t>12</w:t>
    </w:r>
    <w:r w:rsidR="00797B9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DF85E" w14:textId="77777777" w:rsidR="000F14A0" w:rsidRDefault="000F14A0">
      <w:pPr>
        <w:spacing w:after="0" w:line="240" w:lineRule="auto"/>
      </w:pPr>
      <w:r>
        <w:separator/>
      </w:r>
    </w:p>
  </w:footnote>
  <w:footnote w:type="continuationSeparator" w:id="0">
    <w:p w14:paraId="699E2695" w14:textId="77777777" w:rsidR="000F14A0" w:rsidRDefault="000F14A0">
      <w:pPr>
        <w:spacing w:after="0" w:line="240" w:lineRule="auto"/>
      </w:pPr>
      <w:r>
        <w:continuationSeparator/>
      </w:r>
    </w:p>
  </w:footnote>
  <w:footnote w:type="continuationNotice" w:id="1">
    <w:p w14:paraId="3BEC27B8" w14:textId="77777777" w:rsidR="000F14A0" w:rsidRDefault="000F14A0">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88F7" w14:textId="4EE98837" w:rsidR="003302D4" w:rsidRDefault="003302D4">
    <w:pPr>
      <w:pStyle w:val="Header"/>
    </w:pPr>
    <w:r>
      <w:rPr>
        <w:noProof/>
      </w:rPr>
      <mc:AlternateContent>
        <mc:Choice Requires="wps">
          <w:drawing>
            <wp:anchor distT="0" distB="0" distL="0" distR="0" simplePos="0" relativeHeight="251658255" behindDoc="0" locked="0" layoutInCell="1" allowOverlap="1" wp14:anchorId="701B8C7B" wp14:editId="345902C1">
              <wp:simplePos x="635" y="635"/>
              <wp:positionH relativeFrom="page">
                <wp:align>center</wp:align>
              </wp:positionH>
              <wp:positionV relativeFrom="page">
                <wp:align>top</wp:align>
              </wp:positionV>
              <wp:extent cx="551815" cy="404495"/>
              <wp:effectExtent l="0" t="0" r="635" b="14605"/>
              <wp:wrapNone/>
              <wp:docPr id="14407669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0C9CEA" w14:textId="18EC9E58"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1B8C7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20C9CEA" w14:textId="18EC9E58"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12D8" w14:textId="3E5A7D88" w:rsidR="003302D4" w:rsidRDefault="003302D4">
    <w:pPr>
      <w:pStyle w:val="Header"/>
    </w:pPr>
    <w:r>
      <w:rPr>
        <w:noProof/>
      </w:rPr>
      <mc:AlternateContent>
        <mc:Choice Requires="wps">
          <w:drawing>
            <wp:anchor distT="0" distB="0" distL="0" distR="0" simplePos="0" relativeHeight="251658264" behindDoc="0" locked="0" layoutInCell="1" allowOverlap="1" wp14:anchorId="308E92DD" wp14:editId="34EBCC67">
              <wp:simplePos x="635" y="635"/>
              <wp:positionH relativeFrom="page">
                <wp:align>center</wp:align>
              </wp:positionH>
              <wp:positionV relativeFrom="page">
                <wp:align>top</wp:align>
              </wp:positionV>
              <wp:extent cx="551815" cy="404495"/>
              <wp:effectExtent l="0" t="0" r="635" b="14605"/>
              <wp:wrapNone/>
              <wp:docPr id="64300715"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0BF9CB" w14:textId="367A9186"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8E92DD" id="_x0000_t202" coordsize="21600,21600" o:spt="202" path="m,l,21600r21600,l21600,xe">
              <v:stroke joinstyle="miter"/>
              <v:path gradientshapeok="t" o:connecttype="rect"/>
            </v:shapetype>
            <v:shape id="Text Box 11" o:spid="_x0000_s1039" type="#_x0000_t202" alt="OFFICIAL" style="position:absolute;left:0;text-align:left;margin-left:0;margin-top:0;width:43.45pt;height:31.85pt;z-index:251658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vhIDuDgIAAB0E&#10;AAAOAAAAAAAAAAAAAAAAAC4CAABkcnMvZTJvRG9jLnhtbFBLAQItABQABgAIAAAAIQD8pn6y2gAA&#10;AAMBAAAPAAAAAAAAAAAAAAAAAGgEAABkcnMvZG93bnJldi54bWxQSwUGAAAAAAQABADzAAAAbwUA&#10;AAAA&#10;" filled="f" stroked="f">
              <v:textbox style="mso-fit-shape-to-text:t" inset="0,15pt,0,0">
                <w:txbxContent>
                  <w:p w14:paraId="100BF9CB" w14:textId="367A9186"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9754" w14:textId="471F594B" w:rsidR="003302D4" w:rsidRDefault="00D74F62" w:rsidP="00D74F62">
    <w:pPr>
      <w:pStyle w:val="Header"/>
      <w:jc w:val="left"/>
    </w:pPr>
    <w:r>
      <w:t>Toxicant default guideline values for aquatic ecosystem protection</w:t>
    </w:r>
    <w:r w:rsidRPr="00B74454">
      <w:t xml:space="preserve">: </w:t>
    </w:r>
    <w:r>
      <w:t>I</w:t>
    </w:r>
    <w:r w:rsidRPr="00B74454">
      <w:t>ron in marine water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1458" w14:textId="39293AAA" w:rsidR="003302D4" w:rsidRDefault="003302D4">
    <w:pPr>
      <w:pStyle w:val="Header"/>
    </w:pPr>
    <w:r>
      <w:rPr>
        <w:noProof/>
      </w:rPr>
      <mc:AlternateContent>
        <mc:Choice Requires="wps">
          <w:drawing>
            <wp:anchor distT="0" distB="0" distL="0" distR="0" simplePos="0" relativeHeight="251658267" behindDoc="0" locked="0" layoutInCell="1" allowOverlap="1" wp14:anchorId="7DBC4D77" wp14:editId="29E78DD1">
              <wp:simplePos x="635" y="635"/>
              <wp:positionH relativeFrom="page">
                <wp:align>center</wp:align>
              </wp:positionH>
              <wp:positionV relativeFrom="page">
                <wp:align>top</wp:align>
              </wp:positionV>
              <wp:extent cx="551815" cy="404495"/>
              <wp:effectExtent l="0" t="0" r="635" b="14605"/>
              <wp:wrapNone/>
              <wp:docPr id="201718881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D58DE4C" w14:textId="1554EACB"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BC4D77" id="_x0000_t202" coordsize="21600,21600" o:spt="202" path="m,l,21600r21600,l21600,xe">
              <v:stroke joinstyle="miter"/>
              <v:path gradientshapeok="t" o:connecttype="rect"/>
            </v:shapetype>
            <v:shape id="Text Box 10" o:spid="_x0000_s1041" type="#_x0000_t202" alt="OFFICIAL" style="position:absolute;left:0;text-align:left;margin-left:0;margin-top:0;width:43.45pt;height:31.85pt;z-index:2516582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" filled="f" stroked="f">
              <v:textbox style="mso-fit-shape-to-text:t" inset="0,15pt,0,0">
                <w:txbxContent>
                  <w:p w14:paraId="3D58DE4C" w14:textId="1554EACB"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B9C7C" w14:textId="1AAB6D63" w:rsidR="003302D4" w:rsidRDefault="003302D4">
    <w:pPr>
      <w:pStyle w:val="Header"/>
    </w:pPr>
    <w:r>
      <w:rPr>
        <w:noProof/>
      </w:rPr>
      <mc:AlternateContent>
        <mc:Choice Requires="wps">
          <w:drawing>
            <wp:anchor distT="0" distB="0" distL="0" distR="0" simplePos="0" relativeHeight="251658269" behindDoc="0" locked="0" layoutInCell="1" allowOverlap="1" wp14:anchorId="3D901F98" wp14:editId="32784BBC">
              <wp:simplePos x="635" y="635"/>
              <wp:positionH relativeFrom="page">
                <wp:align>center</wp:align>
              </wp:positionH>
              <wp:positionV relativeFrom="page">
                <wp:align>top</wp:align>
              </wp:positionV>
              <wp:extent cx="551815" cy="404495"/>
              <wp:effectExtent l="0" t="0" r="635" b="14605"/>
              <wp:wrapNone/>
              <wp:docPr id="3141691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6B5481A" w14:textId="039BEBEF"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901F98" id="_x0000_t202" coordsize="21600,21600" o:spt="202" path="m,l,21600r21600,l21600,xe">
              <v:stroke joinstyle="miter"/>
              <v:path gradientshapeok="t" o:connecttype="rect"/>
            </v:shapetype>
            <v:shape id="Text Box 14" o:spid="_x0000_s1043" type="#_x0000_t202" alt="OFFICIAL" style="position:absolute;left:0;text-align:left;margin-left:0;margin-top:0;width:43.45pt;height:31.85pt;z-index:251658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Fx17XsNAgAAHQQA&#10;AA4AAAAAAAAAAAAAAAAALgIAAGRycy9lMm9Eb2MueG1sUEsBAi0AFAAGAAgAAAAhAPymfrLaAAAA&#10;AwEAAA8AAAAAAAAAAAAAAAAAZwQAAGRycy9kb3ducmV2LnhtbFBLBQYAAAAABAAEAPMAAABuBQAA&#10;AAA=&#10;" filled="f" stroked="f">
              <v:textbox style="mso-fit-shape-to-text:t" inset="0,15pt,0,0">
                <w:txbxContent>
                  <w:p w14:paraId="56B5481A" w14:textId="039BEBEF"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0768" w14:textId="2EBD1119" w:rsidR="003302D4" w:rsidRDefault="0039483A" w:rsidP="0039483A">
    <w:pPr>
      <w:pStyle w:val="Header"/>
      <w:jc w:val="left"/>
    </w:pPr>
    <w:r>
      <w:t>Toxicant default guideline values for aquatic ecosystem protection</w:t>
    </w:r>
    <w:r w:rsidRPr="00B74454">
      <w:t xml:space="preserve">: </w:t>
    </w:r>
    <w:r>
      <w:t>I</w:t>
    </w:r>
    <w:r w:rsidRPr="00B74454">
      <w:t>ron in marine water</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B56A" w14:textId="0E7B2EF8" w:rsidR="003302D4" w:rsidRDefault="0039483A" w:rsidP="0039483A">
    <w:pPr>
      <w:pStyle w:val="Header"/>
      <w:jc w:val="left"/>
    </w:pPr>
    <w:r>
      <w:t>Toxicant default guideline values for aquatic ecosystem protection</w:t>
    </w:r>
    <w:r w:rsidRPr="00B74454">
      <w:t xml:space="preserve">: </w:t>
    </w:r>
    <w:r>
      <w:t>I</w:t>
    </w:r>
    <w:r w:rsidRPr="00B74454">
      <w:t>ron in marine water</w:t>
    </w:r>
    <w:r w:rsidR="003302D4">
      <w:rPr>
        <w:noProof/>
      </w:rPr>
      <mc:AlternateContent>
        <mc:Choice Requires="wps">
          <w:drawing>
            <wp:anchor distT="0" distB="0" distL="0" distR="0" simplePos="0" relativeHeight="251658273" behindDoc="0" locked="0" layoutInCell="1" allowOverlap="1" wp14:anchorId="4C1E5341" wp14:editId="23729762">
              <wp:simplePos x="635" y="635"/>
              <wp:positionH relativeFrom="page">
                <wp:align>center</wp:align>
              </wp:positionH>
              <wp:positionV relativeFrom="page">
                <wp:align>top</wp:align>
              </wp:positionV>
              <wp:extent cx="551815" cy="404495"/>
              <wp:effectExtent l="0" t="0" r="635" b="14605"/>
              <wp:wrapNone/>
              <wp:docPr id="1032109669"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74EFD7A" w14:textId="2C5F1713"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1E5341" id="_x0000_t202" coordsize="21600,21600" o:spt="202" path="m,l,21600r21600,l21600,xe">
              <v:stroke joinstyle="miter"/>
              <v:path gradientshapeok="t" o:connecttype="rect"/>
            </v:shapetype>
            <v:shape id="Text Box 13" o:spid="_x0000_s1045" type="#_x0000_t202" alt="OFFICIAL" style="position:absolute;margin-left:0;margin-top:0;width:43.45pt;height:31.85pt;z-index:2516582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" filled="f" stroked="f">
              <v:textbox style="mso-fit-shape-to-text:t" inset="0,15pt,0,0">
                <w:txbxContent>
                  <w:p w14:paraId="774EFD7A" w14:textId="2C5F1713"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C935" w14:textId="1085B1F9" w:rsidR="00797B90" w:rsidRDefault="00352419" w:rsidP="003179D5">
    <w:pPr>
      <w:pStyle w:val="Header"/>
      <w:jc w:val="left"/>
    </w:pPr>
    <w:r>
      <w:rPr>
        <w:noProof/>
        <w:lang w:eastAsia="en-AU"/>
      </w:rPr>
      <w:drawing>
        <wp:anchor distT="0" distB="0" distL="114300" distR="114300" simplePos="0" relativeHeight="251658241" behindDoc="1" locked="0" layoutInCell="1" allowOverlap="1" wp14:anchorId="040F12DF" wp14:editId="0142C622">
          <wp:simplePos x="0" y="0"/>
          <wp:positionH relativeFrom="page">
            <wp:align>left</wp:align>
          </wp:positionH>
          <wp:positionV relativeFrom="page">
            <wp:align>top</wp:align>
          </wp:positionV>
          <wp:extent cx="7556400" cy="10688400"/>
          <wp:effectExtent l="0" t="0" r="635" b="5080"/>
          <wp:wrapNone/>
          <wp:docPr id="1507078691" name="Picture 1507078691"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3671" w14:textId="1487E7FB" w:rsidR="00797B90" w:rsidRDefault="003302D4" w:rsidP="00352419">
    <w:pPr>
      <w:pStyle w:val="Header"/>
      <w:jc w:val="left"/>
    </w:pPr>
    <w:r>
      <w:rPr>
        <w:noProof/>
      </w:rPr>
      <mc:AlternateContent>
        <mc:Choice Requires="wps">
          <w:drawing>
            <wp:anchor distT="0" distB="0" distL="0" distR="0" simplePos="0" relativeHeight="251658244" behindDoc="0" locked="0" layoutInCell="1" allowOverlap="1" wp14:anchorId="3CDB501E" wp14:editId="754A18D4">
              <wp:simplePos x="635" y="635"/>
              <wp:positionH relativeFrom="page">
                <wp:align>center</wp:align>
              </wp:positionH>
              <wp:positionV relativeFrom="page">
                <wp:align>top</wp:align>
              </wp:positionV>
              <wp:extent cx="551815" cy="404495"/>
              <wp:effectExtent l="0" t="0" r="635" b="14605"/>
              <wp:wrapNone/>
              <wp:docPr id="20488560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9BDF541" w14:textId="3776AE68"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DB501E"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9BDF541" w14:textId="3776AE68"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r w:rsidR="00352419">
      <w:rPr>
        <w:noProof/>
      </w:rPr>
      <mc:AlternateContent>
        <mc:Choice Requires="wps">
          <w:drawing>
            <wp:anchor distT="0" distB="0" distL="0" distR="0" simplePos="0" relativeHeight="251658243" behindDoc="0" locked="0" layoutInCell="1" allowOverlap="1" wp14:anchorId="3197B46B" wp14:editId="23F14032">
              <wp:simplePos x="0" y="0"/>
              <wp:positionH relativeFrom="page">
                <wp:align>center</wp:align>
              </wp:positionH>
              <wp:positionV relativeFrom="page">
                <wp:posOffset>89701</wp:posOffset>
              </wp:positionV>
              <wp:extent cx="550800" cy="187200"/>
              <wp:effectExtent l="0" t="0" r="6985" b="4445"/>
              <wp:wrapNone/>
              <wp:docPr id="744029383"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0800" cy="187200"/>
                      </a:xfrm>
                      <a:prstGeom prst="rect">
                        <a:avLst/>
                      </a:prstGeom>
                      <a:noFill/>
                      <a:ln>
                        <a:noFill/>
                      </a:ln>
                    </wps:spPr>
                    <wps:txbx>
                      <w:txbxContent>
                        <w:p w14:paraId="30C6BCB0" w14:textId="77777777" w:rsidR="00352419" w:rsidRPr="00E3798A" w:rsidRDefault="00352419" w:rsidP="00352419">
                          <w:pPr>
                            <w:spacing w:after="0" w:line="240" w:lineRule="auto"/>
                            <w:rPr>
                              <w:rFonts w:ascii="Calibri" w:eastAsia="Calibri" w:hAnsi="Calibri" w:cs="Calibri"/>
                              <w:noProof/>
                              <w:color w:val="FF0000"/>
                              <w:sz w:val="24"/>
                              <w:szCs w:val="24"/>
                            </w:rPr>
                          </w:pPr>
                          <w:r w:rsidRPr="00E379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97B46B" id="Text Box 30" o:spid="_x0000_s1029" type="#_x0000_t202" alt="OFFICIAL" style="position:absolute;margin-left:0;margin-top:7.05pt;width:43.35pt;height:14.75pt;z-index:251658243;visibility:visible;mso-wrap-style:none;mso-width-percent:0;mso-height-percent:0;mso-wrap-distance-left:0;mso-wrap-distance-top:0;mso-wrap-distance-right:0;mso-wrap-distance-bottom:0;mso-position-horizontal:center;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" filled="f" stroked="f">
              <v:textbox style="mso-fit-shape-to-text:t" inset="0,0,0,0">
                <w:txbxContent>
                  <w:p w14:paraId="30C6BCB0" w14:textId="77777777" w:rsidR="00352419" w:rsidRPr="00E3798A" w:rsidRDefault="00352419" w:rsidP="00352419">
                    <w:pPr>
                      <w:spacing w:after="0" w:line="240" w:lineRule="auto"/>
                      <w:rPr>
                        <w:rFonts w:ascii="Calibri" w:eastAsia="Calibri" w:hAnsi="Calibri" w:cs="Calibri"/>
                        <w:noProof/>
                        <w:color w:val="FF0000"/>
                        <w:sz w:val="24"/>
                        <w:szCs w:val="24"/>
                      </w:rPr>
                    </w:pPr>
                    <w:r w:rsidRPr="00E3798A">
                      <w:rPr>
                        <w:rFonts w:ascii="Calibri" w:eastAsia="Calibri" w:hAnsi="Calibri" w:cs="Calibri"/>
                        <w:noProof/>
                        <w:color w:val="FF0000"/>
                        <w:sz w:val="24"/>
                        <w:szCs w:val="24"/>
                      </w:rPr>
                      <w:t>OFFICIAL</w:t>
                    </w:r>
                  </w:p>
                </w:txbxContent>
              </v:textbox>
              <w10:wrap anchorx="page" anchory="page"/>
            </v:shape>
          </w:pict>
        </mc:Fallback>
      </mc:AlternateContent>
    </w:r>
    <w:r w:rsidR="00352419">
      <w:t>Toxicant default guideline values for aquatic ecosystem protection</w:t>
    </w:r>
    <w:r w:rsidR="00352419" w:rsidRPr="00B71F56">
      <w:t xml:space="preserve">: </w:t>
    </w:r>
    <w:r w:rsidR="00352419">
      <w:t>I</w:t>
    </w:r>
    <w:r w:rsidR="00352419" w:rsidRPr="00B71F56">
      <w:t>ron in marine water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542B" w14:textId="53B7EF9A" w:rsidR="003302D4" w:rsidRDefault="003302D4">
    <w:pPr>
      <w:pStyle w:val="Header"/>
    </w:pPr>
    <w:r>
      <w:rPr>
        <w:noProof/>
      </w:rPr>
      <mc:AlternateContent>
        <mc:Choice Requires="wps">
          <w:drawing>
            <wp:anchor distT="0" distB="0" distL="0" distR="0" simplePos="0" relativeHeight="251658257" behindDoc="0" locked="0" layoutInCell="1" allowOverlap="1" wp14:anchorId="526FCC3F" wp14:editId="54805A4B">
              <wp:simplePos x="635" y="635"/>
              <wp:positionH relativeFrom="page">
                <wp:align>center</wp:align>
              </wp:positionH>
              <wp:positionV relativeFrom="page">
                <wp:align>top</wp:align>
              </wp:positionV>
              <wp:extent cx="551815" cy="404495"/>
              <wp:effectExtent l="0" t="0" r="635" b="14605"/>
              <wp:wrapNone/>
              <wp:docPr id="36017065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B3FF68D" w14:textId="2FE24941"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6FCC3F" id="_x0000_t202" coordsize="21600,21600" o:spt="202" path="m,l,21600r21600,l21600,xe">
              <v:stroke joinstyle="miter"/>
              <v:path gradientshapeok="t" o:connecttype="rect"/>
            </v:shapetype>
            <v:shape id="Text Box 5" o:spid="_x0000_s1031" type="#_x0000_t202" alt="OFFICIAL" style="position:absolute;left:0;text-align:left;margin-left:0;margin-top:0;width:43.45pt;height:31.8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textbox style="mso-fit-shape-to-text:t" inset="0,15pt,0,0">
                <w:txbxContent>
                  <w:p w14:paraId="0B3FF68D" w14:textId="2FE24941"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7C9C7" w14:textId="70F75F61" w:rsidR="00352419" w:rsidRDefault="00352419" w:rsidP="003179D5">
    <w:pPr>
      <w:pStyle w:val="Header"/>
      <w:jc w:val="left"/>
    </w:pPr>
    <w:r>
      <w:t>Toxicant default guideline values for aquatic ecosystem protection</w:t>
    </w:r>
    <w:r w:rsidRPr="00B71F56">
      <w:t xml:space="preserve">: </w:t>
    </w:r>
    <w:r>
      <w:t>I</w:t>
    </w:r>
    <w:r w:rsidRPr="00B71F56">
      <w:t>ron in marine 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54B3" w14:textId="476AA375" w:rsidR="003302D4" w:rsidRDefault="003302D4">
    <w:pPr>
      <w:pStyle w:val="Header"/>
    </w:pPr>
    <w:r>
      <w:rPr>
        <w:noProof/>
      </w:rPr>
      <mc:AlternateContent>
        <mc:Choice Requires="wps">
          <w:drawing>
            <wp:anchor distT="0" distB="0" distL="0" distR="0" simplePos="0" relativeHeight="251658259" behindDoc="0" locked="0" layoutInCell="1" allowOverlap="1" wp14:anchorId="610DAAA6" wp14:editId="675B13D0">
              <wp:simplePos x="635" y="635"/>
              <wp:positionH relativeFrom="page">
                <wp:align>center</wp:align>
              </wp:positionH>
              <wp:positionV relativeFrom="page">
                <wp:align>top</wp:align>
              </wp:positionV>
              <wp:extent cx="551815" cy="404495"/>
              <wp:effectExtent l="0" t="0" r="635" b="14605"/>
              <wp:wrapNone/>
              <wp:docPr id="15209604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8A25928" w14:textId="67433DC7"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0DAAA6" id="_x0000_t202" coordsize="21600,21600" o:spt="202" path="m,l,21600r21600,l21600,xe">
              <v:stroke joinstyle="miter"/>
              <v:path gradientshapeok="t" o:connecttype="rect"/>
            </v:shapetype>
            <v:shape id="Text Box 4" o:spid="_x0000_s1033" type="#_x0000_t202" alt="OFFICIAL" style="position:absolute;left:0;text-align:left;margin-left:0;margin-top:0;width:43.45pt;height:31.85pt;z-index:2516582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TYDQIAAB0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7i/t76E+41QOhoV7yzct1t4yH16Yww3jIKja&#10;8IyHVNBVFEaLkgbcj7/5Yz4Sj1FKOlRMRQ1KmhL1zeBCoriSUdzlixxvbnLvJ8Mc9QOgDgt8EpYn&#10;M+YFNZnSgX5DPa9jIQwxw7FcRcNkPoRBuvgeuFivUxLqyLKwNTvLI3TkK5L52r8xZ0fGA67qCSY5&#10;sfId8UNu/NPb9TEg/WkrkduByJFy1GDa6/heosh/vaes66te/QQ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AZ5ZNgNAgAAHQQA&#10;AA4AAAAAAAAAAAAAAAAALgIAAGRycy9lMm9Eb2MueG1sUEsBAi0AFAAGAAgAAAAhAPymfrLaAAAA&#10;AwEAAA8AAAAAAAAAAAAAAAAAZwQAAGRycy9kb3ducmV2LnhtbFBLBQYAAAAABAAEAPMAAABuBQAA&#10;AAA=&#10;" filled="f" stroked="f">
              <v:textbox style="mso-fit-shape-to-text:t" inset="0,15pt,0,0">
                <w:txbxContent>
                  <w:p w14:paraId="58A25928" w14:textId="67433DC7"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57A5" w14:textId="22BD56E4" w:rsidR="003302D4" w:rsidRDefault="003302D4">
    <w:pPr>
      <w:pStyle w:val="Header"/>
    </w:pPr>
    <w:r>
      <w:rPr>
        <w:noProof/>
      </w:rPr>
      <mc:AlternateContent>
        <mc:Choice Requires="wps">
          <w:drawing>
            <wp:anchor distT="0" distB="0" distL="0" distR="0" simplePos="0" relativeHeight="251658261" behindDoc="0" locked="0" layoutInCell="1" allowOverlap="1" wp14:anchorId="54BB21EC" wp14:editId="43FC14A6">
              <wp:simplePos x="635" y="635"/>
              <wp:positionH relativeFrom="page">
                <wp:align>center</wp:align>
              </wp:positionH>
              <wp:positionV relativeFrom="page">
                <wp:align>top</wp:align>
              </wp:positionV>
              <wp:extent cx="551815" cy="404495"/>
              <wp:effectExtent l="0" t="0" r="635" b="14605"/>
              <wp:wrapNone/>
              <wp:docPr id="170980820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F973855" w14:textId="0758E522"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BB21EC" id="_x0000_t202" coordsize="21600,21600" o:spt="202" path="m,l,21600r21600,l21600,xe">
              <v:stroke joinstyle="miter"/>
              <v:path gradientshapeok="t" o:connecttype="rect"/>
            </v:shapetype>
            <v:shape id="Text Box 8" o:spid="_x0000_s1035" type="#_x0000_t202" alt="OFFICIAL" style="position:absolute;left:0;text-align:left;margin-left:0;margin-top:0;width:43.45pt;height:31.85pt;z-index:2516582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GjDgIAAB0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bG7r+O7W+hPuJUDoaFe8tXLdZeMx+emMMN4yCo&#10;2vCIh1TQVRROFiUNuN8f+WM+Eo9RSjpUTEUNSpoS9dPgQqK4klHc5LMcb250b0fD7PUdoA4LfBKW&#10;JzPmBTWa0oF+QT0vYyEMMcOxXEXDaN6FQbr4HrhYLlMS6siysDYbyyN05CuS+dy/MGdPjAdc1QOM&#10;cmLlG+KH3Pint8t9QPrTViK3A5EnylGDaa+n9xJF/vqesi6vevEH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cBwGjDgIAAB0E&#10;AAAOAAAAAAAAAAAAAAAAAC4CAABkcnMvZTJvRG9jLnhtbFBLAQItABQABgAIAAAAIQD8pn6y2gAA&#10;AAMBAAAPAAAAAAAAAAAAAAAAAGgEAABkcnMvZG93bnJldi54bWxQSwUGAAAAAAQABADzAAAAbwUA&#10;AAAA&#10;" filled="f" stroked="f">
              <v:textbox style="mso-fit-shape-to-text:t" inset="0,15pt,0,0">
                <w:txbxContent>
                  <w:p w14:paraId="1F973855" w14:textId="0758E522"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5AB8" w14:textId="540570E8" w:rsidR="00797B90" w:rsidRPr="000756BD" w:rsidRDefault="00797B90" w:rsidP="00352419">
    <w:pPr>
      <w:pStyle w:val="Header"/>
      <w:jc w:val="left"/>
    </w:pPr>
    <w:r>
      <w:t>Toxicant default guideline values for aquatic ecosystem protection</w:t>
    </w:r>
    <w:r w:rsidRPr="00B74454">
      <w:t xml:space="preserve">: </w:t>
    </w:r>
    <w:r w:rsidR="006023A5">
      <w:t>I</w:t>
    </w:r>
    <w:r w:rsidRPr="00B74454">
      <w:t>ron in marine water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1BAA" w14:textId="78874915" w:rsidR="00797B90" w:rsidRPr="000756BD" w:rsidRDefault="003302D4" w:rsidP="000756BD">
    <w:pPr>
      <w:pStyle w:val="Header"/>
    </w:pPr>
    <w:r>
      <w:rPr>
        <w:noProof/>
      </w:rPr>
      <mc:AlternateContent>
        <mc:Choice Requires="wps">
          <w:drawing>
            <wp:anchor distT="0" distB="0" distL="0" distR="0" simplePos="0" relativeHeight="251658247" behindDoc="0" locked="0" layoutInCell="1" allowOverlap="1" wp14:anchorId="790B9DF1" wp14:editId="2CC5706B">
              <wp:simplePos x="635" y="635"/>
              <wp:positionH relativeFrom="page">
                <wp:align>center</wp:align>
              </wp:positionH>
              <wp:positionV relativeFrom="page">
                <wp:align>top</wp:align>
              </wp:positionV>
              <wp:extent cx="551815" cy="404495"/>
              <wp:effectExtent l="0" t="0" r="635" b="14605"/>
              <wp:wrapNone/>
              <wp:docPr id="10353149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7060A5" w14:textId="5F388038"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0B9DF1" id="_x0000_t202" coordsize="21600,21600" o:spt="202" path="m,l,21600r21600,l21600,xe">
              <v:stroke joinstyle="miter"/>
              <v:path gradientshapeok="t" o:connecttype="rect"/>
            </v:shapetype>
            <v:shape id="Text Box 7" o:spid="_x0000_s1037" type="#_x0000_t202" alt="OFFICIAL" style="position:absolute;left:0;text-align:left;margin-left:0;margin-top:0;width:43.45pt;height:31.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VDgIAAB0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bG7r+N7W+hPuJUDoaFe8tXLdZeMx+emMMN4yCo&#10;2vCIh1TQVRROFiUNuN8f+WM+Eo9RSjpUTEUNSpoS9dPgQqK4klHc5LMcb250b0fD7PUdoA4LfBKW&#10;JzPmBTWa0oF+QT0vYyEMMcOxXEXDaN6FQbr4HrhYLlMS6siysDYbyyN05CuS+dy/MGdPjAdc1QOM&#10;cmLlG+KH3Pint8t9QPrTViK3A5EnylGDaa+n9xJF/vqesi6vevEH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o+stVDgIAAB0E&#10;AAAOAAAAAAAAAAAAAAAAAC4CAABkcnMvZTJvRG9jLnhtbFBLAQItABQABgAIAAAAIQD8pn6y2gAA&#10;AAMBAAAPAAAAAAAAAAAAAAAAAGgEAABkcnMvZG93bnJldi54bWxQSwUGAAAAAAQABADzAAAAbwUA&#10;AAAA&#10;" filled="f" stroked="f">
              <v:textbox style="mso-fit-shape-to-text:t" inset="0,15pt,0,0">
                <w:txbxContent>
                  <w:p w14:paraId="517060A5" w14:textId="5F388038" w:rsidR="003302D4" w:rsidRPr="003302D4" w:rsidRDefault="003302D4" w:rsidP="003302D4">
                    <w:pPr>
                      <w:spacing w:after="0"/>
                      <w:rPr>
                        <w:rFonts w:ascii="Calibri" w:eastAsia="Calibri" w:hAnsi="Calibri" w:cs="Calibri"/>
                        <w:noProof/>
                        <w:color w:val="FF0000"/>
                        <w:sz w:val="24"/>
                        <w:szCs w:val="24"/>
                      </w:rPr>
                    </w:pPr>
                    <w:r w:rsidRPr="003302D4">
                      <w:rPr>
                        <w:rFonts w:ascii="Calibri" w:eastAsia="Calibri" w:hAnsi="Calibri" w:cs="Calibri"/>
                        <w:noProof/>
                        <w:color w:val="FF0000"/>
                        <w:sz w:val="24"/>
                        <w:szCs w:val="24"/>
                      </w:rPr>
                      <w:t>OFFICIAL</w:t>
                    </w:r>
                  </w:p>
                </w:txbxContent>
              </v:textbox>
              <w10:wrap anchorx="page" anchory="page"/>
            </v:shape>
          </w:pict>
        </mc:Fallback>
      </mc:AlternateContent>
    </w:r>
    <w:r w:rsidR="00797B90">
      <w:t xml:space="preserve">Toxicant default guideline values for aquatic ecosystem protection: </w:t>
    </w:r>
    <w:r w:rsidR="006023A5">
      <w:t>I</w:t>
    </w:r>
    <w:r w:rsidR="00797B90" w:rsidRPr="00B74454">
      <w:t>ron in marine 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5A6"/>
    <w:multiLevelType w:val="hybridMultilevel"/>
    <w:tmpl w:val="287C7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54006D"/>
    <w:multiLevelType w:val="hybridMultilevel"/>
    <w:tmpl w:val="1EC0E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4" w15:restartNumberingAfterBreak="0">
    <w:nsid w:val="17FA091E"/>
    <w:multiLevelType w:val="multilevel"/>
    <w:tmpl w:val="757ED760"/>
    <w:numStyleLink w:val="Style1"/>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53399E"/>
    <w:multiLevelType w:val="multilevel"/>
    <w:tmpl w:val="88964F4C"/>
    <w:numStyleLink w:val="heading"/>
  </w:abstractNum>
  <w:abstractNum w:abstractNumId="7" w15:restartNumberingAfterBreak="0">
    <w:nsid w:val="266777A9"/>
    <w:multiLevelType w:val="hybridMultilevel"/>
    <w:tmpl w:val="05585B16"/>
    <w:lvl w:ilvl="0" w:tplc="31D8840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95CBA"/>
    <w:multiLevelType w:val="hybridMultilevel"/>
    <w:tmpl w:val="22684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0" w15:restartNumberingAfterBreak="0">
    <w:nsid w:val="2D595B46"/>
    <w:multiLevelType w:val="multilevel"/>
    <w:tmpl w:val="C32AB9AA"/>
    <w:numStyleLink w:val="ListNumber1"/>
  </w:abstractNum>
  <w:abstractNum w:abstractNumId="11"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2" w15:restartNumberingAfterBreak="0">
    <w:nsid w:val="36D54222"/>
    <w:multiLevelType w:val="multilevel"/>
    <w:tmpl w:val="757ED760"/>
    <w:numStyleLink w:val="Style1"/>
  </w:abstractNum>
  <w:abstractNum w:abstractNumId="13" w15:restartNumberingAfterBreak="0">
    <w:nsid w:val="375444C6"/>
    <w:multiLevelType w:val="hybridMultilevel"/>
    <w:tmpl w:val="D6621810"/>
    <w:lvl w:ilvl="0" w:tplc="FFFFFFFF">
      <w:start w:val="1"/>
      <w:numFmt w:val="decimal"/>
      <w:lvlText w:val="%1."/>
      <w:lvlJc w:val="left"/>
      <w:pPr>
        <w:ind w:left="720" w:hanging="360"/>
      </w:pPr>
      <w:rPr>
        <w:b w:val="0"/>
        <w:bCs/>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6" w15:restartNumberingAfterBreak="0">
    <w:nsid w:val="4204521B"/>
    <w:multiLevelType w:val="hybridMultilevel"/>
    <w:tmpl w:val="1B5845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65E4583"/>
    <w:multiLevelType w:val="hybridMultilevel"/>
    <w:tmpl w:val="E28A5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0" w15:restartNumberingAfterBreak="0">
    <w:nsid w:val="4D2B2157"/>
    <w:multiLevelType w:val="hybridMultilevel"/>
    <w:tmpl w:val="A0D24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7636387C"/>
    <w:multiLevelType w:val="multilevel"/>
    <w:tmpl w:val="6346ED0E"/>
    <w:numStyleLink w:val="listbullets"/>
  </w:abstractNum>
  <w:num w:numId="1" w16cid:durableId="398135551">
    <w:abstractNumId w:val="18"/>
  </w:num>
  <w:num w:numId="2" w16cid:durableId="2057772593">
    <w:abstractNumId w:val="5"/>
  </w:num>
  <w:num w:numId="3" w16cid:durableId="532231317">
    <w:abstractNumId w:val="21"/>
  </w:num>
  <w:num w:numId="4" w16cid:durableId="1287389204">
    <w:abstractNumId w:val="9"/>
  </w:num>
  <w:num w:numId="5" w16cid:durableId="1352222456">
    <w:abstractNumId w:val="11"/>
  </w:num>
  <w:num w:numId="6" w16cid:durableId="1249727331">
    <w:abstractNumId w:val="19"/>
  </w:num>
  <w:num w:numId="7" w16cid:durableId="637415570">
    <w:abstractNumId w:val="22"/>
  </w:num>
  <w:num w:numId="8" w16cid:durableId="374280277">
    <w:abstractNumId w:val="15"/>
  </w:num>
  <w:num w:numId="9" w16cid:durableId="404575587">
    <w:abstractNumId w:val="10"/>
  </w:num>
  <w:num w:numId="10" w16cid:durableId="1710957119">
    <w:abstractNumId w:val="2"/>
  </w:num>
  <w:num w:numId="11" w16cid:durableId="1943225311">
    <w:abstractNumId w:val="6"/>
  </w:num>
  <w:num w:numId="12" w16cid:durableId="1242258378">
    <w:abstractNumId w:val="14"/>
  </w:num>
  <w:num w:numId="13" w16cid:durableId="1252737260">
    <w:abstractNumId w:val="3"/>
  </w:num>
  <w:num w:numId="14" w16cid:durableId="18671339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873384">
    <w:abstractNumId w:val="12"/>
  </w:num>
  <w:num w:numId="16" w16cid:durableId="1628009204">
    <w:abstractNumId w:val="4"/>
  </w:num>
  <w:num w:numId="17" w16cid:durableId="1845775277">
    <w:abstractNumId w:val="4"/>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2073120761">
    <w:abstractNumId w:val="7"/>
  </w:num>
  <w:num w:numId="19" w16cid:durableId="847060418">
    <w:abstractNumId w:val="17"/>
  </w:num>
  <w:num w:numId="20" w16cid:durableId="71388750">
    <w:abstractNumId w:val="20"/>
  </w:num>
  <w:num w:numId="21" w16cid:durableId="510989870">
    <w:abstractNumId w:val="8"/>
  </w:num>
  <w:num w:numId="22" w16cid:durableId="1568418224">
    <w:abstractNumId w:val="0"/>
  </w:num>
  <w:num w:numId="23" w16cid:durableId="1505783301">
    <w:abstractNumId w:val="1"/>
  </w:num>
  <w:num w:numId="24" w16cid:durableId="17660742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29370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0D55"/>
    <w:rsid w:val="00001F7B"/>
    <w:rsid w:val="00002103"/>
    <w:rsid w:val="000045F1"/>
    <w:rsid w:val="00004BFD"/>
    <w:rsid w:val="00004D43"/>
    <w:rsid w:val="000071BC"/>
    <w:rsid w:val="000076BA"/>
    <w:rsid w:val="00015EF0"/>
    <w:rsid w:val="00022D4B"/>
    <w:rsid w:val="000232AA"/>
    <w:rsid w:val="00023B06"/>
    <w:rsid w:val="00024203"/>
    <w:rsid w:val="00025022"/>
    <w:rsid w:val="00027FDD"/>
    <w:rsid w:val="000306F2"/>
    <w:rsid w:val="00040C35"/>
    <w:rsid w:val="00041FC0"/>
    <w:rsid w:val="00042201"/>
    <w:rsid w:val="0004390D"/>
    <w:rsid w:val="000441E1"/>
    <w:rsid w:val="00045AC6"/>
    <w:rsid w:val="00046509"/>
    <w:rsid w:val="00046E85"/>
    <w:rsid w:val="00047189"/>
    <w:rsid w:val="00047A20"/>
    <w:rsid w:val="000554CB"/>
    <w:rsid w:val="000565F3"/>
    <w:rsid w:val="0006034F"/>
    <w:rsid w:val="0006124C"/>
    <w:rsid w:val="000614A5"/>
    <w:rsid w:val="00061882"/>
    <w:rsid w:val="00062058"/>
    <w:rsid w:val="00064589"/>
    <w:rsid w:val="00064D85"/>
    <w:rsid w:val="00065D6A"/>
    <w:rsid w:val="000665FB"/>
    <w:rsid w:val="00066A0D"/>
    <w:rsid w:val="00066C92"/>
    <w:rsid w:val="00075541"/>
    <w:rsid w:val="000756BD"/>
    <w:rsid w:val="000771F9"/>
    <w:rsid w:val="00080CBE"/>
    <w:rsid w:val="00082882"/>
    <w:rsid w:val="00082BD0"/>
    <w:rsid w:val="00083F31"/>
    <w:rsid w:val="00085418"/>
    <w:rsid w:val="000858F7"/>
    <w:rsid w:val="00086044"/>
    <w:rsid w:val="00086579"/>
    <w:rsid w:val="00091255"/>
    <w:rsid w:val="000931E1"/>
    <w:rsid w:val="00093257"/>
    <w:rsid w:val="0009734B"/>
    <w:rsid w:val="000979D2"/>
    <w:rsid w:val="000A1998"/>
    <w:rsid w:val="000A5232"/>
    <w:rsid w:val="000A68FE"/>
    <w:rsid w:val="000B12F2"/>
    <w:rsid w:val="000B16D8"/>
    <w:rsid w:val="000B6869"/>
    <w:rsid w:val="000C23BF"/>
    <w:rsid w:val="000C36BD"/>
    <w:rsid w:val="000C3E1E"/>
    <w:rsid w:val="000C4144"/>
    <w:rsid w:val="000C4F7F"/>
    <w:rsid w:val="000C4F9D"/>
    <w:rsid w:val="000C583A"/>
    <w:rsid w:val="000D4C84"/>
    <w:rsid w:val="000D5003"/>
    <w:rsid w:val="000E13F7"/>
    <w:rsid w:val="000E14F5"/>
    <w:rsid w:val="000E181D"/>
    <w:rsid w:val="000E1FAD"/>
    <w:rsid w:val="000E2AFF"/>
    <w:rsid w:val="000E40C1"/>
    <w:rsid w:val="000F14A0"/>
    <w:rsid w:val="000F248B"/>
    <w:rsid w:val="000F2821"/>
    <w:rsid w:val="000F3266"/>
    <w:rsid w:val="000F3421"/>
    <w:rsid w:val="000F3526"/>
    <w:rsid w:val="000F5245"/>
    <w:rsid w:val="000F5B37"/>
    <w:rsid w:val="000F60C8"/>
    <w:rsid w:val="000F6385"/>
    <w:rsid w:val="000F664D"/>
    <w:rsid w:val="000F7E40"/>
    <w:rsid w:val="00101746"/>
    <w:rsid w:val="00101EF5"/>
    <w:rsid w:val="0010227C"/>
    <w:rsid w:val="00102356"/>
    <w:rsid w:val="00103E15"/>
    <w:rsid w:val="00104AA2"/>
    <w:rsid w:val="00105773"/>
    <w:rsid w:val="00106446"/>
    <w:rsid w:val="00106F89"/>
    <w:rsid w:val="0010773A"/>
    <w:rsid w:val="001104DF"/>
    <w:rsid w:val="001107EE"/>
    <w:rsid w:val="00113CD9"/>
    <w:rsid w:val="00115EE0"/>
    <w:rsid w:val="00116EB9"/>
    <w:rsid w:val="00121BA7"/>
    <w:rsid w:val="00122290"/>
    <w:rsid w:val="001222E1"/>
    <w:rsid w:val="001232BB"/>
    <w:rsid w:val="00124059"/>
    <w:rsid w:val="00124AE2"/>
    <w:rsid w:val="00124BA4"/>
    <w:rsid w:val="001253B6"/>
    <w:rsid w:val="0012559D"/>
    <w:rsid w:val="00125820"/>
    <w:rsid w:val="00125874"/>
    <w:rsid w:val="00126E4D"/>
    <w:rsid w:val="001303C0"/>
    <w:rsid w:val="0013046E"/>
    <w:rsid w:val="0013556A"/>
    <w:rsid w:val="00135A2E"/>
    <w:rsid w:val="001363DF"/>
    <w:rsid w:val="0013716E"/>
    <w:rsid w:val="00137C40"/>
    <w:rsid w:val="00140EC4"/>
    <w:rsid w:val="00140FA4"/>
    <w:rsid w:val="00141CDD"/>
    <w:rsid w:val="001424B6"/>
    <w:rsid w:val="00142A8E"/>
    <w:rsid w:val="00144BB2"/>
    <w:rsid w:val="001465C2"/>
    <w:rsid w:val="00146699"/>
    <w:rsid w:val="00150B7C"/>
    <w:rsid w:val="00157475"/>
    <w:rsid w:val="00160547"/>
    <w:rsid w:val="00167775"/>
    <w:rsid w:val="0016777B"/>
    <w:rsid w:val="0017001B"/>
    <w:rsid w:val="00171EF7"/>
    <w:rsid w:val="00177F9D"/>
    <w:rsid w:val="00184FDC"/>
    <w:rsid w:val="0019019B"/>
    <w:rsid w:val="001919EF"/>
    <w:rsid w:val="00192916"/>
    <w:rsid w:val="00192A10"/>
    <w:rsid w:val="00192E9E"/>
    <w:rsid w:val="0019504F"/>
    <w:rsid w:val="001A1F08"/>
    <w:rsid w:val="001A33B1"/>
    <w:rsid w:val="001A3C39"/>
    <w:rsid w:val="001A43BC"/>
    <w:rsid w:val="001A4F5E"/>
    <w:rsid w:val="001A5309"/>
    <w:rsid w:val="001A55F8"/>
    <w:rsid w:val="001B0C3A"/>
    <w:rsid w:val="001B1625"/>
    <w:rsid w:val="001B1DB2"/>
    <w:rsid w:val="001B1F01"/>
    <w:rsid w:val="001B26FA"/>
    <w:rsid w:val="001B54ED"/>
    <w:rsid w:val="001B78DD"/>
    <w:rsid w:val="001B79B1"/>
    <w:rsid w:val="001C0CCC"/>
    <w:rsid w:val="001C0D1C"/>
    <w:rsid w:val="001C1F9D"/>
    <w:rsid w:val="001C3328"/>
    <w:rsid w:val="001C594B"/>
    <w:rsid w:val="001D0020"/>
    <w:rsid w:val="001D0EEC"/>
    <w:rsid w:val="001D6845"/>
    <w:rsid w:val="001E0D40"/>
    <w:rsid w:val="001E1864"/>
    <w:rsid w:val="001E33B9"/>
    <w:rsid w:val="001E5335"/>
    <w:rsid w:val="001E598C"/>
    <w:rsid w:val="001E64EA"/>
    <w:rsid w:val="001F3EC7"/>
    <w:rsid w:val="001F5678"/>
    <w:rsid w:val="001F58AC"/>
    <w:rsid w:val="001F6597"/>
    <w:rsid w:val="001F7A9F"/>
    <w:rsid w:val="002000EB"/>
    <w:rsid w:val="00200707"/>
    <w:rsid w:val="002013CB"/>
    <w:rsid w:val="00202E4D"/>
    <w:rsid w:val="00203A71"/>
    <w:rsid w:val="00204D22"/>
    <w:rsid w:val="002058A0"/>
    <w:rsid w:val="0020631E"/>
    <w:rsid w:val="00207963"/>
    <w:rsid w:val="00207A5D"/>
    <w:rsid w:val="00207D54"/>
    <w:rsid w:val="00210F27"/>
    <w:rsid w:val="00211837"/>
    <w:rsid w:val="0021410D"/>
    <w:rsid w:val="0021436A"/>
    <w:rsid w:val="00216007"/>
    <w:rsid w:val="00216CA0"/>
    <w:rsid w:val="002170B1"/>
    <w:rsid w:val="002178AD"/>
    <w:rsid w:val="002217EF"/>
    <w:rsid w:val="00223D59"/>
    <w:rsid w:val="002265D4"/>
    <w:rsid w:val="002266D7"/>
    <w:rsid w:val="00231EE2"/>
    <w:rsid w:val="00232DEF"/>
    <w:rsid w:val="0023312E"/>
    <w:rsid w:val="00236F28"/>
    <w:rsid w:val="002403A3"/>
    <w:rsid w:val="00243741"/>
    <w:rsid w:val="002449AB"/>
    <w:rsid w:val="00244B3B"/>
    <w:rsid w:val="00245DE8"/>
    <w:rsid w:val="002468C2"/>
    <w:rsid w:val="0024695A"/>
    <w:rsid w:val="00251E1E"/>
    <w:rsid w:val="00252526"/>
    <w:rsid w:val="00255481"/>
    <w:rsid w:val="00256CC3"/>
    <w:rsid w:val="002611CD"/>
    <w:rsid w:val="00261328"/>
    <w:rsid w:val="0026175B"/>
    <w:rsid w:val="00262040"/>
    <w:rsid w:val="00263216"/>
    <w:rsid w:val="00265314"/>
    <w:rsid w:val="00267043"/>
    <w:rsid w:val="00270293"/>
    <w:rsid w:val="00273570"/>
    <w:rsid w:val="0027391F"/>
    <w:rsid w:val="002771A2"/>
    <w:rsid w:val="00282C17"/>
    <w:rsid w:val="00283D3F"/>
    <w:rsid w:val="002864CE"/>
    <w:rsid w:val="0028676C"/>
    <w:rsid w:val="00286B19"/>
    <w:rsid w:val="00290C31"/>
    <w:rsid w:val="002911F7"/>
    <w:rsid w:val="002951F2"/>
    <w:rsid w:val="00295CD8"/>
    <w:rsid w:val="00296509"/>
    <w:rsid w:val="002A3435"/>
    <w:rsid w:val="002A352C"/>
    <w:rsid w:val="002A49B2"/>
    <w:rsid w:val="002A5E38"/>
    <w:rsid w:val="002A66EA"/>
    <w:rsid w:val="002A723F"/>
    <w:rsid w:val="002B0890"/>
    <w:rsid w:val="002B25B4"/>
    <w:rsid w:val="002B2685"/>
    <w:rsid w:val="002B37C4"/>
    <w:rsid w:val="002B46E4"/>
    <w:rsid w:val="002B675E"/>
    <w:rsid w:val="002B779C"/>
    <w:rsid w:val="002C28F6"/>
    <w:rsid w:val="002C386D"/>
    <w:rsid w:val="002C5503"/>
    <w:rsid w:val="002C7EBF"/>
    <w:rsid w:val="002D02E4"/>
    <w:rsid w:val="002D18F7"/>
    <w:rsid w:val="002D20EE"/>
    <w:rsid w:val="002D6BAC"/>
    <w:rsid w:val="002D7605"/>
    <w:rsid w:val="002E1B22"/>
    <w:rsid w:val="002E6A7C"/>
    <w:rsid w:val="002E7A46"/>
    <w:rsid w:val="002E7F16"/>
    <w:rsid w:val="002F16E6"/>
    <w:rsid w:val="002F6F87"/>
    <w:rsid w:val="002F78BD"/>
    <w:rsid w:val="002F78E9"/>
    <w:rsid w:val="003003AF"/>
    <w:rsid w:val="00300E31"/>
    <w:rsid w:val="00303CA0"/>
    <w:rsid w:val="0030525D"/>
    <w:rsid w:val="00311CEF"/>
    <w:rsid w:val="0031303B"/>
    <w:rsid w:val="00313E4A"/>
    <w:rsid w:val="003175F5"/>
    <w:rsid w:val="003179D5"/>
    <w:rsid w:val="0032001B"/>
    <w:rsid w:val="00321198"/>
    <w:rsid w:val="003211D9"/>
    <w:rsid w:val="00321E39"/>
    <w:rsid w:val="0032251D"/>
    <w:rsid w:val="00322C91"/>
    <w:rsid w:val="003232C1"/>
    <w:rsid w:val="00325D68"/>
    <w:rsid w:val="003302D4"/>
    <w:rsid w:val="0033058F"/>
    <w:rsid w:val="003306C2"/>
    <w:rsid w:val="00334539"/>
    <w:rsid w:val="003346C8"/>
    <w:rsid w:val="00334A33"/>
    <w:rsid w:val="00336850"/>
    <w:rsid w:val="00337A57"/>
    <w:rsid w:val="00340DFC"/>
    <w:rsid w:val="003414D3"/>
    <w:rsid w:val="00341D1A"/>
    <w:rsid w:val="003444B4"/>
    <w:rsid w:val="00346403"/>
    <w:rsid w:val="00347962"/>
    <w:rsid w:val="00350D8F"/>
    <w:rsid w:val="00351AE2"/>
    <w:rsid w:val="00352419"/>
    <w:rsid w:val="0035516F"/>
    <w:rsid w:val="00357E67"/>
    <w:rsid w:val="00362B99"/>
    <w:rsid w:val="00363C9F"/>
    <w:rsid w:val="00364685"/>
    <w:rsid w:val="003655C4"/>
    <w:rsid w:val="0036560D"/>
    <w:rsid w:val="0037069C"/>
    <w:rsid w:val="0037178C"/>
    <w:rsid w:val="00372644"/>
    <w:rsid w:val="00372683"/>
    <w:rsid w:val="003732BA"/>
    <w:rsid w:val="003746A3"/>
    <w:rsid w:val="003748B8"/>
    <w:rsid w:val="003766D9"/>
    <w:rsid w:val="003818D0"/>
    <w:rsid w:val="00384A1C"/>
    <w:rsid w:val="0038628A"/>
    <w:rsid w:val="003876F4"/>
    <w:rsid w:val="00392AC8"/>
    <w:rsid w:val="00392CA3"/>
    <w:rsid w:val="0039412B"/>
    <w:rsid w:val="0039483A"/>
    <w:rsid w:val="00394DA0"/>
    <w:rsid w:val="003954D4"/>
    <w:rsid w:val="003A0331"/>
    <w:rsid w:val="003A0F38"/>
    <w:rsid w:val="003A1923"/>
    <w:rsid w:val="003A41D6"/>
    <w:rsid w:val="003A4F46"/>
    <w:rsid w:val="003A7487"/>
    <w:rsid w:val="003B09EC"/>
    <w:rsid w:val="003B20C1"/>
    <w:rsid w:val="003B5CEE"/>
    <w:rsid w:val="003C0FC8"/>
    <w:rsid w:val="003C13BF"/>
    <w:rsid w:val="003C3EC1"/>
    <w:rsid w:val="003C4087"/>
    <w:rsid w:val="003C4D43"/>
    <w:rsid w:val="003C4FA9"/>
    <w:rsid w:val="003C56FC"/>
    <w:rsid w:val="003C6502"/>
    <w:rsid w:val="003C6D92"/>
    <w:rsid w:val="003C7CDD"/>
    <w:rsid w:val="003D01DD"/>
    <w:rsid w:val="003D073E"/>
    <w:rsid w:val="003D0AF4"/>
    <w:rsid w:val="003D2FDA"/>
    <w:rsid w:val="003D30ED"/>
    <w:rsid w:val="003D4441"/>
    <w:rsid w:val="003D4744"/>
    <w:rsid w:val="003D4A96"/>
    <w:rsid w:val="003D57B8"/>
    <w:rsid w:val="003D5868"/>
    <w:rsid w:val="003D5F4C"/>
    <w:rsid w:val="003D611B"/>
    <w:rsid w:val="003D6AEB"/>
    <w:rsid w:val="003D6B13"/>
    <w:rsid w:val="003E1471"/>
    <w:rsid w:val="003E2335"/>
    <w:rsid w:val="003E2D8E"/>
    <w:rsid w:val="003E708D"/>
    <w:rsid w:val="003E718F"/>
    <w:rsid w:val="003E7DD9"/>
    <w:rsid w:val="003F130B"/>
    <w:rsid w:val="003F1433"/>
    <w:rsid w:val="003F4149"/>
    <w:rsid w:val="003F537B"/>
    <w:rsid w:val="003F7711"/>
    <w:rsid w:val="00401563"/>
    <w:rsid w:val="00401A4E"/>
    <w:rsid w:val="00401C43"/>
    <w:rsid w:val="00402608"/>
    <w:rsid w:val="00402870"/>
    <w:rsid w:val="004059D1"/>
    <w:rsid w:val="004065E8"/>
    <w:rsid w:val="00407160"/>
    <w:rsid w:val="004102F3"/>
    <w:rsid w:val="00412B6F"/>
    <w:rsid w:val="00414748"/>
    <w:rsid w:val="00414B56"/>
    <w:rsid w:val="0041611B"/>
    <w:rsid w:val="004162AB"/>
    <w:rsid w:val="00421F31"/>
    <w:rsid w:val="004238D9"/>
    <w:rsid w:val="004256A7"/>
    <w:rsid w:val="004267AE"/>
    <w:rsid w:val="00427A77"/>
    <w:rsid w:val="0043084E"/>
    <w:rsid w:val="00434390"/>
    <w:rsid w:val="00434904"/>
    <w:rsid w:val="004359D6"/>
    <w:rsid w:val="004377F4"/>
    <w:rsid w:val="0044127A"/>
    <w:rsid w:val="00443EBA"/>
    <w:rsid w:val="00444A4F"/>
    <w:rsid w:val="00444FC5"/>
    <w:rsid w:val="00445CEB"/>
    <w:rsid w:val="00446281"/>
    <w:rsid w:val="004516CD"/>
    <w:rsid w:val="004520F2"/>
    <w:rsid w:val="00453317"/>
    <w:rsid w:val="004618AE"/>
    <w:rsid w:val="00461D13"/>
    <w:rsid w:val="00462A23"/>
    <w:rsid w:val="00467734"/>
    <w:rsid w:val="004710C1"/>
    <w:rsid w:val="00471ABD"/>
    <w:rsid w:val="0047423E"/>
    <w:rsid w:val="00474EFC"/>
    <w:rsid w:val="00476335"/>
    <w:rsid w:val="004815C4"/>
    <w:rsid w:val="004820FE"/>
    <w:rsid w:val="00482169"/>
    <w:rsid w:val="00483701"/>
    <w:rsid w:val="00484DDC"/>
    <w:rsid w:val="004856EE"/>
    <w:rsid w:val="0048736F"/>
    <w:rsid w:val="00487469"/>
    <w:rsid w:val="0049183F"/>
    <w:rsid w:val="00492E8D"/>
    <w:rsid w:val="00496641"/>
    <w:rsid w:val="004A6A21"/>
    <w:rsid w:val="004B3CA5"/>
    <w:rsid w:val="004B4E9B"/>
    <w:rsid w:val="004C0C75"/>
    <w:rsid w:val="004C2B42"/>
    <w:rsid w:val="004C4003"/>
    <w:rsid w:val="004C7B69"/>
    <w:rsid w:val="004D07F4"/>
    <w:rsid w:val="004D1246"/>
    <w:rsid w:val="004D20F5"/>
    <w:rsid w:val="004D3BD8"/>
    <w:rsid w:val="004D4DEA"/>
    <w:rsid w:val="004D52CE"/>
    <w:rsid w:val="004D52F6"/>
    <w:rsid w:val="004D5B4E"/>
    <w:rsid w:val="004D6EB9"/>
    <w:rsid w:val="004D7469"/>
    <w:rsid w:val="004E083C"/>
    <w:rsid w:val="004E0FD5"/>
    <w:rsid w:val="004E15E2"/>
    <w:rsid w:val="004E1773"/>
    <w:rsid w:val="004E3B72"/>
    <w:rsid w:val="004E3F27"/>
    <w:rsid w:val="004E47EB"/>
    <w:rsid w:val="004E4810"/>
    <w:rsid w:val="004E4F93"/>
    <w:rsid w:val="004E5915"/>
    <w:rsid w:val="004E6F9D"/>
    <w:rsid w:val="004E7B4C"/>
    <w:rsid w:val="004F0C60"/>
    <w:rsid w:val="004F16A4"/>
    <w:rsid w:val="004F1E0B"/>
    <w:rsid w:val="004F3CEC"/>
    <w:rsid w:val="004F3E67"/>
    <w:rsid w:val="004F4868"/>
    <w:rsid w:val="004F5349"/>
    <w:rsid w:val="004F5542"/>
    <w:rsid w:val="004F6114"/>
    <w:rsid w:val="004F72D1"/>
    <w:rsid w:val="005000D7"/>
    <w:rsid w:val="0050015A"/>
    <w:rsid w:val="00503423"/>
    <w:rsid w:val="0050390B"/>
    <w:rsid w:val="00503AAB"/>
    <w:rsid w:val="005045AA"/>
    <w:rsid w:val="00506C34"/>
    <w:rsid w:val="0050767A"/>
    <w:rsid w:val="00510730"/>
    <w:rsid w:val="00510BCB"/>
    <w:rsid w:val="005129DC"/>
    <w:rsid w:val="00512DCD"/>
    <w:rsid w:val="00514831"/>
    <w:rsid w:val="00516707"/>
    <w:rsid w:val="00516A4E"/>
    <w:rsid w:val="00517D00"/>
    <w:rsid w:val="005219B4"/>
    <w:rsid w:val="00522EF7"/>
    <w:rsid w:val="00531DAC"/>
    <w:rsid w:val="00532C4F"/>
    <w:rsid w:val="00532DE1"/>
    <w:rsid w:val="005346E2"/>
    <w:rsid w:val="005347DF"/>
    <w:rsid w:val="005371E5"/>
    <w:rsid w:val="0054024D"/>
    <w:rsid w:val="005408FA"/>
    <w:rsid w:val="00541E89"/>
    <w:rsid w:val="00541FF2"/>
    <w:rsid w:val="005460C5"/>
    <w:rsid w:val="0054701F"/>
    <w:rsid w:val="00557258"/>
    <w:rsid w:val="0055799C"/>
    <w:rsid w:val="005600F5"/>
    <w:rsid w:val="00561331"/>
    <w:rsid w:val="00566DD8"/>
    <w:rsid w:val="00566E26"/>
    <w:rsid w:val="0056736C"/>
    <w:rsid w:val="00571F7E"/>
    <w:rsid w:val="005755B2"/>
    <w:rsid w:val="00581AE1"/>
    <w:rsid w:val="00582266"/>
    <w:rsid w:val="005824D4"/>
    <w:rsid w:val="00583DFA"/>
    <w:rsid w:val="0058513A"/>
    <w:rsid w:val="0058555C"/>
    <w:rsid w:val="005857EC"/>
    <w:rsid w:val="00587078"/>
    <w:rsid w:val="00592976"/>
    <w:rsid w:val="005969BB"/>
    <w:rsid w:val="00596D06"/>
    <w:rsid w:val="005A0496"/>
    <w:rsid w:val="005A196E"/>
    <w:rsid w:val="005A4FD0"/>
    <w:rsid w:val="005A5156"/>
    <w:rsid w:val="005A5BEE"/>
    <w:rsid w:val="005A7ED9"/>
    <w:rsid w:val="005B0277"/>
    <w:rsid w:val="005B0EAD"/>
    <w:rsid w:val="005B1EBA"/>
    <w:rsid w:val="005B262E"/>
    <w:rsid w:val="005B3599"/>
    <w:rsid w:val="005B42C7"/>
    <w:rsid w:val="005B486C"/>
    <w:rsid w:val="005B5234"/>
    <w:rsid w:val="005B5AC3"/>
    <w:rsid w:val="005B70EC"/>
    <w:rsid w:val="005C28EA"/>
    <w:rsid w:val="005C38E8"/>
    <w:rsid w:val="005C4B11"/>
    <w:rsid w:val="005D0961"/>
    <w:rsid w:val="005D13D4"/>
    <w:rsid w:val="005D1ECE"/>
    <w:rsid w:val="005D2AC8"/>
    <w:rsid w:val="005D61BF"/>
    <w:rsid w:val="005E04E4"/>
    <w:rsid w:val="005E08CB"/>
    <w:rsid w:val="005E104E"/>
    <w:rsid w:val="005E4F89"/>
    <w:rsid w:val="005E58C8"/>
    <w:rsid w:val="005E7681"/>
    <w:rsid w:val="005F1639"/>
    <w:rsid w:val="005F4128"/>
    <w:rsid w:val="005F4C3B"/>
    <w:rsid w:val="005F57ED"/>
    <w:rsid w:val="005F5861"/>
    <w:rsid w:val="00601FC9"/>
    <w:rsid w:val="006023A5"/>
    <w:rsid w:val="00604939"/>
    <w:rsid w:val="00606A7B"/>
    <w:rsid w:val="00612003"/>
    <w:rsid w:val="00613315"/>
    <w:rsid w:val="00616B19"/>
    <w:rsid w:val="006170BA"/>
    <w:rsid w:val="00620280"/>
    <w:rsid w:val="006212A2"/>
    <w:rsid w:val="006213B8"/>
    <w:rsid w:val="0062285B"/>
    <w:rsid w:val="006230E4"/>
    <w:rsid w:val="0062697D"/>
    <w:rsid w:val="0062784E"/>
    <w:rsid w:val="0063272A"/>
    <w:rsid w:val="006329B3"/>
    <w:rsid w:val="00632EAC"/>
    <w:rsid w:val="0063486A"/>
    <w:rsid w:val="00637CFC"/>
    <w:rsid w:val="00640342"/>
    <w:rsid w:val="0064058A"/>
    <w:rsid w:val="00644385"/>
    <w:rsid w:val="0064578B"/>
    <w:rsid w:val="006473F1"/>
    <w:rsid w:val="00650882"/>
    <w:rsid w:val="00650D2E"/>
    <w:rsid w:val="0065200A"/>
    <w:rsid w:val="00653FEB"/>
    <w:rsid w:val="0065402A"/>
    <w:rsid w:val="00655969"/>
    <w:rsid w:val="00657E83"/>
    <w:rsid w:val="00660AEA"/>
    <w:rsid w:val="00660C56"/>
    <w:rsid w:val="00661B89"/>
    <w:rsid w:val="00662144"/>
    <w:rsid w:val="006634CF"/>
    <w:rsid w:val="006638D9"/>
    <w:rsid w:val="0066517E"/>
    <w:rsid w:val="00665539"/>
    <w:rsid w:val="006671D8"/>
    <w:rsid w:val="00672130"/>
    <w:rsid w:val="006735D7"/>
    <w:rsid w:val="00674844"/>
    <w:rsid w:val="00677E3D"/>
    <w:rsid w:val="0068100A"/>
    <w:rsid w:val="00686DC8"/>
    <w:rsid w:val="00691DAB"/>
    <w:rsid w:val="00693785"/>
    <w:rsid w:val="0069410F"/>
    <w:rsid w:val="00695772"/>
    <w:rsid w:val="00695F35"/>
    <w:rsid w:val="00695FEE"/>
    <w:rsid w:val="0069753F"/>
    <w:rsid w:val="00697EEB"/>
    <w:rsid w:val="006A46FE"/>
    <w:rsid w:val="006A4DBD"/>
    <w:rsid w:val="006A6537"/>
    <w:rsid w:val="006A6FF6"/>
    <w:rsid w:val="006A73A9"/>
    <w:rsid w:val="006B0BC6"/>
    <w:rsid w:val="006B141C"/>
    <w:rsid w:val="006B1FA7"/>
    <w:rsid w:val="006B40DB"/>
    <w:rsid w:val="006B5549"/>
    <w:rsid w:val="006B5AAD"/>
    <w:rsid w:val="006B5B99"/>
    <w:rsid w:val="006B6F94"/>
    <w:rsid w:val="006B72D4"/>
    <w:rsid w:val="006B7D57"/>
    <w:rsid w:val="006C3E88"/>
    <w:rsid w:val="006C5723"/>
    <w:rsid w:val="006C5BAF"/>
    <w:rsid w:val="006C627C"/>
    <w:rsid w:val="006C7533"/>
    <w:rsid w:val="006D14A8"/>
    <w:rsid w:val="006D17DF"/>
    <w:rsid w:val="006D311A"/>
    <w:rsid w:val="006D4CFE"/>
    <w:rsid w:val="006D5872"/>
    <w:rsid w:val="006D7A6F"/>
    <w:rsid w:val="006E0E35"/>
    <w:rsid w:val="006E4356"/>
    <w:rsid w:val="006E4470"/>
    <w:rsid w:val="006E6C45"/>
    <w:rsid w:val="006E7125"/>
    <w:rsid w:val="006F15AC"/>
    <w:rsid w:val="006F16B4"/>
    <w:rsid w:val="006F19AA"/>
    <w:rsid w:val="006F322A"/>
    <w:rsid w:val="006F7003"/>
    <w:rsid w:val="006F74B4"/>
    <w:rsid w:val="006F7AD6"/>
    <w:rsid w:val="00700B24"/>
    <w:rsid w:val="00701022"/>
    <w:rsid w:val="0070133C"/>
    <w:rsid w:val="0070281F"/>
    <w:rsid w:val="00704642"/>
    <w:rsid w:val="0070560B"/>
    <w:rsid w:val="0070663D"/>
    <w:rsid w:val="00707A39"/>
    <w:rsid w:val="00710EA2"/>
    <w:rsid w:val="00712617"/>
    <w:rsid w:val="00712816"/>
    <w:rsid w:val="00714CF3"/>
    <w:rsid w:val="00716073"/>
    <w:rsid w:val="00717175"/>
    <w:rsid w:val="007200E1"/>
    <w:rsid w:val="0072131F"/>
    <w:rsid w:val="00722258"/>
    <w:rsid w:val="007222EF"/>
    <w:rsid w:val="0072442D"/>
    <w:rsid w:val="00724E41"/>
    <w:rsid w:val="00725669"/>
    <w:rsid w:val="0072578D"/>
    <w:rsid w:val="00725925"/>
    <w:rsid w:val="00731EF3"/>
    <w:rsid w:val="00732A0B"/>
    <w:rsid w:val="00732D5F"/>
    <w:rsid w:val="007336AC"/>
    <w:rsid w:val="00735001"/>
    <w:rsid w:val="0073744D"/>
    <w:rsid w:val="0074036F"/>
    <w:rsid w:val="00740624"/>
    <w:rsid w:val="00741E76"/>
    <w:rsid w:val="007456C0"/>
    <w:rsid w:val="00745953"/>
    <w:rsid w:val="00745F0E"/>
    <w:rsid w:val="007470F9"/>
    <w:rsid w:val="00750713"/>
    <w:rsid w:val="0075245D"/>
    <w:rsid w:val="0075264E"/>
    <w:rsid w:val="00752EDC"/>
    <w:rsid w:val="00754987"/>
    <w:rsid w:val="00755C0A"/>
    <w:rsid w:val="00756BA6"/>
    <w:rsid w:val="0076093E"/>
    <w:rsid w:val="00761FC6"/>
    <w:rsid w:val="007637A2"/>
    <w:rsid w:val="007656EA"/>
    <w:rsid w:val="0076600F"/>
    <w:rsid w:val="00771DDF"/>
    <w:rsid w:val="007738E6"/>
    <w:rsid w:val="00776297"/>
    <w:rsid w:val="00776B29"/>
    <w:rsid w:val="00777D34"/>
    <w:rsid w:val="00791817"/>
    <w:rsid w:val="00795557"/>
    <w:rsid w:val="00796FD3"/>
    <w:rsid w:val="00797B90"/>
    <w:rsid w:val="007A024D"/>
    <w:rsid w:val="007A07F0"/>
    <w:rsid w:val="007A2BF4"/>
    <w:rsid w:val="007A4C09"/>
    <w:rsid w:val="007A55DC"/>
    <w:rsid w:val="007A59C9"/>
    <w:rsid w:val="007A6A43"/>
    <w:rsid w:val="007B0AEB"/>
    <w:rsid w:val="007B1D43"/>
    <w:rsid w:val="007B3EB5"/>
    <w:rsid w:val="007B77D3"/>
    <w:rsid w:val="007C2185"/>
    <w:rsid w:val="007C3BD5"/>
    <w:rsid w:val="007C4C98"/>
    <w:rsid w:val="007C68E4"/>
    <w:rsid w:val="007C6949"/>
    <w:rsid w:val="007D456D"/>
    <w:rsid w:val="007D5792"/>
    <w:rsid w:val="007D7099"/>
    <w:rsid w:val="007D7C26"/>
    <w:rsid w:val="007E2043"/>
    <w:rsid w:val="007E282A"/>
    <w:rsid w:val="007F0A8A"/>
    <w:rsid w:val="007F0EF2"/>
    <w:rsid w:val="007F23D2"/>
    <w:rsid w:val="007F273D"/>
    <w:rsid w:val="007F6319"/>
    <w:rsid w:val="00802497"/>
    <w:rsid w:val="00803DEB"/>
    <w:rsid w:val="0080690F"/>
    <w:rsid w:val="00810822"/>
    <w:rsid w:val="008113F4"/>
    <w:rsid w:val="00812CBD"/>
    <w:rsid w:val="00812F63"/>
    <w:rsid w:val="008140E6"/>
    <w:rsid w:val="00814349"/>
    <w:rsid w:val="0081552A"/>
    <w:rsid w:val="00815D72"/>
    <w:rsid w:val="00817089"/>
    <w:rsid w:val="00817392"/>
    <w:rsid w:val="008176A3"/>
    <w:rsid w:val="00817730"/>
    <w:rsid w:val="00824850"/>
    <w:rsid w:val="00826A21"/>
    <w:rsid w:val="0082770B"/>
    <w:rsid w:val="008317AC"/>
    <w:rsid w:val="0083196E"/>
    <w:rsid w:val="00833860"/>
    <w:rsid w:val="00834EA2"/>
    <w:rsid w:val="008376BC"/>
    <w:rsid w:val="00840D2B"/>
    <w:rsid w:val="00843BA3"/>
    <w:rsid w:val="00844FDC"/>
    <w:rsid w:val="0084743B"/>
    <w:rsid w:val="00847FBA"/>
    <w:rsid w:val="008505FB"/>
    <w:rsid w:val="0085104C"/>
    <w:rsid w:val="00851E69"/>
    <w:rsid w:val="0085317C"/>
    <w:rsid w:val="00853BFD"/>
    <w:rsid w:val="00854B26"/>
    <w:rsid w:val="00854EBE"/>
    <w:rsid w:val="00854FC0"/>
    <w:rsid w:val="00855251"/>
    <w:rsid w:val="00855C78"/>
    <w:rsid w:val="00856761"/>
    <w:rsid w:val="00856B30"/>
    <w:rsid w:val="00856C8B"/>
    <w:rsid w:val="00857A97"/>
    <w:rsid w:val="008604AA"/>
    <w:rsid w:val="008613A6"/>
    <w:rsid w:val="00863B22"/>
    <w:rsid w:val="0086584F"/>
    <w:rsid w:val="00865BB0"/>
    <w:rsid w:val="008704C4"/>
    <w:rsid w:val="00871AA9"/>
    <w:rsid w:val="00873CA7"/>
    <w:rsid w:val="00873E22"/>
    <w:rsid w:val="008743C5"/>
    <w:rsid w:val="00874982"/>
    <w:rsid w:val="00874D85"/>
    <w:rsid w:val="00876A29"/>
    <w:rsid w:val="00877EB5"/>
    <w:rsid w:val="0088068F"/>
    <w:rsid w:val="00880B00"/>
    <w:rsid w:val="008830C5"/>
    <w:rsid w:val="0088357E"/>
    <w:rsid w:val="00886CE8"/>
    <w:rsid w:val="00887792"/>
    <w:rsid w:val="008911D6"/>
    <w:rsid w:val="00894747"/>
    <w:rsid w:val="00894F18"/>
    <w:rsid w:val="00895146"/>
    <w:rsid w:val="00896125"/>
    <w:rsid w:val="008A2F73"/>
    <w:rsid w:val="008A4D25"/>
    <w:rsid w:val="008A51D6"/>
    <w:rsid w:val="008A5AB3"/>
    <w:rsid w:val="008A6956"/>
    <w:rsid w:val="008B13E4"/>
    <w:rsid w:val="008B2D5B"/>
    <w:rsid w:val="008B4B3B"/>
    <w:rsid w:val="008C4C06"/>
    <w:rsid w:val="008C5267"/>
    <w:rsid w:val="008D04D9"/>
    <w:rsid w:val="008D0CB0"/>
    <w:rsid w:val="008D2437"/>
    <w:rsid w:val="008D4391"/>
    <w:rsid w:val="008D4DD0"/>
    <w:rsid w:val="008D506C"/>
    <w:rsid w:val="008E04B3"/>
    <w:rsid w:val="008E13B8"/>
    <w:rsid w:val="008E43EE"/>
    <w:rsid w:val="008F1981"/>
    <w:rsid w:val="008F30F5"/>
    <w:rsid w:val="008F7F59"/>
    <w:rsid w:val="00900997"/>
    <w:rsid w:val="00901A86"/>
    <w:rsid w:val="0090318D"/>
    <w:rsid w:val="00904758"/>
    <w:rsid w:val="00904771"/>
    <w:rsid w:val="00911EF6"/>
    <w:rsid w:val="009135BB"/>
    <w:rsid w:val="009164B1"/>
    <w:rsid w:val="00916686"/>
    <w:rsid w:val="00917035"/>
    <w:rsid w:val="00917903"/>
    <w:rsid w:val="009205AC"/>
    <w:rsid w:val="00921A06"/>
    <w:rsid w:val="009232F5"/>
    <w:rsid w:val="00924024"/>
    <w:rsid w:val="00924C96"/>
    <w:rsid w:val="00926341"/>
    <w:rsid w:val="00926F17"/>
    <w:rsid w:val="0092709A"/>
    <w:rsid w:val="00930ED3"/>
    <w:rsid w:val="009324EC"/>
    <w:rsid w:val="00932CBC"/>
    <w:rsid w:val="00932DC0"/>
    <w:rsid w:val="00933F2B"/>
    <w:rsid w:val="00936127"/>
    <w:rsid w:val="00940EFA"/>
    <w:rsid w:val="00941F56"/>
    <w:rsid w:val="00942E10"/>
    <w:rsid w:val="00943E6A"/>
    <w:rsid w:val="0094410C"/>
    <w:rsid w:val="009477FA"/>
    <w:rsid w:val="009570AF"/>
    <w:rsid w:val="009575AA"/>
    <w:rsid w:val="00957904"/>
    <w:rsid w:val="0096007C"/>
    <w:rsid w:val="00960A31"/>
    <w:rsid w:val="00960C64"/>
    <w:rsid w:val="00961F53"/>
    <w:rsid w:val="00962633"/>
    <w:rsid w:val="00967EFA"/>
    <w:rsid w:val="00973151"/>
    <w:rsid w:val="00973D50"/>
    <w:rsid w:val="009741FF"/>
    <w:rsid w:val="0097440A"/>
    <w:rsid w:val="00974980"/>
    <w:rsid w:val="00975C01"/>
    <w:rsid w:val="00977B2D"/>
    <w:rsid w:val="00983C71"/>
    <w:rsid w:val="00992439"/>
    <w:rsid w:val="009925B4"/>
    <w:rsid w:val="009948CE"/>
    <w:rsid w:val="00995618"/>
    <w:rsid w:val="009A1D87"/>
    <w:rsid w:val="009A2354"/>
    <w:rsid w:val="009A33BA"/>
    <w:rsid w:val="009A3430"/>
    <w:rsid w:val="009A65AE"/>
    <w:rsid w:val="009A7122"/>
    <w:rsid w:val="009A749A"/>
    <w:rsid w:val="009A7E40"/>
    <w:rsid w:val="009B0282"/>
    <w:rsid w:val="009B2BC4"/>
    <w:rsid w:val="009B303F"/>
    <w:rsid w:val="009B6560"/>
    <w:rsid w:val="009B65AD"/>
    <w:rsid w:val="009B6FDB"/>
    <w:rsid w:val="009B7D7A"/>
    <w:rsid w:val="009C052F"/>
    <w:rsid w:val="009C078D"/>
    <w:rsid w:val="009C0B3E"/>
    <w:rsid w:val="009C0E7F"/>
    <w:rsid w:val="009C1343"/>
    <w:rsid w:val="009C25EC"/>
    <w:rsid w:val="009C3AB3"/>
    <w:rsid w:val="009C4E90"/>
    <w:rsid w:val="009C501D"/>
    <w:rsid w:val="009C54C1"/>
    <w:rsid w:val="009C5C9B"/>
    <w:rsid w:val="009C6084"/>
    <w:rsid w:val="009C768E"/>
    <w:rsid w:val="009C7C92"/>
    <w:rsid w:val="009C7E0E"/>
    <w:rsid w:val="009D0E07"/>
    <w:rsid w:val="009D1D12"/>
    <w:rsid w:val="009D28E8"/>
    <w:rsid w:val="009D2DE8"/>
    <w:rsid w:val="009D3E1C"/>
    <w:rsid w:val="009D4127"/>
    <w:rsid w:val="009D54BA"/>
    <w:rsid w:val="009D5E98"/>
    <w:rsid w:val="009D6DE8"/>
    <w:rsid w:val="009E002B"/>
    <w:rsid w:val="009E14B2"/>
    <w:rsid w:val="009E2705"/>
    <w:rsid w:val="009E392E"/>
    <w:rsid w:val="009E3CC6"/>
    <w:rsid w:val="009E3F38"/>
    <w:rsid w:val="009E4F28"/>
    <w:rsid w:val="009E66E5"/>
    <w:rsid w:val="009F234C"/>
    <w:rsid w:val="009F42AE"/>
    <w:rsid w:val="009F4D1F"/>
    <w:rsid w:val="009F5745"/>
    <w:rsid w:val="00A00CC8"/>
    <w:rsid w:val="00A02505"/>
    <w:rsid w:val="00A03168"/>
    <w:rsid w:val="00A0478D"/>
    <w:rsid w:val="00A04964"/>
    <w:rsid w:val="00A0518E"/>
    <w:rsid w:val="00A069AC"/>
    <w:rsid w:val="00A12524"/>
    <w:rsid w:val="00A12DC8"/>
    <w:rsid w:val="00A136A1"/>
    <w:rsid w:val="00A14506"/>
    <w:rsid w:val="00A16903"/>
    <w:rsid w:val="00A1765D"/>
    <w:rsid w:val="00A21979"/>
    <w:rsid w:val="00A21B1E"/>
    <w:rsid w:val="00A22591"/>
    <w:rsid w:val="00A246B9"/>
    <w:rsid w:val="00A25009"/>
    <w:rsid w:val="00A25104"/>
    <w:rsid w:val="00A254DD"/>
    <w:rsid w:val="00A26A95"/>
    <w:rsid w:val="00A26FA0"/>
    <w:rsid w:val="00A27259"/>
    <w:rsid w:val="00A31048"/>
    <w:rsid w:val="00A317F5"/>
    <w:rsid w:val="00A32AC5"/>
    <w:rsid w:val="00A357E1"/>
    <w:rsid w:val="00A36C20"/>
    <w:rsid w:val="00A371D4"/>
    <w:rsid w:val="00A4259B"/>
    <w:rsid w:val="00A43BB0"/>
    <w:rsid w:val="00A44053"/>
    <w:rsid w:val="00A46F50"/>
    <w:rsid w:val="00A47617"/>
    <w:rsid w:val="00A50925"/>
    <w:rsid w:val="00A50A22"/>
    <w:rsid w:val="00A52AF8"/>
    <w:rsid w:val="00A54685"/>
    <w:rsid w:val="00A55426"/>
    <w:rsid w:val="00A55A74"/>
    <w:rsid w:val="00A55A8E"/>
    <w:rsid w:val="00A618C1"/>
    <w:rsid w:val="00A61EF8"/>
    <w:rsid w:val="00A63EE5"/>
    <w:rsid w:val="00A70DE1"/>
    <w:rsid w:val="00A723FC"/>
    <w:rsid w:val="00A747F5"/>
    <w:rsid w:val="00A75662"/>
    <w:rsid w:val="00A775AC"/>
    <w:rsid w:val="00A77C64"/>
    <w:rsid w:val="00A8030D"/>
    <w:rsid w:val="00A803AC"/>
    <w:rsid w:val="00A80A64"/>
    <w:rsid w:val="00A829F9"/>
    <w:rsid w:val="00A833FD"/>
    <w:rsid w:val="00A85A69"/>
    <w:rsid w:val="00A86608"/>
    <w:rsid w:val="00A91204"/>
    <w:rsid w:val="00A97D7C"/>
    <w:rsid w:val="00AA01C2"/>
    <w:rsid w:val="00AA0475"/>
    <w:rsid w:val="00AA53D5"/>
    <w:rsid w:val="00AA6F86"/>
    <w:rsid w:val="00AA6FAB"/>
    <w:rsid w:val="00AB2EC4"/>
    <w:rsid w:val="00AB7CBE"/>
    <w:rsid w:val="00AC015F"/>
    <w:rsid w:val="00AC1F21"/>
    <w:rsid w:val="00AC3A44"/>
    <w:rsid w:val="00AC6135"/>
    <w:rsid w:val="00AC6AD9"/>
    <w:rsid w:val="00AD085D"/>
    <w:rsid w:val="00AD09B8"/>
    <w:rsid w:val="00AD2CAB"/>
    <w:rsid w:val="00AD37B3"/>
    <w:rsid w:val="00AD556E"/>
    <w:rsid w:val="00AE096F"/>
    <w:rsid w:val="00AE267F"/>
    <w:rsid w:val="00AE3E9A"/>
    <w:rsid w:val="00AE3F1F"/>
    <w:rsid w:val="00AE5294"/>
    <w:rsid w:val="00AE6772"/>
    <w:rsid w:val="00AE737C"/>
    <w:rsid w:val="00AE73D9"/>
    <w:rsid w:val="00AF0D56"/>
    <w:rsid w:val="00AF1F6B"/>
    <w:rsid w:val="00AF294A"/>
    <w:rsid w:val="00AF34E6"/>
    <w:rsid w:val="00AF717E"/>
    <w:rsid w:val="00B01C49"/>
    <w:rsid w:val="00B022A5"/>
    <w:rsid w:val="00B025D1"/>
    <w:rsid w:val="00B02FF7"/>
    <w:rsid w:val="00B03260"/>
    <w:rsid w:val="00B043C7"/>
    <w:rsid w:val="00B075FC"/>
    <w:rsid w:val="00B076A6"/>
    <w:rsid w:val="00B1022A"/>
    <w:rsid w:val="00B1115D"/>
    <w:rsid w:val="00B1205B"/>
    <w:rsid w:val="00B13E59"/>
    <w:rsid w:val="00B14722"/>
    <w:rsid w:val="00B14D49"/>
    <w:rsid w:val="00B151F6"/>
    <w:rsid w:val="00B16186"/>
    <w:rsid w:val="00B16817"/>
    <w:rsid w:val="00B16D33"/>
    <w:rsid w:val="00B20E1F"/>
    <w:rsid w:val="00B20E75"/>
    <w:rsid w:val="00B21E42"/>
    <w:rsid w:val="00B22141"/>
    <w:rsid w:val="00B23180"/>
    <w:rsid w:val="00B24CEF"/>
    <w:rsid w:val="00B24F91"/>
    <w:rsid w:val="00B309FD"/>
    <w:rsid w:val="00B31203"/>
    <w:rsid w:val="00B346F9"/>
    <w:rsid w:val="00B34F50"/>
    <w:rsid w:val="00B365AF"/>
    <w:rsid w:val="00B41C70"/>
    <w:rsid w:val="00B42B0B"/>
    <w:rsid w:val="00B44592"/>
    <w:rsid w:val="00B557A9"/>
    <w:rsid w:val="00B56C7E"/>
    <w:rsid w:val="00B603D1"/>
    <w:rsid w:val="00B6042D"/>
    <w:rsid w:val="00B60578"/>
    <w:rsid w:val="00B60B8E"/>
    <w:rsid w:val="00B617BF"/>
    <w:rsid w:val="00B618EC"/>
    <w:rsid w:val="00B6288C"/>
    <w:rsid w:val="00B62E4E"/>
    <w:rsid w:val="00B62E7B"/>
    <w:rsid w:val="00B646E4"/>
    <w:rsid w:val="00B65F67"/>
    <w:rsid w:val="00B71F56"/>
    <w:rsid w:val="00B72686"/>
    <w:rsid w:val="00B74454"/>
    <w:rsid w:val="00B75554"/>
    <w:rsid w:val="00B764BF"/>
    <w:rsid w:val="00B77297"/>
    <w:rsid w:val="00B81D4C"/>
    <w:rsid w:val="00B839D6"/>
    <w:rsid w:val="00B8419D"/>
    <w:rsid w:val="00B84EFD"/>
    <w:rsid w:val="00B85576"/>
    <w:rsid w:val="00B87DD3"/>
    <w:rsid w:val="00B901FB"/>
    <w:rsid w:val="00B91028"/>
    <w:rsid w:val="00B92620"/>
    <w:rsid w:val="00B934B8"/>
    <w:rsid w:val="00B93A75"/>
    <w:rsid w:val="00B93C92"/>
    <w:rsid w:val="00B93CB4"/>
    <w:rsid w:val="00B9455F"/>
    <w:rsid w:val="00B94835"/>
    <w:rsid w:val="00B94C33"/>
    <w:rsid w:val="00B974D8"/>
    <w:rsid w:val="00BA1D8A"/>
    <w:rsid w:val="00BA754A"/>
    <w:rsid w:val="00BB07AA"/>
    <w:rsid w:val="00BB1B01"/>
    <w:rsid w:val="00BB2AC2"/>
    <w:rsid w:val="00BB3C16"/>
    <w:rsid w:val="00BB60DC"/>
    <w:rsid w:val="00BB67C8"/>
    <w:rsid w:val="00BB7167"/>
    <w:rsid w:val="00BC2BED"/>
    <w:rsid w:val="00BC4DBA"/>
    <w:rsid w:val="00BC66CB"/>
    <w:rsid w:val="00BC7B77"/>
    <w:rsid w:val="00BD16D7"/>
    <w:rsid w:val="00BD19C6"/>
    <w:rsid w:val="00BD4B96"/>
    <w:rsid w:val="00BD51EE"/>
    <w:rsid w:val="00BD5766"/>
    <w:rsid w:val="00BD6DDF"/>
    <w:rsid w:val="00BE1D94"/>
    <w:rsid w:val="00BE217B"/>
    <w:rsid w:val="00BE365C"/>
    <w:rsid w:val="00BF0280"/>
    <w:rsid w:val="00BF0750"/>
    <w:rsid w:val="00BF2B9C"/>
    <w:rsid w:val="00BF546C"/>
    <w:rsid w:val="00C009D9"/>
    <w:rsid w:val="00C0184C"/>
    <w:rsid w:val="00C01ED4"/>
    <w:rsid w:val="00C02766"/>
    <w:rsid w:val="00C02E57"/>
    <w:rsid w:val="00C0409B"/>
    <w:rsid w:val="00C06412"/>
    <w:rsid w:val="00C0660B"/>
    <w:rsid w:val="00C06A21"/>
    <w:rsid w:val="00C06A72"/>
    <w:rsid w:val="00C072E3"/>
    <w:rsid w:val="00C07808"/>
    <w:rsid w:val="00C109F8"/>
    <w:rsid w:val="00C11AF4"/>
    <w:rsid w:val="00C12B2A"/>
    <w:rsid w:val="00C14A1E"/>
    <w:rsid w:val="00C164D2"/>
    <w:rsid w:val="00C167AB"/>
    <w:rsid w:val="00C2058D"/>
    <w:rsid w:val="00C20A48"/>
    <w:rsid w:val="00C30A07"/>
    <w:rsid w:val="00C30BE6"/>
    <w:rsid w:val="00C331CE"/>
    <w:rsid w:val="00C342E4"/>
    <w:rsid w:val="00C361BF"/>
    <w:rsid w:val="00C36823"/>
    <w:rsid w:val="00C37924"/>
    <w:rsid w:val="00C40ADB"/>
    <w:rsid w:val="00C42904"/>
    <w:rsid w:val="00C45500"/>
    <w:rsid w:val="00C4596A"/>
    <w:rsid w:val="00C4652D"/>
    <w:rsid w:val="00C46B47"/>
    <w:rsid w:val="00C4719C"/>
    <w:rsid w:val="00C53F6D"/>
    <w:rsid w:val="00C54571"/>
    <w:rsid w:val="00C54FAD"/>
    <w:rsid w:val="00C57F0E"/>
    <w:rsid w:val="00C614A3"/>
    <w:rsid w:val="00C617A0"/>
    <w:rsid w:val="00C63C5E"/>
    <w:rsid w:val="00C715C6"/>
    <w:rsid w:val="00C72C81"/>
    <w:rsid w:val="00C73D22"/>
    <w:rsid w:val="00C7555A"/>
    <w:rsid w:val="00C8352E"/>
    <w:rsid w:val="00C8514D"/>
    <w:rsid w:val="00C8582D"/>
    <w:rsid w:val="00C87335"/>
    <w:rsid w:val="00C87BCE"/>
    <w:rsid w:val="00C92190"/>
    <w:rsid w:val="00C93087"/>
    <w:rsid w:val="00C94341"/>
    <w:rsid w:val="00C9524D"/>
    <w:rsid w:val="00C962F0"/>
    <w:rsid w:val="00CA0E45"/>
    <w:rsid w:val="00CA1F8F"/>
    <w:rsid w:val="00CA2161"/>
    <w:rsid w:val="00CA4742"/>
    <w:rsid w:val="00CA6BDF"/>
    <w:rsid w:val="00CA6C00"/>
    <w:rsid w:val="00CA7377"/>
    <w:rsid w:val="00CA7497"/>
    <w:rsid w:val="00CB15E0"/>
    <w:rsid w:val="00CB21A5"/>
    <w:rsid w:val="00CB3C61"/>
    <w:rsid w:val="00CB598E"/>
    <w:rsid w:val="00CB7162"/>
    <w:rsid w:val="00CC11F3"/>
    <w:rsid w:val="00CC13A7"/>
    <w:rsid w:val="00CC21F1"/>
    <w:rsid w:val="00CC2931"/>
    <w:rsid w:val="00CC364C"/>
    <w:rsid w:val="00CC5338"/>
    <w:rsid w:val="00CC628F"/>
    <w:rsid w:val="00CC6665"/>
    <w:rsid w:val="00CC717E"/>
    <w:rsid w:val="00CD0232"/>
    <w:rsid w:val="00CD05C8"/>
    <w:rsid w:val="00CD598A"/>
    <w:rsid w:val="00CD7CC1"/>
    <w:rsid w:val="00CE307D"/>
    <w:rsid w:val="00CE4742"/>
    <w:rsid w:val="00CE6165"/>
    <w:rsid w:val="00CE74BD"/>
    <w:rsid w:val="00CE76B8"/>
    <w:rsid w:val="00CF1170"/>
    <w:rsid w:val="00D0043E"/>
    <w:rsid w:val="00D00DC3"/>
    <w:rsid w:val="00D01662"/>
    <w:rsid w:val="00D01E83"/>
    <w:rsid w:val="00D0334A"/>
    <w:rsid w:val="00D03D05"/>
    <w:rsid w:val="00D050DE"/>
    <w:rsid w:val="00D07CCA"/>
    <w:rsid w:val="00D07D5D"/>
    <w:rsid w:val="00D10964"/>
    <w:rsid w:val="00D10DC4"/>
    <w:rsid w:val="00D114B3"/>
    <w:rsid w:val="00D13D83"/>
    <w:rsid w:val="00D13FEB"/>
    <w:rsid w:val="00D14E1B"/>
    <w:rsid w:val="00D15120"/>
    <w:rsid w:val="00D1603C"/>
    <w:rsid w:val="00D169B5"/>
    <w:rsid w:val="00D179FC"/>
    <w:rsid w:val="00D20EE1"/>
    <w:rsid w:val="00D213B4"/>
    <w:rsid w:val="00D23BC8"/>
    <w:rsid w:val="00D23FDA"/>
    <w:rsid w:val="00D2552D"/>
    <w:rsid w:val="00D27AA8"/>
    <w:rsid w:val="00D303F4"/>
    <w:rsid w:val="00D32D45"/>
    <w:rsid w:val="00D32FA1"/>
    <w:rsid w:val="00D339A1"/>
    <w:rsid w:val="00D34DBF"/>
    <w:rsid w:val="00D35BE8"/>
    <w:rsid w:val="00D43700"/>
    <w:rsid w:val="00D448D7"/>
    <w:rsid w:val="00D45D46"/>
    <w:rsid w:val="00D47F84"/>
    <w:rsid w:val="00D5030E"/>
    <w:rsid w:val="00D517F5"/>
    <w:rsid w:val="00D55C00"/>
    <w:rsid w:val="00D56760"/>
    <w:rsid w:val="00D57394"/>
    <w:rsid w:val="00D65E5B"/>
    <w:rsid w:val="00D67C06"/>
    <w:rsid w:val="00D67C0F"/>
    <w:rsid w:val="00D712D7"/>
    <w:rsid w:val="00D74F62"/>
    <w:rsid w:val="00D75527"/>
    <w:rsid w:val="00D75AD1"/>
    <w:rsid w:val="00D800E5"/>
    <w:rsid w:val="00D823D9"/>
    <w:rsid w:val="00D8365B"/>
    <w:rsid w:val="00D84E17"/>
    <w:rsid w:val="00D86BAC"/>
    <w:rsid w:val="00D92A0B"/>
    <w:rsid w:val="00D92FD8"/>
    <w:rsid w:val="00D94ECC"/>
    <w:rsid w:val="00D95CC0"/>
    <w:rsid w:val="00DA086C"/>
    <w:rsid w:val="00DA5BAF"/>
    <w:rsid w:val="00DA647D"/>
    <w:rsid w:val="00DB04D1"/>
    <w:rsid w:val="00DB10C8"/>
    <w:rsid w:val="00DB2826"/>
    <w:rsid w:val="00DB4A1E"/>
    <w:rsid w:val="00DB5284"/>
    <w:rsid w:val="00DB62FE"/>
    <w:rsid w:val="00DB6422"/>
    <w:rsid w:val="00DB671C"/>
    <w:rsid w:val="00DB6A5E"/>
    <w:rsid w:val="00DC06ED"/>
    <w:rsid w:val="00DC6EA3"/>
    <w:rsid w:val="00DC7852"/>
    <w:rsid w:val="00DD4016"/>
    <w:rsid w:val="00DD41F3"/>
    <w:rsid w:val="00DD4C79"/>
    <w:rsid w:val="00DD680F"/>
    <w:rsid w:val="00DD6E9D"/>
    <w:rsid w:val="00DD7301"/>
    <w:rsid w:val="00DD7A4D"/>
    <w:rsid w:val="00DE1CC3"/>
    <w:rsid w:val="00DE5182"/>
    <w:rsid w:val="00DF03B3"/>
    <w:rsid w:val="00DF1801"/>
    <w:rsid w:val="00DF1E06"/>
    <w:rsid w:val="00DF218F"/>
    <w:rsid w:val="00DF2619"/>
    <w:rsid w:val="00DF2A0C"/>
    <w:rsid w:val="00DF3056"/>
    <w:rsid w:val="00DF3F9C"/>
    <w:rsid w:val="00DF479D"/>
    <w:rsid w:val="00E00969"/>
    <w:rsid w:val="00E00D11"/>
    <w:rsid w:val="00E00D37"/>
    <w:rsid w:val="00E017DD"/>
    <w:rsid w:val="00E028E8"/>
    <w:rsid w:val="00E041DF"/>
    <w:rsid w:val="00E056C7"/>
    <w:rsid w:val="00E10108"/>
    <w:rsid w:val="00E1032F"/>
    <w:rsid w:val="00E14A94"/>
    <w:rsid w:val="00E15F94"/>
    <w:rsid w:val="00E167B6"/>
    <w:rsid w:val="00E16AE7"/>
    <w:rsid w:val="00E20199"/>
    <w:rsid w:val="00E20B4D"/>
    <w:rsid w:val="00E21349"/>
    <w:rsid w:val="00E300C7"/>
    <w:rsid w:val="00E30820"/>
    <w:rsid w:val="00E34D35"/>
    <w:rsid w:val="00E4083D"/>
    <w:rsid w:val="00E413F1"/>
    <w:rsid w:val="00E419B8"/>
    <w:rsid w:val="00E4377D"/>
    <w:rsid w:val="00E44065"/>
    <w:rsid w:val="00E46E1C"/>
    <w:rsid w:val="00E50A35"/>
    <w:rsid w:val="00E50D78"/>
    <w:rsid w:val="00E53DE9"/>
    <w:rsid w:val="00E54687"/>
    <w:rsid w:val="00E55B1C"/>
    <w:rsid w:val="00E6240E"/>
    <w:rsid w:val="00E62652"/>
    <w:rsid w:val="00E63045"/>
    <w:rsid w:val="00E63261"/>
    <w:rsid w:val="00E65FDA"/>
    <w:rsid w:val="00E66C55"/>
    <w:rsid w:val="00E6781E"/>
    <w:rsid w:val="00E70BA1"/>
    <w:rsid w:val="00E70D3B"/>
    <w:rsid w:val="00E718B9"/>
    <w:rsid w:val="00E728E6"/>
    <w:rsid w:val="00E73A5C"/>
    <w:rsid w:val="00E74BCC"/>
    <w:rsid w:val="00E8021B"/>
    <w:rsid w:val="00E83743"/>
    <w:rsid w:val="00E90C4C"/>
    <w:rsid w:val="00E94A5E"/>
    <w:rsid w:val="00E95E3C"/>
    <w:rsid w:val="00E95E49"/>
    <w:rsid w:val="00E96309"/>
    <w:rsid w:val="00EA07D8"/>
    <w:rsid w:val="00EA2B77"/>
    <w:rsid w:val="00EB1786"/>
    <w:rsid w:val="00EB5DB5"/>
    <w:rsid w:val="00EB7FFE"/>
    <w:rsid w:val="00EC20B1"/>
    <w:rsid w:val="00EC3C0B"/>
    <w:rsid w:val="00EC4CED"/>
    <w:rsid w:val="00EC6F88"/>
    <w:rsid w:val="00EC7C03"/>
    <w:rsid w:val="00ED0041"/>
    <w:rsid w:val="00ED1617"/>
    <w:rsid w:val="00ED3BAF"/>
    <w:rsid w:val="00ED636B"/>
    <w:rsid w:val="00EE02B4"/>
    <w:rsid w:val="00EE245E"/>
    <w:rsid w:val="00EE5505"/>
    <w:rsid w:val="00EE7040"/>
    <w:rsid w:val="00EF0809"/>
    <w:rsid w:val="00EF0999"/>
    <w:rsid w:val="00EF2893"/>
    <w:rsid w:val="00EF3DCF"/>
    <w:rsid w:val="00EF4DF8"/>
    <w:rsid w:val="00EF5DA8"/>
    <w:rsid w:val="00F0188E"/>
    <w:rsid w:val="00F03DBB"/>
    <w:rsid w:val="00F03F7F"/>
    <w:rsid w:val="00F10BC4"/>
    <w:rsid w:val="00F15AD8"/>
    <w:rsid w:val="00F16E8B"/>
    <w:rsid w:val="00F20377"/>
    <w:rsid w:val="00F2222D"/>
    <w:rsid w:val="00F234C9"/>
    <w:rsid w:val="00F243EE"/>
    <w:rsid w:val="00F255E0"/>
    <w:rsid w:val="00F27CEC"/>
    <w:rsid w:val="00F27EB9"/>
    <w:rsid w:val="00F30E9D"/>
    <w:rsid w:val="00F32E1C"/>
    <w:rsid w:val="00F342DE"/>
    <w:rsid w:val="00F34D23"/>
    <w:rsid w:val="00F35C39"/>
    <w:rsid w:val="00F363D0"/>
    <w:rsid w:val="00F37CC1"/>
    <w:rsid w:val="00F44CBC"/>
    <w:rsid w:val="00F462C6"/>
    <w:rsid w:val="00F46E7C"/>
    <w:rsid w:val="00F5208D"/>
    <w:rsid w:val="00F527EE"/>
    <w:rsid w:val="00F52ED7"/>
    <w:rsid w:val="00F53B02"/>
    <w:rsid w:val="00F5479B"/>
    <w:rsid w:val="00F57A28"/>
    <w:rsid w:val="00F60492"/>
    <w:rsid w:val="00F61FA4"/>
    <w:rsid w:val="00F62829"/>
    <w:rsid w:val="00F70C2E"/>
    <w:rsid w:val="00F70DA4"/>
    <w:rsid w:val="00F72980"/>
    <w:rsid w:val="00F749F0"/>
    <w:rsid w:val="00F770EC"/>
    <w:rsid w:val="00F771FE"/>
    <w:rsid w:val="00F80399"/>
    <w:rsid w:val="00F82241"/>
    <w:rsid w:val="00F834AB"/>
    <w:rsid w:val="00F85BB0"/>
    <w:rsid w:val="00F86BDC"/>
    <w:rsid w:val="00F874AA"/>
    <w:rsid w:val="00F87B2E"/>
    <w:rsid w:val="00F87CAD"/>
    <w:rsid w:val="00F92E30"/>
    <w:rsid w:val="00F93F8C"/>
    <w:rsid w:val="00FA0F83"/>
    <w:rsid w:val="00FA2DC8"/>
    <w:rsid w:val="00FA4E1A"/>
    <w:rsid w:val="00FA5AAD"/>
    <w:rsid w:val="00FA768F"/>
    <w:rsid w:val="00FA7CEF"/>
    <w:rsid w:val="00FB0EB5"/>
    <w:rsid w:val="00FB17D7"/>
    <w:rsid w:val="00FB1EC9"/>
    <w:rsid w:val="00FB3423"/>
    <w:rsid w:val="00FB49AE"/>
    <w:rsid w:val="00FB6D8A"/>
    <w:rsid w:val="00FB77B0"/>
    <w:rsid w:val="00FC1A57"/>
    <w:rsid w:val="00FC27D3"/>
    <w:rsid w:val="00FC2AD7"/>
    <w:rsid w:val="00FC3B08"/>
    <w:rsid w:val="00FC4225"/>
    <w:rsid w:val="00FC60BA"/>
    <w:rsid w:val="00FC7A09"/>
    <w:rsid w:val="00FD2779"/>
    <w:rsid w:val="00FD2988"/>
    <w:rsid w:val="00FD335F"/>
    <w:rsid w:val="00FD3B8A"/>
    <w:rsid w:val="00FD3FB5"/>
    <w:rsid w:val="00FD49FC"/>
    <w:rsid w:val="00FE0C88"/>
    <w:rsid w:val="00FE1CAC"/>
    <w:rsid w:val="00FE6FA1"/>
    <w:rsid w:val="00FF3C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564F"/>
  <w15:docId w15:val="{61D32398-C690-DD40-A9BD-37B7F37A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rsid w:val="002B37C4"/>
    <w:pPr>
      <w:keepNext/>
      <w:keepLines/>
      <w:pageBreakBefore/>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26"/>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link w:val="ListParagraphChar"/>
    <w:uiPriority w:val="34"/>
    <w:qFormat/>
    <w:pPr>
      <w:ind w:left="720"/>
    </w:pPr>
  </w:style>
  <w:style w:type="character" w:customStyle="1" w:styleId="Heading2Char">
    <w:name w:val="Heading 2 Char"/>
    <w:basedOn w:val="DefaultParagraphFont"/>
    <w:link w:val="Heading2"/>
    <w:uiPriority w:val="3"/>
    <w:rsid w:val="002B37C4"/>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sid w:val="00434904"/>
    <w:pPr>
      <w:outlineLvl w:val="1"/>
    </w:pPr>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rsid w:val="004C7B69"/>
    <w:pPr>
      <w:tabs>
        <w:tab w:val="left" w:pos="426"/>
        <w:tab w:val="right" w:leader="dot" w:pos="9072"/>
      </w:tabs>
      <w:spacing w:before="80" w:after="8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rsid w:val="004C7B69"/>
    <w:pPr>
      <w:tabs>
        <w:tab w:val="right" w:leader="dot" w:pos="9060"/>
      </w:tabs>
      <w:spacing w:before="80" w:after="8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aliases w:val="Subheading"/>
    <w:basedOn w:val="Heading1"/>
    <w:next w:val="Normal"/>
    <w:link w:val="SubtitleChar"/>
    <w:uiPriority w:val="11"/>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aliases w:val="Subheading Char"/>
    <w:basedOn w:val="DefaultParagraphFont"/>
    <w:link w:val="Subtitle"/>
    <w:uiPriority w:val="11"/>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sid w:val="00434904"/>
    <w:pPr>
      <w:outlineLvl w:val="1"/>
    </w:pPr>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text0">
    <w:name w:val="Table text"/>
    <w:basedOn w:val="Normal"/>
    <w:rsid w:val="00B71F56"/>
    <w:pPr>
      <w:keepNext/>
      <w:spacing w:before="120" w:after="120" w:line="240" w:lineRule="auto"/>
      <w:jc w:val="both"/>
    </w:pPr>
    <w:rPr>
      <w:rFonts w:ascii="Arial" w:eastAsiaTheme="minorEastAsia" w:hAnsi="Arial"/>
      <w:sz w:val="18"/>
      <w:szCs w:val="20"/>
      <w:lang w:val="en-NZ" w:bidi="en-US"/>
    </w:rPr>
  </w:style>
  <w:style w:type="paragraph" w:customStyle="1" w:styleId="Table1caption">
    <w:name w:val="Table 1 caption"/>
    <w:basedOn w:val="Normal"/>
    <w:link w:val="Table1captionChar"/>
    <w:qFormat/>
    <w:rsid w:val="00F37CC1"/>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F37CC1"/>
    <w:rPr>
      <w:rFonts w:ascii="Myriad Pro" w:eastAsiaTheme="minorEastAsia" w:hAnsi="Myriad Pro" w:cstheme="minorHAnsi"/>
      <w:b/>
      <w:sz w:val="18"/>
      <w:szCs w:val="18"/>
      <w:lang w:val="en-US" w:eastAsia="en-US" w:bidi="en-US"/>
    </w:rPr>
  </w:style>
  <w:style w:type="character" w:customStyle="1" w:styleId="ListParagraphChar">
    <w:name w:val="List Paragraph Char"/>
    <w:basedOn w:val="DefaultParagraphFont"/>
    <w:link w:val="ListParagraph"/>
    <w:uiPriority w:val="34"/>
    <w:locked/>
    <w:rsid w:val="00D0043E"/>
    <w:rPr>
      <w:rFonts w:asciiTheme="minorHAnsi" w:eastAsiaTheme="minorHAnsi" w:hAnsiTheme="minorHAnsi" w:cstheme="minorBidi"/>
      <w:sz w:val="22"/>
      <w:szCs w:val="22"/>
      <w:lang w:eastAsia="en-US"/>
    </w:rPr>
  </w:style>
  <w:style w:type="paragraph" w:customStyle="1" w:styleId="Default">
    <w:name w:val="Default"/>
    <w:rsid w:val="00942E10"/>
    <w:pPr>
      <w:autoSpaceDE w:val="0"/>
      <w:autoSpaceDN w:val="0"/>
      <w:adjustRightInd w:val="0"/>
    </w:pPr>
    <w:rPr>
      <w:rFonts w:ascii="Charis SIL" w:hAnsi="Charis SIL" w:cs="Charis SIL"/>
      <w:color w:val="000000"/>
      <w:sz w:val="24"/>
      <w:szCs w:val="24"/>
    </w:rPr>
  </w:style>
  <w:style w:type="character" w:styleId="UnresolvedMention">
    <w:name w:val="Unresolved Mention"/>
    <w:basedOn w:val="DefaultParagraphFont"/>
    <w:uiPriority w:val="99"/>
    <w:semiHidden/>
    <w:unhideWhenUsed/>
    <w:rsid w:val="005E4F89"/>
    <w:rPr>
      <w:color w:val="605E5C"/>
      <w:shd w:val="clear" w:color="auto" w:fill="E1DFDD"/>
    </w:rPr>
  </w:style>
  <w:style w:type="paragraph" w:customStyle="1" w:styleId="AppendixTablecaption">
    <w:name w:val="Appendix Table caption"/>
    <w:basedOn w:val="Caption"/>
    <w:qFormat/>
    <w:rsid w:val="00B025D1"/>
  </w:style>
  <w:style w:type="paragraph" w:customStyle="1" w:styleId="AppendixFigurecaption">
    <w:name w:val="Appendix Figure caption"/>
    <w:basedOn w:val="Caption"/>
    <w:qFormat/>
    <w:rsid w:val="0072578D"/>
  </w:style>
  <w:style w:type="paragraph" w:customStyle="1" w:styleId="Figure">
    <w:name w:val="Figure"/>
    <w:basedOn w:val="Normal"/>
    <w:qFormat/>
    <w:rsid w:val="0072578D"/>
    <w:pPr>
      <w:spacing w:before="240" w:after="120"/>
    </w:pPr>
    <w:rPr>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58242003">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aterquality.gov.au/anz-guidelines" TargetMode="External"/><Relationship Id="rId21" Type="http://schemas.openxmlformats.org/officeDocument/2006/relationships/hyperlink" Target="https://creativecommons.org/licenses/by/4.0/legalcode" TargetMode="External"/><Relationship Id="rId42" Type="http://schemas.openxmlformats.org/officeDocument/2006/relationships/header" Target="header11.xml"/><Relationship Id="rId47" Type="http://schemas.openxmlformats.org/officeDocument/2006/relationships/image" Target="media/image5.emf"/><Relationship Id="rId63" Type="http://schemas.openxmlformats.org/officeDocument/2006/relationships/hyperlink" Target="https://doi.org/10.1002/etc.4043" TargetMode="External"/><Relationship Id="rId68" Type="http://schemas.openxmlformats.org/officeDocument/2006/relationships/hyperlink" Target="https://doi.org/10.1007/bf00212429" TargetMode="External"/><Relationship Id="rId84" Type="http://schemas.openxmlformats.org/officeDocument/2006/relationships/glossaryDocument" Target="glossary/document.xml"/><Relationship Id="rId16" Type="http://schemas.openxmlformats.org/officeDocument/2006/relationships/footer" Target="footer2.xml"/><Relationship Id="rId11" Type="http://schemas.openxmlformats.org/officeDocument/2006/relationships/footnotes" Target="footnotes.xml"/><Relationship Id="rId32" Type="http://schemas.openxmlformats.org/officeDocument/2006/relationships/footer" Target="footer6.xml"/><Relationship Id="rId37" Type="http://schemas.openxmlformats.org/officeDocument/2006/relationships/footer" Target="footer7.xml"/><Relationship Id="rId53" Type="http://schemas.openxmlformats.org/officeDocument/2006/relationships/hyperlink" Target="https://doi.org/10.1002/etc.5627" TargetMode="External"/><Relationship Id="rId58" Type="http://schemas.openxmlformats.org/officeDocument/2006/relationships/hyperlink" Target="https://doi.org/10.1897/05-060R.1" TargetMode="External"/><Relationship Id="rId74" Type="http://schemas.openxmlformats.org/officeDocument/2006/relationships/hyperlink" Target="https://www.waterquality.gov.au/anz-guidelines/guideline-values/derive/warne-method-derive" TargetMode="External"/><Relationship Id="rId79" Type="http://schemas.openxmlformats.org/officeDocument/2006/relationships/footer" Target="footer13.xml"/><Relationship Id="rId5" Type="http://schemas.openxmlformats.org/officeDocument/2006/relationships/customXml" Target="../customXml/item5.xml"/><Relationship Id="rId1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copyright@dcceew.gov.au"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image" Target="media/image6.emf"/><Relationship Id="rId56" Type="http://schemas.openxmlformats.org/officeDocument/2006/relationships/hyperlink" Target="https://doi.org/10.1007/s00128-003-0132-z" TargetMode="External"/><Relationship Id="rId64" Type="http://schemas.openxmlformats.org/officeDocument/2006/relationships/hyperlink" Target="https://doi.org/10.1016/S0304-4203(01)00074-3" TargetMode="External"/><Relationship Id="rId69" Type="http://schemas.openxmlformats.org/officeDocument/2006/relationships/hyperlink" Target="https://www2.gov.bc.ca/assets/gov/environment/air-land-water/water/waterquality/water-quality-guidelines/approved-wqgs/iron-tech.pdf" TargetMode="External"/><Relationship Id="rId77" Type="http://schemas.openxmlformats.org/officeDocument/2006/relationships/header" Target="header13.xml"/><Relationship Id="rId8" Type="http://schemas.openxmlformats.org/officeDocument/2006/relationships/styles" Target="styles.xml"/><Relationship Id="rId51" Type="http://schemas.openxmlformats.org/officeDocument/2006/relationships/hyperlink" Target="https://www.waterquality.gov.au/anz-guidelines" TargetMode="External"/><Relationship Id="rId72" Type="http://schemas.openxmlformats.org/officeDocument/2006/relationships/hyperlink" Target="https://www.epa.gov/esam/epa-method-2008-determination-trace-elements-waters-and-wastes-inductively-coupled-plasma-mass" TargetMode="External"/><Relationship Id="rId80" Type="http://schemas.openxmlformats.org/officeDocument/2006/relationships/footer" Target="footer14.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3.jpg"/><Relationship Id="rId33" Type="http://schemas.openxmlformats.org/officeDocument/2006/relationships/image" Target="media/image4.png"/><Relationship Id="rId38" Type="http://schemas.openxmlformats.org/officeDocument/2006/relationships/footer" Target="footer8.xml"/><Relationship Id="rId46" Type="http://schemas.openxmlformats.org/officeDocument/2006/relationships/footer" Target="footer12.xml"/><Relationship Id="rId59" Type="http://schemas.openxmlformats.org/officeDocument/2006/relationships/hyperlink" Target="https://doi.org/10.1016/j.aquatox.2022.106135" TargetMode="External"/><Relationship Id="rId67" Type="http://schemas.openxmlformats.org/officeDocument/2006/relationships/hyperlink" Target="http://dx.doi.org/10.2533/chimia.2014.764" TargetMode="External"/><Relationship Id="rId20" Type="http://schemas.openxmlformats.org/officeDocument/2006/relationships/hyperlink" Target="https://creativecommons.org/licenses/by/4.0/" TargetMode="External"/><Relationship Id="rId41" Type="http://schemas.openxmlformats.org/officeDocument/2006/relationships/header" Target="header10.xml"/><Relationship Id="rId54" Type="http://schemas.openxmlformats.org/officeDocument/2006/relationships/hyperlink" Target="https://www.oieau.fr/eaudoc/system/files/documents/6/30413/30413_doc.pdf" TargetMode="External"/><Relationship Id="rId62" Type="http://schemas.openxmlformats.org/officeDocument/2006/relationships/hyperlink" Target="https://doi.org/10.1006/ecss.1998.0355" TargetMode="External"/><Relationship Id="rId70" Type="http://schemas.openxmlformats.org/officeDocument/2006/relationships/hyperlink" Target="https://doi.org/10.1016/0048-9697(89)90189-7" TargetMode="External"/><Relationship Id="rId75" Type="http://schemas.openxmlformats.org/officeDocument/2006/relationships/hyperlink" Target="https://doi.org/10.1006/eesa.1996.1514" TargetMode="External"/><Relationship Id="rId83" Type="http://schemas.openxmlformats.org/officeDocument/2006/relationships/fontTable" Target="fontTable.xml"/><Relationship Id="rId1" Type="http://schemas.openxmlformats.org/officeDocument/2006/relationships/customXml" Target="../customXml/item1.xml"/><Relationship Id="rId15" Type="http://schemas.openxmlformats.org/officeDocument/2006/relationships/footer" Target="footer1.xml"/><Relationship Id="rId23" Type="http://schemas.openxmlformats.org/officeDocument/2006/relationships/hyperlink" Target="http://www.waterquality.gov.au/anz-guidelines/guideline-values/default/water-quality-toxicants/toxicants" TargetMode="External"/><Relationship Id="rId28" Type="http://schemas.openxmlformats.org/officeDocument/2006/relationships/header" Target="header5.xml"/><Relationship Id="rId36" Type="http://schemas.openxmlformats.org/officeDocument/2006/relationships/header" Target="header8.xml"/><Relationship Id="rId49" Type="http://schemas.openxmlformats.org/officeDocument/2006/relationships/hyperlink" Target="http://dx.doi.org/10.1071/EN15029" TargetMode="External"/><Relationship Id="rId57" Type="http://schemas.openxmlformats.org/officeDocument/2006/relationships/hyperlink" Target="https://doi.org/10.3389/fmicb.2012.00069" TargetMode="External"/><Relationship Id="rId10" Type="http://schemas.openxmlformats.org/officeDocument/2006/relationships/webSettings" Target="webSettings.xml"/><Relationship Id="rId31" Type="http://schemas.openxmlformats.org/officeDocument/2006/relationships/header" Target="header6.xml"/><Relationship Id="rId44" Type="http://schemas.openxmlformats.org/officeDocument/2006/relationships/footer" Target="footer11.xml"/><Relationship Id="rId52" Type="http://schemas.openxmlformats.org/officeDocument/2006/relationships/hyperlink" Target="https://doi.org/10.1002/etc.5530" TargetMode="External"/><Relationship Id="rId60" Type="http://schemas.openxmlformats.org/officeDocument/2006/relationships/hyperlink" Target="https://doi.org/10.1016/j.envpol.2010.03.025" TargetMode="External"/><Relationship Id="rId65" Type="http://schemas.openxmlformats.org/officeDocument/2006/relationships/hyperlink" Target="http://dx.doi.org/10.1007/BF00391195" TargetMode="External"/><Relationship Id="rId73" Type="http://schemas.openxmlformats.org/officeDocument/2006/relationships/hyperlink" Target="https://www.epa.gov/sites/default/files/2015-08/documents/short-term-chronic-freshwater-wet-manual_2002.pdf" TargetMode="External"/><Relationship Id="rId78" Type="http://schemas.openxmlformats.org/officeDocument/2006/relationships/header" Target="header14.xml"/><Relationship Id="rId81" Type="http://schemas.openxmlformats.org/officeDocument/2006/relationships/header" Target="header15.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9.xml"/><Relationship Id="rId34" Type="http://schemas.openxmlformats.org/officeDocument/2006/relationships/hyperlink" Target="http://www.waterquality.gov.au/anz-guidelines" TargetMode="External"/><Relationship Id="rId50" Type="http://schemas.openxmlformats.org/officeDocument/2006/relationships/hyperlink" Target="https://www.waterquality.gov.au/sites/default/files/documents/anzecc-armcanz-2000-guidelines-vol1.pdf" TargetMode="External"/><Relationship Id="rId55" Type="http://schemas.openxmlformats.org/officeDocument/2006/relationships/hyperlink" Target="https://doi.org/10.3758/s13428-012-0225-x" TargetMode="External"/><Relationship Id="rId76" Type="http://schemas.openxmlformats.org/officeDocument/2006/relationships/hyperlink" Target="https://doi.org/10.1016/j.marchem.2014.08.009" TargetMode="External"/><Relationship Id="rId7" Type="http://schemas.openxmlformats.org/officeDocument/2006/relationships/numbering" Target="numbering.xml"/><Relationship Id="rId71" Type="http://schemas.openxmlformats.org/officeDocument/2006/relationships/hyperlink" Target="https://doi.org/10.1002/etc.4448" TargetMode="Externa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yperlink" Target="mailto:waterquality@dcceew.gov.au" TargetMode="External"/><Relationship Id="rId40" Type="http://schemas.openxmlformats.org/officeDocument/2006/relationships/footer" Target="footer9.xml"/><Relationship Id="rId45" Type="http://schemas.openxmlformats.org/officeDocument/2006/relationships/header" Target="header12.xml"/><Relationship Id="rId66" Type="http://schemas.openxmlformats.org/officeDocument/2006/relationships/hyperlink" Target="https://doi.org/10.1016/j.scitotenv.2021.147988" TargetMode="External"/><Relationship Id="rId61" Type="http://schemas.openxmlformats.org/officeDocument/2006/relationships/hyperlink" Target="https://doi.org/10.1371/journal.pone.0043983" TargetMode="External"/><Relationship Id="rId82" Type="http://schemas.openxmlformats.org/officeDocument/2006/relationships/footer" Target="footer1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0CCC024575420DB346A2897E1BFAA1"/>
        <w:category>
          <w:name w:val="General"/>
          <w:gallery w:val="placeholder"/>
        </w:category>
        <w:types>
          <w:type w:val="bbPlcHdr"/>
        </w:types>
        <w:behaviors>
          <w:behavior w:val="content"/>
        </w:behaviors>
        <w:guid w:val="{59AC9F7E-4FA2-490F-98B6-D985F0F8EDE1}"/>
      </w:docPartPr>
      <w:docPartBody>
        <w:p w:rsidR="00B7057B" w:rsidRDefault="00B7057B" w:rsidP="00B7057B">
          <w:pPr>
            <w:pStyle w:val="B20CCC024575420DB346A2897E1BFAA1"/>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vTT181ea94d.I+20">
    <w:altName w:val="Yu Gothic"/>
    <w:panose1 w:val="00000000000000000000"/>
    <w:charset w:val="80"/>
    <w:family w:val="auto"/>
    <w:notTrueType/>
    <w:pitch w:val="default"/>
    <w:sig w:usb0="00000001" w:usb1="08070000" w:usb2="00000010" w:usb3="00000000" w:csb0="00020000" w:csb1="00000000"/>
  </w:font>
  <w:font w:name="AdvTTad02f5c0+20">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57B"/>
    <w:rsid w:val="00015EF0"/>
    <w:rsid w:val="0008274C"/>
    <w:rsid w:val="000B4DF2"/>
    <w:rsid w:val="000C0CEA"/>
    <w:rsid w:val="000C4F7F"/>
    <w:rsid w:val="000F5245"/>
    <w:rsid w:val="00141CDD"/>
    <w:rsid w:val="001465C2"/>
    <w:rsid w:val="0014692C"/>
    <w:rsid w:val="001C152B"/>
    <w:rsid w:val="001E598C"/>
    <w:rsid w:val="00242B67"/>
    <w:rsid w:val="0024695A"/>
    <w:rsid w:val="002A66EA"/>
    <w:rsid w:val="00321E39"/>
    <w:rsid w:val="003232C1"/>
    <w:rsid w:val="0035217D"/>
    <w:rsid w:val="00361B7E"/>
    <w:rsid w:val="00374DED"/>
    <w:rsid w:val="003751EA"/>
    <w:rsid w:val="00392AC8"/>
    <w:rsid w:val="003C4087"/>
    <w:rsid w:val="004162AB"/>
    <w:rsid w:val="00450874"/>
    <w:rsid w:val="00460D1B"/>
    <w:rsid w:val="00461D74"/>
    <w:rsid w:val="00496641"/>
    <w:rsid w:val="004B5F7C"/>
    <w:rsid w:val="004C67F6"/>
    <w:rsid w:val="004D3BD8"/>
    <w:rsid w:val="004E083C"/>
    <w:rsid w:val="005A3425"/>
    <w:rsid w:val="005E0C1E"/>
    <w:rsid w:val="006634CF"/>
    <w:rsid w:val="00702093"/>
    <w:rsid w:val="00723E0E"/>
    <w:rsid w:val="00750303"/>
    <w:rsid w:val="00756703"/>
    <w:rsid w:val="007649FF"/>
    <w:rsid w:val="007C01CD"/>
    <w:rsid w:val="007D4F62"/>
    <w:rsid w:val="007E1690"/>
    <w:rsid w:val="00805DE4"/>
    <w:rsid w:val="0081552A"/>
    <w:rsid w:val="00830F04"/>
    <w:rsid w:val="008413BE"/>
    <w:rsid w:val="0086238B"/>
    <w:rsid w:val="0088068F"/>
    <w:rsid w:val="00887792"/>
    <w:rsid w:val="00893710"/>
    <w:rsid w:val="008B60DE"/>
    <w:rsid w:val="008E1E48"/>
    <w:rsid w:val="00960A31"/>
    <w:rsid w:val="00964D9D"/>
    <w:rsid w:val="00A317F5"/>
    <w:rsid w:val="00A32AC5"/>
    <w:rsid w:val="00A564FC"/>
    <w:rsid w:val="00A74BDA"/>
    <w:rsid w:val="00A86608"/>
    <w:rsid w:val="00AC1F21"/>
    <w:rsid w:val="00B01F48"/>
    <w:rsid w:val="00B16141"/>
    <w:rsid w:val="00B35D77"/>
    <w:rsid w:val="00B41830"/>
    <w:rsid w:val="00B7057B"/>
    <w:rsid w:val="00B8419D"/>
    <w:rsid w:val="00B94363"/>
    <w:rsid w:val="00BA1C91"/>
    <w:rsid w:val="00C07808"/>
    <w:rsid w:val="00C45A16"/>
    <w:rsid w:val="00CC628F"/>
    <w:rsid w:val="00CE5D5B"/>
    <w:rsid w:val="00CE6A1A"/>
    <w:rsid w:val="00D176FA"/>
    <w:rsid w:val="00D2262E"/>
    <w:rsid w:val="00D2526B"/>
    <w:rsid w:val="00D304D6"/>
    <w:rsid w:val="00D7649D"/>
    <w:rsid w:val="00D85161"/>
    <w:rsid w:val="00D932C4"/>
    <w:rsid w:val="00DD3B72"/>
    <w:rsid w:val="00E30A7A"/>
    <w:rsid w:val="00E50A35"/>
    <w:rsid w:val="00ED165C"/>
    <w:rsid w:val="00EF39F0"/>
    <w:rsid w:val="00F255E0"/>
    <w:rsid w:val="00F67445"/>
    <w:rsid w:val="00FC054C"/>
    <w:rsid w:val="00FC0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57B"/>
    <w:rPr>
      <w:color w:val="808080"/>
    </w:rPr>
  </w:style>
  <w:style w:type="paragraph" w:customStyle="1" w:styleId="B20CCC024575420DB346A2897E1BFAA1">
    <w:name w:val="B20CCC024575420DB346A2897E1BFAA1"/>
    <w:rsid w:val="00B70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EC012B5-2F9B-4AAF-8041-702DE648FC03}"/>
</file>

<file path=customXml/itemProps2.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3.xml><?xml version="1.0" encoding="utf-8"?>
<ds:datastoreItem xmlns:ds="http://schemas.openxmlformats.org/officeDocument/2006/customXml" ds:itemID="{A1D323EF-822C-4E4A-9DA5-304476EA7B2B}">
  <ds:schemaRefs>
    <ds:schemaRef ds:uri="http://schemas.microsoft.com/office/2006/metadata/properties"/>
    <ds:schemaRef ds:uri="c25cb30a-de11-40ab-bdcc-f1d56023b01d"/>
    <ds:schemaRef ds:uri="http://schemas.microsoft.com/sharepoint/v4"/>
  </ds:schemaRefs>
</ds:datastoreItem>
</file>

<file path=customXml/itemProps4.xml><?xml version="1.0" encoding="utf-8"?>
<ds:datastoreItem xmlns:ds="http://schemas.openxmlformats.org/officeDocument/2006/customXml" ds:itemID="{086CE546-3E0F-4174-A106-4E7F4E698FD2}">
  <ds:schemaRefs>
    <ds:schemaRef ds:uri="http://schemas.microsoft.com/office/2006/metadata/customXsn"/>
  </ds:schemaRefs>
</ds:datastoreItem>
</file>

<file path=customXml/itemProps5.xml><?xml version="1.0" encoding="utf-8"?>
<ds:datastoreItem xmlns:ds="http://schemas.openxmlformats.org/officeDocument/2006/customXml" ds:itemID="{DA997F60-0923-43F0-A655-A50A80F88470}">
  <ds:schemaRefs>
    <ds:schemaRef ds:uri="http://schemas.openxmlformats.org/officeDocument/2006/bibliography"/>
  </ds:schemaRefs>
</ds:datastoreItem>
</file>

<file path=customXml/itemProps6.xml><?xml version="1.0" encoding="utf-8"?>
<ds:datastoreItem xmlns:ds="http://schemas.openxmlformats.org/officeDocument/2006/customXml" ds:itemID="{1F1E8574-0996-48F6-8674-AD4F21D8D8B0}">
  <ds:schemaRefs>
    <ds:schemaRef ds:uri="http://schemas.microsoft.com/sharepoint/event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5</TotalTime>
  <Pages>26</Pages>
  <Words>8717</Words>
  <Characters>49693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 Iron in marine water</vt:lpstr>
    </vt:vector>
  </TitlesOfParts>
  <Company/>
  <LinksUpToDate>false</LinksUpToDate>
  <CharactersWithSpaces>58294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 Iron in marine water</dc:title>
  <dc:subject/>
  <dc:creator>Australian Government</dc:creator>
  <cp:keywords/>
  <dc:description/>
  <cp:lastModifiedBy>Lien NGUYEN</cp:lastModifiedBy>
  <cp:revision>25</cp:revision>
  <cp:lastPrinted>2025-09-09T21:42:00Z</cp:lastPrinted>
  <dcterms:created xsi:type="dcterms:W3CDTF">2025-09-08T04:10:00Z</dcterms:created>
  <dcterms:modified xsi:type="dcterms:W3CDTF">2025-09-15T02:26:00Z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7a1f0fdf,55e05bfa,1e771f86,910cd31,1577c4a3,410e4f88,62bc3e5,65e99a48,3575ae6b,783bdbcb,3d526ab,1310c4d5,3d84be65,12b9d71a,344de7c7</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669a436b,557ae003,6dd6a231,5c82331d,13464b57,7082b69e,3d6c24c6,747d006e,45a0166d,3ae67217,42f0d215,1860d9e8,4e8bf603,2d6b3e42,71d0c302</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ies>
</file>