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0769" w14:textId="77777777" w:rsidR="006A5184" w:rsidRDefault="006A5184" w:rsidP="006A5184">
      <w:pPr>
        <w:pStyle w:val="Heading3"/>
      </w:pPr>
    </w:p>
    <w:p w14:paraId="5888E7A2" w14:textId="4FCBDD3E" w:rsidR="006A5184" w:rsidRPr="006A5184" w:rsidRDefault="006A5184" w:rsidP="006A5184">
      <w:pPr>
        <w:pStyle w:val="Heading3"/>
        <w:rPr>
          <w:rStyle w:val="Emphasis"/>
          <w:rFonts w:ascii="Calibri" w:hAnsi="Calibri" w:cs="Calibri"/>
          <w:b/>
          <w:bCs w:val="0"/>
          <w:sz w:val="36"/>
          <w:szCs w:val="36"/>
        </w:rPr>
      </w:pPr>
      <w:r w:rsidRPr="006A5184">
        <w:rPr>
          <w:rFonts w:ascii="Calibri" w:hAnsi="Calibri" w:cs="Calibri"/>
          <w:sz w:val="36"/>
          <w:szCs w:val="36"/>
        </w:rPr>
        <w:t xml:space="preserve">Response to public submissions on draft default guideline values for iron in </w:t>
      </w:r>
      <w:r>
        <w:rPr>
          <w:rFonts w:ascii="Calibri" w:hAnsi="Calibri" w:cs="Calibri"/>
          <w:sz w:val="36"/>
          <w:szCs w:val="36"/>
        </w:rPr>
        <w:t>marine water</w:t>
      </w:r>
      <w:r w:rsidRPr="006A5184">
        <w:rPr>
          <w:rFonts w:ascii="Calibri" w:hAnsi="Calibri" w:cs="Calibri"/>
          <w:sz w:val="36"/>
          <w:szCs w:val="36"/>
        </w:rPr>
        <w:t xml:space="preserve"> </w:t>
      </w:r>
    </w:p>
    <w:p w14:paraId="172B2911" w14:textId="77777777" w:rsidR="006A5184" w:rsidRPr="004E6A7F" w:rsidRDefault="006A5184" w:rsidP="006A5184">
      <w:pPr>
        <w:pStyle w:val="Subtitle"/>
        <w:rPr>
          <w:color w:val="auto"/>
        </w:rPr>
      </w:pPr>
      <w:r>
        <w:rPr>
          <w:color w:val="auto"/>
        </w:rPr>
        <w:t>September 2025</w:t>
      </w:r>
    </w:p>
    <w:p w14:paraId="6DD32446" w14:textId="77777777" w:rsidR="006A5184" w:rsidRDefault="006A5184" w:rsidP="006A5184"/>
    <w:p w14:paraId="66E48D9D" w14:textId="5E1B87E9" w:rsidR="006A5184" w:rsidRPr="00A60014" w:rsidRDefault="006A5184" w:rsidP="0087379F">
      <w:r w:rsidRPr="00A60014">
        <w:t xml:space="preserve">Draft default guideline values (DGVs) for </w:t>
      </w:r>
      <w:r>
        <w:t>iron in marine water</w:t>
      </w:r>
      <w:r w:rsidRPr="004E6A7F">
        <w:t xml:space="preserve"> </w:t>
      </w:r>
      <w:r w:rsidRPr="00A60014">
        <w:t>were published on the Water Quality Guidelines website for a</w:t>
      </w:r>
      <w:r w:rsidRPr="004E6A7F">
        <w:t xml:space="preserve"> 3-month </w:t>
      </w:r>
      <w:r w:rsidRPr="00A60014">
        <w:t xml:space="preserve">public consultation period. During this period, comments for the draft DGVs for </w:t>
      </w:r>
      <w:r>
        <w:t>iron in marine water</w:t>
      </w:r>
      <w:r w:rsidRPr="004E6A7F">
        <w:t xml:space="preserve"> </w:t>
      </w:r>
      <w:r w:rsidRPr="00A60014">
        <w:t>were received via public submission.</w:t>
      </w:r>
    </w:p>
    <w:p w14:paraId="6919B9B7" w14:textId="77777777" w:rsidR="006A5184" w:rsidRPr="00A60014" w:rsidRDefault="006A5184" w:rsidP="0087379F">
      <w:r w:rsidRPr="00A60014">
        <w:t xml:space="preserve">Responses to comments and any associated edits to the draft DGV technical brief are outlined in </w:t>
      </w:r>
      <w:r>
        <w:t>Attachment A</w:t>
      </w:r>
      <w:r w:rsidRPr="00A60014">
        <w:t xml:space="preserve">, de-identified for public record. The responses and revisions have been approved by the original peer </w:t>
      </w:r>
      <w:r w:rsidRPr="00524363">
        <w:t>reviewers</w:t>
      </w:r>
      <w:r w:rsidRPr="00CD2FA9">
        <w:rPr>
          <w:rStyle w:val="CommentReference"/>
          <w:rFonts w:ascii="Calibri" w:eastAsia="Calibri" w:hAnsi="Calibri"/>
          <w:sz w:val="22"/>
          <w:szCs w:val="22"/>
        </w:rPr>
        <w:t xml:space="preserve"> and</w:t>
      </w:r>
      <w:r>
        <w:rPr>
          <w:rStyle w:val="CommentReference"/>
          <w:rFonts w:ascii="Calibri" w:eastAsia="Calibri" w:hAnsi="Calibri"/>
        </w:rPr>
        <w:t xml:space="preserve"> </w:t>
      </w:r>
      <w:r w:rsidRPr="00A60014">
        <w:t>the jurisdictional technical and policy oversight group</w:t>
      </w:r>
      <w:r w:rsidRPr="00D354D0">
        <w:t xml:space="preserve">s, and noted by the National Water Reform Committee. </w:t>
      </w:r>
    </w:p>
    <w:p w14:paraId="1AF6A116" w14:textId="71919C1F" w:rsidR="006A5184" w:rsidRDefault="006A5184" w:rsidP="006A5184">
      <w:r>
        <w:t xml:space="preserve">The default guideline values for </w:t>
      </w:r>
      <w:r>
        <w:rPr>
          <w:rFonts w:cstheme="minorHAnsi"/>
        </w:rPr>
        <w:t>iron in marine water</w:t>
      </w:r>
      <w:r w:rsidRPr="004E6A7F">
        <w:rPr>
          <w:rFonts w:cstheme="minorHAnsi"/>
        </w:rPr>
        <w:t xml:space="preserve"> </w:t>
      </w:r>
      <w:r>
        <w:t xml:space="preserve">are now published as final. For additional information on the publication process, please refer to the </w:t>
      </w:r>
      <w:hyperlink r:id="rId11" w:history="1">
        <w:r w:rsidRPr="004040B5">
          <w:rPr>
            <w:rStyle w:val="Hyperlink"/>
          </w:rPr>
          <w:t>pathway for toxicant default guideline value publication</w:t>
        </w:r>
      </w:hyperlink>
      <w:r>
        <w:t>.</w:t>
      </w:r>
    </w:p>
    <w:p w14:paraId="028E8949" w14:textId="77777777" w:rsidR="006A5184" w:rsidRPr="00A60014" w:rsidRDefault="006A5184" w:rsidP="006A5184">
      <w:r w:rsidRPr="00A60014">
        <w:t>The Water Quality Guidelines Improvement Program thanks all submissions for their valuable contribution to the development of default guideline values for the protection of aquatic ecosystems.</w:t>
      </w:r>
    </w:p>
    <w:p w14:paraId="0B931380" w14:textId="77777777" w:rsidR="006A5184" w:rsidRDefault="006A5184" w:rsidP="006A5184">
      <w:pPr>
        <w:tabs>
          <w:tab w:val="left" w:pos="7520"/>
        </w:tabs>
      </w:pPr>
    </w:p>
    <w:p w14:paraId="245FDDE2" w14:textId="77777777" w:rsidR="006A5184" w:rsidRDefault="006A5184" w:rsidP="006A5184">
      <w:pPr>
        <w:tabs>
          <w:tab w:val="left" w:pos="7520"/>
        </w:tabs>
        <w:sectPr w:rsidR="006A5184" w:rsidSect="006A51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5C39B931" w14:textId="39FED1B6" w:rsidR="0031046F" w:rsidRPr="009F7EBA" w:rsidRDefault="0031046F" w:rsidP="006A5184">
      <w:pPr>
        <w:pStyle w:val="Heading3"/>
        <w:rPr>
          <w:rFonts w:ascii="Calibri" w:hAnsi="Calibri" w:cs="Calibri"/>
          <w:sz w:val="36"/>
          <w:szCs w:val="36"/>
        </w:rPr>
      </w:pPr>
      <w:r w:rsidRPr="009F7EBA">
        <w:rPr>
          <w:rFonts w:ascii="Calibri" w:hAnsi="Calibri" w:cs="Calibri"/>
          <w:sz w:val="36"/>
          <w:szCs w:val="36"/>
        </w:rPr>
        <w:lastRenderedPageBreak/>
        <w:t>Response to public submissions on draft default guideline values</w:t>
      </w:r>
    </w:p>
    <w:p w14:paraId="7FED44A2" w14:textId="3788D36A" w:rsidR="0031046F" w:rsidRPr="00C93289" w:rsidRDefault="0031046F" w:rsidP="0031046F">
      <w:pPr>
        <w:rPr>
          <w:b/>
          <w:bCs/>
        </w:rPr>
      </w:pPr>
      <w:r w:rsidRPr="00C93289">
        <w:rPr>
          <w:b/>
          <w:bCs/>
        </w:rPr>
        <w:t xml:space="preserve">Toxicant: </w:t>
      </w:r>
      <w:r>
        <w:rPr>
          <w:b/>
          <w:bCs/>
        </w:rPr>
        <w:t>Iron in marine water</w:t>
      </w:r>
    </w:p>
    <w:tbl>
      <w:tblPr>
        <w:tblStyle w:val="TableGrid"/>
        <w:tblW w:w="0" w:type="auto"/>
        <w:tblLook w:val="04A0" w:firstRow="1" w:lastRow="0" w:firstColumn="1" w:lastColumn="0" w:noHBand="0" w:noVBand="1"/>
      </w:tblPr>
      <w:tblGrid>
        <w:gridCol w:w="1194"/>
        <w:gridCol w:w="5605"/>
        <w:gridCol w:w="4111"/>
        <w:gridCol w:w="3040"/>
      </w:tblGrid>
      <w:tr w:rsidR="00D45F4C" w:rsidRPr="00D257E8" w14:paraId="2D063E04" w14:textId="77777777" w:rsidTr="0027035C">
        <w:trPr>
          <w:tblHeader/>
        </w:trPr>
        <w:tc>
          <w:tcPr>
            <w:tcW w:w="1194" w:type="dxa"/>
          </w:tcPr>
          <w:p w14:paraId="6C718B17" w14:textId="77777777" w:rsidR="00D45F4C" w:rsidRPr="00D257E8" w:rsidRDefault="00D45F4C" w:rsidP="00040781">
            <w:pPr>
              <w:spacing w:before="60" w:after="60" w:line="240" w:lineRule="auto"/>
              <w:jc w:val="center"/>
              <w:rPr>
                <w:b/>
                <w:bCs/>
                <w:sz w:val="18"/>
                <w:szCs w:val="18"/>
                <w:lang w:val="en-GB"/>
              </w:rPr>
            </w:pPr>
            <w:r>
              <w:rPr>
                <w:b/>
                <w:bCs/>
                <w:sz w:val="18"/>
                <w:szCs w:val="18"/>
                <w:lang w:val="en-GB"/>
              </w:rPr>
              <w:t>Submitter</w:t>
            </w:r>
          </w:p>
        </w:tc>
        <w:tc>
          <w:tcPr>
            <w:tcW w:w="5605" w:type="dxa"/>
          </w:tcPr>
          <w:p w14:paraId="5AF1E32C" w14:textId="77777777" w:rsidR="00D45F4C" w:rsidRPr="00D257E8" w:rsidRDefault="00D45F4C" w:rsidP="00040781">
            <w:pPr>
              <w:spacing w:before="60" w:after="60" w:line="240" w:lineRule="auto"/>
              <w:rPr>
                <w:b/>
                <w:bCs/>
                <w:sz w:val="18"/>
                <w:szCs w:val="18"/>
                <w:lang w:val="en-GB"/>
              </w:rPr>
            </w:pPr>
            <w:r w:rsidRPr="00D257E8">
              <w:rPr>
                <w:b/>
                <w:bCs/>
                <w:sz w:val="18"/>
                <w:szCs w:val="18"/>
                <w:lang w:val="en-GB"/>
              </w:rPr>
              <w:t>Technical comment</w:t>
            </w:r>
          </w:p>
        </w:tc>
        <w:tc>
          <w:tcPr>
            <w:tcW w:w="4111" w:type="dxa"/>
          </w:tcPr>
          <w:p w14:paraId="0DB7BC5C" w14:textId="008F40C8" w:rsidR="00D45F4C" w:rsidRPr="00D257E8" w:rsidRDefault="0031046F" w:rsidP="00040781">
            <w:pPr>
              <w:spacing w:before="60" w:after="60" w:line="240" w:lineRule="auto"/>
              <w:rPr>
                <w:b/>
                <w:bCs/>
                <w:sz w:val="18"/>
                <w:szCs w:val="18"/>
                <w:lang w:val="en-GB"/>
              </w:rPr>
            </w:pPr>
            <w:r>
              <w:rPr>
                <w:b/>
                <w:bCs/>
                <w:sz w:val="18"/>
                <w:szCs w:val="18"/>
                <w:lang w:val="en-GB"/>
              </w:rPr>
              <w:t>Response</w:t>
            </w:r>
          </w:p>
        </w:tc>
        <w:tc>
          <w:tcPr>
            <w:tcW w:w="3040" w:type="dxa"/>
          </w:tcPr>
          <w:p w14:paraId="0CA4E588" w14:textId="6799068A" w:rsidR="00D45F4C" w:rsidRPr="00D257E8" w:rsidRDefault="0031046F" w:rsidP="00040781">
            <w:pPr>
              <w:spacing w:before="60" w:after="60" w:line="240" w:lineRule="auto"/>
              <w:rPr>
                <w:b/>
                <w:bCs/>
                <w:sz w:val="18"/>
                <w:szCs w:val="18"/>
                <w:lang w:val="en-GB"/>
              </w:rPr>
            </w:pPr>
            <w:r>
              <w:rPr>
                <w:b/>
                <w:bCs/>
                <w:sz w:val="18"/>
                <w:szCs w:val="18"/>
                <w:lang w:val="en-GB"/>
              </w:rPr>
              <w:t>Action taken</w:t>
            </w:r>
          </w:p>
        </w:tc>
      </w:tr>
      <w:tr w:rsidR="00D45F4C" w:rsidRPr="003C1402" w14:paraId="0DD8F477" w14:textId="77777777" w:rsidTr="0027035C">
        <w:tc>
          <w:tcPr>
            <w:tcW w:w="1194" w:type="dxa"/>
          </w:tcPr>
          <w:p w14:paraId="6385EE5A" w14:textId="0D0AE015" w:rsidR="00D45F4C" w:rsidRPr="003C1402" w:rsidRDefault="00D45F4C" w:rsidP="00040781">
            <w:pPr>
              <w:spacing w:before="60" w:after="60" w:line="240" w:lineRule="auto"/>
              <w:jc w:val="center"/>
              <w:rPr>
                <w:b/>
                <w:bCs/>
                <w:sz w:val="18"/>
                <w:szCs w:val="18"/>
                <w:lang w:val="en-GB"/>
              </w:rPr>
            </w:pPr>
            <w:r w:rsidRPr="003C1402">
              <w:rPr>
                <w:b/>
                <w:bCs/>
                <w:sz w:val="18"/>
                <w:szCs w:val="18"/>
                <w:lang w:val="en-GB"/>
              </w:rPr>
              <w:t>1</w:t>
            </w:r>
            <w:r>
              <w:rPr>
                <w:b/>
                <w:bCs/>
                <w:sz w:val="18"/>
                <w:szCs w:val="18"/>
                <w:lang w:val="en-GB"/>
              </w:rPr>
              <w:t>.</w:t>
            </w:r>
          </w:p>
        </w:tc>
        <w:tc>
          <w:tcPr>
            <w:tcW w:w="5605" w:type="dxa"/>
          </w:tcPr>
          <w:p w14:paraId="188FADD7" w14:textId="77777777" w:rsidR="00D45F4C" w:rsidRPr="00D45F4C" w:rsidRDefault="00D45F4C" w:rsidP="007439DF">
            <w:pPr>
              <w:numPr>
                <w:ilvl w:val="0"/>
                <w:numId w:val="14"/>
              </w:numPr>
              <w:spacing w:before="60" w:after="60" w:line="240" w:lineRule="auto"/>
              <w:ind w:left="395" w:hanging="395"/>
              <w:rPr>
                <w:iCs/>
                <w:sz w:val="18"/>
                <w:szCs w:val="18"/>
              </w:rPr>
            </w:pPr>
            <w:r w:rsidRPr="00D45F4C">
              <w:rPr>
                <w:iCs/>
                <w:sz w:val="18"/>
                <w:szCs w:val="18"/>
              </w:rPr>
              <w:t>See comments below:</w:t>
            </w:r>
          </w:p>
          <w:p w14:paraId="3EF33F5E" w14:textId="73F9719D" w:rsidR="0031046F" w:rsidRPr="0031046F" w:rsidRDefault="00D45F4C" w:rsidP="006D4643">
            <w:pPr>
              <w:numPr>
                <w:ilvl w:val="0"/>
                <w:numId w:val="27"/>
              </w:numPr>
              <w:spacing w:before="60" w:after="60" w:line="240" w:lineRule="auto"/>
              <w:rPr>
                <w:iCs/>
                <w:sz w:val="18"/>
                <w:szCs w:val="18"/>
              </w:rPr>
            </w:pPr>
            <w:r w:rsidRPr="0031046F">
              <w:rPr>
                <w:iCs/>
                <w:sz w:val="18"/>
                <w:szCs w:val="18"/>
              </w:rPr>
              <w:t>All studies listed in the Tech Brief were retained (even though I would remove the Kadar et al (2010) paper on technical grounds) – its inclusion does not change the GV (so retained it)</w:t>
            </w:r>
            <w:r w:rsidR="0031046F">
              <w:rPr>
                <w:iCs/>
                <w:sz w:val="18"/>
                <w:szCs w:val="18"/>
              </w:rPr>
              <w:t>.</w:t>
            </w:r>
          </w:p>
          <w:p w14:paraId="71CD5BB8" w14:textId="7B3E02C8" w:rsidR="0031046F" w:rsidRPr="0031046F" w:rsidRDefault="0031046F" w:rsidP="006D4643">
            <w:pPr>
              <w:numPr>
                <w:ilvl w:val="0"/>
                <w:numId w:val="27"/>
              </w:numPr>
              <w:spacing w:before="60" w:after="60" w:line="240" w:lineRule="auto"/>
              <w:rPr>
                <w:iCs/>
                <w:sz w:val="18"/>
                <w:szCs w:val="18"/>
              </w:rPr>
            </w:pPr>
            <w:r>
              <w:rPr>
                <w:iCs/>
                <w:sz w:val="18"/>
                <w:szCs w:val="18"/>
              </w:rPr>
              <w:t>F</w:t>
            </w:r>
            <w:r w:rsidR="00D45F4C" w:rsidRPr="0031046F">
              <w:rPr>
                <w:iCs/>
                <w:sz w:val="18"/>
                <w:szCs w:val="18"/>
              </w:rPr>
              <w:t xml:space="preserve">or </w:t>
            </w:r>
            <w:r w:rsidR="00D45F4C" w:rsidRPr="0031046F">
              <w:rPr>
                <w:i/>
                <w:iCs/>
                <w:sz w:val="18"/>
                <w:szCs w:val="18"/>
              </w:rPr>
              <w:t>Saccostrea glomerata</w:t>
            </w:r>
            <w:r w:rsidR="00D45F4C" w:rsidRPr="0031046F">
              <w:rPr>
                <w:iCs/>
                <w:sz w:val="18"/>
                <w:szCs w:val="18"/>
              </w:rPr>
              <w:t>, the 48 h NOEC of 122 ug/L (from Wilson &amp; Hyne, 1997) was added to a 48 h NEC = 738 ug/L (my data) &amp; a geometric mean of </w:t>
            </w:r>
            <w:r w:rsidR="00D45F4C" w:rsidRPr="0031046F">
              <w:rPr>
                <w:b/>
                <w:bCs/>
                <w:iCs/>
                <w:sz w:val="18"/>
                <w:szCs w:val="18"/>
              </w:rPr>
              <w:t>300 ug/L</w:t>
            </w:r>
            <w:r w:rsidR="00D45F4C" w:rsidRPr="0031046F">
              <w:rPr>
                <w:iCs/>
                <w:sz w:val="18"/>
                <w:szCs w:val="18"/>
              </w:rPr>
              <w:t> was calculated and used (while I have my doubts on the former data, I have retained under Ockham’s Razor)</w:t>
            </w:r>
            <w:r w:rsidRPr="0031046F">
              <w:rPr>
                <w:iCs/>
                <w:sz w:val="18"/>
                <w:szCs w:val="18"/>
              </w:rPr>
              <w:t>.</w:t>
            </w:r>
          </w:p>
          <w:p w14:paraId="30B4BAA5" w14:textId="77777777" w:rsidR="00D45F4C" w:rsidRPr="00D45F4C" w:rsidRDefault="00D45F4C" w:rsidP="006D4643">
            <w:pPr>
              <w:numPr>
                <w:ilvl w:val="0"/>
                <w:numId w:val="27"/>
              </w:numPr>
              <w:spacing w:before="60" w:after="60" w:line="240" w:lineRule="auto"/>
              <w:rPr>
                <w:iCs/>
                <w:sz w:val="18"/>
                <w:szCs w:val="18"/>
              </w:rPr>
            </w:pPr>
            <w:r w:rsidRPr="00D45F4C">
              <w:rPr>
                <w:iCs/>
                <w:sz w:val="18"/>
                <w:szCs w:val="18"/>
              </w:rPr>
              <w:t>The 96 h acute LC50 value for </w:t>
            </w:r>
            <w:proofErr w:type="spellStart"/>
            <w:r w:rsidRPr="00D45F4C">
              <w:rPr>
                <w:i/>
                <w:iCs/>
                <w:sz w:val="18"/>
                <w:szCs w:val="18"/>
              </w:rPr>
              <w:t>Litopenaeus</w:t>
            </w:r>
            <w:proofErr w:type="spellEnd"/>
            <w:r w:rsidRPr="00D45F4C">
              <w:rPr>
                <w:i/>
                <w:iCs/>
                <w:sz w:val="18"/>
                <w:szCs w:val="18"/>
              </w:rPr>
              <w:t xml:space="preserve"> </w:t>
            </w:r>
            <w:proofErr w:type="spellStart"/>
            <w:r w:rsidRPr="00D45F4C">
              <w:rPr>
                <w:i/>
                <w:iCs/>
                <w:sz w:val="18"/>
                <w:szCs w:val="18"/>
              </w:rPr>
              <w:t>vannamei</w:t>
            </w:r>
            <w:proofErr w:type="spellEnd"/>
            <w:r w:rsidRPr="00D45F4C">
              <w:rPr>
                <w:iCs/>
                <w:sz w:val="18"/>
                <w:szCs w:val="18"/>
              </w:rPr>
              <w:t> from my reading of the paper is 44,200ug/L (taken from Table 2) &amp; when divided by 10 = </w:t>
            </w:r>
            <w:r w:rsidRPr="00D45F4C">
              <w:rPr>
                <w:b/>
                <w:bCs/>
                <w:iCs/>
                <w:sz w:val="18"/>
                <w:szCs w:val="18"/>
              </w:rPr>
              <w:t>4420 ug/L</w:t>
            </w:r>
            <w:r w:rsidRPr="00D45F4C">
              <w:rPr>
                <w:iCs/>
                <w:sz w:val="18"/>
                <w:szCs w:val="18"/>
              </w:rPr>
              <w:t> (5000 ug/L quoted , based on an acute LC50 value of 50,000)</w:t>
            </w:r>
          </w:p>
          <w:p w14:paraId="20691AEB" w14:textId="77777777" w:rsidR="00D45F4C" w:rsidRPr="00D45F4C" w:rsidRDefault="00D45F4C" w:rsidP="006D4643">
            <w:pPr>
              <w:numPr>
                <w:ilvl w:val="0"/>
                <w:numId w:val="27"/>
              </w:numPr>
              <w:spacing w:before="60" w:after="60" w:line="240" w:lineRule="auto"/>
              <w:rPr>
                <w:iCs/>
                <w:sz w:val="18"/>
                <w:szCs w:val="18"/>
              </w:rPr>
            </w:pPr>
            <w:r w:rsidRPr="00D45F4C">
              <w:rPr>
                <w:iCs/>
                <w:sz w:val="18"/>
                <w:szCs w:val="18"/>
              </w:rPr>
              <w:t>I added a data point for </w:t>
            </w:r>
            <w:proofErr w:type="spellStart"/>
            <w:r w:rsidRPr="00D45F4C">
              <w:rPr>
                <w:i/>
                <w:iCs/>
                <w:sz w:val="18"/>
                <w:szCs w:val="18"/>
              </w:rPr>
              <w:t>Heliocidaris</w:t>
            </w:r>
            <w:proofErr w:type="spellEnd"/>
            <w:r w:rsidRPr="00D45F4C">
              <w:rPr>
                <w:i/>
                <w:iCs/>
                <w:sz w:val="18"/>
                <w:szCs w:val="18"/>
              </w:rPr>
              <w:t xml:space="preserve"> tuberculata</w:t>
            </w:r>
            <w:r w:rsidRPr="00D45F4C">
              <w:rPr>
                <w:iCs/>
                <w:sz w:val="18"/>
                <w:szCs w:val="18"/>
              </w:rPr>
              <w:t> (72 h chronic NOEC  = </w:t>
            </w:r>
            <w:r w:rsidRPr="00D45F4C">
              <w:rPr>
                <w:b/>
                <w:bCs/>
                <w:iCs/>
                <w:sz w:val="18"/>
                <w:szCs w:val="18"/>
              </w:rPr>
              <w:t>2000 ug/L</w:t>
            </w:r>
            <w:r w:rsidRPr="00D45F4C">
              <w:rPr>
                <w:iCs/>
                <w:sz w:val="18"/>
                <w:szCs w:val="18"/>
              </w:rPr>
              <w:t>) from the Doyle (1999) thesis – as cited in the metals database by Markich et al. (2002) published in AJE </w:t>
            </w:r>
          </w:p>
          <w:p w14:paraId="28D1E119" w14:textId="77777777" w:rsidR="006D4643" w:rsidRDefault="00D45F4C" w:rsidP="006D4643">
            <w:pPr>
              <w:numPr>
                <w:ilvl w:val="0"/>
                <w:numId w:val="27"/>
              </w:numPr>
              <w:spacing w:before="60" w:after="60" w:line="240" w:lineRule="auto"/>
              <w:rPr>
                <w:iCs/>
                <w:sz w:val="18"/>
                <w:szCs w:val="18"/>
              </w:rPr>
            </w:pPr>
            <w:r w:rsidRPr="00D45F4C">
              <w:rPr>
                <w:iCs/>
                <w:sz w:val="18"/>
                <w:szCs w:val="18"/>
              </w:rPr>
              <w:t>I have added 3 new datapoints from my study (marine bivalves – being written up)  - all 48 chronic NECs (</w:t>
            </w:r>
            <w:r w:rsidRPr="00D45F4C">
              <w:rPr>
                <w:i/>
                <w:iCs/>
                <w:sz w:val="18"/>
                <w:szCs w:val="18"/>
              </w:rPr>
              <w:t>Crassostrea gigas</w:t>
            </w:r>
            <w:r w:rsidRPr="00D45F4C">
              <w:rPr>
                <w:iCs/>
                <w:sz w:val="18"/>
                <w:szCs w:val="18"/>
              </w:rPr>
              <w:t> = 724 ug/L, </w:t>
            </w:r>
            <w:proofErr w:type="spellStart"/>
            <w:r w:rsidRPr="00D45F4C">
              <w:rPr>
                <w:i/>
                <w:iCs/>
                <w:sz w:val="18"/>
                <w:szCs w:val="18"/>
              </w:rPr>
              <w:t>Xenostrobus</w:t>
            </w:r>
            <w:proofErr w:type="spellEnd"/>
            <w:r w:rsidRPr="00D45F4C">
              <w:rPr>
                <w:i/>
                <w:iCs/>
                <w:sz w:val="18"/>
                <w:szCs w:val="18"/>
              </w:rPr>
              <w:t xml:space="preserve"> </w:t>
            </w:r>
            <w:proofErr w:type="spellStart"/>
            <w:r w:rsidRPr="00D45F4C">
              <w:rPr>
                <w:i/>
                <w:iCs/>
                <w:sz w:val="18"/>
                <w:szCs w:val="18"/>
              </w:rPr>
              <w:t>securis</w:t>
            </w:r>
            <w:proofErr w:type="spellEnd"/>
            <w:r w:rsidRPr="00D45F4C">
              <w:rPr>
                <w:iCs/>
                <w:sz w:val="18"/>
                <w:szCs w:val="18"/>
              </w:rPr>
              <w:t> = 896 ug/L &amp; </w:t>
            </w:r>
            <w:r w:rsidRPr="00D45F4C">
              <w:rPr>
                <w:i/>
                <w:iCs/>
                <w:sz w:val="18"/>
                <w:szCs w:val="18"/>
              </w:rPr>
              <w:t>Irus Crenata</w:t>
            </w:r>
            <w:r w:rsidRPr="00D45F4C">
              <w:rPr>
                <w:iCs/>
                <w:sz w:val="18"/>
                <w:szCs w:val="18"/>
              </w:rPr>
              <w:t> = 1020 ug/L)  - so as to not over-represent the 10 data points obtained</w:t>
            </w:r>
          </w:p>
          <w:p w14:paraId="435DCB1B" w14:textId="3A35462C" w:rsidR="00D45F4C" w:rsidRPr="006D4643" w:rsidRDefault="00D45F4C" w:rsidP="006D4643">
            <w:pPr>
              <w:numPr>
                <w:ilvl w:val="0"/>
                <w:numId w:val="27"/>
              </w:numPr>
              <w:spacing w:before="60" w:after="60" w:line="240" w:lineRule="auto"/>
              <w:rPr>
                <w:iCs/>
                <w:sz w:val="18"/>
                <w:szCs w:val="18"/>
              </w:rPr>
            </w:pPr>
            <w:r w:rsidRPr="006D4643">
              <w:rPr>
                <w:iCs/>
                <w:sz w:val="18"/>
                <w:szCs w:val="18"/>
              </w:rPr>
              <w:t xml:space="preserve">See my attached csv file for Fe – Recalculated </w:t>
            </w:r>
            <w:r w:rsidRPr="006D4643">
              <w:rPr>
                <w:b/>
                <w:bCs/>
                <w:iCs/>
                <w:sz w:val="18"/>
                <w:szCs w:val="18"/>
              </w:rPr>
              <w:t>95% GV of 400 ug/L (rounded)</w:t>
            </w:r>
            <w:r w:rsidRPr="006D4643">
              <w:rPr>
                <w:iCs/>
                <w:sz w:val="18"/>
                <w:szCs w:val="18"/>
              </w:rPr>
              <w:t> (using both Burrlioz 2.0 &amp; SSD tools) – the statistical fit looks balanced.</w:t>
            </w:r>
          </w:p>
          <w:p w14:paraId="2415D6CD" w14:textId="0045A27B" w:rsidR="00D45F4C" w:rsidRPr="00D45F4C" w:rsidRDefault="00D45F4C" w:rsidP="00E30E96">
            <w:pPr>
              <w:spacing w:before="60" w:after="60" w:line="240" w:lineRule="auto"/>
              <w:ind w:left="395"/>
              <w:rPr>
                <w:sz w:val="18"/>
                <w:szCs w:val="18"/>
                <w:lang w:val="en-GB"/>
              </w:rPr>
            </w:pPr>
            <w:r w:rsidRPr="00D45F4C">
              <w:rPr>
                <w:iCs/>
                <w:sz w:val="18"/>
                <w:szCs w:val="18"/>
              </w:rPr>
              <w:t>Hope this adds something constructive to the final marine Iron GVs</w:t>
            </w:r>
          </w:p>
        </w:tc>
        <w:tc>
          <w:tcPr>
            <w:tcW w:w="4111" w:type="dxa"/>
          </w:tcPr>
          <w:p w14:paraId="4EE35B01" w14:textId="77777777" w:rsidR="00D45F4C" w:rsidRDefault="00D45F4C" w:rsidP="006D4643">
            <w:pPr>
              <w:spacing w:before="60" w:after="60" w:line="240" w:lineRule="auto"/>
              <w:ind w:left="40"/>
              <w:rPr>
                <w:bCs/>
                <w:sz w:val="18"/>
                <w:szCs w:val="18"/>
              </w:rPr>
            </w:pPr>
          </w:p>
          <w:p w14:paraId="1A04E493" w14:textId="40B01768" w:rsidR="00D45F4C" w:rsidRDefault="00D45F4C" w:rsidP="006D4643">
            <w:pPr>
              <w:numPr>
                <w:ilvl w:val="0"/>
                <w:numId w:val="28"/>
              </w:numPr>
              <w:spacing w:before="60" w:after="60" w:line="240" w:lineRule="auto"/>
              <w:ind w:left="318" w:hanging="318"/>
              <w:rPr>
                <w:bCs/>
                <w:sz w:val="18"/>
                <w:szCs w:val="18"/>
              </w:rPr>
            </w:pPr>
            <w:r w:rsidRPr="00D45F4C">
              <w:rPr>
                <w:bCs/>
                <w:sz w:val="18"/>
                <w:szCs w:val="18"/>
              </w:rPr>
              <w:t>Kadar et al. (20</w:t>
            </w:r>
            <w:r w:rsidR="0031527E">
              <w:rPr>
                <w:bCs/>
                <w:sz w:val="18"/>
                <w:szCs w:val="18"/>
              </w:rPr>
              <w:t>1</w:t>
            </w:r>
            <w:r w:rsidRPr="00D45F4C">
              <w:rPr>
                <w:bCs/>
                <w:sz w:val="18"/>
                <w:szCs w:val="18"/>
              </w:rPr>
              <w:t xml:space="preserve">0) </w:t>
            </w:r>
            <w:r w:rsidR="0031046F">
              <w:rPr>
                <w:bCs/>
                <w:sz w:val="18"/>
                <w:szCs w:val="18"/>
              </w:rPr>
              <w:t xml:space="preserve">was further reviewed. The results </w:t>
            </w:r>
            <w:r w:rsidR="0031046F" w:rsidRPr="004625D6">
              <w:rPr>
                <w:sz w:val="18"/>
                <w:szCs w:val="18"/>
              </w:rPr>
              <w:t xml:space="preserve">showed no effects on the 48-h larval development of the mussel </w:t>
            </w:r>
            <w:r w:rsidR="0031046F" w:rsidRPr="004625D6">
              <w:rPr>
                <w:rStyle w:val="Emphasis"/>
                <w:sz w:val="18"/>
                <w:szCs w:val="18"/>
              </w:rPr>
              <w:t>Mytilus galloprovincialis</w:t>
            </w:r>
            <w:r w:rsidR="0031046F" w:rsidRPr="004625D6">
              <w:rPr>
                <w:sz w:val="18"/>
                <w:szCs w:val="18"/>
              </w:rPr>
              <w:t xml:space="preserve"> at three concentrations of total iron of 8, 80 and 800 µg/L.  Given the limited test concentrations, the NOEC of &gt;800 µg/L was </w:t>
            </w:r>
            <w:r w:rsidR="0031046F">
              <w:rPr>
                <w:sz w:val="18"/>
                <w:szCs w:val="18"/>
              </w:rPr>
              <w:t>ex</w:t>
            </w:r>
            <w:r w:rsidR="0031046F" w:rsidRPr="004625D6">
              <w:rPr>
                <w:sz w:val="18"/>
                <w:szCs w:val="18"/>
              </w:rPr>
              <w:t xml:space="preserve">cluded </w:t>
            </w:r>
            <w:r w:rsidR="0031046F">
              <w:rPr>
                <w:sz w:val="18"/>
                <w:szCs w:val="18"/>
              </w:rPr>
              <w:t>from</w:t>
            </w:r>
            <w:r w:rsidR="0031046F" w:rsidRPr="004625D6">
              <w:rPr>
                <w:sz w:val="18"/>
                <w:szCs w:val="18"/>
              </w:rPr>
              <w:t xml:space="preserve"> the dataset.</w:t>
            </w:r>
          </w:p>
          <w:p w14:paraId="4847570D" w14:textId="2E29D872" w:rsidR="0031046F" w:rsidRPr="0031046F" w:rsidRDefault="0031046F" w:rsidP="006D4643">
            <w:pPr>
              <w:pStyle w:val="ListParagraph"/>
              <w:numPr>
                <w:ilvl w:val="0"/>
                <w:numId w:val="28"/>
              </w:numPr>
              <w:spacing w:before="60" w:after="60" w:line="240" w:lineRule="auto"/>
              <w:ind w:left="318" w:hanging="318"/>
              <w:contextualSpacing w:val="0"/>
              <w:rPr>
                <w:bCs/>
                <w:sz w:val="18"/>
                <w:szCs w:val="18"/>
              </w:rPr>
            </w:pPr>
            <w:r>
              <w:rPr>
                <w:bCs/>
                <w:sz w:val="18"/>
                <w:szCs w:val="18"/>
              </w:rPr>
              <w:t xml:space="preserve">Wilson &amp; Hyne (1997) was further reviewed. The toxicity value for </w:t>
            </w:r>
            <w:r w:rsidRPr="00D45F4C">
              <w:rPr>
                <w:i/>
                <w:iCs/>
                <w:sz w:val="18"/>
                <w:szCs w:val="18"/>
              </w:rPr>
              <w:t>S</w:t>
            </w:r>
            <w:r w:rsidR="0031527E">
              <w:rPr>
                <w:i/>
                <w:iCs/>
                <w:sz w:val="18"/>
                <w:szCs w:val="18"/>
              </w:rPr>
              <w:t>.</w:t>
            </w:r>
            <w:r w:rsidRPr="00D45F4C">
              <w:rPr>
                <w:i/>
                <w:iCs/>
                <w:sz w:val="18"/>
                <w:szCs w:val="18"/>
              </w:rPr>
              <w:t xml:space="preserve"> glomerata</w:t>
            </w:r>
            <w:r>
              <w:rPr>
                <w:i/>
                <w:iCs/>
                <w:sz w:val="18"/>
                <w:szCs w:val="18"/>
              </w:rPr>
              <w:t xml:space="preserve"> </w:t>
            </w:r>
            <w:r>
              <w:rPr>
                <w:sz w:val="18"/>
                <w:szCs w:val="18"/>
              </w:rPr>
              <w:t>was excluded because the solution pH was 6.5 (i.e. not representative of normal seawater) because the data were from tests where acid leachates were mixed with seawater.</w:t>
            </w:r>
          </w:p>
          <w:p w14:paraId="2E235DED" w14:textId="085D569E" w:rsidR="0031046F" w:rsidRDefault="0031046F" w:rsidP="006D4643">
            <w:pPr>
              <w:pStyle w:val="ListParagraph"/>
              <w:numPr>
                <w:ilvl w:val="0"/>
                <w:numId w:val="28"/>
              </w:numPr>
              <w:spacing w:before="60" w:after="60" w:line="240" w:lineRule="auto"/>
              <w:ind w:left="318" w:hanging="318"/>
              <w:contextualSpacing w:val="0"/>
              <w:rPr>
                <w:bCs/>
                <w:sz w:val="18"/>
                <w:szCs w:val="18"/>
              </w:rPr>
            </w:pPr>
            <w:r>
              <w:rPr>
                <w:bCs/>
                <w:sz w:val="18"/>
                <w:szCs w:val="18"/>
              </w:rPr>
              <w:t xml:space="preserve">We note that the submitter’s comment is correct. The value </w:t>
            </w:r>
            <w:r w:rsidR="00642580">
              <w:rPr>
                <w:bCs/>
                <w:sz w:val="18"/>
                <w:szCs w:val="18"/>
              </w:rPr>
              <w:t>has been</w:t>
            </w:r>
            <w:r>
              <w:rPr>
                <w:bCs/>
                <w:sz w:val="18"/>
                <w:szCs w:val="18"/>
              </w:rPr>
              <w:t xml:space="preserve"> corrected.</w:t>
            </w:r>
          </w:p>
          <w:p w14:paraId="4470A0F6" w14:textId="138DA3D3" w:rsidR="00D45F4C" w:rsidRPr="00E02497" w:rsidRDefault="006D4643" w:rsidP="006D4643">
            <w:pPr>
              <w:numPr>
                <w:ilvl w:val="0"/>
                <w:numId w:val="28"/>
              </w:numPr>
              <w:spacing w:before="60" w:after="60" w:line="240" w:lineRule="auto"/>
              <w:ind w:left="318" w:hanging="318"/>
              <w:rPr>
                <w:bCs/>
                <w:sz w:val="18"/>
                <w:szCs w:val="18"/>
              </w:rPr>
            </w:pPr>
            <w:r w:rsidRPr="00E02497">
              <w:rPr>
                <w:bCs/>
                <w:sz w:val="18"/>
                <w:szCs w:val="18"/>
              </w:rPr>
              <w:t xml:space="preserve">The Doyle (1999) </w:t>
            </w:r>
            <w:r w:rsidR="00116577" w:rsidRPr="00E02497">
              <w:rPr>
                <w:bCs/>
                <w:sz w:val="18"/>
                <w:szCs w:val="18"/>
              </w:rPr>
              <w:t xml:space="preserve">value for </w:t>
            </w:r>
            <w:r w:rsidR="00116577" w:rsidRPr="00E02497">
              <w:rPr>
                <w:i/>
                <w:iCs/>
                <w:sz w:val="18"/>
                <w:szCs w:val="18"/>
              </w:rPr>
              <w:t>H</w:t>
            </w:r>
            <w:r w:rsidR="0031527E" w:rsidRPr="00E02497">
              <w:rPr>
                <w:i/>
                <w:iCs/>
                <w:sz w:val="18"/>
                <w:szCs w:val="18"/>
              </w:rPr>
              <w:t>.</w:t>
            </w:r>
            <w:r w:rsidR="00116577" w:rsidRPr="00E02497">
              <w:rPr>
                <w:i/>
                <w:iCs/>
                <w:sz w:val="18"/>
                <w:szCs w:val="18"/>
              </w:rPr>
              <w:t xml:space="preserve"> tuberculata</w:t>
            </w:r>
            <w:r w:rsidR="00116577" w:rsidRPr="00E02497">
              <w:rPr>
                <w:iCs/>
                <w:sz w:val="18"/>
                <w:szCs w:val="18"/>
              </w:rPr>
              <w:t> (72 h chronic NOEC  = </w:t>
            </w:r>
            <w:r w:rsidR="00116577" w:rsidRPr="00E02497">
              <w:rPr>
                <w:b/>
                <w:bCs/>
                <w:iCs/>
                <w:sz w:val="18"/>
                <w:szCs w:val="18"/>
              </w:rPr>
              <w:t>2000 ug/L</w:t>
            </w:r>
            <w:r w:rsidR="00116577" w:rsidRPr="00E02497">
              <w:rPr>
                <w:iCs/>
                <w:sz w:val="18"/>
                <w:szCs w:val="18"/>
              </w:rPr>
              <w:t>) was included in the derivation. It is noted that values already in the Australasian Ecotox Database can be used if their quality score is acceptable, even if the source reference is not readily accessible (Warne et al. 2018).</w:t>
            </w:r>
          </w:p>
          <w:p w14:paraId="3477FC57" w14:textId="77777777" w:rsidR="00116577" w:rsidRDefault="00116577" w:rsidP="00116577">
            <w:pPr>
              <w:numPr>
                <w:ilvl w:val="0"/>
                <w:numId w:val="28"/>
              </w:numPr>
              <w:spacing w:before="60" w:after="60" w:line="240" w:lineRule="auto"/>
              <w:ind w:left="318" w:hanging="318"/>
              <w:rPr>
                <w:bCs/>
                <w:sz w:val="18"/>
                <w:szCs w:val="18"/>
              </w:rPr>
            </w:pPr>
            <w:r>
              <w:rPr>
                <w:bCs/>
                <w:sz w:val="18"/>
                <w:szCs w:val="18"/>
              </w:rPr>
              <w:t xml:space="preserve">On consideration/analysis of the data for the 10 bivalve species, toxicity values for all 10 species were included. </w:t>
            </w:r>
          </w:p>
          <w:p w14:paraId="1275A385" w14:textId="17862F6A" w:rsidR="00D45F4C" w:rsidRPr="00D45F4C" w:rsidRDefault="00116577" w:rsidP="00116577">
            <w:pPr>
              <w:numPr>
                <w:ilvl w:val="0"/>
                <w:numId w:val="28"/>
              </w:numPr>
              <w:spacing w:before="60" w:after="60" w:line="240" w:lineRule="auto"/>
              <w:ind w:left="318" w:hanging="318"/>
              <w:rPr>
                <w:bCs/>
                <w:sz w:val="18"/>
                <w:szCs w:val="18"/>
              </w:rPr>
            </w:pPr>
            <w:r>
              <w:rPr>
                <w:bCs/>
                <w:sz w:val="18"/>
                <w:szCs w:val="18"/>
              </w:rPr>
              <w:t>Thank you. As there were several other changes to the final dataset, the DGVs were re-derived</w:t>
            </w:r>
            <w:r w:rsidR="00837D39">
              <w:rPr>
                <w:bCs/>
                <w:sz w:val="18"/>
                <w:szCs w:val="18"/>
              </w:rPr>
              <w:t xml:space="preserve"> using the final dataset.</w:t>
            </w:r>
          </w:p>
        </w:tc>
        <w:tc>
          <w:tcPr>
            <w:tcW w:w="3040" w:type="dxa"/>
          </w:tcPr>
          <w:p w14:paraId="259A6009" w14:textId="77777777" w:rsidR="00D45F4C" w:rsidRPr="0031527E" w:rsidRDefault="00D45F4C" w:rsidP="0031527E">
            <w:pPr>
              <w:spacing w:before="60" w:after="60" w:line="240" w:lineRule="auto"/>
              <w:rPr>
                <w:sz w:val="18"/>
                <w:szCs w:val="18"/>
              </w:rPr>
            </w:pPr>
          </w:p>
          <w:p w14:paraId="2D732BF3" w14:textId="7490E37D" w:rsidR="0031527E" w:rsidRPr="0031527E" w:rsidRDefault="0031527E" w:rsidP="0031527E">
            <w:pPr>
              <w:pStyle w:val="ListParagraph"/>
              <w:numPr>
                <w:ilvl w:val="0"/>
                <w:numId w:val="29"/>
              </w:numPr>
              <w:spacing w:before="60" w:after="60" w:line="240" w:lineRule="auto"/>
              <w:ind w:left="322" w:hanging="283"/>
              <w:contextualSpacing w:val="0"/>
              <w:rPr>
                <w:rStyle w:val="Emphasis"/>
                <w:i w:val="0"/>
                <w:iCs w:val="0"/>
                <w:sz w:val="18"/>
                <w:szCs w:val="18"/>
              </w:rPr>
            </w:pPr>
            <w:r w:rsidRPr="0031527E">
              <w:rPr>
                <w:sz w:val="18"/>
                <w:szCs w:val="18"/>
              </w:rPr>
              <w:t xml:space="preserve">Kadar et al. (2010) toxicity value for </w:t>
            </w:r>
            <w:r w:rsidRPr="0031527E">
              <w:rPr>
                <w:rStyle w:val="Emphasis"/>
                <w:sz w:val="18"/>
                <w:szCs w:val="18"/>
              </w:rPr>
              <w:t>M. galloprovincialis</w:t>
            </w:r>
            <w:r w:rsidRPr="0031527E">
              <w:rPr>
                <w:rStyle w:val="Emphasis"/>
                <w:i w:val="0"/>
                <w:iCs w:val="0"/>
                <w:sz w:val="18"/>
                <w:szCs w:val="18"/>
              </w:rPr>
              <w:t xml:space="preserve"> was excluded.</w:t>
            </w:r>
          </w:p>
          <w:p w14:paraId="53794F79" w14:textId="77777777" w:rsidR="0031527E" w:rsidRPr="0031527E" w:rsidRDefault="0031527E" w:rsidP="0031527E">
            <w:pPr>
              <w:pStyle w:val="ListParagraph"/>
              <w:numPr>
                <w:ilvl w:val="0"/>
                <w:numId w:val="29"/>
              </w:numPr>
              <w:spacing w:before="60" w:after="60" w:line="240" w:lineRule="auto"/>
              <w:ind w:left="322" w:hanging="283"/>
              <w:contextualSpacing w:val="0"/>
              <w:rPr>
                <w:rStyle w:val="Emphasis"/>
                <w:i w:val="0"/>
                <w:iCs w:val="0"/>
                <w:sz w:val="18"/>
                <w:szCs w:val="18"/>
              </w:rPr>
            </w:pPr>
            <w:r w:rsidRPr="0031527E">
              <w:rPr>
                <w:bCs/>
                <w:sz w:val="18"/>
                <w:szCs w:val="18"/>
              </w:rPr>
              <w:t xml:space="preserve">Wilson &amp; Hyne (1997) toxicity value for </w:t>
            </w:r>
            <w:r w:rsidRPr="0031527E">
              <w:rPr>
                <w:bCs/>
                <w:i/>
                <w:iCs/>
                <w:sz w:val="18"/>
                <w:szCs w:val="18"/>
              </w:rPr>
              <w:t>S. glomerata</w:t>
            </w:r>
            <w:r w:rsidRPr="0031527E">
              <w:rPr>
                <w:bCs/>
                <w:sz w:val="18"/>
                <w:szCs w:val="18"/>
              </w:rPr>
              <w:t xml:space="preserve"> </w:t>
            </w:r>
            <w:r w:rsidRPr="0031527E">
              <w:rPr>
                <w:rStyle w:val="Emphasis"/>
                <w:i w:val="0"/>
                <w:iCs w:val="0"/>
                <w:sz w:val="18"/>
                <w:szCs w:val="18"/>
              </w:rPr>
              <w:t>was excluded.</w:t>
            </w:r>
          </w:p>
          <w:p w14:paraId="6A1D43E0" w14:textId="77777777" w:rsidR="0031527E" w:rsidRPr="0031527E" w:rsidRDefault="0031527E" w:rsidP="0031527E">
            <w:pPr>
              <w:pStyle w:val="ListParagraph"/>
              <w:numPr>
                <w:ilvl w:val="0"/>
                <w:numId w:val="29"/>
              </w:numPr>
              <w:spacing w:before="60" w:after="60" w:line="240" w:lineRule="auto"/>
              <w:ind w:left="322" w:hanging="283"/>
              <w:contextualSpacing w:val="0"/>
              <w:rPr>
                <w:sz w:val="18"/>
                <w:szCs w:val="18"/>
              </w:rPr>
            </w:pPr>
            <w:r w:rsidRPr="0031527E">
              <w:rPr>
                <w:sz w:val="18"/>
                <w:szCs w:val="18"/>
              </w:rPr>
              <w:t xml:space="preserve">Correction was made for </w:t>
            </w:r>
            <w:r w:rsidRPr="0031527E">
              <w:rPr>
                <w:i/>
                <w:iCs/>
                <w:sz w:val="18"/>
                <w:szCs w:val="18"/>
              </w:rPr>
              <w:t xml:space="preserve">L. </w:t>
            </w:r>
            <w:proofErr w:type="spellStart"/>
            <w:r w:rsidRPr="0031527E">
              <w:rPr>
                <w:i/>
                <w:iCs/>
                <w:sz w:val="18"/>
                <w:szCs w:val="18"/>
              </w:rPr>
              <w:t>vannamei</w:t>
            </w:r>
            <w:proofErr w:type="spellEnd"/>
            <w:r w:rsidRPr="0031527E">
              <w:rPr>
                <w:sz w:val="18"/>
                <w:szCs w:val="18"/>
              </w:rPr>
              <w:t xml:space="preserve"> toxicity value.</w:t>
            </w:r>
          </w:p>
          <w:p w14:paraId="73A7AFFC" w14:textId="77777777" w:rsidR="0031527E" w:rsidRDefault="0031527E" w:rsidP="0031527E">
            <w:pPr>
              <w:pStyle w:val="ListParagraph"/>
              <w:numPr>
                <w:ilvl w:val="0"/>
                <w:numId w:val="29"/>
              </w:numPr>
              <w:spacing w:before="60" w:after="60" w:line="240" w:lineRule="auto"/>
              <w:ind w:left="322" w:hanging="283"/>
              <w:contextualSpacing w:val="0"/>
              <w:rPr>
                <w:sz w:val="18"/>
                <w:szCs w:val="18"/>
              </w:rPr>
            </w:pPr>
            <w:r w:rsidRPr="0031527E">
              <w:rPr>
                <w:sz w:val="18"/>
                <w:szCs w:val="18"/>
              </w:rPr>
              <w:t xml:space="preserve">Doyle (1999) toxicity value for </w:t>
            </w:r>
            <w:r w:rsidRPr="0031527E">
              <w:rPr>
                <w:i/>
                <w:iCs/>
                <w:sz w:val="18"/>
                <w:szCs w:val="18"/>
              </w:rPr>
              <w:t>H. tuberculata</w:t>
            </w:r>
            <w:r w:rsidRPr="0031527E">
              <w:rPr>
                <w:sz w:val="18"/>
                <w:szCs w:val="18"/>
              </w:rPr>
              <w:t xml:space="preserve"> was included.</w:t>
            </w:r>
          </w:p>
          <w:p w14:paraId="25A986A2" w14:textId="3D77BFC7" w:rsidR="00120AE1" w:rsidRDefault="0031527E" w:rsidP="0031527E">
            <w:pPr>
              <w:pStyle w:val="ListParagraph"/>
              <w:numPr>
                <w:ilvl w:val="0"/>
                <w:numId w:val="29"/>
              </w:numPr>
              <w:spacing w:before="60" w:after="60" w:line="240" w:lineRule="auto"/>
              <w:ind w:left="322" w:hanging="283"/>
              <w:contextualSpacing w:val="0"/>
              <w:rPr>
                <w:sz w:val="18"/>
                <w:szCs w:val="18"/>
              </w:rPr>
            </w:pPr>
            <w:r>
              <w:rPr>
                <w:sz w:val="18"/>
                <w:szCs w:val="18"/>
              </w:rPr>
              <w:t>Recently, published data from Markich (2021) for 10 bivalve species were included. An assessment of the effect of the bivalve data on the DGVs was added in Appendix B.</w:t>
            </w:r>
          </w:p>
          <w:p w14:paraId="74DE43B9" w14:textId="6CFF0004" w:rsidR="00837D39" w:rsidRPr="00BE6CAB" w:rsidRDefault="00837D39" w:rsidP="00BE6CAB">
            <w:pPr>
              <w:pStyle w:val="ListParagraph"/>
              <w:numPr>
                <w:ilvl w:val="0"/>
                <w:numId w:val="29"/>
              </w:numPr>
              <w:spacing w:before="60" w:after="60" w:line="240" w:lineRule="auto"/>
              <w:ind w:left="322" w:hanging="283"/>
              <w:contextualSpacing w:val="0"/>
              <w:rPr>
                <w:sz w:val="18"/>
                <w:szCs w:val="18"/>
              </w:rPr>
            </w:pPr>
            <w:r w:rsidRPr="00BE6CAB">
              <w:rPr>
                <w:sz w:val="18"/>
                <w:szCs w:val="18"/>
              </w:rPr>
              <w:t>Revised DGVs were derived using the updated final dataset.</w:t>
            </w:r>
          </w:p>
        </w:tc>
      </w:tr>
    </w:tbl>
    <w:p w14:paraId="465385C8" w14:textId="77777777" w:rsidR="004634CA" w:rsidRDefault="004634CA"/>
    <w:tbl>
      <w:tblPr>
        <w:tblStyle w:val="TableGrid"/>
        <w:tblW w:w="0" w:type="auto"/>
        <w:tblLook w:val="04A0" w:firstRow="1" w:lastRow="0" w:firstColumn="1" w:lastColumn="0" w:noHBand="0" w:noVBand="1"/>
      </w:tblPr>
      <w:tblGrid>
        <w:gridCol w:w="1194"/>
        <w:gridCol w:w="5605"/>
        <w:gridCol w:w="4111"/>
        <w:gridCol w:w="3040"/>
      </w:tblGrid>
      <w:tr w:rsidR="004634CA" w:rsidRPr="00D257E8" w14:paraId="73A82B75" w14:textId="77777777" w:rsidTr="00571A07">
        <w:trPr>
          <w:tblHeader/>
        </w:trPr>
        <w:tc>
          <w:tcPr>
            <w:tcW w:w="1194" w:type="dxa"/>
          </w:tcPr>
          <w:p w14:paraId="3371A852" w14:textId="77777777" w:rsidR="004634CA" w:rsidRPr="00D257E8" w:rsidRDefault="004634CA" w:rsidP="00571A07">
            <w:pPr>
              <w:spacing w:before="60" w:after="60" w:line="240" w:lineRule="auto"/>
              <w:jc w:val="center"/>
              <w:rPr>
                <w:b/>
                <w:bCs/>
                <w:sz w:val="18"/>
                <w:szCs w:val="18"/>
                <w:lang w:val="en-GB"/>
              </w:rPr>
            </w:pPr>
            <w:r>
              <w:rPr>
                <w:b/>
                <w:bCs/>
                <w:sz w:val="18"/>
                <w:szCs w:val="18"/>
                <w:lang w:val="en-GB"/>
              </w:rPr>
              <w:lastRenderedPageBreak/>
              <w:t>Submitter</w:t>
            </w:r>
          </w:p>
        </w:tc>
        <w:tc>
          <w:tcPr>
            <w:tcW w:w="5605" w:type="dxa"/>
          </w:tcPr>
          <w:p w14:paraId="2A53190C" w14:textId="77777777" w:rsidR="004634CA" w:rsidRPr="00D257E8" w:rsidRDefault="004634CA" w:rsidP="00571A07">
            <w:pPr>
              <w:spacing w:before="60" w:after="60" w:line="240" w:lineRule="auto"/>
              <w:rPr>
                <w:b/>
                <w:bCs/>
                <w:sz w:val="18"/>
                <w:szCs w:val="18"/>
                <w:lang w:val="en-GB"/>
              </w:rPr>
            </w:pPr>
            <w:r w:rsidRPr="00D257E8">
              <w:rPr>
                <w:b/>
                <w:bCs/>
                <w:sz w:val="18"/>
                <w:szCs w:val="18"/>
                <w:lang w:val="en-GB"/>
              </w:rPr>
              <w:t>Technical comment</w:t>
            </w:r>
          </w:p>
        </w:tc>
        <w:tc>
          <w:tcPr>
            <w:tcW w:w="4111" w:type="dxa"/>
          </w:tcPr>
          <w:p w14:paraId="50F4B13B" w14:textId="77777777" w:rsidR="004634CA" w:rsidRPr="00D257E8" w:rsidRDefault="004634CA" w:rsidP="00571A07">
            <w:pPr>
              <w:spacing w:before="60" w:after="60" w:line="240" w:lineRule="auto"/>
              <w:rPr>
                <w:b/>
                <w:bCs/>
                <w:sz w:val="18"/>
                <w:szCs w:val="18"/>
                <w:lang w:val="en-GB"/>
              </w:rPr>
            </w:pPr>
            <w:r>
              <w:rPr>
                <w:b/>
                <w:bCs/>
                <w:sz w:val="18"/>
                <w:szCs w:val="18"/>
                <w:lang w:val="en-GB"/>
              </w:rPr>
              <w:t>Response</w:t>
            </w:r>
          </w:p>
        </w:tc>
        <w:tc>
          <w:tcPr>
            <w:tcW w:w="3040" w:type="dxa"/>
          </w:tcPr>
          <w:p w14:paraId="56401666" w14:textId="77777777" w:rsidR="004634CA" w:rsidRPr="00D257E8" w:rsidRDefault="004634CA" w:rsidP="00571A07">
            <w:pPr>
              <w:spacing w:before="60" w:after="60" w:line="240" w:lineRule="auto"/>
              <w:rPr>
                <w:b/>
                <w:bCs/>
                <w:sz w:val="18"/>
                <w:szCs w:val="18"/>
                <w:lang w:val="en-GB"/>
              </w:rPr>
            </w:pPr>
            <w:r>
              <w:rPr>
                <w:b/>
                <w:bCs/>
                <w:sz w:val="18"/>
                <w:szCs w:val="18"/>
                <w:lang w:val="en-GB"/>
              </w:rPr>
              <w:t>Action taken</w:t>
            </w:r>
          </w:p>
        </w:tc>
      </w:tr>
      <w:tr w:rsidR="00D45F4C" w:rsidRPr="003C1402" w14:paraId="356B26C9" w14:textId="77777777" w:rsidTr="0027035C">
        <w:tc>
          <w:tcPr>
            <w:tcW w:w="1194" w:type="dxa"/>
          </w:tcPr>
          <w:p w14:paraId="57272E0E" w14:textId="5E8CA0A1" w:rsidR="00D45F4C" w:rsidRPr="00D45F4C" w:rsidRDefault="00E30E96" w:rsidP="00040781">
            <w:pPr>
              <w:spacing w:before="60" w:after="60" w:line="240" w:lineRule="auto"/>
              <w:jc w:val="center"/>
              <w:rPr>
                <w:b/>
                <w:bCs/>
                <w:sz w:val="18"/>
                <w:szCs w:val="18"/>
                <w:lang w:val="en-GB"/>
              </w:rPr>
            </w:pPr>
            <w:r>
              <w:rPr>
                <w:b/>
                <w:bCs/>
                <w:sz w:val="18"/>
                <w:szCs w:val="18"/>
                <w:lang w:val="en-GB"/>
              </w:rPr>
              <w:t>2.</w:t>
            </w:r>
          </w:p>
        </w:tc>
        <w:tc>
          <w:tcPr>
            <w:tcW w:w="5605" w:type="dxa"/>
          </w:tcPr>
          <w:p w14:paraId="6F2F6FDA" w14:textId="77777777" w:rsidR="00CC53D5" w:rsidRPr="00CC53D5" w:rsidRDefault="00CC53D5" w:rsidP="00CC53D5">
            <w:pPr>
              <w:pStyle w:val="ListParagraph"/>
              <w:numPr>
                <w:ilvl w:val="0"/>
                <w:numId w:val="17"/>
              </w:numPr>
              <w:spacing w:before="60" w:after="60" w:line="240" w:lineRule="auto"/>
              <w:ind w:left="395" w:hanging="395"/>
              <w:contextualSpacing w:val="0"/>
              <w:rPr>
                <w:sz w:val="18"/>
                <w:szCs w:val="18"/>
                <w:lang w:val="en-GB"/>
              </w:rPr>
            </w:pPr>
            <w:r w:rsidRPr="00D45F4C">
              <w:rPr>
                <w:iCs/>
                <w:sz w:val="18"/>
                <w:szCs w:val="18"/>
              </w:rPr>
              <w:t>See comments below:</w:t>
            </w:r>
          </w:p>
          <w:p w14:paraId="77DB4536" w14:textId="53C6080B" w:rsidR="00CC53D5" w:rsidRPr="00CC53D5" w:rsidRDefault="00E30E96" w:rsidP="00CC53D5">
            <w:pPr>
              <w:pStyle w:val="ListParagraph"/>
              <w:numPr>
                <w:ilvl w:val="0"/>
                <w:numId w:val="30"/>
              </w:numPr>
              <w:spacing w:before="60" w:after="60" w:line="240" w:lineRule="auto"/>
              <w:ind w:hanging="323"/>
              <w:contextualSpacing w:val="0"/>
              <w:rPr>
                <w:sz w:val="18"/>
                <w:szCs w:val="18"/>
                <w:lang w:val="en-GB"/>
              </w:rPr>
            </w:pPr>
            <w:r w:rsidRPr="00E30E96">
              <w:rPr>
                <w:b/>
                <w:iCs/>
                <w:sz w:val="18"/>
                <w:szCs w:val="18"/>
              </w:rPr>
              <w:t>Methodology for deriving the revised Fe DGVs:</w:t>
            </w:r>
            <w:r w:rsidRPr="00E30E96">
              <w:rPr>
                <w:iCs/>
                <w:sz w:val="18"/>
                <w:szCs w:val="18"/>
              </w:rPr>
              <w:t xml:space="preserve"> Very few toxicity tests used in deriving the proposed Fe DGVs identify the form of Fe present in test solutions. Moreover, it is unclear what forms of Fe in marine waters are responsible for toxicity to biota. The revised DGVs therefore are based on total Fe as in includes all forms (dissolved, colloidal and precipitated). This will pose significant issues, also potentially compliance related, within Port Curtis where total Fe levels are naturally very high. Considering this aspect, the proposed Fe DGVs appear premature and rushed as more toxicity tests should be conducted rather than just define DGVs based on total Fe because it encompasses all other forms. </w:t>
            </w:r>
          </w:p>
          <w:p w14:paraId="151EAB1A" w14:textId="2DD5A302" w:rsidR="00D45F4C" w:rsidRPr="00E30E96" w:rsidRDefault="00E30E96" w:rsidP="00CC53D5">
            <w:pPr>
              <w:pStyle w:val="ListParagraph"/>
              <w:numPr>
                <w:ilvl w:val="0"/>
                <w:numId w:val="30"/>
              </w:numPr>
              <w:spacing w:before="60" w:after="60" w:line="240" w:lineRule="auto"/>
              <w:ind w:hanging="323"/>
              <w:contextualSpacing w:val="0"/>
              <w:rPr>
                <w:sz w:val="18"/>
                <w:szCs w:val="18"/>
                <w:lang w:val="en-GB"/>
              </w:rPr>
            </w:pPr>
            <w:r w:rsidRPr="00E30E96">
              <w:rPr>
                <w:iCs/>
                <w:sz w:val="18"/>
                <w:szCs w:val="18"/>
              </w:rPr>
              <w:t>Similarly dataset size was small and conducted on species not necessarily endemic of Queensland or Port Curtis which again could significantly change test results. Temperature and pH ranges of ecotoxicological tests are also in some instances not applicable to Port Curtis (e.g. temperature 15 °C) or to seawater in general (e.g. pH 7.3).</w:t>
            </w:r>
          </w:p>
        </w:tc>
        <w:tc>
          <w:tcPr>
            <w:tcW w:w="4111" w:type="dxa"/>
          </w:tcPr>
          <w:p w14:paraId="71A7D638" w14:textId="77777777" w:rsidR="00CC53D5" w:rsidRDefault="00CC53D5" w:rsidP="00E30E96">
            <w:pPr>
              <w:spacing w:before="60" w:after="60" w:line="240" w:lineRule="auto"/>
              <w:rPr>
                <w:bCs/>
                <w:sz w:val="18"/>
                <w:szCs w:val="18"/>
              </w:rPr>
            </w:pPr>
          </w:p>
          <w:p w14:paraId="0FD444DD" w14:textId="3798D4EE" w:rsidR="00CC53D5" w:rsidRDefault="00E30E96" w:rsidP="00CC53D5">
            <w:pPr>
              <w:pStyle w:val="ListParagraph"/>
              <w:numPr>
                <w:ilvl w:val="0"/>
                <w:numId w:val="31"/>
              </w:numPr>
              <w:spacing w:before="60" w:after="60" w:line="240" w:lineRule="auto"/>
              <w:ind w:left="318" w:hanging="318"/>
              <w:contextualSpacing w:val="0"/>
              <w:rPr>
                <w:bCs/>
                <w:sz w:val="18"/>
                <w:szCs w:val="18"/>
              </w:rPr>
            </w:pPr>
            <w:r w:rsidRPr="00CC53D5">
              <w:rPr>
                <w:bCs/>
                <w:sz w:val="18"/>
                <w:szCs w:val="18"/>
              </w:rPr>
              <w:t xml:space="preserve">The forms of iron present in iron toxicity tests are all very likely to be bioavailable (i.e. </w:t>
            </w:r>
            <w:r w:rsidRPr="00CC53D5">
              <w:rPr>
                <w:iCs/>
                <w:sz w:val="18"/>
                <w:szCs w:val="18"/>
              </w:rPr>
              <w:t>dissolved</w:t>
            </w:r>
            <w:r w:rsidR="00CC53D5" w:rsidRPr="00CC53D5">
              <w:rPr>
                <w:iCs/>
                <w:sz w:val="18"/>
                <w:szCs w:val="18"/>
              </w:rPr>
              <w:t>, colloidal</w:t>
            </w:r>
            <w:r w:rsidRPr="00CC53D5">
              <w:rPr>
                <w:iCs/>
                <w:sz w:val="18"/>
                <w:szCs w:val="18"/>
              </w:rPr>
              <w:t xml:space="preserve"> and freshly precipitated iron, with </w:t>
            </w:r>
            <w:r w:rsidRPr="00CC53D5">
              <w:rPr>
                <w:bCs/>
                <w:sz w:val="18"/>
                <w:szCs w:val="18"/>
              </w:rPr>
              <w:t xml:space="preserve">no mineralised forms of iron in the toxicity test solutions). </w:t>
            </w:r>
            <w:r w:rsidR="00CC53D5" w:rsidRPr="000A4F9C">
              <w:rPr>
                <w:iCs/>
                <w:sz w:val="18"/>
                <w:szCs w:val="18"/>
              </w:rPr>
              <w:t xml:space="preserve">The USEPA (1991) </w:t>
            </w:r>
            <w:r w:rsidR="006A5184">
              <w:rPr>
                <w:iCs/>
                <w:sz w:val="18"/>
                <w:szCs w:val="18"/>
              </w:rPr>
              <w:t xml:space="preserve">marine </w:t>
            </w:r>
            <w:r w:rsidR="00CC53D5" w:rsidRPr="000A4F9C">
              <w:rPr>
                <w:iCs/>
                <w:sz w:val="18"/>
                <w:szCs w:val="18"/>
              </w:rPr>
              <w:t xml:space="preserve"> extraction method has recently been refined and validated for iron in freshwater and marine water (Balsamo-Crespo et al. 2023, ANZG 202</w:t>
            </w:r>
            <w:r w:rsidR="00246690">
              <w:rPr>
                <w:iCs/>
                <w:sz w:val="18"/>
                <w:szCs w:val="18"/>
              </w:rPr>
              <w:t>5</w:t>
            </w:r>
            <w:r w:rsidR="00CC53D5" w:rsidRPr="000A4F9C">
              <w:rPr>
                <w:iCs/>
                <w:sz w:val="18"/>
                <w:szCs w:val="18"/>
              </w:rPr>
              <w:t>). It measures potentially bioavailable iron</w:t>
            </w:r>
            <w:r w:rsidR="00CC53D5">
              <w:rPr>
                <w:iCs/>
                <w:sz w:val="18"/>
                <w:szCs w:val="18"/>
              </w:rPr>
              <w:t xml:space="preserve"> (i.e. dissolved, colloidal and precipitated iron)</w:t>
            </w:r>
            <w:r w:rsidR="00CC53D5" w:rsidRPr="000A4F9C">
              <w:rPr>
                <w:iCs/>
                <w:sz w:val="18"/>
                <w:szCs w:val="18"/>
              </w:rPr>
              <w:t xml:space="preserve">. </w:t>
            </w:r>
            <w:r w:rsidRPr="00CC53D5">
              <w:rPr>
                <w:bCs/>
                <w:sz w:val="18"/>
                <w:szCs w:val="18"/>
              </w:rPr>
              <w:t xml:space="preserve">These fractions should be relatively consistent with those that are </w:t>
            </w:r>
            <w:r w:rsidR="00CC53D5">
              <w:rPr>
                <w:bCs/>
                <w:sz w:val="18"/>
                <w:szCs w:val="18"/>
              </w:rPr>
              <w:t>present in typical iron toxicity tests.</w:t>
            </w:r>
          </w:p>
          <w:p w14:paraId="4BFC4B97" w14:textId="54B0791E" w:rsidR="007D241A" w:rsidRPr="0089115E" w:rsidRDefault="007D241A" w:rsidP="0089115E">
            <w:pPr>
              <w:spacing w:before="60" w:after="60" w:line="240" w:lineRule="auto"/>
              <w:ind w:left="315"/>
              <w:rPr>
                <w:bCs/>
                <w:sz w:val="18"/>
                <w:szCs w:val="18"/>
              </w:rPr>
            </w:pPr>
            <w:r>
              <w:rPr>
                <w:bCs/>
                <w:sz w:val="18"/>
                <w:szCs w:val="18"/>
              </w:rPr>
              <w:t xml:space="preserve">Moreover, </w:t>
            </w:r>
            <w:r>
              <w:rPr>
                <w:iCs/>
                <w:sz w:val="18"/>
                <w:szCs w:val="18"/>
              </w:rPr>
              <w:t xml:space="preserve">it is worth noting that Aust/NZ now has DGVs for iron in marine water that have a </w:t>
            </w:r>
            <w:r>
              <w:rPr>
                <w:i/>
                <w:sz w:val="18"/>
                <w:szCs w:val="18"/>
              </w:rPr>
              <w:t>Moderate</w:t>
            </w:r>
            <w:r>
              <w:rPr>
                <w:iCs/>
                <w:sz w:val="18"/>
                <w:szCs w:val="18"/>
              </w:rPr>
              <w:t xml:space="preserve"> reliability classification, compared to ANZECC/ARMCANZ (2000), in which there was no marine guideline value and the 1987 Canadian guideline value for freshwater was recommended as </w:t>
            </w:r>
            <w:r w:rsidRPr="00A4061E">
              <w:rPr>
                <w:bCs/>
                <w:iCs/>
                <w:sz w:val="18"/>
                <w:szCs w:val="18"/>
              </w:rPr>
              <w:t>an interim indicative working level</w:t>
            </w:r>
            <w:r>
              <w:rPr>
                <w:bCs/>
                <w:iCs/>
                <w:sz w:val="18"/>
                <w:szCs w:val="18"/>
              </w:rPr>
              <w:t>.</w:t>
            </w:r>
            <w:r w:rsidR="00520CEB">
              <w:rPr>
                <w:bCs/>
                <w:iCs/>
                <w:sz w:val="18"/>
                <w:szCs w:val="18"/>
              </w:rPr>
              <w:t xml:space="preserve"> The decision to proceed with the DGVs based on the current knowledge is consistent with the precautionary principle.</w:t>
            </w:r>
          </w:p>
          <w:p w14:paraId="22C0BCDD" w14:textId="536104A7" w:rsidR="00CC53D5" w:rsidRPr="006C3A77" w:rsidRDefault="00E30E96" w:rsidP="00E30E96">
            <w:pPr>
              <w:pStyle w:val="ListParagraph"/>
              <w:numPr>
                <w:ilvl w:val="0"/>
                <w:numId w:val="31"/>
              </w:numPr>
              <w:spacing w:before="60" w:after="60" w:line="240" w:lineRule="auto"/>
              <w:ind w:left="318" w:hanging="318"/>
              <w:contextualSpacing w:val="0"/>
              <w:rPr>
                <w:bCs/>
                <w:sz w:val="18"/>
                <w:szCs w:val="18"/>
              </w:rPr>
            </w:pPr>
            <w:r w:rsidRPr="00CC53D5">
              <w:rPr>
                <w:bCs/>
                <w:sz w:val="18"/>
                <w:szCs w:val="18"/>
              </w:rPr>
              <w:t>It is noted that the dataset</w:t>
            </w:r>
            <w:r w:rsidR="00CC53D5">
              <w:rPr>
                <w:bCs/>
                <w:sz w:val="18"/>
                <w:szCs w:val="18"/>
              </w:rPr>
              <w:t xml:space="preserve"> was</w:t>
            </w:r>
            <w:r w:rsidRPr="00CC53D5">
              <w:rPr>
                <w:bCs/>
                <w:sz w:val="18"/>
                <w:szCs w:val="18"/>
              </w:rPr>
              <w:t xml:space="preserve"> small and, given the time that has elapsed since the DGVs were derived, a new literature search </w:t>
            </w:r>
            <w:r w:rsidR="00CC53D5">
              <w:rPr>
                <w:bCs/>
                <w:sz w:val="18"/>
                <w:szCs w:val="18"/>
              </w:rPr>
              <w:t>was undertaken</w:t>
            </w:r>
            <w:r w:rsidRPr="00CC53D5">
              <w:rPr>
                <w:bCs/>
                <w:sz w:val="18"/>
                <w:szCs w:val="18"/>
              </w:rPr>
              <w:t xml:space="preserve">. </w:t>
            </w:r>
            <w:r w:rsidR="00CC53D5">
              <w:rPr>
                <w:bCs/>
                <w:sz w:val="18"/>
                <w:szCs w:val="18"/>
              </w:rPr>
              <w:t xml:space="preserve">This included assessing potentially acceptable studies by </w:t>
            </w:r>
            <w:r w:rsidRPr="00CC53D5">
              <w:rPr>
                <w:bCs/>
                <w:sz w:val="18"/>
                <w:szCs w:val="18"/>
              </w:rPr>
              <w:t xml:space="preserve">Pereira et al. </w:t>
            </w:r>
            <w:r w:rsidR="00CC53D5">
              <w:rPr>
                <w:bCs/>
                <w:sz w:val="18"/>
                <w:szCs w:val="18"/>
              </w:rPr>
              <w:t>(</w:t>
            </w:r>
            <w:r w:rsidRPr="00CC53D5">
              <w:rPr>
                <w:bCs/>
                <w:sz w:val="18"/>
                <w:szCs w:val="18"/>
              </w:rPr>
              <w:t>2020</w:t>
            </w:r>
            <w:r w:rsidR="00CC53D5">
              <w:rPr>
                <w:bCs/>
                <w:sz w:val="18"/>
                <w:szCs w:val="18"/>
              </w:rPr>
              <w:t>)</w:t>
            </w:r>
            <w:r w:rsidRPr="00CC53D5">
              <w:rPr>
                <w:bCs/>
                <w:sz w:val="18"/>
                <w:szCs w:val="18"/>
              </w:rPr>
              <w:t xml:space="preserve">, </w:t>
            </w:r>
            <w:r w:rsidR="00CC53D5">
              <w:rPr>
                <w:bCs/>
                <w:sz w:val="18"/>
                <w:szCs w:val="18"/>
              </w:rPr>
              <w:t xml:space="preserve">Markich (2021) and </w:t>
            </w:r>
            <w:r w:rsidRPr="00CC53D5">
              <w:rPr>
                <w:bCs/>
                <w:sz w:val="18"/>
                <w:szCs w:val="18"/>
              </w:rPr>
              <w:t xml:space="preserve">Han et al. </w:t>
            </w:r>
            <w:r w:rsidR="00CC53D5">
              <w:rPr>
                <w:bCs/>
                <w:sz w:val="18"/>
                <w:szCs w:val="18"/>
              </w:rPr>
              <w:t>(</w:t>
            </w:r>
            <w:r w:rsidRPr="00CC53D5">
              <w:rPr>
                <w:bCs/>
                <w:sz w:val="18"/>
                <w:szCs w:val="18"/>
              </w:rPr>
              <w:t>2022</w:t>
            </w:r>
            <w:r w:rsidR="00CC53D5">
              <w:rPr>
                <w:bCs/>
                <w:sz w:val="18"/>
                <w:szCs w:val="18"/>
              </w:rPr>
              <w:t>)</w:t>
            </w:r>
            <w:r w:rsidRPr="00CC53D5">
              <w:rPr>
                <w:bCs/>
                <w:sz w:val="18"/>
                <w:szCs w:val="18"/>
              </w:rPr>
              <w:t>.</w:t>
            </w:r>
            <w:r w:rsidR="00CC53D5">
              <w:rPr>
                <w:bCs/>
                <w:sz w:val="18"/>
                <w:szCs w:val="18"/>
              </w:rPr>
              <w:t xml:space="preserve"> The results of this is that the dataset now comprises toxicity values for </w:t>
            </w:r>
            <w:r w:rsidR="006C3A77" w:rsidRPr="006C3A77">
              <w:rPr>
                <w:bCs/>
                <w:sz w:val="18"/>
                <w:szCs w:val="18"/>
              </w:rPr>
              <w:t>16</w:t>
            </w:r>
            <w:r w:rsidR="00CC53D5" w:rsidRPr="006C3A77">
              <w:rPr>
                <w:bCs/>
                <w:sz w:val="18"/>
                <w:szCs w:val="18"/>
              </w:rPr>
              <w:t xml:space="preserve"> species from </w:t>
            </w:r>
            <w:r w:rsidR="006C3A77" w:rsidRPr="006C3A77">
              <w:rPr>
                <w:bCs/>
                <w:sz w:val="18"/>
                <w:szCs w:val="18"/>
              </w:rPr>
              <w:t>6</w:t>
            </w:r>
            <w:r w:rsidR="00CC53D5" w:rsidRPr="006C3A77">
              <w:rPr>
                <w:bCs/>
                <w:sz w:val="18"/>
                <w:szCs w:val="18"/>
              </w:rPr>
              <w:t xml:space="preserve"> taxonomic groups.</w:t>
            </w:r>
            <w:r w:rsidR="00BB566C">
              <w:rPr>
                <w:bCs/>
                <w:sz w:val="18"/>
                <w:szCs w:val="18"/>
              </w:rPr>
              <w:t xml:space="preserve"> This dataset is sufficient for deriving ANZG DGVs.</w:t>
            </w:r>
          </w:p>
          <w:p w14:paraId="46150D96" w14:textId="13484EC3" w:rsidR="00D45F4C" w:rsidRPr="00CC53D5" w:rsidRDefault="00E30E96" w:rsidP="00CC53D5">
            <w:pPr>
              <w:spacing w:before="60" w:after="60" w:line="240" w:lineRule="auto"/>
              <w:ind w:left="318"/>
              <w:rPr>
                <w:bCs/>
                <w:sz w:val="18"/>
                <w:szCs w:val="18"/>
              </w:rPr>
            </w:pPr>
            <w:r w:rsidRPr="00CC53D5">
              <w:rPr>
                <w:bCs/>
                <w:sz w:val="18"/>
                <w:szCs w:val="18"/>
              </w:rPr>
              <w:t>It is not possible to derive DGVs that include data for species endemic to all regions</w:t>
            </w:r>
            <w:r w:rsidR="00CC53D5">
              <w:rPr>
                <w:bCs/>
                <w:sz w:val="18"/>
                <w:szCs w:val="18"/>
              </w:rPr>
              <w:t xml:space="preserve"> or that are representative of all physico-chemical conditions</w:t>
            </w:r>
            <w:r w:rsidRPr="00CC53D5">
              <w:rPr>
                <w:bCs/>
                <w:sz w:val="18"/>
                <w:szCs w:val="18"/>
              </w:rPr>
              <w:t xml:space="preserve">. If there are local concerns over </w:t>
            </w:r>
            <w:r w:rsidRPr="00CC53D5">
              <w:rPr>
                <w:bCs/>
                <w:sz w:val="18"/>
                <w:szCs w:val="18"/>
              </w:rPr>
              <w:lastRenderedPageBreak/>
              <w:t xml:space="preserve">the applicability of a DGV, the ANZG </w:t>
            </w:r>
            <w:r w:rsidR="00CC53D5">
              <w:rPr>
                <w:bCs/>
                <w:sz w:val="18"/>
                <w:szCs w:val="18"/>
              </w:rPr>
              <w:t xml:space="preserve">(2018) </w:t>
            </w:r>
            <w:r w:rsidRPr="00CC53D5">
              <w:rPr>
                <w:bCs/>
                <w:sz w:val="18"/>
                <w:szCs w:val="18"/>
              </w:rPr>
              <w:t>Guidelines recommend the derivation of site-specific GVs.</w:t>
            </w:r>
          </w:p>
        </w:tc>
        <w:tc>
          <w:tcPr>
            <w:tcW w:w="3040" w:type="dxa"/>
          </w:tcPr>
          <w:p w14:paraId="0895DAA7" w14:textId="77777777" w:rsidR="00CC53D5" w:rsidRDefault="00CC53D5" w:rsidP="001B621D">
            <w:pPr>
              <w:spacing w:before="60" w:after="60" w:line="240" w:lineRule="auto"/>
              <w:rPr>
                <w:sz w:val="18"/>
                <w:szCs w:val="18"/>
              </w:rPr>
            </w:pPr>
          </w:p>
          <w:p w14:paraId="51CC0970" w14:textId="733F5C12" w:rsidR="002667A8" w:rsidRDefault="00CC53D5" w:rsidP="002667A8">
            <w:pPr>
              <w:pStyle w:val="ListParagraph"/>
              <w:numPr>
                <w:ilvl w:val="0"/>
                <w:numId w:val="32"/>
              </w:numPr>
              <w:spacing w:before="60" w:after="60" w:line="240" w:lineRule="auto"/>
              <w:ind w:left="324" w:hanging="284"/>
              <w:contextualSpacing w:val="0"/>
              <w:rPr>
                <w:sz w:val="18"/>
                <w:szCs w:val="18"/>
              </w:rPr>
            </w:pPr>
            <w:r>
              <w:rPr>
                <w:sz w:val="18"/>
                <w:szCs w:val="18"/>
              </w:rPr>
              <w:t>The</w:t>
            </w:r>
            <w:r w:rsidRPr="000A4F9C">
              <w:rPr>
                <w:sz w:val="18"/>
                <w:szCs w:val="18"/>
              </w:rPr>
              <w:t xml:space="preserve"> DGV technical brief (particularly Appendix C) </w:t>
            </w:r>
            <w:r>
              <w:rPr>
                <w:sz w:val="18"/>
                <w:szCs w:val="18"/>
              </w:rPr>
              <w:t xml:space="preserve">has been updated </w:t>
            </w:r>
            <w:r w:rsidRPr="000A4F9C">
              <w:rPr>
                <w:sz w:val="18"/>
                <w:szCs w:val="18"/>
              </w:rPr>
              <w:t>to reflect the refined and validated pH 2 method and how this should be used in conjunction with the iron freshwater DGVs</w:t>
            </w:r>
            <w:r w:rsidR="002667A8">
              <w:rPr>
                <w:sz w:val="18"/>
                <w:szCs w:val="18"/>
              </w:rPr>
              <w:t>.</w:t>
            </w:r>
            <w:r w:rsidR="00111866">
              <w:rPr>
                <w:sz w:val="18"/>
                <w:szCs w:val="18"/>
              </w:rPr>
              <w:t xml:space="preserve"> The refined and validated pH 2 method (ANZG 202</w:t>
            </w:r>
            <w:r w:rsidR="00246690">
              <w:rPr>
                <w:sz w:val="18"/>
                <w:szCs w:val="18"/>
              </w:rPr>
              <w:t>5</w:t>
            </w:r>
            <w:r w:rsidR="00111866">
              <w:rPr>
                <w:sz w:val="18"/>
                <w:szCs w:val="18"/>
              </w:rPr>
              <w:t>) has been published on the ANZG website.</w:t>
            </w:r>
          </w:p>
          <w:p w14:paraId="370142F8" w14:textId="5146EA90" w:rsidR="002667A8" w:rsidRPr="00D45F4C" w:rsidRDefault="00655C91" w:rsidP="002667A8">
            <w:pPr>
              <w:pStyle w:val="ListParagraph"/>
              <w:numPr>
                <w:ilvl w:val="0"/>
                <w:numId w:val="32"/>
              </w:numPr>
              <w:spacing w:before="60" w:after="60" w:line="240" w:lineRule="auto"/>
              <w:ind w:left="324" w:hanging="284"/>
              <w:contextualSpacing w:val="0"/>
              <w:rPr>
                <w:sz w:val="18"/>
                <w:szCs w:val="18"/>
                <w:lang w:val="en-GB"/>
              </w:rPr>
            </w:pPr>
            <w:r w:rsidRPr="002667A8">
              <w:rPr>
                <w:sz w:val="18"/>
                <w:szCs w:val="18"/>
              </w:rPr>
              <w:t>The DGV</w:t>
            </w:r>
            <w:r w:rsidR="002667A8">
              <w:rPr>
                <w:sz w:val="18"/>
                <w:szCs w:val="18"/>
              </w:rPr>
              <w:t>s</w:t>
            </w:r>
            <w:r w:rsidRPr="002667A8">
              <w:rPr>
                <w:sz w:val="18"/>
                <w:szCs w:val="18"/>
              </w:rPr>
              <w:t xml:space="preserve"> </w:t>
            </w:r>
            <w:r w:rsidR="002667A8">
              <w:rPr>
                <w:sz w:val="18"/>
                <w:szCs w:val="18"/>
              </w:rPr>
              <w:t>were</w:t>
            </w:r>
            <w:r w:rsidRPr="002667A8">
              <w:rPr>
                <w:sz w:val="18"/>
                <w:szCs w:val="18"/>
              </w:rPr>
              <w:t xml:space="preserve"> updated with all </w:t>
            </w:r>
            <w:r w:rsidR="00823C7A" w:rsidRPr="002667A8">
              <w:rPr>
                <w:sz w:val="18"/>
                <w:szCs w:val="18"/>
              </w:rPr>
              <w:t>recent data</w:t>
            </w:r>
            <w:r w:rsidR="002667A8">
              <w:rPr>
                <w:sz w:val="18"/>
                <w:szCs w:val="18"/>
              </w:rPr>
              <w:t xml:space="preserve"> of acceptable quality</w:t>
            </w:r>
            <w:r w:rsidR="00C54597" w:rsidRPr="002667A8">
              <w:rPr>
                <w:sz w:val="18"/>
                <w:szCs w:val="18"/>
              </w:rPr>
              <w:t xml:space="preserve">. </w:t>
            </w:r>
          </w:p>
          <w:p w14:paraId="5496BA05" w14:textId="425897D2" w:rsidR="00765AB5" w:rsidRPr="00D45F4C" w:rsidRDefault="00765AB5" w:rsidP="001B621D">
            <w:pPr>
              <w:spacing w:before="60" w:after="60" w:line="240" w:lineRule="auto"/>
              <w:rPr>
                <w:sz w:val="18"/>
                <w:szCs w:val="18"/>
                <w:lang w:val="en-GB"/>
              </w:rPr>
            </w:pPr>
          </w:p>
        </w:tc>
      </w:tr>
      <w:tr w:rsidR="00D45F4C" w:rsidRPr="003C1402" w14:paraId="358CDBDF" w14:textId="77777777" w:rsidTr="0027035C">
        <w:tc>
          <w:tcPr>
            <w:tcW w:w="1194" w:type="dxa"/>
          </w:tcPr>
          <w:p w14:paraId="6ABBC61B" w14:textId="77777777" w:rsidR="00D45F4C" w:rsidRPr="00D45F4C" w:rsidRDefault="00D45F4C" w:rsidP="00040781">
            <w:pPr>
              <w:spacing w:before="60" w:after="60" w:line="240" w:lineRule="auto"/>
              <w:jc w:val="center"/>
              <w:rPr>
                <w:b/>
                <w:bCs/>
                <w:sz w:val="18"/>
                <w:szCs w:val="18"/>
                <w:lang w:val="en-GB"/>
              </w:rPr>
            </w:pPr>
          </w:p>
        </w:tc>
        <w:tc>
          <w:tcPr>
            <w:tcW w:w="5605" w:type="dxa"/>
          </w:tcPr>
          <w:p w14:paraId="40ABF8E3" w14:textId="54A0553C" w:rsidR="00D45F4C" w:rsidRPr="006B3A5D" w:rsidRDefault="006B3A5D" w:rsidP="007439DF">
            <w:pPr>
              <w:pStyle w:val="ListParagraph"/>
              <w:numPr>
                <w:ilvl w:val="0"/>
                <w:numId w:val="17"/>
              </w:numPr>
              <w:spacing w:before="60" w:after="60" w:line="240" w:lineRule="auto"/>
              <w:ind w:left="395" w:hanging="395"/>
              <w:rPr>
                <w:sz w:val="18"/>
                <w:szCs w:val="18"/>
                <w:lang w:val="en-GB"/>
              </w:rPr>
            </w:pPr>
            <w:r w:rsidRPr="006B3A5D">
              <w:rPr>
                <w:b/>
                <w:sz w:val="18"/>
                <w:szCs w:val="18"/>
              </w:rPr>
              <w:t xml:space="preserve">Fe background levels within Port Curtis: </w:t>
            </w:r>
            <w:r w:rsidRPr="006B3A5D">
              <w:rPr>
                <w:sz w:val="18"/>
                <w:szCs w:val="18"/>
              </w:rPr>
              <w:t xml:space="preserve">The above mentioned monitoring programs that GPC undertakes or participates in, show that total concentrations of Fe are consistently high throughout Port Curtis. In fact, average total Fe concentration as sampled at a subset of five (5) sites spanning from the Narrows to </w:t>
            </w:r>
            <w:proofErr w:type="spellStart"/>
            <w:r w:rsidRPr="006B3A5D">
              <w:rPr>
                <w:sz w:val="18"/>
                <w:szCs w:val="18"/>
              </w:rPr>
              <w:t>Rodds</w:t>
            </w:r>
            <w:proofErr w:type="spellEnd"/>
            <w:r w:rsidRPr="006B3A5D">
              <w:rPr>
                <w:sz w:val="18"/>
                <w:szCs w:val="18"/>
              </w:rPr>
              <w:t xml:space="preserve"> Bay from March 2017 to June 2020 at quarterly frequency is 247.7 µg/L which is well above the 95% species protection and more than five (5) times higher than then 99% species protection of the proposed Fe DGVs which would be applicable for some of the sites where the samples were collected from.</w:t>
            </w:r>
          </w:p>
        </w:tc>
        <w:tc>
          <w:tcPr>
            <w:tcW w:w="4111" w:type="dxa"/>
          </w:tcPr>
          <w:p w14:paraId="78F78E04" w14:textId="1F508143" w:rsidR="00D45F4C" w:rsidRPr="00D45F4C" w:rsidRDefault="006B3A5D" w:rsidP="00040781">
            <w:pPr>
              <w:spacing w:before="60" w:after="60" w:line="240" w:lineRule="auto"/>
              <w:rPr>
                <w:sz w:val="18"/>
                <w:szCs w:val="18"/>
                <w:lang w:val="en-GB"/>
              </w:rPr>
            </w:pPr>
            <w:r w:rsidRPr="006B3A5D">
              <w:rPr>
                <w:iCs/>
                <w:sz w:val="18"/>
                <w:szCs w:val="18"/>
              </w:rPr>
              <w:t xml:space="preserve">Use of the refined pH 2 extraction method </w:t>
            </w:r>
            <w:r w:rsidR="00B328E5">
              <w:rPr>
                <w:iCs/>
                <w:sz w:val="18"/>
                <w:szCs w:val="18"/>
              </w:rPr>
              <w:t>(ANZG 202</w:t>
            </w:r>
            <w:r w:rsidR="000F7F99">
              <w:rPr>
                <w:iCs/>
                <w:sz w:val="18"/>
                <w:szCs w:val="18"/>
              </w:rPr>
              <w:t>5</w:t>
            </w:r>
            <w:r w:rsidR="00B328E5">
              <w:rPr>
                <w:iCs/>
                <w:sz w:val="18"/>
                <w:szCs w:val="18"/>
              </w:rPr>
              <w:t xml:space="preserve">) </w:t>
            </w:r>
            <w:r w:rsidRPr="006B3A5D">
              <w:rPr>
                <w:iCs/>
                <w:sz w:val="18"/>
                <w:szCs w:val="18"/>
              </w:rPr>
              <w:t>should resolve this issue. However, if background concentrations are still above the DGVs, site-specific GVs may need to be developed.</w:t>
            </w:r>
          </w:p>
        </w:tc>
        <w:tc>
          <w:tcPr>
            <w:tcW w:w="3040" w:type="dxa"/>
          </w:tcPr>
          <w:p w14:paraId="1C52F023" w14:textId="057AA995" w:rsidR="00B328E5" w:rsidRDefault="00570F20" w:rsidP="00040781">
            <w:pPr>
              <w:spacing w:before="60" w:after="60" w:line="240" w:lineRule="auto"/>
              <w:rPr>
                <w:sz w:val="18"/>
                <w:szCs w:val="18"/>
              </w:rPr>
            </w:pPr>
            <w:r>
              <w:rPr>
                <w:sz w:val="18"/>
                <w:szCs w:val="18"/>
              </w:rPr>
              <w:t>Refer to</w:t>
            </w:r>
            <w:r w:rsidR="00B328E5">
              <w:rPr>
                <w:sz w:val="18"/>
                <w:szCs w:val="18"/>
              </w:rPr>
              <w:t xml:space="preserve"> </w:t>
            </w:r>
            <w:r>
              <w:rPr>
                <w:sz w:val="18"/>
                <w:szCs w:val="18"/>
              </w:rPr>
              <w:t>action taken</w:t>
            </w:r>
            <w:r w:rsidR="00B328E5">
              <w:rPr>
                <w:sz w:val="18"/>
                <w:szCs w:val="18"/>
              </w:rPr>
              <w:t xml:space="preserve"> </w:t>
            </w:r>
            <w:r>
              <w:rPr>
                <w:sz w:val="18"/>
                <w:szCs w:val="18"/>
              </w:rPr>
              <w:t>for</w:t>
            </w:r>
            <w:r w:rsidR="00B328E5">
              <w:rPr>
                <w:sz w:val="18"/>
                <w:szCs w:val="18"/>
              </w:rPr>
              <w:t xml:space="preserve"> comment 2(a) in relation to the recommended use of a refined pH 2 extraction method for measuring iron in water samples.</w:t>
            </w:r>
          </w:p>
          <w:p w14:paraId="2077F8B4" w14:textId="48EFCD22" w:rsidR="006B3A5D" w:rsidRPr="00FB0E21" w:rsidRDefault="00B328E5" w:rsidP="00FE5885">
            <w:pPr>
              <w:spacing w:before="60" w:after="60" w:line="240" w:lineRule="auto"/>
              <w:rPr>
                <w:sz w:val="18"/>
                <w:szCs w:val="18"/>
              </w:rPr>
            </w:pPr>
            <w:r>
              <w:rPr>
                <w:sz w:val="18"/>
                <w:szCs w:val="18"/>
              </w:rPr>
              <w:t>Moreover, i</w:t>
            </w:r>
            <w:r w:rsidR="00A362E3">
              <w:rPr>
                <w:sz w:val="18"/>
                <w:szCs w:val="18"/>
              </w:rPr>
              <w:t xml:space="preserve">t has been </w:t>
            </w:r>
            <w:r w:rsidR="00FE5885">
              <w:rPr>
                <w:sz w:val="18"/>
                <w:szCs w:val="18"/>
              </w:rPr>
              <w:t>e</w:t>
            </w:r>
            <w:r w:rsidR="006B3A5D">
              <w:rPr>
                <w:sz w:val="18"/>
                <w:szCs w:val="18"/>
              </w:rPr>
              <w:t>mphasise</w:t>
            </w:r>
            <w:r w:rsidR="00FE5885">
              <w:rPr>
                <w:sz w:val="18"/>
                <w:szCs w:val="18"/>
              </w:rPr>
              <w:t>d</w:t>
            </w:r>
            <w:r w:rsidR="006B3A5D">
              <w:rPr>
                <w:sz w:val="18"/>
                <w:szCs w:val="18"/>
              </w:rPr>
              <w:t xml:space="preserve"> in the tech</w:t>
            </w:r>
            <w:r>
              <w:rPr>
                <w:sz w:val="18"/>
                <w:szCs w:val="18"/>
              </w:rPr>
              <w:t>nical</w:t>
            </w:r>
            <w:r w:rsidR="006B3A5D">
              <w:rPr>
                <w:sz w:val="18"/>
                <w:szCs w:val="18"/>
              </w:rPr>
              <w:t xml:space="preserve"> brief that ANZG provides guidance in the event that measured background concentrations exceed the DGVs.</w:t>
            </w:r>
          </w:p>
        </w:tc>
      </w:tr>
      <w:tr w:rsidR="00D45F4C" w:rsidRPr="003C1402" w14:paraId="4918A039" w14:textId="77777777" w:rsidTr="0027035C">
        <w:tc>
          <w:tcPr>
            <w:tcW w:w="1194" w:type="dxa"/>
          </w:tcPr>
          <w:p w14:paraId="77DBC29D" w14:textId="77777777" w:rsidR="00D45F4C" w:rsidRPr="00D45F4C" w:rsidRDefault="00D45F4C" w:rsidP="00040781">
            <w:pPr>
              <w:spacing w:before="60" w:after="60" w:line="240" w:lineRule="auto"/>
              <w:jc w:val="center"/>
              <w:rPr>
                <w:b/>
                <w:bCs/>
                <w:sz w:val="18"/>
                <w:szCs w:val="18"/>
                <w:lang w:val="en-GB"/>
              </w:rPr>
            </w:pPr>
          </w:p>
        </w:tc>
        <w:tc>
          <w:tcPr>
            <w:tcW w:w="5605" w:type="dxa"/>
          </w:tcPr>
          <w:p w14:paraId="44C6019D" w14:textId="3777A586" w:rsidR="00D45F4C" w:rsidRPr="00AB01C9" w:rsidRDefault="00AB01C9" w:rsidP="007439DF">
            <w:pPr>
              <w:pStyle w:val="ListParagraph"/>
              <w:numPr>
                <w:ilvl w:val="0"/>
                <w:numId w:val="17"/>
              </w:numPr>
              <w:spacing w:before="60" w:after="60" w:line="240" w:lineRule="auto"/>
              <w:ind w:left="395" w:hanging="395"/>
              <w:rPr>
                <w:sz w:val="18"/>
                <w:szCs w:val="18"/>
                <w:lang w:val="en-GB"/>
              </w:rPr>
            </w:pPr>
            <w:r w:rsidRPr="00AB01C9">
              <w:rPr>
                <w:bCs/>
                <w:sz w:val="18"/>
                <w:szCs w:val="18"/>
              </w:rPr>
              <w:t>In conclusion the proposed Fe DGVs seem to be premature and rushed and will pose significant challenges. More ecotoxicology testing with more representative species and physical-chemical conditions and investigation on Fe species toxicity should be conducted. Consideration should be given to the analysis methodology, in this case pH 2 extraction method and the rationale behind using a certain method and practicalities around it, firstly related to commercial NATA accredited laboratories which industry must use to meet regulatory conditions. Moreover on this point, threshold are being progressively lowered with already several metals (depending on protection level) below the limit of reporting (LOR) of some commercial laboratories.</w:t>
            </w:r>
          </w:p>
        </w:tc>
        <w:tc>
          <w:tcPr>
            <w:tcW w:w="4111" w:type="dxa"/>
          </w:tcPr>
          <w:p w14:paraId="20523C33" w14:textId="141DDDFD" w:rsidR="00D45F4C" w:rsidRPr="00D45F4C" w:rsidRDefault="00C56530" w:rsidP="00040781">
            <w:pPr>
              <w:spacing w:before="60" w:after="60" w:line="240" w:lineRule="auto"/>
              <w:rPr>
                <w:sz w:val="18"/>
                <w:szCs w:val="18"/>
                <w:lang w:val="en-GB"/>
              </w:rPr>
            </w:pPr>
            <w:r>
              <w:rPr>
                <w:iCs/>
                <w:sz w:val="18"/>
                <w:szCs w:val="18"/>
              </w:rPr>
              <w:t>Refer to</w:t>
            </w:r>
            <w:r w:rsidR="00AB01C9">
              <w:rPr>
                <w:iCs/>
                <w:sz w:val="18"/>
                <w:szCs w:val="18"/>
              </w:rPr>
              <w:t xml:space="preserve"> </w:t>
            </w:r>
            <w:r w:rsidR="002E7AA3">
              <w:rPr>
                <w:iCs/>
                <w:sz w:val="18"/>
                <w:szCs w:val="18"/>
              </w:rPr>
              <w:t xml:space="preserve">responses to comments </w:t>
            </w:r>
            <w:r w:rsidR="00AB01C9">
              <w:rPr>
                <w:iCs/>
                <w:sz w:val="18"/>
                <w:szCs w:val="18"/>
              </w:rPr>
              <w:t>2 and 3.</w:t>
            </w:r>
          </w:p>
        </w:tc>
        <w:tc>
          <w:tcPr>
            <w:tcW w:w="3040" w:type="dxa"/>
          </w:tcPr>
          <w:p w14:paraId="7B38B22F" w14:textId="536FE485" w:rsidR="00D45F4C" w:rsidRPr="00D45F4C" w:rsidRDefault="00AB01C9" w:rsidP="00040781">
            <w:pPr>
              <w:spacing w:before="60" w:after="60" w:line="240" w:lineRule="auto"/>
              <w:rPr>
                <w:sz w:val="18"/>
                <w:szCs w:val="18"/>
                <w:lang w:val="en-GB"/>
              </w:rPr>
            </w:pPr>
            <w:r>
              <w:rPr>
                <w:iCs/>
                <w:sz w:val="18"/>
                <w:szCs w:val="18"/>
              </w:rPr>
              <w:t xml:space="preserve">Refer to </w:t>
            </w:r>
            <w:r w:rsidR="002E7AA3">
              <w:rPr>
                <w:iCs/>
                <w:sz w:val="18"/>
                <w:szCs w:val="18"/>
              </w:rPr>
              <w:t>action taken</w:t>
            </w:r>
            <w:r>
              <w:rPr>
                <w:iCs/>
                <w:sz w:val="18"/>
                <w:szCs w:val="18"/>
              </w:rPr>
              <w:t xml:space="preserve"> for comments 2 and 3.</w:t>
            </w:r>
          </w:p>
        </w:tc>
      </w:tr>
      <w:tr w:rsidR="00D45F4C" w:rsidRPr="003C1402" w14:paraId="6C4377F9" w14:textId="77777777" w:rsidTr="0027035C">
        <w:tc>
          <w:tcPr>
            <w:tcW w:w="1194" w:type="dxa"/>
          </w:tcPr>
          <w:p w14:paraId="50C77ACE" w14:textId="3062F6EE" w:rsidR="00D45F4C" w:rsidRPr="00D45F4C" w:rsidRDefault="0060073D" w:rsidP="00040781">
            <w:pPr>
              <w:spacing w:before="60" w:after="60" w:line="240" w:lineRule="auto"/>
              <w:jc w:val="center"/>
              <w:rPr>
                <w:b/>
                <w:bCs/>
                <w:sz w:val="18"/>
                <w:szCs w:val="18"/>
                <w:lang w:val="en-GB"/>
              </w:rPr>
            </w:pPr>
            <w:r>
              <w:rPr>
                <w:b/>
                <w:bCs/>
                <w:sz w:val="18"/>
                <w:szCs w:val="18"/>
                <w:lang w:val="en-GB"/>
              </w:rPr>
              <w:t>3.</w:t>
            </w:r>
          </w:p>
        </w:tc>
        <w:tc>
          <w:tcPr>
            <w:tcW w:w="5605" w:type="dxa"/>
          </w:tcPr>
          <w:p w14:paraId="0FBF1159" w14:textId="60A3F934" w:rsidR="00D45F4C" w:rsidRPr="0060073D" w:rsidRDefault="0060073D" w:rsidP="007439DF">
            <w:pPr>
              <w:pStyle w:val="ListParagraph"/>
              <w:numPr>
                <w:ilvl w:val="0"/>
                <w:numId w:val="17"/>
              </w:numPr>
              <w:spacing w:before="60" w:after="60" w:line="240" w:lineRule="auto"/>
              <w:ind w:left="395" w:hanging="425"/>
              <w:rPr>
                <w:sz w:val="18"/>
                <w:szCs w:val="18"/>
                <w:lang w:val="en-GB"/>
              </w:rPr>
            </w:pPr>
            <w:r w:rsidRPr="0060073D">
              <w:rPr>
                <w:iCs/>
                <w:sz w:val="18"/>
                <w:szCs w:val="18"/>
                <w:lang w:val="en-GB"/>
              </w:rPr>
              <w:t xml:space="preserve">See </w:t>
            </w:r>
            <w:r w:rsidR="00A06EC9">
              <w:rPr>
                <w:iCs/>
                <w:sz w:val="18"/>
                <w:szCs w:val="18"/>
                <w:lang w:val="en-GB"/>
              </w:rPr>
              <w:t xml:space="preserve">submitter 2 </w:t>
            </w:r>
            <w:r w:rsidRPr="0060073D">
              <w:rPr>
                <w:iCs/>
                <w:sz w:val="18"/>
                <w:szCs w:val="18"/>
                <w:lang w:val="en-GB"/>
              </w:rPr>
              <w:t xml:space="preserve">comments </w:t>
            </w:r>
            <w:r w:rsidR="00A06EC9">
              <w:rPr>
                <w:iCs/>
                <w:sz w:val="18"/>
                <w:szCs w:val="18"/>
                <w:lang w:val="en-GB"/>
              </w:rPr>
              <w:t xml:space="preserve">in the </w:t>
            </w:r>
            <w:r w:rsidR="00A06EC9">
              <w:rPr>
                <w:bCs/>
                <w:sz w:val="18"/>
                <w:szCs w:val="18"/>
              </w:rPr>
              <w:t>public comments for</w:t>
            </w:r>
            <w:r w:rsidRPr="0060073D">
              <w:rPr>
                <w:iCs/>
                <w:sz w:val="18"/>
                <w:szCs w:val="18"/>
                <w:lang w:val="en-GB"/>
              </w:rPr>
              <w:t xml:space="preserve"> the iron in freshwater DGVs technical brief.</w:t>
            </w:r>
          </w:p>
        </w:tc>
        <w:tc>
          <w:tcPr>
            <w:tcW w:w="4111" w:type="dxa"/>
          </w:tcPr>
          <w:p w14:paraId="53B11144" w14:textId="0DEBA0B3" w:rsidR="00D45F4C" w:rsidRPr="00D45F4C" w:rsidRDefault="00C56530" w:rsidP="00040781">
            <w:pPr>
              <w:spacing w:before="60" w:after="60" w:line="240" w:lineRule="auto"/>
              <w:rPr>
                <w:sz w:val="18"/>
                <w:szCs w:val="18"/>
                <w:lang w:val="en-GB"/>
              </w:rPr>
            </w:pPr>
            <w:r>
              <w:rPr>
                <w:bCs/>
                <w:sz w:val="18"/>
                <w:szCs w:val="18"/>
              </w:rPr>
              <w:t>Refer to</w:t>
            </w:r>
            <w:r w:rsidR="0060073D">
              <w:rPr>
                <w:bCs/>
                <w:sz w:val="18"/>
                <w:szCs w:val="18"/>
              </w:rPr>
              <w:t xml:space="preserve"> </w:t>
            </w:r>
            <w:r w:rsidR="00C22284">
              <w:rPr>
                <w:bCs/>
                <w:sz w:val="18"/>
                <w:szCs w:val="18"/>
              </w:rPr>
              <w:t xml:space="preserve">the </w:t>
            </w:r>
            <w:r>
              <w:rPr>
                <w:bCs/>
                <w:sz w:val="18"/>
                <w:szCs w:val="18"/>
              </w:rPr>
              <w:t>responses to</w:t>
            </w:r>
            <w:r w:rsidR="0060073D">
              <w:rPr>
                <w:bCs/>
                <w:sz w:val="18"/>
                <w:szCs w:val="18"/>
              </w:rPr>
              <w:t xml:space="preserve"> submitter 2 comments in </w:t>
            </w:r>
            <w:r>
              <w:rPr>
                <w:bCs/>
                <w:sz w:val="18"/>
                <w:szCs w:val="18"/>
              </w:rPr>
              <w:t xml:space="preserve">the response to public comments for the iron </w:t>
            </w:r>
            <w:r w:rsidR="0060073D">
              <w:rPr>
                <w:bCs/>
                <w:sz w:val="18"/>
                <w:szCs w:val="18"/>
              </w:rPr>
              <w:t xml:space="preserve">freshwater DGVs. </w:t>
            </w:r>
          </w:p>
        </w:tc>
        <w:tc>
          <w:tcPr>
            <w:tcW w:w="3040" w:type="dxa"/>
          </w:tcPr>
          <w:p w14:paraId="30093503" w14:textId="631EE5D1" w:rsidR="00D45F4C" w:rsidRPr="00D45F4C" w:rsidRDefault="0060073D" w:rsidP="00040781">
            <w:pPr>
              <w:spacing w:before="60" w:after="60" w:line="240" w:lineRule="auto"/>
              <w:rPr>
                <w:sz w:val="18"/>
                <w:szCs w:val="18"/>
                <w:lang w:val="en-GB"/>
              </w:rPr>
            </w:pPr>
            <w:r>
              <w:rPr>
                <w:iCs/>
                <w:sz w:val="18"/>
                <w:szCs w:val="18"/>
              </w:rPr>
              <w:t>Refer to actions</w:t>
            </w:r>
            <w:r w:rsidR="00C56530">
              <w:rPr>
                <w:iCs/>
                <w:sz w:val="18"/>
                <w:szCs w:val="18"/>
              </w:rPr>
              <w:t xml:space="preserve"> taken</w:t>
            </w:r>
            <w:r>
              <w:rPr>
                <w:iCs/>
                <w:sz w:val="18"/>
                <w:szCs w:val="18"/>
              </w:rPr>
              <w:t xml:space="preserve"> for </w:t>
            </w:r>
            <w:r>
              <w:rPr>
                <w:bCs/>
                <w:sz w:val="18"/>
                <w:szCs w:val="18"/>
              </w:rPr>
              <w:t xml:space="preserve">submitter 2 comments </w:t>
            </w:r>
            <w:r w:rsidR="00C56530">
              <w:rPr>
                <w:bCs/>
                <w:sz w:val="18"/>
                <w:szCs w:val="18"/>
              </w:rPr>
              <w:t>in the response to public comments for the iron freshwater DGVs.</w:t>
            </w:r>
          </w:p>
        </w:tc>
      </w:tr>
      <w:tr w:rsidR="00D45F4C" w:rsidRPr="003C1402" w14:paraId="0E88BAA7" w14:textId="77777777" w:rsidTr="0027035C">
        <w:tc>
          <w:tcPr>
            <w:tcW w:w="1194" w:type="dxa"/>
          </w:tcPr>
          <w:p w14:paraId="735E7B06" w14:textId="3A534646" w:rsidR="00D45F4C" w:rsidRPr="0060073D" w:rsidRDefault="0060073D" w:rsidP="0060073D">
            <w:pPr>
              <w:spacing w:before="60" w:after="60" w:line="240" w:lineRule="auto"/>
              <w:ind w:left="35"/>
              <w:jc w:val="center"/>
              <w:rPr>
                <w:b/>
                <w:bCs/>
                <w:sz w:val="18"/>
                <w:szCs w:val="18"/>
                <w:lang w:val="en-GB"/>
              </w:rPr>
            </w:pPr>
            <w:r>
              <w:rPr>
                <w:b/>
                <w:bCs/>
                <w:sz w:val="18"/>
                <w:szCs w:val="18"/>
                <w:lang w:val="en-GB"/>
              </w:rPr>
              <w:t>4.</w:t>
            </w:r>
          </w:p>
        </w:tc>
        <w:tc>
          <w:tcPr>
            <w:tcW w:w="5605" w:type="dxa"/>
          </w:tcPr>
          <w:p w14:paraId="0AA280DB" w14:textId="05EAC6B9" w:rsidR="00D45F4C" w:rsidRPr="0060073D" w:rsidRDefault="0060073D" w:rsidP="007439DF">
            <w:pPr>
              <w:pStyle w:val="ListParagraph"/>
              <w:numPr>
                <w:ilvl w:val="0"/>
                <w:numId w:val="17"/>
              </w:numPr>
              <w:spacing w:before="60" w:after="60" w:line="240" w:lineRule="auto"/>
              <w:ind w:left="395" w:hanging="425"/>
              <w:rPr>
                <w:sz w:val="18"/>
                <w:szCs w:val="18"/>
                <w:lang w:val="en-GB"/>
              </w:rPr>
            </w:pPr>
            <w:r w:rsidRPr="0060073D">
              <w:rPr>
                <w:iCs/>
                <w:sz w:val="18"/>
                <w:szCs w:val="18"/>
              </w:rPr>
              <w:t xml:space="preserve">While the brief acknowledges that the mechanism of toxicity of iron is unclear; it proposes that toxic effects are clearly due to dissolved, colloidal and precipitated iron (operationally defined by size fractionation).  Based on this proposition an analytical method (cold pH2 acid extraction) is proposed to measure this “total” iron fraction.  In relation to the operationally defined size </w:t>
            </w:r>
            <w:r w:rsidRPr="0060073D">
              <w:rPr>
                <w:iCs/>
                <w:sz w:val="18"/>
                <w:szCs w:val="18"/>
              </w:rPr>
              <w:lastRenderedPageBreak/>
              <w:t>fractionation, this statement is noted in para 2 of the Introduction:</w:t>
            </w:r>
            <w:r w:rsidRPr="0060073D">
              <w:rPr>
                <w:b/>
                <w:iCs/>
                <w:sz w:val="18"/>
                <w:szCs w:val="18"/>
              </w:rPr>
              <w:t xml:space="preserve"> “</w:t>
            </w:r>
            <w:r w:rsidRPr="0060073D">
              <w:rPr>
                <w:bCs/>
                <w:iCs/>
                <w:sz w:val="18"/>
                <w:szCs w:val="18"/>
              </w:rPr>
              <w:t>However, what may be operationally defined as ‘dissolved’ iron (formerly defined as &lt;0.45 µm and more recently defined as &lt;0.2 µm) has been found to be 30–91% colloidal (inorganic or organic) iron in estuarine and coastal waters.”  We are unaware of where this recent definition of dissolved was changed from &lt;0.45 µm to &lt;0.2 µm?</w:t>
            </w:r>
          </w:p>
        </w:tc>
        <w:tc>
          <w:tcPr>
            <w:tcW w:w="4111" w:type="dxa"/>
          </w:tcPr>
          <w:p w14:paraId="7B229197" w14:textId="20CD493B" w:rsidR="00D45F4C" w:rsidRPr="00D45F4C" w:rsidRDefault="00AB4664" w:rsidP="00040781">
            <w:pPr>
              <w:spacing w:before="60" w:after="60" w:line="240" w:lineRule="auto"/>
              <w:rPr>
                <w:sz w:val="18"/>
                <w:szCs w:val="18"/>
              </w:rPr>
            </w:pPr>
            <w:r>
              <w:rPr>
                <w:bCs/>
                <w:sz w:val="18"/>
                <w:szCs w:val="18"/>
              </w:rPr>
              <w:lastRenderedPageBreak/>
              <w:t xml:space="preserve">Noted. The text in question has been edited to </w:t>
            </w:r>
            <w:r>
              <w:rPr>
                <w:iCs/>
                <w:sz w:val="18"/>
                <w:szCs w:val="18"/>
              </w:rPr>
              <w:t>clarify</w:t>
            </w:r>
            <w:r w:rsidR="005D7EE9">
              <w:rPr>
                <w:iCs/>
                <w:sz w:val="18"/>
                <w:szCs w:val="18"/>
              </w:rPr>
              <w:t xml:space="preserve"> how</w:t>
            </w:r>
            <w:r>
              <w:rPr>
                <w:iCs/>
                <w:sz w:val="18"/>
                <w:szCs w:val="18"/>
              </w:rPr>
              <w:t xml:space="preserve"> </w:t>
            </w:r>
            <w:r w:rsidR="005D7EE9">
              <w:rPr>
                <w:iCs/>
                <w:sz w:val="18"/>
                <w:szCs w:val="18"/>
              </w:rPr>
              <w:t xml:space="preserve">the different size fractions </w:t>
            </w:r>
            <w:r w:rsidR="00F340DF">
              <w:rPr>
                <w:iCs/>
                <w:sz w:val="18"/>
                <w:szCs w:val="18"/>
              </w:rPr>
              <w:t xml:space="preserve">were </w:t>
            </w:r>
            <w:r w:rsidR="005D7EE9">
              <w:rPr>
                <w:iCs/>
                <w:sz w:val="18"/>
                <w:szCs w:val="18"/>
              </w:rPr>
              <w:t>defined</w:t>
            </w:r>
            <w:r w:rsidR="00F340DF">
              <w:rPr>
                <w:iCs/>
                <w:sz w:val="18"/>
                <w:szCs w:val="18"/>
              </w:rPr>
              <w:t xml:space="preserve"> by Worsfold et al. (2014)</w:t>
            </w:r>
            <w:r w:rsidR="005D7EE9">
              <w:rPr>
                <w:iCs/>
                <w:sz w:val="18"/>
                <w:szCs w:val="18"/>
              </w:rPr>
              <w:t xml:space="preserve">, and includes recognition that dissolved iron can be considered </w:t>
            </w:r>
            <w:r w:rsidR="005D7EE9">
              <w:rPr>
                <w:iCs/>
                <w:sz w:val="18"/>
                <w:szCs w:val="18"/>
              </w:rPr>
              <w:lastRenderedPageBreak/>
              <w:t xml:space="preserve">as both the 0.2 </w:t>
            </w:r>
            <w:r w:rsidR="005D7EE9" w:rsidRPr="0060073D">
              <w:rPr>
                <w:bCs/>
                <w:iCs/>
                <w:sz w:val="18"/>
                <w:szCs w:val="18"/>
              </w:rPr>
              <w:t>µm</w:t>
            </w:r>
            <w:r w:rsidR="005D7EE9" w:rsidDel="005D7EE9">
              <w:rPr>
                <w:iCs/>
                <w:sz w:val="18"/>
                <w:szCs w:val="18"/>
              </w:rPr>
              <w:t xml:space="preserve"> </w:t>
            </w:r>
            <w:r w:rsidR="005D7EE9">
              <w:rPr>
                <w:iCs/>
                <w:sz w:val="18"/>
                <w:szCs w:val="18"/>
              </w:rPr>
              <w:t xml:space="preserve">fraction or the 0.45 </w:t>
            </w:r>
            <w:r w:rsidR="005D7EE9" w:rsidRPr="0060073D">
              <w:rPr>
                <w:bCs/>
                <w:iCs/>
                <w:sz w:val="18"/>
                <w:szCs w:val="18"/>
              </w:rPr>
              <w:t>µm</w:t>
            </w:r>
            <w:r w:rsidR="005D7EE9" w:rsidDel="005D7EE9">
              <w:rPr>
                <w:iCs/>
                <w:sz w:val="18"/>
                <w:szCs w:val="18"/>
              </w:rPr>
              <w:t xml:space="preserve"> </w:t>
            </w:r>
            <w:r w:rsidR="005D7EE9">
              <w:rPr>
                <w:iCs/>
                <w:sz w:val="18"/>
                <w:szCs w:val="18"/>
              </w:rPr>
              <w:t>fraction</w:t>
            </w:r>
            <w:r>
              <w:rPr>
                <w:iCs/>
                <w:sz w:val="18"/>
                <w:szCs w:val="18"/>
              </w:rPr>
              <w:t>.</w:t>
            </w:r>
          </w:p>
        </w:tc>
        <w:tc>
          <w:tcPr>
            <w:tcW w:w="3040" w:type="dxa"/>
          </w:tcPr>
          <w:p w14:paraId="173605C9" w14:textId="70073D99" w:rsidR="00D45F4C" w:rsidRPr="00D45F4C" w:rsidRDefault="00AB4664" w:rsidP="00040781">
            <w:pPr>
              <w:spacing w:before="60" w:after="60" w:line="240" w:lineRule="auto"/>
              <w:rPr>
                <w:sz w:val="18"/>
                <w:szCs w:val="18"/>
              </w:rPr>
            </w:pPr>
            <w:r>
              <w:rPr>
                <w:iCs/>
                <w:sz w:val="18"/>
                <w:szCs w:val="18"/>
              </w:rPr>
              <w:lastRenderedPageBreak/>
              <w:t>Relevant text edited accordingly.</w:t>
            </w:r>
            <w:r w:rsidR="00F07DA5">
              <w:rPr>
                <w:iCs/>
                <w:sz w:val="18"/>
                <w:szCs w:val="18"/>
              </w:rPr>
              <w:t xml:space="preserve"> </w:t>
            </w:r>
          </w:p>
        </w:tc>
      </w:tr>
      <w:tr w:rsidR="00D45F4C" w:rsidRPr="003C1402" w14:paraId="0F2DD768" w14:textId="77777777" w:rsidTr="0027035C">
        <w:tc>
          <w:tcPr>
            <w:tcW w:w="1194" w:type="dxa"/>
          </w:tcPr>
          <w:p w14:paraId="2E6D48D9" w14:textId="77777777" w:rsidR="00D45F4C" w:rsidRPr="00D45F4C" w:rsidRDefault="00D45F4C" w:rsidP="00040781">
            <w:pPr>
              <w:spacing w:before="60" w:after="60" w:line="240" w:lineRule="auto"/>
              <w:jc w:val="center"/>
              <w:rPr>
                <w:b/>
                <w:bCs/>
                <w:sz w:val="18"/>
                <w:szCs w:val="18"/>
              </w:rPr>
            </w:pPr>
          </w:p>
        </w:tc>
        <w:tc>
          <w:tcPr>
            <w:tcW w:w="5605" w:type="dxa"/>
          </w:tcPr>
          <w:p w14:paraId="227ACFA6" w14:textId="77777777" w:rsidR="005D001B" w:rsidRPr="005D001B" w:rsidRDefault="005D001B" w:rsidP="007439DF">
            <w:pPr>
              <w:pStyle w:val="ListParagraph"/>
              <w:numPr>
                <w:ilvl w:val="0"/>
                <w:numId w:val="18"/>
              </w:numPr>
              <w:spacing w:before="60" w:after="60"/>
              <w:ind w:left="395" w:hanging="395"/>
              <w:rPr>
                <w:sz w:val="18"/>
                <w:szCs w:val="18"/>
              </w:rPr>
            </w:pPr>
            <w:r w:rsidRPr="005D001B">
              <w:rPr>
                <w:b/>
                <w:sz w:val="18"/>
                <w:szCs w:val="18"/>
              </w:rPr>
              <w:t>Poor size and quality of the toxicity data set</w:t>
            </w:r>
            <w:r w:rsidRPr="005D001B">
              <w:rPr>
                <w:sz w:val="18"/>
                <w:szCs w:val="18"/>
              </w:rPr>
              <w:t xml:space="preserve"> </w:t>
            </w:r>
          </w:p>
          <w:p w14:paraId="5C7CDC82" w14:textId="77777777" w:rsidR="005D001B" w:rsidRPr="00C753B8" w:rsidRDefault="005D001B" w:rsidP="00C753B8">
            <w:pPr>
              <w:pStyle w:val="ListParagraph"/>
              <w:numPr>
                <w:ilvl w:val="0"/>
                <w:numId w:val="33"/>
              </w:numPr>
              <w:spacing w:before="60" w:after="60" w:line="240" w:lineRule="auto"/>
              <w:ind w:left="825" w:hanging="426"/>
              <w:rPr>
                <w:sz w:val="18"/>
                <w:szCs w:val="18"/>
              </w:rPr>
            </w:pPr>
            <w:r w:rsidRPr="00C753B8">
              <w:rPr>
                <w:sz w:val="18"/>
                <w:szCs w:val="18"/>
              </w:rPr>
              <w:t>The toxicity dataset used by ANZG (2020) in the derivation of the draft DGVs is limited with toxicity endpoints from nine (9) species from five (5) taxonomic groups, with only seven (7) of the studies reporting chronic endpoints (five (5) NOEC and two (2) EC</w:t>
            </w:r>
            <w:r w:rsidRPr="00C753B8">
              <w:rPr>
                <w:sz w:val="18"/>
                <w:szCs w:val="18"/>
                <w:vertAlign w:val="subscript"/>
              </w:rPr>
              <w:t>10</w:t>
            </w:r>
            <w:r w:rsidRPr="00C753B8">
              <w:rPr>
                <w:sz w:val="18"/>
                <w:szCs w:val="18"/>
              </w:rPr>
              <w:t>) and two (2) acute endpoints.  The acute endpoints were converted using the Warne et al (2018) acute to chronic conversion ratio.</w:t>
            </w:r>
          </w:p>
          <w:p w14:paraId="3D2452D3" w14:textId="77777777" w:rsidR="005D001B" w:rsidRPr="00E8299A" w:rsidRDefault="005D001B" w:rsidP="00C753B8">
            <w:pPr>
              <w:spacing w:before="60" w:after="60" w:line="240" w:lineRule="auto"/>
              <w:ind w:left="825"/>
              <w:rPr>
                <w:sz w:val="18"/>
                <w:szCs w:val="18"/>
              </w:rPr>
            </w:pPr>
            <w:r w:rsidRPr="00E8299A">
              <w:rPr>
                <w:sz w:val="18"/>
                <w:szCs w:val="18"/>
              </w:rPr>
              <w:t xml:space="preserve">Warne et (2018) guidelines recommend that acute data should only be used if there are insufficient chronic data (i.e. &lt; 15 chronic datapoints). If there are 8 – 15 chronic datapoints, acute data probably should not be used. If there are limited chronic data (5 – 8 chronic datapoints), a case can be made for including acute data if that improves the reliability of the DGV as per table 7 in Warne et al (2018).  This is the approach adopted by ANZG (2020).  However, there are now numerous relevant (Australian marine species) chronic tests that would provide a far more robust data set for derivation of DGVs (e.g. see van Dam et al 2018). </w:t>
            </w:r>
          </w:p>
          <w:p w14:paraId="31907ECE" w14:textId="352372AE" w:rsidR="00D45F4C" w:rsidRPr="00C753B8" w:rsidRDefault="005D001B" w:rsidP="00C753B8">
            <w:pPr>
              <w:pStyle w:val="ListParagraph"/>
              <w:numPr>
                <w:ilvl w:val="0"/>
                <w:numId w:val="33"/>
              </w:numPr>
              <w:spacing w:before="60" w:after="60" w:line="240" w:lineRule="auto"/>
              <w:ind w:left="825" w:hanging="426"/>
              <w:rPr>
                <w:sz w:val="18"/>
                <w:szCs w:val="18"/>
              </w:rPr>
            </w:pPr>
            <w:r w:rsidRPr="00C753B8">
              <w:rPr>
                <w:sz w:val="18"/>
                <w:szCs w:val="18"/>
              </w:rPr>
              <w:t xml:space="preserve">One of the quality guidelines from Warne et al (2018) is a requirement for measured concentrations of toxicants. In the ANZG (2020) brief five (5) of the studies used total nominal concentrations.  Only one, Leigh-Smith et al (2018), considered potentially bioavailable forms of Fe in the test solution.  None of the other studies attempted any correlations between iron speciation (bioavailability) and toxicity.  </w:t>
            </w:r>
          </w:p>
        </w:tc>
        <w:tc>
          <w:tcPr>
            <w:tcW w:w="4111" w:type="dxa"/>
          </w:tcPr>
          <w:p w14:paraId="213E5964" w14:textId="2D360F2D" w:rsidR="005D001B" w:rsidRPr="006C3A77" w:rsidRDefault="005D001B" w:rsidP="005D001B">
            <w:pPr>
              <w:spacing w:before="60" w:after="60" w:line="240" w:lineRule="auto"/>
              <w:rPr>
                <w:iCs/>
                <w:sz w:val="18"/>
                <w:szCs w:val="18"/>
              </w:rPr>
            </w:pPr>
          </w:p>
          <w:p w14:paraId="493D369E" w14:textId="25CD279E" w:rsidR="005D001B" w:rsidRPr="006C3A77" w:rsidRDefault="00300E1E" w:rsidP="00C753B8">
            <w:pPr>
              <w:pStyle w:val="ListParagraph"/>
              <w:numPr>
                <w:ilvl w:val="0"/>
                <w:numId w:val="34"/>
              </w:numPr>
              <w:spacing w:before="60" w:after="60" w:line="240" w:lineRule="auto"/>
              <w:ind w:left="318" w:hanging="284"/>
              <w:rPr>
                <w:iCs/>
                <w:sz w:val="18"/>
                <w:szCs w:val="18"/>
              </w:rPr>
            </w:pPr>
            <w:r w:rsidRPr="006C3A77">
              <w:rPr>
                <w:iCs/>
                <w:sz w:val="18"/>
                <w:szCs w:val="18"/>
              </w:rPr>
              <w:t xml:space="preserve">Regarding the size of the dataset, refer to response to comment 2(b). </w:t>
            </w:r>
            <w:r w:rsidR="00C753B8" w:rsidRPr="006C3A77">
              <w:rPr>
                <w:iCs/>
                <w:sz w:val="18"/>
                <w:szCs w:val="18"/>
              </w:rPr>
              <w:t xml:space="preserve">While there are specific recommendations for the use of (converted) acute data in Warne et al. (2018), professional judgment is also often required to determine the </w:t>
            </w:r>
            <w:r w:rsidRPr="006C3A77">
              <w:rPr>
                <w:iCs/>
                <w:sz w:val="18"/>
                <w:szCs w:val="18"/>
              </w:rPr>
              <w:t xml:space="preserve">most appropriate and defensible </w:t>
            </w:r>
            <w:r w:rsidR="00C753B8" w:rsidRPr="006C3A77">
              <w:rPr>
                <w:iCs/>
                <w:sz w:val="18"/>
                <w:szCs w:val="18"/>
              </w:rPr>
              <w:t xml:space="preserve">composition of final datasets. </w:t>
            </w:r>
            <w:r w:rsidR="00D7561E">
              <w:rPr>
                <w:iCs/>
                <w:sz w:val="18"/>
                <w:szCs w:val="18"/>
              </w:rPr>
              <w:t>However, f</w:t>
            </w:r>
            <w:r w:rsidR="006C3A77">
              <w:rPr>
                <w:iCs/>
                <w:sz w:val="18"/>
                <w:szCs w:val="18"/>
              </w:rPr>
              <w:t xml:space="preserve">ollowing the collation of additional, recent data, the chronic toxicity dataset was of a sufficient size </w:t>
            </w:r>
            <w:r w:rsidR="00D7561E">
              <w:rPr>
                <w:iCs/>
                <w:sz w:val="18"/>
                <w:szCs w:val="18"/>
              </w:rPr>
              <w:t xml:space="preserve">(n = 16) </w:t>
            </w:r>
            <w:r w:rsidR="006C3A77">
              <w:rPr>
                <w:iCs/>
                <w:sz w:val="18"/>
                <w:szCs w:val="18"/>
              </w:rPr>
              <w:t>to no longer warrant the inclusion of the two (converted) acute toxicity values.</w:t>
            </w:r>
          </w:p>
          <w:p w14:paraId="7E4CB3C4" w14:textId="76C9C1F9" w:rsidR="00C753B8" w:rsidRPr="006C3A77" w:rsidRDefault="00C753B8" w:rsidP="00C753B8">
            <w:pPr>
              <w:spacing w:before="60" w:after="60" w:line="240" w:lineRule="auto"/>
              <w:ind w:left="318"/>
              <w:rPr>
                <w:iCs/>
                <w:sz w:val="18"/>
                <w:szCs w:val="18"/>
              </w:rPr>
            </w:pPr>
            <w:r w:rsidRPr="006C3A77">
              <w:rPr>
                <w:iCs/>
                <w:sz w:val="18"/>
                <w:szCs w:val="18"/>
              </w:rPr>
              <w:t xml:space="preserve">The comment </w:t>
            </w:r>
            <w:r w:rsidR="006C3A77">
              <w:rPr>
                <w:iCs/>
                <w:sz w:val="18"/>
                <w:szCs w:val="18"/>
              </w:rPr>
              <w:t xml:space="preserve">also </w:t>
            </w:r>
            <w:r w:rsidRPr="006C3A77">
              <w:rPr>
                <w:iCs/>
                <w:sz w:val="18"/>
                <w:szCs w:val="18"/>
              </w:rPr>
              <w:t>suggest</w:t>
            </w:r>
            <w:r w:rsidR="006C3A77">
              <w:rPr>
                <w:iCs/>
                <w:sz w:val="18"/>
                <w:szCs w:val="18"/>
              </w:rPr>
              <w:t>ed</w:t>
            </w:r>
            <w:r w:rsidRPr="006C3A77">
              <w:rPr>
                <w:iCs/>
                <w:sz w:val="18"/>
                <w:szCs w:val="18"/>
              </w:rPr>
              <w:t xml:space="preserve"> that additional toxicity testing be carried out using new test methods that have been developed in Australia in the recent past. While this may be a valuable exercise, it is unclear who should fund this work. At this stage, and given the now larger dataset used for the final derivation, the generation of additional toxicity data would seem </w:t>
            </w:r>
            <w:r w:rsidR="00862E55" w:rsidRPr="006C3A77">
              <w:rPr>
                <w:iCs/>
                <w:sz w:val="18"/>
                <w:szCs w:val="18"/>
              </w:rPr>
              <w:t xml:space="preserve">more </w:t>
            </w:r>
            <w:r w:rsidRPr="006C3A77">
              <w:rPr>
                <w:iCs/>
                <w:sz w:val="18"/>
                <w:szCs w:val="18"/>
              </w:rPr>
              <w:t xml:space="preserve">desirable rather than essential. The generation of additional data would be welcomed and the DGVs could be updated accordingly in the future. </w:t>
            </w:r>
          </w:p>
          <w:p w14:paraId="20F81F91" w14:textId="17DAB560" w:rsidR="00D45F4C" w:rsidRPr="006C3A77" w:rsidRDefault="005D001B" w:rsidP="00C753B8">
            <w:pPr>
              <w:pStyle w:val="ListParagraph"/>
              <w:numPr>
                <w:ilvl w:val="0"/>
                <w:numId w:val="34"/>
              </w:numPr>
              <w:spacing w:before="60" w:after="60" w:line="240" w:lineRule="auto"/>
              <w:ind w:left="318" w:hanging="284"/>
              <w:rPr>
                <w:sz w:val="18"/>
                <w:szCs w:val="18"/>
                <w:lang w:val="en-GB"/>
              </w:rPr>
            </w:pPr>
            <w:r w:rsidRPr="006C3A77">
              <w:rPr>
                <w:iCs/>
                <w:sz w:val="18"/>
                <w:szCs w:val="18"/>
              </w:rPr>
              <w:t xml:space="preserve">Regarding the inclusion of studies based on nominal iron concentrations, such studies are not necessarily automatically rejected from the derivation. </w:t>
            </w:r>
            <w:r w:rsidR="00862E55" w:rsidRPr="006C3A77">
              <w:rPr>
                <w:iCs/>
                <w:sz w:val="18"/>
                <w:szCs w:val="18"/>
              </w:rPr>
              <w:t xml:space="preserve">In the case of iron in toxicity tests, it would typically be in the form of </w:t>
            </w:r>
            <w:r w:rsidR="00862E55" w:rsidRPr="006C3A77">
              <w:rPr>
                <w:iCs/>
                <w:sz w:val="18"/>
                <w:szCs w:val="18"/>
              </w:rPr>
              <w:lastRenderedPageBreak/>
              <w:t xml:space="preserve">dissolved, colloidal and precipitated iron, </w:t>
            </w:r>
            <w:r w:rsidR="00136222" w:rsidRPr="006C3A77">
              <w:rPr>
                <w:iCs/>
                <w:sz w:val="18"/>
                <w:szCs w:val="18"/>
              </w:rPr>
              <w:t>all</w:t>
            </w:r>
            <w:r w:rsidR="00862E55" w:rsidRPr="006C3A77">
              <w:rPr>
                <w:iCs/>
                <w:sz w:val="18"/>
                <w:szCs w:val="18"/>
              </w:rPr>
              <w:t xml:space="preserve"> of which would be potentially bioavailable. Overall, and given the limited size of the toxicity dataset, it was considered acceptable to accept some data based on nominal concentrations. </w:t>
            </w:r>
          </w:p>
        </w:tc>
        <w:tc>
          <w:tcPr>
            <w:tcW w:w="3040" w:type="dxa"/>
          </w:tcPr>
          <w:p w14:paraId="7937FD04" w14:textId="4F174103" w:rsidR="005D001B" w:rsidRDefault="005D001B" w:rsidP="0073723E">
            <w:pPr>
              <w:pStyle w:val="ListParagraph"/>
              <w:numPr>
                <w:ilvl w:val="0"/>
                <w:numId w:val="35"/>
              </w:numPr>
              <w:spacing w:before="60" w:after="60" w:line="240" w:lineRule="auto"/>
              <w:ind w:left="323" w:hanging="323"/>
              <w:contextualSpacing w:val="0"/>
              <w:rPr>
                <w:iCs/>
                <w:sz w:val="18"/>
                <w:szCs w:val="18"/>
              </w:rPr>
            </w:pPr>
            <w:r w:rsidRPr="00797E04">
              <w:rPr>
                <w:iCs/>
                <w:sz w:val="18"/>
                <w:szCs w:val="18"/>
              </w:rPr>
              <w:lastRenderedPageBreak/>
              <w:t xml:space="preserve">Refer to action </w:t>
            </w:r>
            <w:r w:rsidR="001C0AC1" w:rsidRPr="00797E04">
              <w:rPr>
                <w:iCs/>
                <w:sz w:val="18"/>
                <w:szCs w:val="18"/>
              </w:rPr>
              <w:t xml:space="preserve">taken </w:t>
            </w:r>
            <w:r w:rsidRPr="00797E04">
              <w:rPr>
                <w:iCs/>
                <w:sz w:val="18"/>
                <w:szCs w:val="18"/>
              </w:rPr>
              <w:t>for comment 2</w:t>
            </w:r>
            <w:r w:rsidR="001C0AC1" w:rsidRPr="00797E04">
              <w:rPr>
                <w:iCs/>
                <w:sz w:val="18"/>
                <w:szCs w:val="18"/>
              </w:rPr>
              <w:t>(b).</w:t>
            </w:r>
            <w:r w:rsidR="00797E04">
              <w:rPr>
                <w:iCs/>
                <w:sz w:val="18"/>
                <w:szCs w:val="18"/>
              </w:rPr>
              <w:t xml:space="preserve"> Also, the two acceptable (converted) acute values were </w:t>
            </w:r>
            <w:r w:rsidR="00E908AA">
              <w:rPr>
                <w:iCs/>
                <w:sz w:val="18"/>
                <w:szCs w:val="18"/>
              </w:rPr>
              <w:t>removed from</w:t>
            </w:r>
            <w:r w:rsidR="00797E04">
              <w:rPr>
                <w:iCs/>
                <w:sz w:val="18"/>
                <w:szCs w:val="18"/>
              </w:rPr>
              <w:t xml:space="preserve"> the final dataset. </w:t>
            </w:r>
            <w:r w:rsidR="003D2A27">
              <w:rPr>
                <w:iCs/>
                <w:sz w:val="18"/>
                <w:szCs w:val="18"/>
              </w:rPr>
              <w:t xml:space="preserve">Following the inclusion of additional data, </w:t>
            </w:r>
            <w:r w:rsidR="00797E04">
              <w:rPr>
                <w:iCs/>
                <w:sz w:val="18"/>
                <w:szCs w:val="18"/>
              </w:rPr>
              <w:t xml:space="preserve">the final toxicity dataset was </w:t>
            </w:r>
            <w:r w:rsidR="003D2A27">
              <w:rPr>
                <w:iCs/>
                <w:sz w:val="18"/>
                <w:szCs w:val="18"/>
              </w:rPr>
              <w:t xml:space="preserve">considered to be </w:t>
            </w:r>
            <w:r w:rsidR="00797E04">
              <w:rPr>
                <w:iCs/>
                <w:sz w:val="18"/>
                <w:szCs w:val="18"/>
              </w:rPr>
              <w:t xml:space="preserve">of a sufficient size to derive DGVs for iron in marine water. </w:t>
            </w:r>
          </w:p>
          <w:p w14:paraId="0F5D73BD" w14:textId="41822466" w:rsidR="00C05CFC" w:rsidRPr="00CA0F3F" w:rsidRDefault="00797E04" w:rsidP="00C05CFC">
            <w:pPr>
              <w:pStyle w:val="ListParagraph"/>
              <w:numPr>
                <w:ilvl w:val="0"/>
                <w:numId w:val="35"/>
              </w:numPr>
              <w:spacing w:before="60" w:after="60" w:line="240" w:lineRule="auto"/>
              <w:ind w:left="323" w:hanging="323"/>
              <w:contextualSpacing w:val="0"/>
              <w:rPr>
                <w:iCs/>
                <w:sz w:val="18"/>
                <w:szCs w:val="18"/>
              </w:rPr>
            </w:pPr>
            <w:r>
              <w:rPr>
                <w:iCs/>
                <w:sz w:val="18"/>
                <w:szCs w:val="18"/>
              </w:rPr>
              <w:t>S</w:t>
            </w:r>
            <w:r w:rsidR="00180DB1" w:rsidRPr="00797E04">
              <w:rPr>
                <w:iCs/>
                <w:sz w:val="18"/>
                <w:szCs w:val="18"/>
              </w:rPr>
              <w:t xml:space="preserve">ome </w:t>
            </w:r>
            <w:r>
              <w:rPr>
                <w:iCs/>
                <w:sz w:val="18"/>
                <w:szCs w:val="18"/>
              </w:rPr>
              <w:t>toxicity values based on</w:t>
            </w:r>
            <w:r w:rsidR="00180DB1" w:rsidRPr="00797E04">
              <w:rPr>
                <w:iCs/>
                <w:sz w:val="18"/>
                <w:szCs w:val="18"/>
              </w:rPr>
              <w:t xml:space="preserve"> nominal concentrations </w:t>
            </w:r>
            <w:r>
              <w:rPr>
                <w:iCs/>
                <w:sz w:val="18"/>
                <w:szCs w:val="18"/>
              </w:rPr>
              <w:t xml:space="preserve">were </w:t>
            </w:r>
            <w:r w:rsidR="00180DB1" w:rsidRPr="00797E04">
              <w:rPr>
                <w:iCs/>
                <w:sz w:val="18"/>
                <w:szCs w:val="18"/>
              </w:rPr>
              <w:t>accepted.</w:t>
            </w:r>
            <w:r>
              <w:rPr>
                <w:iCs/>
                <w:sz w:val="18"/>
                <w:szCs w:val="18"/>
              </w:rPr>
              <w:t xml:space="preserve"> The benefits of this were deemed to outweigh any limitations.</w:t>
            </w:r>
            <w:r w:rsidR="00136222">
              <w:rPr>
                <w:iCs/>
                <w:sz w:val="18"/>
                <w:szCs w:val="18"/>
              </w:rPr>
              <w:t xml:space="preserve"> Moreover, text was added to the technical brief clarifying that iron in toxicity tests will typically comprise dissolved, colloidal and precipitated iron.</w:t>
            </w:r>
          </w:p>
        </w:tc>
      </w:tr>
      <w:tr w:rsidR="00D45F4C" w:rsidRPr="003C1402" w14:paraId="7C351ED2" w14:textId="77777777" w:rsidTr="0027035C">
        <w:tc>
          <w:tcPr>
            <w:tcW w:w="1194" w:type="dxa"/>
          </w:tcPr>
          <w:p w14:paraId="6CAD57AB" w14:textId="77777777" w:rsidR="00D45F4C" w:rsidRPr="00D45F4C" w:rsidRDefault="00D45F4C" w:rsidP="00040781">
            <w:pPr>
              <w:spacing w:before="60" w:after="60" w:line="240" w:lineRule="auto"/>
              <w:jc w:val="center"/>
              <w:rPr>
                <w:b/>
                <w:bCs/>
                <w:sz w:val="18"/>
                <w:szCs w:val="18"/>
                <w:lang w:val="en-GB"/>
              </w:rPr>
            </w:pPr>
          </w:p>
        </w:tc>
        <w:tc>
          <w:tcPr>
            <w:tcW w:w="5605" w:type="dxa"/>
          </w:tcPr>
          <w:p w14:paraId="23308687" w14:textId="77777777" w:rsidR="00247577" w:rsidRPr="00247577" w:rsidRDefault="00247577" w:rsidP="005D37AE">
            <w:pPr>
              <w:pStyle w:val="ListParagraph"/>
              <w:numPr>
                <w:ilvl w:val="0"/>
                <w:numId w:val="18"/>
              </w:numPr>
              <w:spacing w:before="60" w:after="60" w:line="240" w:lineRule="auto"/>
              <w:ind w:left="397" w:hanging="397"/>
              <w:contextualSpacing w:val="0"/>
              <w:rPr>
                <w:sz w:val="18"/>
                <w:szCs w:val="18"/>
              </w:rPr>
            </w:pPr>
            <w:r w:rsidRPr="00247577">
              <w:rPr>
                <w:b/>
                <w:sz w:val="18"/>
                <w:szCs w:val="18"/>
              </w:rPr>
              <w:t>The lack of studies that characterised the bioavailability of Fe in the toxicity tests or in any other studies</w:t>
            </w:r>
            <w:r w:rsidRPr="00247577">
              <w:rPr>
                <w:sz w:val="18"/>
                <w:szCs w:val="18"/>
              </w:rPr>
              <w:t>.</w:t>
            </w:r>
          </w:p>
          <w:p w14:paraId="424C0B59" w14:textId="77777777" w:rsidR="0073723E" w:rsidRDefault="00247577" w:rsidP="005D37AE">
            <w:pPr>
              <w:pStyle w:val="ListParagraph"/>
              <w:numPr>
                <w:ilvl w:val="0"/>
                <w:numId w:val="36"/>
              </w:numPr>
              <w:spacing w:before="60" w:after="60" w:line="240" w:lineRule="auto"/>
              <w:ind w:left="817" w:hanging="420"/>
              <w:contextualSpacing w:val="0"/>
              <w:rPr>
                <w:sz w:val="18"/>
                <w:szCs w:val="18"/>
              </w:rPr>
            </w:pPr>
            <w:r w:rsidRPr="0073723E">
              <w:rPr>
                <w:sz w:val="18"/>
                <w:szCs w:val="18"/>
              </w:rPr>
              <w:t xml:space="preserve">Only one of the studies used by ANZG (2020) reported characterisation of the iron in the toxicity study. No other studies are reported in ANZG (2020) that characterise (size fractionation and/or speciation) the iron in relation to potential bioavailability in the test solutions. </w:t>
            </w:r>
          </w:p>
          <w:p w14:paraId="51091F60" w14:textId="36ED225D" w:rsidR="00D45F4C" w:rsidRPr="0073723E" w:rsidRDefault="00247577" w:rsidP="0073723E">
            <w:pPr>
              <w:pStyle w:val="ListParagraph"/>
              <w:numPr>
                <w:ilvl w:val="0"/>
                <w:numId w:val="36"/>
              </w:numPr>
              <w:spacing w:before="60" w:after="60" w:line="240" w:lineRule="auto"/>
              <w:ind w:left="817" w:hanging="420"/>
              <w:contextualSpacing w:val="0"/>
              <w:rPr>
                <w:sz w:val="18"/>
                <w:szCs w:val="18"/>
              </w:rPr>
            </w:pPr>
            <w:r w:rsidRPr="0073723E">
              <w:rPr>
                <w:sz w:val="18"/>
                <w:szCs w:val="18"/>
              </w:rPr>
              <w:t>In addition, there are no studies presented with natural marine coastal waters.  The studies all used filtered seawater spiked with iron salts (ferric chloride or ferrous sulfate) which are not representative of natural coastal marine waters, which will generally be dominated by aged, mineralised forms of iron.  The bioavailability of these natural particulate forms of iron is not understood and requires further study in relation to toxicity.</w:t>
            </w:r>
          </w:p>
        </w:tc>
        <w:tc>
          <w:tcPr>
            <w:tcW w:w="4111" w:type="dxa"/>
          </w:tcPr>
          <w:p w14:paraId="7E41BDF5" w14:textId="77777777" w:rsidR="0073723E" w:rsidRDefault="0073723E" w:rsidP="00247577">
            <w:pPr>
              <w:spacing w:before="60" w:after="60" w:line="240" w:lineRule="auto"/>
              <w:rPr>
                <w:iCs/>
                <w:sz w:val="18"/>
                <w:szCs w:val="18"/>
              </w:rPr>
            </w:pPr>
          </w:p>
          <w:p w14:paraId="7F74D045" w14:textId="7C68F43C" w:rsidR="005D37AE" w:rsidRDefault="0073723E" w:rsidP="00C22284">
            <w:pPr>
              <w:pStyle w:val="ListParagraph"/>
              <w:numPr>
                <w:ilvl w:val="0"/>
                <w:numId w:val="41"/>
              </w:numPr>
              <w:spacing w:before="60" w:after="60" w:line="240" w:lineRule="auto"/>
              <w:ind w:left="318" w:hanging="284"/>
              <w:contextualSpacing w:val="0"/>
              <w:rPr>
                <w:iCs/>
                <w:sz w:val="18"/>
                <w:szCs w:val="18"/>
              </w:rPr>
            </w:pPr>
            <w:r w:rsidRPr="0073723E">
              <w:rPr>
                <w:iCs/>
                <w:sz w:val="18"/>
                <w:szCs w:val="18"/>
              </w:rPr>
              <w:t>Refer to response</w:t>
            </w:r>
            <w:r w:rsidR="00136222">
              <w:rPr>
                <w:iCs/>
                <w:sz w:val="18"/>
                <w:szCs w:val="18"/>
              </w:rPr>
              <w:t>s</w:t>
            </w:r>
            <w:r w:rsidRPr="0073723E">
              <w:rPr>
                <w:iCs/>
                <w:sz w:val="18"/>
                <w:szCs w:val="18"/>
              </w:rPr>
              <w:t xml:space="preserve"> </w:t>
            </w:r>
            <w:r w:rsidR="00C22284">
              <w:rPr>
                <w:iCs/>
                <w:sz w:val="18"/>
                <w:szCs w:val="18"/>
              </w:rPr>
              <w:t>to</w:t>
            </w:r>
            <w:r w:rsidRPr="0073723E">
              <w:rPr>
                <w:iCs/>
                <w:sz w:val="18"/>
                <w:szCs w:val="18"/>
              </w:rPr>
              <w:t xml:space="preserve"> comment</w:t>
            </w:r>
            <w:r w:rsidR="00136222">
              <w:rPr>
                <w:iCs/>
                <w:sz w:val="18"/>
                <w:szCs w:val="18"/>
              </w:rPr>
              <w:t>s</w:t>
            </w:r>
            <w:r w:rsidRPr="0073723E">
              <w:rPr>
                <w:iCs/>
                <w:sz w:val="18"/>
                <w:szCs w:val="18"/>
              </w:rPr>
              <w:t xml:space="preserve"> 2(a</w:t>
            </w:r>
            <w:r w:rsidR="005D37AE">
              <w:rPr>
                <w:iCs/>
                <w:sz w:val="18"/>
                <w:szCs w:val="18"/>
              </w:rPr>
              <w:t>)</w:t>
            </w:r>
            <w:r w:rsidR="00247577" w:rsidRPr="0073723E">
              <w:rPr>
                <w:iCs/>
                <w:sz w:val="18"/>
                <w:szCs w:val="18"/>
              </w:rPr>
              <w:t xml:space="preserve"> </w:t>
            </w:r>
            <w:r w:rsidR="00136222">
              <w:rPr>
                <w:iCs/>
                <w:sz w:val="18"/>
                <w:szCs w:val="18"/>
              </w:rPr>
              <w:t>and 7(b)</w:t>
            </w:r>
          </w:p>
          <w:p w14:paraId="474B2371" w14:textId="59B1278E" w:rsidR="00D45F4C" w:rsidRPr="005D37AE" w:rsidRDefault="00247577" w:rsidP="00C22284">
            <w:pPr>
              <w:pStyle w:val="ListParagraph"/>
              <w:numPr>
                <w:ilvl w:val="0"/>
                <w:numId w:val="41"/>
              </w:numPr>
              <w:spacing w:before="60" w:after="60" w:line="240" w:lineRule="auto"/>
              <w:ind w:left="318" w:hanging="284"/>
              <w:contextualSpacing w:val="0"/>
              <w:rPr>
                <w:iCs/>
                <w:sz w:val="18"/>
                <w:szCs w:val="18"/>
              </w:rPr>
            </w:pPr>
            <w:r w:rsidRPr="005D37AE">
              <w:rPr>
                <w:iCs/>
                <w:sz w:val="18"/>
                <w:szCs w:val="18"/>
              </w:rPr>
              <w:t xml:space="preserve">The aged, mineralised forms of iron mentioned in the comment </w:t>
            </w:r>
            <w:r w:rsidR="00136222">
              <w:rPr>
                <w:iCs/>
                <w:sz w:val="18"/>
                <w:szCs w:val="18"/>
              </w:rPr>
              <w:t>will</w:t>
            </w:r>
            <w:r w:rsidRPr="005D37AE">
              <w:rPr>
                <w:iCs/>
                <w:sz w:val="18"/>
                <w:szCs w:val="18"/>
              </w:rPr>
              <w:t xml:space="preserve"> not </w:t>
            </w:r>
            <w:r w:rsidR="00136222">
              <w:rPr>
                <w:iCs/>
                <w:sz w:val="18"/>
                <w:szCs w:val="18"/>
              </w:rPr>
              <w:t xml:space="preserve">be </w:t>
            </w:r>
            <w:r w:rsidRPr="005D37AE">
              <w:rPr>
                <w:iCs/>
                <w:sz w:val="18"/>
                <w:szCs w:val="18"/>
              </w:rPr>
              <w:t xml:space="preserve">captured by the refined pH 2 extraction method and, hence, should </w:t>
            </w:r>
            <w:r w:rsidR="00136222">
              <w:rPr>
                <w:iCs/>
                <w:sz w:val="18"/>
                <w:szCs w:val="18"/>
              </w:rPr>
              <w:t>not pose</w:t>
            </w:r>
            <w:r w:rsidRPr="005D37AE">
              <w:rPr>
                <w:iCs/>
                <w:sz w:val="18"/>
                <w:szCs w:val="18"/>
              </w:rPr>
              <w:t xml:space="preserve"> a problem when comparing environmental measurements with the DGVs.</w:t>
            </w:r>
            <w:r w:rsidR="004A55CD" w:rsidRPr="005D37AE">
              <w:rPr>
                <w:iCs/>
                <w:sz w:val="18"/>
                <w:szCs w:val="18"/>
              </w:rPr>
              <w:t xml:space="preserve"> Notably, </w:t>
            </w:r>
            <w:r w:rsidR="003915CB">
              <w:rPr>
                <w:iCs/>
                <w:sz w:val="18"/>
                <w:szCs w:val="18"/>
              </w:rPr>
              <w:t>a</w:t>
            </w:r>
            <w:r w:rsidR="003915CB" w:rsidRPr="000A4F9C">
              <w:rPr>
                <w:iCs/>
                <w:sz w:val="18"/>
                <w:szCs w:val="18"/>
              </w:rPr>
              <w:t xml:space="preserve">dditional research to correlate iron toxicity with the pH 2 extraction measurement </w:t>
            </w:r>
            <w:r w:rsidR="003915CB">
              <w:rPr>
                <w:iCs/>
                <w:sz w:val="18"/>
                <w:szCs w:val="18"/>
              </w:rPr>
              <w:t>was being prepared for publication</w:t>
            </w:r>
            <w:r w:rsidR="003915CB" w:rsidRPr="000A4F9C">
              <w:rPr>
                <w:iCs/>
                <w:sz w:val="18"/>
                <w:szCs w:val="18"/>
              </w:rPr>
              <w:t xml:space="preserve"> </w:t>
            </w:r>
            <w:r w:rsidR="003915CB">
              <w:rPr>
                <w:iCs/>
                <w:sz w:val="18"/>
                <w:szCs w:val="18"/>
              </w:rPr>
              <w:t xml:space="preserve">at the time of revisions of these DGVs </w:t>
            </w:r>
            <w:r w:rsidR="003915CB" w:rsidRPr="000A4F9C">
              <w:rPr>
                <w:iCs/>
                <w:sz w:val="18"/>
                <w:szCs w:val="18"/>
              </w:rPr>
              <w:t xml:space="preserve">as part of </w:t>
            </w:r>
            <w:r w:rsidR="003915CB">
              <w:rPr>
                <w:iCs/>
                <w:sz w:val="18"/>
                <w:szCs w:val="18"/>
              </w:rPr>
              <w:t xml:space="preserve">a </w:t>
            </w:r>
            <w:r w:rsidR="003915CB" w:rsidRPr="000A4F9C">
              <w:rPr>
                <w:iCs/>
                <w:sz w:val="18"/>
                <w:szCs w:val="18"/>
              </w:rPr>
              <w:t xml:space="preserve">PhD project </w:t>
            </w:r>
            <w:r w:rsidR="003915CB">
              <w:rPr>
                <w:iCs/>
                <w:sz w:val="18"/>
                <w:szCs w:val="18"/>
              </w:rPr>
              <w:t>at Southern Cross University (by Balsamo-Crespo)</w:t>
            </w:r>
            <w:r w:rsidR="003915CB" w:rsidRPr="000A4F9C">
              <w:rPr>
                <w:iCs/>
                <w:sz w:val="18"/>
                <w:szCs w:val="18"/>
              </w:rPr>
              <w:t xml:space="preserve">. </w:t>
            </w:r>
            <w:r w:rsidR="003915CB">
              <w:rPr>
                <w:iCs/>
                <w:sz w:val="18"/>
                <w:szCs w:val="18"/>
              </w:rPr>
              <w:t>Although the research is yet to be published,</w:t>
            </w:r>
            <w:r w:rsidR="003915CB" w:rsidRPr="007054EC">
              <w:rPr>
                <w:iCs/>
                <w:sz w:val="18"/>
                <w:szCs w:val="18"/>
              </w:rPr>
              <w:t xml:space="preserve"> a short summary of the findings </w:t>
            </w:r>
            <w:r w:rsidR="003915CB">
              <w:rPr>
                <w:iCs/>
                <w:sz w:val="18"/>
                <w:szCs w:val="18"/>
              </w:rPr>
              <w:t xml:space="preserve">has been included in </w:t>
            </w:r>
            <w:r w:rsidR="003915CB" w:rsidRPr="007054EC">
              <w:rPr>
                <w:iCs/>
                <w:sz w:val="18"/>
                <w:szCs w:val="18"/>
              </w:rPr>
              <w:t xml:space="preserve">Appendix C, while explicitly acknowledging that the work is currently unpublished but expected to be published in 2025. The results were positive in that the pH 2 method was a better predictor of toxicity than either a standard 0.45 um filtered or total recoverable iron method. This </w:t>
            </w:r>
            <w:r w:rsidR="003915CB">
              <w:rPr>
                <w:iCs/>
                <w:sz w:val="18"/>
                <w:szCs w:val="18"/>
              </w:rPr>
              <w:t xml:space="preserve">further </w:t>
            </w:r>
            <w:r w:rsidR="003915CB" w:rsidRPr="007054EC">
              <w:rPr>
                <w:iCs/>
                <w:sz w:val="18"/>
                <w:szCs w:val="18"/>
              </w:rPr>
              <w:t>supports the use of the pH 2 method</w:t>
            </w:r>
            <w:r w:rsidR="003915CB" w:rsidRPr="000A4F9C">
              <w:rPr>
                <w:iCs/>
                <w:sz w:val="18"/>
                <w:szCs w:val="18"/>
              </w:rPr>
              <w:t>.</w:t>
            </w:r>
            <w:r w:rsidR="004A55CD" w:rsidRPr="005D37AE">
              <w:rPr>
                <w:iCs/>
                <w:sz w:val="18"/>
                <w:szCs w:val="18"/>
              </w:rPr>
              <w:t xml:space="preserve"> </w:t>
            </w:r>
          </w:p>
        </w:tc>
        <w:tc>
          <w:tcPr>
            <w:tcW w:w="3040" w:type="dxa"/>
          </w:tcPr>
          <w:p w14:paraId="0DBBFFDA" w14:textId="77777777" w:rsidR="005D37AE" w:rsidRDefault="005D37AE" w:rsidP="00247577">
            <w:pPr>
              <w:spacing w:before="60" w:after="60" w:line="240" w:lineRule="auto"/>
              <w:rPr>
                <w:sz w:val="18"/>
                <w:szCs w:val="18"/>
              </w:rPr>
            </w:pPr>
          </w:p>
          <w:p w14:paraId="6C6D9605" w14:textId="32CF0266" w:rsidR="00247577" w:rsidRDefault="005D37AE" w:rsidP="00136222">
            <w:pPr>
              <w:pStyle w:val="ListParagraph"/>
              <w:numPr>
                <w:ilvl w:val="0"/>
                <w:numId w:val="38"/>
              </w:numPr>
              <w:spacing w:before="60" w:after="60" w:line="240" w:lineRule="auto"/>
              <w:ind w:left="324" w:hanging="284"/>
              <w:contextualSpacing w:val="0"/>
              <w:rPr>
                <w:iCs/>
                <w:sz w:val="18"/>
                <w:szCs w:val="18"/>
              </w:rPr>
            </w:pPr>
            <w:r>
              <w:rPr>
                <w:iCs/>
                <w:sz w:val="18"/>
                <w:szCs w:val="18"/>
              </w:rPr>
              <w:t>Refer to action</w:t>
            </w:r>
            <w:r w:rsidR="00051510">
              <w:rPr>
                <w:iCs/>
                <w:sz w:val="18"/>
                <w:szCs w:val="18"/>
              </w:rPr>
              <w:t>s</w:t>
            </w:r>
            <w:r>
              <w:rPr>
                <w:iCs/>
                <w:sz w:val="18"/>
                <w:szCs w:val="18"/>
              </w:rPr>
              <w:t xml:space="preserve"> tak</w:t>
            </w:r>
            <w:r w:rsidR="00136222">
              <w:rPr>
                <w:iCs/>
                <w:sz w:val="18"/>
                <w:szCs w:val="18"/>
              </w:rPr>
              <w:t>en</w:t>
            </w:r>
            <w:r>
              <w:rPr>
                <w:iCs/>
                <w:sz w:val="18"/>
                <w:szCs w:val="18"/>
              </w:rPr>
              <w:t xml:space="preserve"> for comment</w:t>
            </w:r>
            <w:r w:rsidR="00051510">
              <w:rPr>
                <w:iCs/>
                <w:sz w:val="18"/>
                <w:szCs w:val="18"/>
              </w:rPr>
              <w:t>s</w:t>
            </w:r>
            <w:r>
              <w:rPr>
                <w:iCs/>
                <w:sz w:val="18"/>
                <w:szCs w:val="18"/>
              </w:rPr>
              <w:t xml:space="preserve"> 2(a) </w:t>
            </w:r>
            <w:r w:rsidR="00051510">
              <w:rPr>
                <w:iCs/>
                <w:sz w:val="18"/>
                <w:szCs w:val="18"/>
              </w:rPr>
              <w:t xml:space="preserve">and 7(b). </w:t>
            </w:r>
          </w:p>
          <w:p w14:paraId="66058110" w14:textId="6E58D4DE" w:rsidR="005D37AE" w:rsidRPr="005D37AE" w:rsidRDefault="00136222" w:rsidP="00136222">
            <w:pPr>
              <w:pStyle w:val="ListParagraph"/>
              <w:numPr>
                <w:ilvl w:val="0"/>
                <w:numId w:val="38"/>
              </w:numPr>
              <w:spacing w:before="60" w:after="60" w:line="240" w:lineRule="auto"/>
              <w:ind w:left="324" w:hanging="284"/>
              <w:contextualSpacing w:val="0"/>
              <w:rPr>
                <w:iCs/>
                <w:sz w:val="18"/>
                <w:szCs w:val="18"/>
              </w:rPr>
            </w:pPr>
            <w:r>
              <w:rPr>
                <w:iCs/>
                <w:sz w:val="18"/>
                <w:szCs w:val="18"/>
              </w:rPr>
              <w:t>Refer to action taking for comment 2(a)</w:t>
            </w:r>
            <w:r w:rsidR="00051510">
              <w:rPr>
                <w:iCs/>
                <w:sz w:val="18"/>
                <w:szCs w:val="18"/>
              </w:rPr>
              <w:t xml:space="preserve"> and 7(b).</w:t>
            </w:r>
          </w:p>
        </w:tc>
      </w:tr>
      <w:tr w:rsidR="00D45F4C" w:rsidRPr="003C1402" w14:paraId="2516B3A2" w14:textId="77777777" w:rsidTr="0027035C">
        <w:tc>
          <w:tcPr>
            <w:tcW w:w="1194" w:type="dxa"/>
          </w:tcPr>
          <w:p w14:paraId="1CEC6098" w14:textId="77777777" w:rsidR="00D45F4C" w:rsidRPr="00D45F4C" w:rsidRDefault="00D45F4C" w:rsidP="00040781">
            <w:pPr>
              <w:spacing w:before="60" w:after="60" w:line="240" w:lineRule="auto"/>
              <w:jc w:val="center"/>
              <w:rPr>
                <w:b/>
                <w:bCs/>
                <w:sz w:val="18"/>
                <w:szCs w:val="18"/>
                <w:lang w:val="en-GB"/>
              </w:rPr>
            </w:pPr>
          </w:p>
        </w:tc>
        <w:tc>
          <w:tcPr>
            <w:tcW w:w="5605" w:type="dxa"/>
          </w:tcPr>
          <w:p w14:paraId="0E5431F4" w14:textId="713011E5" w:rsidR="00641368" w:rsidRPr="00641368" w:rsidRDefault="00641368" w:rsidP="003D68B3">
            <w:pPr>
              <w:pStyle w:val="ListParagraph"/>
              <w:numPr>
                <w:ilvl w:val="0"/>
                <w:numId w:val="18"/>
              </w:numPr>
              <w:spacing w:before="60" w:after="60" w:line="240" w:lineRule="auto"/>
              <w:ind w:left="399" w:hanging="399"/>
              <w:contextualSpacing w:val="0"/>
              <w:rPr>
                <w:sz w:val="18"/>
                <w:szCs w:val="18"/>
              </w:rPr>
            </w:pPr>
            <w:r w:rsidRPr="00641368">
              <w:rPr>
                <w:b/>
                <w:sz w:val="18"/>
                <w:szCs w:val="18"/>
              </w:rPr>
              <w:t>The recommended analytical method for “total” iron (pH2 extractable) has not been validated</w:t>
            </w:r>
          </w:p>
          <w:p w14:paraId="4F0D20A0" w14:textId="7BA324EE" w:rsidR="00641368" w:rsidRPr="00C22284" w:rsidRDefault="00641368" w:rsidP="00C22284">
            <w:pPr>
              <w:spacing w:before="60" w:after="60" w:line="240" w:lineRule="auto"/>
              <w:ind w:left="399"/>
              <w:rPr>
                <w:sz w:val="18"/>
                <w:szCs w:val="18"/>
              </w:rPr>
            </w:pPr>
            <w:r w:rsidRPr="00C22284">
              <w:rPr>
                <w:sz w:val="18"/>
                <w:szCs w:val="18"/>
              </w:rPr>
              <w:t>ANZG (2020) has not presented any data that validates the relationship between toxicity and the concentrations of iron measured using the proposed “total” iron method.  There are no studies presented that have investigated different extraction methods to assess iron bioavailability.</w:t>
            </w:r>
          </w:p>
          <w:p w14:paraId="48FA23A7" w14:textId="77777777" w:rsidR="00D45F4C" w:rsidRDefault="00641368" w:rsidP="00C22284">
            <w:pPr>
              <w:spacing w:before="60" w:after="60" w:line="240" w:lineRule="auto"/>
              <w:ind w:left="399"/>
              <w:rPr>
                <w:sz w:val="18"/>
                <w:szCs w:val="18"/>
              </w:rPr>
            </w:pPr>
            <w:r w:rsidRPr="00E8299A">
              <w:rPr>
                <w:sz w:val="18"/>
                <w:szCs w:val="18"/>
              </w:rPr>
              <w:lastRenderedPageBreak/>
              <w:t xml:space="preserve">There has been an extensive research program based in the USA on aluminium toxicity in freshwater which has reported a pH4 buffer extraction as best representing the toxic fraction of aluminium (Rodriguez et al. 2019).  While this extract could be applicable for iron, this research project provides a model for the research required to develop more relevant and robust DGVs for iron.  </w:t>
            </w:r>
          </w:p>
          <w:p w14:paraId="6142232D" w14:textId="77777777" w:rsidR="00574701" w:rsidRPr="00574701" w:rsidRDefault="00574701" w:rsidP="00C22284">
            <w:pPr>
              <w:spacing w:before="60" w:after="60" w:line="240" w:lineRule="auto"/>
              <w:ind w:left="399"/>
              <w:rPr>
                <w:sz w:val="18"/>
                <w:szCs w:val="18"/>
              </w:rPr>
            </w:pPr>
            <w:r w:rsidRPr="00574701">
              <w:rPr>
                <w:sz w:val="18"/>
                <w:szCs w:val="18"/>
              </w:rPr>
              <w:t>Notwithstanding the validity of the method, there are a number of aspects of this type of method that need validation and standardisation, which have also not been considered in ANZG (2020):</w:t>
            </w:r>
          </w:p>
          <w:p w14:paraId="414C5ACD" w14:textId="77777777" w:rsidR="00574701" w:rsidRPr="00574701" w:rsidRDefault="00574701" w:rsidP="007439DF">
            <w:pPr>
              <w:numPr>
                <w:ilvl w:val="0"/>
                <w:numId w:val="19"/>
              </w:numPr>
              <w:spacing w:before="60" w:after="60" w:line="240" w:lineRule="auto"/>
              <w:ind w:left="962" w:hanging="283"/>
              <w:rPr>
                <w:sz w:val="18"/>
                <w:szCs w:val="18"/>
              </w:rPr>
            </w:pPr>
            <w:r w:rsidRPr="00574701">
              <w:rPr>
                <w:sz w:val="18"/>
                <w:szCs w:val="18"/>
              </w:rPr>
              <w:t>How long after collection of the unfiltered sample does it need to be acidified to pH2 (holding time);</w:t>
            </w:r>
          </w:p>
          <w:p w14:paraId="29444211" w14:textId="77777777" w:rsidR="00574701" w:rsidRPr="00574701" w:rsidRDefault="00574701" w:rsidP="007439DF">
            <w:pPr>
              <w:numPr>
                <w:ilvl w:val="0"/>
                <w:numId w:val="19"/>
              </w:numPr>
              <w:spacing w:before="60" w:after="60" w:line="240" w:lineRule="auto"/>
              <w:ind w:left="962" w:hanging="283"/>
              <w:rPr>
                <w:sz w:val="18"/>
                <w:szCs w:val="18"/>
              </w:rPr>
            </w:pPr>
            <w:r w:rsidRPr="00574701">
              <w:rPr>
                <w:sz w:val="18"/>
                <w:szCs w:val="18"/>
              </w:rPr>
              <w:t>How long is the pH2 extraction step (1h, 12h, 24h shake at RT and then filter to &lt;0.45µm)?  Unpublished data shows substantial increase in iron concentration with time, which is probably site dependent.</w:t>
            </w:r>
          </w:p>
          <w:p w14:paraId="3AA7469D" w14:textId="77777777" w:rsidR="00574701" w:rsidRPr="00574701" w:rsidRDefault="00574701" w:rsidP="007439DF">
            <w:pPr>
              <w:numPr>
                <w:ilvl w:val="0"/>
                <w:numId w:val="19"/>
              </w:numPr>
              <w:spacing w:before="60" w:after="60" w:line="240" w:lineRule="auto"/>
              <w:ind w:left="962" w:hanging="283"/>
              <w:rPr>
                <w:sz w:val="18"/>
                <w:szCs w:val="18"/>
              </w:rPr>
            </w:pPr>
            <w:r w:rsidRPr="00574701">
              <w:rPr>
                <w:sz w:val="18"/>
                <w:szCs w:val="18"/>
              </w:rPr>
              <w:t xml:space="preserve">What acid is to be used for the acidification? </w:t>
            </w:r>
          </w:p>
          <w:p w14:paraId="334255E6" w14:textId="18029B16" w:rsidR="00574701" w:rsidRPr="00641368" w:rsidRDefault="00574701" w:rsidP="00574701">
            <w:pPr>
              <w:spacing w:before="60" w:after="60" w:line="240" w:lineRule="auto"/>
              <w:ind w:left="397"/>
              <w:rPr>
                <w:sz w:val="18"/>
                <w:szCs w:val="18"/>
              </w:rPr>
            </w:pPr>
            <w:r w:rsidRPr="00574701">
              <w:rPr>
                <w:sz w:val="18"/>
                <w:szCs w:val="18"/>
              </w:rPr>
              <w:t>This will all need to be resolved in order for commercial (NATA) laboratories to develop a method that</w:t>
            </w:r>
            <w:r>
              <w:rPr>
                <w:sz w:val="18"/>
                <w:szCs w:val="18"/>
              </w:rPr>
              <w:t xml:space="preserve"> </w:t>
            </w:r>
            <w:r w:rsidRPr="00E8299A">
              <w:rPr>
                <w:sz w:val="18"/>
                <w:szCs w:val="18"/>
              </w:rPr>
              <w:t>can be accredited</w:t>
            </w:r>
            <w:r>
              <w:rPr>
                <w:sz w:val="18"/>
                <w:szCs w:val="18"/>
              </w:rPr>
              <w:t>.</w:t>
            </w:r>
          </w:p>
        </w:tc>
        <w:tc>
          <w:tcPr>
            <w:tcW w:w="4111" w:type="dxa"/>
          </w:tcPr>
          <w:p w14:paraId="6FCE27C6" w14:textId="1C167A3D" w:rsidR="00D45F4C" w:rsidRPr="00C22284" w:rsidRDefault="00C22284" w:rsidP="00C22284">
            <w:pPr>
              <w:spacing w:before="60" w:after="60" w:line="240" w:lineRule="auto"/>
              <w:rPr>
                <w:sz w:val="18"/>
                <w:szCs w:val="18"/>
              </w:rPr>
            </w:pPr>
            <w:r w:rsidRPr="00C22284">
              <w:rPr>
                <w:iCs/>
                <w:sz w:val="18"/>
                <w:szCs w:val="18"/>
              </w:rPr>
              <w:lastRenderedPageBreak/>
              <w:t xml:space="preserve">Refer to response </w:t>
            </w:r>
            <w:r>
              <w:rPr>
                <w:iCs/>
                <w:sz w:val="18"/>
                <w:szCs w:val="18"/>
              </w:rPr>
              <w:t>to</w:t>
            </w:r>
            <w:r w:rsidRPr="00C22284">
              <w:rPr>
                <w:iCs/>
                <w:sz w:val="18"/>
                <w:szCs w:val="18"/>
              </w:rPr>
              <w:t xml:space="preserve"> comment 2(a). The method validation project addressed the issues raised in the comment as well as other aspects of the method. </w:t>
            </w:r>
            <w:r>
              <w:rPr>
                <w:iCs/>
                <w:sz w:val="18"/>
                <w:szCs w:val="18"/>
              </w:rPr>
              <w:t xml:space="preserve">Details can be found in both </w:t>
            </w:r>
            <w:r w:rsidRPr="000A4F9C">
              <w:rPr>
                <w:iCs/>
                <w:sz w:val="18"/>
                <w:szCs w:val="18"/>
              </w:rPr>
              <w:t xml:space="preserve">Balsamo-Crespo et al. </w:t>
            </w:r>
            <w:r>
              <w:rPr>
                <w:iCs/>
                <w:sz w:val="18"/>
                <w:szCs w:val="18"/>
              </w:rPr>
              <w:t>(</w:t>
            </w:r>
            <w:r w:rsidRPr="000A4F9C">
              <w:rPr>
                <w:iCs/>
                <w:sz w:val="18"/>
                <w:szCs w:val="18"/>
              </w:rPr>
              <w:t>2023</w:t>
            </w:r>
            <w:r>
              <w:rPr>
                <w:iCs/>
                <w:sz w:val="18"/>
                <w:szCs w:val="18"/>
              </w:rPr>
              <w:t>) and</w:t>
            </w:r>
            <w:r w:rsidRPr="000A4F9C">
              <w:rPr>
                <w:iCs/>
                <w:sz w:val="18"/>
                <w:szCs w:val="18"/>
              </w:rPr>
              <w:t xml:space="preserve"> ANZG </w:t>
            </w:r>
            <w:r>
              <w:rPr>
                <w:iCs/>
                <w:sz w:val="18"/>
                <w:szCs w:val="18"/>
              </w:rPr>
              <w:t>(</w:t>
            </w:r>
            <w:r w:rsidRPr="000A4F9C">
              <w:rPr>
                <w:iCs/>
                <w:sz w:val="18"/>
                <w:szCs w:val="18"/>
              </w:rPr>
              <w:t>202</w:t>
            </w:r>
            <w:r w:rsidR="000F7F99">
              <w:rPr>
                <w:iCs/>
                <w:sz w:val="18"/>
                <w:szCs w:val="18"/>
              </w:rPr>
              <w:t>5</w:t>
            </w:r>
            <w:r>
              <w:rPr>
                <w:iCs/>
                <w:sz w:val="18"/>
                <w:szCs w:val="18"/>
              </w:rPr>
              <w:t>).</w:t>
            </w:r>
          </w:p>
        </w:tc>
        <w:tc>
          <w:tcPr>
            <w:tcW w:w="3040" w:type="dxa"/>
          </w:tcPr>
          <w:p w14:paraId="12E6389E" w14:textId="3F59CBBE" w:rsidR="009174BB" w:rsidRPr="00D45F4C" w:rsidRDefault="00641368" w:rsidP="00040781">
            <w:pPr>
              <w:spacing w:before="60" w:after="60" w:line="240" w:lineRule="auto"/>
              <w:rPr>
                <w:sz w:val="18"/>
                <w:szCs w:val="18"/>
              </w:rPr>
            </w:pPr>
            <w:r>
              <w:rPr>
                <w:sz w:val="18"/>
                <w:szCs w:val="18"/>
              </w:rPr>
              <w:t>Refer to action</w:t>
            </w:r>
            <w:r w:rsidR="00111866">
              <w:rPr>
                <w:sz w:val="18"/>
                <w:szCs w:val="18"/>
              </w:rPr>
              <w:t xml:space="preserve"> taken</w:t>
            </w:r>
            <w:r>
              <w:rPr>
                <w:sz w:val="18"/>
                <w:szCs w:val="18"/>
              </w:rPr>
              <w:t xml:space="preserve"> for comment </w:t>
            </w:r>
            <w:r w:rsidR="00111866">
              <w:rPr>
                <w:sz w:val="18"/>
                <w:szCs w:val="18"/>
              </w:rPr>
              <w:t>2(a)</w:t>
            </w:r>
            <w:r>
              <w:rPr>
                <w:sz w:val="18"/>
                <w:szCs w:val="18"/>
              </w:rPr>
              <w:t>.</w:t>
            </w:r>
          </w:p>
        </w:tc>
      </w:tr>
      <w:tr w:rsidR="00E25206" w:rsidRPr="003C1402" w14:paraId="484B599D" w14:textId="77777777" w:rsidTr="0027035C">
        <w:tc>
          <w:tcPr>
            <w:tcW w:w="1194" w:type="dxa"/>
          </w:tcPr>
          <w:p w14:paraId="72F60419" w14:textId="77777777" w:rsidR="00E25206" w:rsidRPr="00D45F4C" w:rsidRDefault="00E25206" w:rsidP="00E25206">
            <w:pPr>
              <w:spacing w:before="60" w:after="60" w:line="240" w:lineRule="auto"/>
              <w:jc w:val="center"/>
              <w:rPr>
                <w:b/>
                <w:bCs/>
                <w:sz w:val="18"/>
                <w:szCs w:val="18"/>
              </w:rPr>
            </w:pPr>
          </w:p>
        </w:tc>
        <w:tc>
          <w:tcPr>
            <w:tcW w:w="5605" w:type="dxa"/>
          </w:tcPr>
          <w:p w14:paraId="442EB1CD" w14:textId="6159D6D2" w:rsidR="00E25206" w:rsidRPr="00C044CE" w:rsidRDefault="00E25206" w:rsidP="007439DF">
            <w:pPr>
              <w:pStyle w:val="ListParagraph"/>
              <w:numPr>
                <w:ilvl w:val="0"/>
                <w:numId w:val="21"/>
              </w:numPr>
              <w:spacing w:before="60" w:after="60" w:line="240" w:lineRule="auto"/>
              <w:ind w:left="395" w:hanging="395"/>
              <w:contextualSpacing w:val="0"/>
              <w:rPr>
                <w:b/>
                <w:bCs/>
                <w:sz w:val="18"/>
                <w:szCs w:val="18"/>
              </w:rPr>
            </w:pPr>
            <w:r w:rsidRPr="00C044CE">
              <w:rPr>
                <w:b/>
                <w:bCs/>
                <w:sz w:val="18"/>
                <w:szCs w:val="18"/>
              </w:rPr>
              <w:t>Conclusion</w:t>
            </w:r>
          </w:p>
          <w:p w14:paraId="37CA201A" w14:textId="384B84B4" w:rsidR="00E25206" w:rsidRPr="00E8299A" w:rsidRDefault="00E25206" w:rsidP="00C044CE">
            <w:pPr>
              <w:spacing w:before="60" w:after="60" w:line="240" w:lineRule="auto"/>
              <w:ind w:left="395"/>
              <w:rPr>
                <w:sz w:val="18"/>
                <w:szCs w:val="18"/>
              </w:rPr>
            </w:pPr>
            <w:r w:rsidRPr="00E8299A">
              <w:rPr>
                <w:sz w:val="18"/>
                <w:szCs w:val="18"/>
              </w:rPr>
              <w:t>PCIMP Inc. considers the release of the ANZG (2020)  DGVs for iron in marine waters is  premature.    There are numerous limitations in the development of the DGVs, as identified above, which requires further research.  In summary the research needs to address:</w:t>
            </w:r>
          </w:p>
          <w:p w14:paraId="603E583D" w14:textId="77777777" w:rsidR="00E25206" w:rsidRPr="00E8299A" w:rsidRDefault="00E25206" w:rsidP="007439DF">
            <w:pPr>
              <w:numPr>
                <w:ilvl w:val="0"/>
                <w:numId w:val="20"/>
              </w:numPr>
              <w:spacing w:before="60" w:after="60" w:line="240" w:lineRule="auto"/>
              <w:ind w:left="962" w:hanging="283"/>
              <w:rPr>
                <w:sz w:val="18"/>
                <w:szCs w:val="18"/>
              </w:rPr>
            </w:pPr>
            <w:r w:rsidRPr="00E8299A">
              <w:rPr>
                <w:sz w:val="18"/>
                <w:szCs w:val="18"/>
              </w:rPr>
              <w:t>Range and quality of toxicity tests, using relevant species;</w:t>
            </w:r>
          </w:p>
          <w:p w14:paraId="52CC1159" w14:textId="77777777" w:rsidR="00E25206" w:rsidRPr="00E8299A" w:rsidRDefault="00E25206" w:rsidP="007439DF">
            <w:pPr>
              <w:numPr>
                <w:ilvl w:val="0"/>
                <w:numId w:val="20"/>
              </w:numPr>
              <w:spacing w:before="60" w:after="60" w:line="240" w:lineRule="auto"/>
              <w:ind w:left="962" w:hanging="283"/>
              <w:rPr>
                <w:sz w:val="18"/>
                <w:szCs w:val="18"/>
              </w:rPr>
            </w:pPr>
            <w:r w:rsidRPr="00E8299A">
              <w:rPr>
                <w:sz w:val="18"/>
                <w:szCs w:val="18"/>
              </w:rPr>
              <w:t>Incorporation of iron bioavailability studies with toxicity testing; and</w:t>
            </w:r>
          </w:p>
          <w:p w14:paraId="79C26077" w14:textId="77777777" w:rsidR="00E25206" w:rsidRPr="00E8299A" w:rsidRDefault="00E25206" w:rsidP="007439DF">
            <w:pPr>
              <w:numPr>
                <w:ilvl w:val="0"/>
                <w:numId w:val="20"/>
              </w:numPr>
              <w:spacing w:before="60" w:after="60" w:line="240" w:lineRule="auto"/>
              <w:ind w:left="962" w:hanging="283"/>
              <w:rPr>
                <w:sz w:val="18"/>
                <w:szCs w:val="18"/>
              </w:rPr>
            </w:pPr>
            <w:r w:rsidRPr="00E8299A">
              <w:rPr>
                <w:sz w:val="18"/>
                <w:szCs w:val="18"/>
              </w:rPr>
              <w:t>Identification and validation the most appropriate analytical method(s) for bioavailable iron.</w:t>
            </w:r>
          </w:p>
          <w:p w14:paraId="63082067" w14:textId="30FBACF8" w:rsidR="00E25206" w:rsidRPr="00D45F4C" w:rsidRDefault="00E25206" w:rsidP="00C044CE">
            <w:pPr>
              <w:spacing w:before="60" w:after="60" w:line="240" w:lineRule="auto"/>
              <w:ind w:left="395"/>
              <w:rPr>
                <w:sz w:val="18"/>
                <w:szCs w:val="18"/>
              </w:rPr>
            </w:pPr>
            <w:r w:rsidRPr="00E8299A">
              <w:rPr>
                <w:sz w:val="18"/>
                <w:szCs w:val="18"/>
              </w:rPr>
              <w:t>PCIMP Inc. would consider collaborating with ANZG in the development of the DGVs for iron in marine waters.</w:t>
            </w:r>
          </w:p>
        </w:tc>
        <w:tc>
          <w:tcPr>
            <w:tcW w:w="4111" w:type="dxa"/>
          </w:tcPr>
          <w:p w14:paraId="62F8CE26" w14:textId="60B42796" w:rsidR="00E25206" w:rsidRPr="00D45F4C" w:rsidRDefault="00A52B9F" w:rsidP="00E25206">
            <w:pPr>
              <w:spacing w:before="60" w:after="60" w:line="240" w:lineRule="auto"/>
              <w:rPr>
                <w:sz w:val="18"/>
                <w:szCs w:val="18"/>
                <w:lang w:val="en-GB"/>
              </w:rPr>
            </w:pPr>
            <w:r>
              <w:rPr>
                <w:iCs/>
                <w:sz w:val="18"/>
                <w:szCs w:val="18"/>
              </w:rPr>
              <w:t>Refer to</w:t>
            </w:r>
            <w:r w:rsidR="00E25206">
              <w:rPr>
                <w:iCs/>
                <w:sz w:val="18"/>
                <w:szCs w:val="18"/>
              </w:rPr>
              <w:t xml:space="preserve"> </w:t>
            </w:r>
            <w:r w:rsidR="003D68B3">
              <w:rPr>
                <w:iCs/>
                <w:sz w:val="18"/>
                <w:szCs w:val="18"/>
              </w:rPr>
              <w:t>responses to</w:t>
            </w:r>
            <w:r w:rsidR="00E25206">
              <w:rPr>
                <w:iCs/>
                <w:sz w:val="18"/>
                <w:szCs w:val="18"/>
              </w:rPr>
              <w:t xml:space="preserve"> comments 6 to 9.</w:t>
            </w:r>
          </w:p>
        </w:tc>
        <w:tc>
          <w:tcPr>
            <w:tcW w:w="3040" w:type="dxa"/>
          </w:tcPr>
          <w:p w14:paraId="49CFE9DB" w14:textId="03AC85B6" w:rsidR="00E25206" w:rsidRPr="00D45F4C" w:rsidRDefault="00E25206" w:rsidP="00E25206">
            <w:pPr>
              <w:spacing w:before="60" w:after="60" w:line="240" w:lineRule="auto"/>
              <w:rPr>
                <w:sz w:val="18"/>
                <w:szCs w:val="18"/>
                <w:lang w:val="en-GB"/>
              </w:rPr>
            </w:pPr>
            <w:r>
              <w:rPr>
                <w:sz w:val="18"/>
                <w:szCs w:val="18"/>
                <w:lang w:val="en-GB"/>
              </w:rPr>
              <w:t xml:space="preserve">Refer to </w:t>
            </w:r>
            <w:r w:rsidRPr="00E25206">
              <w:rPr>
                <w:sz w:val="18"/>
                <w:szCs w:val="18"/>
              </w:rPr>
              <w:t xml:space="preserve">actions </w:t>
            </w:r>
            <w:r w:rsidR="003D68B3">
              <w:rPr>
                <w:sz w:val="18"/>
                <w:szCs w:val="18"/>
              </w:rPr>
              <w:t xml:space="preserve">taken </w:t>
            </w:r>
            <w:r w:rsidRPr="00E25206">
              <w:rPr>
                <w:sz w:val="18"/>
                <w:szCs w:val="18"/>
              </w:rPr>
              <w:t>for comments 6 to 9.</w:t>
            </w:r>
          </w:p>
        </w:tc>
      </w:tr>
      <w:tr w:rsidR="00E25206" w:rsidRPr="003C1402" w14:paraId="7231765B" w14:textId="77777777" w:rsidTr="0027035C">
        <w:tc>
          <w:tcPr>
            <w:tcW w:w="1194" w:type="dxa"/>
          </w:tcPr>
          <w:p w14:paraId="0DB9BAD3" w14:textId="487625DB" w:rsidR="00E25206" w:rsidRPr="00D45F4C" w:rsidRDefault="00C91302" w:rsidP="00E25206">
            <w:pPr>
              <w:spacing w:before="60" w:after="60" w:line="240" w:lineRule="auto"/>
              <w:jc w:val="center"/>
              <w:rPr>
                <w:b/>
                <w:bCs/>
                <w:sz w:val="18"/>
                <w:szCs w:val="18"/>
                <w:lang w:val="en-GB"/>
              </w:rPr>
            </w:pPr>
            <w:r>
              <w:rPr>
                <w:b/>
                <w:bCs/>
                <w:sz w:val="18"/>
                <w:szCs w:val="18"/>
                <w:lang w:val="en-GB"/>
              </w:rPr>
              <w:lastRenderedPageBreak/>
              <w:t>5.</w:t>
            </w:r>
          </w:p>
        </w:tc>
        <w:tc>
          <w:tcPr>
            <w:tcW w:w="5605" w:type="dxa"/>
          </w:tcPr>
          <w:p w14:paraId="2940DB83" w14:textId="5FDF1AE2" w:rsidR="00E25206" w:rsidRPr="00A47E2D" w:rsidRDefault="00C91302" w:rsidP="007439DF">
            <w:pPr>
              <w:pStyle w:val="ListParagraph"/>
              <w:numPr>
                <w:ilvl w:val="0"/>
                <w:numId w:val="21"/>
              </w:numPr>
              <w:spacing w:before="60" w:after="60" w:line="240" w:lineRule="auto"/>
              <w:ind w:left="395" w:hanging="395"/>
              <w:contextualSpacing w:val="0"/>
              <w:rPr>
                <w:b/>
                <w:bCs/>
                <w:sz w:val="18"/>
                <w:szCs w:val="18"/>
              </w:rPr>
            </w:pPr>
            <w:r w:rsidRPr="00C91302">
              <w:rPr>
                <w:b/>
                <w:bCs/>
                <w:iCs/>
                <w:sz w:val="18"/>
                <w:szCs w:val="18"/>
                <w:lang w:val="en-GB"/>
              </w:rPr>
              <w:t xml:space="preserve">Reliance on poor quality toxicity studies </w:t>
            </w:r>
            <w:r w:rsidRPr="00C91302">
              <w:rPr>
                <w:iCs/>
                <w:sz w:val="18"/>
                <w:szCs w:val="18"/>
                <w:lang w:val="en-GB"/>
              </w:rPr>
              <w:t>- The toxicity dataset used by ANZG (2020) in the derivation of the DGVs is limited and insufficient justification is provided by ANZG (2020) to justify the derivation of ‘moderate-reliability’ DGVs within the ANZG (2018) framework, given the quality and quantity of the available toxicity studies.</w:t>
            </w:r>
          </w:p>
        </w:tc>
        <w:tc>
          <w:tcPr>
            <w:tcW w:w="4111" w:type="dxa"/>
          </w:tcPr>
          <w:p w14:paraId="4CEA7AF6" w14:textId="4B8CB378" w:rsidR="00E25206" w:rsidRPr="00D45F4C" w:rsidRDefault="00A52B9F" w:rsidP="00E25206">
            <w:pPr>
              <w:spacing w:before="60" w:after="60" w:line="240" w:lineRule="auto"/>
              <w:rPr>
                <w:sz w:val="18"/>
                <w:szCs w:val="18"/>
                <w:lang w:val="en-GB"/>
              </w:rPr>
            </w:pPr>
            <w:r>
              <w:rPr>
                <w:iCs/>
                <w:sz w:val="18"/>
                <w:szCs w:val="18"/>
              </w:rPr>
              <w:t xml:space="preserve">Refer to response to </w:t>
            </w:r>
            <w:r w:rsidR="00C91302">
              <w:rPr>
                <w:bCs/>
                <w:sz w:val="18"/>
                <w:szCs w:val="18"/>
              </w:rPr>
              <w:t>comment 2</w:t>
            </w:r>
            <w:r>
              <w:rPr>
                <w:bCs/>
                <w:sz w:val="18"/>
                <w:szCs w:val="18"/>
              </w:rPr>
              <w:t>(b)</w:t>
            </w:r>
            <w:r w:rsidR="00C91302">
              <w:rPr>
                <w:bCs/>
                <w:sz w:val="18"/>
                <w:szCs w:val="18"/>
              </w:rPr>
              <w:t>.</w:t>
            </w:r>
          </w:p>
        </w:tc>
        <w:tc>
          <w:tcPr>
            <w:tcW w:w="3040" w:type="dxa"/>
          </w:tcPr>
          <w:p w14:paraId="38320689" w14:textId="4136C958" w:rsidR="00E25206" w:rsidRPr="00D45F4C" w:rsidRDefault="00C91302" w:rsidP="00E25206">
            <w:pPr>
              <w:spacing w:before="60" w:after="60" w:line="240" w:lineRule="auto"/>
              <w:rPr>
                <w:sz w:val="18"/>
                <w:szCs w:val="18"/>
                <w:lang w:val="en-GB"/>
              </w:rPr>
            </w:pPr>
            <w:r>
              <w:rPr>
                <w:iCs/>
                <w:sz w:val="18"/>
                <w:szCs w:val="18"/>
              </w:rPr>
              <w:t xml:space="preserve">Refer to action </w:t>
            </w:r>
            <w:r w:rsidR="00A52B9F">
              <w:rPr>
                <w:iCs/>
                <w:sz w:val="18"/>
                <w:szCs w:val="18"/>
              </w:rPr>
              <w:t xml:space="preserve">taken </w:t>
            </w:r>
            <w:r>
              <w:rPr>
                <w:iCs/>
                <w:sz w:val="18"/>
                <w:szCs w:val="18"/>
              </w:rPr>
              <w:t>for comment 2</w:t>
            </w:r>
            <w:r w:rsidR="00A52B9F">
              <w:rPr>
                <w:iCs/>
                <w:sz w:val="18"/>
                <w:szCs w:val="18"/>
              </w:rPr>
              <w:t>(b)</w:t>
            </w:r>
            <w:r>
              <w:rPr>
                <w:iCs/>
                <w:sz w:val="18"/>
                <w:szCs w:val="18"/>
              </w:rPr>
              <w:t>.</w:t>
            </w:r>
          </w:p>
        </w:tc>
      </w:tr>
      <w:tr w:rsidR="002B7BFA" w:rsidRPr="003C1402" w14:paraId="61A01777" w14:textId="77777777" w:rsidTr="0027035C">
        <w:tc>
          <w:tcPr>
            <w:tcW w:w="1194" w:type="dxa"/>
          </w:tcPr>
          <w:p w14:paraId="6E9670ED" w14:textId="77777777" w:rsidR="002B7BFA" w:rsidRPr="00D45F4C" w:rsidRDefault="002B7BFA" w:rsidP="002B7BFA">
            <w:pPr>
              <w:spacing w:before="60" w:after="60" w:line="240" w:lineRule="auto"/>
              <w:jc w:val="center"/>
              <w:rPr>
                <w:b/>
                <w:bCs/>
                <w:sz w:val="18"/>
                <w:szCs w:val="18"/>
                <w:lang w:val="en-GB"/>
              </w:rPr>
            </w:pPr>
          </w:p>
        </w:tc>
        <w:tc>
          <w:tcPr>
            <w:tcW w:w="5605" w:type="dxa"/>
          </w:tcPr>
          <w:p w14:paraId="1C771548" w14:textId="3190D6CB" w:rsidR="002B7BFA" w:rsidRPr="002B7BFA" w:rsidRDefault="002B7BFA" w:rsidP="007439DF">
            <w:pPr>
              <w:pStyle w:val="ListParagraph"/>
              <w:numPr>
                <w:ilvl w:val="0"/>
                <w:numId w:val="22"/>
              </w:numPr>
              <w:spacing w:before="60" w:after="60" w:line="240" w:lineRule="auto"/>
              <w:ind w:left="397" w:hanging="425"/>
              <w:rPr>
                <w:sz w:val="18"/>
                <w:szCs w:val="18"/>
                <w:lang w:val="en-GB"/>
              </w:rPr>
            </w:pPr>
            <w:r w:rsidRPr="00A3767F">
              <w:rPr>
                <w:b/>
                <w:bCs/>
                <w:sz w:val="18"/>
                <w:szCs w:val="18"/>
                <w:lang w:val="en-GB"/>
              </w:rPr>
              <w:t xml:space="preserve">Inadequate characterisation of iron bioavailability in toxicity studies </w:t>
            </w:r>
            <w:r w:rsidRPr="00A3767F">
              <w:rPr>
                <w:sz w:val="18"/>
                <w:szCs w:val="18"/>
                <w:lang w:val="en-GB"/>
              </w:rPr>
              <w:t xml:space="preserve">– _The ecotoxicity studies used by ANZG (2020) typically did not adequately characterise the physical form or bioavailability of the iron in the test solutions and the bioavailability of the particulate forms of iron that are predominant in coastal environments is not well understood. In the absence of toxicity studies distinguishing between bioavailable and non-bioavailable forms of iron, the relevance of the DGVs to the aged iron oxide particulates that are typically present in the coastal environments of northern WA is currently uncertain. </w:t>
            </w:r>
          </w:p>
        </w:tc>
        <w:tc>
          <w:tcPr>
            <w:tcW w:w="4111" w:type="dxa"/>
          </w:tcPr>
          <w:p w14:paraId="363D4DB6" w14:textId="6EA24A28" w:rsidR="0046061A" w:rsidRPr="0046061A" w:rsidRDefault="0046061A" w:rsidP="0046061A">
            <w:pPr>
              <w:spacing w:before="60" w:after="60" w:line="240" w:lineRule="auto"/>
              <w:rPr>
                <w:iCs/>
                <w:sz w:val="18"/>
                <w:szCs w:val="18"/>
              </w:rPr>
            </w:pPr>
            <w:r w:rsidRPr="0046061A">
              <w:rPr>
                <w:iCs/>
                <w:sz w:val="18"/>
                <w:szCs w:val="18"/>
              </w:rPr>
              <w:t>Refer to responses to comments 2(a) and 7(b)</w:t>
            </w:r>
            <w:r>
              <w:rPr>
                <w:iCs/>
                <w:sz w:val="18"/>
                <w:szCs w:val="18"/>
              </w:rPr>
              <w:t>. Also, note that the issue of aged iron oxides has been addressed in the PhD project by SCU (Balsamo-Crespo et al. 2023).</w:t>
            </w:r>
          </w:p>
          <w:p w14:paraId="63E18345" w14:textId="315F75F7" w:rsidR="002B7BFA" w:rsidRPr="00D45F4C" w:rsidRDefault="002B7BFA" w:rsidP="002B7BFA">
            <w:pPr>
              <w:spacing w:before="60" w:after="60" w:line="240" w:lineRule="auto"/>
              <w:rPr>
                <w:sz w:val="18"/>
                <w:szCs w:val="18"/>
              </w:rPr>
            </w:pPr>
          </w:p>
        </w:tc>
        <w:tc>
          <w:tcPr>
            <w:tcW w:w="3040" w:type="dxa"/>
          </w:tcPr>
          <w:p w14:paraId="097DE831" w14:textId="77777777" w:rsidR="0046061A" w:rsidRDefault="002B7BFA" w:rsidP="002B7BFA">
            <w:pPr>
              <w:spacing w:before="60" w:after="60" w:line="240" w:lineRule="auto"/>
              <w:rPr>
                <w:iCs/>
                <w:sz w:val="18"/>
                <w:szCs w:val="18"/>
              </w:rPr>
            </w:pPr>
            <w:r>
              <w:rPr>
                <w:iCs/>
                <w:sz w:val="18"/>
                <w:szCs w:val="18"/>
              </w:rPr>
              <w:t>Refer to action</w:t>
            </w:r>
            <w:r w:rsidR="0046061A">
              <w:rPr>
                <w:iCs/>
                <w:sz w:val="18"/>
                <w:szCs w:val="18"/>
              </w:rPr>
              <w:t>s taken</w:t>
            </w:r>
            <w:r>
              <w:rPr>
                <w:iCs/>
                <w:sz w:val="18"/>
                <w:szCs w:val="18"/>
              </w:rPr>
              <w:t xml:space="preserve"> for </w:t>
            </w:r>
            <w:r w:rsidR="0046061A" w:rsidRPr="0046061A">
              <w:rPr>
                <w:iCs/>
                <w:sz w:val="18"/>
                <w:szCs w:val="18"/>
              </w:rPr>
              <w:t>comments 2(a) and 7(b)</w:t>
            </w:r>
            <w:r w:rsidR="0046061A">
              <w:rPr>
                <w:iCs/>
                <w:sz w:val="18"/>
                <w:szCs w:val="18"/>
              </w:rPr>
              <w:t>.</w:t>
            </w:r>
          </w:p>
          <w:p w14:paraId="1F783543" w14:textId="6303D8B7" w:rsidR="00DC31A4" w:rsidRPr="00D45F4C" w:rsidRDefault="00DC31A4" w:rsidP="002B7BFA">
            <w:pPr>
              <w:spacing w:before="60" w:after="60" w:line="240" w:lineRule="auto"/>
              <w:rPr>
                <w:sz w:val="18"/>
                <w:szCs w:val="18"/>
              </w:rPr>
            </w:pPr>
          </w:p>
        </w:tc>
      </w:tr>
      <w:tr w:rsidR="009746CA" w:rsidRPr="003C1402" w14:paraId="12CE36BB" w14:textId="77777777" w:rsidTr="0027035C">
        <w:tc>
          <w:tcPr>
            <w:tcW w:w="1194" w:type="dxa"/>
          </w:tcPr>
          <w:p w14:paraId="55B11F0C" w14:textId="77777777" w:rsidR="009746CA" w:rsidRPr="00D45F4C" w:rsidRDefault="009746CA" w:rsidP="009746CA">
            <w:pPr>
              <w:spacing w:before="60" w:after="60" w:line="240" w:lineRule="auto"/>
              <w:jc w:val="center"/>
              <w:rPr>
                <w:b/>
                <w:bCs/>
                <w:sz w:val="18"/>
                <w:szCs w:val="18"/>
                <w:lang w:val="en-GB"/>
              </w:rPr>
            </w:pPr>
          </w:p>
        </w:tc>
        <w:tc>
          <w:tcPr>
            <w:tcW w:w="5605" w:type="dxa"/>
          </w:tcPr>
          <w:p w14:paraId="07010201" w14:textId="5631A893" w:rsidR="009746CA" w:rsidRPr="004A0684" w:rsidRDefault="009746CA" w:rsidP="009746CA">
            <w:pPr>
              <w:pStyle w:val="ListParagraph"/>
              <w:numPr>
                <w:ilvl w:val="0"/>
                <w:numId w:val="23"/>
              </w:numPr>
              <w:spacing w:before="60" w:after="60" w:line="240" w:lineRule="auto"/>
              <w:ind w:left="397" w:hanging="397"/>
              <w:rPr>
                <w:sz w:val="18"/>
                <w:szCs w:val="18"/>
                <w:lang w:val="en-GB"/>
              </w:rPr>
            </w:pPr>
            <w:r w:rsidRPr="00A3767F">
              <w:rPr>
                <w:b/>
                <w:bCs/>
                <w:sz w:val="18"/>
                <w:szCs w:val="18"/>
                <w:lang w:val="en-GB"/>
              </w:rPr>
              <w:t xml:space="preserve">Recommended analytical methods that have not been validated </w:t>
            </w:r>
            <w:r w:rsidRPr="00A3767F">
              <w:rPr>
                <w:sz w:val="18"/>
                <w:szCs w:val="18"/>
                <w:lang w:val="en-GB"/>
              </w:rPr>
              <w:t xml:space="preserve">- The analytical methods recommended in association with the DGVs have not been demonstrated to define the bioavailable fraction of the total iron concentrations of marine water. It should also be noted that at present there are no robust and widely commercially available analytical techniques for the direct determination of iron bioavailability in marine water. This would appear to place the burden of validating the analytical methodology for determining bioavailable iron concentrations on the industry that will be required to use the DGV and may lead to an increased requirement for industry to undertake costly site-specific toxicity testing and geochemical studies. </w:t>
            </w:r>
          </w:p>
        </w:tc>
        <w:tc>
          <w:tcPr>
            <w:tcW w:w="4111" w:type="dxa"/>
          </w:tcPr>
          <w:p w14:paraId="2A3056C6" w14:textId="77777777" w:rsidR="009746CA" w:rsidRDefault="009746CA" w:rsidP="009746CA">
            <w:pPr>
              <w:spacing w:before="60" w:after="60" w:line="240" w:lineRule="auto"/>
              <w:rPr>
                <w:iCs/>
                <w:sz w:val="18"/>
                <w:szCs w:val="18"/>
              </w:rPr>
            </w:pPr>
            <w:r w:rsidRPr="00C22284">
              <w:rPr>
                <w:iCs/>
                <w:sz w:val="18"/>
                <w:szCs w:val="18"/>
              </w:rPr>
              <w:t xml:space="preserve">Refer to response </w:t>
            </w:r>
            <w:r>
              <w:rPr>
                <w:iCs/>
                <w:sz w:val="18"/>
                <w:szCs w:val="18"/>
              </w:rPr>
              <w:t>to</w:t>
            </w:r>
            <w:r w:rsidRPr="00C22284">
              <w:rPr>
                <w:iCs/>
                <w:sz w:val="18"/>
                <w:szCs w:val="18"/>
              </w:rPr>
              <w:t xml:space="preserve"> comment 2(a). </w:t>
            </w:r>
          </w:p>
          <w:p w14:paraId="0B3518F0" w14:textId="5FA4369F" w:rsidR="009746CA" w:rsidRPr="00D45F4C" w:rsidRDefault="009746CA" w:rsidP="009746CA">
            <w:pPr>
              <w:spacing w:before="60" w:after="60" w:line="240" w:lineRule="auto"/>
              <w:rPr>
                <w:sz w:val="18"/>
                <w:szCs w:val="18"/>
                <w:lang w:val="en-GB"/>
              </w:rPr>
            </w:pPr>
            <w:r>
              <w:rPr>
                <w:iCs/>
                <w:sz w:val="18"/>
                <w:szCs w:val="18"/>
              </w:rPr>
              <w:t xml:space="preserve">Details of the validated method can be found in both </w:t>
            </w:r>
            <w:r w:rsidRPr="000A4F9C">
              <w:rPr>
                <w:iCs/>
                <w:sz w:val="18"/>
                <w:szCs w:val="18"/>
              </w:rPr>
              <w:t xml:space="preserve">Balsamo-Crespo et al. </w:t>
            </w:r>
            <w:r>
              <w:rPr>
                <w:iCs/>
                <w:sz w:val="18"/>
                <w:szCs w:val="18"/>
              </w:rPr>
              <w:t>(</w:t>
            </w:r>
            <w:r w:rsidRPr="000A4F9C">
              <w:rPr>
                <w:iCs/>
                <w:sz w:val="18"/>
                <w:szCs w:val="18"/>
              </w:rPr>
              <w:t>2023</w:t>
            </w:r>
            <w:r>
              <w:rPr>
                <w:iCs/>
                <w:sz w:val="18"/>
                <w:szCs w:val="18"/>
              </w:rPr>
              <w:t>) and</w:t>
            </w:r>
            <w:r w:rsidRPr="000A4F9C">
              <w:rPr>
                <w:iCs/>
                <w:sz w:val="18"/>
                <w:szCs w:val="18"/>
              </w:rPr>
              <w:t xml:space="preserve"> ANZG </w:t>
            </w:r>
            <w:r>
              <w:rPr>
                <w:iCs/>
                <w:sz w:val="18"/>
                <w:szCs w:val="18"/>
              </w:rPr>
              <w:t>(</w:t>
            </w:r>
            <w:r w:rsidRPr="000A4F9C">
              <w:rPr>
                <w:iCs/>
                <w:sz w:val="18"/>
                <w:szCs w:val="18"/>
              </w:rPr>
              <w:t>202</w:t>
            </w:r>
            <w:r w:rsidR="000F7F99">
              <w:rPr>
                <w:iCs/>
                <w:sz w:val="18"/>
                <w:szCs w:val="18"/>
              </w:rPr>
              <w:t>5</w:t>
            </w:r>
            <w:r>
              <w:rPr>
                <w:iCs/>
                <w:sz w:val="18"/>
                <w:szCs w:val="18"/>
              </w:rPr>
              <w:t>).</w:t>
            </w:r>
            <w:r w:rsidR="00221F93">
              <w:rPr>
                <w:iCs/>
                <w:sz w:val="18"/>
                <w:szCs w:val="18"/>
              </w:rPr>
              <w:t xml:space="preserve"> Note that numerous commercial and research analytical laboratories were consulted in the early stages of scoping the work to validate/optimise the USEPA (1991) method for iron. </w:t>
            </w:r>
          </w:p>
        </w:tc>
        <w:tc>
          <w:tcPr>
            <w:tcW w:w="3040" w:type="dxa"/>
          </w:tcPr>
          <w:p w14:paraId="4CB69064" w14:textId="6515DC5B" w:rsidR="009746CA" w:rsidRPr="00D45F4C" w:rsidRDefault="009746CA" w:rsidP="009746CA">
            <w:pPr>
              <w:spacing w:before="60" w:after="60" w:line="240" w:lineRule="auto"/>
              <w:rPr>
                <w:sz w:val="18"/>
                <w:szCs w:val="18"/>
                <w:lang w:val="en-GB"/>
              </w:rPr>
            </w:pPr>
            <w:r>
              <w:rPr>
                <w:sz w:val="18"/>
                <w:szCs w:val="18"/>
              </w:rPr>
              <w:t>Refer to action taken for comment 2(a).</w:t>
            </w:r>
          </w:p>
        </w:tc>
      </w:tr>
      <w:tr w:rsidR="00874350" w:rsidRPr="003C1402" w14:paraId="07B6B15B" w14:textId="77777777" w:rsidTr="0027035C">
        <w:tc>
          <w:tcPr>
            <w:tcW w:w="1194" w:type="dxa"/>
          </w:tcPr>
          <w:p w14:paraId="0C1654B7" w14:textId="77777777" w:rsidR="00874350" w:rsidRPr="00D45F4C" w:rsidRDefault="00874350" w:rsidP="00874350">
            <w:pPr>
              <w:spacing w:before="60" w:after="60" w:line="240" w:lineRule="auto"/>
              <w:ind w:left="35"/>
              <w:jc w:val="center"/>
              <w:rPr>
                <w:b/>
                <w:bCs/>
                <w:sz w:val="18"/>
                <w:szCs w:val="18"/>
                <w:lang w:val="en-GB"/>
              </w:rPr>
            </w:pPr>
          </w:p>
        </w:tc>
        <w:tc>
          <w:tcPr>
            <w:tcW w:w="5605" w:type="dxa"/>
          </w:tcPr>
          <w:p w14:paraId="398FFDE4" w14:textId="197727C2" w:rsidR="00DA2C70" w:rsidRPr="00DA2C70" w:rsidRDefault="00DA2C70" w:rsidP="00DA2C70">
            <w:pPr>
              <w:pStyle w:val="ListParagraph"/>
              <w:numPr>
                <w:ilvl w:val="0"/>
                <w:numId w:val="24"/>
              </w:numPr>
              <w:spacing w:before="60" w:after="60" w:line="240" w:lineRule="auto"/>
              <w:ind w:left="397" w:hanging="395"/>
              <w:contextualSpacing w:val="0"/>
              <w:rPr>
                <w:b/>
                <w:bCs/>
                <w:sz w:val="18"/>
                <w:szCs w:val="18"/>
                <w:lang w:val="en-GB"/>
              </w:rPr>
            </w:pPr>
            <w:r w:rsidRPr="00DA2C70">
              <w:rPr>
                <w:b/>
                <w:bCs/>
                <w:sz w:val="18"/>
                <w:szCs w:val="18"/>
                <w:lang w:val="en-GB"/>
              </w:rPr>
              <w:t>Analytical method and background concentrations</w:t>
            </w:r>
          </w:p>
          <w:p w14:paraId="05E60A95" w14:textId="085ED7F8" w:rsidR="00874350" w:rsidRPr="00DA2C70" w:rsidRDefault="00874350" w:rsidP="00DA2C70">
            <w:pPr>
              <w:pStyle w:val="ListParagraph"/>
              <w:numPr>
                <w:ilvl w:val="0"/>
                <w:numId w:val="42"/>
              </w:numPr>
              <w:spacing w:before="60" w:after="60" w:line="240" w:lineRule="auto"/>
              <w:contextualSpacing w:val="0"/>
              <w:rPr>
                <w:sz w:val="18"/>
                <w:szCs w:val="18"/>
                <w:lang w:val="en-GB"/>
              </w:rPr>
            </w:pPr>
            <w:r w:rsidRPr="00DA2C70">
              <w:rPr>
                <w:sz w:val="18"/>
                <w:szCs w:val="18"/>
                <w:lang w:val="en-GB"/>
              </w:rPr>
              <w:t xml:space="preserve">PPA considers that due to the limitations identified in the key findings (noted above) and those expressed in the attached report (Attachment 1), further research and analysis is required to test analytical methods to characterise bioavailable iron (Fe) in marine waters, and develop </w:t>
            </w:r>
            <w:r w:rsidRPr="00DA2C70">
              <w:rPr>
                <w:sz w:val="18"/>
                <w:szCs w:val="18"/>
                <w:lang w:val="en-GB"/>
              </w:rPr>
              <w:lastRenderedPageBreak/>
              <w:t xml:space="preserve">appropriate models (from a robust data set) to test species to determine acute and chronic toxicity to bioavailable iron. </w:t>
            </w:r>
          </w:p>
          <w:p w14:paraId="6530B6CA" w14:textId="77777777" w:rsidR="00874350" w:rsidRPr="00DA2C70" w:rsidRDefault="00874350" w:rsidP="00DA2C70">
            <w:pPr>
              <w:pStyle w:val="ListParagraph"/>
              <w:numPr>
                <w:ilvl w:val="0"/>
                <w:numId w:val="42"/>
              </w:numPr>
              <w:spacing w:before="60" w:after="60" w:line="240" w:lineRule="auto"/>
              <w:contextualSpacing w:val="0"/>
              <w:rPr>
                <w:sz w:val="18"/>
                <w:szCs w:val="18"/>
                <w:lang w:val="en-GB"/>
              </w:rPr>
            </w:pPr>
            <w:r w:rsidRPr="00DA2C70">
              <w:rPr>
                <w:sz w:val="18"/>
                <w:szCs w:val="18"/>
                <w:lang w:val="en-GB"/>
              </w:rPr>
              <w:t xml:space="preserve">The limited data presented by PPA for marine water samples collected in the in Pilbara has identified iron concentration in excess of the 99% and 95% species protection levels (DGVs), including samples from some reference locations that are considered as undisturbed areas representing natural conditions. This limited environmental sampling and analysis program also suggested that the cold dilute pH 2 extraction method recommended by ANZG (2020) dissolves substantial portions of the particulate forms of iron that can be suspended in the marine waters of the Pilbara. These results emphasize the fact that it has not yet been established whether the results of the cold dilute pH 2 extraction method recommended in association with the DGVs align with the bioavailable iron concentrations in unfiltered marine water samples. </w:t>
            </w:r>
          </w:p>
          <w:p w14:paraId="4FBCAD79" w14:textId="18E15A39" w:rsidR="00874350" w:rsidRPr="00D45F4C" w:rsidRDefault="00874350" w:rsidP="00874350">
            <w:pPr>
              <w:spacing w:before="60" w:after="60" w:line="240" w:lineRule="auto"/>
              <w:ind w:left="397"/>
              <w:rPr>
                <w:sz w:val="18"/>
                <w:szCs w:val="18"/>
                <w:lang w:val="en-GB"/>
              </w:rPr>
            </w:pPr>
            <w:r w:rsidRPr="00414596">
              <w:rPr>
                <w:sz w:val="18"/>
                <w:szCs w:val="18"/>
                <w:lang w:val="en-GB"/>
              </w:rPr>
              <w:t>In summary, based on the critical review of the Technical Brief and the results of the targeted marine water sampling and analysis, PPA consider that the proposed DVGs for iron in marine waters have the potential to impact on industry throughout the northern region of Western Australia due to the lack of knowledge on current and natural marine water quality and the absence of a clear link between the DGVs and the protection of aquatic ecosystems. Accordingly, PPA recommend deferring adopting of the proposed toxicant DVGs for iron until such research has been completed</w:t>
            </w:r>
          </w:p>
        </w:tc>
        <w:tc>
          <w:tcPr>
            <w:tcW w:w="4111" w:type="dxa"/>
          </w:tcPr>
          <w:p w14:paraId="54AF12AC" w14:textId="77777777" w:rsidR="00DA2C70" w:rsidRDefault="00DA2C70" w:rsidP="00DA2C70">
            <w:pPr>
              <w:spacing w:before="60" w:after="60" w:line="240" w:lineRule="auto"/>
              <w:rPr>
                <w:iCs/>
                <w:sz w:val="18"/>
                <w:szCs w:val="18"/>
              </w:rPr>
            </w:pPr>
          </w:p>
          <w:p w14:paraId="42FCFCE4" w14:textId="5374AE91" w:rsidR="00DA2C70" w:rsidRDefault="00DA2C70" w:rsidP="00DA2C70">
            <w:pPr>
              <w:pStyle w:val="ListParagraph"/>
              <w:numPr>
                <w:ilvl w:val="0"/>
                <w:numId w:val="43"/>
              </w:numPr>
              <w:spacing w:before="60" w:after="60" w:line="240" w:lineRule="auto"/>
              <w:ind w:left="318" w:hanging="284"/>
              <w:contextualSpacing w:val="0"/>
              <w:rPr>
                <w:iCs/>
                <w:sz w:val="18"/>
                <w:szCs w:val="18"/>
              </w:rPr>
            </w:pPr>
            <w:r w:rsidRPr="00DA2C70">
              <w:rPr>
                <w:iCs/>
                <w:sz w:val="18"/>
                <w:szCs w:val="18"/>
              </w:rPr>
              <w:t>Refer to responses to comment</w:t>
            </w:r>
            <w:r>
              <w:rPr>
                <w:iCs/>
                <w:sz w:val="18"/>
                <w:szCs w:val="18"/>
              </w:rPr>
              <w:t>s</w:t>
            </w:r>
            <w:r w:rsidRPr="00DA2C70">
              <w:rPr>
                <w:iCs/>
                <w:sz w:val="18"/>
                <w:szCs w:val="18"/>
              </w:rPr>
              <w:t xml:space="preserve"> 2(a), 7(b) and 8(b). </w:t>
            </w:r>
          </w:p>
          <w:p w14:paraId="1E5ACFB5" w14:textId="449CA11A" w:rsidR="00874350" w:rsidRPr="00DA2C70" w:rsidRDefault="00DA2C70" w:rsidP="00DA2C70">
            <w:pPr>
              <w:pStyle w:val="ListParagraph"/>
              <w:numPr>
                <w:ilvl w:val="0"/>
                <w:numId w:val="43"/>
              </w:numPr>
              <w:spacing w:before="60" w:after="60" w:line="240" w:lineRule="auto"/>
              <w:ind w:left="318" w:hanging="284"/>
              <w:contextualSpacing w:val="0"/>
              <w:rPr>
                <w:iCs/>
                <w:sz w:val="18"/>
                <w:szCs w:val="18"/>
              </w:rPr>
            </w:pPr>
            <w:r w:rsidRPr="00DA2C70">
              <w:rPr>
                <w:iCs/>
                <w:sz w:val="18"/>
                <w:szCs w:val="18"/>
              </w:rPr>
              <w:t xml:space="preserve">Refer to responses to </w:t>
            </w:r>
            <w:r>
              <w:rPr>
                <w:iCs/>
                <w:sz w:val="18"/>
                <w:szCs w:val="18"/>
              </w:rPr>
              <w:t xml:space="preserve">comments </w:t>
            </w:r>
            <w:r w:rsidR="00874350" w:rsidRPr="00DA2C70">
              <w:rPr>
                <w:bCs/>
                <w:sz w:val="18"/>
                <w:szCs w:val="18"/>
              </w:rPr>
              <w:t>3 and 8</w:t>
            </w:r>
            <w:r>
              <w:rPr>
                <w:bCs/>
                <w:sz w:val="18"/>
                <w:szCs w:val="18"/>
              </w:rPr>
              <w:t>(b)</w:t>
            </w:r>
            <w:r w:rsidR="00874350" w:rsidRPr="00DA2C70">
              <w:rPr>
                <w:bCs/>
                <w:sz w:val="18"/>
                <w:szCs w:val="18"/>
              </w:rPr>
              <w:t>.</w:t>
            </w:r>
          </w:p>
        </w:tc>
        <w:tc>
          <w:tcPr>
            <w:tcW w:w="3040" w:type="dxa"/>
          </w:tcPr>
          <w:p w14:paraId="0BE31F44" w14:textId="77777777" w:rsidR="00DA2C70" w:rsidRDefault="00DA2C70" w:rsidP="00874350">
            <w:pPr>
              <w:spacing w:before="60" w:after="60" w:line="240" w:lineRule="auto"/>
              <w:rPr>
                <w:iCs/>
                <w:sz w:val="18"/>
                <w:szCs w:val="18"/>
              </w:rPr>
            </w:pPr>
          </w:p>
          <w:p w14:paraId="7FBC610A" w14:textId="77777777" w:rsidR="00DA2C70" w:rsidRDefault="00874350" w:rsidP="00DA2C70">
            <w:pPr>
              <w:pStyle w:val="ListParagraph"/>
              <w:numPr>
                <w:ilvl w:val="0"/>
                <w:numId w:val="45"/>
              </w:numPr>
              <w:spacing w:before="60" w:after="60" w:line="240" w:lineRule="auto"/>
              <w:ind w:left="322" w:hanging="322"/>
              <w:contextualSpacing w:val="0"/>
              <w:rPr>
                <w:iCs/>
                <w:sz w:val="18"/>
                <w:szCs w:val="18"/>
              </w:rPr>
            </w:pPr>
            <w:r w:rsidRPr="00DA2C70">
              <w:rPr>
                <w:iCs/>
                <w:sz w:val="18"/>
                <w:szCs w:val="18"/>
              </w:rPr>
              <w:t>Refer to action</w:t>
            </w:r>
            <w:r w:rsidR="00DA2C70">
              <w:rPr>
                <w:iCs/>
                <w:sz w:val="18"/>
                <w:szCs w:val="18"/>
              </w:rPr>
              <w:t>s taken</w:t>
            </w:r>
            <w:r w:rsidRPr="00DA2C70">
              <w:rPr>
                <w:iCs/>
                <w:sz w:val="18"/>
                <w:szCs w:val="18"/>
              </w:rPr>
              <w:t xml:space="preserve"> for </w:t>
            </w:r>
            <w:r w:rsidR="00DA2C70" w:rsidRPr="00DA2C70">
              <w:rPr>
                <w:iCs/>
                <w:sz w:val="18"/>
                <w:szCs w:val="18"/>
              </w:rPr>
              <w:t>comment</w:t>
            </w:r>
            <w:r w:rsidR="00DA2C70">
              <w:rPr>
                <w:iCs/>
                <w:sz w:val="18"/>
                <w:szCs w:val="18"/>
              </w:rPr>
              <w:t>s</w:t>
            </w:r>
            <w:r w:rsidR="00DA2C70" w:rsidRPr="00DA2C70">
              <w:rPr>
                <w:iCs/>
                <w:sz w:val="18"/>
                <w:szCs w:val="18"/>
              </w:rPr>
              <w:t xml:space="preserve"> 2(a), 7(b) and 8(b).</w:t>
            </w:r>
          </w:p>
          <w:p w14:paraId="1457CF41" w14:textId="6DC90295" w:rsidR="00874350" w:rsidRPr="00DA2C70" w:rsidRDefault="00DA2C70" w:rsidP="00DA2C70">
            <w:pPr>
              <w:pStyle w:val="ListParagraph"/>
              <w:numPr>
                <w:ilvl w:val="0"/>
                <w:numId w:val="45"/>
              </w:numPr>
              <w:spacing w:before="60" w:after="60" w:line="240" w:lineRule="auto"/>
              <w:ind w:left="322" w:hanging="322"/>
              <w:contextualSpacing w:val="0"/>
              <w:rPr>
                <w:iCs/>
                <w:sz w:val="18"/>
                <w:szCs w:val="18"/>
              </w:rPr>
            </w:pPr>
            <w:r w:rsidRPr="00DA2C70">
              <w:rPr>
                <w:iCs/>
                <w:sz w:val="18"/>
                <w:szCs w:val="18"/>
              </w:rPr>
              <w:t>Refer to action</w:t>
            </w:r>
            <w:r>
              <w:rPr>
                <w:iCs/>
                <w:sz w:val="18"/>
                <w:szCs w:val="18"/>
              </w:rPr>
              <w:t>s taken</w:t>
            </w:r>
            <w:r w:rsidRPr="00DA2C70">
              <w:rPr>
                <w:iCs/>
                <w:sz w:val="18"/>
                <w:szCs w:val="18"/>
              </w:rPr>
              <w:t xml:space="preserve"> for</w:t>
            </w:r>
            <w:r>
              <w:rPr>
                <w:iCs/>
                <w:sz w:val="18"/>
                <w:szCs w:val="18"/>
              </w:rPr>
              <w:t xml:space="preserve"> comments </w:t>
            </w:r>
            <w:r w:rsidRPr="00DA2C70">
              <w:rPr>
                <w:bCs/>
                <w:sz w:val="18"/>
                <w:szCs w:val="18"/>
              </w:rPr>
              <w:t>3 and 8</w:t>
            </w:r>
            <w:r>
              <w:rPr>
                <w:bCs/>
                <w:sz w:val="18"/>
                <w:szCs w:val="18"/>
              </w:rPr>
              <w:t>(b)</w:t>
            </w:r>
            <w:r w:rsidR="00874350" w:rsidRPr="00DA2C70">
              <w:rPr>
                <w:iCs/>
                <w:sz w:val="18"/>
                <w:szCs w:val="18"/>
              </w:rPr>
              <w:t>.</w:t>
            </w:r>
          </w:p>
        </w:tc>
      </w:tr>
      <w:tr w:rsidR="00874350" w:rsidRPr="003C1402" w14:paraId="78225E5A" w14:textId="77777777" w:rsidTr="0027035C">
        <w:tc>
          <w:tcPr>
            <w:tcW w:w="1194" w:type="dxa"/>
          </w:tcPr>
          <w:p w14:paraId="0FEE0183" w14:textId="619514BB" w:rsidR="00874350" w:rsidRPr="00D45F4C" w:rsidRDefault="003F236C" w:rsidP="00874350">
            <w:pPr>
              <w:spacing w:before="60" w:after="60" w:line="240" w:lineRule="auto"/>
              <w:jc w:val="center"/>
              <w:rPr>
                <w:b/>
                <w:bCs/>
                <w:sz w:val="18"/>
                <w:szCs w:val="18"/>
                <w:lang w:val="en-GB"/>
              </w:rPr>
            </w:pPr>
            <w:r>
              <w:rPr>
                <w:b/>
                <w:bCs/>
                <w:sz w:val="18"/>
                <w:szCs w:val="18"/>
                <w:lang w:val="en-GB"/>
              </w:rPr>
              <w:t>6.</w:t>
            </w:r>
          </w:p>
        </w:tc>
        <w:tc>
          <w:tcPr>
            <w:tcW w:w="5605" w:type="dxa"/>
          </w:tcPr>
          <w:p w14:paraId="38BCB823" w14:textId="746062B7" w:rsidR="00874350" w:rsidRPr="003F236C" w:rsidRDefault="003F236C" w:rsidP="007439DF">
            <w:pPr>
              <w:pStyle w:val="ListParagraph"/>
              <w:numPr>
                <w:ilvl w:val="0"/>
                <w:numId w:val="24"/>
              </w:numPr>
              <w:spacing w:before="60" w:after="60" w:line="240" w:lineRule="auto"/>
              <w:ind w:left="395" w:hanging="395"/>
              <w:rPr>
                <w:sz w:val="18"/>
                <w:szCs w:val="18"/>
                <w:lang w:val="en-GB"/>
              </w:rPr>
            </w:pPr>
            <w:r w:rsidRPr="003F236C">
              <w:rPr>
                <w:iCs/>
                <w:sz w:val="18"/>
                <w:szCs w:val="18"/>
                <w:lang w:val="en-GB"/>
              </w:rPr>
              <w:t xml:space="preserve">Southern Ports welcomes the application of quantitative risk-based approaches using empirical observations and statistical techniques to define criteria for protecting humans, animals and plants from toxic exposures of contaminants. This includes defining water quality criteria (Default Guidelines Values (DGVs)) for iron in marine waters to protect aquatic biota. However, Southern Ports does not support risk-based approaches that repeatedly use worst case assumptions within the same assessment. This approach leads to an unrealistic outcome and in this case places unjustifiable and unreasonable burdens on industry. The attached review by MBS draws attention to three </w:t>
            </w:r>
            <w:r w:rsidRPr="003F236C">
              <w:rPr>
                <w:iCs/>
                <w:sz w:val="18"/>
                <w:szCs w:val="18"/>
                <w:lang w:val="en-GB"/>
              </w:rPr>
              <w:lastRenderedPageBreak/>
              <w:t>key areas in the assessment of the draft iron DGV that introduce bias including the:</w:t>
            </w:r>
          </w:p>
        </w:tc>
        <w:tc>
          <w:tcPr>
            <w:tcW w:w="4111" w:type="dxa"/>
          </w:tcPr>
          <w:p w14:paraId="3AF0DD5F" w14:textId="1CE5A220" w:rsidR="00874350" w:rsidRPr="00D45F4C" w:rsidRDefault="003F236C" w:rsidP="00874350">
            <w:pPr>
              <w:spacing w:before="60" w:after="60" w:line="240" w:lineRule="auto"/>
              <w:rPr>
                <w:sz w:val="18"/>
                <w:szCs w:val="18"/>
              </w:rPr>
            </w:pPr>
            <w:r>
              <w:rPr>
                <w:bCs/>
                <w:sz w:val="18"/>
                <w:szCs w:val="18"/>
              </w:rPr>
              <w:lastRenderedPageBreak/>
              <w:t>See responses to bullet points, below.</w:t>
            </w:r>
          </w:p>
        </w:tc>
        <w:tc>
          <w:tcPr>
            <w:tcW w:w="3040" w:type="dxa"/>
          </w:tcPr>
          <w:p w14:paraId="45696A5D" w14:textId="77777777" w:rsidR="00874350" w:rsidRPr="00D45F4C" w:rsidRDefault="00874350" w:rsidP="00874350">
            <w:pPr>
              <w:spacing w:before="60" w:after="60" w:line="240" w:lineRule="auto"/>
              <w:rPr>
                <w:sz w:val="18"/>
                <w:szCs w:val="18"/>
              </w:rPr>
            </w:pPr>
          </w:p>
        </w:tc>
      </w:tr>
      <w:tr w:rsidR="003F236C" w:rsidRPr="003C1402" w14:paraId="09DEE608" w14:textId="77777777" w:rsidTr="0027035C">
        <w:tc>
          <w:tcPr>
            <w:tcW w:w="1194" w:type="dxa"/>
          </w:tcPr>
          <w:p w14:paraId="259323AB" w14:textId="77777777" w:rsidR="003F236C" w:rsidRPr="00D45F4C" w:rsidRDefault="003F236C" w:rsidP="00040781">
            <w:pPr>
              <w:spacing w:before="60" w:after="60" w:line="240" w:lineRule="auto"/>
              <w:jc w:val="center"/>
              <w:rPr>
                <w:b/>
                <w:bCs/>
                <w:sz w:val="18"/>
                <w:szCs w:val="18"/>
                <w:lang w:val="en-GB"/>
              </w:rPr>
            </w:pPr>
          </w:p>
        </w:tc>
        <w:tc>
          <w:tcPr>
            <w:tcW w:w="5605" w:type="dxa"/>
          </w:tcPr>
          <w:p w14:paraId="18CC214E" w14:textId="344A8137" w:rsidR="003F236C" w:rsidRPr="003F236C" w:rsidRDefault="003F236C" w:rsidP="007439DF">
            <w:pPr>
              <w:pStyle w:val="ListParagraph"/>
              <w:numPr>
                <w:ilvl w:val="0"/>
                <w:numId w:val="24"/>
              </w:numPr>
              <w:spacing w:before="60" w:after="60" w:line="240" w:lineRule="auto"/>
              <w:ind w:left="395" w:hanging="395"/>
              <w:rPr>
                <w:sz w:val="18"/>
                <w:szCs w:val="18"/>
                <w:lang w:val="en-GB"/>
              </w:rPr>
            </w:pPr>
            <w:r w:rsidRPr="003F236C">
              <w:rPr>
                <w:sz w:val="18"/>
                <w:szCs w:val="18"/>
                <w:lang w:val="en-GB"/>
              </w:rPr>
              <w:t xml:space="preserve">Inclusion of toxicity data in the statistical analysis of questionable quality, reliability and quantity (e.g. data for </w:t>
            </w:r>
            <w:r w:rsidRPr="003F236C">
              <w:rPr>
                <w:i/>
                <w:iCs/>
                <w:sz w:val="18"/>
                <w:szCs w:val="18"/>
                <w:lang w:val="en-GB"/>
              </w:rPr>
              <w:t>Saccostrea glomerata</w:t>
            </w:r>
            <w:r w:rsidRPr="003F236C">
              <w:rPr>
                <w:sz w:val="18"/>
                <w:szCs w:val="18"/>
                <w:lang w:val="en-GB"/>
              </w:rPr>
              <w:t xml:space="preserve"> published by Wilson &amp; Hyne 1997);</w:t>
            </w:r>
          </w:p>
        </w:tc>
        <w:tc>
          <w:tcPr>
            <w:tcW w:w="4111" w:type="dxa"/>
          </w:tcPr>
          <w:p w14:paraId="6A265A11" w14:textId="25E0794E" w:rsidR="003F236C" w:rsidRPr="00D45F4C" w:rsidRDefault="003F236C" w:rsidP="00040781">
            <w:pPr>
              <w:spacing w:before="60" w:after="60" w:line="240" w:lineRule="auto"/>
              <w:rPr>
                <w:sz w:val="18"/>
                <w:szCs w:val="18"/>
              </w:rPr>
            </w:pPr>
            <w:r>
              <w:rPr>
                <w:iCs/>
                <w:sz w:val="18"/>
                <w:szCs w:val="18"/>
              </w:rPr>
              <w:t xml:space="preserve">All data were quality assessed and only those that passed the quality assessment were considered for use in the toxicity tests. Any data limitations are discussed in the technical brief. However, data quality </w:t>
            </w:r>
            <w:r w:rsidR="00D04D8B">
              <w:rPr>
                <w:iCs/>
                <w:sz w:val="18"/>
                <w:szCs w:val="18"/>
              </w:rPr>
              <w:t>was</w:t>
            </w:r>
            <w:r>
              <w:rPr>
                <w:iCs/>
                <w:sz w:val="18"/>
                <w:szCs w:val="18"/>
              </w:rPr>
              <w:t xml:space="preserve"> re-considered as part of the update to the DGVs.</w:t>
            </w:r>
            <w:r w:rsidR="00D04D8B">
              <w:rPr>
                <w:iCs/>
                <w:sz w:val="18"/>
                <w:szCs w:val="18"/>
              </w:rPr>
              <w:t xml:space="preserve"> As a result of this, the data for </w:t>
            </w:r>
            <w:r w:rsidR="00D04D8B" w:rsidRPr="003F236C">
              <w:rPr>
                <w:i/>
                <w:iCs/>
                <w:sz w:val="18"/>
                <w:szCs w:val="18"/>
                <w:lang w:val="en-GB"/>
              </w:rPr>
              <w:t>S</w:t>
            </w:r>
            <w:r w:rsidR="00D04D8B">
              <w:rPr>
                <w:i/>
                <w:iCs/>
                <w:sz w:val="18"/>
                <w:szCs w:val="18"/>
                <w:lang w:val="en-GB"/>
              </w:rPr>
              <w:t>.</w:t>
            </w:r>
            <w:r w:rsidR="00D04D8B" w:rsidRPr="003F236C">
              <w:rPr>
                <w:i/>
                <w:iCs/>
                <w:sz w:val="18"/>
                <w:szCs w:val="18"/>
                <w:lang w:val="en-GB"/>
              </w:rPr>
              <w:t xml:space="preserve"> glomerata</w:t>
            </w:r>
            <w:r w:rsidR="00D04D8B" w:rsidRPr="003F236C">
              <w:rPr>
                <w:sz w:val="18"/>
                <w:szCs w:val="18"/>
                <w:lang w:val="en-GB"/>
              </w:rPr>
              <w:t xml:space="preserve"> published by Wilson &amp; Hyne </w:t>
            </w:r>
            <w:r w:rsidR="00D04D8B">
              <w:rPr>
                <w:sz w:val="18"/>
                <w:szCs w:val="18"/>
                <w:lang w:val="en-GB"/>
              </w:rPr>
              <w:t>(</w:t>
            </w:r>
            <w:r w:rsidR="00D04D8B" w:rsidRPr="003F236C">
              <w:rPr>
                <w:sz w:val="18"/>
                <w:szCs w:val="18"/>
                <w:lang w:val="en-GB"/>
              </w:rPr>
              <w:t>1997</w:t>
            </w:r>
            <w:r w:rsidR="00D04D8B">
              <w:rPr>
                <w:sz w:val="18"/>
                <w:szCs w:val="18"/>
                <w:lang w:val="en-GB"/>
              </w:rPr>
              <w:t>) were excluded from the dataset.</w:t>
            </w:r>
          </w:p>
        </w:tc>
        <w:tc>
          <w:tcPr>
            <w:tcW w:w="3040" w:type="dxa"/>
          </w:tcPr>
          <w:p w14:paraId="5C5A28DF" w14:textId="0CC0F5EF" w:rsidR="002A7E63" w:rsidRPr="00AE5AEC" w:rsidRDefault="00D04D8B" w:rsidP="00040781">
            <w:pPr>
              <w:spacing w:before="60" w:after="60" w:line="240" w:lineRule="auto"/>
              <w:rPr>
                <w:iCs/>
                <w:sz w:val="18"/>
                <w:szCs w:val="18"/>
              </w:rPr>
            </w:pPr>
            <w:r>
              <w:rPr>
                <w:sz w:val="18"/>
                <w:szCs w:val="18"/>
              </w:rPr>
              <w:t>The dataset was re-evaluated for quality</w:t>
            </w:r>
            <w:r w:rsidR="00AE5AEC">
              <w:rPr>
                <w:sz w:val="18"/>
                <w:szCs w:val="18"/>
              </w:rPr>
              <w:t>/reliability. Data selection decisions are clearly described in the text (Section 4.1) of the technical brief.</w:t>
            </w:r>
          </w:p>
        </w:tc>
      </w:tr>
      <w:tr w:rsidR="003F236C" w:rsidRPr="003C1402" w14:paraId="3B738377" w14:textId="77777777" w:rsidTr="0027035C">
        <w:tc>
          <w:tcPr>
            <w:tcW w:w="1194" w:type="dxa"/>
          </w:tcPr>
          <w:p w14:paraId="472B6D6A" w14:textId="77777777" w:rsidR="003F236C" w:rsidRPr="00D45F4C" w:rsidRDefault="003F236C" w:rsidP="00040781">
            <w:pPr>
              <w:spacing w:before="60" w:after="60" w:line="240" w:lineRule="auto"/>
              <w:jc w:val="center"/>
              <w:rPr>
                <w:b/>
                <w:bCs/>
                <w:sz w:val="18"/>
                <w:szCs w:val="18"/>
                <w:lang w:val="en-GB"/>
              </w:rPr>
            </w:pPr>
          </w:p>
        </w:tc>
        <w:tc>
          <w:tcPr>
            <w:tcW w:w="5605" w:type="dxa"/>
          </w:tcPr>
          <w:p w14:paraId="6811514C" w14:textId="0A9DEA23" w:rsidR="003F236C" w:rsidRPr="00116C1B" w:rsidRDefault="00116C1B" w:rsidP="007439DF">
            <w:pPr>
              <w:pStyle w:val="ListParagraph"/>
              <w:numPr>
                <w:ilvl w:val="0"/>
                <w:numId w:val="24"/>
              </w:numPr>
              <w:spacing w:before="60" w:after="60" w:line="240" w:lineRule="auto"/>
              <w:ind w:left="395" w:hanging="425"/>
              <w:rPr>
                <w:sz w:val="18"/>
                <w:szCs w:val="18"/>
                <w:lang w:val="en-GB"/>
              </w:rPr>
            </w:pPr>
            <w:r w:rsidRPr="00116C1B">
              <w:rPr>
                <w:sz w:val="18"/>
                <w:szCs w:val="18"/>
                <w:lang w:val="en-GB"/>
              </w:rPr>
              <w:t>Poorly characterised physical and chemical forms of iron in the testing media that are not representative of the natural forms of iron found in the marine environment;</w:t>
            </w:r>
          </w:p>
        </w:tc>
        <w:tc>
          <w:tcPr>
            <w:tcW w:w="4111" w:type="dxa"/>
          </w:tcPr>
          <w:p w14:paraId="7B68CFFC" w14:textId="50E43EBB" w:rsidR="003F236C" w:rsidRPr="00D45F4C" w:rsidRDefault="00A06EC9" w:rsidP="00040781">
            <w:pPr>
              <w:spacing w:before="60" w:after="60" w:line="240" w:lineRule="auto"/>
              <w:rPr>
                <w:sz w:val="18"/>
                <w:szCs w:val="18"/>
              </w:rPr>
            </w:pPr>
            <w:r>
              <w:rPr>
                <w:iCs/>
                <w:sz w:val="18"/>
                <w:szCs w:val="18"/>
              </w:rPr>
              <w:t>Refer to responses to</w:t>
            </w:r>
            <w:r w:rsidR="00116C1B">
              <w:rPr>
                <w:iCs/>
                <w:sz w:val="18"/>
                <w:szCs w:val="18"/>
              </w:rPr>
              <w:t xml:space="preserve"> comments </w:t>
            </w:r>
            <w:r>
              <w:rPr>
                <w:iCs/>
                <w:sz w:val="18"/>
                <w:szCs w:val="18"/>
              </w:rPr>
              <w:t>2(a) and 7(b).</w:t>
            </w:r>
          </w:p>
        </w:tc>
        <w:tc>
          <w:tcPr>
            <w:tcW w:w="3040" w:type="dxa"/>
          </w:tcPr>
          <w:p w14:paraId="7EFFEEA7" w14:textId="50CFFCA1" w:rsidR="003F236C" w:rsidRPr="00D45F4C" w:rsidRDefault="00116C1B" w:rsidP="00040781">
            <w:pPr>
              <w:spacing w:before="60" w:after="60" w:line="240" w:lineRule="auto"/>
              <w:rPr>
                <w:sz w:val="18"/>
                <w:szCs w:val="18"/>
              </w:rPr>
            </w:pPr>
            <w:r>
              <w:rPr>
                <w:iCs/>
                <w:sz w:val="18"/>
                <w:szCs w:val="18"/>
              </w:rPr>
              <w:t xml:space="preserve">Refer to </w:t>
            </w:r>
            <w:r w:rsidR="00A06EC9">
              <w:rPr>
                <w:iCs/>
                <w:sz w:val="18"/>
                <w:szCs w:val="18"/>
              </w:rPr>
              <w:t>actions taken for comments 2(a) and 7(b).</w:t>
            </w:r>
          </w:p>
        </w:tc>
      </w:tr>
      <w:tr w:rsidR="00CD5A5E" w:rsidRPr="003C1402" w14:paraId="77980F6F" w14:textId="77777777" w:rsidTr="0027035C">
        <w:tc>
          <w:tcPr>
            <w:tcW w:w="1194" w:type="dxa"/>
          </w:tcPr>
          <w:p w14:paraId="3ACEA6EF" w14:textId="77777777" w:rsidR="00CD5A5E" w:rsidRPr="00D45F4C" w:rsidRDefault="00CD5A5E" w:rsidP="00CD5A5E">
            <w:pPr>
              <w:spacing w:before="60" w:after="60" w:line="240" w:lineRule="auto"/>
              <w:jc w:val="center"/>
              <w:rPr>
                <w:b/>
                <w:bCs/>
                <w:sz w:val="18"/>
                <w:szCs w:val="18"/>
                <w:lang w:val="en-GB"/>
              </w:rPr>
            </w:pPr>
          </w:p>
        </w:tc>
        <w:tc>
          <w:tcPr>
            <w:tcW w:w="5605" w:type="dxa"/>
          </w:tcPr>
          <w:p w14:paraId="24E6FBD0" w14:textId="66F8A9FC" w:rsidR="00CD5A5E" w:rsidRPr="00CD5A5E" w:rsidRDefault="00CD5A5E" w:rsidP="007439DF">
            <w:pPr>
              <w:pStyle w:val="ListParagraph"/>
              <w:numPr>
                <w:ilvl w:val="0"/>
                <w:numId w:val="24"/>
              </w:numPr>
              <w:spacing w:before="60" w:after="60" w:line="240" w:lineRule="auto"/>
              <w:ind w:left="395" w:hanging="425"/>
              <w:rPr>
                <w:sz w:val="18"/>
                <w:szCs w:val="18"/>
                <w:lang w:val="en-GB"/>
              </w:rPr>
            </w:pPr>
            <w:r w:rsidRPr="00CD5A5E">
              <w:rPr>
                <w:sz w:val="18"/>
                <w:szCs w:val="18"/>
                <w:lang w:val="en-GB"/>
              </w:rPr>
              <w:t>No reliable quantification of total iron concentrations in marine waters for comparison against the proposed DGV that makes application of the DGV impractical and places an unjustified burden on industry to develop site specific criteria for iron DGV’s (based on baselines from any suitable reference locations);</w:t>
            </w:r>
          </w:p>
        </w:tc>
        <w:tc>
          <w:tcPr>
            <w:tcW w:w="4111" w:type="dxa"/>
          </w:tcPr>
          <w:p w14:paraId="4C571DFF" w14:textId="5D538011" w:rsidR="00CD5A5E" w:rsidRPr="00D45F4C" w:rsidRDefault="00A06EC9" w:rsidP="00CD5A5E">
            <w:pPr>
              <w:spacing w:before="60" w:after="60" w:line="240" w:lineRule="auto"/>
              <w:rPr>
                <w:sz w:val="18"/>
                <w:szCs w:val="18"/>
              </w:rPr>
            </w:pPr>
            <w:r>
              <w:rPr>
                <w:iCs/>
                <w:sz w:val="18"/>
                <w:szCs w:val="18"/>
              </w:rPr>
              <w:t>Refer to response to comment 2(a).</w:t>
            </w:r>
            <w:r w:rsidR="003A0D29">
              <w:rPr>
                <w:iCs/>
                <w:sz w:val="18"/>
                <w:szCs w:val="18"/>
              </w:rPr>
              <w:t xml:space="preserve"> Also, it is noted that the ANZG (2018) Guidelines clearly state that DGVs cannot account for all site-specific conditions and that, in many cases, site-specific GVs will need to be derived.</w:t>
            </w:r>
          </w:p>
        </w:tc>
        <w:tc>
          <w:tcPr>
            <w:tcW w:w="3040" w:type="dxa"/>
          </w:tcPr>
          <w:p w14:paraId="4526ABC2" w14:textId="370C8320" w:rsidR="00CD5A5E" w:rsidRPr="00D45F4C" w:rsidRDefault="00A06EC9" w:rsidP="00CD5A5E">
            <w:pPr>
              <w:spacing w:before="60" w:after="60" w:line="240" w:lineRule="auto"/>
              <w:rPr>
                <w:sz w:val="18"/>
                <w:szCs w:val="18"/>
              </w:rPr>
            </w:pPr>
            <w:r>
              <w:rPr>
                <w:iCs/>
                <w:sz w:val="18"/>
                <w:szCs w:val="18"/>
              </w:rPr>
              <w:t>Refer to action taken for comment 2(a).</w:t>
            </w:r>
          </w:p>
        </w:tc>
      </w:tr>
      <w:tr w:rsidR="003469F3" w:rsidRPr="003C1402" w14:paraId="480661DD" w14:textId="77777777" w:rsidTr="0027035C">
        <w:tc>
          <w:tcPr>
            <w:tcW w:w="1194" w:type="dxa"/>
          </w:tcPr>
          <w:p w14:paraId="020FF4F3" w14:textId="77777777" w:rsidR="003469F3" w:rsidRPr="00D45F4C" w:rsidRDefault="003469F3" w:rsidP="00040781">
            <w:pPr>
              <w:spacing w:before="60" w:after="60" w:line="240" w:lineRule="auto"/>
              <w:jc w:val="center"/>
              <w:rPr>
                <w:b/>
                <w:bCs/>
                <w:sz w:val="18"/>
                <w:szCs w:val="18"/>
                <w:lang w:val="en-GB"/>
              </w:rPr>
            </w:pPr>
          </w:p>
        </w:tc>
        <w:tc>
          <w:tcPr>
            <w:tcW w:w="5605" w:type="dxa"/>
          </w:tcPr>
          <w:p w14:paraId="3934CC8B" w14:textId="71B4E174" w:rsidR="003469F3" w:rsidRPr="003469F3" w:rsidRDefault="003469F3" w:rsidP="007439DF">
            <w:pPr>
              <w:pStyle w:val="ListParagraph"/>
              <w:numPr>
                <w:ilvl w:val="0"/>
                <w:numId w:val="24"/>
              </w:numPr>
              <w:spacing w:before="60" w:after="60" w:line="240" w:lineRule="auto"/>
              <w:ind w:left="395" w:hanging="395"/>
              <w:rPr>
                <w:sz w:val="18"/>
                <w:szCs w:val="18"/>
                <w:lang w:val="en-GB"/>
              </w:rPr>
            </w:pPr>
            <w:r w:rsidRPr="003469F3">
              <w:rPr>
                <w:sz w:val="18"/>
                <w:szCs w:val="18"/>
                <w:lang w:val="en-GB"/>
              </w:rPr>
              <w:t>Before the iron DGV in marine waters becomes a statutory requirement, we respectfully suggest that the major short comings that have been detailed in the Attachment 1 are addressed towards definition of a more realistic DGV.</w:t>
            </w:r>
          </w:p>
        </w:tc>
        <w:tc>
          <w:tcPr>
            <w:tcW w:w="4111" w:type="dxa"/>
          </w:tcPr>
          <w:p w14:paraId="3A34E041" w14:textId="21DE2731" w:rsidR="003469F3" w:rsidRDefault="001F2CD7" w:rsidP="003469F3">
            <w:pPr>
              <w:spacing w:before="60" w:after="60"/>
              <w:rPr>
                <w:iCs/>
                <w:sz w:val="18"/>
                <w:szCs w:val="18"/>
              </w:rPr>
            </w:pPr>
            <w:r>
              <w:rPr>
                <w:iCs/>
                <w:sz w:val="18"/>
                <w:szCs w:val="18"/>
              </w:rPr>
              <w:t>Refer to responses to comments 16 to 18.</w:t>
            </w:r>
          </w:p>
          <w:p w14:paraId="0BBC832A" w14:textId="10F98E99" w:rsidR="003469F3" w:rsidRDefault="001F2CD7" w:rsidP="003469F3">
            <w:pPr>
              <w:spacing w:before="60" w:after="60" w:line="240" w:lineRule="auto"/>
              <w:rPr>
                <w:iCs/>
                <w:sz w:val="18"/>
                <w:szCs w:val="18"/>
              </w:rPr>
            </w:pPr>
            <w:r>
              <w:rPr>
                <w:iCs/>
                <w:sz w:val="18"/>
                <w:szCs w:val="18"/>
              </w:rPr>
              <w:t>In relation to the more detailed review that was undertaken, responses</w:t>
            </w:r>
            <w:r w:rsidR="00CD519B">
              <w:rPr>
                <w:iCs/>
                <w:sz w:val="18"/>
                <w:szCs w:val="18"/>
              </w:rPr>
              <w:t xml:space="preserve"> to key comments</w:t>
            </w:r>
            <w:r>
              <w:rPr>
                <w:iCs/>
                <w:sz w:val="18"/>
                <w:szCs w:val="18"/>
              </w:rPr>
              <w:t xml:space="preserve"> are provided below:</w:t>
            </w:r>
          </w:p>
          <w:p w14:paraId="2C3E207B" w14:textId="77777777" w:rsidR="00CD519B" w:rsidRDefault="00CD519B" w:rsidP="00CD519B">
            <w:pPr>
              <w:pStyle w:val="ListParagraph"/>
              <w:numPr>
                <w:ilvl w:val="0"/>
                <w:numId w:val="46"/>
              </w:numPr>
              <w:spacing w:before="60" w:after="60" w:line="240" w:lineRule="auto"/>
              <w:contextualSpacing w:val="0"/>
              <w:rPr>
                <w:iCs/>
                <w:sz w:val="18"/>
                <w:szCs w:val="18"/>
              </w:rPr>
            </w:pPr>
            <w:r>
              <w:rPr>
                <w:iCs/>
                <w:sz w:val="18"/>
                <w:szCs w:val="18"/>
              </w:rPr>
              <w:t>All of the data used in the SSD passed the data assessment criteria.</w:t>
            </w:r>
          </w:p>
          <w:p w14:paraId="6670D663" w14:textId="11BCE91E" w:rsidR="00CD519B" w:rsidRDefault="00CD519B" w:rsidP="00CD519B">
            <w:pPr>
              <w:pStyle w:val="ListParagraph"/>
              <w:numPr>
                <w:ilvl w:val="0"/>
                <w:numId w:val="46"/>
              </w:numPr>
              <w:spacing w:before="60" w:after="60" w:line="240" w:lineRule="auto"/>
              <w:contextualSpacing w:val="0"/>
              <w:rPr>
                <w:iCs/>
                <w:sz w:val="18"/>
                <w:szCs w:val="18"/>
              </w:rPr>
            </w:pPr>
            <w:r>
              <w:rPr>
                <w:iCs/>
                <w:sz w:val="18"/>
                <w:szCs w:val="18"/>
              </w:rPr>
              <w:t xml:space="preserve">Where NOEC values are the only available values for a species, these are acceptable. </w:t>
            </w:r>
          </w:p>
          <w:p w14:paraId="11DD8DA7" w14:textId="07EC1041" w:rsidR="00CD519B" w:rsidRDefault="00CD519B" w:rsidP="00CD519B">
            <w:pPr>
              <w:pStyle w:val="ListParagraph"/>
              <w:numPr>
                <w:ilvl w:val="0"/>
                <w:numId w:val="46"/>
              </w:numPr>
              <w:spacing w:before="60" w:after="60" w:line="240" w:lineRule="auto"/>
              <w:contextualSpacing w:val="0"/>
              <w:rPr>
                <w:iCs/>
                <w:sz w:val="18"/>
                <w:szCs w:val="18"/>
              </w:rPr>
            </w:pPr>
            <w:r>
              <w:rPr>
                <w:iCs/>
                <w:sz w:val="18"/>
                <w:szCs w:val="18"/>
              </w:rPr>
              <w:t>On re-evaluation, the oyster data of Wilson &amp; Hyne (1997) were excluded from the DGV derivation.</w:t>
            </w:r>
          </w:p>
          <w:p w14:paraId="7B8FF28A" w14:textId="1BD80531" w:rsidR="00CD519B" w:rsidRDefault="00CD519B" w:rsidP="00CD519B">
            <w:pPr>
              <w:pStyle w:val="ListParagraph"/>
              <w:numPr>
                <w:ilvl w:val="0"/>
                <w:numId w:val="46"/>
              </w:numPr>
              <w:spacing w:before="60" w:after="60" w:line="240" w:lineRule="auto"/>
              <w:contextualSpacing w:val="0"/>
              <w:rPr>
                <w:iCs/>
                <w:sz w:val="18"/>
                <w:szCs w:val="18"/>
              </w:rPr>
            </w:pPr>
            <w:r>
              <w:rPr>
                <w:iCs/>
                <w:sz w:val="18"/>
                <w:szCs w:val="18"/>
              </w:rPr>
              <w:t xml:space="preserve">Both particulate and dissolved iron contribute to toxicity.  Iron added as soluble salts will stabilise at a mixture of colloidal/precipitated and dissolved iron.  Ageing can lead to non-bioavailable </w:t>
            </w:r>
            <w:r>
              <w:rPr>
                <w:iCs/>
                <w:sz w:val="18"/>
                <w:szCs w:val="18"/>
              </w:rPr>
              <w:lastRenderedPageBreak/>
              <w:t>forms.  These issues were examined by Balsamo Crespo et al. (2023).</w:t>
            </w:r>
          </w:p>
          <w:p w14:paraId="3997C82A" w14:textId="09300AC1" w:rsidR="001F2CD7" w:rsidRPr="00CD519B" w:rsidRDefault="00CD519B" w:rsidP="00CD519B">
            <w:pPr>
              <w:pStyle w:val="ListParagraph"/>
              <w:numPr>
                <w:ilvl w:val="0"/>
                <w:numId w:val="46"/>
              </w:numPr>
              <w:spacing w:before="60" w:after="60" w:line="240" w:lineRule="auto"/>
              <w:rPr>
                <w:sz w:val="18"/>
                <w:szCs w:val="18"/>
              </w:rPr>
            </w:pPr>
            <w:r w:rsidRPr="00CD519B">
              <w:rPr>
                <w:iCs/>
                <w:sz w:val="18"/>
                <w:szCs w:val="18"/>
              </w:rPr>
              <w:t xml:space="preserve">The pH 2 method has been rigorously examined and details are included in </w:t>
            </w:r>
            <w:r>
              <w:rPr>
                <w:iCs/>
                <w:sz w:val="18"/>
                <w:szCs w:val="18"/>
              </w:rPr>
              <w:t>Balsamo Crespo et al. (2023) and ANZG (202</w:t>
            </w:r>
            <w:r w:rsidR="000F7F99">
              <w:rPr>
                <w:iCs/>
                <w:sz w:val="18"/>
                <w:szCs w:val="18"/>
              </w:rPr>
              <w:t>5</w:t>
            </w:r>
            <w:r>
              <w:rPr>
                <w:iCs/>
                <w:sz w:val="18"/>
                <w:szCs w:val="18"/>
              </w:rPr>
              <w:t>), and referred to in the updated technical brief.</w:t>
            </w:r>
          </w:p>
        </w:tc>
        <w:tc>
          <w:tcPr>
            <w:tcW w:w="3040" w:type="dxa"/>
          </w:tcPr>
          <w:p w14:paraId="1511ED2F" w14:textId="76C35032" w:rsidR="003469F3" w:rsidRDefault="003469F3" w:rsidP="003469F3">
            <w:pPr>
              <w:spacing w:before="60" w:after="60"/>
              <w:rPr>
                <w:iCs/>
                <w:sz w:val="18"/>
                <w:szCs w:val="18"/>
              </w:rPr>
            </w:pPr>
            <w:r>
              <w:rPr>
                <w:iCs/>
                <w:sz w:val="18"/>
                <w:szCs w:val="18"/>
              </w:rPr>
              <w:lastRenderedPageBreak/>
              <w:t xml:space="preserve">Refer to actions </w:t>
            </w:r>
            <w:r w:rsidR="001F2CD7">
              <w:rPr>
                <w:iCs/>
                <w:sz w:val="18"/>
                <w:szCs w:val="18"/>
              </w:rPr>
              <w:t xml:space="preserve">taken </w:t>
            </w:r>
            <w:r>
              <w:rPr>
                <w:iCs/>
                <w:sz w:val="18"/>
                <w:szCs w:val="18"/>
              </w:rPr>
              <w:t>for comments 16-18.</w:t>
            </w:r>
          </w:p>
          <w:p w14:paraId="0EE6D1AC" w14:textId="25ADAAC5" w:rsidR="003469F3" w:rsidRPr="00D45F4C" w:rsidRDefault="003A4E60" w:rsidP="003469F3">
            <w:pPr>
              <w:spacing w:before="60" w:after="60" w:line="240" w:lineRule="auto"/>
              <w:rPr>
                <w:sz w:val="18"/>
                <w:szCs w:val="18"/>
              </w:rPr>
            </w:pPr>
            <w:r>
              <w:rPr>
                <w:sz w:val="18"/>
                <w:szCs w:val="18"/>
              </w:rPr>
              <w:t>The</w:t>
            </w:r>
            <w:r w:rsidR="003469F3">
              <w:rPr>
                <w:sz w:val="18"/>
                <w:szCs w:val="18"/>
              </w:rPr>
              <w:t xml:space="preserve"> technical brief a</w:t>
            </w:r>
            <w:r>
              <w:rPr>
                <w:sz w:val="18"/>
                <w:szCs w:val="18"/>
              </w:rPr>
              <w:t xml:space="preserve">ddresses the </w:t>
            </w:r>
            <w:r w:rsidR="00CD519B">
              <w:rPr>
                <w:sz w:val="18"/>
                <w:szCs w:val="18"/>
              </w:rPr>
              <w:t>issues identified in the more detailed review.</w:t>
            </w:r>
            <w:r w:rsidR="00346662">
              <w:rPr>
                <w:sz w:val="18"/>
                <w:szCs w:val="18"/>
              </w:rPr>
              <w:t xml:space="preserve"> </w:t>
            </w:r>
          </w:p>
        </w:tc>
      </w:tr>
      <w:tr w:rsidR="00874350" w:rsidRPr="003C1402" w14:paraId="7F42CEBC" w14:textId="77777777" w:rsidTr="0027035C">
        <w:tc>
          <w:tcPr>
            <w:tcW w:w="1194" w:type="dxa"/>
          </w:tcPr>
          <w:p w14:paraId="598AAA77" w14:textId="67923031" w:rsidR="00874350" w:rsidRPr="00D45F4C" w:rsidRDefault="00A75285" w:rsidP="00874350">
            <w:pPr>
              <w:spacing w:before="60" w:after="60" w:line="240" w:lineRule="auto"/>
              <w:jc w:val="center"/>
              <w:rPr>
                <w:b/>
                <w:bCs/>
                <w:sz w:val="18"/>
                <w:szCs w:val="18"/>
                <w:lang w:val="en-GB"/>
              </w:rPr>
            </w:pPr>
            <w:r>
              <w:rPr>
                <w:b/>
                <w:bCs/>
                <w:sz w:val="18"/>
                <w:szCs w:val="18"/>
                <w:lang w:val="en-GB"/>
              </w:rPr>
              <w:t>7.</w:t>
            </w:r>
          </w:p>
        </w:tc>
        <w:tc>
          <w:tcPr>
            <w:tcW w:w="5605" w:type="dxa"/>
          </w:tcPr>
          <w:p w14:paraId="2E74FF7A" w14:textId="15AEA4B0" w:rsidR="00A75285" w:rsidRPr="00A75285" w:rsidRDefault="00A75285" w:rsidP="007439DF">
            <w:pPr>
              <w:pStyle w:val="ListParagraph"/>
              <w:numPr>
                <w:ilvl w:val="0"/>
                <w:numId w:val="24"/>
              </w:numPr>
              <w:spacing w:before="60" w:after="60" w:line="240" w:lineRule="auto"/>
              <w:ind w:left="395" w:hanging="395"/>
              <w:rPr>
                <w:iCs/>
                <w:sz w:val="18"/>
                <w:szCs w:val="18"/>
                <w:lang w:val="en-GB"/>
              </w:rPr>
            </w:pPr>
            <w:r w:rsidRPr="00A75285">
              <w:rPr>
                <w:iCs/>
                <w:sz w:val="18"/>
                <w:szCs w:val="18"/>
                <w:lang w:val="en-GB"/>
              </w:rPr>
              <w:t xml:space="preserve">We are a desalination facility based on the Gold Coast and discharge reverse osmosis concentrate into the </w:t>
            </w:r>
            <w:proofErr w:type="spellStart"/>
            <w:r w:rsidRPr="00A75285">
              <w:rPr>
                <w:iCs/>
                <w:sz w:val="18"/>
                <w:szCs w:val="18"/>
                <w:lang w:val="en-GB"/>
              </w:rPr>
              <w:t>Tugun</w:t>
            </w:r>
            <w:proofErr w:type="spellEnd"/>
            <w:r w:rsidRPr="00A75285">
              <w:rPr>
                <w:iCs/>
                <w:sz w:val="18"/>
                <w:szCs w:val="18"/>
                <w:lang w:val="en-GB"/>
              </w:rPr>
              <w:t xml:space="preserve"> embayment. As a part of our marine water monitoring program, we conduct a monthly sampling event within the receiving environment and have done so since commissioning in 2009.</w:t>
            </w:r>
          </w:p>
          <w:p w14:paraId="5979B9EB" w14:textId="2AE6A3B8" w:rsidR="00A75285" w:rsidRPr="00511038" w:rsidRDefault="00A75285" w:rsidP="00A75285">
            <w:pPr>
              <w:spacing w:before="60" w:after="60" w:line="240" w:lineRule="auto"/>
              <w:ind w:left="395"/>
              <w:rPr>
                <w:iCs/>
                <w:sz w:val="18"/>
                <w:szCs w:val="18"/>
                <w:lang w:val="en-GB"/>
              </w:rPr>
            </w:pPr>
            <w:r w:rsidRPr="00511038">
              <w:rPr>
                <w:iCs/>
                <w:sz w:val="18"/>
                <w:szCs w:val="18"/>
                <w:lang w:val="en-GB"/>
              </w:rPr>
              <w:t>I have attached a copy of the Marine Monitoring Report from June 2020 for your information. Temporal iron concentration information can be found from page 18.</w:t>
            </w:r>
            <w:r>
              <w:rPr>
                <w:iCs/>
                <w:sz w:val="18"/>
                <w:szCs w:val="18"/>
                <w:lang w:val="en-GB"/>
              </w:rPr>
              <w:t xml:space="preserve"> </w:t>
            </w:r>
            <w:r w:rsidRPr="00511038">
              <w:rPr>
                <w:iCs/>
                <w:sz w:val="18"/>
                <w:szCs w:val="18"/>
                <w:lang w:val="en-GB"/>
              </w:rPr>
              <w:t>Historically, the control and impact sites do not differ in any significant way and the plant has never been identified to be contributing to the concentrations of total iron within the area.</w:t>
            </w:r>
          </w:p>
          <w:p w14:paraId="2DDE5AF7" w14:textId="090F3BFC" w:rsidR="00A75285" w:rsidRPr="00511038" w:rsidRDefault="00A75285" w:rsidP="00A75285">
            <w:pPr>
              <w:spacing w:before="60" w:after="60" w:line="240" w:lineRule="auto"/>
              <w:ind w:left="395"/>
              <w:rPr>
                <w:iCs/>
                <w:sz w:val="18"/>
                <w:szCs w:val="18"/>
                <w:lang w:val="en-GB"/>
              </w:rPr>
            </w:pPr>
            <w:r w:rsidRPr="00511038">
              <w:rPr>
                <w:iCs/>
                <w:sz w:val="18"/>
                <w:szCs w:val="18"/>
                <w:lang w:val="en-GB"/>
              </w:rPr>
              <w:t>However, both control and impact site concentrations for total iron can be close to the proposed 95% protection value of 180µg/L; in some cases individual sites (including controls) can test at a higher level than this, indicating broader regional scale processes at play. These may include increased upwelling of cooler nutrient rich waters and impacts of coastal runoff.</w:t>
            </w:r>
          </w:p>
          <w:p w14:paraId="46549377" w14:textId="77777777" w:rsidR="00A75285" w:rsidRPr="00511038" w:rsidRDefault="00A75285" w:rsidP="00A75285">
            <w:pPr>
              <w:spacing w:before="60" w:after="60" w:line="240" w:lineRule="auto"/>
              <w:ind w:left="395"/>
              <w:rPr>
                <w:iCs/>
                <w:sz w:val="18"/>
                <w:szCs w:val="18"/>
                <w:lang w:val="en-GB"/>
              </w:rPr>
            </w:pPr>
            <w:r w:rsidRPr="00511038">
              <w:rPr>
                <w:iCs/>
                <w:sz w:val="18"/>
                <w:szCs w:val="18"/>
                <w:lang w:val="en-GB"/>
              </w:rPr>
              <w:t>The draft guidelines proposed do not make mention of consideration given to natural areas with a total iron level which exists at a higher concentration than the 180µg/L.</w:t>
            </w:r>
          </w:p>
          <w:p w14:paraId="35AA1EFD" w14:textId="5CADAD89" w:rsidR="00A75285" w:rsidRPr="00511038" w:rsidRDefault="00A75285" w:rsidP="00A75285">
            <w:pPr>
              <w:spacing w:before="60" w:after="60" w:line="240" w:lineRule="auto"/>
              <w:ind w:left="395"/>
              <w:rPr>
                <w:iCs/>
                <w:sz w:val="18"/>
                <w:szCs w:val="18"/>
                <w:lang w:val="en-GB"/>
              </w:rPr>
            </w:pPr>
            <w:r w:rsidRPr="00511038">
              <w:rPr>
                <w:iCs/>
                <w:sz w:val="18"/>
                <w:szCs w:val="18"/>
                <w:lang w:val="en-GB"/>
              </w:rPr>
              <w:t>We have a decade of data from our impact and control locations for total and dissolved iron around the discharge diffuser and are happy to provide this information</w:t>
            </w:r>
            <w:r>
              <w:rPr>
                <w:iCs/>
                <w:sz w:val="18"/>
                <w:szCs w:val="18"/>
                <w:lang w:val="en-GB"/>
              </w:rPr>
              <w:t xml:space="preserve"> </w:t>
            </w:r>
            <w:r w:rsidRPr="00511038">
              <w:rPr>
                <w:iCs/>
                <w:sz w:val="18"/>
                <w:szCs w:val="18"/>
                <w:lang w:val="en-GB"/>
              </w:rPr>
              <w:t>to the committee however require some time to collate the data.</w:t>
            </w:r>
          </w:p>
          <w:p w14:paraId="37BA762A" w14:textId="5A7392D2" w:rsidR="00874350" w:rsidRPr="00D45F4C" w:rsidRDefault="00A75285" w:rsidP="00A75285">
            <w:pPr>
              <w:spacing w:before="60" w:after="60" w:line="240" w:lineRule="auto"/>
              <w:ind w:left="395"/>
              <w:rPr>
                <w:sz w:val="18"/>
                <w:szCs w:val="18"/>
                <w:lang w:val="en-GB"/>
              </w:rPr>
            </w:pPr>
            <w:r w:rsidRPr="00511038">
              <w:rPr>
                <w:iCs/>
                <w:sz w:val="18"/>
                <w:szCs w:val="18"/>
                <w:lang w:val="en-GB"/>
              </w:rPr>
              <w:t>Can you please provide me with a date that I can provide this data submission to you?</w:t>
            </w:r>
          </w:p>
        </w:tc>
        <w:tc>
          <w:tcPr>
            <w:tcW w:w="4111" w:type="dxa"/>
          </w:tcPr>
          <w:p w14:paraId="3A4653CA" w14:textId="3F972AB2" w:rsidR="00A75285" w:rsidRDefault="00A75285" w:rsidP="00A75285">
            <w:pPr>
              <w:spacing w:before="60" w:after="60" w:line="240" w:lineRule="auto"/>
              <w:rPr>
                <w:bCs/>
                <w:sz w:val="18"/>
                <w:szCs w:val="18"/>
              </w:rPr>
            </w:pPr>
            <w:r>
              <w:rPr>
                <w:bCs/>
                <w:sz w:val="18"/>
                <w:szCs w:val="18"/>
              </w:rPr>
              <w:t xml:space="preserve">The refined pH 2 extraction method for iron should address this to a large extent. </w:t>
            </w:r>
            <w:r w:rsidR="00B67434">
              <w:rPr>
                <w:bCs/>
                <w:sz w:val="18"/>
                <w:szCs w:val="18"/>
              </w:rPr>
              <w:t>Also r</w:t>
            </w:r>
            <w:r w:rsidR="00B67434">
              <w:rPr>
                <w:iCs/>
                <w:sz w:val="18"/>
                <w:szCs w:val="18"/>
              </w:rPr>
              <w:t>efer to response to comment 2(a).</w:t>
            </w:r>
          </w:p>
          <w:p w14:paraId="0754086C" w14:textId="5E52C396" w:rsidR="00874350" w:rsidRPr="00D45F4C" w:rsidRDefault="00A75285" w:rsidP="00A75285">
            <w:pPr>
              <w:spacing w:before="60" w:after="60" w:line="240" w:lineRule="auto"/>
              <w:rPr>
                <w:sz w:val="18"/>
                <w:szCs w:val="18"/>
              </w:rPr>
            </w:pPr>
            <w:r>
              <w:rPr>
                <w:bCs/>
                <w:sz w:val="18"/>
                <w:szCs w:val="18"/>
              </w:rPr>
              <w:t xml:space="preserve">With regards to dealing with naturally elevated concentrations of metals, the ANZG </w:t>
            </w:r>
            <w:r w:rsidR="00B67434">
              <w:rPr>
                <w:bCs/>
                <w:sz w:val="18"/>
                <w:szCs w:val="18"/>
              </w:rPr>
              <w:t xml:space="preserve">(2018) </w:t>
            </w:r>
            <w:r>
              <w:rPr>
                <w:bCs/>
                <w:sz w:val="18"/>
                <w:szCs w:val="18"/>
              </w:rPr>
              <w:t xml:space="preserve">Guidelines provide advice on this. </w:t>
            </w:r>
            <w:r w:rsidR="00B67434">
              <w:rPr>
                <w:bCs/>
                <w:sz w:val="18"/>
                <w:szCs w:val="18"/>
              </w:rPr>
              <w:t>Also r</w:t>
            </w:r>
            <w:r w:rsidR="00B67434">
              <w:rPr>
                <w:iCs/>
                <w:sz w:val="18"/>
                <w:szCs w:val="18"/>
              </w:rPr>
              <w:t>efer to response to comment 3.</w:t>
            </w:r>
          </w:p>
        </w:tc>
        <w:tc>
          <w:tcPr>
            <w:tcW w:w="3040" w:type="dxa"/>
          </w:tcPr>
          <w:p w14:paraId="3DD3BE92" w14:textId="2E67BF8A" w:rsidR="00A75285" w:rsidRPr="00D45F4C" w:rsidRDefault="00B67434" w:rsidP="00B67434">
            <w:pPr>
              <w:spacing w:before="60" w:after="60" w:line="240" w:lineRule="auto"/>
              <w:rPr>
                <w:sz w:val="18"/>
                <w:szCs w:val="18"/>
              </w:rPr>
            </w:pPr>
            <w:r>
              <w:rPr>
                <w:iCs/>
                <w:sz w:val="18"/>
                <w:szCs w:val="18"/>
              </w:rPr>
              <w:t>Refer to actions taken for comments 2(a) and 3.</w:t>
            </w:r>
          </w:p>
        </w:tc>
      </w:tr>
    </w:tbl>
    <w:p w14:paraId="3DDC5661" w14:textId="77777777" w:rsidR="007B3A5D" w:rsidRDefault="007B3A5D" w:rsidP="005F16F6">
      <w:pPr>
        <w:rPr>
          <w:lang w:val="en-GB"/>
        </w:rPr>
      </w:pPr>
    </w:p>
    <w:p w14:paraId="519B469A" w14:textId="77777777" w:rsidR="00BE0333" w:rsidRDefault="00BE0333" w:rsidP="005F16F6">
      <w:pPr>
        <w:rPr>
          <w:lang w:val="en-GB"/>
        </w:rPr>
      </w:pPr>
    </w:p>
    <w:p w14:paraId="07014033" w14:textId="77777777" w:rsidR="004A1F93" w:rsidRPr="00CF08F1" w:rsidRDefault="004A1F93" w:rsidP="004A1F93">
      <w:pPr>
        <w:rPr>
          <w:b/>
          <w:bCs/>
        </w:rPr>
      </w:pPr>
      <w:r w:rsidRPr="00CF08F1">
        <w:rPr>
          <w:b/>
          <w:bCs/>
        </w:rPr>
        <w:lastRenderedPageBreak/>
        <w:t xml:space="preserve">Additional </w:t>
      </w:r>
      <w:r>
        <w:rPr>
          <w:b/>
          <w:bCs/>
        </w:rPr>
        <w:t>improvements made</w:t>
      </w:r>
      <w:r w:rsidRPr="00CF08F1">
        <w:rPr>
          <w:b/>
          <w:bCs/>
        </w:rPr>
        <w:t xml:space="preserve"> while addressing public comments</w:t>
      </w:r>
    </w:p>
    <w:tbl>
      <w:tblPr>
        <w:tblStyle w:val="TableGrid"/>
        <w:tblW w:w="0" w:type="auto"/>
        <w:tblLook w:val="04A0" w:firstRow="1" w:lastRow="0" w:firstColumn="1" w:lastColumn="0" w:noHBand="0" w:noVBand="1"/>
      </w:tblPr>
      <w:tblGrid>
        <w:gridCol w:w="3823"/>
        <w:gridCol w:w="6520"/>
        <w:gridCol w:w="3605"/>
      </w:tblGrid>
      <w:tr w:rsidR="004A1F93" w:rsidRPr="00CF08F1" w14:paraId="3A2BD659" w14:textId="77777777" w:rsidTr="004505AF">
        <w:tc>
          <w:tcPr>
            <w:tcW w:w="3823" w:type="dxa"/>
          </w:tcPr>
          <w:p w14:paraId="5608960E" w14:textId="77777777" w:rsidR="004A1F93" w:rsidRPr="00CF08F1" w:rsidRDefault="004A1F93" w:rsidP="004505AF">
            <w:pPr>
              <w:spacing w:before="60" w:after="60"/>
              <w:rPr>
                <w:sz w:val="18"/>
                <w:szCs w:val="18"/>
              </w:rPr>
            </w:pPr>
            <w:r>
              <w:rPr>
                <w:rFonts w:cstheme="minorHAnsi"/>
                <w:b/>
                <w:bCs/>
                <w:sz w:val="20"/>
                <w:szCs w:val="20"/>
              </w:rPr>
              <w:t>Issue</w:t>
            </w:r>
          </w:p>
        </w:tc>
        <w:tc>
          <w:tcPr>
            <w:tcW w:w="6520" w:type="dxa"/>
          </w:tcPr>
          <w:p w14:paraId="22717366" w14:textId="77777777" w:rsidR="004A1F93" w:rsidRPr="00CF08F1" w:rsidRDefault="004A1F93" w:rsidP="004505AF">
            <w:pPr>
              <w:spacing w:before="60" w:after="60"/>
              <w:rPr>
                <w:sz w:val="18"/>
                <w:szCs w:val="18"/>
              </w:rPr>
            </w:pPr>
            <w:r w:rsidRPr="00B745B2">
              <w:rPr>
                <w:rFonts w:cstheme="minorHAnsi"/>
                <w:b/>
                <w:bCs/>
                <w:sz w:val="20"/>
                <w:szCs w:val="20"/>
              </w:rPr>
              <w:t>Response</w:t>
            </w:r>
          </w:p>
        </w:tc>
        <w:tc>
          <w:tcPr>
            <w:tcW w:w="3605" w:type="dxa"/>
          </w:tcPr>
          <w:p w14:paraId="7564E180" w14:textId="77777777" w:rsidR="004A1F93" w:rsidRPr="00CF08F1" w:rsidRDefault="004A1F93" w:rsidP="004505AF">
            <w:pPr>
              <w:spacing w:before="60" w:after="60"/>
              <w:rPr>
                <w:sz w:val="18"/>
                <w:szCs w:val="18"/>
              </w:rPr>
            </w:pPr>
            <w:r w:rsidRPr="00B745B2">
              <w:rPr>
                <w:rFonts w:cstheme="minorHAnsi"/>
                <w:b/>
                <w:bCs/>
                <w:sz w:val="20"/>
                <w:szCs w:val="20"/>
              </w:rPr>
              <w:t>Action taken</w:t>
            </w:r>
          </w:p>
        </w:tc>
      </w:tr>
      <w:tr w:rsidR="004A1F93" w:rsidRPr="004A7FE5" w14:paraId="398CA813" w14:textId="77777777" w:rsidTr="004505AF">
        <w:tc>
          <w:tcPr>
            <w:tcW w:w="3823" w:type="dxa"/>
          </w:tcPr>
          <w:p w14:paraId="3ECAEEEC" w14:textId="3CD18984" w:rsidR="004A1F93" w:rsidRPr="004A7FE5" w:rsidRDefault="004A1F93" w:rsidP="004505AF">
            <w:pPr>
              <w:spacing w:before="60" w:after="60"/>
              <w:rPr>
                <w:rFonts w:cstheme="minorHAnsi"/>
                <w:sz w:val="20"/>
                <w:szCs w:val="20"/>
              </w:rPr>
            </w:pPr>
            <w:r>
              <w:rPr>
                <w:rFonts w:cstheme="minorHAnsi"/>
                <w:sz w:val="20"/>
                <w:szCs w:val="20"/>
              </w:rPr>
              <w:t xml:space="preserve">The original draft iron marine DGVs technical brief, which was drafted in 2020, was not as detailed as more recently drafted DGV technical briefs. </w:t>
            </w:r>
          </w:p>
        </w:tc>
        <w:tc>
          <w:tcPr>
            <w:tcW w:w="6520" w:type="dxa"/>
          </w:tcPr>
          <w:p w14:paraId="0A3C9E5E" w14:textId="77777777" w:rsidR="004A1F93" w:rsidRDefault="004A1F93" w:rsidP="004505AF">
            <w:pPr>
              <w:spacing w:before="60" w:after="60"/>
              <w:rPr>
                <w:rFonts w:cstheme="minorHAnsi"/>
                <w:sz w:val="20"/>
                <w:szCs w:val="20"/>
              </w:rPr>
            </w:pPr>
            <w:r>
              <w:rPr>
                <w:rFonts w:cstheme="minorHAnsi"/>
                <w:sz w:val="20"/>
                <w:szCs w:val="20"/>
              </w:rPr>
              <w:t>Additional information was added to the technical brief to make the level of detail more consistent with that in more recently drafted DGV technical briefs. This included, but was not limited to:</w:t>
            </w:r>
          </w:p>
          <w:p w14:paraId="52942C54" w14:textId="77777777" w:rsidR="004A1F93" w:rsidRDefault="004A1F93" w:rsidP="004A1F93">
            <w:pPr>
              <w:pStyle w:val="ListParagraph"/>
              <w:numPr>
                <w:ilvl w:val="0"/>
                <w:numId w:val="47"/>
              </w:numPr>
              <w:spacing w:before="60" w:after="60"/>
              <w:rPr>
                <w:rFonts w:cstheme="minorHAnsi"/>
                <w:sz w:val="20"/>
                <w:szCs w:val="20"/>
              </w:rPr>
            </w:pPr>
            <w:r>
              <w:rPr>
                <w:rFonts w:cstheme="minorHAnsi"/>
                <w:sz w:val="20"/>
                <w:szCs w:val="20"/>
              </w:rPr>
              <w:t xml:space="preserve">The content of the Summary was improved. </w:t>
            </w:r>
          </w:p>
          <w:p w14:paraId="656C4493" w14:textId="3B92481C" w:rsidR="004A1F93" w:rsidRDefault="004A1F93" w:rsidP="004A1F93">
            <w:pPr>
              <w:pStyle w:val="ListParagraph"/>
              <w:numPr>
                <w:ilvl w:val="0"/>
                <w:numId w:val="47"/>
              </w:numPr>
              <w:spacing w:before="60" w:after="60"/>
              <w:rPr>
                <w:rFonts w:cstheme="minorHAnsi"/>
                <w:sz w:val="20"/>
                <w:szCs w:val="20"/>
              </w:rPr>
            </w:pPr>
            <w:r>
              <w:rPr>
                <w:rFonts w:cstheme="minorHAnsi"/>
                <w:sz w:val="20"/>
                <w:szCs w:val="20"/>
              </w:rPr>
              <w:t>Improved alignment of Section 1 (Introduction) with that for the iron freshwater DGVs technical brief.</w:t>
            </w:r>
          </w:p>
          <w:p w14:paraId="1975647D" w14:textId="75E536A1" w:rsidR="004A1F93" w:rsidRDefault="004A1F93" w:rsidP="004A1F93">
            <w:pPr>
              <w:pStyle w:val="ListParagraph"/>
              <w:numPr>
                <w:ilvl w:val="0"/>
                <w:numId w:val="47"/>
              </w:numPr>
              <w:spacing w:before="60" w:after="60"/>
              <w:rPr>
                <w:rFonts w:cstheme="minorHAnsi"/>
                <w:sz w:val="20"/>
                <w:szCs w:val="20"/>
              </w:rPr>
            </w:pPr>
            <w:r>
              <w:rPr>
                <w:rFonts w:cstheme="minorHAnsi"/>
                <w:sz w:val="20"/>
                <w:szCs w:val="20"/>
              </w:rPr>
              <w:t>Section 2.3 on general toxicity was expanded.</w:t>
            </w:r>
          </w:p>
          <w:p w14:paraId="4AD38C16" w14:textId="35501A06" w:rsidR="004A1F93" w:rsidRPr="004A1F93" w:rsidRDefault="004A1F93" w:rsidP="004A1F93">
            <w:pPr>
              <w:pStyle w:val="ListParagraph"/>
              <w:numPr>
                <w:ilvl w:val="0"/>
                <w:numId w:val="47"/>
              </w:numPr>
              <w:spacing w:before="60" w:after="60"/>
              <w:rPr>
                <w:rFonts w:cstheme="minorHAnsi"/>
                <w:sz w:val="20"/>
                <w:szCs w:val="20"/>
              </w:rPr>
            </w:pPr>
            <w:r>
              <w:rPr>
                <w:rFonts w:cstheme="minorHAnsi"/>
                <w:sz w:val="20"/>
                <w:szCs w:val="20"/>
              </w:rPr>
              <w:t>Section 4.1 was expanded, including addition of a modality assessment.</w:t>
            </w:r>
          </w:p>
        </w:tc>
        <w:tc>
          <w:tcPr>
            <w:tcW w:w="3605" w:type="dxa"/>
          </w:tcPr>
          <w:p w14:paraId="30B20C3F" w14:textId="77777777" w:rsidR="004A1F93" w:rsidRPr="004A7FE5" w:rsidRDefault="004A1F93" w:rsidP="004505AF">
            <w:pPr>
              <w:spacing w:before="60" w:after="60"/>
              <w:rPr>
                <w:rFonts w:cstheme="minorHAnsi"/>
                <w:sz w:val="20"/>
                <w:szCs w:val="20"/>
              </w:rPr>
            </w:pPr>
            <w:r>
              <w:rPr>
                <w:rFonts w:cstheme="minorHAnsi"/>
                <w:sz w:val="20"/>
                <w:szCs w:val="20"/>
              </w:rPr>
              <w:t>As detailed in the “Response”.</w:t>
            </w:r>
          </w:p>
        </w:tc>
      </w:tr>
    </w:tbl>
    <w:p w14:paraId="0A915F39" w14:textId="77777777" w:rsidR="004A1F93" w:rsidRDefault="004A1F93" w:rsidP="005F16F6">
      <w:pPr>
        <w:rPr>
          <w:lang w:val="en-GB"/>
        </w:rPr>
      </w:pPr>
    </w:p>
    <w:p w14:paraId="6B4749C3" w14:textId="77777777" w:rsidR="003C1402" w:rsidRDefault="003C1402" w:rsidP="005F16F6">
      <w:pPr>
        <w:rPr>
          <w:lang w:val="en-GB"/>
        </w:rPr>
        <w:sectPr w:rsidR="003C1402" w:rsidSect="00484C4F">
          <w:headerReference w:type="even" r:id="rId18"/>
          <w:headerReference w:type="default" r:id="rId19"/>
          <w:footerReference w:type="even" r:id="rId20"/>
          <w:footerReference w:type="default" r:id="rId21"/>
          <w:headerReference w:type="first" r:id="rId22"/>
          <w:footerReference w:type="first" r:id="rId23"/>
          <w:pgSz w:w="16840" w:h="11900" w:orient="landscape"/>
          <w:pgMar w:top="1440" w:right="1440" w:bottom="1440" w:left="1440" w:header="708" w:footer="708" w:gutter="0"/>
          <w:cols w:space="708"/>
          <w:docGrid w:linePitch="360"/>
        </w:sectPr>
      </w:pPr>
    </w:p>
    <w:p w14:paraId="0C128F21" w14:textId="77777777" w:rsidR="003C1402" w:rsidRPr="001B00B9" w:rsidRDefault="003C1402" w:rsidP="006A5184">
      <w:pPr>
        <w:pStyle w:val="Heading3"/>
      </w:pPr>
      <w:r w:rsidRPr="001B00B9">
        <w:lastRenderedPageBreak/>
        <w:t>References</w:t>
      </w:r>
    </w:p>
    <w:p w14:paraId="3F09A61A" w14:textId="71833AA5" w:rsidR="003C1402" w:rsidRDefault="003C1402" w:rsidP="003C1402">
      <w:pPr>
        <w:rPr>
          <w:sz w:val="18"/>
          <w:szCs w:val="18"/>
        </w:rPr>
      </w:pPr>
      <w:r w:rsidRPr="00757688">
        <w:rPr>
          <w:sz w:val="18"/>
          <w:szCs w:val="18"/>
        </w:rPr>
        <w:t xml:space="preserve">ANZG </w:t>
      </w:r>
      <w:r>
        <w:rPr>
          <w:sz w:val="18"/>
          <w:szCs w:val="18"/>
        </w:rPr>
        <w:t>(</w:t>
      </w:r>
      <w:r w:rsidRPr="00757688">
        <w:rPr>
          <w:sz w:val="18"/>
          <w:szCs w:val="18"/>
        </w:rPr>
        <w:t>202</w:t>
      </w:r>
      <w:r w:rsidR="006A5184">
        <w:rPr>
          <w:sz w:val="18"/>
          <w:szCs w:val="18"/>
        </w:rPr>
        <w:t>5</w:t>
      </w:r>
      <w:r>
        <w:rPr>
          <w:sz w:val="18"/>
          <w:szCs w:val="18"/>
        </w:rPr>
        <w:t>)</w:t>
      </w:r>
      <w:r w:rsidRPr="00757688">
        <w:rPr>
          <w:sz w:val="18"/>
          <w:szCs w:val="18"/>
        </w:rPr>
        <w:t xml:space="preserve"> </w:t>
      </w:r>
      <w:hyperlink r:id="rId24" w:history="1">
        <w:r w:rsidRPr="00246690">
          <w:rPr>
            <w:rStyle w:val="Hyperlink"/>
            <w:i/>
            <w:iCs/>
            <w:sz w:val="18"/>
            <w:szCs w:val="18"/>
          </w:rPr>
          <w:t>Optimisation of the USEPA (1991) pH 2 extraction method for measuring potentially bioavailable iron (iron III)</w:t>
        </w:r>
      </w:hyperlink>
      <w:r w:rsidRPr="00757688">
        <w:rPr>
          <w:sz w:val="18"/>
          <w:szCs w:val="18"/>
        </w:rPr>
        <w:t xml:space="preserve">, Australian and New Zealand </w:t>
      </w:r>
      <w:r>
        <w:rPr>
          <w:sz w:val="18"/>
          <w:szCs w:val="18"/>
        </w:rPr>
        <w:t>g</w:t>
      </w:r>
      <w:r w:rsidRPr="00757688">
        <w:rPr>
          <w:sz w:val="18"/>
          <w:szCs w:val="18"/>
        </w:rPr>
        <w:t xml:space="preserve">uidelines for </w:t>
      </w:r>
      <w:r>
        <w:rPr>
          <w:sz w:val="18"/>
          <w:szCs w:val="18"/>
        </w:rPr>
        <w:t>f</w:t>
      </w:r>
      <w:r w:rsidRPr="00757688">
        <w:rPr>
          <w:sz w:val="18"/>
          <w:szCs w:val="18"/>
        </w:rPr>
        <w:t xml:space="preserve">resh and </w:t>
      </w:r>
      <w:r>
        <w:rPr>
          <w:sz w:val="18"/>
          <w:szCs w:val="18"/>
        </w:rPr>
        <w:t>m</w:t>
      </w:r>
      <w:r w:rsidRPr="00757688">
        <w:rPr>
          <w:sz w:val="18"/>
          <w:szCs w:val="18"/>
        </w:rPr>
        <w:t xml:space="preserve">arine </w:t>
      </w:r>
      <w:r>
        <w:rPr>
          <w:sz w:val="18"/>
          <w:szCs w:val="18"/>
        </w:rPr>
        <w:t>w</w:t>
      </w:r>
      <w:r w:rsidRPr="00757688">
        <w:rPr>
          <w:sz w:val="18"/>
          <w:szCs w:val="18"/>
        </w:rPr>
        <w:t xml:space="preserve">ater </w:t>
      </w:r>
      <w:r>
        <w:rPr>
          <w:sz w:val="18"/>
          <w:szCs w:val="18"/>
        </w:rPr>
        <w:t>q</w:t>
      </w:r>
      <w:r w:rsidRPr="00757688">
        <w:rPr>
          <w:sz w:val="18"/>
          <w:szCs w:val="18"/>
        </w:rPr>
        <w:t>uality. CC BY 4.0. Australian and New Zealand Governments and Australian state and territory governments, Canberra, ACT, Australia.</w:t>
      </w:r>
    </w:p>
    <w:p w14:paraId="63C56568" w14:textId="77777777" w:rsidR="003C1402" w:rsidRDefault="003C1402" w:rsidP="003C1402">
      <w:pPr>
        <w:rPr>
          <w:sz w:val="18"/>
          <w:szCs w:val="18"/>
        </w:rPr>
      </w:pPr>
      <w:r w:rsidRPr="00221B99">
        <w:rPr>
          <w:sz w:val="18"/>
          <w:szCs w:val="18"/>
        </w:rPr>
        <w:t>Balsamo Crespo E, Reichelt</w:t>
      </w:r>
      <w:r w:rsidRPr="00221B99">
        <w:rPr>
          <w:rFonts w:ascii="Cambria Math" w:hAnsi="Cambria Math" w:cs="Cambria Math"/>
          <w:sz w:val="18"/>
          <w:szCs w:val="18"/>
        </w:rPr>
        <w:t>‐</w:t>
      </w:r>
      <w:proofErr w:type="spellStart"/>
      <w:r w:rsidRPr="00221B99">
        <w:rPr>
          <w:sz w:val="18"/>
          <w:szCs w:val="18"/>
        </w:rPr>
        <w:t>Brushett</w:t>
      </w:r>
      <w:proofErr w:type="spellEnd"/>
      <w:r>
        <w:rPr>
          <w:sz w:val="18"/>
          <w:szCs w:val="18"/>
        </w:rPr>
        <w:t xml:space="preserve"> </w:t>
      </w:r>
      <w:r w:rsidRPr="00221B99">
        <w:rPr>
          <w:sz w:val="18"/>
          <w:szCs w:val="18"/>
        </w:rPr>
        <w:t>A, Smith RE, Rose AL &amp; Batley GE 2023. Improving the measurement of iron (III) bioavailability in freshwater samples: Methods and performance.</w:t>
      </w:r>
      <w:r>
        <w:rPr>
          <w:sz w:val="18"/>
          <w:szCs w:val="18"/>
        </w:rPr>
        <w:t xml:space="preserve"> </w:t>
      </w:r>
      <w:r w:rsidRPr="00221B99">
        <w:rPr>
          <w:i/>
          <w:iCs/>
          <w:sz w:val="18"/>
          <w:szCs w:val="18"/>
        </w:rPr>
        <w:t>Environmental Toxicology and Chemistry</w:t>
      </w:r>
      <w:r w:rsidRPr="00221B99">
        <w:rPr>
          <w:sz w:val="18"/>
          <w:szCs w:val="18"/>
        </w:rPr>
        <w:t>,</w:t>
      </w:r>
      <w:r>
        <w:rPr>
          <w:sz w:val="18"/>
          <w:szCs w:val="18"/>
        </w:rPr>
        <w:t xml:space="preserve"> </w:t>
      </w:r>
      <w:r w:rsidRPr="00221B99">
        <w:rPr>
          <w:sz w:val="18"/>
          <w:szCs w:val="18"/>
        </w:rPr>
        <w:t>42, 303-316.</w:t>
      </w:r>
    </w:p>
    <w:p w14:paraId="7C64847C" w14:textId="61D83F25" w:rsidR="005714EA" w:rsidRPr="00221B99" w:rsidRDefault="005714EA" w:rsidP="003C1402">
      <w:pPr>
        <w:rPr>
          <w:sz w:val="18"/>
          <w:szCs w:val="18"/>
        </w:rPr>
      </w:pPr>
      <w:r w:rsidRPr="005714EA">
        <w:rPr>
          <w:sz w:val="18"/>
          <w:szCs w:val="18"/>
        </w:rPr>
        <w:t xml:space="preserve">Doyle C 1999. Toxicity characterisation of contaminated sediment pore water using the sea urchin </w:t>
      </w:r>
      <w:proofErr w:type="spellStart"/>
      <w:r w:rsidRPr="005714EA">
        <w:rPr>
          <w:i/>
          <w:iCs/>
          <w:sz w:val="18"/>
          <w:szCs w:val="18"/>
        </w:rPr>
        <w:t>Heliocidaris</w:t>
      </w:r>
      <w:proofErr w:type="spellEnd"/>
      <w:r w:rsidRPr="005714EA">
        <w:rPr>
          <w:i/>
          <w:iCs/>
          <w:sz w:val="18"/>
          <w:szCs w:val="18"/>
        </w:rPr>
        <w:t xml:space="preserve"> tuberculata</w:t>
      </w:r>
      <w:r w:rsidRPr="005714EA">
        <w:rPr>
          <w:sz w:val="18"/>
          <w:szCs w:val="18"/>
        </w:rPr>
        <w:t>. BSc (Hons) Thesis, University of Technology, Sydney, NSW, Australia.</w:t>
      </w:r>
    </w:p>
    <w:p w14:paraId="591DAD18" w14:textId="77777777" w:rsidR="009C20F4" w:rsidRPr="009C20F4" w:rsidRDefault="009C20F4" w:rsidP="009C20F4">
      <w:pPr>
        <w:rPr>
          <w:sz w:val="18"/>
          <w:szCs w:val="18"/>
          <w:lang w:val="en-GB"/>
        </w:rPr>
      </w:pPr>
      <w:r w:rsidRPr="009C20F4">
        <w:rPr>
          <w:sz w:val="18"/>
          <w:szCs w:val="18"/>
          <w:lang w:val="en-GB"/>
        </w:rPr>
        <w:t xml:space="preserve">Han C, Kim HJ, Lee JS, </w:t>
      </w:r>
      <w:proofErr w:type="spellStart"/>
      <w:r w:rsidRPr="009C20F4">
        <w:rPr>
          <w:sz w:val="18"/>
          <w:szCs w:val="18"/>
          <w:lang w:val="en-GB"/>
        </w:rPr>
        <w:t>Sakakura</w:t>
      </w:r>
      <w:proofErr w:type="spellEnd"/>
      <w:r w:rsidRPr="009C20F4">
        <w:rPr>
          <w:sz w:val="18"/>
          <w:szCs w:val="18"/>
          <w:lang w:val="en-GB"/>
        </w:rPr>
        <w:t xml:space="preserve"> Y &amp; Hagiwara A 2022. Iron reproductive toxicity of marine rotifer sibling species: adaptation to temperate and tropical habitats. </w:t>
      </w:r>
      <w:r w:rsidRPr="009C20F4">
        <w:rPr>
          <w:i/>
          <w:iCs/>
          <w:sz w:val="18"/>
          <w:szCs w:val="18"/>
          <w:lang w:val="en-GB"/>
        </w:rPr>
        <w:t>Aquatic Toxicology</w:t>
      </w:r>
      <w:r w:rsidRPr="009C20F4">
        <w:rPr>
          <w:sz w:val="18"/>
          <w:szCs w:val="18"/>
          <w:lang w:val="en-GB"/>
        </w:rPr>
        <w:t>, 246, 106135.</w:t>
      </w:r>
    </w:p>
    <w:p w14:paraId="2A0C2F8B" w14:textId="77777777" w:rsidR="003C1402" w:rsidRDefault="003C1402" w:rsidP="003C1402">
      <w:pPr>
        <w:rPr>
          <w:sz w:val="18"/>
          <w:szCs w:val="18"/>
          <w:lang w:val="en-GB"/>
        </w:rPr>
      </w:pPr>
      <w:r w:rsidRPr="00316C7B">
        <w:rPr>
          <w:sz w:val="18"/>
          <w:szCs w:val="18"/>
          <w:lang w:val="en-GB"/>
        </w:rPr>
        <w:t>Hern</w:t>
      </w:r>
      <w:r>
        <w:rPr>
          <w:rFonts w:ascii="Calibri" w:hAnsi="Calibri" w:cs="Calibri"/>
          <w:sz w:val="18"/>
          <w:szCs w:val="18"/>
          <w:lang w:val="en-GB"/>
        </w:rPr>
        <w:t>á</w:t>
      </w:r>
      <w:r w:rsidRPr="00316C7B">
        <w:rPr>
          <w:sz w:val="18"/>
          <w:szCs w:val="18"/>
          <w:lang w:val="en-GB"/>
        </w:rPr>
        <w:t>ndez-Flores</w:t>
      </w:r>
      <w:r>
        <w:rPr>
          <w:sz w:val="18"/>
          <w:szCs w:val="18"/>
          <w:lang w:val="en-GB"/>
        </w:rPr>
        <w:t xml:space="preserve"> </w:t>
      </w:r>
      <w:r w:rsidRPr="00316C7B">
        <w:rPr>
          <w:sz w:val="18"/>
          <w:szCs w:val="18"/>
          <w:lang w:val="en-GB"/>
        </w:rPr>
        <w:t>S, Santos-Medrano GE, Rubio-Franchini I</w:t>
      </w:r>
      <w:r>
        <w:rPr>
          <w:sz w:val="18"/>
          <w:szCs w:val="18"/>
          <w:lang w:val="en-GB"/>
        </w:rPr>
        <w:t xml:space="preserve"> &amp;</w:t>
      </w:r>
      <w:r w:rsidRPr="00316C7B">
        <w:rPr>
          <w:sz w:val="18"/>
          <w:szCs w:val="18"/>
          <w:lang w:val="en-GB"/>
        </w:rPr>
        <w:t xml:space="preserve"> </w:t>
      </w:r>
      <w:proofErr w:type="spellStart"/>
      <w:r w:rsidRPr="00316C7B">
        <w:rPr>
          <w:sz w:val="18"/>
          <w:szCs w:val="18"/>
          <w:lang w:val="en-GB"/>
        </w:rPr>
        <w:t>Rico-Martínez</w:t>
      </w:r>
      <w:proofErr w:type="spellEnd"/>
      <w:r w:rsidRPr="00316C7B">
        <w:rPr>
          <w:sz w:val="18"/>
          <w:szCs w:val="18"/>
          <w:lang w:val="en-GB"/>
        </w:rPr>
        <w:t xml:space="preserve"> R 2020. Evaluation of bioconcentration and toxicity of five metals in the fresh- water rotifer </w:t>
      </w:r>
      <w:proofErr w:type="spellStart"/>
      <w:r w:rsidRPr="00316C7B">
        <w:rPr>
          <w:i/>
          <w:iCs/>
          <w:sz w:val="18"/>
          <w:szCs w:val="18"/>
          <w:lang w:val="en-GB"/>
        </w:rPr>
        <w:t>Euchlanis</w:t>
      </w:r>
      <w:proofErr w:type="spellEnd"/>
      <w:r w:rsidRPr="00316C7B">
        <w:rPr>
          <w:i/>
          <w:iCs/>
          <w:sz w:val="18"/>
          <w:szCs w:val="18"/>
          <w:lang w:val="en-GB"/>
        </w:rPr>
        <w:t xml:space="preserve"> </w:t>
      </w:r>
      <w:proofErr w:type="spellStart"/>
      <w:r w:rsidRPr="00316C7B">
        <w:rPr>
          <w:i/>
          <w:iCs/>
          <w:sz w:val="18"/>
          <w:szCs w:val="18"/>
          <w:lang w:val="en-GB"/>
        </w:rPr>
        <w:t>dilatata</w:t>
      </w:r>
      <w:proofErr w:type="spellEnd"/>
      <w:r w:rsidRPr="00316C7B">
        <w:rPr>
          <w:sz w:val="18"/>
          <w:szCs w:val="18"/>
          <w:lang w:val="en-GB"/>
        </w:rPr>
        <w:t xml:space="preserve"> Ehrenberg, 1832. </w:t>
      </w:r>
      <w:r w:rsidRPr="00316C7B">
        <w:rPr>
          <w:i/>
          <w:iCs/>
          <w:sz w:val="18"/>
          <w:szCs w:val="18"/>
          <w:lang w:val="en-GB"/>
        </w:rPr>
        <w:t>Environmental Science and Pollution Research</w:t>
      </w:r>
      <w:r w:rsidRPr="00316C7B">
        <w:rPr>
          <w:sz w:val="18"/>
          <w:szCs w:val="18"/>
          <w:lang w:val="en-GB"/>
        </w:rPr>
        <w:t xml:space="preserve"> 27, 14058</w:t>
      </w:r>
      <w:r>
        <w:rPr>
          <w:sz w:val="18"/>
          <w:szCs w:val="18"/>
          <w:lang w:val="en-GB"/>
        </w:rPr>
        <w:t>-</w:t>
      </w:r>
      <w:r w:rsidRPr="00316C7B">
        <w:rPr>
          <w:sz w:val="18"/>
          <w:szCs w:val="18"/>
          <w:lang w:val="en-GB"/>
        </w:rPr>
        <w:t>14069</w:t>
      </w:r>
      <w:r>
        <w:rPr>
          <w:sz w:val="18"/>
          <w:szCs w:val="18"/>
          <w:lang w:val="en-GB"/>
        </w:rPr>
        <w:t>.</w:t>
      </w:r>
    </w:p>
    <w:p w14:paraId="19A0078E" w14:textId="79684725" w:rsidR="002E3B20" w:rsidRDefault="002E3B20" w:rsidP="003C1402">
      <w:pPr>
        <w:rPr>
          <w:sz w:val="18"/>
          <w:szCs w:val="18"/>
          <w:lang w:val="en-GB"/>
        </w:rPr>
      </w:pPr>
      <w:r w:rsidRPr="002E3B20">
        <w:rPr>
          <w:sz w:val="18"/>
          <w:szCs w:val="18"/>
          <w:lang w:val="en-GB"/>
        </w:rPr>
        <w:t xml:space="preserve">Kadar E, </w:t>
      </w:r>
      <w:proofErr w:type="spellStart"/>
      <w:r w:rsidRPr="002E3B20">
        <w:rPr>
          <w:sz w:val="18"/>
          <w:szCs w:val="18"/>
          <w:lang w:val="en-GB"/>
        </w:rPr>
        <w:t>Simmance</w:t>
      </w:r>
      <w:proofErr w:type="spellEnd"/>
      <w:r w:rsidRPr="002E3B20">
        <w:rPr>
          <w:sz w:val="18"/>
          <w:szCs w:val="18"/>
          <w:lang w:val="en-GB"/>
        </w:rPr>
        <w:t xml:space="preserve"> F, Martin O, </w:t>
      </w:r>
      <w:proofErr w:type="spellStart"/>
      <w:r w:rsidRPr="002E3B20">
        <w:rPr>
          <w:sz w:val="18"/>
          <w:szCs w:val="18"/>
          <w:lang w:val="en-GB"/>
        </w:rPr>
        <w:t>Voulvoulis</w:t>
      </w:r>
      <w:proofErr w:type="spellEnd"/>
      <w:r w:rsidRPr="002E3B20">
        <w:rPr>
          <w:sz w:val="18"/>
          <w:szCs w:val="18"/>
          <w:lang w:val="en-GB"/>
        </w:rPr>
        <w:t xml:space="preserve"> N, Widdicombe S, </w:t>
      </w:r>
      <w:proofErr w:type="spellStart"/>
      <w:r w:rsidRPr="002E3B20">
        <w:rPr>
          <w:sz w:val="18"/>
          <w:szCs w:val="18"/>
          <w:lang w:val="en-GB"/>
        </w:rPr>
        <w:t>Mitov</w:t>
      </w:r>
      <w:proofErr w:type="spellEnd"/>
      <w:r w:rsidRPr="002E3B20">
        <w:rPr>
          <w:sz w:val="18"/>
          <w:szCs w:val="18"/>
          <w:lang w:val="en-GB"/>
        </w:rPr>
        <w:t xml:space="preserve"> S, Lead JR &amp; Readman JW 2010. The influence of engineered Fe2O3 nanoparticles and soluble (FeCl3) iron on the developmental toxicity caused by CO2-induced seawater acidification. </w:t>
      </w:r>
      <w:r w:rsidRPr="002E3B20">
        <w:rPr>
          <w:i/>
          <w:iCs/>
          <w:sz w:val="18"/>
          <w:szCs w:val="18"/>
          <w:lang w:val="en-GB"/>
        </w:rPr>
        <w:t>Environmental Pollution</w:t>
      </w:r>
      <w:r w:rsidRPr="002E3B20">
        <w:rPr>
          <w:sz w:val="18"/>
          <w:szCs w:val="18"/>
          <w:lang w:val="en-GB"/>
        </w:rPr>
        <w:t>, 158, 3490–3497.</w:t>
      </w:r>
    </w:p>
    <w:p w14:paraId="7F456C44" w14:textId="0FA5DFBD" w:rsidR="001E5677" w:rsidRDefault="001E5677" w:rsidP="003C1402">
      <w:pPr>
        <w:rPr>
          <w:sz w:val="18"/>
          <w:szCs w:val="18"/>
          <w:lang w:val="en-GB"/>
        </w:rPr>
      </w:pPr>
      <w:r w:rsidRPr="001E5677">
        <w:rPr>
          <w:sz w:val="18"/>
          <w:szCs w:val="18"/>
        </w:rPr>
        <w:t xml:space="preserve">Leigh-Smith J, Reichelt-Brushett A &amp; Rose AL 2018. The characterization of iron (III) in seawater and related toxicity to early life stages of </w:t>
      </w:r>
      <w:proofErr w:type="spellStart"/>
      <w:r w:rsidRPr="001E5677">
        <w:rPr>
          <w:sz w:val="18"/>
          <w:szCs w:val="18"/>
        </w:rPr>
        <w:t>scleractinian</w:t>
      </w:r>
      <w:proofErr w:type="spellEnd"/>
      <w:r w:rsidRPr="001E5677">
        <w:rPr>
          <w:sz w:val="18"/>
          <w:szCs w:val="18"/>
        </w:rPr>
        <w:t xml:space="preserve"> corals. </w:t>
      </w:r>
      <w:r w:rsidRPr="001E5677">
        <w:rPr>
          <w:i/>
          <w:iCs/>
          <w:sz w:val="18"/>
          <w:szCs w:val="18"/>
        </w:rPr>
        <w:t>Environmental Toxicology and Chemistry</w:t>
      </w:r>
      <w:r w:rsidRPr="001E5677">
        <w:rPr>
          <w:sz w:val="18"/>
          <w:szCs w:val="18"/>
        </w:rPr>
        <w:t>, 37, 1104–1114.</w:t>
      </w:r>
    </w:p>
    <w:p w14:paraId="286D2DB4" w14:textId="0AF8A101" w:rsidR="005714EA" w:rsidRPr="005714EA" w:rsidRDefault="005714EA" w:rsidP="003C1402">
      <w:pPr>
        <w:rPr>
          <w:sz w:val="18"/>
          <w:szCs w:val="18"/>
        </w:rPr>
      </w:pPr>
      <w:r w:rsidRPr="005714EA">
        <w:rPr>
          <w:sz w:val="18"/>
          <w:szCs w:val="18"/>
          <w:lang w:val="en-GB"/>
        </w:rPr>
        <w:t xml:space="preserve">Markich SJ, Warne M </w:t>
      </w:r>
      <w:proofErr w:type="spellStart"/>
      <w:r w:rsidRPr="005714EA">
        <w:rPr>
          <w:sz w:val="18"/>
          <w:szCs w:val="18"/>
          <w:lang w:val="en-GB"/>
        </w:rPr>
        <w:t>StJ</w:t>
      </w:r>
      <w:proofErr w:type="spellEnd"/>
      <w:r w:rsidRPr="005714EA">
        <w:rPr>
          <w:sz w:val="18"/>
          <w:szCs w:val="18"/>
          <w:lang w:val="en-GB"/>
        </w:rPr>
        <w:t xml:space="preserve">, Westbury A-M &amp; Roberts CJ 2002. A compilation of data on the toxicity of chemicals to species in Australasia. Part 3: Metals. </w:t>
      </w:r>
      <w:r w:rsidRPr="005714EA">
        <w:rPr>
          <w:i/>
          <w:iCs/>
          <w:sz w:val="18"/>
          <w:szCs w:val="18"/>
          <w:lang w:val="en-GB"/>
        </w:rPr>
        <w:t>Australasian Journal of Ecotoxicology</w:t>
      </w:r>
      <w:r w:rsidRPr="005714EA">
        <w:rPr>
          <w:sz w:val="18"/>
          <w:szCs w:val="18"/>
          <w:lang w:val="en-GB"/>
        </w:rPr>
        <w:t xml:space="preserve"> 8, </w:t>
      </w:r>
      <w:r w:rsidRPr="005714EA">
        <w:rPr>
          <w:sz w:val="18"/>
          <w:szCs w:val="18"/>
        </w:rPr>
        <w:t>1–72.</w:t>
      </w:r>
    </w:p>
    <w:p w14:paraId="671FE0A2" w14:textId="77777777" w:rsidR="009C20F4" w:rsidRDefault="009C20F4" w:rsidP="009C20F4">
      <w:pPr>
        <w:rPr>
          <w:sz w:val="18"/>
          <w:szCs w:val="18"/>
          <w:lang w:val="en-GB"/>
        </w:rPr>
      </w:pPr>
      <w:r w:rsidRPr="009C20F4">
        <w:rPr>
          <w:sz w:val="18"/>
          <w:szCs w:val="18"/>
          <w:lang w:val="en-GB"/>
        </w:rPr>
        <w:t xml:space="preserve">Markich SJ 2021. Comparative embryo/larval sensitivity of Australian marine bivalves to ten metals: A disjunct between physiology and phylogeny. </w:t>
      </w:r>
      <w:r w:rsidRPr="009C20F4">
        <w:rPr>
          <w:i/>
          <w:iCs/>
          <w:sz w:val="18"/>
          <w:szCs w:val="18"/>
          <w:lang w:val="en-GB"/>
        </w:rPr>
        <w:t>Science of the Total Environment</w:t>
      </w:r>
      <w:r w:rsidRPr="009C20F4">
        <w:rPr>
          <w:sz w:val="18"/>
          <w:szCs w:val="18"/>
          <w:lang w:val="en-GB"/>
        </w:rPr>
        <w:t>, 789, 147988.</w:t>
      </w:r>
    </w:p>
    <w:p w14:paraId="64A192D9" w14:textId="2BA3B1C1" w:rsidR="001E5677" w:rsidRPr="009C20F4" w:rsidRDefault="00427FC6" w:rsidP="009C20F4">
      <w:pPr>
        <w:rPr>
          <w:sz w:val="18"/>
          <w:szCs w:val="18"/>
          <w:lang w:val="en-GB"/>
        </w:rPr>
      </w:pPr>
      <w:r w:rsidRPr="00427FC6">
        <w:rPr>
          <w:bCs/>
          <w:sz w:val="18"/>
          <w:szCs w:val="18"/>
        </w:rPr>
        <w:t>Pereira AC, Gonçalves BB, Brito RS, Vieira LG, Lima ECO</w:t>
      </w:r>
      <w:r>
        <w:rPr>
          <w:bCs/>
          <w:sz w:val="18"/>
          <w:szCs w:val="18"/>
        </w:rPr>
        <w:t xml:space="preserve"> &amp;</w:t>
      </w:r>
      <w:r w:rsidRPr="00427FC6">
        <w:rPr>
          <w:bCs/>
          <w:sz w:val="18"/>
          <w:szCs w:val="18"/>
        </w:rPr>
        <w:t xml:space="preserve"> Rocha TL 2020. Comparative developmental toxicity of iron oxide nanoparticles and ferric chloride to zebrafish (</w:t>
      </w:r>
      <w:r w:rsidRPr="00427FC6">
        <w:rPr>
          <w:bCs/>
          <w:i/>
          <w:iCs/>
          <w:sz w:val="18"/>
          <w:szCs w:val="18"/>
        </w:rPr>
        <w:t>Danio rerio</w:t>
      </w:r>
      <w:r w:rsidRPr="00427FC6">
        <w:rPr>
          <w:bCs/>
          <w:sz w:val="18"/>
          <w:szCs w:val="18"/>
        </w:rPr>
        <w:t xml:space="preserve">) after static and semi-static exposure. </w:t>
      </w:r>
      <w:r w:rsidRPr="00427FC6">
        <w:rPr>
          <w:bCs/>
          <w:i/>
          <w:iCs/>
          <w:sz w:val="18"/>
          <w:szCs w:val="18"/>
        </w:rPr>
        <w:t>Chemosphere</w:t>
      </w:r>
      <w:r w:rsidRPr="00427FC6">
        <w:rPr>
          <w:bCs/>
          <w:sz w:val="18"/>
          <w:szCs w:val="18"/>
        </w:rPr>
        <w:t xml:space="preserve"> 254, 126792.</w:t>
      </w:r>
    </w:p>
    <w:p w14:paraId="001C814C" w14:textId="77777777" w:rsidR="009C20F4" w:rsidRPr="009C20F4" w:rsidRDefault="009C20F4" w:rsidP="009C20F4">
      <w:pPr>
        <w:rPr>
          <w:sz w:val="18"/>
          <w:szCs w:val="18"/>
        </w:rPr>
      </w:pPr>
      <w:r w:rsidRPr="009C20F4">
        <w:rPr>
          <w:sz w:val="18"/>
          <w:szCs w:val="18"/>
          <w:lang w:val="en-GB"/>
        </w:rPr>
        <w:t>Warne MStJ, Batley GE, van Dam RA, Chapman JC, Fox DR, Hickey CW &amp;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3E514209" w14:textId="60D4F853" w:rsidR="009C20F4" w:rsidRDefault="002E3B20" w:rsidP="005F16F6">
      <w:pPr>
        <w:rPr>
          <w:sz w:val="18"/>
          <w:szCs w:val="18"/>
          <w:lang w:val="en-GB"/>
        </w:rPr>
      </w:pPr>
      <w:r w:rsidRPr="002E3B20">
        <w:rPr>
          <w:sz w:val="18"/>
          <w:szCs w:val="18"/>
          <w:lang w:val="en-GB"/>
        </w:rPr>
        <w:t xml:space="preserve">Wilson SP &amp; Hyne RV 1997. Toxicity of acid-sulfate soil leachate and aluminium to embryos of the Sydney Rock oyster. </w:t>
      </w:r>
      <w:r w:rsidRPr="002E3B20">
        <w:rPr>
          <w:i/>
          <w:iCs/>
          <w:sz w:val="18"/>
          <w:szCs w:val="18"/>
          <w:lang w:val="en-GB"/>
        </w:rPr>
        <w:t>Ecotoxicology and Environmental Safety</w:t>
      </w:r>
      <w:r w:rsidRPr="002E3B20">
        <w:rPr>
          <w:sz w:val="18"/>
          <w:szCs w:val="18"/>
          <w:lang w:val="en-GB"/>
        </w:rPr>
        <w:t>, 37, 30–36.</w:t>
      </w:r>
    </w:p>
    <w:p w14:paraId="2A22DC23" w14:textId="663C2893" w:rsidR="00F340DF" w:rsidRPr="009C20F4" w:rsidRDefault="00F340DF" w:rsidP="005F16F6">
      <w:pPr>
        <w:rPr>
          <w:sz w:val="18"/>
          <w:szCs w:val="18"/>
          <w:lang w:val="en-GB"/>
        </w:rPr>
      </w:pPr>
      <w:r w:rsidRPr="00F340DF">
        <w:rPr>
          <w:sz w:val="18"/>
          <w:szCs w:val="18"/>
        </w:rPr>
        <w:t xml:space="preserve">Worsfold PJ, Lohan MC, Ussher SJ &amp; Bowie AR 2014. Determination of dissolved iron in seawater: A historical review. </w:t>
      </w:r>
      <w:r w:rsidRPr="00F340DF">
        <w:rPr>
          <w:i/>
          <w:iCs/>
          <w:sz w:val="18"/>
          <w:szCs w:val="18"/>
        </w:rPr>
        <w:t>Marine Chemistry</w:t>
      </w:r>
      <w:r w:rsidRPr="00F340DF">
        <w:rPr>
          <w:sz w:val="18"/>
          <w:szCs w:val="18"/>
        </w:rPr>
        <w:t>, 166, 25–35.</w:t>
      </w:r>
    </w:p>
    <w:sectPr w:rsidR="00F340DF" w:rsidRPr="009C20F4" w:rsidSect="00484C4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9AC7E" w14:textId="77777777" w:rsidR="007F326B" w:rsidRDefault="007F326B" w:rsidP="00296C62">
      <w:pPr>
        <w:spacing w:after="0" w:line="240" w:lineRule="auto"/>
      </w:pPr>
      <w:r>
        <w:separator/>
      </w:r>
    </w:p>
  </w:endnote>
  <w:endnote w:type="continuationSeparator" w:id="0">
    <w:p w14:paraId="523FC804" w14:textId="77777777" w:rsidR="007F326B" w:rsidRDefault="007F326B" w:rsidP="0029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Headings CS)">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FF6F" w14:textId="77777777" w:rsidR="006A5184" w:rsidRDefault="006A5184" w:rsidP="008A644F">
    <w:pPr>
      <w:pStyle w:val="Footer"/>
      <w:framePr w:wrap="none" w:vAnchor="text" w:hAnchor="margin" w:xAlign="right" w:y="1"/>
      <w:rPr>
        <w:rStyle w:val="PageNumber"/>
      </w:rPr>
    </w:pPr>
    <w:r>
      <w:rPr>
        <w:noProof/>
      </w:rPr>
      <mc:AlternateContent>
        <mc:Choice Requires="wps">
          <w:drawing>
            <wp:anchor distT="0" distB="0" distL="0" distR="0" simplePos="0" relativeHeight="251663365" behindDoc="0" locked="0" layoutInCell="1" allowOverlap="1" wp14:anchorId="729F4428" wp14:editId="6306B820">
              <wp:simplePos x="635" y="635"/>
              <wp:positionH relativeFrom="page">
                <wp:align>center</wp:align>
              </wp:positionH>
              <wp:positionV relativeFrom="page">
                <wp:align>bottom</wp:align>
              </wp:positionV>
              <wp:extent cx="551815" cy="480695"/>
              <wp:effectExtent l="0" t="0" r="635" b="0"/>
              <wp:wrapNone/>
              <wp:docPr id="113091110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670AA86" w14:textId="77777777" w:rsidR="006A5184" w:rsidRPr="00C55983" w:rsidRDefault="006A5184"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F4428" id="_x0000_t202" coordsize="21600,21600" o:spt="202" path="m,l,21600r21600,l21600,xe">
              <v:stroke joinstyle="miter"/>
              <v:path gradientshapeok="t" o:connecttype="rect"/>
            </v:shapetype>
            <v:shape id="Text Box 11" o:spid="_x0000_s1028" type="#_x0000_t202" alt="OFFICIAL" style="position:absolute;margin-left:0;margin-top:0;width:43.45pt;height:37.8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textbox style="mso-fit-shape-to-text:t" inset="0,0,0,15pt">
                <w:txbxContent>
                  <w:p w14:paraId="5670AA86" w14:textId="77777777" w:rsidR="006A5184" w:rsidRPr="00C55983" w:rsidRDefault="006A5184"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p>
  <w:sdt>
    <w:sdtPr>
      <w:rPr>
        <w:rStyle w:val="PageNumber"/>
      </w:rPr>
      <w:id w:val="-1667009440"/>
      <w:docPartObj>
        <w:docPartGallery w:val="Page Numbers (Bottom of Page)"/>
        <w:docPartUnique/>
      </w:docPartObj>
    </w:sdtPr>
    <w:sdtContent>
      <w:p w14:paraId="552140CE" w14:textId="77777777" w:rsidR="006A5184" w:rsidRDefault="006A5184" w:rsidP="008A64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C005DC" w14:textId="77777777" w:rsidR="006A5184" w:rsidRDefault="006A5184" w:rsidP="00336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5276" w14:textId="77777777" w:rsidR="006A5184" w:rsidRDefault="006A5184" w:rsidP="00FB3DCB">
    <w:pPr>
      <w:pStyle w:val="Footer"/>
      <w:jc w:val="right"/>
    </w:pPr>
    <w:r>
      <w:rPr>
        <w:noProof/>
      </w:rPr>
      <mc:AlternateContent>
        <mc:Choice Requires="wps">
          <w:drawing>
            <wp:anchor distT="0" distB="0" distL="0" distR="0" simplePos="0" relativeHeight="251664389" behindDoc="0" locked="0" layoutInCell="1" allowOverlap="1" wp14:anchorId="13D29EBC" wp14:editId="1220567C">
              <wp:simplePos x="915035" y="6425565"/>
              <wp:positionH relativeFrom="page">
                <wp:align>center</wp:align>
              </wp:positionH>
              <wp:positionV relativeFrom="page">
                <wp:align>bottom</wp:align>
              </wp:positionV>
              <wp:extent cx="551815" cy="480695"/>
              <wp:effectExtent l="0" t="0" r="635" b="0"/>
              <wp:wrapNone/>
              <wp:docPr id="68847586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DFAB21D" w14:textId="77777777" w:rsidR="006A5184" w:rsidRPr="00C55983" w:rsidRDefault="006A5184"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29EBC"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7.8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textbox style="mso-fit-shape-to-text:t" inset="0,0,0,15pt">
                <w:txbxContent>
                  <w:p w14:paraId="3DFAB21D" w14:textId="77777777" w:rsidR="006A5184" w:rsidRPr="00C55983" w:rsidRDefault="006A5184"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p>
  <w:sdt>
    <w:sdtPr>
      <w:id w:val="1653562080"/>
      <w:docPartObj>
        <w:docPartGallery w:val="Page Numbers (Bottom of Page)"/>
        <w:docPartUnique/>
      </w:docPartObj>
    </w:sdtPr>
    <w:sdtContent>
      <w:sdt>
        <w:sdtPr>
          <w:id w:val="-1784957734"/>
          <w:docPartObj>
            <w:docPartGallery w:val="Page Numbers (Top of Page)"/>
            <w:docPartUnique/>
          </w:docPartObj>
        </w:sdtPr>
        <w:sdtContent>
          <w:p w14:paraId="7E4262AA" w14:textId="77777777" w:rsidR="006A5184" w:rsidRDefault="006A5184" w:rsidP="00FB3DCB">
            <w:pPr>
              <w:pStyle w:val="Footer"/>
              <w:jc w:val="right"/>
            </w:pPr>
          </w:p>
          <w:p w14:paraId="53CFFFE1" w14:textId="1D13FC9F" w:rsidR="006A5184" w:rsidRDefault="006A5184" w:rsidP="00B745B2">
            <w:pPr>
              <w:pStyle w:val="Footer"/>
              <w:jc w:val="both"/>
            </w:pPr>
            <w:r>
              <w:t xml:space="preserve">Response to public submissions on draft default guidelines for </w:t>
            </w:r>
            <w:r>
              <w:rPr>
                <w:rFonts w:cstheme="minorHAnsi"/>
              </w:rPr>
              <w:t xml:space="preserve">iron in </w:t>
            </w:r>
            <w:r w:rsidR="00246690">
              <w:rPr>
                <w:rFonts w:cstheme="minorHAnsi"/>
              </w:rPr>
              <w:t>marine water</w:t>
            </w:r>
            <w:r w:rsidRPr="004E6A7F">
              <w:tab/>
              <w:t xml:space="preserve">                                                                                                       </w:t>
            </w:r>
            <w:r>
              <w:t xml:space="preserve">Page </w:t>
            </w:r>
            <w:r>
              <w:rPr>
                <w:b/>
                <w:bCs/>
              </w:rPr>
              <w:fldChar w:fldCharType="begin"/>
            </w:r>
            <w:r>
              <w:rPr>
                <w:b/>
                <w:bCs/>
              </w:rPr>
              <w:instrText xml:space="preserve"> PAGE </w:instrText>
            </w:r>
            <w:r>
              <w:rPr>
                <w:b/>
                <w:bCs/>
              </w:rPr>
              <w:fldChar w:fldCharType="separate"/>
            </w:r>
            <w:r>
              <w:rPr>
                <w:b/>
                <w:bCs/>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10</w:t>
            </w:r>
            <w:r>
              <w:rPr>
                <w:b/>
                <w:bCs/>
              </w:rPr>
              <w:fldChar w:fldCharType="end"/>
            </w:r>
          </w:p>
        </w:sdtContent>
      </w:sdt>
    </w:sdtContent>
  </w:sdt>
  <w:p w14:paraId="6D9838C5" w14:textId="77777777" w:rsidR="006A5184" w:rsidRDefault="006A5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498088776"/>
      <w:docPartObj>
        <w:docPartGallery w:val="Page Numbers (Bottom of Page)"/>
        <w:docPartUnique/>
      </w:docPartObj>
    </w:sdtPr>
    <w:sdtContent>
      <w:p w14:paraId="066DE432" w14:textId="77777777" w:rsidR="006A5184" w:rsidRPr="00C0259E" w:rsidRDefault="006A5184" w:rsidP="00B73A7E">
        <w:pPr>
          <w:pStyle w:val="Footer"/>
          <w:framePr w:wrap="none" w:vAnchor="text" w:hAnchor="margin" w:xAlign="right" w:y="1"/>
          <w:rPr>
            <w:rStyle w:val="PageNumber"/>
            <w:sz w:val="20"/>
            <w:szCs w:val="20"/>
          </w:rPr>
        </w:pPr>
        <w:r w:rsidRPr="00C0259E">
          <w:rPr>
            <w:rStyle w:val="PageNumber"/>
            <w:sz w:val="20"/>
            <w:szCs w:val="20"/>
          </w:rPr>
          <w:fldChar w:fldCharType="begin"/>
        </w:r>
        <w:r w:rsidRPr="00C0259E">
          <w:rPr>
            <w:rStyle w:val="PageNumber"/>
            <w:sz w:val="20"/>
            <w:szCs w:val="20"/>
          </w:rPr>
          <w:instrText xml:space="preserve"> PAGE </w:instrText>
        </w:r>
        <w:r w:rsidRPr="00C0259E">
          <w:rPr>
            <w:rStyle w:val="PageNumber"/>
            <w:sz w:val="20"/>
            <w:szCs w:val="20"/>
          </w:rPr>
          <w:fldChar w:fldCharType="separate"/>
        </w:r>
        <w:r w:rsidRPr="00C0259E">
          <w:rPr>
            <w:rStyle w:val="PageNumber"/>
            <w:noProof/>
            <w:sz w:val="20"/>
            <w:szCs w:val="20"/>
          </w:rPr>
          <w:t>1</w:t>
        </w:r>
        <w:r w:rsidRPr="00C0259E">
          <w:rPr>
            <w:rStyle w:val="PageNumber"/>
            <w:sz w:val="20"/>
            <w:szCs w:val="20"/>
          </w:rPr>
          <w:fldChar w:fldCharType="end"/>
        </w:r>
      </w:p>
    </w:sdtContent>
  </w:sdt>
  <w:p w14:paraId="40D7F4C8" w14:textId="77777777" w:rsidR="006A5184" w:rsidRDefault="006A5184" w:rsidP="00C0259E">
    <w:pPr>
      <w:pStyle w:val="Footer"/>
      <w:ind w:right="360"/>
      <w:jc w:val="right"/>
    </w:pPr>
  </w:p>
  <w:p w14:paraId="37D67359" w14:textId="77777777" w:rsidR="006A5184" w:rsidRDefault="006A51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00FA" w14:textId="7A847697" w:rsidR="00296C62" w:rsidRDefault="00ED72CA" w:rsidP="001665F9">
    <w:pPr>
      <w:pStyle w:val="Footer"/>
      <w:framePr w:wrap="none" w:vAnchor="text" w:hAnchor="margin" w:xAlign="right" w:y="1"/>
      <w:rPr>
        <w:rStyle w:val="PageNumber"/>
      </w:rPr>
    </w:pPr>
    <w:r>
      <w:rPr>
        <w:noProof/>
      </w:rPr>
      <mc:AlternateContent>
        <mc:Choice Requires="wps">
          <w:drawing>
            <wp:anchor distT="0" distB="0" distL="0" distR="0" simplePos="0" relativeHeight="251658243" behindDoc="0" locked="0" layoutInCell="1" allowOverlap="1" wp14:anchorId="46C67E75" wp14:editId="62D1A97D">
              <wp:simplePos x="635" y="635"/>
              <wp:positionH relativeFrom="page">
                <wp:align>center</wp:align>
              </wp:positionH>
              <wp:positionV relativeFrom="page">
                <wp:align>bottom</wp:align>
              </wp:positionV>
              <wp:extent cx="551815" cy="376555"/>
              <wp:effectExtent l="0" t="0" r="635" b="0"/>
              <wp:wrapNone/>
              <wp:docPr id="6378538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92572A" w14:textId="6526A831"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67E75"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C92572A" w14:textId="6526A831"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v:textbox>
              <w10:wrap anchorx="page" anchory="page"/>
            </v:shape>
          </w:pict>
        </mc:Fallback>
      </mc:AlternateContent>
    </w:r>
  </w:p>
  <w:sdt>
    <w:sdtPr>
      <w:rPr>
        <w:rStyle w:val="PageNumber"/>
      </w:rPr>
      <w:id w:val="450592366"/>
      <w:docPartObj>
        <w:docPartGallery w:val="Page Numbers (Bottom of Page)"/>
        <w:docPartUnique/>
      </w:docPartObj>
    </w:sdtPr>
    <w:sdtContent>
      <w:p w14:paraId="25245E76" w14:textId="77777777" w:rsidR="00296C62" w:rsidRDefault="00296C62" w:rsidP="001665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FEAE3" w14:textId="77777777" w:rsidR="00296C62" w:rsidRDefault="00296C62" w:rsidP="00296C6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A273" w14:textId="1FB3BC88" w:rsidR="00296C62" w:rsidRPr="00296C62" w:rsidRDefault="00ED72CA" w:rsidP="001665F9">
    <w:pPr>
      <w:pStyle w:val="Footer"/>
      <w:framePr w:wrap="none" w:vAnchor="text" w:hAnchor="margin" w:xAlign="right" w:y="1"/>
      <w:rPr>
        <w:rStyle w:val="PageNumber"/>
        <w:sz w:val="20"/>
        <w:szCs w:val="20"/>
      </w:rPr>
    </w:pPr>
    <w:r>
      <w:rPr>
        <w:noProof/>
        <w:sz w:val="20"/>
        <w:szCs w:val="20"/>
      </w:rPr>
      <mc:AlternateContent>
        <mc:Choice Requires="wps">
          <w:drawing>
            <wp:anchor distT="0" distB="0" distL="0" distR="0" simplePos="0" relativeHeight="251658244" behindDoc="0" locked="0" layoutInCell="1" allowOverlap="1" wp14:anchorId="4D547D6E" wp14:editId="17D104E0">
              <wp:simplePos x="9715500" y="6924675"/>
              <wp:positionH relativeFrom="page">
                <wp:align>center</wp:align>
              </wp:positionH>
              <wp:positionV relativeFrom="page">
                <wp:align>bottom</wp:align>
              </wp:positionV>
              <wp:extent cx="551815" cy="376555"/>
              <wp:effectExtent l="0" t="0" r="635" b="0"/>
              <wp:wrapNone/>
              <wp:docPr id="20944432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5D0D45" w14:textId="4FD2DCCB"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47D6E" id="_x0000_t202" coordsize="21600,21600" o:spt="202" path="m,l,21600r21600,l21600,xe">
              <v:stroke joinstyle="miter"/>
              <v:path gradientshapeok="t" o:connecttype="rect"/>
            </v:shapetype>
            <v:shape id="Text Box 6"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textbox style="mso-fit-shape-to-text:t" inset="0,0,0,15pt">
                <w:txbxContent>
                  <w:p w14:paraId="1F5D0D45" w14:textId="4FD2DCCB"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v:textbox>
              <w10:wrap anchorx="page" anchory="page"/>
            </v:shape>
          </w:pict>
        </mc:Fallback>
      </mc:AlternateContent>
    </w:r>
    <w:sdt>
      <w:sdtPr>
        <w:rPr>
          <w:rStyle w:val="PageNumber"/>
          <w:sz w:val="20"/>
          <w:szCs w:val="20"/>
        </w:rPr>
        <w:id w:val="794112038"/>
        <w:docPartObj>
          <w:docPartGallery w:val="Page Numbers (Bottom of Page)"/>
          <w:docPartUnique/>
        </w:docPartObj>
      </w:sdtPr>
      <w:sdtContent>
        <w:r w:rsidR="00296C62" w:rsidRPr="00296C62">
          <w:rPr>
            <w:rStyle w:val="PageNumber"/>
            <w:sz w:val="20"/>
            <w:szCs w:val="20"/>
          </w:rPr>
          <w:fldChar w:fldCharType="begin"/>
        </w:r>
        <w:r w:rsidR="00296C62" w:rsidRPr="00296C62">
          <w:rPr>
            <w:rStyle w:val="PageNumber"/>
            <w:sz w:val="20"/>
            <w:szCs w:val="20"/>
          </w:rPr>
          <w:instrText xml:space="preserve"> PAGE </w:instrText>
        </w:r>
        <w:r w:rsidR="00296C62" w:rsidRPr="00296C62">
          <w:rPr>
            <w:rStyle w:val="PageNumber"/>
            <w:sz w:val="20"/>
            <w:szCs w:val="20"/>
          </w:rPr>
          <w:fldChar w:fldCharType="separate"/>
        </w:r>
        <w:r w:rsidR="00296C62" w:rsidRPr="00296C62">
          <w:rPr>
            <w:rStyle w:val="PageNumber"/>
            <w:noProof/>
            <w:sz w:val="20"/>
            <w:szCs w:val="20"/>
          </w:rPr>
          <w:t>1</w:t>
        </w:r>
        <w:r w:rsidR="00296C62" w:rsidRPr="00296C62">
          <w:rPr>
            <w:rStyle w:val="PageNumber"/>
            <w:sz w:val="20"/>
            <w:szCs w:val="20"/>
          </w:rPr>
          <w:fldChar w:fldCharType="end"/>
        </w:r>
      </w:sdtContent>
    </w:sdt>
  </w:p>
  <w:p w14:paraId="4DAE32DA" w14:textId="77777777" w:rsidR="00296C62" w:rsidRDefault="00296C62" w:rsidP="00296C6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3445D" w14:textId="37AF635B" w:rsidR="00ED72CA" w:rsidRDefault="00ED72CA">
    <w:pPr>
      <w:pStyle w:val="Footer"/>
    </w:pPr>
    <w:r>
      <w:rPr>
        <w:noProof/>
      </w:rPr>
      <mc:AlternateContent>
        <mc:Choice Requires="wps">
          <w:drawing>
            <wp:anchor distT="0" distB="0" distL="0" distR="0" simplePos="0" relativeHeight="251658245" behindDoc="0" locked="0" layoutInCell="1" allowOverlap="1" wp14:anchorId="5E836702" wp14:editId="487552DC">
              <wp:simplePos x="635" y="635"/>
              <wp:positionH relativeFrom="page">
                <wp:align>center</wp:align>
              </wp:positionH>
              <wp:positionV relativeFrom="page">
                <wp:align>bottom</wp:align>
              </wp:positionV>
              <wp:extent cx="551815" cy="376555"/>
              <wp:effectExtent l="0" t="0" r="635" b="0"/>
              <wp:wrapNone/>
              <wp:docPr id="14871209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964C4A" w14:textId="38F9A3F3"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836702" id="_x0000_t202" coordsize="21600,21600" o:spt="202" path="m,l,21600r21600,l21600,xe">
              <v:stroke joinstyle="miter"/>
              <v:path gradientshapeok="t" o:connecttype="rect"/>
            </v:shapetype>
            <v:shape id="Text Box 4" o:spid="_x0000_s1034"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78964C4A" w14:textId="38F9A3F3"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613E" w14:textId="77777777" w:rsidR="007F326B" w:rsidRDefault="007F326B" w:rsidP="00296C62">
      <w:pPr>
        <w:spacing w:after="0" w:line="240" w:lineRule="auto"/>
      </w:pPr>
      <w:r>
        <w:separator/>
      </w:r>
    </w:p>
  </w:footnote>
  <w:footnote w:type="continuationSeparator" w:id="0">
    <w:p w14:paraId="7684B1F8" w14:textId="77777777" w:rsidR="007F326B" w:rsidRDefault="007F326B" w:rsidP="0029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6B86" w14:textId="77777777" w:rsidR="006A5184" w:rsidRDefault="006A5184">
    <w:pPr>
      <w:pStyle w:val="Header"/>
    </w:pPr>
    <w:r>
      <w:rPr>
        <w:noProof/>
      </w:rPr>
      <mc:AlternateContent>
        <mc:Choice Requires="wps">
          <w:drawing>
            <wp:anchor distT="0" distB="0" distL="0" distR="0" simplePos="0" relativeHeight="251665413" behindDoc="0" locked="0" layoutInCell="1" allowOverlap="1" wp14:anchorId="4EE6FA2E" wp14:editId="0E189B91">
              <wp:simplePos x="635" y="635"/>
              <wp:positionH relativeFrom="page">
                <wp:align>center</wp:align>
              </wp:positionH>
              <wp:positionV relativeFrom="page">
                <wp:align>top</wp:align>
              </wp:positionV>
              <wp:extent cx="551815" cy="480695"/>
              <wp:effectExtent l="0" t="0" r="635" b="14605"/>
              <wp:wrapNone/>
              <wp:docPr id="4243984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CCFF7EA" w14:textId="77777777" w:rsidR="006A5184" w:rsidRPr="00C55983" w:rsidRDefault="006A5184"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E6FA2E"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0CCFF7EA" w14:textId="77777777" w:rsidR="006A5184" w:rsidRPr="00C55983" w:rsidRDefault="006A5184"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EBC8E" w14:textId="77777777" w:rsidR="006A5184" w:rsidRPr="00336CD6" w:rsidRDefault="006A5184">
    <w:pPr>
      <w:pStyle w:val="Header"/>
      <w:rPr>
        <w:b/>
        <w:bCs/>
      </w:rPr>
    </w:pPr>
    <w:r>
      <w:rPr>
        <w:b/>
        <w:bCs/>
        <w:noProof/>
      </w:rPr>
      <mc:AlternateContent>
        <mc:Choice Requires="wps">
          <w:drawing>
            <wp:anchor distT="0" distB="0" distL="0" distR="0" simplePos="0" relativeHeight="251662341" behindDoc="0" locked="0" layoutInCell="1" allowOverlap="1" wp14:anchorId="6114CFE2" wp14:editId="7677F281">
              <wp:simplePos x="915035" y="450215"/>
              <wp:positionH relativeFrom="page">
                <wp:align>center</wp:align>
              </wp:positionH>
              <wp:positionV relativeFrom="page">
                <wp:align>top</wp:align>
              </wp:positionV>
              <wp:extent cx="551815" cy="480695"/>
              <wp:effectExtent l="0" t="0" r="635" b="14605"/>
              <wp:wrapNone/>
              <wp:docPr id="11960159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6815F45" w14:textId="77777777" w:rsidR="006A5184" w:rsidRPr="00C55983" w:rsidRDefault="006A5184" w:rsidP="00C55983">
                          <w:pPr>
                            <w:spacing w:after="0"/>
                            <w:rPr>
                              <w:rFonts w:cs="Calibri"/>
                              <w:noProof/>
                              <w:color w:val="FF0000"/>
                            </w:rPr>
                          </w:pPr>
                          <w:r w:rsidRPr="00C55983">
                            <w:rPr>
                              <w:rFonts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4CFE2"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23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textbox style="mso-fit-shape-to-text:t" inset="0,15pt,0,0">
                <w:txbxContent>
                  <w:p w14:paraId="76815F45" w14:textId="77777777" w:rsidR="006A5184" w:rsidRPr="00C55983" w:rsidRDefault="006A5184" w:rsidP="00C55983">
                    <w:pPr>
                      <w:spacing w:after="0"/>
                      <w:rPr>
                        <w:rFonts w:cs="Calibri"/>
                        <w:noProof/>
                        <w:color w:val="FF0000"/>
                      </w:rPr>
                    </w:pPr>
                    <w:r w:rsidRPr="00C55983">
                      <w:rPr>
                        <w:rFonts w:cs="Calibri"/>
                        <w:noProof/>
                        <w:color w:val="FF0000"/>
                      </w:rPr>
                      <w:t>OFFICIAL</w:t>
                    </w:r>
                  </w:p>
                </w:txbxContent>
              </v:textbox>
              <w10:wrap anchorx="page" anchory="page"/>
            </v:shape>
          </w:pict>
        </mc:Fallback>
      </mc:AlternateContent>
    </w:r>
    <w:r w:rsidRPr="00336CD6">
      <w:rPr>
        <w:b/>
        <w:bCs/>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42F3" w14:textId="6376B307" w:rsidR="006A5184" w:rsidRDefault="006A5184">
    <w:pPr>
      <w:pStyle w:val="Header"/>
    </w:pPr>
    <w:r>
      <w:rPr>
        <w:noProof/>
      </w:rPr>
      <w:drawing>
        <wp:anchor distT="0" distB="0" distL="114300" distR="114300" simplePos="0" relativeHeight="251666437" behindDoc="0" locked="0" layoutInCell="1" allowOverlap="1" wp14:anchorId="7DA291C2" wp14:editId="60BEC0F3">
          <wp:simplePos x="0" y="0"/>
          <wp:positionH relativeFrom="margin">
            <wp:posOffset>0</wp:posOffset>
          </wp:positionH>
          <wp:positionV relativeFrom="margin">
            <wp:posOffset>-279400</wp:posOffset>
          </wp:positionV>
          <wp:extent cx="2393950" cy="497205"/>
          <wp:effectExtent l="0" t="0" r="6350" b="0"/>
          <wp:wrapSquare wrapText="bothSides"/>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1065"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93950" cy="497205"/>
                  </a:xfrm>
                  <a:prstGeom prst="rect">
                    <a:avLst/>
                  </a:prstGeom>
                  <a:ln>
                    <a:noFill/>
                  </a:ln>
                  <a:extLst>
                    <a:ext uri="{53640926-AAD7-44d8-BBD7-CCE9431645EC}">
                      <a14:shadowObscured xmlns="" xmlns:a14="http://schemas.microsoft.com/office/drawing/2010/main" xmlns:arto="http://schemas.microsoft.com/office/word/2006/arto" xmlns:lc="http://schemas.openxmlformats.org/drawingml/2006/lockedCanvas"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anchor>
      </w:drawing>
    </w:r>
    <w:r>
      <w:rPr>
        <w:noProof/>
      </w:rPr>
      <w:drawing>
        <wp:anchor distT="0" distB="0" distL="114300" distR="114300" simplePos="0" relativeHeight="251660293" behindDoc="1" locked="0" layoutInCell="1" allowOverlap="1" wp14:anchorId="1C223D73" wp14:editId="508AD279">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44D2" w14:textId="2F063EA8" w:rsidR="00566F9D" w:rsidRDefault="00ED72CA">
    <w:pPr>
      <w:pStyle w:val="Header"/>
    </w:pPr>
    <w:r>
      <w:rPr>
        <w:noProof/>
      </w:rPr>
      <mc:AlternateContent>
        <mc:Choice Requires="wps">
          <w:drawing>
            <wp:anchor distT="0" distB="0" distL="0" distR="0" simplePos="0" relativeHeight="251658241" behindDoc="0" locked="0" layoutInCell="1" allowOverlap="1" wp14:anchorId="4C2395D8" wp14:editId="781F8624">
              <wp:simplePos x="635" y="635"/>
              <wp:positionH relativeFrom="page">
                <wp:align>center</wp:align>
              </wp:positionH>
              <wp:positionV relativeFrom="page">
                <wp:align>top</wp:align>
              </wp:positionV>
              <wp:extent cx="551815" cy="376555"/>
              <wp:effectExtent l="0" t="0" r="635" b="4445"/>
              <wp:wrapNone/>
              <wp:docPr id="6381601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CF8380" w14:textId="2AF4BD9D"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2395D8" id="_x0000_t202" coordsize="21600,21600" o:spt="202" path="m,l,21600r21600,l21600,xe">
              <v:stroke joinstyle="miter"/>
              <v:path gradientshapeok="t" o:connecttype="rect"/>
            </v:shapetype>
            <v:shape id="_x0000_s1030"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3CF8380" w14:textId="2AF4BD9D"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5E68" w14:textId="77D4EE22" w:rsidR="00566F9D" w:rsidRDefault="00F84929">
    <w:pPr>
      <w:pStyle w:val="Header"/>
    </w:pPr>
    <w:r w:rsidRPr="00336CD6">
      <w:rPr>
        <w:b/>
        <w:bCs/>
      </w:rPr>
      <w:t>Attachment A</w:t>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4BC16" w14:textId="712B8E7D" w:rsidR="00566F9D" w:rsidRDefault="00ED72CA">
    <w:pPr>
      <w:pStyle w:val="Header"/>
    </w:pPr>
    <w:r>
      <w:rPr>
        <w:noProof/>
      </w:rPr>
      <mc:AlternateContent>
        <mc:Choice Requires="wps">
          <w:drawing>
            <wp:anchor distT="0" distB="0" distL="0" distR="0" simplePos="0" relativeHeight="251658240" behindDoc="0" locked="0" layoutInCell="1" allowOverlap="1" wp14:anchorId="59C5479D" wp14:editId="050B5F2C">
              <wp:simplePos x="635" y="635"/>
              <wp:positionH relativeFrom="page">
                <wp:align>center</wp:align>
              </wp:positionH>
              <wp:positionV relativeFrom="page">
                <wp:align>top</wp:align>
              </wp:positionV>
              <wp:extent cx="551815" cy="376555"/>
              <wp:effectExtent l="0" t="0" r="635" b="4445"/>
              <wp:wrapNone/>
              <wp:docPr id="8181097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DD3130" w14:textId="71B4F199"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5479D" id="_x0000_t202" coordsize="21600,21600" o:spt="202" path="m,l,21600r21600,l21600,xe">
              <v:stroke joinstyle="miter"/>
              <v:path gradientshapeok="t" o:connecttype="rect"/>
            </v:shapetype>
            <v:shape id="Text Box 1" o:spid="_x0000_s1033"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65DD3130" w14:textId="71B4F199" w:rsidR="00ED72CA" w:rsidRPr="00ED72CA" w:rsidRDefault="00ED72CA" w:rsidP="00ED72CA">
                    <w:pPr>
                      <w:spacing w:after="0"/>
                      <w:rPr>
                        <w:rFonts w:ascii="Calibri" w:eastAsia="Calibri" w:hAnsi="Calibri" w:cs="Calibri"/>
                        <w:noProof/>
                        <w:color w:val="FF0000"/>
                      </w:rPr>
                    </w:pPr>
                    <w:r w:rsidRPr="00ED72C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143C"/>
    <w:multiLevelType w:val="hybridMultilevel"/>
    <w:tmpl w:val="5DD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517FF"/>
    <w:multiLevelType w:val="multilevel"/>
    <w:tmpl w:val="83E67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D62BE6"/>
    <w:multiLevelType w:val="hybridMultilevel"/>
    <w:tmpl w:val="DD9C6102"/>
    <w:lvl w:ilvl="0" w:tplc="FFFFFFFF">
      <w:start w:val="1"/>
      <w:numFmt w:val="lowerLetter"/>
      <w:lvlText w:val="%1)"/>
      <w:lvlJc w:val="left"/>
      <w:pPr>
        <w:ind w:left="816"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227A4"/>
    <w:multiLevelType w:val="hybridMultilevel"/>
    <w:tmpl w:val="DA0A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E7666"/>
    <w:multiLevelType w:val="hybridMultilevel"/>
    <w:tmpl w:val="5FB62C2A"/>
    <w:lvl w:ilvl="0" w:tplc="A8E04C4E">
      <w:start w:val="7"/>
      <w:numFmt w:val="decimal"/>
      <w:lvlText w:val="%1."/>
      <w:lvlJc w:val="left"/>
      <w:pPr>
        <w:ind w:left="816"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82741"/>
    <w:multiLevelType w:val="hybridMultilevel"/>
    <w:tmpl w:val="32369C2C"/>
    <w:lvl w:ilvl="0" w:tplc="339C33F6">
      <w:start w:val="12"/>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6" w15:restartNumberingAfterBreak="0">
    <w:nsid w:val="0BFF732C"/>
    <w:multiLevelType w:val="multilevel"/>
    <w:tmpl w:val="838A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E281D"/>
    <w:multiLevelType w:val="hybridMultilevel"/>
    <w:tmpl w:val="54BA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708DA"/>
    <w:multiLevelType w:val="hybridMultilevel"/>
    <w:tmpl w:val="C85C1E02"/>
    <w:lvl w:ilvl="0" w:tplc="E7A0A2E8">
      <w:start w:val="4"/>
      <w:numFmt w:val="decimal"/>
      <w:lvlText w:val="%1."/>
      <w:lvlJc w:val="left"/>
      <w:pPr>
        <w:ind w:left="720"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9" w15:restartNumberingAfterBreak="0">
    <w:nsid w:val="12213B7E"/>
    <w:multiLevelType w:val="hybridMultilevel"/>
    <w:tmpl w:val="6082CA4E"/>
    <w:lvl w:ilvl="0" w:tplc="4A2C0350">
      <w:start w:val="14"/>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10" w15:restartNumberingAfterBreak="0">
    <w:nsid w:val="133F1073"/>
    <w:multiLevelType w:val="multilevel"/>
    <w:tmpl w:val="8B40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F158D"/>
    <w:multiLevelType w:val="multilevel"/>
    <w:tmpl w:val="00FAF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B2D19"/>
    <w:multiLevelType w:val="hybridMultilevel"/>
    <w:tmpl w:val="D33EB1AC"/>
    <w:lvl w:ilvl="0" w:tplc="FFFFFFFF">
      <w:start w:val="1"/>
      <w:numFmt w:val="lowerLetter"/>
      <w:lvlText w:val="%1)"/>
      <w:lvlJc w:val="left"/>
      <w:pPr>
        <w:ind w:left="1115" w:hanging="360"/>
      </w:pPr>
      <w:rPr>
        <w:rFonts w:hint="default"/>
        <w:sz w:val="18"/>
      </w:r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13" w15:restartNumberingAfterBreak="0">
    <w:nsid w:val="1BE14B4F"/>
    <w:multiLevelType w:val="hybridMultilevel"/>
    <w:tmpl w:val="BC56DF72"/>
    <w:lvl w:ilvl="0" w:tplc="88161F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F4083"/>
    <w:multiLevelType w:val="hybridMultilevel"/>
    <w:tmpl w:val="4630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2360D"/>
    <w:multiLevelType w:val="hybridMultilevel"/>
    <w:tmpl w:val="37040288"/>
    <w:lvl w:ilvl="0" w:tplc="FFFFFFFF">
      <w:start w:val="1"/>
      <w:numFmt w:val="lowerLetter"/>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02341C"/>
    <w:multiLevelType w:val="hybridMultilevel"/>
    <w:tmpl w:val="18AA75A4"/>
    <w:lvl w:ilvl="0" w:tplc="FFFFFFFF">
      <w:start w:val="1"/>
      <w:numFmt w:val="lowerLetter"/>
      <w:lvlText w:val="%1)"/>
      <w:lvlJc w:val="left"/>
      <w:pPr>
        <w:ind w:left="816"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9C0EB8"/>
    <w:multiLevelType w:val="hybridMultilevel"/>
    <w:tmpl w:val="503215F4"/>
    <w:lvl w:ilvl="0" w:tplc="50F8B8D8">
      <w:start w:val="1"/>
      <w:numFmt w:val="lowerLetter"/>
      <w:lvlText w:val="%1)"/>
      <w:lvlJc w:val="left"/>
      <w:pPr>
        <w:ind w:left="1115" w:hanging="360"/>
      </w:pPr>
      <w:rPr>
        <w:rFonts w:hint="default"/>
        <w:sz w:val="18"/>
      </w:rPr>
    </w:lvl>
    <w:lvl w:ilvl="1" w:tplc="08090019" w:tentative="1">
      <w:start w:val="1"/>
      <w:numFmt w:val="lowerLetter"/>
      <w:lvlText w:val="%2."/>
      <w:lvlJc w:val="left"/>
      <w:pPr>
        <w:ind w:left="1835" w:hanging="360"/>
      </w:pPr>
    </w:lvl>
    <w:lvl w:ilvl="2" w:tplc="0809001B" w:tentative="1">
      <w:start w:val="1"/>
      <w:numFmt w:val="lowerRoman"/>
      <w:lvlText w:val="%3."/>
      <w:lvlJc w:val="right"/>
      <w:pPr>
        <w:ind w:left="2555" w:hanging="180"/>
      </w:pPr>
    </w:lvl>
    <w:lvl w:ilvl="3" w:tplc="0809000F" w:tentative="1">
      <w:start w:val="1"/>
      <w:numFmt w:val="decimal"/>
      <w:lvlText w:val="%4."/>
      <w:lvlJc w:val="left"/>
      <w:pPr>
        <w:ind w:left="3275" w:hanging="360"/>
      </w:pPr>
    </w:lvl>
    <w:lvl w:ilvl="4" w:tplc="08090019" w:tentative="1">
      <w:start w:val="1"/>
      <w:numFmt w:val="lowerLetter"/>
      <w:lvlText w:val="%5."/>
      <w:lvlJc w:val="left"/>
      <w:pPr>
        <w:ind w:left="3995" w:hanging="360"/>
      </w:pPr>
    </w:lvl>
    <w:lvl w:ilvl="5" w:tplc="0809001B" w:tentative="1">
      <w:start w:val="1"/>
      <w:numFmt w:val="lowerRoman"/>
      <w:lvlText w:val="%6."/>
      <w:lvlJc w:val="right"/>
      <w:pPr>
        <w:ind w:left="4715" w:hanging="180"/>
      </w:pPr>
    </w:lvl>
    <w:lvl w:ilvl="6" w:tplc="0809000F" w:tentative="1">
      <w:start w:val="1"/>
      <w:numFmt w:val="decimal"/>
      <w:lvlText w:val="%7."/>
      <w:lvlJc w:val="left"/>
      <w:pPr>
        <w:ind w:left="5435" w:hanging="360"/>
      </w:pPr>
    </w:lvl>
    <w:lvl w:ilvl="7" w:tplc="08090019" w:tentative="1">
      <w:start w:val="1"/>
      <w:numFmt w:val="lowerLetter"/>
      <w:lvlText w:val="%8."/>
      <w:lvlJc w:val="left"/>
      <w:pPr>
        <w:ind w:left="6155" w:hanging="360"/>
      </w:pPr>
    </w:lvl>
    <w:lvl w:ilvl="8" w:tplc="0809001B" w:tentative="1">
      <w:start w:val="1"/>
      <w:numFmt w:val="lowerRoman"/>
      <w:lvlText w:val="%9."/>
      <w:lvlJc w:val="right"/>
      <w:pPr>
        <w:ind w:left="6875" w:hanging="180"/>
      </w:pPr>
    </w:lvl>
  </w:abstractNum>
  <w:abstractNum w:abstractNumId="18" w15:restartNumberingAfterBreak="0">
    <w:nsid w:val="39E94D81"/>
    <w:multiLevelType w:val="hybridMultilevel"/>
    <w:tmpl w:val="3B4E77C6"/>
    <w:lvl w:ilvl="0" w:tplc="5E4AB162">
      <w:start w:val="1"/>
      <w:numFmt w:val="bullet"/>
      <w:lvlText w:val=""/>
      <w:lvlJc w:val="left"/>
      <w:pPr>
        <w:ind w:left="720" w:hanging="360"/>
      </w:pPr>
      <w:rPr>
        <w:rFonts w:ascii="Symbol" w:hAnsi="Symbol" w:hint="default"/>
      </w:rPr>
    </w:lvl>
    <w:lvl w:ilvl="1" w:tplc="96E43220" w:tentative="1">
      <w:start w:val="1"/>
      <w:numFmt w:val="bullet"/>
      <w:lvlText w:val="o"/>
      <w:lvlJc w:val="left"/>
      <w:pPr>
        <w:ind w:left="1440" w:hanging="360"/>
      </w:pPr>
      <w:rPr>
        <w:rFonts w:ascii="Courier New" w:hAnsi="Courier New" w:cs="Courier New" w:hint="default"/>
      </w:rPr>
    </w:lvl>
    <w:lvl w:ilvl="2" w:tplc="4E6E3E60" w:tentative="1">
      <w:start w:val="1"/>
      <w:numFmt w:val="bullet"/>
      <w:lvlText w:val=""/>
      <w:lvlJc w:val="left"/>
      <w:pPr>
        <w:ind w:left="2160" w:hanging="360"/>
      </w:pPr>
      <w:rPr>
        <w:rFonts w:ascii="Wingdings" w:hAnsi="Wingdings" w:hint="default"/>
      </w:rPr>
    </w:lvl>
    <w:lvl w:ilvl="3" w:tplc="76CC0778" w:tentative="1">
      <w:start w:val="1"/>
      <w:numFmt w:val="bullet"/>
      <w:lvlText w:val=""/>
      <w:lvlJc w:val="left"/>
      <w:pPr>
        <w:ind w:left="2880" w:hanging="360"/>
      </w:pPr>
      <w:rPr>
        <w:rFonts w:ascii="Symbol" w:hAnsi="Symbol" w:hint="default"/>
      </w:rPr>
    </w:lvl>
    <w:lvl w:ilvl="4" w:tplc="00B6AF64" w:tentative="1">
      <w:start w:val="1"/>
      <w:numFmt w:val="bullet"/>
      <w:lvlText w:val="o"/>
      <w:lvlJc w:val="left"/>
      <w:pPr>
        <w:ind w:left="3600" w:hanging="360"/>
      </w:pPr>
      <w:rPr>
        <w:rFonts w:ascii="Courier New" w:hAnsi="Courier New" w:cs="Courier New" w:hint="default"/>
      </w:rPr>
    </w:lvl>
    <w:lvl w:ilvl="5" w:tplc="17A0C456" w:tentative="1">
      <w:start w:val="1"/>
      <w:numFmt w:val="bullet"/>
      <w:lvlText w:val=""/>
      <w:lvlJc w:val="left"/>
      <w:pPr>
        <w:ind w:left="4320" w:hanging="360"/>
      </w:pPr>
      <w:rPr>
        <w:rFonts w:ascii="Wingdings" w:hAnsi="Wingdings" w:hint="default"/>
      </w:rPr>
    </w:lvl>
    <w:lvl w:ilvl="6" w:tplc="9EDCCDD0" w:tentative="1">
      <w:start w:val="1"/>
      <w:numFmt w:val="bullet"/>
      <w:lvlText w:val=""/>
      <w:lvlJc w:val="left"/>
      <w:pPr>
        <w:ind w:left="5040" w:hanging="360"/>
      </w:pPr>
      <w:rPr>
        <w:rFonts w:ascii="Symbol" w:hAnsi="Symbol" w:hint="default"/>
      </w:rPr>
    </w:lvl>
    <w:lvl w:ilvl="7" w:tplc="1FEAB97C" w:tentative="1">
      <w:start w:val="1"/>
      <w:numFmt w:val="bullet"/>
      <w:lvlText w:val="o"/>
      <w:lvlJc w:val="left"/>
      <w:pPr>
        <w:ind w:left="5760" w:hanging="360"/>
      </w:pPr>
      <w:rPr>
        <w:rFonts w:ascii="Courier New" w:hAnsi="Courier New" w:cs="Courier New" w:hint="default"/>
      </w:rPr>
    </w:lvl>
    <w:lvl w:ilvl="8" w:tplc="82880A9A" w:tentative="1">
      <w:start w:val="1"/>
      <w:numFmt w:val="bullet"/>
      <w:lvlText w:val=""/>
      <w:lvlJc w:val="left"/>
      <w:pPr>
        <w:ind w:left="6480" w:hanging="360"/>
      </w:pPr>
      <w:rPr>
        <w:rFonts w:ascii="Wingdings" w:hAnsi="Wingdings" w:hint="default"/>
      </w:rPr>
    </w:lvl>
  </w:abstractNum>
  <w:abstractNum w:abstractNumId="19" w15:restartNumberingAfterBreak="0">
    <w:nsid w:val="3B847587"/>
    <w:multiLevelType w:val="hybridMultilevel"/>
    <w:tmpl w:val="97F0674E"/>
    <w:lvl w:ilvl="0" w:tplc="0809000F">
      <w:start w:val="1"/>
      <w:numFmt w:val="decimal"/>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0" w15:restartNumberingAfterBreak="0">
    <w:nsid w:val="3DB51C41"/>
    <w:multiLevelType w:val="hybridMultilevel"/>
    <w:tmpl w:val="BD4ED202"/>
    <w:lvl w:ilvl="0" w:tplc="50F8B8D8">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82311"/>
    <w:multiLevelType w:val="hybridMultilevel"/>
    <w:tmpl w:val="403812FC"/>
    <w:lvl w:ilvl="0" w:tplc="50F8B8D8">
      <w:start w:val="1"/>
      <w:numFmt w:val="lowerLetter"/>
      <w:lvlText w:val="%1)"/>
      <w:lvlJc w:val="left"/>
      <w:pPr>
        <w:ind w:left="722" w:hanging="360"/>
      </w:pPr>
      <w:rPr>
        <w:rFonts w:hint="default"/>
        <w:sz w:val="18"/>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22" w15:restartNumberingAfterBreak="0">
    <w:nsid w:val="3F822EA6"/>
    <w:multiLevelType w:val="hybridMultilevel"/>
    <w:tmpl w:val="BD4ED202"/>
    <w:lvl w:ilvl="0" w:tplc="FFFFFFFF">
      <w:start w:val="1"/>
      <w:numFmt w:val="lowerLetter"/>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E37D46"/>
    <w:multiLevelType w:val="hybridMultilevel"/>
    <w:tmpl w:val="C4AA6196"/>
    <w:lvl w:ilvl="0" w:tplc="6E3C6FD2">
      <w:start w:val="10"/>
      <w:numFmt w:val="decimal"/>
      <w:lvlText w:val="%1."/>
      <w:lvlJc w:val="left"/>
      <w:pPr>
        <w:ind w:left="81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862595"/>
    <w:multiLevelType w:val="hybridMultilevel"/>
    <w:tmpl w:val="14209344"/>
    <w:lvl w:ilvl="0" w:tplc="6ED8DAD0">
      <w:start w:val="13"/>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25" w15:restartNumberingAfterBreak="0">
    <w:nsid w:val="45755110"/>
    <w:multiLevelType w:val="hybridMultilevel"/>
    <w:tmpl w:val="8ED29DA2"/>
    <w:lvl w:ilvl="0" w:tplc="FFFFFFFF">
      <w:start w:val="1"/>
      <w:numFmt w:val="lowerLetter"/>
      <w:lvlText w:val="%1)"/>
      <w:lvlJc w:val="left"/>
      <w:pPr>
        <w:ind w:left="1115" w:hanging="360"/>
      </w:pPr>
      <w:rPr>
        <w:rFonts w:hint="default"/>
        <w:sz w:val="18"/>
      </w:r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26" w15:restartNumberingAfterBreak="0">
    <w:nsid w:val="4F830AE6"/>
    <w:multiLevelType w:val="hybridMultilevel"/>
    <w:tmpl w:val="A6ACBA4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2264DB"/>
    <w:multiLevelType w:val="hybridMultilevel"/>
    <w:tmpl w:val="DF9AB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82236"/>
    <w:multiLevelType w:val="hybridMultilevel"/>
    <w:tmpl w:val="D33EB1AC"/>
    <w:lvl w:ilvl="0" w:tplc="FFFFFFFF">
      <w:start w:val="1"/>
      <w:numFmt w:val="lowerLetter"/>
      <w:lvlText w:val="%1)"/>
      <w:lvlJc w:val="left"/>
      <w:pPr>
        <w:ind w:left="1115" w:hanging="360"/>
      </w:pPr>
      <w:rPr>
        <w:rFonts w:hint="default"/>
        <w:sz w:val="18"/>
      </w:r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abstractNum w:abstractNumId="29" w15:restartNumberingAfterBreak="0">
    <w:nsid w:val="59A4271C"/>
    <w:multiLevelType w:val="multilevel"/>
    <w:tmpl w:val="0A3E6FF6"/>
    <w:lvl w:ilvl="0">
      <w:start w:val="1"/>
      <w:numFmt w:val="lowerLetter"/>
      <w:lvlText w:val="%1)"/>
      <w:lvlJc w:val="left"/>
      <w:pPr>
        <w:ind w:left="720" w:hanging="360"/>
      </w:pPr>
      <w:rPr>
        <w:rFonts w:hint="default"/>
        <w:sz w:val="1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E43331"/>
    <w:multiLevelType w:val="hybridMultilevel"/>
    <w:tmpl w:val="3C7E35F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1C0A91"/>
    <w:multiLevelType w:val="hybridMultilevel"/>
    <w:tmpl w:val="F6E0B458"/>
    <w:lvl w:ilvl="0" w:tplc="92E84E4C">
      <w:start w:val="1"/>
      <w:numFmt w:val="bullet"/>
      <w:lvlText w:val=""/>
      <w:lvlJc w:val="left"/>
      <w:pPr>
        <w:ind w:left="720" w:hanging="360"/>
      </w:pPr>
      <w:rPr>
        <w:rFonts w:ascii="Symbol" w:hAnsi="Symbol" w:hint="default"/>
      </w:rPr>
    </w:lvl>
    <w:lvl w:ilvl="1" w:tplc="47329C46">
      <w:start w:val="1"/>
      <w:numFmt w:val="bullet"/>
      <w:lvlText w:val="o"/>
      <w:lvlJc w:val="left"/>
      <w:pPr>
        <w:ind w:left="1440" w:hanging="360"/>
      </w:pPr>
      <w:rPr>
        <w:rFonts w:ascii="Courier New" w:hAnsi="Courier New" w:cs="Courier New" w:hint="default"/>
      </w:rPr>
    </w:lvl>
    <w:lvl w:ilvl="2" w:tplc="9A32E372">
      <w:start w:val="1"/>
      <w:numFmt w:val="bullet"/>
      <w:lvlText w:val=""/>
      <w:lvlJc w:val="left"/>
      <w:pPr>
        <w:ind w:left="2160" w:hanging="360"/>
      </w:pPr>
      <w:rPr>
        <w:rFonts w:ascii="Wingdings" w:hAnsi="Wingdings" w:hint="default"/>
      </w:rPr>
    </w:lvl>
    <w:lvl w:ilvl="3" w:tplc="0E4A8A68">
      <w:start w:val="1"/>
      <w:numFmt w:val="bullet"/>
      <w:lvlText w:val=""/>
      <w:lvlJc w:val="left"/>
      <w:pPr>
        <w:ind w:left="2880" w:hanging="360"/>
      </w:pPr>
      <w:rPr>
        <w:rFonts w:ascii="Symbol" w:hAnsi="Symbol" w:hint="default"/>
      </w:rPr>
    </w:lvl>
    <w:lvl w:ilvl="4" w:tplc="51709236">
      <w:start w:val="1"/>
      <w:numFmt w:val="bullet"/>
      <w:lvlText w:val="o"/>
      <w:lvlJc w:val="left"/>
      <w:pPr>
        <w:ind w:left="3600" w:hanging="360"/>
      </w:pPr>
      <w:rPr>
        <w:rFonts w:ascii="Courier New" w:hAnsi="Courier New" w:cs="Courier New" w:hint="default"/>
      </w:rPr>
    </w:lvl>
    <w:lvl w:ilvl="5" w:tplc="CBF4C358">
      <w:start w:val="1"/>
      <w:numFmt w:val="bullet"/>
      <w:lvlText w:val=""/>
      <w:lvlJc w:val="left"/>
      <w:pPr>
        <w:ind w:left="4320" w:hanging="360"/>
      </w:pPr>
      <w:rPr>
        <w:rFonts w:ascii="Wingdings" w:hAnsi="Wingdings" w:hint="default"/>
      </w:rPr>
    </w:lvl>
    <w:lvl w:ilvl="6" w:tplc="C2D61894">
      <w:start w:val="1"/>
      <w:numFmt w:val="bullet"/>
      <w:lvlText w:val=""/>
      <w:lvlJc w:val="left"/>
      <w:pPr>
        <w:ind w:left="5040" w:hanging="360"/>
      </w:pPr>
      <w:rPr>
        <w:rFonts w:ascii="Symbol" w:hAnsi="Symbol" w:hint="default"/>
      </w:rPr>
    </w:lvl>
    <w:lvl w:ilvl="7" w:tplc="58D8D89A">
      <w:start w:val="1"/>
      <w:numFmt w:val="bullet"/>
      <w:lvlText w:val="o"/>
      <w:lvlJc w:val="left"/>
      <w:pPr>
        <w:ind w:left="5760" w:hanging="360"/>
      </w:pPr>
      <w:rPr>
        <w:rFonts w:ascii="Courier New" w:hAnsi="Courier New" w:cs="Courier New" w:hint="default"/>
      </w:rPr>
    </w:lvl>
    <w:lvl w:ilvl="8" w:tplc="05DE5B26">
      <w:start w:val="1"/>
      <w:numFmt w:val="bullet"/>
      <w:lvlText w:val=""/>
      <w:lvlJc w:val="left"/>
      <w:pPr>
        <w:ind w:left="6480" w:hanging="360"/>
      </w:pPr>
      <w:rPr>
        <w:rFonts w:ascii="Wingdings" w:hAnsi="Wingdings" w:hint="default"/>
      </w:rPr>
    </w:lvl>
  </w:abstractNum>
  <w:abstractNum w:abstractNumId="32" w15:restartNumberingAfterBreak="0">
    <w:nsid w:val="5C0A29B9"/>
    <w:multiLevelType w:val="hybridMultilevel"/>
    <w:tmpl w:val="06B80754"/>
    <w:lvl w:ilvl="0" w:tplc="50F8B8D8">
      <w:start w:val="1"/>
      <w:numFmt w:val="lowerLetter"/>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0224DC"/>
    <w:multiLevelType w:val="hybridMultilevel"/>
    <w:tmpl w:val="959884E4"/>
    <w:lvl w:ilvl="0" w:tplc="50F8B8D8">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7717A"/>
    <w:multiLevelType w:val="multilevel"/>
    <w:tmpl w:val="103C249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2D96681"/>
    <w:multiLevelType w:val="hybridMultilevel"/>
    <w:tmpl w:val="83444C74"/>
    <w:lvl w:ilvl="0" w:tplc="50F8B8D8">
      <w:start w:val="1"/>
      <w:numFmt w:val="lowerLetter"/>
      <w:lvlText w:val="%1)"/>
      <w:lvlJc w:val="left"/>
      <w:pPr>
        <w:ind w:left="1115"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F733C7"/>
    <w:multiLevelType w:val="hybridMultilevel"/>
    <w:tmpl w:val="37040288"/>
    <w:lvl w:ilvl="0" w:tplc="FFFFFFFF">
      <w:start w:val="1"/>
      <w:numFmt w:val="lowerLetter"/>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6A711A"/>
    <w:multiLevelType w:val="hybridMultilevel"/>
    <w:tmpl w:val="BD4ED202"/>
    <w:lvl w:ilvl="0" w:tplc="FFFFFFFF">
      <w:start w:val="1"/>
      <w:numFmt w:val="lowerLetter"/>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A1BB1"/>
    <w:multiLevelType w:val="multilevel"/>
    <w:tmpl w:val="36BADD2A"/>
    <w:styleLink w:val="CurrentList1"/>
    <w:lvl w:ilvl="0">
      <w:start w:val="4"/>
      <w:numFmt w:val="decimal"/>
      <w:lvlText w:val="%1."/>
      <w:lvlJc w:val="left"/>
      <w:pPr>
        <w:ind w:left="756" w:hanging="360"/>
      </w:pPr>
      <w:rPr>
        <w:rFonts w:hint="default"/>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9" w15:restartNumberingAfterBreak="0">
    <w:nsid w:val="727541D7"/>
    <w:multiLevelType w:val="hybridMultilevel"/>
    <w:tmpl w:val="63CC1DDC"/>
    <w:lvl w:ilvl="0" w:tplc="A8E04C4E">
      <w:start w:val="7"/>
      <w:numFmt w:val="decimal"/>
      <w:lvlText w:val="%1."/>
      <w:lvlJc w:val="left"/>
      <w:pPr>
        <w:ind w:left="816"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09791F"/>
    <w:multiLevelType w:val="hybridMultilevel"/>
    <w:tmpl w:val="EA18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D43EB"/>
    <w:multiLevelType w:val="hybridMultilevel"/>
    <w:tmpl w:val="D97E3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9E29C9"/>
    <w:multiLevelType w:val="multilevel"/>
    <w:tmpl w:val="0809001D"/>
    <w:styleLink w:val="Recommenda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B64095B"/>
    <w:multiLevelType w:val="hybridMultilevel"/>
    <w:tmpl w:val="38F20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65361"/>
    <w:multiLevelType w:val="hybridMultilevel"/>
    <w:tmpl w:val="D31A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E26D0"/>
    <w:multiLevelType w:val="hybridMultilevel"/>
    <w:tmpl w:val="503215F4"/>
    <w:lvl w:ilvl="0" w:tplc="FFFFFFFF">
      <w:start w:val="1"/>
      <w:numFmt w:val="lowerLetter"/>
      <w:lvlText w:val="%1)"/>
      <w:lvlJc w:val="left"/>
      <w:pPr>
        <w:ind w:left="1115" w:hanging="360"/>
      </w:pPr>
      <w:rPr>
        <w:rFonts w:hint="default"/>
        <w:sz w:val="18"/>
      </w:rPr>
    </w:lvl>
    <w:lvl w:ilvl="1" w:tplc="FFFFFFFF" w:tentative="1">
      <w:start w:val="1"/>
      <w:numFmt w:val="lowerLetter"/>
      <w:lvlText w:val="%2."/>
      <w:lvlJc w:val="left"/>
      <w:pPr>
        <w:ind w:left="1835" w:hanging="360"/>
      </w:pPr>
    </w:lvl>
    <w:lvl w:ilvl="2" w:tplc="FFFFFFFF" w:tentative="1">
      <w:start w:val="1"/>
      <w:numFmt w:val="lowerRoman"/>
      <w:lvlText w:val="%3."/>
      <w:lvlJc w:val="right"/>
      <w:pPr>
        <w:ind w:left="2555" w:hanging="180"/>
      </w:pPr>
    </w:lvl>
    <w:lvl w:ilvl="3" w:tplc="FFFFFFFF" w:tentative="1">
      <w:start w:val="1"/>
      <w:numFmt w:val="decimal"/>
      <w:lvlText w:val="%4."/>
      <w:lvlJc w:val="left"/>
      <w:pPr>
        <w:ind w:left="3275" w:hanging="360"/>
      </w:pPr>
    </w:lvl>
    <w:lvl w:ilvl="4" w:tplc="FFFFFFFF" w:tentative="1">
      <w:start w:val="1"/>
      <w:numFmt w:val="lowerLetter"/>
      <w:lvlText w:val="%5."/>
      <w:lvlJc w:val="left"/>
      <w:pPr>
        <w:ind w:left="3995" w:hanging="360"/>
      </w:pPr>
    </w:lvl>
    <w:lvl w:ilvl="5" w:tplc="FFFFFFFF" w:tentative="1">
      <w:start w:val="1"/>
      <w:numFmt w:val="lowerRoman"/>
      <w:lvlText w:val="%6."/>
      <w:lvlJc w:val="right"/>
      <w:pPr>
        <w:ind w:left="4715" w:hanging="180"/>
      </w:pPr>
    </w:lvl>
    <w:lvl w:ilvl="6" w:tplc="FFFFFFFF" w:tentative="1">
      <w:start w:val="1"/>
      <w:numFmt w:val="decimal"/>
      <w:lvlText w:val="%7."/>
      <w:lvlJc w:val="left"/>
      <w:pPr>
        <w:ind w:left="5435" w:hanging="360"/>
      </w:pPr>
    </w:lvl>
    <w:lvl w:ilvl="7" w:tplc="FFFFFFFF" w:tentative="1">
      <w:start w:val="1"/>
      <w:numFmt w:val="lowerLetter"/>
      <w:lvlText w:val="%8."/>
      <w:lvlJc w:val="left"/>
      <w:pPr>
        <w:ind w:left="6155" w:hanging="360"/>
      </w:pPr>
    </w:lvl>
    <w:lvl w:ilvl="8" w:tplc="FFFFFFFF" w:tentative="1">
      <w:start w:val="1"/>
      <w:numFmt w:val="lowerRoman"/>
      <w:lvlText w:val="%9."/>
      <w:lvlJc w:val="right"/>
      <w:pPr>
        <w:ind w:left="6875" w:hanging="180"/>
      </w:pPr>
    </w:lvl>
  </w:abstractNum>
  <w:num w:numId="1" w16cid:durableId="93790774">
    <w:abstractNumId w:val="42"/>
  </w:num>
  <w:num w:numId="2" w16cid:durableId="1866216238">
    <w:abstractNumId w:val="34"/>
    <w:lvlOverride w:ilvl="0">
      <w:startOverride w:val="2"/>
    </w:lvlOverride>
    <w:lvlOverride w:ilvl="1">
      <w:startOverride w:val="2"/>
    </w:lvlOverride>
    <w:lvlOverride w:ilvl="2">
      <w:startOverride w:val="2"/>
    </w:lvlOverride>
  </w:num>
  <w:num w:numId="3" w16cid:durableId="1709138443">
    <w:abstractNumId w:val="1"/>
  </w:num>
  <w:num w:numId="4" w16cid:durableId="1558122953">
    <w:abstractNumId w:val="34"/>
  </w:num>
  <w:num w:numId="5" w16cid:durableId="1093283559">
    <w:abstractNumId w:val="7"/>
  </w:num>
  <w:num w:numId="6" w16cid:durableId="1350447308">
    <w:abstractNumId w:val="43"/>
  </w:num>
  <w:num w:numId="7" w16cid:durableId="400369722">
    <w:abstractNumId w:val="0"/>
  </w:num>
  <w:num w:numId="8" w16cid:durableId="470288886">
    <w:abstractNumId w:val="40"/>
  </w:num>
  <w:num w:numId="9" w16cid:durableId="733040550">
    <w:abstractNumId w:val="6"/>
  </w:num>
  <w:num w:numId="10" w16cid:durableId="1846244044">
    <w:abstractNumId w:val="27"/>
  </w:num>
  <w:num w:numId="11" w16cid:durableId="1351569242">
    <w:abstractNumId w:val="8"/>
  </w:num>
  <w:num w:numId="12" w16cid:durableId="1226797624">
    <w:abstractNumId w:val="44"/>
  </w:num>
  <w:num w:numId="13" w16cid:durableId="1838763074">
    <w:abstractNumId w:val="11"/>
  </w:num>
  <w:num w:numId="14" w16cid:durableId="628320040">
    <w:abstractNumId w:val="19"/>
  </w:num>
  <w:num w:numId="15" w16cid:durableId="562981426">
    <w:abstractNumId w:val="3"/>
  </w:num>
  <w:num w:numId="16" w16cid:durableId="1820687481">
    <w:abstractNumId w:val="38"/>
  </w:num>
  <w:num w:numId="17" w16cid:durableId="758910356">
    <w:abstractNumId w:val="13"/>
  </w:num>
  <w:num w:numId="18" w16cid:durableId="995184956">
    <w:abstractNumId w:val="39"/>
  </w:num>
  <w:num w:numId="19" w16cid:durableId="1203324093">
    <w:abstractNumId w:val="31"/>
  </w:num>
  <w:num w:numId="20" w16cid:durableId="1735161739">
    <w:abstractNumId w:val="18"/>
  </w:num>
  <w:num w:numId="21" w16cid:durableId="1498768338">
    <w:abstractNumId w:val="23"/>
  </w:num>
  <w:num w:numId="22" w16cid:durableId="1035229548">
    <w:abstractNumId w:val="5"/>
  </w:num>
  <w:num w:numId="23" w16cid:durableId="983464130">
    <w:abstractNumId w:val="24"/>
  </w:num>
  <w:num w:numId="24" w16cid:durableId="1185364105">
    <w:abstractNumId w:val="9"/>
  </w:num>
  <w:num w:numId="25" w16cid:durableId="1332216936">
    <w:abstractNumId w:val="41"/>
  </w:num>
  <w:num w:numId="26" w16cid:durableId="1743067920">
    <w:abstractNumId w:val="10"/>
  </w:num>
  <w:num w:numId="27" w16cid:durableId="21368039">
    <w:abstractNumId w:val="29"/>
  </w:num>
  <w:num w:numId="28" w16cid:durableId="725224369">
    <w:abstractNumId w:val="30"/>
  </w:num>
  <w:num w:numId="29" w16cid:durableId="183445791">
    <w:abstractNumId w:val="33"/>
  </w:num>
  <w:num w:numId="30" w16cid:durableId="1456218722">
    <w:abstractNumId w:val="32"/>
  </w:num>
  <w:num w:numId="31" w16cid:durableId="187959834">
    <w:abstractNumId w:val="15"/>
  </w:num>
  <w:num w:numId="32" w16cid:durableId="2122608243">
    <w:abstractNumId w:val="36"/>
  </w:num>
  <w:num w:numId="33" w16cid:durableId="1074477507">
    <w:abstractNumId w:val="17"/>
  </w:num>
  <w:num w:numId="34" w16cid:durableId="1288001251">
    <w:abstractNumId w:val="12"/>
  </w:num>
  <w:num w:numId="35" w16cid:durableId="1494371046">
    <w:abstractNumId w:val="28"/>
  </w:num>
  <w:num w:numId="36" w16cid:durableId="1673871655">
    <w:abstractNumId w:val="16"/>
  </w:num>
  <w:num w:numId="37" w16cid:durableId="5789142">
    <w:abstractNumId w:val="4"/>
  </w:num>
  <w:num w:numId="38" w16cid:durableId="1560480056">
    <w:abstractNumId w:val="2"/>
  </w:num>
  <w:num w:numId="39" w16cid:durableId="238368246">
    <w:abstractNumId w:val="25"/>
  </w:num>
  <w:num w:numId="40" w16cid:durableId="98532337">
    <w:abstractNumId w:val="45"/>
  </w:num>
  <w:num w:numId="41" w16cid:durableId="682824556">
    <w:abstractNumId w:val="35"/>
  </w:num>
  <w:num w:numId="42" w16cid:durableId="961573203">
    <w:abstractNumId w:val="21"/>
  </w:num>
  <w:num w:numId="43" w16cid:durableId="365718860">
    <w:abstractNumId w:val="20"/>
  </w:num>
  <w:num w:numId="44" w16cid:durableId="1543783961">
    <w:abstractNumId w:val="22"/>
  </w:num>
  <w:num w:numId="45" w16cid:durableId="1973553271">
    <w:abstractNumId w:val="37"/>
  </w:num>
  <w:num w:numId="46" w16cid:durableId="229468169">
    <w:abstractNumId w:val="26"/>
  </w:num>
  <w:num w:numId="47" w16cid:durableId="149835076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F6"/>
    <w:rsid w:val="000019EB"/>
    <w:rsid w:val="0000652D"/>
    <w:rsid w:val="00010C27"/>
    <w:rsid w:val="000245D7"/>
    <w:rsid w:val="0002702D"/>
    <w:rsid w:val="000349E4"/>
    <w:rsid w:val="000419A4"/>
    <w:rsid w:val="00046F3B"/>
    <w:rsid w:val="00051510"/>
    <w:rsid w:val="00053436"/>
    <w:rsid w:val="000556C2"/>
    <w:rsid w:val="000823DE"/>
    <w:rsid w:val="000845E4"/>
    <w:rsid w:val="0008567B"/>
    <w:rsid w:val="0008769E"/>
    <w:rsid w:val="0009141E"/>
    <w:rsid w:val="000A286C"/>
    <w:rsid w:val="000A4F9C"/>
    <w:rsid w:val="000B21FF"/>
    <w:rsid w:val="000B67A4"/>
    <w:rsid w:val="000C19AA"/>
    <w:rsid w:val="000D1F42"/>
    <w:rsid w:val="000E3F63"/>
    <w:rsid w:val="000F216A"/>
    <w:rsid w:val="000F7F99"/>
    <w:rsid w:val="00100819"/>
    <w:rsid w:val="001071D8"/>
    <w:rsid w:val="00111866"/>
    <w:rsid w:val="00111A0A"/>
    <w:rsid w:val="00116577"/>
    <w:rsid w:val="00116C1B"/>
    <w:rsid w:val="001203A1"/>
    <w:rsid w:val="00120AE1"/>
    <w:rsid w:val="001218F1"/>
    <w:rsid w:val="00136222"/>
    <w:rsid w:val="00141CDD"/>
    <w:rsid w:val="001465C2"/>
    <w:rsid w:val="00173D62"/>
    <w:rsid w:val="00180BB6"/>
    <w:rsid w:val="00180DB1"/>
    <w:rsid w:val="001850F2"/>
    <w:rsid w:val="001A227E"/>
    <w:rsid w:val="001A4B3B"/>
    <w:rsid w:val="001A53CE"/>
    <w:rsid w:val="001B621D"/>
    <w:rsid w:val="001C0AC1"/>
    <w:rsid w:val="001C410C"/>
    <w:rsid w:val="001E5677"/>
    <w:rsid w:val="001E742E"/>
    <w:rsid w:val="001F2CD7"/>
    <w:rsid w:val="001F5BC2"/>
    <w:rsid w:val="00214540"/>
    <w:rsid w:val="00214874"/>
    <w:rsid w:val="00217307"/>
    <w:rsid w:val="002177E0"/>
    <w:rsid w:val="00221F93"/>
    <w:rsid w:val="00224071"/>
    <w:rsid w:val="00246690"/>
    <w:rsid w:val="00247577"/>
    <w:rsid w:val="002507D0"/>
    <w:rsid w:val="002507E9"/>
    <w:rsid w:val="0025731E"/>
    <w:rsid w:val="002667A8"/>
    <w:rsid w:val="0027035C"/>
    <w:rsid w:val="002718D4"/>
    <w:rsid w:val="00280D93"/>
    <w:rsid w:val="00292464"/>
    <w:rsid w:val="00296C62"/>
    <w:rsid w:val="002A45D8"/>
    <w:rsid w:val="002A5BEF"/>
    <w:rsid w:val="002A72FC"/>
    <w:rsid w:val="002A7E63"/>
    <w:rsid w:val="002B07A7"/>
    <w:rsid w:val="002B3BA0"/>
    <w:rsid w:val="002B5FAA"/>
    <w:rsid w:val="002B7BFA"/>
    <w:rsid w:val="002D70AD"/>
    <w:rsid w:val="002E3B20"/>
    <w:rsid w:val="002E7AA3"/>
    <w:rsid w:val="002E7C4F"/>
    <w:rsid w:val="002F38FD"/>
    <w:rsid w:val="002F3B7B"/>
    <w:rsid w:val="00300773"/>
    <w:rsid w:val="00300E1E"/>
    <w:rsid w:val="0031046F"/>
    <w:rsid w:val="003111D4"/>
    <w:rsid w:val="003114C6"/>
    <w:rsid w:val="003150A1"/>
    <w:rsid w:val="0031527E"/>
    <w:rsid w:val="003234B0"/>
    <w:rsid w:val="003364C6"/>
    <w:rsid w:val="00336637"/>
    <w:rsid w:val="0034326B"/>
    <w:rsid w:val="00346662"/>
    <w:rsid w:val="003469F3"/>
    <w:rsid w:val="00351DC5"/>
    <w:rsid w:val="003618FC"/>
    <w:rsid w:val="00382EBE"/>
    <w:rsid w:val="003915CB"/>
    <w:rsid w:val="003925C5"/>
    <w:rsid w:val="00392AC8"/>
    <w:rsid w:val="003A0D29"/>
    <w:rsid w:val="003A0E9E"/>
    <w:rsid w:val="003A4E60"/>
    <w:rsid w:val="003A6B65"/>
    <w:rsid w:val="003B1000"/>
    <w:rsid w:val="003C1402"/>
    <w:rsid w:val="003D2A27"/>
    <w:rsid w:val="003D2D93"/>
    <w:rsid w:val="003D68B3"/>
    <w:rsid w:val="003F236C"/>
    <w:rsid w:val="003F546D"/>
    <w:rsid w:val="0040362F"/>
    <w:rsid w:val="004105A7"/>
    <w:rsid w:val="00413721"/>
    <w:rsid w:val="00426127"/>
    <w:rsid w:val="00427F18"/>
    <w:rsid w:val="00427FC6"/>
    <w:rsid w:val="00444149"/>
    <w:rsid w:val="004567E2"/>
    <w:rsid w:val="0046061A"/>
    <w:rsid w:val="004625D6"/>
    <w:rsid w:val="004634CA"/>
    <w:rsid w:val="00481D68"/>
    <w:rsid w:val="00484C4F"/>
    <w:rsid w:val="00486267"/>
    <w:rsid w:val="00496641"/>
    <w:rsid w:val="004A0684"/>
    <w:rsid w:val="004A10C0"/>
    <w:rsid w:val="004A1F93"/>
    <w:rsid w:val="004A55CD"/>
    <w:rsid w:val="004D010E"/>
    <w:rsid w:val="004D1C3E"/>
    <w:rsid w:val="004E083C"/>
    <w:rsid w:val="004F1C7C"/>
    <w:rsid w:val="005125C3"/>
    <w:rsid w:val="00513270"/>
    <w:rsid w:val="00516F87"/>
    <w:rsid w:val="00520CEB"/>
    <w:rsid w:val="005263E8"/>
    <w:rsid w:val="00533E3C"/>
    <w:rsid w:val="00534D03"/>
    <w:rsid w:val="00535C06"/>
    <w:rsid w:val="005366A1"/>
    <w:rsid w:val="005419C4"/>
    <w:rsid w:val="00545B5A"/>
    <w:rsid w:val="0054695A"/>
    <w:rsid w:val="00547985"/>
    <w:rsid w:val="005537B1"/>
    <w:rsid w:val="00566F9D"/>
    <w:rsid w:val="0057052F"/>
    <w:rsid w:val="00570F20"/>
    <w:rsid w:val="005714EA"/>
    <w:rsid w:val="00574701"/>
    <w:rsid w:val="00596D7B"/>
    <w:rsid w:val="005A330B"/>
    <w:rsid w:val="005A3C87"/>
    <w:rsid w:val="005A7D9D"/>
    <w:rsid w:val="005C07C9"/>
    <w:rsid w:val="005C5EF8"/>
    <w:rsid w:val="005D001B"/>
    <w:rsid w:val="005D37AE"/>
    <w:rsid w:val="005D7EE9"/>
    <w:rsid w:val="005E2A2C"/>
    <w:rsid w:val="005E705E"/>
    <w:rsid w:val="005F14E6"/>
    <w:rsid w:val="005F16F6"/>
    <w:rsid w:val="005F43E1"/>
    <w:rsid w:val="0060073D"/>
    <w:rsid w:val="00616DF7"/>
    <w:rsid w:val="0063601F"/>
    <w:rsid w:val="00641368"/>
    <w:rsid w:val="00642580"/>
    <w:rsid w:val="00645747"/>
    <w:rsid w:val="006514AC"/>
    <w:rsid w:val="00655C91"/>
    <w:rsid w:val="0065790A"/>
    <w:rsid w:val="00660584"/>
    <w:rsid w:val="006634CF"/>
    <w:rsid w:val="0067645F"/>
    <w:rsid w:val="00677567"/>
    <w:rsid w:val="006A5184"/>
    <w:rsid w:val="006B3A5D"/>
    <w:rsid w:val="006C3A77"/>
    <w:rsid w:val="006C4AD5"/>
    <w:rsid w:val="006C5BD8"/>
    <w:rsid w:val="006C67F5"/>
    <w:rsid w:val="006D4643"/>
    <w:rsid w:val="006F7717"/>
    <w:rsid w:val="0070086F"/>
    <w:rsid w:val="0073723E"/>
    <w:rsid w:val="007439DF"/>
    <w:rsid w:val="00760F38"/>
    <w:rsid w:val="00765AB5"/>
    <w:rsid w:val="007933CB"/>
    <w:rsid w:val="00797E04"/>
    <w:rsid w:val="007A14CC"/>
    <w:rsid w:val="007B3A5D"/>
    <w:rsid w:val="007C5263"/>
    <w:rsid w:val="007D241A"/>
    <w:rsid w:val="007F326B"/>
    <w:rsid w:val="008065AB"/>
    <w:rsid w:val="0081552A"/>
    <w:rsid w:val="00816D7A"/>
    <w:rsid w:val="00823C7A"/>
    <w:rsid w:val="008279D4"/>
    <w:rsid w:val="00827ED4"/>
    <w:rsid w:val="008325DA"/>
    <w:rsid w:val="00837D39"/>
    <w:rsid w:val="0084522F"/>
    <w:rsid w:val="00847165"/>
    <w:rsid w:val="008505C4"/>
    <w:rsid w:val="0085639D"/>
    <w:rsid w:val="00862E55"/>
    <w:rsid w:val="0087379F"/>
    <w:rsid w:val="00874350"/>
    <w:rsid w:val="00876C0F"/>
    <w:rsid w:val="0088068F"/>
    <w:rsid w:val="0089115E"/>
    <w:rsid w:val="00891246"/>
    <w:rsid w:val="008A1D19"/>
    <w:rsid w:val="008B7ACC"/>
    <w:rsid w:val="008C75B9"/>
    <w:rsid w:val="008D622E"/>
    <w:rsid w:val="008F38F8"/>
    <w:rsid w:val="0091336F"/>
    <w:rsid w:val="009174BB"/>
    <w:rsid w:val="00920B7D"/>
    <w:rsid w:val="00922568"/>
    <w:rsid w:val="00923421"/>
    <w:rsid w:val="009263DF"/>
    <w:rsid w:val="00930AD9"/>
    <w:rsid w:val="00966980"/>
    <w:rsid w:val="00967CB8"/>
    <w:rsid w:val="009715A9"/>
    <w:rsid w:val="0097389B"/>
    <w:rsid w:val="009746CA"/>
    <w:rsid w:val="00993DDD"/>
    <w:rsid w:val="009A02A0"/>
    <w:rsid w:val="009A711A"/>
    <w:rsid w:val="009A78EB"/>
    <w:rsid w:val="009B24C7"/>
    <w:rsid w:val="009C20F4"/>
    <w:rsid w:val="009C5162"/>
    <w:rsid w:val="009D7E78"/>
    <w:rsid w:val="009F0B3A"/>
    <w:rsid w:val="009F7EBA"/>
    <w:rsid w:val="00A06EC9"/>
    <w:rsid w:val="00A10A4D"/>
    <w:rsid w:val="00A131F8"/>
    <w:rsid w:val="00A20FAB"/>
    <w:rsid w:val="00A362E3"/>
    <w:rsid w:val="00A41332"/>
    <w:rsid w:val="00A425A0"/>
    <w:rsid w:val="00A43B7A"/>
    <w:rsid w:val="00A45CB1"/>
    <w:rsid w:val="00A479F3"/>
    <w:rsid w:val="00A47E2D"/>
    <w:rsid w:val="00A52B9F"/>
    <w:rsid w:val="00A5570F"/>
    <w:rsid w:val="00A65BE5"/>
    <w:rsid w:val="00A71416"/>
    <w:rsid w:val="00A7323A"/>
    <w:rsid w:val="00A75285"/>
    <w:rsid w:val="00A76DF8"/>
    <w:rsid w:val="00A8680A"/>
    <w:rsid w:val="00A9070C"/>
    <w:rsid w:val="00A95B34"/>
    <w:rsid w:val="00AB01C9"/>
    <w:rsid w:val="00AB4664"/>
    <w:rsid w:val="00AD0BA7"/>
    <w:rsid w:val="00AD1942"/>
    <w:rsid w:val="00AD674D"/>
    <w:rsid w:val="00AE5AEC"/>
    <w:rsid w:val="00AE6905"/>
    <w:rsid w:val="00B152F9"/>
    <w:rsid w:val="00B15DD7"/>
    <w:rsid w:val="00B15F5D"/>
    <w:rsid w:val="00B20876"/>
    <w:rsid w:val="00B27022"/>
    <w:rsid w:val="00B302F9"/>
    <w:rsid w:val="00B328E5"/>
    <w:rsid w:val="00B34C4A"/>
    <w:rsid w:val="00B4624F"/>
    <w:rsid w:val="00B51F85"/>
    <w:rsid w:val="00B67434"/>
    <w:rsid w:val="00B75F17"/>
    <w:rsid w:val="00B82DE3"/>
    <w:rsid w:val="00B90DB5"/>
    <w:rsid w:val="00B91248"/>
    <w:rsid w:val="00B9125B"/>
    <w:rsid w:val="00B92604"/>
    <w:rsid w:val="00BA15B9"/>
    <w:rsid w:val="00BA6265"/>
    <w:rsid w:val="00BB566C"/>
    <w:rsid w:val="00BC0503"/>
    <w:rsid w:val="00BC1068"/>
    <w:rsid w:val="00BC3C2D"/>
    <w:rsid w:val="00BC5794"/>
    <w:rsid w:val="00BD1FE2"/>
    <w:rsid w:val="00BD4FD7"/>
    <w:rsid w:val="00BE0033"/>
    <w:rsid w:val="00BE0333"/>
    <w:rsid w:val="00BE3928"/>
    <w:rsid w:val="00BE6CAB"/>
    <w:rsid w:val="00BF5763"/>
    <w:rsid w:val="00C044CE"/>
    <w:rsid w:val="00C049DF"/>
    <w:rsid w:val="00C05CFC"/>
    <w:rsid w:val="00C07808"/>
    <w:rsid w:val="00C1084E"/>
    <w:rsid w:val="00C152A3"/>
    <w:rsid w:val="00C22284"/>
    <w:rsid w:val="00C22D6F"/>
    <w:rsid w:val="00C26644"/>
    <w:rsid w:val="00C274B3"/>
    <w:rsid w:val="00C47109"/>
    <w:rsid w:val="00C54597"/>
    <w:rsid w:val="00C550B6"/>
    <w:rsid w:val="00C56530"/>
    <w:rsid w:val="00C6533F"/>
    <w:rsid w:val="00C70511"/>
    <w:rsid w:val="00C70727"/>
    <w:rsid w:val="00C753B8"/>
    <w:rsid w:val="00C91302"/>
    <w:rsid w:val="00C93577"/>
    <w:rsid w:val="00C936F6"/>
    <w:rsid w:val="00C94660"/>
    <w:rsid w:val="00CA0F3F"/>
    <w:rsid w:val="00CA2373"/>
    <w:rsid w:val="00CC53D5"/>
    <w:rsid w:val="00CD45EA"/>
    <w:rsid w:val="00CD519B"/>
    <w:rsid w:val="00CD5A5E"/>
    <w:rsid w:val="00CE0D25"/>
    <w:rsid w:val="00CE2A87"/>
    <w:rsid w:val="00CE30F2"/>
    <w:rsid w:val="00CF3F48"/>
    <w:rsid w:val="00CF4573"/>
    <w:rsid w:val="00D04D8B"/>
    <w:rsid w:val="00D13320"/>
    <w:rsid w:val="00D257E8"/>
    <w:rsid w:val="00D259E7"/>
    <w:rsid w:val="00D267C4"/>
    <w:rsid w:val="00D2745D"/>
    <w:rsid w:val="00D279AE"/>
    <w:rsid w:val="00D45F4C"/>
    <w:rsid w:val="00D57B67"/>
    <w:rsid w:val="00D72FBF"/>
    <w:rsid w:val="00D7561E"/>
    <w:rsid w:val="00D75E3A"/>
    <w:rsid w:val="00D77594"/>
    <w:rsid w:val="00D84DE6"/>
    <w:rsid w:val="00D95199"/>
    <w:rsid w:val="00DA2C70"/>
    <w:rsid w:val="00DA5DB9"/>
    <w:rsid w:val="00DC0329"/>
    <w:rsid w:val="00DC31A4"/>
    <w:rsid w:val="00DD2ED9"/>
    <w:rsid w:val="00E02497"/>
    <w:rsid w:val="00E04921"/>
    <w:rsid w:val="00E109C9"/>
    <w:rsid w:val="00E15E05"/>
    <w:rsid w:val="00E170BB"/>
    <w:rsid w:val="00E25206"/>
    <w:rsid w:val="00E26A02"/>
    <w:rsid w:val="00E30E96"/>
    <w:rsid w:val="00E31EE7"/>
    <w:rsid w:val="00E407AA"/>
    <w:rsid w:val="00E4244D"/>
    <w:rsid w:val="00E44DEA"/>
    <w:rsid w:val="00E44EAA"/>
    <w:rsid w:val="00E74B53"/>
    <w:rsid w:val="00E84564"/>
    <w:rsid w:val="00E87712"/>
    <w:rsid w:val="00E908AA"/>
    <w:rsid w:val="00EA013F"/>
    <w:rsid w:val="00EA525C"/>
    <w:rsid w:val="00EA5868"/>
    <w:rsid w:val="00EA7A37"/>
    <w:rsid w:val="00EB777B"/>
    <w:rsid w:val="00EB7B61"/>
    <w:rsid w:val="00EC5529"/>
    <w:rsid w:val="00EC751E"/>
    <w:rsid w:val="00ED0154"/>
    <w:rsid w:val="00ED64C4"/>
    <w:rsid w:val="00ED72CA"/>
    <w:rsid w:val="00EE78A5"/>
    <w:rsid w:val="00F07DA5"/>
    <w:rsid w:val="00F26DCE"/>
    <w:rsid w:val="00F340DF"/>
    <w:rsid w:val="00F42B4D"/>
    <w:rsid w:val="00F46E01"/>
    <w:rsid w:val="00F61428"/>
    <w:rsid w:val="00F6531F"/>
    <w:rsid w:val="00F7694A"/>
    <w:rsid w:val="00F83B1B"/>
    <w:rsid w:val="00F83E15"/>
    <w:rsid w:val="00F84929"/>
    <w:rsid w:val="00F87704"/>
    <w:rsid w:val="00F9770A"/>
    <w:rsid w:val="00FA5049"/>
    <w:rsid w:val="00FA759F"/>
    <w:rsid w:val="00FB0E21"/>
    <w:rsid w:val="00FE5885"/>
    <w:rsid w:val="00FE76A9"/>
    <w:rsid w:val="00FF43E2"/>
    <w:rsid w:val="00FF6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EE8C"/>
  <w15:chartTrackingRefBased/>
  <w15:docId w15:val="{F47A94AF-E8E9-2D43-9E97-F2EAFC25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A0"/>
    <w:pPr>
      <w:spacing w:before="0" w:after="120" w:line="280" w:lineRule="atLeast"/>
    </w:pPr>
  </w:style>
  <w:style w:type="paragraph" w:styleId="Heading1">
    <w:name w:val="heading 1"/>
    <w:basedOn w:val="Normal"/>
    <w:next w:val="Normal"/>
    <w:link w:val="Heading1Char"/>
    <w:autoRedefine/>
    <w:uiPriority w:val="9"/>
    <w:qFormat/>
    <w:rsid w:val="005F16F6"/>
    <w:pPr>
      <w:keepNext/>
      <w:keepLines/>
      <w:numPr>
        <w:numId w:val="2"/>
      </w:numPr>
      <w:adjustRightInd w:val="0"/>
      <w:spacing w:after="240"/>
      <w:ind w:left="431" w:hanging="431"/>
      <w:outlineLvl w:val="0"/>
    </w:pPr>
    <w:rPr>
      <w:rFonts w:ascii="Arial" w:eastAsiaTheme="majorEastAsia" w:hAnsi="Arial" w:cstheme="majorBidi"/>
      <w:bCs/>
      <w:color w:val="0A2F41" w:themeColor="accent1" w:themeShade="80"/>
      <w:spacing w:val="-40"/>
      <w:sz w:val="48"/>
      <w:szCs w:val="54"/>
      <w:lang w:val="en-GB"/>
    </w:rPr>
  </w:style>
  <w:style w:type="paragraph" w:styleId="Heading2">
    <w:name w:val="heading 2"/>
    <w:basedOn w:val="Normal"/>
    <w:next w:val="Normal"/>
    <w:link w:val="Heading2Char"/>
    <w:autoRedefine/>
    <w:uiPriority w:val="9"/>
    <w:unhideWhenUsed/>
    <w:qFormat/>
    <w:rsid w:val="00336637"/>
    <w:pPr>
      <w:keepNext/>
      <w:keepLines/>
      <w:adjustRightInd w:val="0"/>
      <w:spacing w:before="480" w:after="160"/>
      <w:outlineLvl w:val="1"/>
    </w:pPr>
    <w:rPr>
      <w:rFonts w:ascii="Arial" w:eastAsiaTheme="majorEastAsia" w:hAnsi="Arial" w:cstheme="majorBidi"/>
      <w:b/>
      <w:color w:val="0F4761" w:themeColor="accent1" w:themeShade="BF"/>
      <w:sz w:val="36"/>
      <w:szCs w:val="26"/>
    </w:rPr>
  </w:style>
  <w:style w:type="paragraph" w:styleId="Heading3">
    <w:name w:val="heading 3"/>
    <w:basedOn w:val="Normal"/>
    <w:next w:val="Normal"/>
    <w:link w:val="Heading3Char"/>
    <w:autoRedefine/>
    <w:uiPriority w:val="9"/>
    <w:unhideWhenUsed/>
    <w:qFormat/>
    <w:rsid w:val="006A5184"/>
    <w:pPr>
      <w:keepNext/>
      <w:keepLines/>
      <w:adjustRightInd w:val="0"/>
      <w:spacing w:before="240" w:line="288" w:lineRule="auto"/>
      <w:outlineLvl w:val="2"/>
    </w:pPr>
    <w:rPr>
      <w:rFonts w:ascii="Arial" w:eastAsiaTheme="majorEastAsia" w:hAnsi="Arial" w:cs="Arial (Headings CS)"/>
      <w:bCs/>
      <w:color w:val="156082" w:themeColor="accent1"/>
      <w:sz w:val="28"/>
      <w:lang w:val="en-GB"/>
    </w:rPr>
  </w:style>
  <w:style w:type="paragraph" w:styleId="Heading4">
    <w:name w:val="heading 4"/>
    <w:basedOn w:val="Normal"/>
    <w:next w:val="Normal"/>
    <w:link w:val="Heading4Char"/>
    <w:uiPriority w:val="9"/>
    <w:unhideWhenUsed/>
    <w:qFormat/>
    <w:rsid w:val="00B92604"/>
    <w:pPr>
      <w:keepNext/>
      <w:keepLines/>
      <w:numPr>
        <w:ilvl w:val="3"/>
        <w:numId w:val="3"/>
      </w:numPr>
      <w:spacing w:before="40"/>
      <w:ind w:left="864" w:hanging="864"/>
      <w:outlineLvl w:val="3"/>
    </w:pPr>
    <w:rPr>
      <w:rFonts w:asciiTheme="majorHAnsi" w:eastAsiaTheme="majorEastAsia" w:hAnsiTheme="majorHAnsi" w:cstheme="majorBidi"/>
      <w:i/>
      <w:iCs/>
      <w:color w:val="77206D" w:themeColor="accent5" w:themeShade="BF"/>
    </w:rPr>
  </w:style>
  <w:style w:type="paragraph" w:styleId="Heading5">
    <w:name w:val="heading 5"/>
    <w:basedOn w:val="Normal"/>
    <w:next w:val="Normal"/>
    <w:link w:val="Heading5Char"/>
    <w:uiPriority w:val="9"/>
    <w:unhideWhenUsed/>
    <w:qFormat/>
    <w:rsid w:val="00B92604"/>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5F16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6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6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6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commendation">
    <w:name w:val="Recommendation"/>
    <w:basedOn w:val="NoList"/>
    <w:uiPriority w:val="99"/>
    <w:rsid w:val="00816D7A"/>
    <w:pPr>
      <w:numPr>
        <w:numId w:val="1"/>
      </w:numPr>
    </w:pPr>
  </w:style>
  <w:style w:type="character" w:customStyle="1" w:styleId="Heading1Char">
    <w:name w:val="Heading 1 Char"/>
    <w:basedOn w:val="DefaultParagraphFont"/>
    <w:link w:val="Heading1"/>
    <w:uiPriority w:val="9"/>
    <w:rsid w:val="005F16F6"/>
    <w:rPr>
      <w:rFonts w:ascii="Arial" w:eastAsiaTheme="majorEastAsia" w:hAnsi="Arial" w:cstheme="majorBidi"/>
      <w:bCs/>
      <w:color w:val="0A2F41" w:themeColor="accent1" w:themeShade="80"/>
      <w:spacing w:val="-40"/>
      <w:sz w:val="48"/>
      <w:szCs w:val="54"/>
      <w:lang w:val="en-GB"/>
    </w:rPr>
  </w:style>
  <w:style w:type="character" w:customStyle="1" w:styleId="Heading2Char">
    <w:name w:val="Heading 2 Char"/>
    <w:basedOn w:val="DefaultParagraphFont"/>
    <w:link w:val="Heading2"/>
    <w:uiPriority w:val="9"/>
    <w:rsid w:val="00336637"/>
    <w:rPr>
      <w:rFonts w:ascii="Arial" w:eastAsiaTheme="majorEastAsia" w:hAnsi="Arial" w:cstheme="majorBidi"/>
      <w:b/>
      <w:color w:val="0F4761" w:themeColor="accent1" w:themeShade="BF"/>
      <w:sz w:val="36"/>
      <w:szCs w:val="26"/>
    </w:rPr>
  </w:style>
  <w:style w:type="character" w:customStyle="1" w:styleId="Heading3Char">
    <w:name w:val="Heading 3 Char"/>
    <w:basedOn w:val="DefaultParagraphFont"/>
    <w:link w:val="Heading3"/>
    <w:uiPriority w:val="9"/>
    <w:rsid w:val="006A5184"/>
    <w:rPr>
      <w:rFonts w:ascii="Arial" w:eastAsiaTheme="majorEastAsia" w:hAnsi="Arial" w:cs="Arial (Headings CS)"/>
      <w:bCs/>
      <w:color w:val="156082" w:themeColor="accent1"/>
      <w:sz w:val="28"/>
      <w:lang w:val="en-GB"/>
    </w:rPr>
  </w:style>
  <w:style w:type="character" w:customStyle="1" w:styleId="Heading4Char">
    <w:name w:val="Heading 4 Char"/>
    <w:basedOn w:val="DefaultParagraphFont"/>
    <w:link w:val="Heading4"/>
    <w:uiPriority w:val="9"/>
    <w:rsid w:val="00B92604"/>
    <w:rPr>
      <w:rFonts w:asciiTheme="majorHAnsi" w:eastAsiaTheme="majorEastAsia" w:hAnsiTheme="majorHAnsi" w:cstheme="majorBidi"/>
      <w:i/>
      <w:iCs/>
      <w:color w:val="77206D" w:themeColor="accent5" w:themeShade="BF"/>
    </w:rPr>
  </w:style>
  <w:style w:type="paragraph" w:styleId="Caption">
    <w:name w:val="caption"/>
    <w:basedOn w:val="Normal"/>
    <w:next w:val="Normal"/>
    <w:link w:val="CaptionChar"/>
    <w:unhideWhenUsed/>
    <w:qFormat/>
    <w:rsid w:val="009A02A0"/>
    <w:pPr>
      <w:spacing w:before="120"/>
    </w:pPr>
    <w:rPr>
      <w:b/>
      <w:iCs/>
      <w:color w:val="000000" w:themeColor="text1"/>
      <w:sz w:val="20"/>
      <w:szCs w:val="18"/>
    </w:rPr>
  </w:style>
  <w:style w:type="character" w:customStyle="1" w:styleId="CaptionChar">
    <w:name w:val="Caption Char"/>
    <w:basedOn w:val="Heading1Char"/>
    <w:link w:val="Caption"/>
    <w:rsid w:val="009A02A0"/>
    <w:rPr>
      <w:rFonts w:ascii="Arial" w:eastAsiaTheme="majorEastAsia" w:hAnsi="Arial" w:cstheme="majorBidi"/>
      <w:b w:val="0"/>
      <w:bCs w:val="0"/>
      <w:iCs/>
      <w:color w:val="000000" w:themeColor="text1"/>
      <w:spacing w:val="-40"/>
      <w:sz w:val="20"/>
      <w:szCs w:val="18"/>
      <w:lang w:val="en-GB"/>
    </w:rPr>
  </w:style>
  <w:style w:type="character" w:customStyle="1" w:styleId="Heading5Char">
    <w:name w:val="Heading 5 Char"/>
    <w:basedOn w:val="DefaultParagraphFont"/>
    <w:link w:val="Heading5"/>
    <w:uiPriority w:val="9"/>
    <w:rsid w:val="00B92604"/>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5F1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6F6"/>
    <w:rPr>
      <w:rFonts w:eastAsiaTheme="majorEastAsia" w:cstheme="majorBidi"/>
      <w:color w:val="272727" w:themeColor="text1" w:themeTint="D8"/>
    </w:rPr>
  </w:style>
  <w:style w:type="paragraph" w:styleId="Title">
    <w:name w:val="Title"/>
    <w:basedOn w:val="Normal"/>
    <w:next w:val="Normal"/>
    <w:link w:val="TitleChar"/>
    <w:uiPriority w:val="10"/>
    <w:qFormat/>
    <w:rsid w:val="005F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6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6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16F6"/>
    <w:rPr>
      <w:i/>
      <w:iCs/>
      <w:color w:val="404040" w:themeColor="text1" w:themeTint="BF"/>
    </w:rPr>
  </w:style>
  <w:style w:type="paragraph" w:styleId="ListParagraph">
    <w:name w:val="List Paragraph"/>
    <w:basedOn w:val="Normal"/>
    <w:uiPriority w:val="34"/>
    <w:qFormat/>
    <w:rsid w:val="005F16F6"/>
    <w:pPr>
      <w:ind w:left="720"/>
      <w:contextualSpacing/>
    </w:pPr>
  </w:style>
  <w:style w:type="character" w:styleId="IntenseEmphasis">
    <w:name w:val="Intense Emphasis"/>
    <w:basedOn w:val="DefaultParagraphFont"/>
    <w:uiPriority w:val="21"/>
    <w:qFormat/>
    <w:rsid w:val="005F16F6"/>
    <w:rPr>
      <w:i/>
      <w:iCs/>
      <w:color w:val="0F4761" w:themeColor="accent1" w:themeShade="BF"/>
    </w:rPr>
  </w:style>
  <w:style w:type="paragraph" w:styleId="IntenseQuote">
    <w:name w:val="Intense Quote"/>
    <w:basedOn w:val="Normal"/>
    <w:next w:val="Normal"/>
    <w:link w:val="IntenseQuoteChar"/>
    <w:uiPriority w:val="30"/>
    <w:qFormat/>
    <w:rsid w:val="005F1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6F6"/>
    <w:rPr>
      <w:i/>
      <w:iCs/>
      <w:color w:val="0F4761" w:themeColor="accent1" w:themeShade="BF"/>
    </w:rPr>
  </w:style>
  <w:style w:type="character" w:styleId="IntenseReference">
    <w:name w:val="Intense Reference"/>
    <w:basedOn w:val="DefaultParagraphFont"/>
    <w:uiPriority w:val="32"/>
    <w:qFormat/>
    <w:rsid w:val="005F16F6"/>
    <w:rPr>
      <w:b/>
      <w:bCs/>
      <w:smallCaps/>
      <w:color w:val="0F4761" w:themeColor="accent1" w:themeShade="BF"/>
      <w:spacing w:val="5"/>
    </w:rPr>
  </w:style>
  <w:style w:type="table" w:styleId="TableGrid">
    <w:name w:val="Table Grid"/>
    <w:basedOn w:val="TableNormal"/>
    <w:uiPriority w:val="39"/>
    <w:rsid w:val="00D257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96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C62"/>
  </w:style>
  <w:style w:type="character" w:styleId="PageNumber">
    <w:name w:val="page number"/>
    <w:basedOn w:val="DefaultParagraphFont"/>
    <w:uiPriority w:val="99"/>
    <w:semiHidden/>
    <w:unhideWhenUsed/>
    <w:rsid w:val="00296C62"/>
  </w:style>
  <w:style w:type="paragraph" w:styleId="Header">
    <w:name w:val="header"/>
    <w:basedOn w:val="Normal"/>
    <w:link w:val="HeaderChar"/>
    <w:uiPriority w:val="99"/>
    <w:unhideWhenUsed/>
    <w:rsid w:val="00296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C62"/>
  </w:style>
  <w:style w:type="character" w:styleId="CommentReference">
    <w:name w:val="annotation reference"/>
    <w:basedOn w:val="DefaultParagraphFont"/>
    <w:uiPriority w:val="99"/>
    <w:semiHidden/>
    <w:unhideWhenUsed/>
    <w:rsid w:val="00C22D6F"/>
    <w:rPr>
      <w:sz w:val="16"/>
      <w:szCs w:val="16"/>
    </w:rPr>
  </w:style>
  <w:style w:type="paragraph" w:styleId="CommentText">
    <w:name w:val="annotation text"/>
    <w:basedOn w:val="Normal"/>
    <w:link w:val="CommentTextChar"/>
    <w:uiPriority w:val="99"/>
    <w:unhideWhenUsed/>
    <w:rsid w:val="00C22D6F"/>
    <w:pPr>
      <w:spacing w:before="12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C22D6F"/>
    <w:rPr>
      <w:rFonts w:ascii="Calibri" w:eastAsia="Calibri" w:hAnsi="Calibri" w:cs="Times New Roman"/>
      <w:kern w:val="0"/>
      <w:sz w:val="20"/>
      <w:szCs w:val="20"/>
      <w14:ligatures w14:val="none"/>
    </w:rPr>
  </w:style>
  <w:style w:type="paragraph" w:customStyle="1" w:styleId="Default">
    <w:name w:val="Default"/>
    <w:rsid w:val="00FE76A9"/>
    <w:pPr>
      <w:autoSpaceDE w:val="0"/>
      <w:autoSpaceDN w:val="0"/>
      <w:adjustRightInd w:val="0"/>
      <w:spacing w:before="0" w:after="0"/>
    </w:pPr>
    <w:rPr>
      <w:rFonts w:ascii="Calibri" w:hAnsi="Calibri" w:cs="Calibri"/>
      <w:color w:val="000000"/>
      <w:kern w:val="0"/>
      <w:lang w:val="en-GB"/>
      <w14:ligatures w14:val="none"/>
    </w:rPr>
  </w:style>
  <w:style w:type="character" w:styleId="Hyperlink">
    <w:name w:val="Hyperlink"/>
    <w:basedOn w:val="DefaultParagraphFont"/>
    <w:uiPriority w:val="99"/>
    <w:unhideWhenUsed/>
    <w:rsid w:val="00A9070C"/>
    <w:rPr>
      <w:color w:val="467886" w:themeColor="hyperlink"/>
      <w:u w:val="single"/>
    </w:rPr>
  </w:style>
  <w:style w:type="character" w:styleId="UnresolvedMention">
    <w:name w:val="Unresolved Mention"/>
    <w:basedOn w:val="DefaultParagraphFont"/>
    <w:uiPriority w:val="99"/>
    <w:semiHidden/>
    <w:unhideWhenUsed/>
    <w:rsid w:val="00A9070C"/>
    <w:rPr>
      <w:color w:val="605E5C"/>
      <w:shd w:val="clear" w:color="auto" w:fill="E1DFDD"/>
    </w:rPr>
  </w:style>
  <w:style w:type="paragraph" w:styleId="FootnoteText">
    <w:name w:val="footnote text"/>
    <w:aliases w:val="BCA Footnote Text,Char Char,Footnote Text Char Char Char,Footnote Text Char Char Char Char,Footnote Text Char Char Char Char Char1,Footnote Text Char Char1,Footnote Text Char Char1 Char,Footnote Text Char1,Footnote Text Char1 Char,fn"/>
    <w:basedOn w:val="Normal"/>
    <w:link w:val="FootnoteTextChar"/>
    <w:uiPriority w:val="99"/>
    <w:unhideWhenUsed/>
    <w:qFormat/>
    <w:rsid w:val="00A9070C"/>
    <w:pPr>
      <w:spacing w:after="0" w:line="240" w:lineRule="auto"/>
    </w:pPr>
    <w:rPr>
      <w:rFonts w:ascii="Arial" w:hAnsi="Arial"/>
      <w:kern w:val="0"/>
      <w:sz w:val="20"/>
      <w:szCs w:val="20"/>
      <w14:ligatures w14:val="none"/>
    </w:rPr>
  </w:style>
  <w:style w:type="character" w:customStyle="1" w:styleId="FootnoteTextChar">
    <w:name w:val="Footnote Text Char"/>
    <w:aliases w:val="BCA Footnote Text Char,Char Char Char,Footnote Text Char Char Char Char1,Footnote Text Char Char Char Char Char,Footnote Text Char Char Char Char Char1 Char,Footnote Text Char Char1 Char1,Footnote Text Char Char1 Char Char,fn Char"/>
    <w:basedOn w:val="DefaultParagraphFont"/>
    <w:link w:val="FootnoteText"/>
    <w:uiPriority w:val="99"/>
    <w:rsid w:val="00A9070C"/>
    <w:rPr>
      <w:rFonts w:ascii="Arial" w:hAnsi="Arial"/>
      <w:kern w:val="0"/>
      <w:sz w:val="20"/>
      <w:szCs w:val="20"/>
      <w14:ligatures w14:val="none"/>
    </w:rPr>
  </w:style>
  <w:style w:type="numbering" w:customStyle="1" w:styleId="CurrentList1">
    <w:name w:val="Current List1"/>
    <w:uiPriority w:val="99"/>
    <w:rsid w:val="00E30E96"/>
    <w:pPr>
      <w:numPr>
        <w:numId w:val="16"/>
      </w:numPr>
    </w:pPr>
  </w:style>
  <w:style w:type="character" w:styleId="FootnoteReference">
    <w:name w:val="footnote reference"/>
    <w:basedOn w:val="DefaultParagraphFont"/>
    <w:uiPriority w:val="99"/>
    <w:semiHidden/>
    <w:unhideWhenUsed/>
    <w:rsid w:val="00B27022"/>
    <w:rPr>
      <w:vertAlign w:val="superscript"/>
    </w:rPr>
  </w:style>
  <w:style w:type="character" w:styleId="Emphasis">
    <w:name w:val="Emphasis"/>
    <w:basedOn w:val="DefaultParagraphFont"/>
    <w:uiPriority w:val="20"/>
    <w:qFormat/>
    <w:rsid w:val="002D70AD"/>
    <w:rPr>
      <w:i/>
      <w:iCs/>
    </w:rPr>
  </w:style>
  <w:style w:type="paragraph" w:styleId="CommentSubject">
    <w:name w:val="annotation subject"/>
    <w:basedOn w:val="CommentText"/>
    <w:next w:val="CommentText"/>
    <w:link w:val="CommentSubjectChar"/>
    <w:uiPriority w:val="99"/>
    <w:semiHidden/>
    <w:unhideWhenUsed/>
    <w:rsid w:val="00677567"/>
    <w:pPr>
      <w:spacing w:before="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77567"/>
    <w:rPr>
      <w:rFonts w:ascii="Calibri" w:eastAsia="Calibri" w:hAnsi="Calibri" w:cs="Times New Roman"/>
      <w:b/>
      <w:bCs/>
      <w:kern w:val="0"/>
      <w:sz w:val="20"/>
      <w:szCs w:val="20"/>
      <w14:ligatures w14:val="none"/>
    </w:rPr>
  </w:style>
  <w:style w:type="paragraph" w:styleId="Revision">
    <w:name w:val="Revision"/>
    <w:hidden/>
    <w:uiPriority w:val="99"/>
    <w:semiHidden/>
    <w:rsid w:val="003618FC"/>
    <w:pPr>
      <w:spacing w:before="0" w:after="0"/>
    </w:pPr>
  </w:style>
  <w:style w:type="paragraph" w:styleId="NormalWeb">
    <w:name w:val="Normal (Web)"/>
    <w:basedOn w:val="Normal"/>
    <w:uiPriority w:val="99"/>
    <w:semiHidden/>
    <w:unhideWhenUsed/>
    <w:rsid w:val="006A5184"/>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4435">
      <w:bodyDiv w:val="1"/>
      <w:marLeft w:val="0"/>
      <w:marRight w:val="0"/>
      <w:marTop w:val="0"/>
      <w:marBottom w:val="0"/>
      <w:divBdr>
        <w:top w:val="none" w:sz="0" w:space="0" w:color="auto"/>
        <w:left w:val="none" w:sz="0" w:space="0" w:color="auto"/>
        <w:bottom w:val="none" w:sz="0" w:space="0" w:color="auto"/>
        <w:right w:val="none" w:sz="0" w:space="0" w:color="auto"/>
      </w:divBdr>
    </w:div>
    <w:div w:id="721828165">
      <w:bodyDiv w:val="1"/>
      <w:marLeft w:val="0"/>
      <w:marRight w:val="0"/>
      <w:marTop w:val="0"/>
      <w:marBottom w:val="0"/>
      <w:divBdr>
        <w:top w:val="none" w:sz="0" w:space="0" w:color="auto"/>
        <w:left w:val="none" w:sz="0" w:space="0" w:color="auto"/>
        <w:bottom w:val="none" w:sz="0" w:space="0" w:color="auto"/>
        <w:right w:val="none" w:sz="0" w:space="0" w:color="auto"/>
      </w:divBdr>
    </w:div>
    <w:div w:id="825975835">
      <w:bodyDiv w:val="1"/>
      <w:marLeft w:val="0"/>
      <w:marRight w:val="0"/>
      <w:marTop w:val="0"/>
      <w:marBottom w:val="0"/>
      <w:divBdr>
        <w:top w:val="none" w:sz="0" w:space="0" w:color="auto"/>
        <w:left w:val="none" w:sz="0" w:space="0" w:color="auto"/>
        <w:bottom w:val="none" w:sz="0" w:space="0" w:color="auto"/>
        <w:right w:val="none" w:sz="0" w:space="0" w:color="auto"/>
      </w:divBdr>
    </w:div>
    <w:div w:id="984241656">
      <w:bodyDiv w:val="1"/>
      <w:marLeft w:val="0"/>
      <w:marRight w:val="0"/>
      <w:marTop w:val="0"/>
      <w:marBottom w:val="0"/>
      <w:divBdr>
        <w:top w:val="none" w:sz="0" w:space="0" w:color="auto"/>
        <w:left w:val="none" w:sz="0" w:space="0" w:color="auto"/>
        <w:bottom w:val="none" w:sz="0" w:space="0" w:color="auto"/>
        <w:right w:val="none" w:sz="0" w:space="0" w:color="auto"/>
      </w:divBdr>
    </w:div>
    <w:div w:id="16154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quality.gov.au/anz-guidelines/guideline-values/default/draft-dgvs" TargetMode="External"/><Relationship Id="rId24" Type="http://schemas.openxmlformats.org/officeDocument/2006/relationships/hyperlink" Target="https://www.waterquality.gov.au/anz-guidelines/resources/publications/optimisation-us-epa-1991-ph-2-extraction-method-measuring-potentially-bioavailable-iron-202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CB1C2-2487-4C40-A2B0-A9074A9043F4}">
  <ds:schemaRefs>
    <ds:schemaRef ds:uri="http://schemas.openxmlformats.org/officeDocument/2006/bibliography"/>
  </ds:schemaRefs>
</ds:datastoreItem>
</file>

<file path=customXml/itemProps2.xml><?xml version="1.0" encoding="utf-8"?>
<ds:datastoreItem xmlns:ds="http://schemas.openxmlformats.org/officeDocument/2006/customXml" ds:itemID="{A931A046-CD2B-47BA-9D0D-E15077B59365}">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customXml/itemProps3.xml><?xml version="1.0" encoding="utf-8"?>
<ds:datastoreItem xmlns:ds="http://schemas.openxmlformats.org/officeDocument/2006/customXml" ds:itemID="{383CC6F7-4321-4D9D-A02B-3D69104B3870}">
  <ds:schemaRefs>
    <ds:schemaRef ds:uri="http://schemas.microsoft.com/sharepoint/v3/contenttype/forms"/>
  </ds:schemaRefs>
</ds:datastoreItem>
</file>

<file path=customXml/itemProps4.xml><?xml version="1.0" encoding="utf-8"?>
<ds:datastoreItem xmlns:ds="http://schemas.openxmlformats.org/officeDocument/2006/customXml" ds:itemID="{86EA6A76-01F4-4F8F-B880-D31F0891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5185</Words>
  <Characters>27330</Characters>
  <Application>Microsoft Office Word</Application>
  <DocSecurity>0</DocSecurity>
  <Lines>738</Lines>
  <Paragraphs>205</Paragraphs>
  <ScaleCrop>false</ScaleCrop>
  <HeadingPairs>
    <vt:vector size="2" baseType="variant">
      <vt:variant>
        <vt:lpstr>Title</vt:lpstr>
      </vt:variant>
      <vt:variant>
        <vt:i4>1</vt:i4>
      </vt:variant>
    </vt:vector>
  </HeadingPairs>
  <TitlesOfParts>
    <vt:vector size="1" baseType="lpstr">
      <vt:lpstr>Iron in marine water DGVs response to public submissions</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in marine water DGVs response to public submissions</dc:title>
  <dc:subject/>
  <dc:creator>Australian Government</dc:creator>
  <cp:keywords/>
  <dc:description/>
  <cp:lastModifiedBy>Lien NGUYEN</cp:lastModifiedBy>
  <cp:revision>5</cp:revision>
  <dcterms:created xsi:type="dcterms:W3CDTF">2025-09-09T23:54:00Z</dcterms:created>
  <dcterms:modified xsi:type="dcterms:W3CDTF">2025-09-17T01:16:00Z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30c35d4f,26098d3d,2708fedc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58a3aa43,2604e084,c7bdde5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