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F57C" w14:textId="3024A130" w:rsidR="001C0D1C" w:rsidRDefault="004D52CE">
      <w:pPr>
        <w:pStyle w:val="Heading1"/>
      </w:pPr>
      <w:bookmarkStart w:id="0" w:name="_Toc197783765"/>
      <w:r>
        <w:t>Toxicant default guideline values for aquatic ecosystem protection</w:t>
      </w:r>
      <w:bookmarkEnd w:id="0"/>
    </w:p>
    <w:p w14:paraId="524A81B3" w14:textId="475EFC1C" w:rsidR="001C0D1C" w:rsidRDefault="000A041A">
      <w:pPr>
        <w:pStyle w:val="Subtitle"/>
      </w:pPr>
      <w:bookmarkStart w:id="1" w:name="_Toc197783766"/>
      <w:r>
        <w:t>Iron</w:t>
      </w:r>
      <w:r w:rsidR="00EE7040">
        <w:t xml:space="preserve"> </w:t>
      </w:r>
      <w:r w:rsidR="004D52CE">
        <w:t>in freshwater</w:t>
      </w:r>
      <w:bookmarkEnd w:id="1"/>
    </w:p>
    <w:p w14:paraId="0F5E9269" w14:textId="54247ED7" w:rsidR="001C0D1C" w:rsidRDefault="004D52CE">
      <w:pPr>
        <w:pStyle w:val="Documenttype"/>
      </w:pPr>
      <w:r>
        <w:t>Technical brief</w:t>
      </w:r>
    </w:p>
    <w:p w14:paraId="7ABC2A59" w14:textId="1146C7B7" w:rsidR="00AA4E17" w:rsidRDefault="00456250" w:rsidP="00AA4E17">
      <w:pPr>
        <w:pStyle w:val="Publicationdate"/>
      </w:pPr>
      <w:r>
        <w:t xml:space="preserve">September </w:t>
      </w:r>
      <w:r w:rsidR="002449D1">
        <w:t>202</w:t>
      </w:r>
      <w:r w:rsidR="006A2552">
        <w:t>5</w:t>
      </w:r>
    </w:p>
    <w:p w14:paraId="692C400E" w14:textId="77777777" w:rsidR="00AA4E17" w:rsidRDefault="00AA4E17">
      <w:pPr>
        <w:rPr>
          <w:sz w:val="18"/>
          <w:szCs w:val="18"/>
        </w:rPr>
        <w:sectPr w:rsidR="00AA4E17" w:rsidSect="000411B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567" w:footer="284" w:gutter="0"/>
          <w:cols w:space="708"/>
          <w:docGrid w:linePitch="360"/>
        </w:sectPr>
      </w:pPr>
    </w:p>
    <w:p w14:paraId="00B1140E" w14:textId="1CEA225D" w:rsidR="001C0D1C" w:rsidRDefault="00E55B1C">
      <w:pPr>
        <w:rPr>
          <w:sz w:val="18"/>
          <w:szCs w:val="18"/>
        </w:rPr>
      </w:pPr>
      <w:r>
        <w:rPr>
          <w:sz w:val="18"/>
          <w:szCs w:val="18"/>
        </w:rPr>
        <w:lastRenderedPageBreak/>
        <w:t xml:space="preserve">© Commonwealth of Australia </w:t>
      </w:r>
      <w:r w:rsidR="00E4059A">
        <w:rPr>
          <w:sz w:val="18"/>
          <w:szCs w:val="18"/>
        </w:rPr>
        <w:t>202</w:t>
      </w:r>
      <w:r w:rsidR="006A2552">
        <w:rPr>
          <w:sz w:val="18"/>
          <w:szCs w:val="18"/>
        </w:rPr>
        <w:t>5</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Default="00B151F6" w:rsidP="00B151F6">
      <w:pPr>
        <w:rPr>
          <w:sz w:val="18"/>
          <w:szCs w:val="18"/>
        </w:rPr>
      </w:pPr>
      <w:r>
        <w:rPr>
          <w:noProof/>
          <w:sz w:val="18"/>
          <w:szCs w:val="18"/>
          <w:lang w:eastAsia="en-AU"/>
        </w:rPr>
        <w:drawing>
          <wp:anchor distT="0" distB="0" distL="114300" distR="114300" simplePos="0" relativeHeight="251658240" behindDoc="0" locked="0" layoutInCell="1" allowOverlap="1" wp14:anchorId="3297F2F5" wp14:editId="5AD19894">
            <wp:simplePos x="923925" y="2400300"/>
            <wp:positionH relativeFrom="column">
              <wp:align>left</wp:align>
            </wp:positionH>
            <wp:positionV relativeFrom="paragraph">
              <wp:align>top</wp:align>
            </wp:positionV>
            <wp:extent cx="723900" cy="255905"/>
            <wp:effectExtent l="0" t="0" r="0" b="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20" w:history="1">
        <w:r>
          <w:rPr>
            <w:rStyle w:val="Hyperlink"/>
            <w:sz w:val="18"/>
            <w:szCs w:val="18"/>
          </w:rPr>
          <w:t>summary of the licence terms</w:t>
        </w:r>
      </w:hyperlink>
      <w:r>
        <w:rPr>
          <w:sz w:val="18"/>
          <w:szCs w:val="18"/>
        </w:rPr>
        <w:t xml:space="preserve"> or the </w:t>
      </w:r>
      <w:hyperlink r:id="rId21" w:history="1">
        <w:r>
          <w:rPr>
            <w:rStyle w:val="Hyperlink"/>
            <w:sz w:val="18"/>
            <w:szCs w:val="18"/>
          </w:rPr>
          <w:t>full licence terms</w:t>
        </w:r>
      </w:hyperlink>
      <w:r>
        <w:rPr>
          <w:sz w:val="18"/>
          <w:szCs w:val="18"/>
        </w:rPr>
        <w:t>.</w:t>
      </w:r>
    </w:p>
    <w:p w14:paraId="44635A9C" w14:textId="7CD2AF02" w:rsidR="00B151F6" w:rsidRDefault="00B151F6" w:rsidP="00B151F6">
      <w:pPr>
        <w:rPr>
          <w:sz w:val="18"/>
          <w:szCs w:val="18"/>
        </w:rPr>
      </w:pPr>
      <w:r>
        <w:rPr>
          <w:sz w:val="18"/>
          <w:szCs w:val="18"/>
        </w:rPr>
        <w:t xml:space="preserve">Inquiries about the licence and any use of this document should be emailed to </w:t>
      </w:r>
      <w:hyperlink r:id="rId22" w:history="1">
        <w:r w:rsidR="006D4742">
          <w:rPr>
            <w:rStyle w:val="Hyperlink"/>
            <w:sz w:val="18"/>
            <w:szCs w:val="18"/>
          </w:rPr>
          <w:t>copyright@dcceew.gov.au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58BBD8C8" w:rsidR="00B151F6" w:rsidRDefault="00E55B1C"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E4059A">
        <w:rPr>
          <w:sz w:val="18"/>
          <w:szCs w:val="18"/>
        </w:rPr>
        <w:t>202</w:t>
      </w:r>
      <w:r w:rsidR="006A2552">
        <w:rPr>
          <w:sz w:val="18"/>
          <w:szCs w:val="18"/>
        </w:rPr>
        <w:t>5</w:t>
      </w:r>
      <w:r>
        <w:rPr>
          <w:sz w:val="18"/>
          <w:szCs w:val="18"/>
        </w:rPr>
        <w:t>,</w:t>
      </w:r>
      <w:r w:rsidR="00DF1801">
        <w:rPr>
          <w:sz w:val="18"/>
          <w:szCs w:val="18"/>
        </w:rPr>
        <w:t xml:space="preserve"> </w:t>
      </w:r>
      <w:r w:rsidR="00B151F6">
        <w:rPr>
          <w:i/>
          <w:sz w:val="18"/>
          <w:szCs w:val="18"/>
        </w:rPr>
        <w:t xml:space="preserve">Toxicant default guideline values for aquatic ecosystem protection: </w:t>
      </w:r>
      <w:r w:rsidR="000F7DFD">
        <w:rPr>
          <w:i/>
          <w:sz w:val="18"/>
          <w:szCs w:val="18"/>
        </w:rPr>
        <w:t>I</w:t>
      </w:r>
      <w:r w:rsidR="00B151F6">
        <w:rPr>
          <w:i/>
          <w:sz w:val="18"/>
          <w:szCs w:val="18"/>
        </w:rPr>
        <w:t xml:space="preserve">ron in fresh water. </w:t>
      </w:r>
      <w:r w:rsidR="00343147">
        <w:rPr>
          <w:sz w:val="18"/>
          <w:szCs w:val="18"/>
        </w:rPr>
        <w:t>Australian and New Zealand Guidelines for Fresh and Marine Water Quality.</w:t>
      </w:r>
      <w:r w:rsidR="00343147" w:rsidRPr="00D47CA4">
        <w:rPr>
          <w:sz w:val="18"/>
          <w:szCs w:val="18"/>
        </w:rPr>
        <w:t xml:space="preserve"> </w:t>
      </w:r>
      <w:r w:rsidR="00B151F6" w:rsidRPr="00D47CA4">
        <w:rPr>
          <w:sz w:val="18"/>
          <w:szCs w:val="18"/>
        </w:rPr>
        <w:t>CC BY 4.0. Australian and New Zealand Governments and Australian state and territory governments, Canberra, ACT, Australia</w:t>
      </w:r>
      <w:r w:rsidR="00B151F6">
        <w:rPr>
          <w:sz w:val="18"/>
          <w:szCs w:val="18"/>
        </w:rPr>
        <w:t>.</w:t>
      </w:r>
    </w:p>
    <w:p w14:paraId="5AD69391" w14:textId="371E32A5" w:rsidR="00B151F6" w:rsidRPr="0025369B" w:rsidRDefault="00B151F6" w:rsidP="00B151F6">
      <w:pPr>
        <w:rPr>
          <w:sz w:val="18"/>
          <w:szCs w:val="18"/>
        </w:rPr>
      </w:pPr>
      <w:r w:rsidRPr="0025369B">
        <w:rPr>
          <w:sz w:val="18"/>
          <w:szCs w:val="18"/>
        </w:rPr>
        <w:t>This publication is available at</w:t>
      </w:r>
      <w:r w:rsidR="0025369B" w:rsidRPr="0025369B">
        <w:rPr>
          <w:sz w:val="18"/>
          <w:szCs w:val="18"/>
        </w:rPr>
        <w:t xml:space="preserve"> the</w:t>
      </w:r>
      <w:r w:rsidRPr="0025369B">
        <w:rPr>
          <w:sz w:val="18"/>
          <w:szCs w:val="18"/>
        </w:rPr>
        <w:t xml:space="preserve"> </w:t>
      </w:r>
      <w:hyperlink r:id="rId23" w:history="1">
        <w:r w:rsidR="0025369B" w:rsidRPr="0025369B">
          <w:rPr>
            <w:rStyle w:val="Hyperlink"/>
            <w:sz w:val="18"/>
            <w:szCs w:val="18"/>
          </w:rPr>
          <w:t>Toxicant default guideline values technical briefs</w:t>
        </w:r>
      </w:hyperlink>
      <w:r w:rsidR="0025369B" w:rsidRPr="00E61572">
        <w:rPr>
          <w:sz w:val="18"/>
          <w:szCs w:val="18"/>
        </w:rPr>
        <w:t xml:space="preserve"> website</w:t>
      </w:r>
      <w:r w:rsidRPr="0025369B">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66EB3F64" w14:textId="1C89AC1A" w:rsidR="00824850" w:rsidRDefault="00E55B1C" w:rsidP="00824850">
      <w:pPr>
        <w:spacing w:after="0"/>
        <w:rPr>
          <w:b/>
          <w:sz w:val="18"/>
          <w:szCs w:val="18"/>
        </w:rPr>
      </w:pPr>
      <w:r>
        <w:rPr>
          <w:sz w:val="18"/>
          <w:szCs w:val="18"/>
        </w:rPr>
        <w:t>Australian Government Department of</w:t>
      </w:r>
      <w:r w:rsidR="001074C8">
        <w:rPr>
          <w:sz w:val="18"/>
          <w:szCs w:val="18"/>
        </w:rPr>
        <w:t xml:space="preserve"> </w:t>
      </w:r>
      <w:r w:rsidR="00E3118E">
        <w:rPr>
          <w:sz w:val="18"/>
          <w:szCs w:val="18"/>
        </w:rPr>
        <w:t>Climate Change, Energy, the Environment and Water</w:t>
      </w:r>
    </w:p>
    <w:p w14:paraId="2C59091B" w14:textId="69EBDF01" w:rsidR="001C0D1C" w:rsidRPr="00824850" w:rsidRDefault="00E55B1C" w:rsidP="00824850">
      <w:pPr>
        <w:spacing w:after="0"/>
        <w:rPr>
          <w:b/>
          <w:sz w:val="18"/>
          <w:szCs w:val="18"/>
        </w:rPr>
      </w:pPr>
      <w:r>
        <w:rPr>
          <w:sz w:val="18"/>
          <w:szCs w:val="18"/>
        </w:rPr>
        <w:t>GPO Box 858 Canberra ACT 2601</w:t>
      </w:r>
    </w:p>
    <w:p w14:paraId="6EBF1CEF" w14:textId="77777777" w:rsidR="001C0D1C" w:rsidRDefault="00E55B1C" w:rsidP="00824850">
      <w:pPr>
        <w:spacing w:after="0"/>
        <w:rPr>
          <w:sz w:val="18"/>
          <w:szCs w:val="18"/>
        </w:rPr>
      </w:pPr>
      <w:r>
        <w:rPr>
          <w:sz w:val="18"/>
          <w:szCs w:val="18"/>
        </w:rPr>
        <w:t>Switchboard +61 2 6272 3933 or 1800 900 090</w:t>
      </w:r>
    </w:p>
    <w:p w14:paraId="34C5EBA5" w14:textId="466598B5" w:rsidR="001C0D1C" w:rsidRDefault="00E55B1C" w:rsidP="00824850">
      <w:pPr>
        <w:spacing w:after="120"/>
        <w:rPr>
          <w:sz w:val="18"/>
          <w:szCs w:val="18"/>
        </w:rPr>
      </w:pPr>
      <w:r>
        <w:rPr>
          <w:sz w:val="18"/>
          <w:szCs w:val="18"/>
        </w:rPr>
        <w:t xml:space="preserve">Email </w:t>
      </w:r>
      <w:hyperlink r:id="rId24" w:history="1">
        <w:r w:rsidR="00E3118E">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99A4E9" w14:textId="77777777" w:rsidR="00B151F6" w:rsidRDefault="00B151F6" w:rsidP="00B151F6">
      <w:pPr>
        <w:spacing w:after="0"/>
        <w:rPr>
          <w:sz w:val="18"/>
          <w:szCs w:val="18"/>
        </w:rPr>
      </w:pP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2907956C" w14:textId="0A28A4FC" w:rsidR="00E4059A"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343147">
        <w:rPr>
          <w:sz w:val="18"/>
          <w:szCs w:val="18"/>
        </w:rPr>
        <w:t>DGVs</w:t>
      </w:r>
      <w:r w:rsidR="001B1DB2">
        <w:rPr>
          <w:sz w:val="18"/>
          <w:szCs w:val="18"/>
        </w:rPr>
        <w:t>)</w:t>
      </w:r>
      <w:r>
        <w:rPr>
          <w:sz w:val="18"/>
          <w:szCs w:val="18"/>
        </w:rPr>
        <w:t xml:space="preserve"> were derived by </w:t>
      </w:r>
      <w:r w:rsidRPr="00EC2A20">
        <w:rPr>
          <w:sz w:val="18"/>
          <w:szCs w:val="18"/>
        </w:rPr>
        <w:t>Dr Lisa Golding, Monique Binet and Dr Graeme Batley, CSIRO Land and Water, Lucas Heights, NSW.</w:t>
      </w:r>
      <w:r w:rsidR="001B1DB2">
        <w:rPr>
          <w:sz w:val="18"/>
          <w:szCs w:val="18"/>
        </w:rPr>
        <w:t xml:space="preserve"> The DGVs</w:t>
      </w:r>
      <w:r>
        <w:rPr>
          <w:sz w:val="18"/>
          <w:szCs w:val="18"/>
        </w:rPr>
        <w:t xml:space="preserve"> were peer reviewed by </w:t>
      </w:r>
      <w:r w:rsidR="0034140A">
        <w:rPr>
          <w:sz w:val="18"/>
          <w:szCs w:val="18"/>
        </w:rPr>
        <w:t xml:space="preserve">2 </w:t>
      </w:r>
      <w:r>
        <w:rPr>
          <w:sz w:val="18"/>
          <w:szCs w:val="18"/>
        </w:rPr>
        <w:t>anonymous reviewers and by contracted technical advisors Dr Rick van Dam</w:t>
      </w:r>
      <w:r w:rsidR="00541CC2">
        <w:rPr>
          <w:sz w:val="18"/>
          <w:szCs w:val="18"/>
        </w:rPr>
        <w:t xml:space="preserve">, </w:t>
      </w:r>
      <w:r>
        <w:rPr>
          <w:sz w:val="18"/>
          <w:szCs w:val="18"/>
        </w:rPr>
        <w:t>Ms Alicia Hogan</w:t>
      </w:r>
      <w:r w:rsidR="00541CC2">
        <w:rPr>
          <w:sz w:val="18"/>
          <w:szCs w:val="18"/>
        </w:rPr>
        <w:t xml:space="preserve"> and Dr Melanie Trenfield</w:t>
      </w:r>
      <w:r>
        <w:rPr>
          <w:sz w:val="18"/>
          <w:szCs w:val="18"/>
        </w:rPr>
        <w:t>.</w:t>
      </w:r>
      <w:r w:rsidR="00E4059A">
        <w:rPr>
          <w:sz w:val="18"/>
          <w:szCs w:val="18"/>
        </w:rPr>
        <w:t xml:space="preserve"> The DGVs were reviewed and approved by jurisdictional technical and policy oversight groups and a National Water Reform Committee, and subjected to a public consultation period, prior to being published.</w:t>
      </w:r>
    </w:p>
    <w:p w14:paraId="5D9B5F96" w14:textId="400C0AD0" w:rsidR="001C0D1C" w:rsidRDefault="00E55B1C">
      <w:pPr>
        <w:rPr>
          <w:sz w:val="18"/>
          <w:szCs w:val="18"/>
        </w:rPr>
      </w:pPr>
      <w:r>
        <w:rPr>
          <w:noProof/>
          <w:sz w:val="18"/>
          <w:szCs w:val="18"/>
          <w:lang w:eastAsia="en-AU"/>
        </w:rPr>
        <w:drawing>
          <wp:inline distT="0" distB="0" distL="0" distR="0" wp14:anchorId="21C06E27" wp14:editId="0784D9D1">
            <wp:extent cx="5758904" cy="1660917"/>
            <wp:effectExtent l="0" t="0" r="0" b="3175"/>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25">
                      <a:extLst>
                        <a:ext uri="{28A0092B-C50C-407E-A947-70E740481C1C}">
                          <a14:useLocalDpi xmlns:a14="http://schemas.microsoft.com/office/drawing/2010/main" val="0"/>
                        </a:ext>
                      </a:extLst>
                    </a:blip>
                    <a:srcRect t="26952"/>
                    <a:stretch/>
                  </pic:blipFill>
                  <pic:spPr bwMode="auto">
                    <a:xfrm>
                      <a:off x="0" y="0"/>
                      <a:ext cx="5759450" cy="1661075"/>
                    </a:xfrm>
                    <a:prstGeom prst="rect">
                      <a:avLst/>
                    </a:prstGeom>
                    <a:ln>
                      <a:noFill/>
                    </a:ln>
                    <a:extLst>
                      <a:ext uri="{53640926-AAD7-44D8-BBD7-CCE9431645EC}">
                        <a14:shadowObscured xmlns:a14="http://schemas.microsoft.com/office/drawing/2010/main"/>
                      </a:ext>
                    </a:extLst>
                  </pic:spPr>
                </pic:pic>
              </a:graphicData>
            </a:graphic>
          </wp:inline>
        </w:drawing>
      </w:r>
    </w:p>
    <w:p w14:paraId="4A316D6E" w14:textId="77777777" w:rsidR="001C0D1C" w:rsidRDefault="00E55B1C" w:rsidP="004B6FCA">
      <w:pPr>
        <w:pStyle w:val="TOCHeading"/>
        <w:outlineLvl w:val="1"/>
      </w:pPr>
      <w:bookmarkStart w:id="2" w:name="_Toc197783767"/>
      <w:r>
        <w:lastRenderedPageBreak/>
        <w:t>Contents</w:t>
      </w:r>
      <w:bookmarkEnd w:id="2"/>
    </w:p>
    <w:p w14:paraId="79C5B065" w14:textId="65E1A160" w:rsidR="00C47116" w:rsidRDefault="00174573">
      <w:pPr>
        <w:pStyle w:val="TOC1"/>
        <w:rPr>
          <w:rFonts w:eastAsiaTheme="minorEastAsia"/>
          <w:b w:val="0"/>
          <w:kern w:val="2"/>
          <w:sz w:val="24"/>
          <w:szCs w:val="24"/>
          <w:lang w:eastAsia="en-GB"/>
          <w14:ligatures w14:val="standardContextual"/>
        </w:rPr>
      </w:pPr>
      <w:r>
        <w:rPr>
          <w:lang w:val="en-US"/>
        </w:rPr>
        <w:fldChar w:fldCharType="begin"/>
      </w:r>
      <w:r>
        <w:rPr>
          <w:lang w:val="en-US"/>
        </w:rPr>
        <w:instrText xml:space="preserve"> TOC \h \z \t "Heading 2,1,Heading 3,2" </w:instrText>
      </w:r>
      <w:r>
        <w:rPr>
          <w:lang w:val="en-US"/>
        </w:rPr>
        <w:fldChar w:fldCharType="separate"/>
      </w:r>
      <w:hyperlink w:anchor="_Toc199424860" w:history="1">
        <w:r w:rsidR="00C47116" w:rsidRPr="00D25CEC">
          <w:rPr>
            <w:rStyle w:val="Hyperlink"/>
          </w:rPr>
          <w:t>Summary</w:t>
        </w:r>
        <w:r w:rsidR="00C47116">
          <w:rPr>
            <w:webHidden/>
          </w:rPr>
          <w:tab/>
        </w:r>
        <w:r w:rsidR="00C47116">
          <w:rPr>
            <w:webHidden/>
          </w:rPr>
          <w:fldChar w:fldCharType="begin"/>
        </w:r>
        <w:r w:rsidR="00C47116">
          <w:rPr>
            <w:webHidden/>
          </w:rPr>
          <w:instrText xml:space="preserve"> PAGEREF _Toc199424860 \h </w:instrText>
        </w:r>
        <w:r w:rsidR="00C47116">
          <w:rPr>
            <w:webHidden/>
          </w:rPr>
        </w:r>
        <w:r w:rsidR="00C47116">
          <w:rPr>
            <w:webHidden/>
          </w:rPr>
          <w:fldChar w:fldCharType="separate"/>
        </w:r>
        <w:r w:rsidR="00944476">
          <w:rPr>
            <w:webHidden/>
          </w:rPr>
          <w:t xml:space="preserve"> </w:t>
        </w:r>
        <w:r w:rsidR="00C47116">
          <w:rPr>
            <w:webHidden/>
          </w:rPr>
          <w:fldChar w:fldCharType="end"/>
        </w:r>
      </w:hyperlink>
    </w:p>
    <w:p w14:paraId="300D118C" w14:textId="3EC99EBC" w:rsidR="00C47116" w:rsidRDefault="00C47116">
      <w:pPr>
        <w:pStyle w:val="TOC1"/>
        <w:rPr>
          <w:rFonts w:eastAsiaTheme="minorEastAsia"/>
          <w:b w:val="0"/>
          <w:kern w:val="2"/>
          <w:sz w:val="24"/>
          <w:szCs w:val="24"/>
          <w:lang w:eastAsia="en-GB"/>
          <w14:ligatures w14:val="standardContextual"/>
        </w:rPr>
      </w:pPr>
      <w:hyperlink w:anchor="_Toc199424861" w:history="1">
        <w:r w:rsidRPr="00D25CEC">
          <w:rPr>
            <w:rStyle w:val="Hyperlink"/>
          </w:rPr>
          <w:t>1</w:t>
        </w:r>
        <w:r>
          <w:rPr>
            <w:rFonts w:eastAsiaTheme="minorEastAsia"/>
            <w:b w:val="0"/>
            <w:kern w:val="2"/>
            <w:sz w:val="24"/>
            <w:szCs w:val="24"/>
            <w:lang w:eastAsia="en-GB"/>
            <w14:ligatures w14:val="standardContextual"/>
          </w:rPr>
          <w:tab/>
        </w:r>
        <w:r w:rsidRPr="00D25CEC">
          <w:rPr>
            <w:rStyle w:val="Hyperlink"/>
          </w:rPr>
          <w:t>Introduction</w:t>
        </w:r>
        <w:r>
          <w:rPr>
            <w:webHidden/>
          </w:rPr>
          <w:tab/>
        </w:r>
        <w:r>
          <w:rPr>
            <w:webHidden/>
          </w:rPr>
          <w:fldChar w:fldCharType="begin"/>
        </w:r>
        <w:r>
          <w:rPr>
            <w:webHidden/>
          </w:rPr>
          <w:instrText xml:space="preserve"> PAGEREF _Toc199424861 \h </w:instrText>
        </w:r>
        <w:r>
          <w:rPr>
            <w:webHidden/>
          </w:rPr>
        </w:r>
        <w:r>
          <w:rPr>
            <w:webHidden/>
          </w:rPr>
          <w:fldChar w:fldCharType="separate"/>
        </w:r>
        <w:r w:rsidR="00944476">
          <w:rPr>
            <w:webHidden/>
          </w:rPr>
          <w:t>1</w:t>
        </w:r>
        <w:r>
          <w:rPr>
            <w:webHidden/>
          </w:rPr>
          <w:fldChar w:fldCharType="end"/>
        </w:r>
      </w:hyperlink>
    </w:p>
    <w:p w14:paraId="0066EF45" w14:textId="195CFA8B" w:rsidR="00C47116" w:rsidRDefault="00C47116">
      <w:pPr>
        <w:pStyle w:val="TOC1"/>
        <w:rPr>
          <w:rFonts w:eastAsiaTheme="minorEastAsia"/>
          <w:b w:val="0"/>
          <w:kern w:val="2"/>
          <w:sz w:val="24"/>
          <w:szCs w:val="24"/>
          <w:lang w:eastAsia="en-GB"/>
          <w14:ligatures w14:val="standardContextual"/>
        </w:rPr>
      </w:pPr>
      <w:hyperlink w:anchor="_Toc199424862" w:history="1">
        <w:r w:rsidRPr="00D25CEC">
          <w:rPr>
            <w:rStyle w:val="Hyperlink"/>
          </w:rPr>
          <w:t>2</w:t>
        </w:r>
        <w:r>
          <w:rPr>
            <w:rFonts w:eastAsiaTheme="minorEastAsia"/>
            <w:b w:val="0"/>
            <w:kern w:val="2"/>
            <w:sz w:val="24"/>
            <w:szCs w:val="24"/>
            <w:lang w:eastAsia="en-GB"/>
            <w14:ligatures w14:val="standardContextual"/>
          </w:rPr>
          <w:tab/>
        </w:r>
        <w:r w:rsidRPr="00D25CEC">
          <w:rPr>
            <w:rStyle w:val="Hyperlink"/>
          </w:rPr>
          <w:t>Aquatic toxicology</w:t>
        </w:r>
        <w:r>
          <w:rPr>
            <w:webHidden/>
          </w:rPr>
          <w:tab/>
        </w:r>
        <w:r>
          <w:rPr>
            <w:webHidden/>
          </w:rPr>
          <w:fldChar w:fldCharType="begin"/>
        </w:r>
        <w:r>
          <w:rPr>
            <w:webHidden/>
          </w:rPr>
          <w:instrText xml:space="preserve"> PAGEREF _Toc199424862 \h </w:instrText>
        </w:r>
        <w:r>
          <w:rPr>
            <w:webHidden/>
          </w:rPr>
        </w:r>
        <w:r>
          <w:rPr>
            <w:webHidden/>
          </w:rPr>
          <w:fldChar w:fldCharType="separate"/>
        </w:r>
        <w:r w:rsidR="00944476">
          <w:rPr>
            <w:webHidden/>
          </w:rPr>
          <w:t>3</w:t>
        </w:r>
        <w:r>
          <w:rPr>
            <w:webHidden/>
          </w:rPr>
          <w:fldChar w:fldCharType="end"/>
        </w:r>
      </w:hyperlink>
    </w:p>
    <w:p w14:paraId="07F5E184" w14:textId="05EDEC45" w:rsidR="00C47116" w:rsidRDefault="00C47116">
      <w:pPr>
        <w:pStyle w:val="TOC2"/>
        <w:tabs>
          <w:tab w:val="left" w:pos="1200"/>
        </w:tabs>
        <w:rPr>
          <w:rFonts w:eastAsiaTheme="minorEastAsia"/>
          <w:kern w:val="2"/>
          <w:sz w:val="24"/>
          <w:szCs w:val="24"/>
          <w:lang w:eastAsia="en-GB"/>
          <w14:ligatures w14:val="standardContextual"/>
        </w:rPr>
      </w:pPr>
      <w:hyperlink w:anchor="_Toc199424863" w:history="1">
        <w:r w:rsidRPr="00D25CEC">
          <w:rPr>
            <w:rStyle w:val="Hyperlink"/>
          </w:rPr>
          <w:t>2.1</w:t>
        </w:r>
        <w:r>
          <w:rPr>
            <w:rFonts w:eastAsiaTheme="minorEastAsia"/>
            <w:kern w:val="2"/>
            <w:sz w:val="24"/>
            <w:szCs w:val="24"/>
            <w:lang w:eastAsia="en-GB"/>
            <w14:ligatures w14:val="standardContextual"/>
          </w:rPr>
          <w:tab/>
        </w:r>
        <w:r w:rsidRPr="00D25CEC">
          <w:rPr>
            <w:rStyle w:val="Hyperlink"/>
          </w:rPr>
          <w:t>Mechanisms of iron toxicity</w:t>
        </w:r>
        <w:r>
          <w:rPr>
            <w:webHidden/>
          </w:rPr>
          <w:tab/>
        </w:r>
        <w:r>
          <w:rPr>
            <w:webHidden/>
          </w:rPr>
          <w:fldChar w:fldCharType="begin"/>
        </w:r>
        <w:r>
          <w:rPr>
            <w:webHidden/>
          </w:rPr>
          <w:instrText xml:space="preserve"> PAGEREF _Toc199424863 \h </w:instrText>
        </w:r>
        <w:r>
          <w:rPr>
            <w:webHidden/>
          </w:rPr>
        </w:r>
        <w:r>
          <w:rPr>
            <w:webHidden/>
          </w:rPr>
          <w:fldChar w:fldCharType="separate"/>
        </w:r>
        <w:r w:rsidR="00944476">
          <w:rPr>
            <w:webHidden/>
          </w:rPr>
          <w:t>3</w:t>
        </w:r>
        <w:r>
          <w:rPr>
            <w:webHidden/>
          </w:rPr>
          <w:fldChar w:fldCharType="end"/>
        </w:r>
      </w:hyperlink>
    </w:p>
    <w:p w14:paraId="7ED94850" w14:textId="40D2D67F" w:rsidR="00C47116" w:rsidRDefault="00C47116">
      <w:pPr>
        <w:pStyle w:val="TOC2"/>
        <w:tabs>
          <w:tab w:val="left" w:pos="1200"/>
        </w:tabs>
        <w:rPr>
          <w:rFonts w:eastAsiaTheme="minorEastAsia"/>
          <w:kern w:val="2"/>
          <w:sz w:val="24"/>
          <w:szCs w:val="24"/>
          <w:lang w:eastAsia="en-GB"/>
          <w14:ligatures w14:val="standardContextual"/>
        </w:rPr>
      </w:pPr>
      <w:hyperlink w:anchor="_Toc199424864" w:history="1">
        <w:r w:rsidRPr="00D25CEC">
          <w:rPr>
            <w:rStyle w:val="Hyperlink"/>
          </w:rPr>
          <w:t>2.2</w:t>
        </w:r>
        <w:r>
          <w:rPr>
            <w:rFonts w:eastAsiaTheme="minorEastAsia"/>
            <w:kern w:val="2"/>
            <w:sz w:val="24"/>
            <w:szCs w:val="24"/>
            <w:lang w:eastAsia="en-GB"/>
            <w14:ligatures w14:val="standardContextual"/>
          </w:rPr>
          <w:tab/>
        </w:r>
        <w:r w:rsidRPr="00D25CEC">
          <w:rPr>
            <w:rStyle w:val="Hyperlink"/>
          </w:rPr>
          <w:t>Chronic effects of iron(II) on aquatic biota</w:t>
        </w:r>
        <w:r>
          <w:rPr>
            <w:webHidden/>
          </w:rPr>
          <w:tab/>
        </w:r>
        <w:r>
          <w:rPr>
            <w:webHidden/>
          </w:rPr>
          <w:fldChar w:fldCharType="begin"/>
        </w:r>
        <w:r>
          <w:rPr>
            <w:webHidden/>
          </w:rPr>
          <w:instrText xml:space="preserve"> PAGEREF _Toc199424864 \h </w:instrText>
        </w:r>
        <w:r>
          <w:rPr>
            <w:webHidden/>
          </w:rPr>
        </w:r>
        <w:r>
          <w:rPr>
            <w:webHidden/>
          </w:rPr>
          <w:fldChar w:fldCharType="separate"/>
        </w:r>
        <w:r w:rsidR="00944476">
          <w:rPr>
            <w:webHidden/>
          </w:rPr>
          <w:t>3</w:t>
        </w:r>
        <w:r>
          <w:rPr>
            <w:webHidden/>
          </w:rPr>
          <w:fldChar w:fldCharType="end"/>
        </w:r>
      </w:hyperlink>
    </w:p>
    <w:p w14:paraId="70B81897" w14:textId="684210AA" w:rsidR="00C47116" w:rsidRDefault="00C47116">
      <w:pPr>
        <w:pStyle w:val="TOC2"/>
        <w:tabs>
          <w:tab w:val="left" w:pos="1200"/>
        </w:tabs>
        <w:rPr>
          <w:rFonts w:eastAsiaTheme="minorEastAsia"/>
          <w:kern w:val="2"/>
          <w:sz w:val="24"/>
          <w:szCs w:val="24"/>
          <w:lang w:eastAsia="en-GB"/>
          <w14:ligatures w14:val="standardContextual"/>
        </w:rPr>
      </w:pPr>
      <w:hyperlink w:anchor="_Toc199424865" w:history="1">
        <w:r w:rsidRPr="00D25CEC">
          <w:rPr>
            <w:rStyle w:val="Hyperlink"/>
          </w:rPr>
          <w:t>2.3</w:t>
        </w:r>
        <w:r>
          <w:rPr>
            <w:rFonts w:eastAsiaTheme="minorEastAsia"/>
            <w:kern w:val="2"/>
            <w:sz w:val="24"/>
            <w:szCs w:val="24"/>
            <w:lang w:eastAsia="en-GB"/>
            <w14:ligatures w14:val="standardContextual"/>
          </w:rPr>
          <w:tab/>
        </w:r>
        <w:r w:rsidRPr="00D25CEC">
          <w:rPr>
            <w:rStyle w:val="Hyperlink"/>
          </w:rPr>
          <w:t>Chronic effects of iron(III) as Fe(OH)</w:t>
        </w:r>
        <w:r w:rsidRPr="00D25CEC">
          <w:rPr>
            <w:rStyle w:val="Hyperlink"/>
            <w:vertAlign w:val="subscript"/>
          </w:rPr>
          <w:t>3</w:t>
        </w:r>
        <w:r w:rsidRPr="00D25CEC">
          <w:rPr>
            <w:rStyle w:val="Hyperlink"/>
          </w:rPr>
          <w:t xml:space="preserve"> on aquatic biota</w:t>
        </w:r>
        <w:r>
          <w:rPr>
            <w:webHidden/>
          </w:rPr>
          <w:tab/>
        </w:r>
        <w:r>
          <w:rPr>
            <w:webHidden/>
          </w:rPr>
          <w:fldChar w:fldCharType="begin"/>
        </w:r>
        <w:r>
          <w:rPr>
            <w:webHidden/>
          </w:rPr>
          <w:instrText xml:space="preserve"> PAGEREF _Toc199424865 \h </w:instrText>
        </w:r>
        <w:r>
          <w:rPr>
            <w:webHidden/>
          </w:rPr>
        </w:r>
        <w:r>
          <w:rPr>
            <w:webHidden/>
          </w:rPr>
          <w:fldChar w:fldCharType="separate"/>
        </w:r>
        <w:r w:rsidR="00944476">
          <w:rPr>
            <w:webHidden/>
          </w:rPr>
          <w:t>4</w:t>
        </w:r>
        <w:r>
          <w:rPr>
            <w:webHidden/>
          </w:rPr>
          <w:fldChar w:fldCharType="end"/>
        </w:r>
      </w:hyperlink>
    </w:p>
    <w:p w14:paraId="61944D38" w14:textId="3BB9E31D" w:rsidR="00C47116" w:rsidRDefault="00C47116">
      <w:pPr>
        <w:pStyle w:val="TOC1"/>
        <w:rPr>
          <w:rFonts w:eastAsiaTheme="minorEastAsia"/>
          <w:b w:val="0"/>
          <w:kern w:val="2"/>
          <w:sz w:val="24"/>
          <w:szCs w:val="24"/>
          <w:lang w:eastAsia="en-GB"/>
          <w14:ligatures w14:val="standardContextual"/>
        </w:rPr>
      </w:pPr>
      <w:hyperlink w:anchor="_Toc199424866" w:history="1">
        <w:r w:rsidRPr="00D25CEC">
          <w:rPr>
            <w:rStyle w:val="Hyperlink"/>
          </w:rPr>
          <w:t>3</w:t>
        </w:r>
        <w:r>
          <w:rPr>
            <w:rFonts w:eastAsiaTheme="minorEastAsia"/>
            <w:b w:val="0"/>
            <w:kern w:val="2"/>
            <w:sz w:val="24"/>
            <w:szCs w:val="24"/>
            <w:lang w:eastAsia="en-GB"/>
            <w14:ligatures w14:val="standardContextual"/>
          </w:rPr>
          <w:tab/>
        </w:r>
        <w:r w:rsidRPr="00D25CEC">
          <w:rPr>
            <w:rStyle w:val="Hyperlink"/>
          </w:rPr>
          <w:t>Factors affecting toxicity</w:t>
        </w:r>
        <w:r>
          <w:rPr>
            <w:webHidden/>
          </w:rPr>
          <w:tab/>
        </w:r>
        <w:r>
          <w:rPr>
            <w:webHidden/>
          </w:rPr>
          <w:fldChar w:fldCharType="begin"/>
        </w:r>
        <w:r>
          <w:rPr>
            <w:webHidden/>
          </w:rPr>
          <w:instrText xml:space="preserve"> PAGEREF _Toc199424866 \h </w:instrText>
        </w:r>
        <w:r>
          <w:rPr>
            <w:webHidden/>
          </w:rPr>
        </w:r>
        <w:r>
          <w:rPr>
            <w:webHidden/>
          </w:rPr>
          <w:fldChar w:fldCharType="separate"/>
        </w:r>
        <w:r w:rsidR="00944476">
          <w:rPr>
            <w:webHidden/>
          </w:rPr>
          <w:t>7</w:t>
        </w:r>
        <w:r>
          <w:rPr>
            <w:webHidden/>
          </w:rPr>
          <w:fldChar w:fldCharType="end"/>
        </w:r>
      </w:hyperlink>
    </w:p>
    <w:p w14:paraId="11633AA2" w14:textId="7CD4D398" w:rsidR="00C47116" w:rsidRDefault="00C47116">
      <w:pPr>
        <w:pStyle w:val="TOC1"/>
        <w:rPr>
          <w:rFonts w:eastAsiaTheme="minorEastAsia"/>
          <w:b w:val="0"/>
          <w:kern w:val="2"/>
          <w:sz w:val="24"/>
          <w:szCs w:val="24"/>
          <w:lang w:eastAsia="en-GB"/>
          <w14:ligatures w14:val="standardContextual"/>
        </w:rPr>
      </w:pPr>
      <w:hyperlink w:anchor="_Toc199424867" w:history="1">
        <w:r w:rsidRPr="00D25CEC">
          <w:rPr>
            <w:rStyle w:val="Hyperlink"/>
          </w:rPr>
          <w:t>4</w:t>
        </w:r>
        <w:r>
          <w:rPr>
            <w:rFonts w:eastAsiaTheme="minorEastAsia"/>
            <w:b w:val="0"/>
            <w:kern w:val="2"/>
            <w:sz w:val="24"/>
            <w:szCs w:val="24"/>
            <w:lang w:eastAsia="en-GB"/>
            <w14:ligatures w14:val="standardContextual"/>
          </w:rPr>
          <w:tab/>
        </w:r>
        <w:r w:rsidRPr="00D25CEC">
          <w:rPr>
            <w:rStyle w:val="Hyperlink"/>
          </w:rPr>
          <w:t>Default guideline value derivation</w:t>
        </w:r>
        <w:r>
          <w:rPr>
            <w:webHidden/>
          </w:rPr>
          <w:tab/>
        </w:r>
        <w:r>
          <w:rPr>
            <w:webHidden/>
          </w:rPr>
          <w:fldChar w:fldCharType="begin"/>
        </w:r>
        <w:r>
          <w:rPr>
            <w:webHidden/>
          </w:rPr>
          <w:instrText xml:space="preserve"> PAGEREF _Toc199424867 \h </w:instrText>
        </w:r>
        <w:r>
          <w:rPr>
            <w:webHidden/>
          </w:rPr>
        </w:r>
        <w:r>
          <w:rPr>
            <w:webHidden/>
          </w:rPr>
          <w:fldChar w:fldCharType="separate"/>
        </w:r>
        <w:r w:rsidR="00944476">
          <w:rPr>
            <w:webHidden/>
          </w:rPr>
          <w:t>9</w:t>
        </w:r>
        <w:r>
          <w:rPr>
            <w:webHidden/>
          </w:rPr>
          <w:fldChar w:fldCharType="end"/>
        </w:r>
      </w:hyperlink>
    </w:p>
    <w:p w14:paraId="26CD11CD" w14:textId="56CBF3E0" w:rsidR="00C47116" w:rsidRDefault="00C47116">
      <w:pPr>
        <w:pStyle w:val="TOC2"/>
        <w:tabs>
          <w:tab w:val="left" w:pos="1200"/>
        </w:tabs>
        <w:rPr>
          <w:rFonts w:eastAsiaTheme="minorEastAsia"/>
          <w:kern w:val="2"/>
          <w:sz w:val="24"/>
          <w:szCs w:val="24"/>
          <w:lang w:eastAsia="en-GB"/>
          <w14:ligatures w14:val="standardContextual"/>
        </w:rPr>
      </w:pPr>
      <w:hyperlink w:anchor="_Toc199424868" w:history="1">
        <w:r w:rsidRPr="00D25CEC">
          <w:rPr>
            <w:rStyle w:val="Hyperlink"/>
          </w:rPr>
          <w:t>4.1</w:t>
        </w:r>
        <w:r>
          <w:rPr>
            <w:rFonts w:eastAsiaTheme="minorEastAsia"/>
            <w:kern w:val="2"/>
            <w:sz w:val="24"/>
            <w:szCs w:val="24"/>
            <w:lang w:eastAsia="en-GB"/>
            <w14:ligatures w14:val="standardContextual"/>
          </w:rPr>
          <w:tab/>
        </w:r>
        <w:r w:rsidRPr="00D25CEC">
          <w:rPr>
            <w:rStyle w:val="Hyperlink"/>
          </w:rPr>
          <w:t>Toxicity data used in derivation</w:t>
        </w:r>
        <w:r>
          <w:rPr>
            <w:webHidden/>
          </w:rPr>
          <w:tab/>
        </w:r>
        <w:r>
          <w:rPr>
            <w:webHidden/>
          </w:rPr>
          <w:fldChar w:fldCharType="begin"/>
        </w:r>
        <w:r>
          <w:rPr>
            <w:webHidden/>
          </w:rPr>
          <w:instrText xml:space="preserve"> PAGEREF _Toc199424868 \h </w:instrText>
        </w:r>
        <w:r>
          <w:rPr>
            <w:webHidden/>
          </w:rPr>
        </w:r>
        <w:r>
          <w:rPr>
            <w:webHidden/>
          </w:rPr>
          <w:fldChar w:fldCharType="separate"/>
        </w:r>
        <w:r w:rsidR="00944476">
          <w:rPr>
            <w:webHidden/>
          </w:rPr>
          <w:t>9</w:t>
        </w:r>
        <w:r>
          <w:rPr>
            <w:webHidden/>
          </w:rPr>
          <w:fldChar w:fldCharType="end"/>
        </w:r>
      </w:hyperlink>
    </w:p>
    <w:p w14:paraId="24309AC0" w14:textId="67C3B277" w:rsidR="00C47116" w:rsidRDefault="00C47116">
      <w:pPr>
        <w:pStyle w:val="TOC2"/>
        <w:tabs>
          <w:tab w:val="left" w:pos="1200"/>
        </w:tabs>
        <w:rPr>
          <w:rFonts w:eastAsiaTheme="minorEastAsia"/>
          <w:kern w:val="2"/>
          <w:sz w:val="24"/>
          <w:szCs w:val="24"/>
          <w:lang w:eastAsia="en-GB"/>
          <w14:ligatures w14:val="standardContextual"/>
        </w:rPr>
      </w:pPr>
      <w:hyperlink w:anchor="_Toc199424869" w:history="1">
        <w:r w:rsidRPr="00D25CEC">
          <w:rPr>
            <w:rStyle w:val="Hyperlink"/>
          </w:rPr>
          <w:t>4.2</w:t>
        </w:r>
        <w:r>
          <w:rPr>
            <w:rFonts w:eastAsiaTheme="minorEastAsia"/>
            <w:kern w:val="2"/>
            <w:sz w:val="24"/>
            <w:szCs w:val="24"/>
            <w:lang w:eastAsia="en-GB"/>
            <w14:ligatures w14:val="standardContextual"/>
          </w:rPr>
          <w:tab/>
        </w:r>
        <w:r w:rsidRPr="00D25CEC">
          <w:rPr>
            <w:rStyle w:val="Hyperlink"/>
          </w:rPr>
          <w:t>Species sensitivity distribution</w:t>
        </w:r>
        <w:r>
          <w:rPr>
            <w:webHidden/>
          </w:rPr>
          <w:tab/>
        </w:r>
        <w:r>
          <w:rPr>
            <w:webHidden/>
          </w:rPr>
          <w:fldChar w:fldCharType="begin"/>
        </w:r>
        <w:r>
          <w:rPr>
            <w:webHidden/>
          </w:rPr>
          <w:instrText xml:space="preserve"> PAGEREF _Toc199424869 \h </w:instrText>
        </w:r>
        <w:r>
          <w:rPr>
            <w:webHidden/>
          </w:rPr>
        </w:r>
        <w:r>
          <w:rPr>
            <w:webHidden/>
          </w:rPr>
          <w:fldChar w:fldCharType="separate"/>
        </w:r>
        <w:r w:rsidR="00944476">
          <w:rPr>
            <w:webHidden/>
          </w:rPr>
          <w:t>11</w:t>
        </w:r>
        <w:r>
          <w:rPr>
            <w:webHidden/>
          </w:rPr>
          <w:fldChar w:fldCharType="end"/>
        </w:r>
      </w:hyperlink>
    </w:p>
    <w:p w14:paraId="77AD70D8" w14:textId="46C69C1D" w:rsidR="00C47116" w:rsidRDefault="00C47116">
      <w:pPr>
        <w:pStyle w:val="TOC2"/>
        <w:tabs>
          <w:tab w:val="left" w:pos="1200"/>
        </w:tabs>
        <w:rPr>
          <w:rFonts w:eastAsiaTheme="minorEastAsia"/>
          <w:kern w:val="2"/>
          <w:sz w:val="24"/>
          <w:szCs w:val="24"/>
          <w:lang w:eastAsia="en-GB"/>
          <w14:ligatures w14:val="standardContextual"/>
        </w:rPr>
      </w:pPr>
      <w:hyperlink w:anchor="_Toc199424870" w:history="1">
        <w:r w:rsidRPr="00D25CEC">
          <w:rPr>
            <w:rStyle w:val="Hyperlink"/>
          </w:rPr>
          <w:t>4.3</w:t>
        </w:r>
        <w:r>
          <w:rPr>
            <w:rFonts w:eastAsiaTheme="minorEastAsia"/>
            <w:kern w:val="2"/>
            <w:sz w:val="24"/>
            <w:szCs w:val="24"/>
            <w:lang w:eastAsia="en-GB"/>
            <w14:ligatures w14:val="standardContextual"/>
          </w:rPr>
          <w:tab/>
        </w:r>
        <w:r w:rsidRPr="00D25CEC">
          <w:rPr>
            <w:rStyle w:val="Hyperlink"/>
          </w:rPr>
          <w:t>Default guideline values</w:t>
        </w:r>
        <w:r>
          <w:rPr>
            <w:webHidden/>
          </w:rPr>
          <w:tab/>
        </w:r>
        <w:r>
          <w:rPr>
            <w:webHidden/>
          </w:rPr>
          <w:fldChar w:fldCharType="begin"/>
        </w:r>
        <w:r>
          <w:rPr>
            <w:webHidden/>
          </w:rPr>
          <w:instrText xml:space="preserve"> PAGEREF _Toc199424870 \h </w:instrText>
        </w:r>
        <w:r>
          <w:rPr>
            <w:webHidden/>
          </w:rPr>
        </w:r>
        <w:r>
          <w:rPr>
            <w:webHidden/>
          </w:rPr>
          <w:fldChar w:fldCharType="separate"/>
        </w:r>
        <w:r w:rsidR="00944476">
          <w:rPr>
            <w:webHidden/>
          </w:rPr>
          <w:t>12</w:t>
        </w:r>
        <w:r>
          <w:rPr>
            <w:webHidden/>
          </w:rPr>
          <w:fldChar w:fldCharType="end"/>
        </w:r>
      </w:hyperlink>
    </w:p>
    <w:p w14:paraId="53CEF80B" w14:textId="13D78694" w:rsidR="00C47116" w:rsidRDefault="00C47116">
      <w:pPr>
        <w:pStyle w:val="TOC2"/>
        <w:tabs>
          <w:tab w:val="left" w:pos="1200"/>
        </w:tabs>
        <w:rPr>
          <w:rFonts w:eastAsiaTheme="minorEastAsia"/>
          <w:kern w:val="2"/>
          <w:sz w:val="24"/>
          <w:szCs w:val="24"/>
          <w:lang w:eastAsia="en-GB"/>
          <w14:ligatures w14:val="standardContextual"/>
        </w:rPr>
      </w:pPr>
      <w:hyperlink w:anchor="_Toc199424871" w:history="1">
        <w:r w:rsidRPr="00D25CEC">
          <w:rPr>
            <w:rStyle w:val="Hyperlink"/>
          </w:rPr>
          <w:t>4.4</w:t>
        </w:r>
        <w:r>
          <w:rPr>
            <w:rFonts w:eastAsiaTheme="minorEastAsia"/>
            <w:kern w:val="2"/>
            <w:sz w:val="24"/>
            <w:szCs w:val="24"/>
            <w:lang w:eastAsia="en-GB"/>
            <w14:ligatures w14:val="standardContextual"/>
          </w:rPr>
          <w:tab/>
        </w:r>
        <w:r w:rsidRPr="00D25CEC">
          <w:rPr>
            <w:rStyle w:val="Hyperlink"/>
          </w:rPr>
          <w:t>Reliability classification</w:t>
        </w:r>
        <w:r>
          <w:rPr>
            <w:webHidden/>
          </w:rPr>
          <w:tab/>
        </w:r>
        <w:r>
          <w:rPr>
            <w:webHidden/>
          </w:rPr>
          <w:fldChar w:fldCharType="begin"/>
        </w:r>
        <w:r>
          <w:rPr>
            <w:webHidden/>
          </w:rPr>
          <w:instrText xml:space="preserve"> PAGEREF _Toc199424871 \h </w:instrText>
        </w:r>
        <w:r>
          <w:rPr>
            <w:webHidden/>
          </w:rPr>
        </w:r>
        <w:r>
          <w:rPr>
            <w:webHidden/>
          </w:rPr>
          <w:fldChar w:fldCharType="separate"/>
        </w:r>
        <w:r w:rsidR="00944476">
          <w:rPr>
            <w:webHidden/>
          </w:rPr>
          <w:t>14</w:t>
        </w:r>
        <w:r>
          <w:rPr>
            <w:webHidden/>
          </w:rPr>
          <w:fldChar w:fldCharType="end"/>
        </w:r>
      </w:hyperlink>
    </w:p>
    <w:p w14:paraId="460E954A" w14:textId="502E709E" w:rsidR="00C47116" w:rsidRDefault="00C47116">
      <w:pPr>
        <w:pStyle w:val="TOC1"/>
        <w:rPr>
          <w:rFonts w:eastAsiaTheme="minorEastAsia"/>
          <w:b w:val="0"/>
          <w:kern w:val="2"/>
          <w:sz w:val="24"/>
          <w:szCs w:val="24"/>
          <w:lang w:eastAsia="en-GB"/>
          <w14:ligatures w14:val="standardContextual"/>
        </w:rPr>
      </w:pPr>
      <w:hyperlink w:anchor="_Toc199424872" w:history="1">
        <w:r w:rsidRPr="00D25CEC">
          <w:rPr>
            <w:rStyle w:val="Hyperlink"/>
          </w:rPr>
          <w:t>Glossary and acronyms</w:t>
        </w:r>
        <w:r>
          <w:rPr>
            <w:webHidden/>
          </w:rPr>
          <w:tab/>
        </w:r>
        <w:r>
          <w:rPr>
            <w:webHidden/>
          </w:rPr>
          <w:fldChar w:fldCharType="begin"/>
        </w:r>
        <w:r>
          <w:rPr>
            <w:webHidden/>
          </w:rPr>
          <w:instrText xml:space="preserve"> PAGEREF _Toc199424872 \h </w:instrText>
        </w:r>
        <w:r>
          <w:rPr>
            <w:webHidden/>
          </w:rPr>
        </w:r>
        <w:r>
          <w:rPr>
            <w:webHidden/>
          </w:rPr>
          <w:fldChar w:fldCharType="separate"/>
        </w:r>
        <w:r w:rsidR="00944476">
          <w:rPr>
            <w:webHidden/>
          </w:rPr>
          <w:t>15</w:t>
        </w:r>
        <w:r>
          <w:rPr>
            <w:webHidden/>
          </w:rPr>
          <w:fldChar w:fldCharType="end"/>
        </w:r>
      </w:hyperlink>
    </w:p>
    <w:p w14:paraId="388202D0" w14:textId="31850595" w:rsidR="00C47116" w:rsidRDefault="00C47116">
      <w:pPr>
        <w:pStyle w:val="TOC1"/>
        <w:rPr>
          <w:rFonts w:eastAsiaTheme="minorEastAsia"/>
          <w:b w:val="0"/>
          <w:kern w:val="2"/>
          <w:sz w:val="24"/>
          <w:szCs w:val="24"/>
          <w:lang w:eastAsia="en-GB"/>
          <w14:ligatures w14:val="standardContextual"/>
        </w:rPr>
      </w:pPr>
      <w:hyperlink w:anchor="_Toc199424873" w:history="1">
        <w:r w:rsidRPr="00D25CEC">
          <w:rPr>
            <w:rStyle w:val="Hyperlink"/>
          </w:rPr>
          <w:t>Appendix A: summary of protection levels for iron in freshwater</w:t>
        </w:r>
        <w:r>
          <w:rPr>
            <w:webHidden/>
          </w:rPr>
          <w:tab/>
        </w:r>
        <w:r>
          <w:rPr>
            <w:webHidden/>
          </w:rPr>
          <w:fldChar w:fldCharType="begin"/>
        </w:r>
        <w:r>
          <w:rPr>
            <w:webHidden/>
          </w:rPr>
          <w:instrText xml:space="preserve"> PAGEREF _Toc199424873 \h </w:instrText>
        </w:r>
        <w:r>
          <w:rPr>
            <w:webHidden/>
          </w:rPr>
        </w:r>
        <w:r>
          <w:rPr>
            <w:webHidden/>
          </w:rPr>
          <w:fldChar w:fldCharType="separate"/>
        </w:r>
        <w:r w:rsidR="00944476">
          <w:rPr>
            <w:webHidden/>
          </w:rPr>
          <w:t>17</w:t>
        </w:r>
        <w:r>
          <w:rPr>
            <w:webHidden/>
          </w:rPr>
          <w:fldChar w:fldCharType="end"/>
        </w:r>
      </w:hyperlink>
    </w:p>
    <w:p w14:paraId="6EB2B19D" w14:textId="7EBB396E" w:rsidR="00C47116" w:rsidRDefault="00C47116">
      <w:pPr>
        <w:pStyle w:val="TOC1"/>
        <w:rPr>
          <w:rFonts w:eastAsiaTheme="minorEastAsia"/>
          <w:b w:val="0"/>
          <w:kern w:val="2"/>
          <w:sz w:val="24"/>
          <w:szCs w:val="24"/>
          <w:lang w:eastAsia="en-GB"/>
          <w14:ligatures w14:val="standardContextual"/>
        </w:rPr>
      </w:pPr>
      <w:hyperlink w:anchor="_Toc199424874" w:history="1">
        <w:r w:rsidRPr="00D25CEC">
          <w:rPr>
            <w:rStyle w:val="Hyperlink"/>
          </w:rPr>
          <w:t>Appendix B: water-quality assessment for sparingly soluble metals</w:t>
        </w:r>
        <w:r>
          <w:rPr>
            <w:webHidden/>
          </w:rPr>
          <w:tab/>
        </w:r>
        <w:r>
          <w:rPr>
            <w:webHidden/>
          </w:rPr>
          <w:fldChar w:fldCharType="begin"/>
        </w:r>
        <w:r>
          <w:rPr>
            <w:webHidden/>
          </w:rPr>
          <w:instrText xml:space="preserve"> PAGEREF _Toc199424874 \h </w:instrText>
        </w:r>
        <w:r>
          <w:rPr>
            <w:webHidden/>
          </w:rPr>
        </w:r>
        <w:r>
          <w:rPr>
            <w:webHidden/>
          </w:rPr>
          <w:fldChar w:fldCharType="separate"/>
        </w:r>
        <w:r w:rsidR="00944476">
          <w:rPr>
            <w:webHidden/>
          </w:rPr>
          <w:t>19</w:t>
        </w:r>
        <w:r>
          <w:rPr>
            <w:webHidden/>
          </w:rPr>
          <w:fldChar w:fldCharType="end"/>
        </w:r>
      </w:hyperlink>
    </w:p>
    <w:p w14:paraId="5854BBE2" w14:textId="143DA17E" w:rsidR="00C47116" w:rsidRDefault="00C47116">
      <w:pPr>
        <w:pStyle w:val="TOC1"/>
        <w:rPr>
          <w:rFonts w:eastAsiaTheme="minorEastAsia"/>
          <w:b w:val="0"/>
          <w:kern w:val="2"/>
          <w:sz w:val="24"/>
          <w:szCs w:val="24"/>
          <w:lang w:eastAsia="en-GB"/>
          <w14:ligatures w14:val="standardContextual"/>
        </w:rPr>
      </w:pPr>
      <w:hyperlink w:anchor="_Toc199424875" w:history="1">
        <w:r w:rsidRPr="00D25CEC">
          <w:rPr>
            <w:rStyle w:val="Hyperlink"/>
          </w:rPr>
          <w:t>Appendix C: toxicity data that passed the screening and quality assessment and were used to derive or validate the default guideline values</w:t>
        </w:r>
        <w:r>
          <w:rPr>
            <w:webHidden/>
          </w:rPr>
          <w:tab/>
        </w:r>
        <w:r>
          <w:rPr>
            <w:webHidden/>
          </w:rPr>
          <w:fldChar w:fldCharType="begin"/>
        </w:r>
        <w:r>
          <w:rPr>
            <w:webHidden/>
          </w:rPr>
          <w:instrText xml:space="preserve"> PAGEREF _Toc199424875 \h </w:instrText>
        </w:r>
        <w:r>
          <w:rPr>
            <w:webHidden/>
          </w:rPr>
        </w:r>
        <w:r>
          <w:rPr>
            <w:webHidden/>
          </w:rPr>
          <w:fldChar w:fldCharType="separate"/>
        </w:r>
        <w:r w:rsidR="00944476">
          <w:rPr>
            <w:webHidden/>
          </w:rPr>
          <w:t>21</w:t>
        </w:r>
        <w:r>
          <w:rPr>
            <w:webHidden/>
          </w:rPr>
          <w:fldChar w:fldCharType="end"/>
        </w:r>
      </w:hyperlink>
    </w:p>
    <w:p w14:paraId="52AD7982" w14:textId="27C30060" w:rsidR="003E3EFB" w:rsidRPr="004D3030" w:rsidRDefault="00C47116" w:rsidP="00E61572">
      <w:pPr>
        <w:pStyle w:val="TOC1"/>
      </w:pPr>
      <w:hyperlink w:anchor="_Toc199424876" w:history="1">
        <w:r w:rsidRPr="00D25CEC">
          <w:rPr>
            <w:rStyle w:val="Hyperlink"/>
          </w:rPr>
          <w:t>References</w:t>
        </w:r>
        <w:r>
          <w:rPr>
            <w:webHidden/>
          </w:rPr>
          <w:tab/>
        </w:r>
        <w:r>
          <w:rPr>
            <w:webHidden/>
          </w:rPr>
          <w:fldChar w:fldCharType="begin"/>
        </w:r>
        <w:r>
          <w:rPr>
            <w:webHidden/>
          </w:rPr>
          <w:instrText xml:space="preserve"> PAGEREF _Toc199424876 \h </w:instrText>
        </w:r>
        <w:r>
          <w:rPr>
            <w:webHidden/>
          </w:rPr>
        </w:r>
        <w:r>
          <w:rPr>
            <w:webHidden/>
          </w:rPr>
          <w:fldChar w:fldCharType="separate"/>
        </w:r>
        <w:r w:rsidR="00944476">
          <w:rPr>
            <w:webHidden/>
          </w:rPr>
          <w:t>28</w:t>
        </w:r>
        <w:r>
          <w:rPr>
            <w:webHidden/>
          </w:rPr>
          <w:fldChar w:fldCharType="end"/>
        </w:r>
      </w:hyperlink>
      <w:r w:rsidR="00174573">
        <w:rPr>
          <w:lang w:val="en-US"/>
        </w:rPr>
        <w:fldChar w:fldCharType="end"/>
      </w:r>
    </w:p>
    <w:p w14:paraId="11B0DAB9" w14:textId="0DC9E24E" w:rsidR="001C0D1C" w:rsidRDefault="00E55B1C" w:rsidP="004B6FCA">
      <w:pPr>
        <w:pStyle w:val="TOCHeading2"/>
      </w:pPr>
      <w:bookmarkStart w:id="3" w:name="_Toc197783768"/>
      <w:r>
        <w:t>Figures</w:t>
      </w:r>
      <w:bookmarkEnd w:id="3"/>
    </w:p>
    <w:p w14:paraId="1338E2F1" w14:textId="214FCCE4" w:rsidR="005B5A9C" w:rsidRPr="004D3030" w:rsidRDefault="005B5A9C" w:rsidP="00E61572">
      <w:pPr>
        <w:pStyle w:val="TableofFigures"/>
        <w:tabs>
          <w:tab w:val="right" w:leader="dot" w:pos="9060"/>
        </w:tabs>
      </w:pPr>
      <w:r>
        <w:rPr>
          <w:lang w:val="en-US"/>
        </w:rPr>
        <w:fldChar w:fldCharType="begin"/>
      </w:r>
      <w:r>
        <w:rPr>
          <w:lang w:val="en-US"/>
        </w:rPr>
        <w:instrText xml:space="preserve"> TOC \h \z \c "Figure" </w:instrText>
      </w:r>
      <w:r>
        <w:rPr>
          <w:lang w:val="en-US"/>
        </w:rPr>
        <w:fldChar w:fldCharType="separate"/>
      </w:r>
      <w:hyperlink w:anchor="_Toc199424877" w:history="1">
        <w:r w:rsidR="00C47116" w:rsidRPr="0019173A">
          <w:rPr>
            <w:rStyle w:val="Hyperlink"/>
            <w:noProof/>
          </w:rPr>
          <w:t>Figure 1. Species sensitivity distribution for iron in freshwater</w:t>
        </w:r>
        <w:r w:rsidR="00C47116">
          <w:rPr>
            <w:noProof/>
            <w:webHidden/>
          </w:rPr>
          <w:tab/>
        </w:r>
        <w:r w:rsidR="00C47116">
          <w:rPr>
            <w:noProof/>
            <w:webHidden/>
          </w:rPr>
          <w:fldChar w:fldCharType="begin"/>
        </w:r>
        <w:r w:rsidR="00C47116">
          <w:rPr>
            <w:noProof/>
            <w:webHidden/>
          </w:rPr>
          <w:instrText xml:space="preserve"> PAGEREF _Toc199424877 \h </w:instrText>
        </w:r>
        <w:r w:rsidR="00C47116">
          <w:rPr>
            <w:noProof/>
            <w:webHidden/>
          </w:rPr>
        </w:r>
        <w:r w:rsidR="00C47116">
          <w:rPr>
            <w:noProof/>
            <w:webHidden/>
          </w:rPr>
          <w:fldChar w:fldCharType="separate"/>
        </w:r>
        <w:r w:rsidR="00944476">
          <w:rPr>
            <w:noProof/>
            <w:webHidden/>
          </w:rPr>
          <w:t>12</w:t>
        </w:r>
        <w:r w:rsidR="00C47116">
          <w:rPr>
            <w:noProof/>
            <w:webHidden/>
          </w:rPr>
          <w:fldChar w:fldCharType="end"/>
        </w:r>
      </w:hyperlink>
      <w:r>
        <w:rPr>
          <w:lang w:val="en-US"/>
        </w:rPr>
        <w:fldChar w:fldCharType="end"/>
      </w:r>
    </w:p>
    <w:p w14:paraId="17A22399" w14:textId="35AD4B62" w:rsidR="001C0D1C" w:rsidRDefault="00E55B1C" w:rsidP="00AC4F3A">
      <w:pPr>
        <w:pStyle w:val="TOCHeading2"/>
      </w:pPr>
      <w:bookmarkStart w:id="4" w:name="_Toc197783769"/>
      <w:r w:rsidRPr="00800506">
        <w:t>Tables</w:t>
      </w:r>
      <w:bookmarkEnd w:id="4"/>
    </w:p>
    <w:p w14:paraId="7C2F49E3" w14:textId="382AB36B" w:rsidR="00C47116" w:rsidRDefault="005B5A9C">
      <w:pPr>
        <w:pStyle w:val="TableofFigures"/>
        <w:tabs>
          <w:tab w:val="right" w:leader="dot" w:pos="9060"/>
        </w:tabs>
        <w:rPr>
          <w:rFonts w:eastAsiaTheme="minorEastAsia"/>
          <w:noProof/>
          <w:kern w:val="2"/>
          <w:sz w:val="24"/>
          <w:szCs w:val="24"/>
          <w:lang w:eastAsia="en-GB"/>
          <w14:ligatures w14:val="standardContextual"/>
        </w:rPr>
      </w:pPr>
      <w:r>
        <w:rPr>
          <w:lang w:val="en-US"/>
        </w:rPr>
        <w:fldChar w:fldCharType="begin"/>
      </w:r>
      <w:r>
        <w:rPr>
          <w:lang w:val="en-US"/>
        </w:rPr>
        <w:instrText xml:space="preserve"> TOC \h \z \c "Table" </w:instrText>
      </w:r>
      <w:r>
        <w:rPr>
          <w:lang w:val="en-US"/>
        </w:rPr>
        <w:fldChar w:fldCharType="separate"/>
      </w:r>
      <w:hyperlink w:anchor="_Toc199424878" w:history="1">
        <w:r w:rsidR="00C47116" w:rsidRPr="004C08EC">
          <w:rPr>
            <w:rStyle w:val="Hyperlink"/>
            <w:noProof/>
          </w:rPr>
          <w:t>Table 1. Summary of single chronic toxicity values for all species used in the derivation of default guideline values for iron in freshwater</w:t>
        </w:r>
        <w:r w:rsidR="00C47116">
          <w:rPr>
            <w:noProof/>
            <w:webHidden/>
          </w:rPr>
          <w:tab/>
        </w:r>
        <w:r w:rsidR="00C47116">
          <w:rPr>
            <w:noProof/>
            <w:webHidden/>
          </w:rPr>
          <w:fldChar w:fldCharType="begin"/>
        </w:r>
        <w:r w:rsidR="00C47116">
          <w:rPr>
            <w:noProof/>
            <w:webHidden/>
          </w:rPr>
          <w:instrText xml:space="preserve"> PAGEREF _Toc199424878 \h </w:instrText>
        </w:r>
        <w:r w:rsidR="00C47116">
          <w:rPr>
            <w:noProof/>
            <w:webHidden/>
          </w:rPr>
        </w:r>
        <w:r w:rsidR="00C47116">
          <w:rPr>
            <w:noProof/>
            <w:webHidden/>
          </w:rPr>
          <w:fldChar w:fldCharType="separate"/>
        </w:r>
        <w:r w:rsidR="00944476">
          <w:rPr>
            <w:noProof/>
            <w:webHidden/>
          </w:rPr>
          <w:t>9</w:t>
        </w:r>
        <w:r w:rsidR="00C47116">
          <w:rPr>
            <w:noProof/>
            <w:webHidden/>
          </w:rPr>
          <w:fldChar w:fldCharType="end"/>
        </w:r>
      </w:hyperlink>
    </w:p>
    <w:p w14:paraId="2A317CC8" w14:textId="6A670238" w:rsidR="005B5A9C" w:rsidRPr="004D3030" w:rsidRDefault="00C47116" w:rsidP="00E61572">
      <w:pPr>
        <w:pStyle w:val="TableofFigures"/>
        <w:tabs>
          <w:tab w:val="right" w:leader="dot" w:pos="9060"/>
        </w:tabs>
      </w:pPr>
      <w:hyperlink w:anchor="_Toc199424879" w:history="1">
        <w:r w:rsidRPr="004C08EC">
          <w:rPr>
            <w:rStyle w:val="Hyperlink"/>
            <w:noProof/>
          </w:rPr>
          <w:t>Table 2. Toxicant default guideline values for iron in freshwater with very high reliability</w:t>
        </w:r>
        <w:r>
          <w:rPr>
            <w:noProof/>
            <w:webHidden/>
          </w:rPr>
          <w:tab/>
        </w:r>
        <w:r>
          <w:rPr>
            <w:noProof/>
            <w:webHidden/>
          </w:rPr>
          <w:fldChar w:fldCharType="begin"/>
        </w:r>
        <w:r>
          <w:rPr>
            <w:noProof/>
            <w:webHidden/>
          </w:rPr>
          <w:instrText xml:space="preserve"> PAGEREF _Toc199424879 \h </w:instrText>
        </w:r>
        <w:r>
          <w:rPr>
            <w:noProof/>
            <w:webHidden/>
          </w:rPr>
        </w:r>
        <w:r>
          <w:rPr>
            <w:noProof/>
            <w:webHidden/>
          </w:rPr>
          <w:fldChar w:fldCharType="separate"/>
        </w:r>
        <w:r w:rsidR="00944476">
          <w:rPr>
            <w:noProof/>
            <w:webHidden/>
          </w:rPr>
          <w:t>13</w:t>
        </w:r>
        <w:r>
          <w:rPr>
            <w:noProof/>
            <w:webHidden/>
          </w:rPr>
          <w:fldChar w:fldCharType="end"/>
        </w:r>
      </w:hyperlink>
      <w:r w:rsidR="005B5A9C">
        <w:rPr>
          <w:lang w:val="en-US"/>
        </w:rPr>
        <w:fldChar w:fldCharType="end"/>
      </w:r>
    </w:p>
    <w:p w14:paraId="0D6E1C80" w14:textId="49EBE5F9" w:rsidR="00401C43" w:rsidRPr="008B0BC5" w:rsidRDefault="00401C43" w:rsidP="00401C43">
      <w:pPr>
        <w:pStyle w:val="TOCHeading2"/>
        <w:rPr>
          <w:szCs w:val="24"/>
        </w:rPr>
      </w:pPr>
      <w:bookmarkStart w:id="5" w:name="_Toc197783770"/>
      <w:r w:rsidRPr="008B0BC5">
        <w:rPr>
          <w:szCs w:val="24"/>
        </w:rPr>
        <w:t>Appendix tables</w:t>
      </w:r>
      <w:bookmarkEnd w:id="5"/>
    </w:p>
    <w:p w14:paraId="423FEEC7" w14:textId="31BD3488" w:rsidR="00C47116" w:rsidRPr="00C47116" w:rsidRDefault="00EE3DA2">
      <w:pPr>
        <w:pStyle w:val="TOC1"/>
        <w:rPr>
          <w:rFonts w:eastAsiaTheme="minorEastAsia"/>
          <w:b w:val="0"/>
          <w:bCs/>
          <w:kern w:val="2"/>
          <w:sz w:val="24"/>
          <w:szCs w:val="24"/>
          <w:lang w:eastAsia="en-GB"/>
          <w14:ligatures w14:val="standardContextual"/>
        </w:rPr>
      </w:pPr>
      <w:r w:rsidRPr="00C47116">
        <w:rPr>
          <w:b w:val="0"/>
          <w:bCs/>
        </w:rPr>
        <w:fldChar w:fldCharType="begin"/>
      </w:r>
      <w:r w:rsidRPr="00C47116">
        <w:rPr>
          <w:b w:val="0"/>
          <w:bCs/>
        </w:rPr>
        <w:instrText xml:space="preserve"> TOC \h \z \t "Appendix Table caption,1" </w:instrText>
      </w:r>
      <w:r w:rsidRPr="00C47116">
        <w:rPr>
          <w:b w:val="0"/>
          <w:bCs/>
        </w:rPr>
        <w:fldChar w:fldCharType="separate"/>
      </w:r>
      <w:hyperlink w:anchor="_Toc199424880" w:history="1">
        <w:r w:rsidR="00C47116" w:rsidRPr="00C47116">
          <w:rPr>
            <w:rStyle w:val="Hyperlink"/>
            <w:b w:val="0"/>
            <w:bCs/>
          </w:rPr>
          <w:t>Table A1. Summary of published protection levels derived to protect freshwater biota from iron</w:t>
        </w:r>
        <w:r w:rsidR="00C47116" w:rsidRPr="00C47116">
          <w:rPr>
            <w:b w:val="0"/>
            <w:bCs/>
            <w:webHidden/>
          </w:rPr>
          <w:tab/>
        </w:r>
        <w:r w:rsidR="00C47116" w:rsidRPr="00C47116">
          <w:rPr>
            <w:b w:val="0"/>
            <w:bCs/>
            <w:webHidden/>
          </w:rPr>
          <w:fldChar w:fldCharType="begin"/>
        </w:r>
        <w:r w:rsidR="00C47116" w:rsidRPr="00C47116">
          <w:rPr>
            <w:b w:val="0"/>
            <w:bCs/>
            <w:webHidden/>
          </w:rPr>
          <w:instrText xml:space="preserve"> PAGEREF _Toc199424880 \h </w:instrText>
        </w:r>
        <w:r w:rsidR="00C47116" w:rsidRPr="00C47116">
          <w:rPr>
            <w:b w:val="0"/>
            <w:bCs/>
            <w:webHidden/>
          </w:rPr>
        </w:r>
        <w:r w:rsidR="00C47116" w:rsidRPr="00C47116">
          <w:rPr>
            <w:b w:val="0"/>
            <w:bCs/>
            <w:webHidden/>
          </w:rPr>
          <w:fldChar w:fldCharType="separate"/>
        </w:r>
        <w:r w:rsidR="00944476">
          <w:rPr>
            <w:b w:val="0"/>
            <w:bCs/>
            <w:webHidden/>
          </w:rPr>
          <w:t>17</w:t>
        </w:r>
        <w:r w:rsidR="00C47116" w:rsidRPr="00C47116">
          <w:rPr>
            <w:b w:val="0"/>
            <w:bCs/>
            <w:webHidden/>
          </w:rPr>
          <w:fldChar w:fldCharType="end"/>
        </w:r>
      </w:hyperlink>
    </w:p>
    <w:p w14:paraId="29B82CC6" w14:textId="6EA89C60" w:rsidR="00C47116" w:rsidRPr="00C47116" w:rsidRDefault="00C47116">
      <w:pPr>
        <w:pStyle w:val="TOC1"/>
        <w:rPr>
          <w:rFonts w:eastAsiaTheme="minorEastAsia"/>
          <w:b w:val="0"/>
          <w:bCs/>
          <w:kern w:val="2"/>
          <w:sz w:val="24"/>
          <w:szCs w:val="24"/>
          <w:lang w:eastAsia="en-GB"/>
          <w14:ligatures w14:val="standardContextual"/>
        </w:rPr>
      </w:pPr>
      <w:hyperlink w:anchor="_Toc199424881" w:history="1">
        <w:r w:rsidRPr="00C47116">
          <w:rPr>
            <w:rStyle w:val="Hyperlink"/>
            <w:b w:val="0"/>
            <w:bCs/>
          </w:rPr>
          <w:t>Table C1. Summary of the chronic toxicity data that passed the screening and quality assurance processes and were used to derive the iron in freshwater default guideline values</w:t>
        </w:r>
        <w:r w:rsidRPr="00C47116">
          <w:rPr>
            <w:b w:val="0"/>
            <w:bCs/>
            <w:webHidden/>
          </w:rPr>
          <w:tab/>
        </w:r>
        <w:r w:rsidRPr="00C47116">
          <w:rPr>
            <w:b w:val="0"/>
            <w:bCs/>
            <w:webHidden/>
          </w:rPr>
          <w:fldChar w:fldCharType="begin"/>
        </w:r>
        <w:r w:rsidRPr="00C47116">
          <w:rPr>
            <w:b w:val="0"/>
            <w:bCs/>
            <w:webHidden/>
          </w:rPr>
          <w:instrText xml:space="preserve"> PAGEREF _Toc199424881 \h </w:instrText>
        </w:r>
        <w:r w:rsidRPr="00C47116">
          <w:rPr>
            <w:b w:val="0"/>
            <w:bCs/>
            <w:webHidden/>
          </w:rPr>
        </w:r>
        <w:r w:rsidRPr="00C47116">
          <w:rPr>
            <w:b w:val="0"/>
            <w:bCs/>
            <w:webHidden/>
          </w:rPr>
          <w:fldChar w:fldCharType="separate"/>
        </w:r>
        <w:r w:rsidR="00944476">
          <w:rPr>
            <w:b w:val="0"/>
            <w:bCs/>
            <w:webHidden/>
          </w:rPr>
          <w:t>21</w:t>
        </w:r>
        <w:r w:rsidRPr="00C47116">
          <w:rPr>
            <w:b w:val="0"/>
            <w:bCs/>
            <w:webHidden/>
          </w:rPr>
          <w:fldChar w:fldCharType="end"/>
        </w:r>
      </w:hyperlink>
    </w:p>
    <w:p w14:paraId="199A71A9" w14:textId="42974E3A" w:rsidR="00C47116" w:rsidRPr="00C47116" w:rsidRDefault="00C47116">
      <w:pPr>
        <w:pStyle w:val="TOC1"/>
        <w:rPr>
          <w:rFonts w:eastAsiaTheme="minorEastAsia"/>
          <w:b w:val="0"/>
          <w:bCs/>
          <w:kern w:val="2"/>
          <w:sz w:val="24"/>
          <w:szCs w:val="24"/>
          <w:lang w:eastAsia="en-GB"/>
          <w14:ligatures w14:val="standardContextual"/>
        </w:rPr>
      </w:pPr>
      <w:hyperlink w:anchor="_Toc199424882" w:history="1">
        <w:r w:rsidRPr="00C47116">
          <w:rPr>
            <w:rStyle w:val="Hyperlink"/>
            <w:b w:val="0"/>
            <w:bCs/>
          </w:rPr>
          <w:t>Table C2. Summary of mesocosm chronic toxicity data from Cadmus et al. (2018a, 2018b) and Kotalik et al. (2019) that were used to validate the default guideline values for iron in freshwater</w:t>
        </w:r>
        <w:r w:rsidRPr="00C47116">
          <w:rPr>
            <w:b w:val="0"/>
            <w:bCs/>
            <w:webHidden/>
          </w:rPr>
          <w:tab/>
        </w:r>
        <w:r w:rsidRPr="00C47116">
          <w:rPr>
            <w:b w:val="0"/>
            <w:bCs/>
            <w:webHidden/>
          </w:rPr>
          <w:fldChar w:fldCharType="begin"/>
        </w:r>
        <w:r w:rsidRPr="00C47116">
          <w:rPr>
            <w:b w:val="0"/>
            <w:bCs/>
            <w:webHidden/>
          </w:rPr>
          <w:instrText xml:space="preserve"> PAGEREF _Toc199424882 \h </w:instrText>
        </w:r>
        <w:r w:rsidRPr="00C47116">
          <w:rPr>
            <w:b w:val="0"/>
            <w:bCs/>
            <w:webHidden/>
          </w:rPr>
        </w:r>
        <w:r w:rsidRPr="00C47116">
          <w:rPr>
            <w:b w:val="0"/>
            <w:bCs/>
            <w:webHidden/>
          </w:rPr>
          <w:fldChar w:fldCharType="separate"/>
        </w:r>
        <w:r w:rsidR="00944476">
          <w:rPr>
            <w:b w:val="0"/>
            <w:bCs/>
            <w:webHidden/>
          </w:rPr>
          <w:t>25</w:t>
        </w:r>
        <w:r w:rsidRPr="00C47116">
          <w:rPr>
            <w:b w:val="0"/>
            <w:bCs/>
            <w:webHidden/>
          </w:rPr>
          <w:fldChar w:fldCharType="end"/>
        </w:r>
      </w:hyperlink>
    </w:p>
    <w:p w14:paraId="7178B36C" w14:textId="5507300B" w:rsidR="005C3595" w:rsidRPr="00C47116" w:rsidRDefault="00EE3DA2" w:rsidP="000D0519">
      <w:pPr>
        <w:rPr>
          <w:bCs/>
        </w:rPr>
        <w:sectPr w:rsidR="005C3595" w:rsidRPr="00C47116" w:rsidSect="004C0221">
          <w:headerReference w:type="even" r:id="rId26"/>
          <w:headerReference w:type="default" r:id="rId27"/>
          <w:footerReference w:type="even" r:id="rId28"/>
          <w:footerReference w:type="default" r:id="rId29"/>
          <w:headerReference w:type="first" r:id="rId30"/>
          <w:footerReference w:type="first" r:id="rId31"/>
          <w:pgSz w:w="11906" w:h="16838" w:code="9"/>
          <w:pgMar w:top="1418" w:right="1418" w:bottom="1418" w:left="1418" w:header="567" w:footer="284" w:gutter="0"/>
          <w:pgNumType w:fmt="lowerRoman"/>
          <w:cols w:space="708"/>
          <w:docGrid w:linePitch="360"/>
        </w:sectPr>
      </w:pPr>
      <w:r w:rsidRPr="00C47116">
        <w:rPr>
          <w:bCs/>
        </w:rPr>
        <w:fldChar w:fldCharType="end"/>
      </w:r>
      <w:bookmarkStart w:id="6" w:name="_Toc20407782"/>
      <w:bookmarkStart w:id="7" w:name="_Toc20408688"/>
      <w:bookmarkStart w:id="8" w:name="_Toc20408740"/>
      <w:bookmarkStart w:id="9" w:name="_Toc20408926"/>
      <w:bookmarkStart w:id="10" w:name="_Toc20409368"/>
      <w:bookmarkStart w:id="11" w:name="_Toc20409538"/>
      <w:bookmarkStart w:id="12" w:name="_Toc174626180"/>
    </w:p>
    <w:p w14:paraId="5463ADEF" w14:textId="792D0ACD" w:rsidR="001C0D1C" w:rsidRPr="00541C23" w:rsidRDefault="00E55B1C" w:rsidP="005C3595">
      <w:pPr>
        <w:pStyle w:val="Heading2"/>
        <w:numPr>
          <w:ilvl w:val="0"/>
          <w:numId w:val="0"/>
        </w:numPr>
      </w:pPr>
      <w:bookmarkStart w:id="13" w:name="_Toc197088509"/>
      <w:bookmarkStart w:id="14" w:name="_Toc197783771"/>
      <w:bookmarkStart w:id="15" w:name="_Toc199424860"/>
      <w:r w:rsidRPr="00541C23">
        <w:lastRenderedPageBreak/>
        <w:t>Summary</w:t>
      </w:r>
      <w:bookmarkEnd w:id="6"/>
      <w:bookmarkEnd w:id="7"/>
      <w:bookmarkEnd w:id="8"/>
      <w:bookmarkEnd w:id="9"/>
      <w:bookmarkEnd w:id="10"/>
      <w:bookmarkEnd w:id="11"/>
      <w:bookmarkEnd w:id="12"/>
      <w:bookmarkEnd w:id="13"/>
      <w:bookmarkEnd w:id="14"/>
      <w:bookmarkEnd w:id="15"/>
    </w:p>
    <w:p w14:paraId="06CD922F" w14:textId="6418F9EA" w:rsidR="00BF0280" w:rsidRPr="001D7428" w:rsidRDefault="0033651B" w:rsidP="007336AC">
      <w:r w:rsidRPr="00BF6347">
        <w:t xml:space="preserve">The default guideline values (DGVs) and associated information in this technical brief should be used in accordance with the detailed guidance provided in the </w:t>
      </w:r>
      <w:hyperlink r:id="rId32" w:history="1">
        <w:r w:rsidRPr="00994727">
          <w:rPr>
            <w:rStyle w:val="Hyperlink"/>
            <w:i/>
            <w:iCs/>
          </w:rPr>
          <w:t>Australian and New Zealand Guidelines for Fresh and Marine Water Quality</w:t>
        </w:r>
      </w:hyperlink>
      <w:r w:rsidRPr="00BF6347">
        <w:t xml:space="preserve"> website</w:t>
      </w:r>
      <w:r>
        <w:t xml:space="preserve"> (ANZG 2018)</w:t>
      </w:r>
      <w:r w:rsidRPr="00BF6347">
        <w:t>.</w:t>
      </w:r>
    </w:p>
    <w:p w14:paraId="176DBF7D" w14:textId="659D62CD" w:rsidR="00BF0280" w:rsidRDefault="00BF0280" w:rsidP="007336AC">
      <w:r>
        <w:t>Iron</w:t>
      </w:r>
      <w:r w:rsidR="00F32769">
        <w:t xml:space="preserve">, </w:t>
      </w:r>
      <w:r w:rsidR="00541D00">
        <w:t>in the form of</w:t>
      </w:r>
      <w:r>
        <w:t xml:space="preserve"> iron(II) </w:t>
      </w:r>
      <w:r w:rsidR="00CC2838">
        <w:t>(</w:t>
      </w:r>
      <w:r>
        <w:t>Fe</w:t>
      </w:r>
      <w:r w:rsidRPr="00B2380D">
        <w:rPr>
          <w:vertAlign w:val="superscript"/>
        </w:rPr>
        <w:t>2+</w:t>
      </w:r>
      <w:r>
        <w:t>) and iron(III) (Fe</w:t>
      </w:r>
      <w:r w:rsidRPr="00B2380D">
        <w:rPr>
          <w:vertAlign w:val="superscript"/>
        </w:rPr>
        <w:t>3+</w:t>
      </w:r>
      <w:r>
        <w:t>)</w:t>
      </w:r>
      <w:r w:rsidR="00CC2838">
        <w:t>,</w:t>
      </w:r>
      <w:r>
        <w:t xml:space="preserve"> is an essential element for aquatic biota but has low solubility at the pH of natural waters. Iron(II) is considered to be more bioavailable than iron(III) because it is more soluble. Iron(III) is the dominant form of iron in oxygenated waters</w:t>
      </w:r>
      <w:r w:rsidR="00A244F7">
        <w:t>,</w:t>
      </w:r>
      <w:r>
        <w:t xml:space="preserve"> wh</w:t>
      </w:r>
      <w:r w:rsidR="00A244F7">
        <w:t>ile</w:t>
      </w:r>
      <w:r>
        <w:t xml:space="preserve"> iron(II) dominates iron speciation in anoxic waters. Dissolved iron, typically defined by filtration (&lt;</w:t>
      </w:r>
      <w:r w:rsidR="002C7682">
        <w:t> </w:t>
      </w:r>
      <w:r>
        <w:t>0.45 µm), includes colloidal iron forms.</w:t>
      </w:r>
    </w:p>
    <w:p w14:paraId="6857CA8A" w14:textId="091DA0AE" w:rsidR="00BF0280" w:rsidRDefault="00A97191" w:rsidP="007336AC">
      <w:r>
        <w:t xml:space="preserve">Although biologically essential, iron can be toxic at </w:t>
      </w:r>
      <w:r w:rsidR="005B44D1">
        <w:t>elevated</w:t>
      </w:r>
      <w:r>
        <w:t xml:space="preserve"> concentrations</w:t>
      </w:r>
      <w:r w:rsidR="003D6A27">
        <w:t>. T</w:t>
      </w:r>
      <w:r w:rsidR="00BF0280">
        <w:t xml:space="preserve">oxicity </w:t>
      </w:r>
      <w:r w:rsidR="003D6A27">
        <w:t xml:space="preserve">is </w:t>
      </w:r>
      <w:r>
        <w:t xml:space="preserve">largely </w:t>
      </w:r>
      <w:r w:rsidR="00BF0280">
        <w:t>associated with iron(II) and iron(III) in dissolved</w:t>
      </w:r>
      <w:r>
        <w:t xml:space="preserve">, </w:t>
      </w:r>
      <w:r w:rsidR="00BF0280">
        <w:t>colloidal and precipitated forms</w:t>
      </w:r>
      <w:r>
        <w:t xml:space="preserve"> (operationally defined by size fractionation)</w:t>
      </w:r>
      <w:r w:rsidR="00BF0280">
        <w:t xml:space="preserve">. </w:t>
      </w:r>
      <w:r>
        <w:t>The mechanisms of toxicity of iron are unclear but</w:t>
      </w:r>
      <w:r w:rsidR="00BF0280">
        <w:t xml:space="preserve"> may occur via direct chemical or physical mechanisms involving oxidative damage to DNA and cell membranes, or </w:t>
      </w:r>
      <w:r w:rsidR="00811A0A">
        <w:t xml:space="preserve">through the </w:t>
      </w:r>
      <w:r w:rsidR="00BF0280">
        <w:t>coating of respiratory structures</w:t>
      </w:r>
      <w:r w:rsidR="008A1CAE">
        <w:t>,</w:t>
      </w:r>
      <w:r w:rsidR="00BF0280">
        <w:t xml:space="preserve"> thereby reducing oxygen diffusion. </w:t>
      </w:r>
      <w:r w:rsidR="00A043EC">
        <w:t xml:space="preserve">Adverse effects of iron </w:t>
      </w:r>
      <w:r w:rsidR="00BF0280">
        <w:t>may also b</w:t>
      </w:r>
      <w:r w:rsidR="007978DE">
        <w:t>e</w:t>
      </w:r>
      <w:r w:rsidR="00BF0280">
        <w:t xml:space="preserve"> indirect</w:t>
      </w:r>
      <w:r w:rsidR="007978DE">
        <w:t>,</w:t>
      </w:r>
      <w:r w:rsidR="00BF0280">
        <w:t xml:space="preserve"> such as </w:t>
      </w:r>
      <w:r w:rsidR="007978DE">
        <w:t xml:space="preserve">the </w:t>
      </w:r>
      <w:r w:rsidR="00BF0280">
        <w:t>degradation of habitat and food quality for benthic macroinvertebrates by iron flocs coating benthic surfaces and periphyton communities.</w:t>
      </w:r>
    </w:p>
    <w:p w14:paraId="0B020FD0" w14:textId="5C3D6C9E" w:rsidR="00BF0280" w:rsidRDefault="00725DCB" w:rsidP="007336AC">
      <w:r>
        <w:t xml:space="preserve">Since </w:t>
      </w:r>
      <w:r w:rsidR="001B7626">
        <w:t>ANZECC AND ARMCANZ</w:t>
      </w:r>
      <w:r>
        <w:t xml:space="preserve"> (2000), sufficient data have become available to enable the derivation of DGVs for iron in freshwater. Chronic toxicity appears to </w:t>
      </w:r>
      <w:r w:rsidR="00026804">
        <w:t>occur</w:t>
      </w:r>
      <w:r>
        <w:t xml:space="preserve"> in the </w:t>
      </w:r>
      <w:r w:rsidR="00CA3839">
        <w:t xml:space="preserve">range of </w:t>
      </w:r>
      <w:r>
        <w:t xml:space="preserve">hundreds to thousands of micrograms per litre. </w:t>
      </w:r>
      <w:r w:rsidR="00BF0280">
        <w:t>Water</w:t>
      </w:r>
      <w:r w:rsidR="00DA6B67">
        <w:t>-</w:t>
      </w:r>
      <w:r w:rsidR="00BF0280">
        <w:t>quality parameters that modify iron toxicity are primarily pH and dissolved organic carbon</w:t>
      </w:r>
      <w:r w:rsidR="00E26496">
        <w:t>.</w:t>
      </w:r>
      <w:r w:rsidR="00BF0280">
        <w:t xml:space="preserve"> </w:t>
      </w:r>
      <w:r w:rsidR="008F11CB">
        <w:t xml:space="preserve">The influence of </w:t>
      </w:r>
      <w:r w:rsidR="002A3D94">
        <w:t>h</w:t>
      </w:r>
      <w:r w:rsidR="00BF0280">
        <w:t xml:space="preserve">ardness </w:t>
      </w:r>
      <w:r w:rsidR="002A3D94">
        <w:t xml:space="preserve">on iron toxicity </w:t>
      </w:r>
      <w:r w:rsidR="003E761D">
        <w:t xml:space="preserve">is </w:t>
      </w:r>
      <w:r w:rsidR="00746324">
        <w:t>not well understood</w:t>
      </w:r>
      <w:r w:rsidR="00BF0280">
        <w:t xml:space="preserve">. Aged iron(III) hydroxide precipitate </w:t>
      </w:r>
      <w:r w:rsidR="00F973A5">
        <w:t>is</w:t>
      </w:r>
      <w:r w:rsidR="00BF0280">
        <w:t xml:space="preserve"> less toxic to aquatic biota than fresh precipitate</w:t>
      </w:r>
      <w:r w:rsidR="00E26496">
        <w:t>,</w:t>
      </w:r>
      <w:r w:rsidR="00BF0280">
        <w:t xml:space="preserve"> suggesting that transient forms of iron also contribute to toxicity.</w:t>
      </w:r>
    </w:p>
    <w:p w14:paraId="1E5E158B" w14:textId="32A7D4F0" w:rsidR="000A7D2E" w:rsidRDefault="00A97191">
      <w:pPr>
        <w:sectPr w:rsidR="000A7D2E" w:rsidSect="00515B5D">
          <w:pgSz w:w="11906" w:h="16838" w:code="9"/>
          <w:pgMar w:top="1418" w:right="1418" w:bottom="1418" w:left="1418" w:header="567" w:footer="284" w:gutter="0"/>
          <w:pgNumType w:fmt="lowerRoman" w:start="0"/>
          <w:cols w:space="708"/>
          <w:docGrid w:linePitch="360"/>
        </w:sectPr>
      </w:pPr>
      <w:r>
        <w:t>Very high reliability DGVs for iron in freshwater were derived based on</w:t>
      </w:r>
      <w:r w:rsidDel="00A97191">
        <w:t xml:space="preserve"> </w:t>
      </w:r>
      <w:r w:rsidR="00BF0280">
        <w:t xml:space="preserve">chronic toxicity data for </w:t>
      </w:r>
      <w:r w:rsidR="00A07BCC">
        <w:t>2</w:t>
      </w:r>
      <w:r w:rsidR="005F36C7">
        <w:t>0</w:t>
      </w:r>
      <w:r w:rsidR="002C7682">
        <w:t> </w:t>
      </w:r>
      <w:r w:rsidR="00BF0280">
        <w:t xml:space="preserve">species from </w:t>
      </w:r>
      <w:r w:rsidR="00E26496">
        <w:t xml:space="preserve">10 </w:t>
      </w:r>
      <w:r w:rsidR="00BF0280">
        <w:t>taxonomic groups</w:t>
      </w:r>
      <w:r w:rsidR="008E2ABF">
        <w:t>, comprising</w:t>
      </w:r>
      <w:r w:rsidR="00BF0280">
        <w:t xml:space="preserve"> </w:t>
      </w:r>
      <w:r w:rsidR="00EF7851">
        <w:rPr>
          <w:bCs/>
        </w:rPr>
        <w:t xml:space="preserve">3 fungi, </w:t>
      </w:r>
      <w:r w:rsidR="008D4F73">
        <w:t xml:space="preserve">one </w:t>
      </w:r>
      <w:r w:rsidR="009D6478">
        <w:rPr>
          <w:bCs/>
        </w:rPr>
        <w:t xml:space="preserve">microalga, </w:t>
      </w:r>
      <w:r w:rsidR="00887039">
        <w:rPr>
          <w:bCs/>
        </w:rPr>
        <w:t xml:space="preserve">one macrophyte, </w:t>
      </w:r>
      <w:r w:rsidR="00B1008F">
        <w:rPr>
          <w:bCs/>
        </w:rPr>
        <w:t xml:space="preserve">one rotifer, </w:t>
      </w:r>
      <w:r w:rsidR="007F12F1">
        <w:rPr>
          <w:bCs/>
        </w:rPr>
        <w:t>one annelid, one planarian, 2 insect</w:t>
      </w:r>
      <w:r w:rsidR="007F12F1">
        <w:t>s,</w:t>
      </w:r>
      <w:r w:rsidR="007F12F1">
        <w:rPr>
          <w:bCs/>
        </w:rPr>
        <w:t xml:space="preserve"> </w:t>
      </w:r>
      <w:r w:rsidR="008D4F73">
        <w:rPr>
          <w:bCs/>
        </w:rPr>
        <w:t>3</w:t>
      </w:r>
      <w:r w:rsidR="00EF7851">
        <w:rPr>
          <w:bCs/>
        </w:rPr>
        <w:t> </w:t>
      </w:r>
      <w:r w:rsidR="009D6478">
        <w:rPr>
          <w:bCs/>
        </w:rPr>
        <w:t>crustacea</w:t>
      </w:r>
      <w:r w:rsidR="008D4F73">
        <w:rPr>
          <w:bCs/>
        </w:rPr>
        <w:t>ns</w:t>
      </w:r>
      <w:r w:rsidR="009D6478">
        <w:rPr>
          <w:bCs/>
        </w:rPr>
        <w:t>,</w:t>
      </w:r>
      <w:r w:rsidR="007F12F1" w:rsidRPr="007F12F1">
        <w:rPr>
          <w:bCs/>
        </w:rPr>
        <w:t xml:space="preserve"> </w:t>
      </w:r>
      <w:r w:rsidR="007F12F1">
        <w:rPr>
          <w:bCs/>
        </w:rPr>
        <w:t>one amphibian and</w:t>
      </w:r>
      <w:r w:rsidR="009D6478">
        <w:rPr>
          <w:bCs/>
        </w:rPr>
        <w:t xml:space="preserve"> </w:t>
      </w:r>
      <w:r w:rsidR="008D4F73">
        <w:rPr>
          <w:bCs/>
        </w:rPr>
        <w:t>6</w:t>
      </w:r>
      <w:r w:rsidR="00EF7851">
        <w:rPr>
          <w:bCs/>
        </w:rPr>
        <w:t> </w:t>
      </w:r>
      <w:r w:rsidR="009D6478">
        <w:rPr>
          <w:bCs/>
        </w:rPr>
        <w:t>fish</w:t>
      </w:r>
      <w:r w:rsidR="00BF0280">
        <w:t xml:space="preserve">. </w:t>
      </w:r>
      <w:r w:rsidR="001D5301">
        <w:t xml:space="preserve">Chronic toxicity </w:t>
      </w:r>
      <w:r w:rsidR="00AB5884">
        <w:t>values ranged from 192 µg/L to 50</w:t>
      </w:r>
      <w:r w:rsidR="002C7682">
        <w:t>,</w:t>
      </w:r>
      <w:r w:rsidR="00AB5884">
        <w:t>000 µg/L total iron</w:t>
      </w:r>
      <w:r w:rsidR="001D5301">
        <w:t xml:space="preserve"> across a range of different endpoints and exposure durations.</w:t>
      </w:r>
      <w:r w:rsidR="00AB5884">
        <w:t xml:space="preserve"> </w:t>
      </w:r>
      <w:r w:rsidR="00BF0280">
        <w:t xml:space="preserve">The DGVs for </w:t>
      </w:r>
      <w:r w:rsidR="00BF0280">
        <w:rPr>
          <w:bCs/>
        </w:rPr>
        <w:t>99</w:t>
      </w:r>
      <w:r w:rsidR="002C7682">
        <w:rPr>
          <w:bCs/>
        </w:rPr>
        <w:t>%</w:t>
      </w:r>
      <w:r w:rsidR="00BF0280">
        <w:rPr>
          <w:bCs/>
        </w:rPr>
        <w:t>, 95</w:t>
      </w:r>
      <w:r w:rsidR="002C7682">
        <w:rPr>
          <w:bCs/>
        </w:rPr>
        <w:t>%</w:t>
      </w:r>
      <w:r w:rsidR="00BF0280">
        <w:rPr>
          <w:bCs/>
        </w:rPr>
        <w:t>, 90</w:t>
      </w:r>
      <w:r w:rsidR="002C7682">
        <w:rPr>
          <w:bCs/>
        </w:rPr>
        <w:t>%</w:t>
      </w:r>
      <w:r w:rsidR="00BF0280">
        <w:rPr>
          <w:bCs/>
        </w:rPr>
        <w:t xml:space="preserve"> and 80% species protection are</w:t>
      </w:r>
      <w:r w:rsidR="00BF0280">
        <w:t xml:space="preserve"> </w:t>
      </w:r>
      <w:r w:rsidR="00745D1E">
        <w:t>140</w:t>
      </w:r>
      <w:r w:rsidR="002C7682">
        <w:t> </w:t>
      </w:r>
      <w:r w:rsidR="00BF0280">
        <w:rPr>
          <w:rFonts w:cstheme="minorHAnsi"/>
        </w:rPr>
        <w:t>µ</w:t>
      </w:r>
      <w:r w:rsidR="00BF0280">
        <w:t xml:space="preserve">g/L, </w:t>
      </w:r>
      <w:r w:rsidR="00F6407C">
        <w:t>2</w:t>
      </w:r>
      <w:r w:rsidR="00745D1E">
        <w:t>8</w:t>
      </w:r>
      <w:r w:rsidR="00F6407C">
        <w:t>0</w:t>
      </w:r>
      <w:r w:rsidR="002C7682">
        <w:t> </w:t>
      </w:r>
      <w:r w:rsidR="00BF0280">
        <w:rPr>
          <w:rFonts w:cstheme="minorHAnsi"/>
        </w:rPr>
        <w:t>µ</w:t>
      </w:r>
      <w:r w:rsidR="00BF0280">
        <w:t xml:space="preserve">g/L, </w:t>
      </w:r>
      <w:r w:rsidR="00A07BCC">
        <w:t>4</w:t>
      </w:r>
      <w:r w:rsidR="00745D1E">
        <w:t>3</w:t>
      </w:r>
      <w:r w:rsidR="00A07BCC">
        <w:t>0</w:t>
      </w:r>
      <w:r w:rsidR="002C7682">
        <w:t> </w:t>
      </w:r>
      <w:r w:rsidR="00BF0280">
        <w:rPr>
          <w:rFonts w:cstheme="minorHAnsi"/>
        </w:rPr>
        <w:t>µ</w:t>
      </w:r>
      <w:r w:rsidR="00BF0280">
        <w:t>g/L</w:t>
      </w:r>
      <w:r w:rsidR="00DB0D6F">
        <w:t xml:space="preserve"> </w:t>
      </w:r>
      <w:r w:rsidR="00BF0280">
        <w:t xml:space="preserve">and </w:t>
      </w:r>
      <w:r w:rsidR="00745D1E">
        <w:t>73</w:t>
      </w:r>
      <w:r w:rsidR="0039016D">
        <w:t>0</w:t>
      </w:r>
      <w:r w:rsidR="002C7682">
        <w:t> </w:t>
      </w:r>
      <w:r w:rsidR="00BF0280">
        <w:rPr>
          <w:rFonts w:cstheme="minorHAnsi"/>
        </w:rPr>
        <w:t>µ</w:t>
      </w:r>
      <w:r w:rsidR="00BF0280">
        <w:t xml:space="preserve">g/L, respectively. </w:t>
      </w:r>
      <w:r w:rsidR="00343147" w:rsidRPr="001741CC">
        <w:t>The 95%</w:t>
      </w:r>
      <w:r w:rsidR="00343147" w:rsidRPr="001741CC">
        <w:rPr>
          <w:vertAlign w:val="superscript"/>
        </w:rPr>
        <w:t xml:space="preserve"> </w:t>
      </w:r>
      <w:r w:rsidR="00343147" w:rsidRPr="001741CC">
        <w:rPr>
          <w:bCs/>
        </w:rPr>
        <w:t>species</w:t>
      </w:r>
      <w:r w:rsidR="002C7682">
        <w:rPr>
          <w:bCs/>
        </w:rPr>
        <w:t>-</w:t>
      </w:r>
      <w:r w:rsidR="00343147" w:rsidRPr="001741CC">
        <w:rPr>
          <w:bCs/>
        </w:rPr>
        <w:t xml:space="preserve">protection level </w:t>
      </w:r>
      <w:r w:rsidR="00343147">
        <w:rPr>
          <w:bCs/>
        </w:rPr>
        <w:t xml:space="preserve">of </w:t>
      </w:r>
      <w:r w:rsidR="00DA67E2">
        <w:rPr>
          <w:bCs/>
        </w:rPr>
        <w:t>2</w:t>
      </w:r>
      <w:r w:rsidR="00E019F9">
        <w:rPr>
          <w:bCs/>
        </w:rPr>
        <w:t>8</w:t>
      </w:r>
      <w:r w:rsidR="00DA67E2">
        <w:rPr>
          <w:bCs/>
        </w:rPr>
        <w:t>0</w:t>
      </w:r>
      <w:r w:rsidR="002C7682">
        <w:rPr>
          <w:bCs/>
        </w:rPr>
        <w:t> </w:t>
      </w:r>
      <w:r w:rsidR="00343147">
        <w:rPr>
          <w:rFonts w:cstheme="minorHAnsi"/>
        </w:rPr>
        <w:t>µ</w:t>
      </w:r>
      <w:r w:rsidR="00343147">
        <w:t>g/L</w:t>
      </w:r>
      <w:r w:rsidR="00304153">
        <w:t xml:space="preserve"> (total iron)</w:t>
      </w:r>
      <w:r w:rsidR="00343147">
        <w:rPr>
          <w:bCs/>
        </w:rPr>
        <w:t xml:space="preserve"> </w:t>
      </w:r>
      <w:r w:rsidR="00343147" w:rsidRPr="001741CC">
        <w:rPr>
          <w:bCs/>
        </w:rPr>
        <w:t xml:space="preserve">is recommended </w:t>
      </w:r>
      <w:r w:rsidR="00222864">
        <w:rPr>
          <w:bCs/>
        </w:rPr>
        <w:t>when</w:t>
      </w:r>
      <w:r w:rsidR="00343147">
        <w:rPr>
          <w:bCs/>
        </w:rPr>
        <w:t xml:space="preserve"> </w:t>
      </w:r>
      <w:r w:rsidR="00343147" w:rsidRPr="001741CC">
        <w:rPr>
          <w:bCs/>
        </w:rPr>
        <w:t>assess</w:t>
      </w:r>
      <w:r w:rsidR="00222864">
        <w:rPr>
          <w:bCs/>
        </w:rPr>
        <w:t>ing ecosystems that are</w:t>
      </w:r>
      <w:r w:rsidR="00343147" w:rsidRPr="001741CC">
        <w:rPr>
          <w:bCs/>
        </w:rPr>
        <w:t xml:space="preserve"> slightly to moderately disturbed.</w:t>
      </w:r>
      <w:r w:rsidR="00343147">
        <w:t xml:space="preserve"> </w:t>
      </w:r>
      <w:r w:rsidR="00F54198">
        <w:t xml:space="preserve">The DGVs are relatively well supported by available mesocosm and field studies on the effects of iron on freshwater biota. </w:t>
      </w:r>
      <w:r w:rsidR="00645338">
        <w:t xml:space="preserve">When comparing iron concentrations in water samples to the DGVs, the iron concentration should be based on either total iron or, preferably, the potentially bioavailable fraction </w:t>
      </w:r>
      <w:r w:rsidR="00645338" w:rsidRPr="00D3325F">
        <w:t xml:space="preserve">(i.e. </w:t>
      </w:r>
      <w:r w:rsidR="00645338">
        <w:t>pH 2</w:t>
      </w:r>
      <w:r w:rsidR="00645338" w:rsidRPr="00D3325F">
        <w:t xml:space="preserve"> extract</w:t>
      </w:r>
      <w:r w:rsidR="00645338">
        <w:t>able</w:t>
      </w:r>
      <w:r w:rsidR="00645338" w:rsidRPr="00D3325F">
        <w:t xml:space="preserve">) </w:t>
      </w:r>
      <w:r w:rsidR="00645338">
        <w:t>of chromium (III). Additional g</w:t>
      </w:r>
      <w:r w:rsidR="00645338" w:rsidRPr="000A041A">
        <w:t xml:space="preserve">uidance </w:t>
      </w:r>
      <w:r w:rsidR="000A041A" w:rsidRPr="000A041A">
        <w:t>is provided on the fractions of iron to measure in water samples for comparison with the DGVs</w:t>
      </w:r>
      <w:r w:rsidR="00BF0280">
        <w:t>.</w:t>
      </w:r>
    </w:p>
    <w:p w14:paraId="1ADDD7A4" w14:textId="360C97BF" w:rsidR="001C0D1C" w:rsidRDefault="00BF0280" w:rsidP="007A18FB">
      <w:pPr>
        <w:pStyle w:val="Heading2"/>
      </w:pPr>
      <w:bookmarkStart w:id="16" w:name="_Toc197088510"/>
      <w:bookmarkStart w:id="17" w:name="_Toc197783772"/>
      <w:bookmarkStart w:id="18" w:name="_Toc199424861"/>
      <w:r w:rsidRPr="007A18FB">
        <w:lastRenderedPageBreak/>
        <w:t>Introduction</w:t>
      </w:r>
      <w:bookmarkEnd w:id="16"/>
      <w:bookmarkEnd w:id="17"/>
      <w:bookmarkEnd w:id="18"/>
    </w:p>
    <w:p w14:paraId="38889A33" w14:textId="19967CC3" w:rsidR="00BF0280" w:rsidRDefault="00BF0280" w:rsidP="00BF0280">
      <w:pPr>
        <w:rPr>
          <w:bCs/>
        </w:rPr>
      </w:pPr>
      <w:r>
        <w:rPr>
          <w:bCs/>
        </w:rPr>
        <w:t>Iron is the fourth</w:t>
      </w:r>
      <w:r w:rsidR="00363E85">
        <w:rPr>
          <w:bCs/>
        </w:rPr>
        <w:t>-</w:t>
      </w:r>
      <w:r>
        <w:rPr>
          <w:bCs/>
        </w:rPr>
        <w:t xml:space="preserve">most common element in the Earth’s crust and </w:t>
      </w:r>
      <w:r w:rsidR="00EE7040">
        <w:rPr>
          <w:bCs/>
        </w:rPr>
        <w:t xml:space="preserve">is </w:t>
      </w:r>
      <w:r>
        <w:rPr>
          <w:bCs/>
        </w:rPr>
        <w:t>an essential trace element for aquatic biota</w:t>
      </w:r>
      <w:r w:rsidR="00EE7040">
        <w:rPr>
          <w:bCs/>
        </w:rPr>
        <w:t>. I</w:t>
      </w:r>
      <w:r>
        <w:rPr>
          <w:bCs/>
        </w:rPr>
        <w:t xml:space="preserve">t is a key constituent in </w:t>
      </w:r>
      <w:r w:rsidR="001C6ED1">
        <w:rPr>
          <w:bCs/>
        </w:rPr>
        <w:t xml:space="preserve">the </w:t>
      </w:r>
      <w:r>
        <w:rPr>
          <w:bCs/>
        </w:rPr>
        <w:t>enzymatic pathways of chlorophyll and protein synthesis</w:t>
      </w:r>
      <w:r w:rsidR="001C6ED1">
        <w:rPr>
          <w:bCs/>
        </w:rPr>
        <w:t>,</w:t>
      </w:r>
      <w:r>
        <w:rPr>
          <w:bCs/>
        </w:rPr>
        <w:t xml:space="preserve"> and i</w:t>
      </w:r>
      <w:r w:rsidR="001C6ED1">
        <w:rPr>
          <w:bCs/>
        </w:rPr>
        <w:t>t</w:t>
      </w:r>
      <w:r>
        <w:rPr>
          <w:bCs/>
        </w:rPr>
        <w:t xml:space="preserve"> modulat</w:t>
      </w:r>
      <w:r w:rsidR="001C6ED1">
        <w:rPr>
          <w:bCs/>
        </w:rPr>
        <w:t>es</w:t>
      </w:r>
      <w:r>
        <w:rPr>
          <w:bCs/>
        </w:rPr>
        <w:t xml:space="preserve"> processes such as DNA and RNA synthesis and oxygen metabolism and transport (Norman et al. 2014). Although iron is an essential element, it has low bioavailability due to its speciation</w:t>
      </w:r>
      <w:r w:rsidR="002A25D6">
        <w:rPr>
          <w:bCs/>
        </w:rPr>
        <w:t>,</w:t>
      </w:r>
      <w:r>
        <w:rPr>
          <w:bCs/>
        </w:rPr>
        <w:t xml:space="preserve"> to the point of becoming limiting for aquatic biota in freshwater lakes (Norman et al. 2014). To deal with iron limitation, algae and bacteria have evolved the ability to harvest iron from the surrounding water by secreting organic chelators (siderophores) that complex iron(III) and transport it back into the cell where it is enzymatically reduced to iron(II) (Haese 2006).</w:t>
      </w:r>
    </w:p>
    <w:p w14:paraId="6B907635" w14:textId="713E0873" w:rsidR="00BF0280" w:rsidRDefault="00BF0280" w:rsidP="00BF0280">
      <w:pPr>
        <w:rPr>
          <w:bCs/>
        </w:rPr>
      </w:pPr>
      <w:r>
        <w:rPr>
          <w:bCs/>
        </w:rPr>
        <w:t>Natural sources of iron include weathering and leaching of iron-rich sedimentary rocks</w:t>
      </w:r>
      <w:r w:rsidR="001D0278">
        <w:rPr>
          <w:bCs/>
        </w:rPr>
        <w:t>,</w:t>
      </w:r>
      <w:r>
        <w:rPr>
          <w:bCs/>
        </w:rPr>
        <w:t xml:space="preserve"> such as hematite (Fe</w:t>
      </w:r>
      <w:r w:rsidRPr="00700AE8">
        <w:rPr>
          <w:bCs/>
          <w:vertAlign w:val="subscript"/>
        </w:rPr>
        <w:t>2</w:t>
      </w:r>
      <w:r>
        <w:rPr>
          <w:bCs/>
        </w:rPr>
        <w:t>O</w:t>
      </w:r>
      <w:r w:rsidRPr="00700AE8">
        <w:rPr>
          <w:bCs/>
          <w:vertAlign w:val="subscript"/>
        </w:rPr>
        <w:t>3</w:t>
      </w:r>
      <w:r>
        <w:rPr>
          <w:bCs/>
        </w:rPr>
        <w:t>) and magnetite (Fe</w:t>
      </w:r>
      <w:r w:rsidRPr="00700AE8">
        <w:rPr>
          <w:bCs/>
          <w:vertAlign w:val="subscript"/>
        </w:rPr>
        <w:t>3</w:t>
      </w:r>
      <w:r>
        <w:rPr>
          <w:bCs/>
        </w:rPr>
        <w:t>O</w:t>
      </w:r>
      <w:r w:rsidRPr="00700AE8">
        <w:rPr>
          <w:bCs/>
          <w:vertAlign w:val="subscript"/>
        </w:rPr>
        <w:t>4</w:t>
      </w:r>
      <w:r>
        <w:rPr>
          <w:bCs/>
        </w:rPr>
        <w:t xml:space="preserve">), </w:t>
      </w:r>
      <w:r w:rsidR="00FB3442">
        <w:rPr>
          <w:bCs/>
        </w:rPr>
        <w:t xml:space="preserve">basalt </w:t>
      </w:r>
      <w:r>
        <w:rPr>
          <w:bCs/>
        </w:rPr>
        <w:t>and acid</w:t>
      </w:r>
      <w:r w:rsidR="001D0278">
        <w:rPr>
          <w:bCs/>
        </w:rPr>
        <w:t>-</w:t>
      </w:r>
      <w:r>
        <w:rPr>
          <w:bCs/>
        </w:rPr>
        <w:t>sulfate soils</w:t>
      </w:r>
      <w:r w:rsidR="00721846">
        <w:rPr>
          <w:bCs/>
        </w:rPr>
        <w:t>,</w:t>
      </w:r>
      <w:r w:rsidR="001D0278">
        <w:rPr>
          <w:bCs/>
        </w:rPr>
        <w:t xml:space="preserve"> and </w:t>
      </w:r>
      <w:r>
        <w:rPr>
          <w:bCs/>
        </w:rPr>
        <w:t>sediments containing pyrite (FeS</w:t>
      </w:r>
      <w:r w:rsidRPr="00700AE8">
        <w:rPr>
          <w:bCs/>
          <w:vertAlign w:val="subscript"/>
        </w:rPr>
        <w:t>2</w:t>
      </w:r>
      <w:r>
        <w:rPr>
          <w:bCs/>
        </w:rPr>
        <w:t>). Anthropogenic releases of iron are mainly due to burning of fossil fuels, acid mine drainage, industrial waste discharges</w:t>
      </w:r>
      <w:r w:rsidR="00135592">
        <w:rPr>
          <w:bCs/>
        </w:rPr>
        <w:t>,</w:t>
      </w:r>
      <w:r>
        <w:rPr>
          <w:bCs/>
        </w:rPr>
        <w:t xml:space="preserve"> and corrosion of </w:t>
      </w:r>
      <w:r w:rsidRPr="001470A4">
        <w:rPr>
          <w:bCs/>
        </w:rPr>
        <w:t>iron and steel. Dissolved/colloidal concentrations of iron</w:t>
      </w:r>
      <w:r w:rsidR="00EE7040">
        <w:rPr>
          <w:bCs/>
        </w:rPr>
        <w:t xml:space="preserve"> </w:t>
      </w:r>
      <w:r w:rsidR="00EE7040" w:rsidRPr="001470A4">
        <w:rPr>
          <w:bCs/>
        </w:rPr>
        <w:t>in non-impacted lakes</w:t>
      </w:r>
      <w:r w:rsidRPr="001470A4">
        <w:rPr>
          <w:bCs/>
        </w:rPr>
        <w:t xml:space="preserve"> range fr</w:t>
      </w:r>
      <w:r>
        <w:rPr>
          <w:bCs/>
        </w:rPr>
        <w:t>om 0.03</w:t>
      </w:r>
      <w:r w:rsidR="00035EA0">
        <w:rPr>
          <w:bCs/>
        </w:rPr>
        <w:t> </w:t>
      </w:r>
      <w:r w:rsidR="00035EA0" w:rsidRPr="001470A4">
        <w:rPr>
          <w:bCs/>
        </w:rPr>
        <w:t>µg</w:t>
      </w:r>
      <w:r w:rsidR="00565A32">
        <w:rPr>
          <w:bCs/>
        </w:rPr>
        <w:t>/L</w:t>
      </w:r>
      <w:r w:rsidR="00035EA0" w:rsidRPr="001470A4">
        <w:rPr>
          <w:bCs/>
        </w:rPr>
        <w:t xml:space="preserve"> Fe</w:t>
      </w:r>
      <w:r w:rsidR="00EE7040">
        <w:rPr>
          <w:bCs/>
        </w:rPr>
        <w:t xml:space="preserve"> to </w:t>
      </w:r>
      <w:r>
        <w:rPr>
          <w:bCs/>
        </w:rPr>
        <w:t>17 </w:t>
      </w:r>
      <w:r w:rsidRPr="001470A4">
        <w:rPr>
          <w:bCs/>
        </w:rPr>
        <w:t>µg/L</w:t>
      </w:r>
      <w:r w:rsidR="00565A32">
        <w:rPr>
          <w:bCs/>
        </w:rPr>
        <w:t xml:space="preserve"> Fe</w:t>
      </w:r>
      <w:r w:rsidRPr="001470A4">
        <w:rPr>
          <w:bCs/>
        </w:rPr>
        <w:t xml:space="preserve"> </w:t>
      </w:r>
      <w:r>
        <w:rPr>
          <w:bCs/>
        </w:rPr>
        <w:t>(Norman et al. 2014)</w:t>
      </w:r>
      <w:r w:rsidR="00C060E6">
        <w:rPr>
          <w:bCs/>
        </w:rPr>
        <w:t>.</w:t>
      </w:r>
      <w:r w:rsidRPr="001470A4">
        <w:rPr>
          <w:bCs/>
        </w:rPr>
        <w:t xml:space="preserve"> </w:t>
      </w:r>
      <w:r w:rsidR="00C060E6">
        <w:rPr>
          <w:bCs/>
        </w:rPr>
        <w:t>R</w:t>
      </w:r>
      <w:r w:rsidR="00EE7040">
        <w:rPr>
          <w:bCs/>
        </w:rPr>
        <w:t>ivers</w:t>
      </w:r>
      <w:r w:rsidR="00C060E6">
        <w:rPr>
          <w:bCs/>
        </w:rPr>
        <w:t xml:space="preserve"> globally</w:t>
      </w:r>
      <w:r w:rsidRPr="001470A4">
        <w:rPr>
          <w:bCs/>
        </w:rPr>
        <w:t xml:space="preserve"> </w:t>
      </w:r>
      <w:r>
        <w:rPr>
          <w:bCs/>
        </w:rPr>
        <w:t>have a</w:t>
      </w:r>
      <w:r w:rsidR="00C060E6">
        <w:rPr>
          <w:bCs/>
        </w:rPr>
        <w:t>n</w:t>
      </w:r>
      <w:r w:rsidRPr="001470A4">
        <w:rPr>
          <w:bCs/>
        </w:rPr>
        <w:t xml:space="preserve"> average </w:t>
      </w:r>
      <w:r w:rsidR="00EE7040">
        <w:rPr>
          <w:bCs/>
        </w:rPr>
        <w:t xml:space="preserve">concentration </w:t>
      </w:r>
      <w:r w:rsidRPr="001470A4">
        <w:rPr>
          <w:bCs/>
        </w:rPr>
        <w:t>of 67</w:t>
      </w:r>
      <w:r>
        <w:rPr>
          <w:bCs/>
        </w:rPr>
        <w:t> </w:t>
      </w:r>
      <w:r w:rsidRPr="001470A4">
        <w:rPr>
          <w:bCs/>
        </w:rPr>
        <w:t>µg</w:t>
      </w:r>
      <w:r w:rsidR="00C060E6">
        <w:rPr>
          <w:bCs/>
        </w:rPr>
        <w:t>/L</w:t>
      </w:r>
      <w:r w:rsidRPr="001470A4">
        <w:rPr>
          <w:bCs/>
        </w:rPr>
        <w:t xml:space="preserve"> Fe</w:t>
      </w:r>
      <w:r>
        <w:rPr>
          <w:bCs/>
        </w:rPr>
        <w:t xml:space="preserve"> (Chester </w:t>
      </w:r>
      <w:r w:rsidR="00E44304">
        <w:rPr>
          <w:bCs/>
        </w:rPr>
        <w:t>and</w:t>
      </w:r>
      <w:r>
        <w:rPr>
          <w:bCs/>
        </w:rPr>
        <w:t xml:space="preserve"> Jickells 2012)</w:t>
      </w:r>
      <w:r w:rsidRPr="001470A4">
        <w:rPr>
          <w:bCs/>
        </w:rPr>
        <w:t xml:space="preserve">. Total and dissolved iron </w:t>
      </w:r>
      <w:r>
        <w:rPr>
          <w:bCs/>
        </w:rPr>
        <w:t xml:space="preserve">concentrations in freshwaters </w:t>
      </w:r>
      <w:r w:rsidRPr="001470A4">
        <w:rPr>
          <w:bCs/>
        </w:rPr>
        <w:t xml:space="preserve">are highly variable and </w:t>
      </w:r>
      <w:r w:rsidR="00C060E6">
        <w:rPr>
          <w:bCs/>
        </w:rPr>
        <w:t>are a result of</w:t>
      </w:r>
      <w:r w:rsidRPr="001470A4">
        <w:rPr>
          <w:bCs/>
        </w:rPr>
        <w:t xml:space="preserve"> the geology and </w:t>
      </w:r>
      <w:r w:rsidRPr="009A40E1">
        <w:rPr>
          <w:bCs/>
        </w:rPr>
        <w:t>land</w:t>
      </w:r>
      <w:r w:rsidR="00CB21A5">
        <w:rPr>
          <w:bCs/>
        </w:rPr>
        <w:t xml:space="preserve"> </w:t>
      </w:r>
      <w:r w:rsidRPr="009A40E1">
        <w:rPr>
          <w:bCs/>
        </w:rPr>
        <w:t>use</w:t>
      </w:r>
      <w:r w:rsidRPr="001470A4">
        <w:rPr>
          <w:bCs/>
        </w:rPr>
        <w:t xml:space="preserve"> of the surrounding catchment</w:t>
      </w:r>
      <w:r w:rsidR="00BA32B4">
        <w:rPr>
          <w:bCs/>
        </w:rPr>
        <w:t>. T</w:t>
      </w:r>
      <w:r w:rsidRPr="001470A4">
        <w:rPr>
          <w:bCs/>
        </w:rPr>
        <w:t xml:space="preserve">otal iron measurements </w:t>
      </w:r>
      <w:r w:rsidR="00565C3F">
        <w:rPr>
          <w:bCs/>
        </w:rPr>
        <w:t xml:space="preserve">are </w:t>
      </w:r>
      <w:r w:rsidRPr="001470A4">
        <w:rPr>
          <w:bCs/>
        </w:rPr>
        <w:t>confounded by the presence of minerali</w:t>
      </w:r>
      <w:r>
        <w:rPr>
          <w:bCs/>
        </w:rPr>
        <w:t>s</w:t>
      </w:r>
      <w:r w:rsidRPr="001470A4">
        <w:rPr>
          <w:bCs/>
        </w:rPr>
        <w:t>ed sedimentary iron.</w:t>
      </w:r>
    </w:p>
    <w:p w14:paraId="2013CDBC" w14:textId="7DA12528" w:rsidR="00BF0280" w:rsidRDefault="00BF0280" w:rsidP="00BF0280">
      <w:pPr>
        <w:rPr>
          <w:bCs/>
        </w:rPr>
      </w:pPr>
      <w:r>
        <w:rPr>
          <w:bCs/>
        </w:rPr>
        <w:t xml:space="preserve">Iron exists in </w:t>
      </w:r>
      <w:r w:rsidR="009A1067">
        <w:rPr>
          <w:bCs/>
        </w:rPr>
        <w:t xml:space="preserve">2 </w:t>
      </w:r>
      <w:r>
        <w:rPr>
          <w:bCs/>
        </w:rPr>
        <w:t>oxidation states</w:t>
      </w:r>
      <w:r w:rsidR="00CE6636">
        <w:rPr>
          <w:bCs/>
        </w:rPr>
        <w:t xml:space="preserve"> –</w:t>
      </w:r>
      <w:r>
        <w:rPr>
          <w:bCs/>
        </w:rPr>
        <w:t xml:space="preserve"> iron(II) (Fe</w:t>
      </w:r>
      <w:r w:rsidRPr="003876D4">
        <w:rPr>
          <w:bCs/>
          <w:vertAlign w:val="superscript"/>
        </w:rPr>
        <w:t>2+</w:t>
      </w:r>
      <w:r>
        <w:rPr>
          <w:bCs/>
        </w:rPr>
        <w:t>) and iron(III) (Fe</w:t>
      </w:r>
      <w:r w:rsidRPr="003876D4">
        <w:rPr>
          <w:bCs/>
          <w:vertAlign w:val="superscript"/>
        </w:rPr>
        <w:t>3+</w:t>
      </w:r>
      <w:r>
        <w:rPr>
          <w:bCs/>
        </w:rPr>
        <w:t>). Iron(III) dominates under oxic conditions</w:t>
      </w:r>
      <w:r w:rsidR="003C5F87">
        <w:rPr>
          <w:bCs/>
        </w:rPr>
        <w:t>. U</w:t>
      </w:r>
      <w:r>
        <w:rPr>
          <w:bCs/>
        </w:rPr>
        <w:t>nder anaerobic conditions, iron(II) dominates and has higher water solubility. Iron(II) rapidly oxidise</w:t>
      </w:r>
      <w:r w:rsidR="009E4D19">
        <w:rPr>
          <w:bCs/>
        </w:rPr>
        <w:t>s</w:t>
      </w:r>
      <w:r>
        <w:rPr>
          <w:bCs/>
        </w:rPr>
        <w:t xml:space="preserve"> to form iron(III), which then rapidly hydrolyses to form amorphous iron(III) hydroxide precipitates and colloidal iron oxyhydroxides, which readily complex with organic</w:t>
      </w:r>
      <w:r w:rsidR="00FB3442">
        <w:rPr>
          <w:bCs/>
        </w:rPr>
        <w:t>s</w:t>
      </w:r>
      <w:r>
        <w:rPr>
          <w:bCs/>
        </w:rPr>
        <w:t>, especially humic substances. These may remain in suspension or flocculate and deposit over time. Size-fractionated speciation of iron into categories of truly soluble, dissolved, colloidal and total iron is operationally defined by the filter pore size</w:t>
      </w:r>
      <w:r w:rsidR="00EE7040">
        <w:rPr>
          <w:bCs/>
        </w:rPr>
        <w:t>,</w:t>
      </w:r>
      <w:r>
        <w:rPr>
          <w:bCs/>
        </w:rPr>
        <w:t xml:space="preserve"> </w:t>
      </w:r>
      <w:r w:rsidR="00565C3F">
        <w:rPr>
          <w:bCs/>
        </w:rPr>
        <w:t xml:space="preserve">and </w:t>
      </w:r>
      <w:r>
        <w:rPr>
          <w:bCs/>
        </w:rPr>
        <w:t>dissolved (&lt;</w:t>
      </w:r>
      <w:r w:rsidR="00484AA8">
        <w:rPr>
          <w:bCs/>
        </w:rPr>
        <w:t> </w:t>
      </w:r>
      <w:r>
        <w:rPr>
          <w:bCs/>
        </w:rPr>
        <w:t>0.45</w:t>
      </w:r>
      <w:r w:rsidR="00DD1987">
        <w:rPr>
          <w:bCs/>
        </w:rPr>
        <w:t>-</w:t>
      </w:r>
      <w:r>
        <w:rPr>
          <w:bCs/>
        </w:rPr>
        <w:t>µm) iron includ</w:t>
      </w:r>
      <w:r w:rsidR="00565C3F">
        <w:rPr>
          <w:bCs/>
        </w:rPr>
        <w:t>es</w:t>
      </w:r>
      <w:r>
        <w:rPr>
          <w:bCs/>
        </w:rPr>
        <w:t xml:space="preserve"> colloidal fractions. Analytical techniques for iron oxidation</w:t>
      </w:r>
      <w:r w:rsidR="00DD1987">
        <w:rPr>
          <w:bCs/>
        </w:rPr>
        <w:t>-</w:t>
      </w:r>
      <w:r>
        <w:rPr>
          <w:bCs/>
        </w:rPr>
        <w:t>state speciation in natural waters and their limitations have been described by Pehkonen (1995).</w:t>
      </w:r>
    </w:p>
    <w:p w14:paraId="32C87027" w14:textId="2F1AE5E2" w:rsidR="00BF0280" w:rsidRDefault="00BF0280" w:rsidP="00BF0280">
      <w:pPr>
        <w:rPr>
          <w:bCs/>
        </w:rPr>
      </w:pPr>
      <w:r>
        <w:rPr>
          <w:bCs/>
        </w:rPr>
        <w:t>The speciation of iron is controlled largely by the solubility limits for iron(II) and iron(III). The solubility of iron(III) hydroxide (0.048 µg/L at 18°C) is markedly lower than that of iron(II) hydroxide (1</w:t>
      </w:r>
      <w:r w:rsidR="006B07CF">
        <w:rPr>
          <w:bCs/>
        </w:rPr>
        <w:t>,</w:t>
      </w:r>
      <w:r>
        <w:rPr>
          <w:bCs/>
        </w:rPr>
        <w:t>420 µg/L at 20°C) (Haese 2006). Iron speciation is influenced by water</w:t>
      </w:r>
      <w:r w:rsidR="00DD1987">
        <w:rPr>
          <w:bCs/>
        </w:rPr>
        <w:t>-</w:t>
      </w:r>
      <w:r>
        <w:rPr>
          <w:bCs/>
        </w:rPr>
        <w:t>quality parameters such as pH, redox potential (Eh), dissolved oxygen, carbon dioxide, hardness, sulfur species, natural organic matter, photo-reduction of organic iron complexes and microbial activity (Norman et al. 2014). At alkaline pH values, the hydroxy complexes of iron(II) and iron(III) dominate under reducing and oxygenated conditions</w:t>
      </w:r>
      <w:r w:rsidR="00EE7040">
        <w:rPr>
          <w:bCs/>
        </w:rPr>
        <w:t>,</w:t>
      </w:r>
      <w:r>
        <w:rPr>
          <w:bCs/>
        </w:rPr>
        <w:t xml:space="preserve"> respectively.</w:t>
      </w:r>
    </w:p>
    <w:p w14:paraId="4E834D40" w14:textId="1F4FF895" w:rsidR="00BF0280" w:rsidRDefault="00BF0280" w:rsidP="00BF0280">
      <w:pPr>
        <w:rPr>
          <w:bCs/>
        </w:rPr>
      </w:pPr>
      <w:r>
        <w:rPr>
          <w:bCs/>
        </w:rPr>
        <w:t>The low solubility of iron(III) hydroxides at neutral pH in oxygenated water means that toxicity testing of most aquatic organisms is confounded by the presence of dissolved, colloidal and precipitated iron forms, each differing in their modes of action and contribution to toxicity. Dissolved iron(II) is thought to be more toxic than iron(III) due to its higher solubility</w:t>
      </w:r>
      <w:r w:rsidR="00F337C3">
        <w:rPr>
          <w:bCs/>
        </w:rPr>
        <w:t>. H</w:t>
      </w:r>
      <w:r>
        <w:rPr>
          <w:bCs/>
        </w:rPr>
        <w:t>owever, the conditions under which iron(II) dominates</w:t>
      </w:r>
      <w:r w:rsidR="00F337C3">
        <w:rPr>
          <w:bCs/>
        </w:rPr>
        <w:t xml:space="preserve"> (i.e.</w:t>
      </w:r>
      <w:r>
        <w:rPr>
          <w:bCs/>
        </w:rPr>
        <w:t xml:space="preserve"> low pH, low oxygen</w:t>
      </w:r>
      <w:r w:rsidR="00F337C3">
        <w:rPr>
          <w:bCs/>
        </w:rPr>
        <w:t>)</w:t>
      </w:r>
      <w:r>
        <w:rPr>
          <w:bCs/>
        </w:rPr>
        <w:t xml:space="preserve"> means that aquatic biota are either not present or are stressed by the inherent </w:t>
      </w:r>
      <w:r w:rsidRPr="002E6EED">
        <w:rPr>
          <w:bCs/>
        </w:rPr>
        <w:t>physicochemical conditions</w:t>
      </w:r>
      <w:r>
        <w:rPr>
          <w:bCs/>
        </w:rPr>
        <w:t xml:space="preserve"> (Bury et al. 2011). The complex speciation of </w:t>
      </w:r>
      <w:r>
        <w:rPr>
          <w:bCs/>
        </w:rPr>
        <w:lastRenderedPageBreak/>
        <w:t>iron corresponds to complex mechanisms of toxicity. Limited iron may result in adverse effects on biota due to deficiencies in biological requirements or</w:t>
      </w:r>
      <w:r w:rsidR="00EE7040">
        <w:rPr>
          <w:bCs/>
        </w:rPr>
        <w:t>,</w:t>
      </w:r>
      <w:r>
        <w:rPr>
          <w:bCs/>
        </w:rPr>
        <w:t xml:space="preserve"> alternatively</w:t>
      </w:r>
      <w:r w:rsidR="00EE7040">
        <w:rPr>
          <w:bCs/>
        </w:rPr>
        <w:t>,</w:t>
      </w:r>
      <w:r>
        <w:rPr>
          <w:bCs/>
        </w:rPr>
        <w:t xml:space="preserve"> excess dissolved iron may result in oxidative damage to membranes or disruption of metabolic processes. Precipitated iron may coat respiratory surfaces (gills), egg pores or digestive surfaces and impede uptake of nutrients</w:t>
      </w:r>
      <w:r w:rsidR="00D50F3B">
        <w:rPr>
          <w:bCs/>
        </w:rPr>
        <w:t xml:space="preserve"> (see </w:t>
      </w:r>
      <w:r w:rsidR="002E588F">
        <w:rPr>
          <w:bCs/>
        </w:rPr>
        <w:t>s</w:t>
      </w:r>
      <w:r w:rsidR="00D50F3B">
        <w:rPr>
          <w:bCs/>
        </w:rPr>
        <w:t xml:space="preserve">ection </w:t>
      </w:r>
      <w:r w:rsidR="00D50F3B">
        <w:rPr>
          <w:bCs/>
        </w:rPr>
        <w:fldChar w:fldCharType="begin"/>
      </w:r>
      <w:r w:rsidR="00D50F3B">
        <w:rPr>
          <w:bCs/>
        </w:rPr>
        <w:instrText xml:space="preserve"> REF _Ref177974909 \r \h </w:instrText>
      </w:r>
      <w:r w:rsidR="00D50F3B">
        <w:rPr>
          <w:bCs/>
        </w:rPr>
      </w:r>
      <w:r w:rsidR="00D50F3B">
        <w:rPr>
          <w:bCs/>
        </w:rPr>
        <w:fldChar w:fldCharType="separate"/>
      </w:r>
      <w:r w:rsidR="00944476">
        <w:rPr>
          <w:bCs/>
        </w:rPr>
        <w:t>2.1</w:t>
      </w:r>
      <w:r w:rsidR="00D50F3B">
        <w:rPr>
          <w:bCs/>
        </w:rPr>
        <w:fldChar w:fldCharType="end"/>
      </w:r>
      <w:r w:rsidR="00D50F3B">
        <w:rPr>
          <w:bCs/>
        </w:rPr>
        <w:t>)</w:t>
      </w:r>
      <w:r>
        <w:rPr>
          <w:bCs/>
        </w:rPr>
        <w:t>. It can also have indirect effects by altering the quality of benthic habitats and food resources. There is no evidence for bioaccumulation of iron in aquatic invertebrates and fish but it does bioaccumulate in algae and higher plants (Johnson et al. 2007). It is therefore necessary to consider toxicity associated with both dissolved/colloidal and precipitated forms of iron in freshwater systems.</w:t>
      </w:r>
    </w:p>
    <w:p w14:paraId="53653E39" w14:textId="56F61B18" w:rsidR="00A6779B" w:rsidRDefault="00BF0280" w:rsidP="005D1CA5">
      <w:pPr>
        <w:widowControl w:val="0"/>
        <w:rPr>
          <w:bCs/>
        </w:rPr>
      </w:pPr>
      <w:r>
        <w:rPr>
          <w:bCs/>
        </w:rPr>
        <w:t xml:space="preserve">There </w:t>
      </w:r>
      <w:r w:rsidR="000E40C1">
        <w:rPr>
          <w:bCs/>
        </w:rPr>
        <w:t>were</w:t>
      </w:r>
      <w:r>
        <w:rPr>
          <w:bCs/>
        </w:rPr>
        <w:t xml:space="preserve"> no </w:t>
      </w:r>
      <w:r w:rsidR="001B7626">
        <w:rPr>
          <w:bCs/>
        </w:rPr>
        <w:t>ANZECC AND ARMCANZ</w:t>
      </w:r>
      <w:r w:rsidRPr="0091675F">
        <w:rPr>
          <w:bCs/>
        </w:rPr>
        <w:t xml:space="preserve"> (2000)</w:t>
      </w:r>
      <w:r>
        <w:rPr>
          <w:bCs/>
        </w:rPr>
        <w:t xml:space="preserve"> </w:t>
      </w:r>
      <w:r w:rsidR="00343147">
        <w:rPr>
          <w:bCs/>
        </w:rPr>
        <w:t xml:space="preserve">default </w:t>
      </w:r>
      <w:r>
        <w:rPr>
          <w:bCs/>
        </w:rPr>
        <w:t>guideline values (</w:t>
      </w:r>
      <w:r w:rsidR="000B0AE0">
        <w:rPr>
          <w:bCs/>
        </w:rPr>
        <w:t>D</w:t>
      </w:r>
      <w:r w:rsidRPr="009B4A80">
        <w:rPr>
          <w:bCs/>
        </w:rPr>
        <w:t>GV</w:t>
      </w:r>
      <w:r>
        <w:rPr>
          <w:bCs/>
        </w:rPr>
        <w:t>s) for iron in freshwater</w:t>
      </w:r>
      <w:r w:rsidR="00DD3102">
        <w:rPr>
          <w:bCs/>
        </w:rPr>
        <w:t>. H</w:t>
      </w:r>
      <w:r>
        <w:rPr>
          <w:bCs/>
        </w:rPr>
        <w:t xml:space="preserve">owever, an interim indicative </w:t>
      </w:r>
      <w:r w:rsidRPr="00AF16D6">
        <w:rPr>
          <w:bCs/>
        </w:rPr>
        <w:t>working level</w:t>
      </w:r>
      <w:r>
        <w:rPr>
          <w:bCs/>
        </w:rPr>
        <w:t xml:space="preserve"> of 300 µg/L was </w:t>
      </w:r>
      <w:r w:rsidR="00A721A9">
        <w:rPr>
          <w:bCs/>
        </w:rPr>
        <w:t>recommended</w:t>
      </w:r>
      <w:r>
        <w:rPr>
          <w:bCs/>
        </w:rPr>
        <w:t>, based on a Canadian water</w:t>
      </w:r>
      <w:r w:rsidR="00DD3102">
        <w:rPr>
          <w:bCs/>
        </w:rPr>
        <w:t>-</w:t>
      </w:r>
      <w:r>
        <w:rPr>
          <w:bCs/>
        </w:rPr>
        <w:t>quality guideline</w:t>
      </w:r>
      <w:r w:rsidR="000B0AE0">
        <w:rPr>
          <w:bCs/>
        </w:rPr>
        <w:t xml:space="preserve"> value</w:t>
      </w:r>
      <w:r>
        <w:rPr>
          <w:bCs/>
        </w:rPr>
        <w:t xml:space="preserve"> for long-term exposure to total iron (CC</w:t>
      </w:r>
      <w:r w:rsidR="008831FE">
        <w:rPr>
          <w:bCs/>
        </w:rPr>
        <w:t>REM</w:t>
      </w:r>
      <w:r>
        <w:rPr>
          <w:bCs/>
        </w:rPr>
        <w:t xml:space="preserve"> 1987). Other international jurisdictions have developed freshwater </w:t>
      </w:r>
      <w:r w:rsidR="000B0AE0">
        <w:rPr>
          <w:bCs/>
        </w:rPr>
        <w:t xml:space="preserve">guideline values </w:t>
      </w:r>
      <w:r>
        <w:rPr>
          <w:bCs/>
        </w:rPr>
        <w:t>for iron</w:t>
      </w:r>
      <w:r w:rsidR="005503CB">
        <w:rPr>
          <w:bCs/>
        </w:rPr>
        <w:t>,</w:t>
      </w:r>
      <w:r>
        <w:rPr>
          <w:bCs/>
        </w:rPr>
        <w:t xml:space="preserve"> deriv</w:t>
      </w:r>
      <w:r w:rsidR="005503CB">
        <w:rPr>
          <w:bCs/>
        </w:rPr>
        <w:t>ing</w:t>
      </w:r>
      <w:r>
        <w:rPr>
          <w:bCs/>
        </w:rPr>
        <w:t xml:space="preserve"> separate guideline</w:t>
      </w:r>
      <w:r w:rsidR="000E40C1">
        <w:rPr>
          <w:bCs/>
        </w:rPr>
        <w:t xml:space="preserve"> value</w:t>
      </w:r>
      <w:r>
        <w:rPr>
          <w:bCs/>
        </w:rPr>
        <w:t>s for dissolved and total iron, short-term and long-term exposures</w:t>
      </w:r>
      <w:r w:rsidR="009248F9">
        <w:rPr>
          <w:bCs/>
        </w:rPr>
        <w:t>,</w:t>
      </w:r>
      <w:r>
        <w:rPr>
          <w:bCs/>
        </w:rPr>
        <w:t xml:space="preserve"> and protection of sensitive species versus whole communities </w:t>
      </w:r>
      <w:r w:rsidRPr="008E42E0">
        <w:rPr>
          <w:bCs/>
        </w:rPr>
        <w:t>(</w:t>
      </w:r>
      <w:r w:rsidR="00F76257">
        <w:rPr>
          <w:bCs/>
        </w:rPr>
        <w:fldChar w:fldCharType="begin"/>
      </w:r>
      <w:r w:rsidR="00F76257">
        <w:rPr>
          <w:bCs/>
        </w:rPr>
        <w:instrText xml:space="preserve"> REF AppendixA \h </w:instrText>
      </w:r>
      <w:r w:rsidR="00F76257">
        <w:rPr>
          <w:bCs/>
        </w:rPr>
      </w:r>
      <w:r w:rsidR="00F76257">
        <w:rPr>
          <w:bCs/>
        </w:rPr>
        <w:fldChar w:fldCharType="separate"/>
      </w:r>
      <w:r w:rsidR="00944476">
        <w:t>Appendix A</w:t>
      </w:r>
      <w:r w:rsidR="00F76257">
        <w:rPr>
          <w:bCs/>
        </w:rPr>
        <w:fldChar w:fldCharType="end"/>
      </w:r>
      <w:r w:rsidR="00BD4B66">
        <w:rPr>
          <w:bCs/>
        </w:rPr>
        <w:t>,</w:t>
      </w:r>
      <w:r w:rsidR="00496FBF">
        <w:rPr>
          <w:bCs/>
        </w:rPr>
        <w:t xml:space="preserve"> </w:t>
      </w:r>
      <w:r w:rsidR="00496FBF">
        <w:rPr>
          <w:bCs/>
        </w:rPr>
        <w:fldChar w:fldCharType="begin"/>
      </w:r>
      <w:r w:rsidR="00496FBF">
        <w:rPr>
          <w:bCs/>
        </w:rPr>
        <w:instrText xml:space="preserve"> REF TableA1 \h </w:instrText>
      </w:r>
      <w:r w:rsidR="00496FBF">
        <w:rPr>
          <w:bCs/>
        </w:rPr>
      </w:r>
      <w:r w:rsidR="00496FBF">
        <w:rPr>
          <w:bCs/>
        </w:rPr>
        <w:fldChar w:fldCharType="separate"/>
      </w:r>
      <w:r w:rsidR="00944476">
        <w:t>Table A1</w:t>
      </w:r>
      <w:r w:rsidR="00496FBF">
        <w:rPr>
          <w:bCs/>
        </w:rPr>
        <w:fldChar w:fldCharType="end"/>
      </w:r>
      <w:r w:rsidRPr="008E42E0">
        <w:rPr>
          <w:bCs/>
        </w:rPr>
        <w:t>).</w:t>
      </w:r>
      <w:r>
        <w:rPr>
          <w:bCs/>
        </w:rPr>
        <w:t xml:space="preserve"> Different approaches to deriving </w:t>
      </w:r>
      <w:r w:rsidR="000B0AE0">
        <w:rPr>
          <w:bCs/>
        </w:rPr>
        <w:t xml:space="preserve">guideline values </w:t>
      </w:r>
      <w:r>
        <w:rPr>
          <w:bCs/>
        </w:rPr>
        <w:t>have been used</w:t>
      </w:r>
      <w:r w:rsidR="00565C3F">
        <w:rPr>
          <w:bCs/>
        </w:rPr>
        <w:t>.</w:t>
      </w:r>
      <w:r>
        <w:rPr>
          <w:bCs/>
        </w:rPr>
        <w:t xml:space="preserve"> </w:t>
      </w:r>
      <w:r w:rsidRPr="0091675F">
        <w:rPr>
          <w:bCs/>
        </w:rPr>
        <w:t>Shuhaimi-Othman et al. (2012) and Johnson et al. (2007)</w:t>
      </w:r>
      <w:r>
        <w:rPr>
          <w:bCs/>
        </w:rPr>
        <w:t xml:space="preserve"> appl</w:t>
      </w:r>
      <w:r w:rsidR="00565C3F">
        <w:rPr>
          <w:bCs/>
        </w:rPr>
        <w:t>ied</w:t>
      </w:r>
      <w:r>
        <w:rPr>
          <w:bCs/>
        </w:rPr>
        <w:t xml:space="preserve"> acute</w:t>
      </w:r>
      <w:r w:rsidR="009248F9">
        <w:rPr>
          <w:bCs/>
        </w:rPr>
        <w:t>-</w:t>
      </w:r>
      <w:r>
        <w:rPr>
          <w:bCs/>
        </w:rPr>
        <w:t>to</w:t>
      </w:r>
      <w:r w:rsidR="009248F9">
        <w:rPr>
          <w:bCs/>
        </w:rPr>
        <w:t>-</w:t>
      </w:r>
      <w:r>
        <w:rPr>
          <w:bCs/>
        </w:rPr>
        <w:t>chronic ratios or assessment factors to the lowest toxicity value available based on results from single</w:t>
      </w:r>
      <w:r w:rsidR="009248F9">
        <w:rPr>
          <w:bCs/>
        </w:rPr>
        <w:t>-</w:t>
      </w:r>
      <w:r>
        <w:rPr>
          <w:bCs/>
        </w:rPr>
        <w:t>species laboratory bioassays. Another approach has been to apply non-linear quantile regression analysis to macroinvertebrate community field data to derive a threshold value that will protect the 90</w:t>
      </w:r>
      <w:r w:rsidRPr="00515B5D">
        <w:rPr>
          <w:bCs/>
        </w:rPr>
        <w:t>th</w:t>
      </w:r>
      <w:r>
        <w:rPr>
          <w:bCs/>
        </w:rPr>
        <w:t xml:space="preserve"> quantile of all aquatic biota</w:t>
      </w:r>
      <w:r w:rsidR="000E40C1">
        <w:rPr>
          <w:bCs/>
        </w:rPr>
        <w:t>,</w:t>
      </w:r>
      <w:r>
        <w:rPr>
          <w:bCs/>
        </w:rPr>
        <w:t xml:space="preserve"> based on field-based evidence that macroinvertebrates (particularly mayflies) are the most sensitive trophic level (EPRI 2004</w:t>
      </w:r>
      <w:r w:rsidR="00EB6423">
        <w:rPr>
          <w:bCs/>
        </w:rPr>
        <w:t>;</w:t>
      </w:r>
      <w:r>
        <w:rPr>
          <w:bCs/>
        </w:rPr>
        <w:t xml:space="preserve"> Crane et al. 2007</w:t>
      </w:r>
      <w:r w:rsidR="00EB6423">
        <w:rPr>
          <w:bCs/>
        </w:rPr>
        <w:t>;</w:t>
      </w:r>
      <w:r>
        <w:rPr>
          <w:bCs/>
        </w:rPr>
        <w:t xml:space="preserve"> Linton et al. 2007</w:t>
      </w:r>
      <w:r w:rsidR="00EB6423">
        <w:rPr>
          <w:bCs/>
        </w:rPr>
        <w:t>;</w:t>
      </w:r>
      <w:r>
        <w:rPr>
          <w:bCs/>
        </w:rPr>
        <w:t xml:space="preserve"> Peters </w:t>
      </w:r>
      <w:r w:rsidR="00D67207">
        <w:rPr>
          <w:bCs/>
        </w:rPr>
        <w:t xml:space="preserve">et al. </w:t>
      </w:r>
      <w:r>
        <w:rPr>
          <w:bCs/>
        </w:rPr>
        <w:t>2011a, 2011b).</w:t>
      </w:r>
    </w:p>
    <w:p w14:paraId="69BDC220" w14:textId="73F6FEA8" w:rsidR="005D1CA5" w:rsidRDefault="00BF0280" w:rsidP="005D1CA5">
      <w:pPr>
        <w:widowControl w:val="0"/>
        <w:rPr>
          <w:bCs/>
        </w:rPr>
      </w:pPr>
      <w:r>
        <w:rPr>
          <w:bCs/>
        </w:rPr>
        <w:t xml:space="preserve">The </w:t>
      </w:r>
      <w:r w:rsidR="00A6779B">
        <w:rPr>
          <w:bCs/>
        </w:rPr>
        <w:t>DGV</w:t>
      </w:r>
      <w:r w:rsidR="00E449B7">
        <w:rPr>
          <w:bCs/>
        </w:rPr>
        <w:t>-</w:t>
      </w:r>
      <w:r w:rsidR="00A6779B">
        <w:rPr>
          <w:bCs/>
        </w:rPr>
        <w:t xml:space="preserve">derivation </w:t>
      </w:r>
      <w:r>
        <w:rPr>
          <w:bCs/>
        </w:rPr>
        <w:t xml:space="preserve">approach reported </w:t>
      </w:r>
      <w:r w:rsidR="00A6779B">
        <w:rPr>
          <w:bCs/>
        </w:rPr>
        <w:t xml:space="preserve">below </w:t>
      </w:r>
      <w:r>
        <w:rPr>
          <w:bCs/>
        </w:rPr>
        <w:t>uses published toxicity data from laboratory-based single</w:t>
      </w:r>
      <w:r w:rsidR="00815F9E">
        <w:rPr>
          <w:bCs/>
        </w:rPr>
        <w:t>-</w:t>
      </w:r>
      <w:r>
        <w:rPr>
          <w:bCs/>
        </w:rPr>
        <w:t>species bioassays</w:t>
      </w:r>
      <w:r w:rsidR="00D01607">
        <w:rPr>
          <w:bCs/>
        </w:rPr>
        <w:t xml:space="preserve"> </w:t>
      </w:r>
      <w:r>
        <w:rPr>
          <w:bCs/>
        </w:rPr>
        <w:t xml:space="preserve">of </w:t>
      </w:r>
      <w:r w:rsidR="00395497">
        <w:rPr>
          <w:bCs/>
        </w:rPr>
        <w:t xml:space="preserve">acceptable </w:t>
      </w:r>
      <w:r>
        <w:rPr>
          <w:bCs/>
        </w:rPr>
        <w:t xml:space="preserve">quality in a species sensitivity distribution (SSD) to </w:t>
      </w:r>
      <w:r w:rsidR="000E40C1">
        <w:rPr>
          <w:bCs/>
        </w:rPr>
        <w:t xml:space="preserve">derive DGVs that </w:t>
      </w:r>
      <w:r>
        <w:rPr>
          <w:bCs/>
        </w:rPr>
        <w:t xml:space="preserve">provide protection against </w:t>
      </w:r>
      <w:r w:rsidR="000E40C1">
        <w:rPr>
          <w:bCs/>
        </w:rPr>
        <w:t xml:space="preserve">chronic </w:t>
      </w:r>
      <w:r>
        <w:rPr>
          <w:bCs/>
        </w:rPr>
        <w:t xml:space="preserve">toxicity </w:t>
      </w:r>
      <w:r w:rsidR="000A041A">
        <w:rPr>
          <w:bCs/>
        </w:rPr>
        <w:t>of iron</w:t>
      </w:r>
      <w:r w:rsidR="00A6779B">
        <w:rPr>
          <w:bCs/>
        </w:rPr>
        <w:t xml:space="preserve"> to freshwater species</w:t>
      </w:r>
      <w:r w:rsidR="000A041A">
        <w:rPr>
          <w:bCs/>
        </w:rPr>
        <w:t xml:space="preserve"> </w:t>
      </w:r>
      <w:r>
        <w:rPr>
          <w:bCs/>
        </w:rPr>
        <w:t>(</w:t>
      </w:r>
      <w:r w:rsidR="00A6779B">
        <w:rPr>
          <w:bCs/>
        </w:rPr>
        <w:t xml:space="preserve">as per </w:t>
      </w:r>
      <w:r>
        <w:rPr>
          <w:bCs/>
        </w:rPr>
        <w:t xml:space="preserve">Warne et al. 2018). </w:t>
      </w:r>
      <w:r w:rsidR="009514AF">
        <w:rPr>
          <w:bCs/>
        </w:rPr>
        <w:t xml:space="preserve">Moreover, supporting information from </w:t>
      </w:r>
      <w:r w:rsidR="00815F9E">
        <w:rPr>
          <w:bCs/>
        </w:rPr>
        <w:t xml:space="preserve">2 </w:t>
      </w:r>
      <w:r w:rsidR="009514AF">
        <w:rPr>
          <w:bCs/>
        </w:rPr>
        <w:t xml:space="preserve">iron toxicity mesocosm </w:t>
      </w:r>
      <w:r w:rsidR="00A6779B">
        <w:rPr>
          <w:bCs/>
        </w:rPr>
        <w:t xml:space="preserve">studies </w:t>
      </w:r>
      <w:r w:rsidR="009514AF">
        <w:rPr>
          <w:bCs/>
        </w:rPr>
        <w:t xml:space="preserve">was used to help validate the DGVs. </w:t>
      </w:r>
      <w:r w:rsidR="000A041A">
        <w:rPr>
          <w:bCs/>
        </w:rPr>
        <w:t xml:space="preserve">Given that both dissolved and precipitated iron </w:t>
      </w:r>
      <w:r w:rsidR="00C66455">
        <w:rPr>
          <w:bCs/>
        </w:rPr>
        <w:t xml:space="preserve">can </w:t>
      </w:r>
      <w:r w:rsidR="000A041A">
        <w:rPr>
          <w:bCs/>
        </w:rPr>
        <w:t xml:space="preserve">result in toxicity, </w:t>
      </w:r>
      <w:r w:rsidR="00F304EF">
        <w:rPr>
          <w:bCs/>
        </w:rPr>
        <w:t>it is recommended that the application of the DGVs be based on a measurement of these potentially bioavailable forms.</w:t>
      </w:r>
      <w:r w:rsidR="00DB0D6F">
        <w:rPr>
          <w:bCs/>
        </w:rPr>
        <w:t xml:space="preserve"> </w:t>
      </w:r>
      <w:r>
        <w:rPr>
          <w:bCs/>
        </w:rPr>
        <w:t xml:space="preserve">Guidance on </w:t>
      </w:r>
      <w:r w:rsidR="00F304EF">
        <w:rPr>
          <w:bCs/>
        </w:rPr>
        <w:t xml:space="preserve">this </w:t>
      </w:r>
      <w:r>
        <w:rPr>
          <w:bCs/>
        </w:rPr>
        <w:t>is provided i</w:t>
      </w:r>
      <w:r w:rsidRPr="00826520">
        <w:rPr>
          <w:bCs/>
        </w:rPr>
        <w:t xml:space="preserve">n </w:t>
      </w:r>
      <w:r w:rsidR="00F76257">
        <w:rPr>
          <w:bCs/>
        </w:rPr>
        <w:fldChar w:fldCharType="begin"/>
      </w:r>
      <w:r w:rsidR="00F76257">
        <w:rPr>
          <w:bCs/>
        </w:rPr>
        <w:instrText xml:space="preserve"> REF AppendixB \h </w:instrText>
      </w:r>
      <w:r w:rsidR="00F76257">
        <w:rPr>
          <w:bCs/>
        </w:rPr>
      </w:r>
      <w:r w:rsidR="00F76257">
        <w:rPr>
          <w:bCs/>
        </w:rPr>
        <w:fldChar w:fldCharType="separate"/>
      </w:r>
      <w:r w:rsidR="00944476">
        <w:t>Appendix B</w:t>
      </w:r>
      <w:r w:rsidR="00F76257">
        <w:rPr>
          <w:bCs/>
        </w:rPr>
        <w:fldChar w:fldCharType="end"/>
      </w:r>
      <w:r>
        <w:rPr>
          <w:bCs/>
        </w:rPr>
        <w:t>.</w:t>
      </w:r>
      <w:r w:rsidR="00A6779B">
        <w:rPr>
          <w:bCs/>
        </w:rPr>
        <w:t xml:space="preserve"> </w:t>
      </w:r>
      <w:r w:rsidR="00A6779B" w:rsidRPr="00A6779B">
        <w:rPr>
          <w:bCs/>
        </w:rPr>
        <w:t xml:space="preserve">The updated DGVs reported here supersede the </w:t>
      </w:r>
      <w:r w:rsidR="001B7626">
        <w:rPr>
          <w:bCs/>
        </w:rPr>
        <w:t>ANZECC AND ARMCANZ</w:t>
      </w:r>
      <w:r w:rsidR="00A6779B" w:rsidRPr="00A6779B">
        <w:rPr>
          <w:bCs/>
        </w:rPr>
        <w:t xml:space="preserve"> (2000) interim </w:t>
      </w:r>
      <w:r w:rsidR="00A6779B">
        <w:rPr>
          <w:bCs/>
        </w:rPr>
        <w:t xml:space="preserve">indicative </w:t>
      </w:r>
      <w:r w:rsidR="00A6779B" w:rsidRPr="00A6779B">
        <w:rPr>
          <w:bCs/>
        </w:rPr>
        <w:t>working</w:t>
      </w:r>
      <w:r w:rsidR="00815F9E">
        <w:rPr>
          <w:bCs/>
        </w:rPr>
        <w:t>-</w:t>
      </w:r>
      <w:r w:rsidR="00A6779B" w:rsidRPr="00A6779B">
        <w:rPr>
          <w:bCs/>
        </w:rPr>
        <w:t>level value</w:t>
      </w:r>
      <w:r w:rsidR="00A6779B">
        <w:rPr>
          <w:bCs/>
        </w:rPr>
        <w:t>.</w:t>
      </w:r>
    </w:p>
    <w:p w14:paraId="16FCBC0D" w14:textId="23CD5E82" w:rsidR="00D15ADC" w:rsidRDefault="00D15ADC" w:rsidP="007A18FB">
      <w:pPr>
        <w:pStyle w:val="Heading2"/>
      </w:pPr>
      <w:bookmarkStart w:id="19" w:name="_Toc197088511"/>
      <w:bookmarkStart w:id="20" w:name="_Toc197783773"/>
      <w:bookmarkStart w:id="21" w:name="_Toc199424862"/>
      <w:r>
        <w:lastRenderedPageBreak/>
        <w:t xml:space="preserve">Aquatic </w:t>
      </w:r>
      <w:r w:rsidRPr="007A18FB">
        <w:t>toxicology</w:t>
      </w:r>
      <w:bookmarkEnd w:id="19"/>
      <w:bookmarkEnd w:id="20"/>
      <w:bookmarkEnd w:id="21"/>
    </w:p>
    <w:p w14:paraId="231515EB" w14:textId="568E2187" w:rsidR="00BF0280" w:rsidRDefault="00BF0280" w:rsidP="00BF0280">
      <w:r>
        <w:t>The complexity of iron speciation is problematic for attributing toxicity to either dissolved/colloidal iron or amorphous/precipitated iron(II) and iron(III) forms</w:t>
      </w:r>
      <w:r w:rsidR="006B6A33">
        <w:t>,</w:t>
      </w:r>
      <w:r>
        <w:t xml:space="preserve"> when all forms may be present simultaneously or may change in relative contributions to toxicity over time. For example, iron(II) rapidly oxidises to iron(III)</w:t>
      </w:r>
      <w:r w:rsidR="006B6A33">
        <w:t>,</w:t>
      </w:r>
      <w:r>
        <w:t xml:space="preserve"> and amorphous iron transitions to precipitated iron over time. Attributing toxicity to iron(II) versus iron(III) is also confounded by the preferred low</w:t>
      </w:r>
      <w:r w:rsidR="006B6A33">
        <w:t>-</w:t>
      </w:r>
      <w:r>
        <w:t>pH and reduced</w:t>
      </w:r>
      <w:r w:rsidR="006B6A33">
        <w:t>-</w:t>
      </w:r>
      <w:r>
        <w:t xml:space="preserve">redox conditions under which dissolved iron(II) dominates, which may be outside the physiological limits of tolerance for </w:t>
      </w:r>
      <w:r w:rsidR="000E40C1">
        <w:t xml:space="preserve">many </w:t>
      </w:r>
      <w:r>
        <w:t>biota. There is insufficient evidence to attribute toxicity to a single form of iron and</w:t>
      </w:r>
      <w:r w:rsidR="00724382">
        <w:t>,</w:t>
      </w:r>
      <w:r>
        <w:t xml:space="preserve"> therefore</w:t>
      </w:r>
      <w:r w:rsidR="00724382">
        <w:t>,</w:t>
      </w:r>
      <w:r>
        <w:t xml:space="preserve"> all forms of iron are considered in the </w:t>
      </w:r>
      <w:r w:rsidR="000E40C1">
        <w:t xml:space="preserve">current </w:t>
      </w:r>
      <w:r>
        <w:t xml:space="preserve">derivation of </w:t>
      </w:r>
      <w:r w:rsidR="000E40C1">
        <w:t>D</w:t>
      </w:r>
      <w:r>
        <w:t>GV</w:t>
      </w:r>
      <w:r w:rsidR="000E40C1">
        <w:t>s</w:t>
      </w:r>
      <w:r>
        <w:t>.</w:t>
      </w:r>
    </w:p>
    <w:p w14:paraId="3A201D01" w14:textId="77777777" w:rsidR="00612F5C" w:rsidRPr="00F9208E" w:rsidRDefault="00612F5C" w:rsidP="00612F5C">
      <w:pPr>
        <w:pStyle w:val="Heading3"/>
        <w:numPr>
          <w:ilvl w:val="1"/>
          <w:numId w:val="17"/>
        </w:numPr>
      </w:pPr>
      <w:bookmarkStart w:id="22" w:name="_Ref177974909"/>
      <w:bookmarkStart w:id="23" w:name="_Toc197088512"/>
      <w:bookmarkStart w:id="24" w:name="_Toc199424863"/>
      <w:r w:rsidRPr="00F9208E">
        <w:t>Mechanisms of iron toxicity</w:t>
      </w:r>
      <w:bookmarkEnd w:id="22"/>
      <w:bookmarkEnd w:id="23"/>
      <w:bookmarkEnd w:id="24"/>
    </w:p>
    <w:p w14:paraId="7D0590FE" w14:textId="15A0FE3B" w:rsidR="00612F5C" w:rsidRDefault="00612F5C" w:rsidP="00612F5C">
      <w:pPr>
        <w:rPr>
          <w:bCs/>
        </w:rPr>
      </w:pPr>
      <w:r>
        <w:rPr>
          <w:bCs/>
        </w:rPr>
        <w:t xml:space="preserve">Direct mechanisms of iron toxicity attributed to dissolved iron(II) are associated with oxidative stress via </w:t>
      </w:r>
      <w:r w:rsidRPr="00AF16D6">
        <w:rPr>
          <w:bCs/>
        </w:rPr>
        <w:t>free radical</w:t>
      </w:r>
      <w:r>
        <w:rPr>
          <w:bCs/>
        </w:rPr>
        <w:t xml:space="preserve"> production causing damage to DNA, and </w:t>
      </w:r>
      <w:r w:rsidR="009A1311">
        <w:rPr>
          <w:bCs/>
        </w:rPr>
        <w:t xml:space="preserve">damage to </w:t>
      </w:r>
      <w:r>
        <w:rPr>
          <w:bCs/>
        </w:rPr>
        <w:t>cellular membrane</w:t>
      </w:r>
      <w:r w:rsidR="009A1311">
        <w:rPr>
          <w:bCs/>
        </w:rPr>
        <w:t>s</w:t>
      </w:r>
      <w:r>
        <w:rPr>
          <w:bCs/>
        </w:rPr>
        <w:t xml:space="preserve"> as a result of lipid peroxidation resulting in subsequent leakage of potassium (Bury et al. 2011</w:t>
      </w:r>
      <w:r w:rsidR="00691BB3">
        <w:rPr>
          <w:bCs/>
        </w:rPr>
        <w:t>;</w:t>
      </w:r>
      <w:r>
        <w:rPr>
          <w:bCs/>
        </w:rPr>
        <w:t xml:space="preserve"> EPRI 2004</w:t>
      </w:r>
      <w:r w:rsidR="00691BB3">
        <w:rPr>
          <w:bCs/>
        </w:rPr>
        <w:t>;</w:t>
      </w:r>
      <w:r>
        <w:rPr>
          <w:bCs/>
        </w:rPr>
        <w:t xml:space="preserve"> Vuori 1995). Dietary uptake of precipitated iron(III) oxyhydroxides is associated with cell membrane damage to the digestive system (Gerhardt 1992). Direct physical toxicity of iron(III) hydroxide is evident </w:t>
      </w:r>
      <w:r w:rsidR="00DC41D6">
        <w:rPr>
          <w:bCs/>
        </w:rPr>
        <w:t xml:space="preserve">from </w:t>
      </w:r>
      <w:r>
        <w:rPr>
          <w:bCs/>
        </w:rPr>
        <w:t>histopathological damage to fish and macroinvertebrate gills</w:t>
      </w:r>
      <w:r w:rsidR="00124B3A">
        <w:rPr>
          <w:bCs/>
        </w:rPr>
        <w:t>,</w:t>
      </w:r>
      <w:r>
        <w:rPr>
          <w:bCs/>
        </w:rPr>
        <w:t xml:space="preserve"> where the precipitate accumulates on the gill surface and prevents oxygen diffusion without being bioaccumulated (Gerhardt 1992</w:t>
      </w:r>
      <w:r w:rsidR="00691BB3">
        <w:rPr>
          <w:bCs/>
        </w:rPr>
        <w:t>;</w:t>
      </w:r>
      <w:r>
        <w:rPr>
          <w:bCs/>
        </w:rPr>
        <w:t xml:space="preserve"> Vuori 1995</w:t>
      </w:r>
      <w:r w:rsidR="00691BB3">
        <w:rPr>
          <w:bCs/>
        </w:rPr>
        <w:t>;</w:t>
      </w:r>
      <w:r>
        <w:rPr>
          <w:bCs/>
        </w:rPr>
        <w:t xml:space="preserve"> Dalzell </w:t>
      </w:r>
      <w:r w:rsidR="00E44304">
        <w:rPr>
          <w:bCs/>
        </w:rPr>
        <w:t>and</w:t>
      </w:r>
      <w:r>
        <w:rPr>
          <w:bCs/>
        </w:rPr>
        <w:t xml:space="preserve"> Macfarlane 1999). </w:t>
      </w:r>
      <w:r w:rsidRPr="00BE65AB">
        <w:rPr>
          <w:bCs/>
        </w:rPr>
        <w:t>Teien et al. (2008)</w:t>
      </w:r>
      <w:r>
        <w:rPr>
          <w:bCs/>
        </w:rPr>
        <w:t xml:space="preserve"> found toxicity to fish and effects on fish gills associated with transient forms of iron (speculated by </w:t>
      </w:r>
      <w:r w:rsidRPr="00BE65AB">
        <w:rPr>
          <w:bCs/>
        </w:rPr>
        <w:t>Peters et al. 2011</w:t>
      </w:r>
      <w:r>
        <w:rPr>
          <w:bCs/>
        </w:rPr>
        <w:t>a to be FeOH</w:t>
      </w:r>
      <w:r w:rsidRPr="001F49F3">
        <w:rPr>
          <w:bCs/>
          <w:vertAlign w:val="superscript"/>
        </w:rPr>
        <w:t>2</w:t>
      </w:r>
      <w:r w:rsidR="005673DF">
        <w:rPr>
          <w:bCs/>
          <w:vertAlign w:val="superscript"/>
        </w:rPr>
        <w:t>−</w:t>
      </w:r>
      <w:r w:rsidRPr="001F49F3">
        <w:rPr>
          <w:bCs/>
          <w:vertAlign w:val="subscript"/>
        </w:rPr>
        <w:t>(aq)</w:t>
      </w:r>
      <w:r>
        <w:rPr>
          <w:bCs/>
        </w:rPr>
        <w:t xml:space="preserve"> and Fe(OH)</w:t>
      </w:r>
      <w:r w:rsidRPr="008734D5">
        <w:rPr>
          <w:bCs/>
          <w:vertAlign w:val="subscript"/>
        </w:rPr>
        <w:t>2</w:t>
      </w:r>
      <w:r w:rsidR="005673DF">
        <w:rPr>
          <w:bCs/>
          <w:vertAlign w:val="superscript"/>
        </w:rPr>
        <w:t>−</w:t>
      </w:r>
      <w:r w:rsidR="005673DF" w:rsidRPr="001F49F3">
        <w:rPr>
          <w:bCs/>
          <w:vertAlign w:val="subscript"/>
        </w:rPr>
        <w:t xml:space="preserve"> </w:t>
      </w:r>
      <w:r w:rsidRPr="001F49F3">
        <w:rPr>
          <w:bCs/>
          <w:vertAlign w:val="subscript"/>
        </w:rPr>
        <w:t>(aq)</w:t>
      </w:r>
      <w:r>
        <w:rPr>
          <w:bCs/>
        </w:rPr>
        <w:t>) going from low</w:t>
      </w:r>
      <w:r w:rsidR="001335CB">
        <w:rPr>
          <w:bCs/>
        </w:rPr>
        <w:t>-molecular-weight</w:t>
      </w:r>
      <w:r>
        <w:rPr>
          <w:bCs/>
        </w:rPr>
        <w:t xml:space="preserve"> to high</w:t>
      </w:r>
      <w:r w:rsidR="001335CB">
        <w:rPr>
          <w:bCs/>
        </w:rPr>
        <w:t>-</w:t>
      </w:r>
      <w:r>
        <w:rPr>
          <w:bCs/>
        </w:rPr>
        <w:t>molecular</w:t>
      </w:r>
      <w:r w:rsidR="001335CB">
        <w:rPr>
          <w:bCs/>
        </w:rPr>
        <w:t>-</w:t>
      </w:r>
      <w:r>
        <w:rPr>
          <w:bCs/>
        </w:rPr>
        <w:t>weight iron forms correlated with a decrease in iron(II) and increase in iron(III). Small (2</w:t>
      </w:r>
      <w:r w:rsidR="001335CB">
        <w:rPr>
          <w:bCs/>
        </w:rPr>
        <w:t>-</w:t>
      </w:r>
      <w:r>
        <w:rPr>
          <w:bCs/>
        </w:rPr>
        <w:t>µm) precipitates of iron(III) hydroxide have been found to reduce fish (</w:t>
      </w:r>
      <w:r w:rsidR="00F8336C">
        <w:rPr>
          <w:bCs/>
        </w:rPr>
        <w:t>fathead minnow [</w:t>
      </w:r>
      <w:r w:rsidR="00256F26" w:rsidRPr="00D96B82">
        <w:rPr>
          <w:bCs/>
          <w:i/>
        </w:rPr>
        <w:t>Pimephales</w:t>
      </w:r>
      <w:r w:rsidRPr="0067248A">
        <w:rPr>
          <w:bCs/>
          <w:i/>
        </w:rPr>
        <w:t xml:space="preserve"> promelas</w:t>
      </w:r>
      <w:r w:rsidR="00F8336C" w:rsidRPr="00515B5D">
        <w:rPr>
          <w:bCs/>
          <w:iCs/>
        </w:rPr>
        <w:t>]</w:t>
      </w:r>
      <w:r>
        <w:rPr>
          <w:bCs/>
        </w:rPr>
        <w:t>) egg hatch success by clogging the pores of the egg chorion (Smith et al. 1973).</w:t>
      </w:r>
    </w:p>
    <w:p w14:paraId="60D5DDB7" w14:textId="08497A50" w:rsidR="00612F5C" w:rsidRDefault="00612F5C" w:rsidP="00BF0280">
      <w:r>
        <w:rPr>
          <w:bCs/>
        </w:rPr>
        <w:t>Indirect toxic effects have been observed primarily in field studies and manifest as iron hydroxides and iron</w:t>
      </w:r>
      <w:r w:rsidR="00651FD5">
        <w:rPr>
          <w:bCs/>
        </w:rPr>
        <w:t>–</w:t>
      </w:r>
      <w:r>
        <w:rPr>
          <w:bCs/>
        </w:rPr>
        <w:t>humus precipitates that coat benthic surfaces and alter the habitat and food quality, which impacts macroinvertebrate communities and subsequent higher trophic levels. These precipitates have been observed to restrict the distribution, abundance and diversity of fish and benthic invertebrates (Peters et al. 2011a</w:t>
      </w:r>
      <w:r w:rsidR="00691BB3">
        <w:rPr>
          <w:bCs/>
        </w:rPr>
        <w:t>;</w:t>
      </w:r>
      <w:r>
        <w:rPr>
          <w:bCs/>
        </w:rPr>
        <w:t xml:space="preserve"> Vuori 1995).</w:t>
      </w:r>
    </w:p>
    <w:p w14:paraId="4DCF4DEC" w14:textId="596BAE77" w:rsidR="001C0D1C" w:rsidRPr="00BF0280" w:rsidRDefault="00BF0280" w:rsidP="00BF0280">
      <w:pPr>
        <w:pStyle w:val="Heading3"/>
      </w:pPr>
      <w:bookmarkStart w:id="25" w:name="_Toc197088513"/>
      <w:bookmarkStart w:id="26" w:name="_Toc199424864"/>
      <w:r w:rsidRPr="00BF0280">
        <w:t>Chronic effects of iron(II) on aquatic biota</w:t>
      </w:r>
      <w:bookmarkEnd w:id="25"/>
      <w:bookmarkEnd w:id="26"/>
    </w:p>
    <w:p w14:paraId="3951A103" w14:textId="6B4D8687" w:rsidR="00BF0280" w:rsidRDefault="00BF0280" w:rsidP="00BF0280">
      <w:pPr>
        <w:rPr>
          <w:bCs/>
        </w:rPr>
      </w:pPr>
      <w:r>
        <w:rPr>
          <w:bCs/>
        </w:rPr>
        <w:t xml:space="preserve">Iron(II) is considered more bioavailable than iron(III) due to its higher solubility and rapid ligand exchange kinetics that facilitate iron trans-membrane transport (Sunda </w:t>
      </w:r>
      <w:r w:rsidR="00E44304">
        <w:rPr>
          <w:bCs/>
        </w:rPr>
        <w:t>and</w:t>
      </w:r>
      <w:r>
        <w:rPr>
          <w:bCs/>
        </w:rPr>
        <w:t xml:space="preserve"> Huntsman 1998). However, due to the lack of iron(II) and iron(III) speciation measurements, there is limited experimental evidence for this hypothesis</w:t>
      </w:r>
      <w:r w:rsidRPr="0091675F">
        <w:rPr>
          <w:bCs/>
        </w:rPr>
        <w:t>. Gerhardt (1992) conducted</w:t>
      </w:r>
      <w:r>
        <w:rPr>
          <w:bCs/>
        </w:rPr>
        <w:t xml:space="preserve"> chronic toxicity tests using iron(II) with the acid</w:t>
      </w:r>
      <w:r w:rsidR="00C03235">
        <w:rPr>
          <w:bCs/>
        </w:rPr>
        <w:t>-</w:t>
      </w:r>
      <w:r>
        <w:rPr>
          <w:bCs/>
        </w:rPr>
        <w:t>tolerant mayfly (</w:t>
      </w:r>
      <w:r w:rsidRPr="005A5171">
        <w:rPr>
          <w:bCs/>
          <w:i/>
        </w:rPr>
        <w:t>Leptophlebia marginata</w:t>
      </w:r>
      <w:r>
        <w:rPr>
          <w:bCs/>
        </w:rPr>
        <w:t>) at pH 4.5 where iron(II) was dominant and at pH 7 where iron(III) was dominant. Mayfly survival, motility and feeding behaviour over 30</w:t>
      </w:r>
      <w:r w:rsidR="00324DA3">
        <w:rPr>
          <w:bCs/>
        </w:rPr>
        <w:t> </w:t>
      </w:r>
      <w:r>
        <w:rPr>
          <w:bCs/>
        </w:rPr>
        <w:t xml:space="preserve">days were reduced when exposed to iron(II) and </w:t>
      </w:r>
      <w:r w:rsidR="00324DA3">
        <w:rPr>
          <w:bCs/>
        </w:rPr>
        <w:t xml:space="preserve">were </w:t>
      </w:r>
      <w:r>
        <w:rPr>
          <w:bCs/>
        </w:rPr>
        <w:t xml:space="preserve">unaffected by iron(III). It was suggested that iron(II) acted on the gut membrane to prevent food absorption so that the mayflies starved. This study was able to discern a difference between chronic effects of iron(II) and iron(III) because the </w:t>
      </w:r>
      <w:r>
        <w:rPr>
          <w:bCs/>
        </w:rPr>
        <w:lastRenderedPageBreak/>
        <w:t>test organism was compatible with low pH and iron(II) was measured</w:t>
      </w:r>
      <w:r w:rsidR="000E40C1">
        <w:rPr>
          <w:bCs/>
        </w:rPr>
        <w:t>,</w:t>
      </w:r>
      <w:r>
        <w:rPr>
          <w:bCs/>
        </w:rPr>
        <w:t xml:space="preserve"> but this has not been replicated with other species.</w:t>
      </w:r>
    </w:p>
    <w:p w14:paraId="4D5BA95C" w14:textId="6FA0B14D" w:rsidR="00BF0280" w:rsidRDefault="00BF0280" w:rsidP="00BF0280">
      <w:pPr>
        <w:pStyle w:val="Heading3"/>
        <w:numPr>
          <w:ilvl w:val="1"/>
          <w:numId w:val="17"/>
        </w:numPr>
      </w:pPr>
      <w:bookmarkStart w:id="27" w:name="_Toc4498827"/>
      <w:bookmarkStart w:id="28" w:name="_Ref174712492"/>
      <w:bookmarkStart w:id="29" w:name="_Toc197088514"/>
      <w:bookmarkStart w:id="30" w:name="_Toc199424865"/>
      <w:r>
        <w:t>Chronic effects of iron(III) as Fe(OH)</w:t>
      </w:r>
      <w:r w:rsidRPr="00A53BDB">
        <w:rPr>
          <w:vertAlign w:val="subscript"/>
        </w:rPr>
        <w:t>3</w:t>
      </w:r>
      <w:r>
        <w:t xml:space="preserve"> on aquatic biota</w:t>
      </w:r>
      <w:bookmarkEnd w:id="27"/>
      <w:bookmarkEnd w:id="28"/>
      <w:bookmarkEnd w:id="29"/>
      <w:bookmarkEnd w:id="30"/>
    </w:p>
    <w:p w14:paraId="507D03B1" w14:textId="57515E5B" w:rsidR="00BF0280" w:rsidRDefault="00BF0280" w:rsidP="00BF0280">
      <w:r>
        <w:rPr>
          <w:bCs/>
        </w:rPr>
        <w:t>A series of studies (Sykora et al. 1972a</w:t>
      </w:r>
      <w:r w:rsidR="00691BB3">
        <w:rPr>
          <w:bCs/>
        </w:rPr>
        <w:t>;</w:t>
      </w:r>
      <w:r>
        <w:rPr>
          <w:bCs/>
        </w:rPr>
        <w:t xml:space="preserve"> Smith et al. 1973</w:t>
      </w:r>
      <w:r w:rsidR="00691BB3">
        <w:rPr>
          <w:bCs/>
        </w:rPr>
        <w:t>;</w:t>
      </w:r>
      <w:r>
        <w:rPr>
          <w:bCs/>
        </w:rPr>
        <w:t xml:space="preserve"> Sykora et al. 1972b</w:t>
      </w:r>
      <w:r w:rsidR="00691BB3">
        <w:rPr>
          <w:bCs/>
        </w:rPr>
        <w:t>;</w:t>
      </w:r>
      <w:r>
        <w:rPr>
          <w:bCs/>
        </w:rPr>
        <w:t xml:space="preserve"> Sykora et al. 1975</w:t>
      </w:r>
      <w:r w:rsidR="00691BB3">
        <w:rPr>
          <w:bCs/>
        </w:rPr>
        <w:t>;</w:t>
      </w:r>
      <w:r>
        <w:rPr>
          <w:bCs/>
        </w:rPr>
        <w:t xml:space="preserve"> Smith </w:t>
      </w:r>
      <w:r w:rsidR="00E44304">
        <w:rPr>
          <w:bCs/>
        </w:rPr>
        <w:t>and</w:t>
      </w:r>
      <w:r>
        <w:rPr>
          <w:bCs/>
        </w:rPr>
        <w:t xml:space="preserve"> Sykora 1976)</w:t>
      </w:r>
      <w:r w:rsidRPr="0091675F">
        <w:rPr>
          <w:bCs/>
        </w:rPr>
        <w:t xml:space="preserve"> assess</w:t>
      </w:r>
      <w:r w:rsidR="00171BDE">
        <w:rPr>
          <w:bCs/>
        </w:rPr>
        <w:t>ed</w:t>
      </w:r>
      <w:r>
        <w:rPr>
          <w:bCs/>
        </w:rPr>
        <w:t xml:space="preserve"> the chronic toxicity of iron(III) hydroxide precipitate (obtained by neutralisation of iron(II) </w:t>
      </w:r>
      <w:r w:rsidRPr="007266D1">
        <w:rPr>
          <w:bCs/>
        </w:rPr>
        <w:t>sul</w:t>
      </w:r>
      <w:r>
        <w:rPr>
          <w:bCs/>
        </w:rPr>
        <w:t>f</w:t>
      </w:r>
      <w:r w:rsidRPr="007266D1">
        <w:rPr>
          <w:bCs/>
        </w:rPr>
        <w:t>ate</w:t>
      </w:r>
      <w:r>
        <w:rPr>
          <w:bCs/>
        </w:rPr>
        <w:t xml:space="preserve"> with calcium hydroxide and aeration) to invertebrates (</w:t>
      </w:r>
      <w:r w:rsidR="00F8336C">
        <w:rPr>
          <w:bCs/>
        </w:rPr>
        <w:t xml:space="preserve">the </w:t>
      </w:r>
      <w:r>
        <w:rPr>
          <w:bCs/>
        </w:rPr>
        <w:t>amphipod</w:t>
      </w:r>
      <w:r w:rsidR="00A31048">
        <w:rPr>
          <w:bCs/>
        </w:rPr>
        <w:t xml:space="preserve"> </w:t>
      </w:r>
      <w:r w:rsidRPr="00D96B82">
        <w:rPr>
          <w:bCs/>
          <w:i/>
        </w:rPr>
        <w:t>Gammarus minus</w:t>
      </w:r>
      <w:r>
        <w:rPr>
          <w:bCs/>
        </w:rPr>
        <w:t xml:space="preserve"> </w:t>
      </w:r>
      <w:r w:rsidR="00A31048">
        <w:rPr>
          <w:bCs/>
        </w:rPr>
        <w:t>and</w:t>
      </w:r>
      <w:r w:rsidR="00F8336C">
        <w:rPr>
          <w:bCs/>
        </w:rPr>
        <w:t xml:space="preserve"> the</w:t>
      </w:r>
      <w:r w:rsidR="00A31048">
        <w:rPr>
          <w:bCs/>
        </w:rPr>
        <w:t xml:space="preserve"> </w:t>
      </w:r>
      <w:r>
        <w:rPr>
          <w:bCs/>
        </w:rPr>
        <w:t>caddisfly</w:t>
      </w:r>
      <w:r w:rsidR="00A31048">
        <w:rPr>
          <w:bCs/>
        </w:rPr>
        <w:t xml:space="preserve"> </w:t>
      </w:r>
      <w:r w:rsidRPr="00D96B82">
        <w:rPr>
          <w:bCs/>
          <w:i/>
        </w:rPr>
        <w:t>Cheumatopsyche</w:t>
      </w:r>
      <w:r>
        <w:rPr>
          <w:bCs/>
        </w:rPr>
        <w:t xml:space="preserve"> sp.) and fish (</w:t>
      </w:r>
      <w:r w:rsidR="00D2058C">
        <w:rPr>
          <w:bCs/>
        </w:rPr>
        <w:t>[</w:t>
      </w:r>
      <w:r w:rsidR="00256F26" w:rsidRPr="00D96B82">
        <w:rPr>
          <w:bCs/>
          <w:i/>
        </w:rPr>
        <w:t>P</w:t>
      </w:r>
      <w:r w:rsidR="00256F26">
        <w:rPr>
          <w:bCs/>
          <w:i/>
        </w:rPr>
        <w:t>.</w:t>
      </w:r>
      <w:r w:rsidR="00197CA0">
        <w:rPr>
          <w:bCs/>
          <w:i/>
        </w:rPr>
        <w:t> </w:t>
      </w:r>
      <w:r w:rsidRPr="00D96B82">
        <w:rPr>
          <w:bCs/>
          <w:i/>
        </w:rPr>
        <w:t>promelas</w:t>
      </w:r>
      <w:r w:rsidR="00D2058C">
        <w:rPr>
          <w:bCs/>
          <w:iCs/>
        </w:rPr>
        <w:t>]</w:t>
      </w:r>
      <w:r w:rsidR="00F8336C">
        <w:rPr>
          <w:bCs/>
        </w:rPr>
        <w:t>,</w:t>
      </w:r>
      <w:r w:rsidR="00A31048">
        <w:rPr>
          <w:bCs/>
        </w:rPr>
        <w:t xml:space="preserve"> </w:t>
      </w:r>
      <w:r w:rsidR="00B06B8B">
        <w:rPr>
          <w:bCs/>
        </w:rPr>
        <w:t>b</w:t>
      </w:r>
      <w:r>
        <w:rPr>
          <w:bCs/>
        </w:rPr>
        <w:t>rook trout</w:t>
      </w:r>
      <w:r w:rsidR="00A31048">
        <w:rPr>
          <w:bCs/>
        </w:rPr>
        <w:t xml:space="preserve"> </w:t>
      </w:r>
      <w:r w:rsidR="00F8336C">
        <w:rPr>
          <w:bCs/>
        </w:rPr>
        <w:t>[</w:t>
      </w:r>
      <w:r w:rsidRPr="00D96B82">
        <w:rPr>
          <w:bCs/>
          <w:i/>
        </w:rPr>
        <w:t>Salvelinus fontinalis</w:t>
      </w:r>
      <w:r w:rsidR="00F8336C">
        <w:rPr>
          <w:bCs/>
        </w:rPr>
        <w:t>]</w:t>
      </w:r>
      <w:r>
        <w:rPr>
          <w:bCs/>
        </w:rPr>
        <w:t xml:space="preserve"> and </w:t>
      </w:r>
      <w:r w:rsidR="00F8336C">
        <w:rPr>
          <w:bCs/>
        </w:rPr>
        <w:t>c</w:t>
      </w:r>
      <w:r>
        <w:rPr>
          <w:bCs/>
        </w:rPr>
        <w:t>oho salmon</w:t>
      </w:r>
      <w:r w:rsidR="00A31048">
        <w:rPr>
          <w:bCs/>
        </w:rPr>
        <w:t xml:space="preserve"> </w:t>
      </w:r>
      <w:r w:rsidR="00F8336C">
        <w:rPr>
          <w:bCs/>
        </w:rPr>
        <w:t>[</w:t>
      </w:r>
      <w:r w:rsidRPr="00D96B82">
        <w:rPr>
          <w:bCs/>
          <w:i/>
        </w:rPr>
        <w:t>Oncorhynchus kisutch</w:t>
      </w:r>
      <w:r w:rsidR="00F8336C">
        <w:rPr>
          <w:bCs/>
          <w:iCs/>
        </w:rPr>
        <w:t>]</w:t>
      </w:r>
      <w:r>
        <w:rPr>
          <w:bCs/>
        </w:rPr>
        <w:t>). Most of the data from these studies did not pass the data</w:t>
      </w:r>
      <w:r w:rsidR="00945A13">
        <w:rPr>
          <w:bCs/>
        </w:rPr>
        <w:t>-</w:t>
      </w:r>
      <w:r>
        <w:rPr>
          <w:bCs/>
        </w:rPr>
        <w:t xml:space="preserve">quality assessment criteria for use in the </w:t>
      </w:r>
      <w:r w:rsidR="00724382">
        <w:rPr>
          <w:bCs/>
        </w:rPr>
        <w:t xml:space="preserve">current </w:t>
      </w:r>
      <w:r>
        <w:rPr>
          <w:bCs/>
        </w:rPr>
        <w:t>DGV</w:t>
      </w:r>
      <w:r w:rsidR="00E449B7">
        <w:rPr>
          <w:bCs/>
        </w:rPr>
        <w:t>-</w:t>
      </w:r>
      <w:r>
        <w:rPr>
          <w:bCs/>
        </w:rPr>
        <w:t xml:space="preserve">derivation process due to a failure to state the test acceptability criteria or to infer acceptability criteria by stating a standard method (Warne et al. </w:t>
      </w:r>
      <w:r w:rsidR="0094202A">
        <w:rPr>
          <w:bCs/>
        </w:rPr>
        <w:t>2018</w:t>
      </w:r>
      <w:r>
        <w:rPr>
          <w:bCs/>
        </w:rPr>
        <w:t>)</w:t>
      </w:r>
      <w:r w:rsidRPr="00700AE8">
        <w:rPr>
          <w:bCs/>
        </w:rPr>
        <w:t>.</w:t>
      </w:r>
      <w:r>
        <w:rPr>
          <w:bCs/>
        </w:rPr>
        <w:t xml:space="preserve"> However, they are worth commenting on because of the long exposure durations (</w:t>
      </w:r>
      <w:r w:rsidRPr="00621201">
        <w:rPr>
          <w:bCs/>
        </w:rPr>
        <w:t>3.5</w:t>
      </w:r>
      <w:r w:rsidR="00040656">
        <w:rPr>
          <w:bCs/>
        </w:rPr>
        <w:t> </w:t>
      </w:r>
      <w:r w:rsidRPr="00621201">
        <w:rPr>
          <w:bCs/>
        </w:rPr>
        <w:t>months to 2</w:t>
      </w:r>
      <w:r w:rsidR="00040656">
        <w:rPr>
          <w:bCs/>
        </w:rPr>
        <w:t> </w:t>
      </w:r>
      <w:r w:rsidRPr="00621201">
        <w:rPr>
          <w:bCs/>
        </w:rPr>
        <w:t>years</w:t>
      </w:r>
      <w:r>
        <w:rPr>
          <w:bCs/>
        </w:rPr>
        <w:t>) and the measurement of iron speciation and physicochemistry throughout the exposure period. The precipitate was maintained in suspension with an aerated flow-through system. Iron speciation measurements demonstrated that iron was predominantly in the iron(III) form</w:t>
      </w:r>
      <w:r w:rsidR="005D6CD6">
        <w:rPr>
          <w:bCs/>
        </w:rPr>
        <w:t xml:space="preserve"> –</w:t>
      </w:r>
      <w:r>
        <w:rPr>
          <w:bCs/>
        </w:rPr>
        <w:t xml:space="preserve"> iron(II) compris</w:t>
      </w:r>
      <w:r w:rsidR="005D6CD6">
        <w:rPr>
          <w:bCs/>
        </w:rPr>
        <w:t>ed</w:t>
      </w:r>
      <w:r>
        <w:rPr>
          <w:bCs/>
        </w:rPr>
        <w:t xml:space="preserve"> 0.3</w:t>
      </w:r>
      <w:r w:rsidR="00FC69AC">
        <w:rPr>
          <w:bCs/>
        </w:rPr>
        <w:t xml:space="preserve">% to </w:t>
      </w:r>
      <w:r>
        <w:rPr>
          <w:bCs/>
        </w:rPr>
        <w:t>9% of the total iron. The diluent consisted of well water and the test solution hardness and pH ranged from 112</w:t>
      </w:r>
      <w:r w:rsidR="00040656">
        <w:rPr>
          <w:bCs/>
        </w:rPr>
        <w:t> mg/L CaCO</w:t>
      </w:r>
      <w:r w:rsidR="00040656" w:rsidRPr="00623B37">
        <w:rPr>
          <w:bCs/>
          <w:vertAlign w:val="subscript"/>
        </w:rPr>
        <w:t>3</w:t>
      </w:r>
      <w:r w:rsidR="002E05AB" w:rsidRPr="00515B5D">
        <w:rPr>
          <w:bCs/>
        </w:rPr>
        <w:t xml:space="preserve"> to </w:t>
      </w:r>
      <w:r>
        <w:rPr>
          <w:bCs/>
        </w:rPr>
        <w:t>256 mg</w:t>
      </w:r>
      <w:r w:rsidR="00040656">
        <w:rPr>
          <w:bCs/>
        </w:rPr>
        <w:t>/L</w:t>
      </w:r>
      <w:r w:rsidR="00FC69AC">
        <w:rPr>
          <w:bCs/>
        </w:rPr>
        <w:t> </w:t>
      </w:r>
      <w:r>
        <w:rPr>
          <w:bCs/>
        </w:rPr>
        <w:t>CaCO</w:t>
      </w:r>
      <w:r w:rsidRPr="00623B37">
        <w:rPr>
          <w:bCs/>
          <w:vertAlign w:val="subscript"/>
        </w:rPr>
        <w:t>3</w:t>
      </w:r>
      <w:r>
        <w:rPr>
          <w:bCs/>
        </w:rPr>
        <w:t xml:space="preserve"> and 6.9–8.1 pH, respectively. The hardness gradient was due to the addition of calcium hydroxide for the neutralisation process. Iron hydroxide precipitates caused 100% amphipod mortality after the third week of exposure to 100</w:t>
      </w:r>
      <w:r w:rsidR="00461E7E">
        <w:rPr>
          <w:bCs/>
        </w:rPr>
        <w:t>,</w:t>
      </w:r>
      <w:r>
        <w:rPr>
          <w:bCs/>
        </w:rPr>
        <w:t>000 µg/L total iron and after 14 weeks of exposure to 4</w:t>
      </w:r>
      <w:r w:rsidR="00FC69AC">
        <w:rPr>
          <w:bCs/>
        </w:rPr>
        <w:t>,</w:t>
      </w:r>
      <w:r>
        <w:rPr>
          <w:bCs/>
        </w:rPr>
        <w:t>000 µg/L total iron. Freshly prepared Fe(OH)</w:t>
      </w:r>
      <w:r w:rsidRPr="000E35A1">
        <w:rPr>
          <w:bCs/>
          <w:vertAlign w:val="subscript"/>
        </w:rPr>
        <w:t>3</w:t>
      </w:r>
      <w:r>
        <w:rPr>
          <w:bCs/>
        </w:rPr>
        <w:t xml:space="preserve"> solutions were </w:t>
      </w:r>
      <w:r w:rsidR="002E05AB">
        <w:rPr>
          <w:bCs/>
        </w:rPr>
        <w:t xml:space="preserve">3 </w:t>
      </w:r>
      <w:r>
        <w:rPr>
          <w:bCs/>
        </w:rPr>
        <w:t xml:space="preserve">times more toxic </w:t>
      </w:r>
      <w:r w:rsidR="00BC5869">
        <w:rPr>
          <w:bCs/>
        </w:rPr>
        <w:t xml:space="preserve">to amphipods </w:t>
      </w:r>
      <w:r>
        <w:rPr>
          <w:bCs/>
        </w:rPr>
        <w:t>than aged (6.5</w:t>
      </w:r>
      <w:r w:rsidR="002E05AB">
        <w:rPr>
          <w:bCs/>
        </w:rPr>
        <w:t> </w:t>
      </w:r>
      <w:r>
        <w:rPr>
          <w:bCs/>
        </w:rPr>
        <w:t>hours) solutions (Sykora et al. 1972a). Emergence of the caddisfly larvae was low and variable in controls (30</w:t>
      </w:r>
      <w:r w:rsidR="00FC69AC">
        <w:rPr>
          <w:bCs/>
        </w:rPr>
        <w:t xml:space="preserve">% to </w:t>
      </w:r>
      <w:r>
        <w:rPr>
          <w:bCs/>
        </w:rPr>
        <w:t>60% emergence) and iron treatments (0</w:t>
      </w:r>
      <w:r w:rsidR="00FC69AC">
        <w:rPr>
          <w:bCs/>
        </w:rPr>
        <w:t xml:space="preserve">% to </w:t>
      </w:r>
      <w:r>
        <w:rPr>
          <w:bCs/>
        </w:rPr>
        <w:t>50% emergence) but declined to 0% emergence at greater than 12</w:t>
      </w:r>
      <w:r w:rsidR="00FC69AC">
        <w:rPr>
          <w:bCs/>
        </w:rPr>
        <w:t>,</w:t>
      </w:r>
      <w:r>
        <w:rPr>
          <w:bCs/>
        </w:rPr>
        <w:t>000–25</w:t>
      </w:r>
      <w:r w:rsidR="00FC69AC">
        <w:rPr>
          <w:bCs/>
        </w:rPr>
        <w:t>,</w:t>
      </w:r>
      <w:r>
        <w:rPr>
          <w:bCs/>
        </w:rPr>
        <w:t>000 µg/L fresh or aged Fe(OH)</w:t>
      </w:r>
      <w:r w:rsidRPr="00623B37">
        <w:rPr>
          <w:bCs/>
          <w:vertAlign w:val="subscript"/>
        </w:rPr>
        <w:t>3</w:t>
      </w:r>
      <w:r>
        <w:rPr>
          <w:bCs/>
        </w:rPr>
        <w:t xml:space="preserve"> (Sykora et al. 1972a). </w:t>
      </w:r>
      <w:r w:rsidRPr="00BE65AB">
        <w:rPr>
          <w:bCs/>
        </w:rPr>
        <w:t>Smith et al. (1973)</w:t>
      </w:r>
      <w:r>
        <w:rPr>
          <w:bCs/>
        </w:rPr>
        <w:t xml:space="preserve"> found that 2</w:t>
      </w:r>
      <w:r w:rsidR="004E65F8">
        <w:rPr>
          <w:bCs/>
        </w:rPr>
        <w:t>,</w:t>
      </w:r>
      <w:r>
        <w:rPr>
          <w:bCs/>
        </w:rPr>
        <w:t xml:space="preserve">000 µg/L </w:t>
      </w:r>
      <w:r w:rsidR="00FB3C84">
        <w:rPr>
          <w:bCs/>
        </w:rPr>
        <w:t xml:space="preserve">total </w:t>
      </w:r>
      <w:r w:rsidR="00FE6F70">
        <w:rPr>
          <w:bCs/>
        </w:rPr>
        <w:t xml:space="preserve">iron </w:t>
      </w:r>
      <w:r>
        <w:rPr>
          <w:bCs/>
        </w:rPr>
        <w:t xml:space="preserve">was protective of chronic effects on juvenile </w:t>
      </w:r>
      <w:r w:rsidR="00EB3EAB">
        <w:rPr>
          <w:bCs/>
          <w:i/>
          <w:iCs/>
        </w:rPr>
        <w:t>P. promelas</w:t>
      </w:r>
      <w:r>
        <w:rPr>
          <w:bCs/>
        </w:rPr>
        <w:t xml:space="preserve"> survival, growth and egg</w:t>
      </w:r>
      <w:r w:rsidR="004111D8">
        <w:rPr>
          <w:bCs/>
        </w:rPr>
        <w:t>-</w:t>
      </w:r>
      <w:r>
        <w:rPr>
          <w:bCs/>
        </w:rPr>
        <w:t xml:space="preserve">hatch success. Juvenile </w:t>
      </w:r>
      <w:r w:rsidR="00080EFF">
        <w:rPr>
          <w:bCs/>
        </w:rPr>
        <w:t xml:space="preserve">brook </w:t>
      </w:r>
      <w:r>
        <w:rPr>
          <w:bCs/>
        </w:rPr>
        <w:t xml:space="preserve">trout were less sensitive </w:t>
      </w:r>
      <w:r w:rsidR="00844BE5">
        <w:rPr>
          <w:bCs/>
        </w:rPr>
        <w:t>– the</w:t>
      </w:r>
      <w:r>
        <w:rPr>
          <w:bCs/>
        </w:rPr>
        <w:t xml:space="preserve"> 35</w:t>
      </w:r>
      <w:r w:rsidR="004C4F0B">
        <w:rPr>
          <w:bCs/>
        </w:rPr>
        <w:t>-</w:t>
      </w:r>
      <w:r>
        <w:rPr>
          <w:bCs/>
        </w:rPr>
        <w:t xml:space="preserve">week growth NOEC </w:t>
      </w:r>
      <w:r w:rsidR="00844BE5">
        <w:rPr>
          <w:bCs/>
        </w:rPr>
        <w:t>was</w:t>
      </w:r>
      <w:r>
        <w:rPr>
          <w:bCs/>
        </w:rPr>
        <w:t xml:space="preserve"> 13</w:t>
      </w:r>
      <w:r w:rsidR="004E65F8">
        <w:rPr>
          <w:bCs/>
        </w:rPr>
        <w:t>,</w:t>
      </w:r>
      <w:r>
        <w:rPr>
          <w:bCs/>
        </w:rPr>
        <w:t xml:space="preserve">420 µg/L (Sykora et al. 1972b), and no effects on hatch success </w:t>
      </w:r>
      <w:r w:rsidR="00844BE5">
        <w:rPr>
          <w:bCs/>
        </w:rPr>
        <w:t xml:space="preserve">were observed </w:t>
      </w:r>
      <w:r>
        <w:rPr>
          <w:bCs/>
        </w:rPr>
        <w:t>up to the highest test concentration of 9</w:t>
      </w:r>
      <w:r w:rsidR="004E65F8">
        <w:rPr>
          <w:bCs/>
        </w:rPr>
        <w:t>,</w:t>
      </w:r>
      <w:r>
        <w:rPr>
          <w:bCs/>
        </w:rPr>
        <w:t xml:space="preserve">000 µg/L total iron (Sykora et al. 1975). Similarly, egg hatch success of </w:t>
      </w:r>
      <w:r w:rsidR="00844BE5">
        <w:rPr>
          <w:bCs/>
        </w:rPr>
        <w:t>c</w:t>
      </w:r>
      <w:r>
        <w:rPr>
          <w:bCs/>
        </w:rPr>
        <w:t>oho salmon was not affected by Fe(OH)</w:t>
      </w:r>
      <w:r w:rsidRPr="00623B37">
        <w:rPr>
          <w:bCs/>
          <w:vertAlign w:val="subscript"/>
        </w:rPr>
        <w:t>3</w:t>
      </w:r>
      <w:r>
        <w:rPr>
          <w:bCs/>
        </w:rPr>
        <w:t xml:space="preserve"> at the highest test concentration of 10</w:t>
      </w:r>
      <w:r w:rsidR="004E65F8">
        <w:rPr>
          <w:bCs/>
        </w:rPr>
        <w:t>,</w:t>
      </w:r>
      <w:r>
        <w:rPr>
          <w:bCs/>
        </w:rPr>
        <w:t xml:space="preserve">000 µg/L total iron (Smith </w:t>
      </w:r>
      <w:r w:rsidR="00E44304">
        <w:rPr>
          <w:bCs/>
        </w:rPr>
        <w:t>and</w:t>
      </w:r>
      <w:r>
        <w:rPr>
          <w:bCs/>
        </w:rPr>
        <w:t xml:space="preserve"> Sykora 1976). However, survival of the juvenile (30-day post-hatch) </w:t>
      </w:r>
      <w:r w:rsidR="00C53F15">
        <w:rPr>
          <w:bCs/>
        </w:rPr>
        <w:t>c</w:t>
      </w:r>
      <w:r>
        <w:rPr>
          <w:bCs/>
        </w:rPr>
        <w:t>oho salmon declined to 69% at concentrations ≥</w:t>
      </w:r>
      <w:r w:rsidR="004E65F8">
        <w:rPr>
          <w:bCs/>
        </w:rPr>
        <w:t> </w:t>
      </w:r>
      <w:r>
        <w:rPr>
          <w:bCs/>
        </w:rPr>
        <w:t>6</w:t>
      </w:r>
      <w:r w:rsidR="004E65F8">
        <w:rPr>
          <w:bCs/>
        </w:rPr>
        <w:t>,</w:t>
      </w:r>
      <w:r>
        <w:rPr>
          <w:bCs/>
        </w:rPr>
        <w:t>000 µg/L, suggesting higher sensitivity to Fe(OH)</w:t>
      </w:r>
      <w:r w:rsidRPr="00623B37">
        <w:rPr>
          <w:bCs/>
          <w:vertAlign w:val="subscript"/>
        </w:rPr>
        <w:t>3</w:t>
      </w:r>
      <w:r>
        <w:rPr>
          <w:bCs/>
        </w:rPr>
        <w:t xml:space="preserve"> than </w:t>
      </w:r>
      <w:r w:rsidR="00296B23">
        <w:rPr>
          <w:bCs/>
        </w:rPr>
        <w:t>b</w:t>
      </w:r>
      <w:r>
        <w:rPr>
          <w:bCs/>
        </w:rPr>
        <w:t xml:space="preserve">rook trout but lower sensitivity than </w:t>
      </w:r>
      <w:r w:rsidR="00EB3EAB">
        <w:rPr>
          <w:bCs/>
          <w:i/>
          <w:iCs/>
        </w:rPr>
        <w:t>P. promelas</w:t>
      </w:r>
      <w:r>
        <w:rPr>
          <w:bCs/>
        </w:rPr>
        <w:t>.</w:t>
      </w:r>
    </w:p>
    <w:p w14:paraId="6923637C" w14:textId="3F4CD58B" w:rsidR="004C067D" w:rsidRDefault="004C067D" w:rsidP="00D174B5">
      <w:pPr>
        <w:autoSpaceDE w:val="0"/>
        <w:autoSpaceDN w:val="0"/>
        <w:adjustRightInd w:val="0"/>
        <w:spacing w:line="264" w:lineRule="auto"/>
        <w:rPr>
          <w:rFonts w:eastAsia="Cambria" w:cstheme="minorHAnsi"/>
          <w:lang w:eastAsia="en-AU"/>
        </w:rPr>
      </w:pPr>
      <w:r>
        <w:t xml:space="preserve">Several </w:t>
      </w:r>
      <w:r w:rsidR="00F65BD3">
        <w:t>recent papers</w:t>
      </w:r>
      <w:r w:rsidR="00CC1DB5">
        <w:t xml:space="preserve">, </w:t>
      </w:r>
      <w:r>
        <w:t xml:space="preserve">including </w:t>
      </w:r>
      <w:r w:rsidR="00CC1DB5">
        <w:t>Cadmus et al. (2018</w:t>
      </w:r>
      <w:r w:rsidR="004314A9">
        <w:t xml:space="preserve">a, </w:t>
      </w:r>
      <w:r w:rsidR="004E65F8">
        <w:t>2018</w:t>
      </w:r>
      <w:r w:rsidR="004314A9">
        <w:t>b</w:t>
      </w:r>
      <w:r w:rsidR="00CC1DB5">
        <w:t>)</w:t>
      </w:r>
      <w:r>
        <w:t>,</w:t>
      </w:r>
      <w:r w:rsidR="00CC1DB5">
        <w:t xml:space="preserve"> Ca</w:t>
      </w:r>
      <w:r w:rsidR="00E34C03">
        <w:t>r</w:t>
      </w:r>
      <w:r w:rsidR="00CC1DB5">
        <w:t>dwell et al. (2023)</w:t>
      </w:r>
      <w:r>
        <w:t xml:space="preserve"> and Kotalik et al. (2019)</w:t>
      </w:r>
      <w:r w:rsidR="006C1599">
        <w:t>,</w:t>
      </w:r>
      <w:r w:rsidR="000C1755">
        <w:t xml:space="preserve"> have </w:t>
      </w:r>
      <w:r w:rsidR="006F0AE5">
        <w:t>contributed</w:t>
      </w:r>
      <w:r w:rsidR="000C1755">
        <w:t xml:space="preserve"> significantly to </w:t>
      </w:r>
      <w:r w:rsidR="00FD4B57">
        <w:t xml:space="preserve">the knowledge on </w:t>
      </w:r>
      <w:r w:rsidR="00F304EF">
        <w:t>iron</w:t>
      </w:r>
      <w:r w:rsidR="000C1755">
        <w:t xml:space="preserve"> toxicity </w:t>
      </w:r>
      <w:r w:rsidR="00FD4B57">
        <w:t>to freshwater biota</w:t>
      </w:r>
      <w:r w:rsidR="000C1755">
        <w:t>.</w:t>
      </w:r>
      <w:r w:rsidR="00DB0D6F">
        <w:t xml:space="preserve"> </w:t>
      </w:r>
      <w:r w:rsidR="006C1599">
        <w:t>Cadmus et al. (2018</w:t>
      </w:r>
      <w:r w:rsidR="004314A9">
        <w:t>a</w:t>
      </w:r>
      <w:r w:rsidR="006C1599">
        <w:t xml:space="preserve">) </w:t>
      </w:r>
      <w:r w:rsidR="003353DC">
        <w:t>undertook 30-d</w:t>
      </w:r>
      <w:r w:rsidR="006B78D7">
        <w:t>ay</w:t>
      </w:r>
      <w:r w:rsidR="003353DC">
        <w:t xml:space="preserve"> chronic tests </w:t>
      </w:r>
      <w:r w:rsidR="00F87B02" w:rsidRPr="005E2A22">
        <w:rPr>
          <w:rFonts w:cstheme="minorHAnsi"/>
        </w:rPr>
        <w:t xml:space="preserve">on </w:t>
      </w:r>
      <w:r w:rsidR="00F87B02" w:rsidRPr="00CC68AE">
        <w:rPr>
          <w:rFonts w:eastAsia="Cambria" w:cstheme="minorHAnsi"/>
          <w:lang w:eastAsia="en-AU"/>
        </w:rPr>
        <w:t>brown trout (</w:t>
      </w:r>
      <w:r w:rsidR="00F87B02" w:rsidRPr="00CC68AE">
        <w:rPr>
          <w:rFonts w:eastAsia="Cambria" w:cstheme="minorHAnsi"/>
          <w:i/>
          <w:iCs/>
          <w:lang w:eastAsia="en-AU"/>
        </w:rPr>
        <w:t>Salmo trutta</w:t>
      </w:r>
      <w:r w:rsidR="00F87B02" w:rsidRPr="00CC68AE">
        <w:rPr>
          <w:rFonts w:eastAsia="Cambria" w:cstheme="minorHAnsi"/>
          <w:lang w:eastAsia="en-AU"/>
        </w:rPr>
        <w:t>), mountain whitefish (</w:t>
      </w:r>
      <w:r w:rsidR="00F87B02" w:rsidRPr="00CC68AE">
        <w:rPr>
          <w:rFonts w:eastAsia="Cambria" w:cstheme="minorHAnsi"/>
          <w:i/>
          <w:iCs/>
          <w:lang w:eastAsia="en-AU"/>
        </w:rPr>
        <w:t>Prosopium williamsoni</w:t>
      </w:r>
      <w:r w:rsidR="004314A9" w:rsidRPr="00CC68AE">
        <w:rPr>
          <w:rFonts w:eastAsia="Cambria" w:cstheme="minorHAnsi"/>
          <w:lang w:eastAsia="en-AU"/>
        </w:rPr>
        <w:t>)</w:t>
      </w:r>
      <w:r w:rsidR="005B0B4C">
        <w:rPr>
          <w:rFonts w:eastAsia="Cambria" w:cstheme="minorHAnsi"/>
          <w:lang w:eastAsia="en-AU"/>
        </w:rPr>
        <w:t>, an oligochaete (</w:t>
      </w:r>
      <w:r w:rsidR="005B0B4C" w:rsidRPr="005B0B4C">
        <w:rPr>
          <w:rFonts w:eastAsia="Cambria" w:cstheme="minorHAnsi"/>
          <w:i/>
          <w:iCs/>
          <w:lang w:val="en-GB" w:eastAsia="en-AU"/>
        </w:rPr>
        <w:t>Lumbriculus variegatus</w:t>
      </w:r>
      <w:r w:rsidR="005B0B4C">
        <w:rPr>
          <w:rFonts w:eastAsia="Cambria" w:cstheme="minorHAnsi"/>
          <w:lang w:val="en-GB" w:eastAsia="en-AU"/>
        </w:rPr>
        <w:t>), a mayfly (</w:t>
      </w:r>
      <w:r w:rsidR="005B0B4C" w:rsidRPr="005B0B4C">
        <w:rPr>
          <w:rFonts w:eastAsia="Cambria" w:cstheme="minorHAnsi"/>
          <w:i/>
          <w:iCs/>
          <w:lang w:val="en-GB" w:eastAsia="en-AU"/>
        </w:rPr>
        <w:t xml:space="preserve">Hexagenia </w:t>
      </w:r>
      <w:r w:rsidR="005B0B4C">
        <w:rPr>
          <w:rFonts w:eastAsia="Cambria" w:cstheme="minorHAnsi"/>
          <w:i/>
          <w:iCs/>
          <w:lang w:val="en-GB" w:eastAsia="en-AU"/>
        </w:rPr>
        <w:t>limbata</w:t>
      </w:r>
      <w:r w:rsidR="005B0B4C">
        <w:rPr>
          <w:rFonts w:eastAsia="Cambria" w:cstheme="minorHAnsi"/>
          <w:lang w:val="en-GB" w:eastAsia="en-AU"/>
        </w:rPr>
        <w:t>)</w:t>
      </w:r>
      <w:r w:rsidR="005B0B4C">
        <w:rPr>
          <w:rFonts w:eastAsia="Cambria" w:cstheme="minorHAnsi"/>
          <w:lang w:eastAsia="en-AU"/>
        </w:rPr>
        <w:t>,</w:t>
      </w:r>
      <w:r w:rsidR="004314A9" w:rsidRPr="00CC68AE">
        <w:rPr>
          <w:rFonts w:eastAsia="Cambria" w:cstheme="minorHAnsi"/>
          <w:lang w:eastAsia="en-AU"/>
        </w:rPr>
        <w:t xml:space="preserve"> </w:t>
      </w:r>
      <w:r w:rsidR="00F87B02" w:rsidRPr="00CC68AE">
        <w:rPr>
          <w:rFonts w:eastAsia="Cambria" w:cstheme="minorHAnsi"/>
          <w:lang w:eastAsia="en-AU"/>
        </w:rPr>
        <w:t>boreal toad tadpoles (</w:t>
      </w:r>
      <w:r w:rsidR="00F87B02" w:rsidRPr="00CC68AE">
        <w:rPr>
          <w:rFonts w:eastAsia="Cambria" w:cstheme="minorHAnsi"/>
          <w:i/>
          <w:iCs/>
          <w:lang w:eastAsia="en-AU"/>
        </w:rPr>
        <w:t>Bufo boreas</w:t>
      </w:r>
      <w:r w:rsidR="00F87B02" w:rsidRPr="00CC68AE">
        <w:rPr>
          <w:rFonts w:eastAsia="Cambria" w:cstheme="minorHAnsi"/>
          <w:lang w:eastAsia="en-AU"/>
        </w:rPr>
        <w:t>)</w:t>
      </w:r>
      <w:r w:rsidR="005B0B4C">
        <w:rPr>
          <w:rFonts w:eastAsia="Cambria" w:cstheme="minorHAnsi"/>
          <w:lang w:eastAsia="en-AU"/>
        </w:rPr>
        <w:t xml:space="preserve"> and a planarian (</w:t>
      </w:r>
      <w:r w:rsidR="005B0B4C" w:rsidRPr="00AD309A">
        <w:rPr>
          <w:rFonts w:eastAsia="Cambria" w:cstheme="minorHAnsi"/>
          <w:i/>
          <w:iCs/>
          <w:lang w:eastAsia="en-AU"/>
        </w:rPr>
        <w:t>Dugesia dorotocephala</w:t>
      </w:r>
      <w:r w:rsidR="005B0B4C">
        <w:rPr>
          <w:rFonts w:eastAsia="Cambria" w:cstheme="minorHAnsi"/>
          <w:lang w:eastAsia="en-AU"/>
        </w:rPr>
        <w:t>)</w:t>
      </w:r>
      <w:r w:rsidR="00F87B02" w:rsidRPr="00CC68AE">
        <w:rPr>
          <w:rFonts w:eastAsia="Cambria" w:cstheme="minorHAnsi"/>
          <w:lang w:eastAsia="en-AU"/>
        </w:rPr>
        <w:t>,</w:t>
      </w:r>
      <w:r w:rsidR="005E2A22" w:rsidRPr="00091F07">
        <w:rPr>
          <w:rFonts w:eastAsia="Cambria" w:cstheme="minorHAnsi"/>
          <w:lang w:eastAsia="en-AU"/>
        </w:rPr>
        <w:t xml:space="preserve"> </w:t>
      </w:r>
      <w:r w:rsidR="004314A9">
        <w:rPr>
          <w:rFonts w:eastAsia="Cambria" w:cstheme="minorHAnsi"/>
          <w:lang w:eastAsia="en-AU"/>
        </w:rPr>
        <w:t>while Cadmus et al. (2018b) undertook</w:t>
      </w:r>
      <w:r w:rsidR="005E2A22" w:rsidRPr="00091F07">
        <w:rPr>
          <w:rFonts w:eastAsia="Cambria" w:cstheme="minorHAnsi"/>
          <w:lang w:eastAsia="en-AU"/>
        </w:rPr>
        <w:t xml:space="preserve"> </w:t>
      </w:r>
      <w:r w:rsidR="004C7A88">
        <w:rPr>
          <w:rFonts w:eastAsia="Cambria" w:cstheme="minorHAnsi"/>
          <w:lang w:eastAsia="en-AU"/>
        </w:rPr>
        <w:t xml:space="preserve">a </w:t>
      </w:r>
      <w:r w:rsidR="00CB685C" w:rsidRPr="00091F07">
        <w:rPr>
          <w:rFonts w:eastAsia="Cambria" w:cstheme="minorHAnsi"/>
          <w:lang w:eastAsia="en-AU"/>
        </w:rPr>
        <w:t xml:space="preserve">10-day mesocosm experiment </w:t>
      </w:r>
      <w:r w:rsidR="002C0F6F">
        <w:rPr>
          <w:rFonts w:eastAsia="Cambria" w:cstheme="minorHAnsi"/>
          <w:lang w:eastAsia="en-AU"/>
        </w:rPr>
        <w:t xml:space="preserve">where responses of a range of </w:t>
      </w:r>
      <w:r w:rsidR="000C6021">
        <w:rPr>
          <w:rFonts w:eastAsia="Cambria" w:cstheme="minorHAnsi"/>
          <w:lang w:eastAsia="en-AU"/>
        </w:rPr>
        <w:t xml:space="preserve">insect </w:t>
      </w:r>
      <w:r w:rsidR="004C7A88">
        <w:rPr>
          <w:rFonts w:eastAsia="Cambria" w:cstheme="minorHAnsi"/>
          <w:lang w:eastAsia="en-AU"/>
        </w:rPr>
        <w:t xml:space="preserve">groups </w:t>
      </w:r>
      <w:r w:rsidR="002C0F6F">
        <w:rPr>
          <w:rFonts w:eastAsia="Cambria" w:cstheme="minorHAnsi"/>
          <w:lang w:eastAsia="en-AU"/>
        </w:rPr>
        <w:t>were e</w:t>
      </w:r>
      <w:r w:rsidR="00C61041">
        <w:rPr>
          <w:rFonts w:eastAsia="Cambria" w:cstheme="minorHAnsi"/>
          <w:lang w:eastAsia="en-AU"/>
        </w:rPr>
        <w:t>x</w:t>
      </w:r>
      <w:r w:rsidR="002C0F6F">
        <w:rPr>
          <w:rFonts w:eastAsia="Cambria" w:cstheme="minorHAnsi"/>
          <w:lang w:eastAsia="en-AU"/>
        </w:rPr>
        <w:t xml:space="preserve">amined, </w:t>
      </w:r>
      <w:r w:rsidR="001E3BCD" w:rsidRPr="00091F07">
        <w:rPr>
          <w:rFonts w:eastAsia="Cambria" w:cstheme="minorHAnsi"/>
          <w:lang w:eastAsia="en-AU"/>
        </w:rPr>
        <w:t xml:space="preserve">including </w:t>
      </w:r>
      <w:r w:rsidR="001E3BCD" w:rsidRPr="00CC68AE">
        <w:rPr>
          <w:rFonts w:eastAsia="Cambria" w:cstheme="minorHAnsi"/>
          <w:lang w:eastAsia="en-AU"/>
        </w:rPr>
        <w:t xml:space="preserve">the mayfly </w:t>
      </w:r>
      <w:r w:rsidR="001E3BCD" w:rsidRPr="00CC68AE">
        <w:rPr>
          <w:rFonts w:eastAsia="Cambria" w:cstheme="minorHAnsi"/>
          <w:i/>
          <w:iCs/>
          <w:lang w:eastAsia="en-AU"/>
        </w:rPr>
        <w:t xml:space="preserve">Epeorus </w:t>
      </w:r>
      <w:r w:rsidR="001E3BCD" w:rsidRPr="00CC68AE">
        <w:rPr>
          <w:rFonts w:eastAsia="Cambria" w:cstheme="minorHAnsi"/>
          <w:lang w:eastAsia="en-AU"/>
        </w:rPr>
        <w:t>sp</w:t>
      </w:r>
      <w:r w:rsidR="000C6021">
        <w:rPr>
          <w:rFonts w:eastAsia="Cambria" w:cstheme="minorHAnsi"/>
          <w:lang w:eastAsia="en-AU"/>
        </w:rPr>
        <w:t>p</w:t>
      </w:r>
      <w:r w:rsidR="001E3BCD" w:rsidRPr="00CC68AE">
        <w:rPr>
          <w:rFonts w:eastAsia="Cambria" w:cstheme="minorHAnsi"/>
          <w:lang w:eastAsia="en-AU"/>
        </w:rPr>
        <w:t xml:space="preserve">., the caddisfly </w:t>
      </w:r>
      <w:r w:rsidR="001E3BCD" w:rsidRPr="00CC68AE">
        <w:rPr>
          <w:rFonts w:eastAsia="Cambria" w:cstheme="minorHAnsi"/>
          <w:i/>
          <w:iCs/>
          <w:lang w:eastAsia="en-AU"/>
        </w:rPr>
        <w:t xml:space="preserve">Micrasema </w:t>
      </w:r>
      <w:r w:rsidR="001E3BCD" w:rsidRPr="00CC68AE">
        <w:rPr>
          <w:rFonts w:eastAsia="Cambria" w:cstheme="minorHAnsi"/>
          <w:lang w:eastAsia="en-AU"/>
        </w:rPr>
        <w:t>sp</w:t>
      </w:r>
      <w:r w:rsidR="000C6021">
        <w:rPr>
          <w:rFonts w:eastAsia="Cambria" w:cstheme="minorHAnsi"/>
          <w:lang w:eastAsia="en-AU"/>
        </w:rPr>
        <w:t>p</w:t>
      </w:r>
      <w:r w:rsidR="001E3BCD" w:rsidRPr="00CC68AE">
        <w:rPr>
          <w:rFonts w:eastAsia="Cambria" w:cstheme="minorHAnsi"/>
          <w:lang w:eastAsia="en-AU"/>
        </w:rPr>
        <w:t xml:space="preserve">. and </w:t>
      </w:r>
      <w:r w:rsidR="004314A9">
        <w:rPr>
          <w:rFonts w:eastAsia="Cambria" w:cstheme="minorHAnsi"/>
          <w:lang w:eastAsia="en-AU"/>
        </w:rPr>
        <w:t>t</w:t>
      </w:r>
      <w:r w:rsidR="001E3BCD" w:rsidRPr="00B12AE6">
        <w:rPr>
          <w:rFonts w:eastAsia="Cambria" w:cstheme="minorHAnsi"/>
          <w:lang w:eastAsia="en-AU"/>
        </w:rPr>
        <w:t>anytarsini</w:t>
      </w:r>
      <w:r w:rsidR="004314A9">
        <w:rPr>
          <w:rFonts w:eastAsia="Cambria" w:cstheme="minorHAnsi"/>
          <w:lang w:eastAsia="en-AU"/>
        </w:rPr>
        <w:t>d chironomids</w:t>
      </w:r>
      <w:r w:rsidR="00BA3F33">
        <w:rPr>
          <w:rFonts w:eastAsia="Cambria" w:cstheme="minorHAnsi"/>
          <w:lang w:eastAsia="en-AU"/>
        </w:rPr>
        <w:t xml:space="preserve"> (note that the toxicity values for the Cadmus et al. 2018b mesocosm study were actually reported in Cadmus et al. 2018a)</w:t>
      </w:r>
      <w:r w:rsidR="00307560" w:rsidRPr="00B12AE6">
        <w:rPr>
          <w:rFonts w:eastAsia="Cambria" w:cstheme="minorHAnsi"/>
          <w:lang w:eastAsia="en-AU"/>
        </w:rPr>
        <w:t>.</w:t>
      </w:r>
      <w:r w:rsidR="00870DEC">
        <w:rPr>
          <w:rFonts w:eastAsia="Cambria" w:cstheme="minorHAnsi"/>
          <w:lang w:eastAsia="en-AU"/>
        </w:rPr>
        <w:t xml:space="preserve"> </w:t>
      </w:r>
      <w:r w:rsidR="00651717">
        <w:rPr>
          <w:rFonts w:eastAsia="Cambria" w:cstheme="minorHAnsi"/>
          <w:lang w:eastAsia="en-AU"/>
        </w:rPr>
        <w:t>S</w:t>
      </w:r>
      <w:r w:rsidR="00FE4028">
        <w:rPr>
          <w:rFonts w:eastAsia="Cambria" w:cstheme="minorHAnsi"/>
          <w:lang w:eastAsia="en-AU"/>
        </w:rPr>
        <w:t>ingle</w:t>
      </w:r>
      <w:r w:rsidR="006B78D7">
        <w:rPr>
          <w:rFonts w:eastAsia="Cambria" w:cstheme="minorHAnsi"/>
          <w:lang w:eastAsia="en-AU"/>
        </w:rPr>
        <w:t>-</w:t>
      </w:r>
      <w:r w:rsidR="00FE4028">
        <w:rPr>
          <w:rFonts w:eastAsia="Cambria" w:cstheme="minorHAnsi"/>
          <w:lang w:eastAsia="en-AU"/>
        </w:rPr>
        <w:t xml:space="preserve">species tests </w:t>
      </w:r>
      <w:r w:rsidR="00651717">
        <w:rPr>
          <w:rFonts w:eastAsia="Cambria" w:cstheme="minorHAnsi"/>
          <w:lang w:eastAsia="en-AU"/>
        </w:rPr>
        <w:t xml:space="preserve">EC20 </w:t>
      </w:r>
      <w:r w:rsidR="00735E38">
        <w:rPr>
          <w:rFonts w:eastAsia="Cambria" w:cstheme="minorHAnsi"/>
          <w:lang w:eastAsia="en-AU"/>
        </w:rPr>
        <w:t>(see ‘</w:t>
      </w:r>
      <w:r w:rsidR="00735E38">
        <w:rPr>
          <w:rFonts w:eastAsia="Cambria" w:cstheme="minorHAnsi"/>
          <w:lang w:eastAsia="en-AU"/>
        </w:rPr>
        <w:fldChar w:fldCharType="begin"/>
      </w:r>
      <w:r w:rsidR="00735E38">
        <w:rPr>
          <w:rFonts w:eastAsia="Cambria" w:cstheme="minorHAnsi"/>
          <w:lang w:eastAsia="en-AU"/>
        </w:rPr>
        <w:instrText xml:space="preserve"> REF _Ref195456441 \h </w:instrText>
      </w:r>
      <w:r w:rsidR="00735E38">
        <w:rPr>
          <w:rFonts w:eastAsia="Cambria" w:cstheme="minorHAnsi"/>
          <w:lang w:eastAsia="en-AU"/>
        </w:rPr>
      </w:r>
      <w:r w:rsidR="00735E38">
        <w:rPr>
          <w:rFonts w:eastAsia="Cambria" w:cstheme="minorHAnsi"/>
          <w:lang w:eastAsia="en-AU"/>
        </w:rPr>
        <w:fldChar w:fldCharType="separate"/>
      </w:r>
      <w:r w:rsidR="00944476">
        <w:t>Glossary and acronyms</w:t>
      </w:r>
      <w:r w:rsidR="00735E38">
        <w:rPr>
          <w:rFonts w:eastAsia="Cambria" w:cstheme="minorHAnsi"/>
          <w:lang w:eastAsia="en-AU"/>
        </w:rPr>
        <w:fldChar w:fldCharType="end"/>
      </w:r>
      <w:r w:rsidR="00735E38">
        <w:rPr>
          <w:rFonts w:eastAsia="Cambria" w:cstheme="minorHAnsi"/>
          <w:lang w:eastAsia="en-AU"/>
        </w:rPr>
        <w:t xml:space="preserve">’ for definitions) </w:t>
      </w:r>
      <w:r w:rsidR="00651717">
        <w:rPr>
          <w:rFonts w:eastAsia="Cambria" w:cstheme="minorHAnsi"/>
          <w:lang w:eastAsia="en-AU"/>
        </w:rPr>
        <w:t xml:space="preserve">values (total iron) </w:t>
      </w:r>
      <w:r w:rsidR="00FE4028">
        <w:rPr>
          <w:rFonts w:eastAsia="Cambria" w:cstheme="minorHAnsi"/>
          <w:lang w:eastAsia="en-AU"/>
        </w:rPr>
        <w:t>ranged from 870</w:t>
      </w:r>
      <w:r w:rsidR="00FE4028">
        <w:rPr>
          <w:bCs/>
        </w:rPr>
        <w:t> µg/L</w:t>
      </w:r>
      <w:r w:rsidR="00FE4028">
        <w:rPr>
          <w:rFonts w:eastAsia="Cambria" w:cstheme="minorHAnsi"/>
          <w:lang w:eastAsia="en-AU"/>
        </w:rPr>
        <w:t xml:space="preserve"> for </w:t>
      </w:r>
      <w:r w:rsidR="00FE4028">
        <w:rPr>
          <w:rFonts w:eastAsia="Cambria" w:cstheme="minorHAnsi"/>
          <w:i/>
          <w:iCs/>
          <w:lang w:eastAsia="en-AU"/>
        </w:rPr>
        <w:t>L</w:t>
      </w:r>
      <w:r w:rsidR="004C43BE">
        <w:rPr>
          <w:rFonts w:eastAsia="Cambria" w:cstheme="minorHAnsi"/>
          <w:i/>
          <w:iCs/>
          <w:lang w:eastAsia="en-AU"/>
        </w:rPr>
        <w:t>umbriculus</w:t>
      </w:r>
      <w:r w:rsidR="00FE4028">
        <w:rPr>
          <w:rFonts w:eastAsia="Cambria" w:cstheme="minorHAnsi"/>
          <w:i/>
          <w:iCs/>
          <w:lang w:eastAsia="en-AU"/>
        </w:rPr>
        <w:t xml:space="preserve"> </w:t>
      </w:r>
      <w:r w:rsidR="00FE4028" w:rsidRPr="005B0B4C">
        <w:rPr>
          <w:rFonts w:eastAsia="Cambria" w:cstheme="minorHAnsi"/>
          <w:i/>
          <w:iCs/>
          <w:lang w:val="en-GB" w:eastAsia="en-AU"/>
        </w:rPr>
        <w:t>variegatus</w:t>
      </w:r>
      <w:r w:rsidR="00FE4028">
        <w:rPr>
          <w:rFonts w:eastAsia="Cambria" w:cstheme="minorHAnsi"/>
          <w:lang w:val="en-GB" w:eastAsia="en-AU"/>
        </w:rPr>
        <w:t xml:space="preserve"> </w:t>
      </w:r>
      <w:r w:rsidR="00FE4028">
        <w:rPr>
          <w:rFonts w:eastAsia="Cambria" w:cstheme="minorHAnsi"/>
          <w:lang w:eastAsia="en-AU"/>
        </w:rPr>
        <w:t>to &gt;</w:t>
      </w:r>
      <w:r w:rsidR="000240C2">
        <w:rPr>
          <w:rFonts w:eastAsia="Cambria" w:cstheme="minorHAnsi"/>
          <w:lang w:eastAsia="en-AU"/>
        </w:rPr>
        <w:t> </w:t>
      </w:r>
      <w:r w:rsidR="00FE4028">
        <w:rPr>
          <w:rFonts w:eastAsia="Cambria" w:cstheme="minorHAnsi"/>
          <w:lang w:eastAsia="en-AU"/>
        </w:rPr>
        <w:t>40,000</w:t>
      </w:r>
      <w:r w:rsidR="000240C2">
        <w:rPr>
          <w:bCs/>
        </w:rPr>
        <w:t> </w:t>
      </w:r>
      <w:r w:rsidR="00FE4028">
        <w:rPr>
          <w:bCs/>
        </w:rPr>
        <w:t>µg/L</w:t>
      </w:r>
      <w:r w:rsidR="00FE4028">
        <w:rPr>
          <w:rFonts w:eastAsia="Cambria" w:cstheme="minorHAnsi"/>
          <w:lang w:eastAsia="en-AU"/>
        </w:rPr>
        <w:t xml:space="preserve"> for </w:t>
      </w:r>
      <w:r w:rsidR="00FE4028" w:rsidRPr="00AD309A">
        <w:rPr>
          <w:rFonts w:eastAsia="Cambria" w:cstheme="minorHAnsi"/>
          <w:i/>
          <w:iCs/>
          <w:lang w:eastAsia="en-AU"/>
        </w:rPr>
        <w:t>D. dorotocephala</w:t>
      </w:r>
      <w:r w:rsidR="00FE4028">
        <w:rPr>
          <w:rFonts w:eastAsia="Cambria" w:cstheme="minorHAnsi"/>
          <w:lang w:eastAsia="en-AU"/>
        </w:rPr>
        <w:t xml:space="preserve">, while </w:t>
      </w:r>
      <w:r w:rsidR="009A4049">
        <w:rPr>
          <w:rFonts w:eastAsia="Cambria" w:cstheme="minorHAnsi"/>
          <w:lang w:eastAsia="en-AU"/>
        </w:rPr>
        <w:t xml:space="preserve">the insect </w:t>
      </w:r>
      <w:r w:rsidR="00FE4028">
        <w:rPr>
          <w:rFonts w:eastAsia="Cambria" w:cstheme="minorHAnsi"/>
          <w:lang w:eastAsia="en-AU"/>
        </w:rPr>
        <w:t xml:space="preserve">EC20s </w:t>
      </w:r>
      <w:r w:rsidR="00FA2EB1">
        <w:rPr>
          <w:rFonts w:eastAsia="Cambria" w:cstheme="minorHAnsi"/>
          <w:lang w:eastAsia="en-AU"/>
        </w:rPr>
        <w:t xml:space="preserve">(total iron) </w:t>
      </w:r>
      <w:r w:rsidR="005B0B4C">
        <w:rPr>
          <w:rFonts w:eastAsia="Cambria" w:cstheme="minorHAnsi"/>
          <w:lang w:eastAsia="en-AU"/>
        </w:rPr>
        <w:t>from the mesocosm study ranged from 234</w:t>
      </w:r>
      <w:r w:rsidR="005B0B4C">
        <w:rPr>
          <w:bCs/>
        </w:rPr>
        <w:t xml:space="preserve"> µg/L </w:t>
      </w:r>
      <w:r w:rsidR="009A4049">
        <w:rPr>
          <w:bCs/>
        </w:rPr>
        <w:t xml:space="preserve">for Tanytarsini </w:t>
      </w:r>
      <w:r w:rsidR="005B0B4C">
        <w:rPr>
          <w:bCs/>
        </w:rPr>
        <w:t>to &gt;</w:t>
      </w:r>
      <w:r w:rsidR="000240C2">
        <w:rPr>
          <w:bCs/>
        </w:rPr>
        <w:t> </w:t>
      </w:r>
      <w:r w:rsidR="005B0B4C">
        <w:rPr>
          <w:bCs/>
        </w:rPr>
        <w:t>14,073 µg/L</w:t>
      </w:r>
      <w:r w:rsidR="009A4049">
        <w:rPr>
          <w:bCs/>
        </w:rPr>
        <w:t xml:space="preserve"> for </w:t>
      </w:r>
      <w:r w:rsidR="009A4049" w:rsidRPr="00AD309A">
        <w:rPr>
          <w:bCs/>
          <w:i/>
          <w:iCs/>
        </w:rPr>
        <w:t>Rithrogena</w:t>
      </w:r>
      <w:r w:rsidR="009A4049">
        <w:rPr>
          <w:bCs/>
        </w:rPr>
        <w:t xml:space="preserve"> spp. and </w:t>
      </w:r>
      <w:r w:rsidR="009A4049" w:rsidRPr="00AD309A">
        <w:rPr>
          <w:bCs/>
          <w:i/>
          <w:iCs/>
        </w:rPr>
        <w:t>Ephemer</w:t>
      </w:r>
      <w:r w:rsidR="009A4049">
        <w:rPr>
          <w:bCs/>
          <w:i/>
          <w:iCs/>
        </w:rPr>
        <w:t>e</w:t>
      </w:r>
      <w:r w:rsidR="009A4049" w:rsidRPr="00AD309A">
        <w:rPr>
          <w:bCs/>
          <w:i/>
          <w:iCs/>
        </w:rPr>
        <w:t>lla</w:t>
      </w:r>
      <w:r w:rsidR="009A4049">
        <w:rPr>
          <w:bCs/>
        </w:rPr>
        <w:t xml:space="preserve"> spp.</w:t>
      </w:r>
      <w:r w:rsidR="005B0B4C">
        <w:rPr>
          <w:bCs/>
        </w:rPr>
        <w:t xml:space="preserve"> (</w:t>
      </w:r>
      <w:r w:rsidR="005B0B4C">
        <w:rPr>
          <w:rFonts w:eastAsia="Cambria" w:cstheme="minorHAnsi"/>
          <w:lang w:eastAsia="en-AU"/>
        </w:rPr>
        <w:t>Cadmus et al. 2018a).</w:t>
      </w:r>
    </w:p>
    <w:p w14:paraId="6553A075" w14:textId="7300766E" w:rsidR="004C067D" w:rsidRDefault="004C067D" w:rsidP="004A6E76">
      <w:pPr>
        <w:autoSpaceDE w:val="0"/>
        <w:autoSpaceDN w:val="0"/>
        <w:adjustRightInd w:val="0"/>
        <w:spacing w:line="264" w:lineRule="auto"/>
        <w:rPr>
          <w:rFonts w:eastAsia="Cambria" w:cstheme="minorHAnsi"/>
          <w:lang w:eastAsia="en-AU"/>
        </w:rPr>
      </w:pPr>
      <w:r w:rsidRPr="00BF3FF8">
        <w:rPr>
          <w:rFonts w:eastAsia="Cambria" w:cstheme="minorHAnsi"/>
          <w:lang w:eastAsia="en-AU"/>
        </w:rPr>
        <w:lastRenderedPageBreak/>
        <w:t xml:space="preserve">Kotalik et al. </w:t>
      </w:r>
      <w:r w:rsidR="00BF3FF8" w:rsidRPr="00AD309A">
        <w:rPr>
          <w:rFonts w:eastAsia="Cambria" w:cstheme="minorHAnsi"/>
          <w:lang w:eastAsia="en-AU"/>
        </w:rPr>
        <w:t>(2019)</w:t>
      </w:r>
      <w:r w:rsidR="00BF3FF8" w:rsidRPr="00BF3FF8">
        <w:rPr>
          <w:rFonts w:eastAsia="Cambria" w:cstheme="minorHAnsi"/>
          <w:lang w:eastAsia="en-AU"/>
        </w:rPr>
        <w:t xml:space="preserve"> </w:t>
      </w:r>
      <w:r w:rsidR="00BF3FF8">
        <w:rPr>
          <w:rFonts w:eastAsia="Cambria" w:cstheme="minorHAnsi"/>
          <w:lang w:eastAsia="en-AU"/>
        </w:rPr>
        <w:t>undertook</w:t>
      </w:r>
      <w:r w:rsidR="00BF3FF8" w:rsidRPr="00091F07">
        <w:rPr>
          <w:rFonts w:eastAsia="Cambria" w:cstheme="minorHAnsi"/>
          <w:lang w:eastAsia="en-AU"/>
        </w:rPr>
        <w:t xml:space="preserve"> </w:t>
      </w:r>
      <w:r w:rsidR="00BF3FF8">
        <w:rPr>
          <w:rFonts w:eastAsia="Cambria" w:cstheme="minorHAnsi"/>
          <w:lang w:eastAsia="en-AU"/>
        </w:rPr>
        <w:t xml:space="preserve">a </w:t>
      </w:r>
      <w:r w:rsidR="00BF3FF8" w:rsidRPr="00091F07">
        <w:rPr>
          <w:rFonts w:eastAsia="Cambria" w:cstheme="minorHAnsi"/>
          <w:lang w:eastAsia="en-AU"/>
        </w:rPr>
        <w:t>1</w:t>
      </w:r>
      <w:r w:rsidR="00BF3FF8">
        <w:rPr>
          <w:rFonts w:eastAsia="Cambria" w:cstheme="minorHAnsi"/>
          <w:lang w:eastAsia="en-AU"/>
        </w:rPr>
        <w:t>4</w:t>
      </w:r>
      <w:r w:rsidR="00BF3FF8" w:rsidRPr="00091F07">
        <w:rPr>
          <w:rFonts w:eastAsia="Cambria" w:cstheme="minorHAnsi"/>
          <w:lang w:eastAsia="en-AU"/>
        </w:rPr>
        <w:t xml:space="preserve">-day mesocosm experiment </w:t>
      </w:r>
      <w:r w:rsidR="00BF3FF8">
        <w:rPr>
          <w:rFonts w:eastAsia="Cambria" w:cstheme="minorHAnsi"/>
          <w:lang w:eastAsia="en-AU"/>
        </w:rPr>
        <w:t>to assess the effects of precipitated iron on macroinvertebrate</w:t>
      </w:r>
      <w:r w:rsidR="00781585">
        <w:rPr>
          <w:rFonts w:eastAsia="Cambria" w:cstheme="minorHAnsi"/>
          <w:lang w:eastAsia="en-AU"/>
        </w:rPr>
        <w:t xml:space="preserve"> and algal </w:t>
      </w:r>
      <w:r w:rsidR="00BF3FF8">
        <w:rPr>
          <w:rFonts w:eastAsia="Cambria" w:cstheme="minorHAnsi"/>
          <w:lang w:eastAsia="en-AU"/>
        </w:rPr>
        <w:t>communities. Community composition was significantly altered at or below 1</w:t>
      </w:r>
      <w:r w:rsidR="00823E00">
        <w:rPr>
          <w:rFonts w:eastAsia="Cambria" w:cstheme="minorHAnsi"/>
          <w:lang w:eastAsia="en-AU"/>
        </w:rPr>
        <w:t> </w:t>
      </w:r>
      <w:r w:rsidR="00BF3FF8">
        <w:rPr>
          <w:rFonts w:eastAsia="Cambria" w:cstheme="minorHAnsi"/>
          <w:lang w:eastAsia="en-AU"/>
        </w:rPr>
        <w:t xml:space="preserve">mg/L total iron. </w:t>
      </w:r>
      <w:r w:rsidR="00781585">
        <w:rPr>
          <w:rFonts w:eastAsia="Cambria" w:cstheme="minorHAnsi"/>
          <w:lang w:eastAsia="en-AU"/>
        </w:rPr>
        <w:t xml:space="preserve">While green algal and diatom community </w:t>
      </w:r>
      <w:r w:rsidR="00D76C41">
        <w:rPr>
          <w:rFonts w:eastAsia="Cambria" w:cstheme="minorHAnsi"/>
          <w:lang w:eastAsia="en-AU"/>
        </w:rPr>
        <w:t>colonisation (measured as chlorophyll-</w:t>
      </w:r>
      <w:r w:rsidR="00D76C41" w:rsidRPr="00515B5D">
        <w:rPr>
          <w:rFonts w:eastAsia="Cambria" w:cstheme="minorHAnsi"/>
          <w:i/>
          <w:iCs/>
          <w:lang w:eastAsia="en-AU"/>
        </w:rPr>
        <w:t>a</w:t>
      </w:r>
      <w:r w:rsidR="00D76C41">
        <w:rPr>
          <w:rFonts w:eastAsia="Cambria" w:cstheme="minorHAnsi"/>
          <w:lang w:eastAsia="en-AU"/>
        </w:rPr>
        <w:t>)</w:t>
      </w:r>
      <w:r w:rsidR="00781585">
        <w:rPr>
          <w:rFonts w:eastAsia="Cambria" w:cstheme="minorHAnsi"/>
          <w:lang w:eastAsia="en-AU"/>
        </w:rPr>
        <w:t xml:space="preserve"> were reduced at very low total iron levels, cyanobacteria were stimulated with increasing iron concentration. Effects on algal </w:t>
      </w:r>
      <w:r w:rsidR="008739E0">
        <w:rPr>
          <w:rFonts w:eastAsia="Cambria" w:cstheme="minorHAnsi"/>
          <w:lang w:eastAsia="en-AU"/>
        </w:rPr>
        <w:t xml:space="preserve">communities </w:t>
      </w:r>
      <w:r w:rsidR="00781585">
        <w:rPr>
          <w:rFonts w:eastAsia="Cambria" w:cstheme="minorHAnsi"/>
          <w:lang w:eastAsia="en-AU"/>
        </w:rPr>
        <w:t xml:space="preserve">were primarly </w:t>
      </w:r>
      <w:r w:rsidR="00D76C41">
        <w:rPr>
          <w:rFonts w:eastAsia="Cambria" w:cstheme="minorHAnsi"/>
          <w:lang w:eastAsia="en-AU"/>
        </w:rPr>
        <w:t>attributed</w:t>
      </w:r>
      <w:r w:rsidR="00781585">
        <w:rPr>
          <w:rFonts w:eastAsia="Cambria" w:cstheme="minorHAnsi"/>
          <w:lang w:eastAsia="en-AU"/>
        </w:rPr>
        <w:t xml:space="preserve"> to iron deposition and smothering. Some insect taxa were also very sensitive to iron exposure</w:t>
      </w:r>
      <w:r w:rsidR="000F1CAB">
        <w:rPr>
          <w:rFonts w:eastAsia="Cambria" w:cstheme="minorHAnsi"/>
          <w:lang w:eastAsia="en-AU"/>
        </w:rPr>
        <w:t>/deposition</w:t>
      </w:r>
      <w:r w:rsidR="005D6CD6">
        <w:rPr>
          <w:rFonts w:eastAsia="Cambria" w:cstheme="minorHAnsi"/>
          <w:lang w:eastAsia="en-AU"/>
        </w:rPr>
        <w:t xml:space="preserve"> – </w:t>
      </w:r>
      <w:r w:rsidR="00D76C41">
        <w:rPr>
          <w:rFonts w:eastAsia="Cambria" w:cstheme="minorHAnsi"/>
          <w:lang w:eastAsia="en-AU"/>
        </w:rPr>
        <w:t xml:space="preserve">effects </w:t>
      </w:r>
      <w:r w:rsidR="00F76311">
        <w:rPr>
          <w:rFonts w:eastAsia="Cambria" w:cstheme="minorHAnsi"/>
          <w:lang w:eastAsia="en-AU"/>
        </w:rPr>
        <w:t xml:space="preserve">on some taxa/life stages </w:t>
      </w:r>
      <w:r w:rsidR="005D6CD6">
        <w:rPr>
          <w:rFonts w:eastAsia="Cambria" w:cstheme="minorHAnsi"/>
          <w:lang w:eastAsia="en-AU"/>
        </w:rPr>
        <w:t xml:space="preserve">were </w:t>
      </w:r>
      <w:r w:rsidR="00D76C41">
        <w:rPr>
          <w:rFonts w:eastAsia="Cambria" w:cstheme="minorHAnsi"/>
          <w:lang w:eastAsia="en-AU"/>
        </w:rPr>
        <w:t>observed at iron concentrations well below 100</w:t>
      </w:r>
      <w:r w:rsidR="00D76C41">
        <w:rPr>
          <w:bCs/>
        </w:rPr>
        <w:t> µg/L</w:t>
      </w:r>
      <w:r w:rsidR="00781585">
        <w:rPr>
          <w:rFonts w:eastAsia="Cambria" w:cstheme="minorHAnsi"/>
          <w:lang w:eastAsia="en-AU"/>
        </w:rPr>
        <w:t xml:space="preserve">. Overall, </w:t>
      </w:r>
      <w:r w:rsidR="00AD309A" w:rsidRPr="00BF3FF8">
        <w:rPr>
          <w:rFonts w:eastAsia="Cambria" w:cstheme="minorHAnsi"/>
          <w:lang w:eastAsia="en-AU"/>
        </w:rPr>
        <w:t xml:space="preserve">Kotalik et al. </w:t>
      </w:r>
      <w:r w:rsidR="00AD309A">
        <w:rPr>
          <w:rFonts w:eastAsia="Cambria" w:cstheme="minorHAnsi"/>
          <w:lang w:eastAsia="en-AU"/>
        </w:rPr>
        <w:t>(</w:t>
      </w:r>
      <w:r w:rsidR="00AD309A" w:rsidRPr="00894464">
        <w:rPr>
          <w:rFonts w:eastAsia="Cambria" w:cstheme="minorHAnsi"/>
          <w:lang w:eastAsia="en-AU"/>
        </w:rPr>
        <w:t>2019)</w:t>
      </w:r>
      <w:r w:rsidR="00AD309A">
        <w:rPr>
          <w:rFonts w:eastAsia="Cambria" w:cstheme="minorHAnsi"/>
          <w:lang w:eastAsia="en-AU"/>
        </w:rPr>
        <w:t xml:space="preserve"> reported </w:t>
      </w:r>
      <w:r w:rsidR="00781585">
        <w:rPr>
          <w:rFonts w:eastAsia="Cambria" w:cstheme="minorHAnsi"/>
          <w:lang w:eastAsia="en-AU"/>
        </w:rPr>
        <w:t xml:space="preserve">EC20 values for total iron </w:t>
      </w:r>
      <w:r w:rsidR="00AD309A">
        <w:rPr>
          <w:rFonts w:eastAsia="Cambria" w:cstheme="minorHAnsi"/>
          <w:lang w:eastAsia="en-AU"/>
        </w:rPr>
        <w:t xml:space="preserve">ranging </w:t>
      </w:r>
      <w:r w:rsidR="00781585">
        <w:rPr>
          <w:rFonts w:eastAsia="Cambria" w:cstheme="minorHAnsi"/>
          <w:lang w:eastAsia="en-AU"/>
        </w:rPr>
        <w:t>from 0.4</w:t>
      </w:r>
      <w:r w:rsidR="00781585">
        <w:rPr>
          <w:bCs/>
        </w:rPr>
        <w:t> µg/L for chlorophyll-</w:t>
      </w:r>
      <w:r w:rsidR="00781585" w:rsidRPr="00515B5D">
        <w:rPr>
          <w:bCs/>
          <w:i/>
          <w:iCs/>
        </w:rPr>
        <w:t>a</w:t>
      </w:r>
      <w:r w:rsidR="00AD309A">
        <w:rPr>
          <w:bCs/>
        </w:rPr>
        <w:t xml:space="preserve"> </w:t>
      </w:r>
      <w:r w:rsidR="00781585">
        <w:rPr>
          <w:bCs/>
        </w:rPr>
        <w:t>to 1</w:t>
      </w:r>
      <w:r w:rsidR="00461E7E">
        <w:rPr>
          <w:bCs/>
        </w:rPr>
        <w:t>,</w:t>
      </w:r>
      <w:r w:rsidR="00781585">
        <w:rPr>
          <w:bCs/>
        </w:rPr>
        <w:t>009 µg/L for Chironomidae adult abundance</w:t>
      </w:r>
      <w:r w:rsidR="00AD309A">
        <w:rPr>
          <w:bCs/>
        </w:rPr>
        <w:t xml:space="preserve">. </w:t>
      </w:r>
      <w:r w:rsidR="0003682D">
        <w:rPr>
          <w:bCs/>
        </w:rPr>
        <w:t>It was notable that the EC20 values based on biomass data for some communities were typically in the range</w:t>
      </w:r>
      <w:r w:rsidR="001310C9">
        <w:rPr>
          <w:bCs/>
        </w:rPr>
        <w:t xml:space="preserve"> of</w:t>
      </w:r>
      <w:r w:rsidR="0003682D">
        <w:rPr>
          <w:bCs/>
        </w:rPr>
        <w:t xml:space="preserve"> 1</w:t>
      </w:r>
      <w:r w:rsidR="000240C2">
        <w:rPr>
          <w:bCs/>
        </w:rPr>
        <w:t>–</w:t>
      </w:r>
      <w:r w:rsidR="0003682D">
        <w:rPr>
          <w:bCs/>
        </w:rPr>
        <w:t>16 µg/L</w:t>
      </w:r>
      <w:r w:rsidR="001310C9">
        <w:rPr>
          <w:bCs/>
        </w:rPr>
        <w:t>,</w:t>
      </w:r>
      <w:r w:rsidR="0003682D">
        <w:rPr>
          <w:bCs/>
        </w:rPr>
        <w:t xml:space="preserve"> while </w:t>
      </w:r>
      <w:r w:rsidR="004A6E76">
        <w:rPr>
          <w:bCs/>
        </w:rPr>
        <w:t xml:space="preserve">other biomass and </w:t>
      </w:r>
      <w:r w:rsidR="0003682D">
        <w:rPr>
          <w:bCs/>
        </w:rPr>
        <w:t>abundance en</w:t>
      </w:r>
      <w:r w:rsidR="004A6E76">
        <w:rPr>
          <w:bCs/>
        </w:rPr>
        <w:t>d</w:t>
      </w:r>
      <w:r w:rsidR="0003682D">
        <w:rPr>
          <w:bCs/>
        </w:rPr>
        <w:t xml:space="preserve">points were in the range </w:t>
      </w:r>
      <w:r w:rsidR="001310C9">
        <w:rPr>
          <w:bCs/>
        </w:rPr>
        <w:t xml:space="preserve">of </w:t>
      </w:r>
      <w:r w:rsidR="0003682D">
        <w:rPr>
          <w:bCs/>
        </w:rPr>
        <w:t>261</w:t>
      </w:r>
      <w:r w:rsidR="000240C2">
        <w:rPr>
          <w:bCs/>
        </w:rPr>
        <w:t>–</w:t>
      </w:r>
      <w:r w:rsidR="0003682D">
        <w:rPr>
          <w:bCs/>
        </w:rPr>
        <w:t>1</w:t>
      </w:r>
      <w:r w:rsidR="000240C2">
        <w:rPr>
          <w:bCs/>
        </w:rPr>
        <w:t>,</w:t>
      </w:r>
      <w:r w:rsidR="0003682D">
        <w:rPr>
          <w:bCs/>
        </w:rPr>
        <w:t>009 µg/L. However, t</w:t>
      </w:r>
      <w:r w:rsidR="00AD309A">
        <w:rPr>
          <w:bCs/>
        </w:rPr>
        <w:t>he r</w:t>
      </w:r>
      <w:r w:rsidR="00AD309A" w:rsidRPr="00AD309A">
        <w:rPr>
          <w:bCs/>
          <w:vertAlign w:val="superscript"/>
        </w:rPr>
        <w:t>2</w:t>
      </w:r>
      <w:r w:rsidR="00AD309A">
        <w:rPr>
          <w:bCs/>
        </w:rPr>
        <w:t xml:space="preserve"> values for </w:t>
      </w:r>
      <w:r w:rsidR="00A64540">
        <w:rPr>
          <w:bCs/>
        </w:rPr>
        <w:t xml:space="preserve">the </w:t>
      </w:r>
      <w:r w:rsidR="00A64540" w:rsidRPr="00A64540">
        <w:rPr>
          <w:bCs/>
        </w:rPr>
        <w:t xml:space="preserve">linear models used to test for significance for </w:t>
      </w:r>
      <w:r w:rsidR="00A64540">
        <w:rPr>
          <w:bCs/>
        </w:rPr>
        <w:t xml:space="preserve">the </w:t>
      </w:r>
      <w:r w:rsidR="00A64540" w:rsidRPr="00A64540">
        <w:rPr>
          <w:bCs/>
        </w:rPr>
        <w:t xml:space="preserve">endpoints </w:t>
      </w:r>
      <w:r w:rsidR="00A64540">
        <w:rPr>
          <w:bCs/>
        </w:rPr>
        <w:t xml:space="preserve">that resulted in low EC20s </w:t>
      </w:r>
      <w:r w:rsidR="0003682D">
        <w:rPr>
          <w:bCs/>
        </w:rPr>
        <w:t>(1</w:t>
      </w:r>
      <w:r w:rsidR="000240C2">
        <w:rPr>
          <w:bCs/>
        </w:rPr>
        <w:t>–</w:t>
      </w:r>
      <w:r w:rsidR="0003682D">
        <w:rPr>
          <w:bCs/>
        </w:rPr>
        <w:t xml:space="preserve">16 µg/L) ranged from 0.02 to 0.44, </w:t>
      </w:r>
      <w:r w:rsidR="00CC49D1">
        <w:rPr>
          <w:bCs/>
        </w:rPr>
        <w:t xml:space="preserve">indicating very high uncertainty </w:t>
      </w:r>
      <w:r w:rsidR="005E7C11">
        <w:rPr>
          <w:bCs/>
        </w:rPr>
        <w:t>regarding</w:t>
      </w:r>
      <w:r w:rsidR="00CC49D1">
        <w:rPr>
          <w:bCs/>
        </w:rPr>
        <w:t xml:space="preserve"> these </w:t>
      </w:r>
      <w:r w:rsidR="004236B7">
        <w:rPr>
          <w:bCs/>
        </w:rPr>
        <w:t>effects</w:t>
      </w:r>
      <w:r w:rsidR="00CC49D1">
        <w:rPr>
          <w:bCs/>
        </w:rPr>
        <w:t>. In contrast, the</w:t>
      </w:r>
      <w:r w:rsidR="004A6E76">
        <w:rPr>
          <w:bCs/>
        </w:rPr>
        <w:t xml:space="preserve"> </w:t>
      </w:r>
      <w:r w:rsidR="00A64540">
        <w:rPr>
          <w:bCs/>
        </w:rPr>
        <w:t xml:space="preserve">corresponding </w:t>
      </w:r>
      <w:r w:rsidR="004A6E76">
        <w:rPr>
          <w:bCs/>
        </w:rPr>
        <w:t>r</w:t>
      </w:r>
      <w:r w:rsidR="004A6E76" w:rsidRPr="00AD309A">
        <w:rPr>
          <w:bCs/>
          <w:vertAlign w:val="superscript"/>
        </w:rPr>
        <w:t>2</w:t>
      </w:r>
      <w:r w:rsidR="004A6E76">
        <w:rPr>
          <w:bCs/>
        </w:rPr>
        <w:t xml:space="preserve"> values</w:t>
      </w:r>
      <w:r w:rsidR="0003682D">
        <w:rPr>
          <w:bCs/>
        </w:rPr>
        <w:t xml:space="preserve"> </w:t>
      </w:r>
      <w:r w:rsidR="00A64540" w:rsidRPr="00A64540">
        <w:rPr>
          <w:bCs/>
        </w:rPr>
        <w:t xml:space="preserve">for </w:t>
      </w:r>
      <w:r w:rsidR="00A64540">
        <w:rPr>
          <w:bCs/>
        </w:rPr>
        <w:t xml:space="preserve">the </w:t>
      </w:r>
      <w:r w:rsidR="00A64540" w:rsidRPr="00A64540">
        <w:rPr>
          <w:bCs/>
        </w:rPr>
        <w:t xml:space="preserve">endpoints </w:t>
      </w:r>
      <w:r w:rsidR="00A64540">
        <w:rPr>
          <w:bCs/>
        </w:rPr>
        <w:t xml:space="preserve">that resulted in </w:t>
      </w:r>
      <w:r w:rsidR="0003682D">
        <w:rPr>
          <w:bCs/>
        </w:rPr>
        <w:t>higher EC20s (261</w:t>
      </w:r>
      <w:r w:rsidR="000240C2">
        <w:rPr>
          <w:bCs/>
        </w:rPr>
        <w:t>–</w:t>
      </w:r>
      <w:r w:rsidR="0003682D">
        <w:rPr>
          <w:bCs/>
        </w:rPr>
        <w:t>1</w:t>
      </w:r>
      <w:r w:rsidR="000240C2">
        <w:rPr>
          <w:bCs/>
        </w:rPr>
        <w:t>,</w:t>
      </w:r>
      <w:r w:rsidR="0003682D">
        <w:rPr>
          <w:bCs/>
        </w:rPr>
        <w:t xml:space="preserve">009 µg/L) ranged from </w:t>
      </w:r>
      <w:r w:rsidR="004A6E76">
        <w:rPr>
          <w:bCs/>
        </w:rPr>
        <w:t>0.27 to 0.94 (with two</w:t>
      </w:r>
      <w:r w:rsidR="00CD30E3">
        <w:rPr>
          <w:bCs/>
        </w:rPr>
        <w:t>-</w:t>
      </w:r>
      <w:r w:rsidR="004A6E76">
        <w:rPr>
          <w:bCs/>
        </w:rPr>
        <w:t xml:space="preserve">thirds </w:t>
      </w:r>
      <w:r w:rsidR="00CC49D1">
        <w:rPr>
          <w:bCs/>
        </w:rPr>
        <w:t>being</w:t>
      </w:r>
      <w:r w:rsidR="004A6E76">
        <w:rPr>
          <w:bCs/>
        </w:rPr>
        <w:t xml:space="preserve"> greater than 0.5). </w:t>
      </w:r>
      <w:r w:rsidR="000F1CAB">
        <w:rPr>
          <w:bCs/>
        </w:rPr>
        <w:t xml:space="preserve">Kotalik et al. (2019) also reported that </w:t>
      </w:r>
      <w:r w:rsidR="00362683">
        <w:rPr>
          <w:bCs/>
        </w:rPr>
        <w:t xml:space="preserve">the </w:t>
      </w:r>
      <w:r w:rsidR="000F1CAB">
        <w:rPr>
          <w:bCs/>
        </w:rPr>
        <w:t xml:space="preserve">adult life stages of some insect groups were more sensitive than their larvae. </w:t>
      </w:r>
      <w:r w:rsidR="00BC117F">
        <w:rPr>
          <w:bCs/>
        </w:rPr>
        <w:t>Notwithstanding the uncertainty of some of the results, t</w:t>
      </w:r>
      <w:r w:rsidR="00F76311">
        <w:rPr>
          <w:bCs/>
        </w:rPr>
        <w:t xml:space="preserve">he </w:t>
      </w:r>
      <w:r w:rsidR="00BC117F">
        <w:rPr>
          <w:bCs/>
        </w:rPr>
        <w:t>study</w:t>
      </w:r>
      <w:r w:rsidR="00F76311">
        <w:rPr>
          <w:bCs/>
        </w:rPr>
        <w:t xml:space="preserve"> generally </w:t>
      </w:r>
      <w:r w:rsidR="004236B7">
        <w:rPr>
          <w:bCs/>
        </w:rPr>
        <w:t>suggest</w:t>
      </w:r>
      <w:r w:rsidR="00F76311">
        <w:rPr>
          <w:bCs/>
        </w:rPr>
        <w:t>ed higher sensitivity of insect taxa to iron than th</w:t>
      </w:r>
      <w:r w:rsidR="009C4ECE">
        <w:rPr>
          <w:bCs/>
        </w:rPr>
        <w:t xml:space="preserve">at reported by </w:t>
      </w:r>
      <w:r w:rsidR="00F76311">
        <w:rPr>
          <w:bCs/>
        </w:rPr>
        <w:t>Cadmus et al. (2018b), despite the studies being done at the same facility with similar methodologies.</w:t>
      </w:r>
    </w:p>
    <w:p w14:paraId="23C5DCE3" w14:textId="34D71522" w:rsidR="00B67681" w:rsidRPr="00961CF6" w:rsidRDefault="005D4BB2" w:rsidP="00D174B5">
      <w:pPr>
        <w:autoSpaceDE w:val="0"/>
        <w:autoSpaceDN w:val="0"/>
        <w:adjustRightInd w:val="0"/>
        <w:spacing w:line="264" w:lineRule="auto"/>
        <w:rPr>
          <w:rFonts w:cstheme="minorHAnsi"/>
        </w:rPr>
      </w:pPr>
      <w:r>
        <w:rPr>
          <w:rFonts w:eastAsia="Cambria" w:cstheme="minorHAnsi"/>
          <w:lang w:eastAsia="en-AU"/>
        </w:rPr>
        <w:t xml:space="preserve">Cardwell </w:t>
      </w:r>
      <w:r w:rsidR="00E34C03">
        <w:rPr>
          <w:rFonts w:eastAsia="Cambria" w:cstheme="minorHAnsi"/>
          <w:lang w:eastAsia="en-AU"/>
        </w:rPr>
        <w:t xml:space="preserve">et al. (2023) </w:t>
      </w:r>
      <w:r w:rsidR="00093696">
        <w:rPr>
          <w:rFonts w:eastAsia="Cambria" w:cstheme="minorHAnsi"/>
          <w:lang w:eastAsia="en-AU"/>
        </w:rPr>
        <w:t xml:space="preserve">comprehensively examined the effects of </w:t>
      </w:r>
      <w:r w:rsidR="0029222F">
        <w:rPr>
          <w:rFonts w:eastAsia="Cambria" w:cstheme="minorHAnsi"/>
          <w:lang w:eastAsia="en-AU"/>
        </w:rPr>
        <w:t xml:space="preserve">pH, hardness and dissolved organic carbon </w:t>
      </w:r>
      <w:r w:rsidR="0033270E">
        <w:rPr>
          <w:rFonts w:eastAsia="Cambria" w:cstheme="minorHAnsi"/>
          <w:lang w:eastAsia="en-AU"/>
        </w:rPr>
        <w:t xml:space="preserve">on </w:t>
      </w:r>
      <w:r w:rsidR="00961CF6">
        <w:rPr>
          <w:rFonts w:eastAsia="Cambria" w:cstheme="minorHAnsi"/>
          <w:lang w:eastAsia="en-AU"/>
        </w:rPr>
        <w:t xml:space="preserve">chronic toxicity to </w:t>
      </w:r>
      <w:r w:rsidR="00961CF6" w:rsidRPr="00CC68AE">
        <w:rPr>
          <w:rFonts w:eastAsia="Cambria" w:cstheme="minorHAnsi"/>
          <w:lang w:eastAsia="en-AU"/>
        </w:rPr>
        <w:t xml:space="preserve">the green alga </w:t>
      </w:r>
      <w:r w:rsidR="00961CF6" w:rsidRPr="00CC68AE">
        <w:rPr>
          <w:rFonts w:eastAsia="Cambria" w:cstheme="minorHAnsi"/>
          <w:i/>
          <w:iCs/>
          <w:lang w:eastAsia="en-AU"/>
        </w:rPr>
        <w:t>Raphidocelis subcapitata</w:t>
      </w:r>
      <w:r w:rsidR="00961CF6" w:rsidRPr="00CC68AE">
        <w:rPr>
          <w:rFonts w:eastAsia="Cambria" w:cstheme="minorHAnsi"/>
          <w:lang w:eastAsia="en-AU"/>
        </w:rPr>
        <w:t xml:space="preserve">, the cladoceran </w:t>
      </w:r>
      <w:r w:rsidR="00961CF6" w:rsidRPr="00CC68AE">
        <w:rPr>
          <w:rFonts w:eastAsia="Cambria" w:cstheme="minorHAnsi"/>
          <w:i/>
          <w:iCs/>
          <w:lang w:eastAsia="en-AU"/>
        </w:rPr>
        <w:t>Ceriodaphnia dubia</w:t>
      </w:r>
      <w:r w:rsidR="00961CF6" w:rsidRPr="00CC68AE">
        <w:rPr>
          <w:rFonts w:eastAsia="Cambria" w:cstheme="minorHAnsi"/>
          <w:lang w:eastAsia="en-AU"/>
        </w:rPr>
        <w:t xml:space="preserve"> and the</w:t>
      </w:r>
      <w:r w:rsidR="000B2E7A">
        <w:rPr>
          <w:rFonts w:eastAsia="Cambria" w:cstheme="minorHAnsi"/>
          <w:lang w:eastAsia="en-AU"/>
        </w:rPr>
        <w:t xml:space="preserve"> fish</w:t>
      </w:r>
      <w:r w:rsidR="00961CF6">
        <w:rPr>
          <w:rFonts w:eastAsia="Cambria" w:cstheme="minorHAnsi"/>
          <w:lang w:eastAsia="en-AU"/>
        </w:rPr>
        <w:t xml:space="preserve"> </w:t>
      </w:r>
      <w:r w:rsidR="00256F26" w:rsidRPr="00CC68AE">
        <w:rPr>
          <w:rFonts w:eastAsia="Cambria" w:cstheme="minorHAnsi"/>
          <w:i/>
          <w:iCs/>
          <w:lang w:eastAsia="en-AU"/>
        </w:rPr>
        <w:t>P</w:t>
      </w:r>
      <w:r w:rsidR="00256F26">
        <w:rPr>
          <w:rFonts w:eastAsia="Cambria" w:cstheme="minorHAnsi"/>
          <w:i/>
          <w:iCs/>
          <w:lang w:eastAsia="en-AU"/>
        </w:rPr>
        <w:t>.</w:t>
      </w:r>
      <w:r w:rsidR="00167AF5">
        <w:rPr>
          <w:rFonts w:eastAsia="Cambria" w:cstheme="minorHAnsi"/>
          <w:i/>
          <w:iCs/>
          <w:lang w:eastAsia="en-AU"/>
        </w:rPr>
        <w:t> </w:t>
      </w:r>
      <w:r w:rsidR="00961CF6" w:rsidRPr="00CC68AE">
        <w:rPr>
          <w:rFonts w:eastAsia="Cambria" w:cstheme="minorHAnsi"/>
          <w:i/>
          <w:iCs/>
          <w:lang w:eastAsia="en-AU"/>
        </w:rPr>
        <w:t>promelas</w:t>
      </w:r>
      <w:r w:rsidR="00961CF6" w:rsidRPr="00CC68AE">
        <w:rPr>
          <w:rFonts w:eastAsia="Cambria" w:cstheme="minorHAnsi"/>
          <w:lang w:eastAsia="en-AU"/>
        </w:rPr>
        <w:t>.</w:t>
      </w:r>
      <w:r w:rsidR="00DB0D6F">
        <w:rPr>
          <w:rFonts w:eastAsia="Cambria" w:cstheme="minorHAnsi"/>
          <w:lang w:eastAsia="en-AU"/>
        </w:rPr>
        <w:t xml:space="preserve"> </w:t>
      </w:r>
      <w:r w:rsidR="001A64CB">
        <w:rPr>
          <w:rFonts w:eastAsia="Cambria" w:cstheme="minorHAnsi"/>
          <w:lang w:eastAsia="en-AU"/>
        </w:rPr>
        <w:t xml:space="preserve">As advised </w:t>
      </w:r>
      <w:r w:rsidR="00973534">
        <w:rPr>
          <w:rFonts w:eastAsia="Cambria" w:cstheme="minorHAnsi"/>
          <w:lang w:eastAsia="en-AU"/>
        </w:rPr>
        <w:t xml:space="preserve">by the primary author of Cardwell et al. (2023) </w:t>
      </w:r>
      <w:r w:rsidR="001A64CB">
        <w:rPr>
          <w:rFonts w:eastAsia="Cambria" w:cstheme="minorHAnsi"/>
          <w:lang w:eastAsia="en-AU"/>
        </w:rPr>
        <w:t>(Allison Cardwell</w:t>
      </w:r>
      <w:r w:rsidR="00BB3041">
        <w:rPr>
          <w:rFonts w:eastAsia="Cambria" w:cstheme="minorHAnsi"/>
          <w:lang w:eastAsia="en-AU"/>
        </w:rPr>
        <w:t>, personal communication), t</w:t>
      </w:r>
      <w:r w:rsidR="00961CF6">
        <w:rPr>
          <w:rFonts w:eastAsia="Cambria" w:cstheme="minorHAnsi"/>
          <w:lang w:eastAsia="en-AU"/>
        </w:rPr>
        <w:t xml:space="preserve">he </w:t>
      </w:r>
      <w:r w:rsidR="000C6021">
        <w:rPr>
          <w:rFonts w:eastAsia="Cambria" w:cstheme="minorHAnsi"/>
          <w:lang w:eastAsia="en-AU"/>
        </w:rPr>
        <w:t xml:space="preserve">toxicity values </w:t>
      </w:r>
      <w:r w:rsidR="00F304EF">
        <w:rPr>
          <w:rFonts w:eastAsia="Cambria" w:cstheme="minorHAnsi"/>
          <w:lang w:eastAsia="en-AU"/>
        </w:rPr>
        <w:t>presented in this paper</w:t>
      </w:r>
      <w:r w:rsidR="00A572E8">
        <w:rPr>
          <w:rFonts w:eastAsia="Cambria" w:cstheme="minorHAnsi"/>
          <w:lang w:eastAsia="en-AU"/>
        </w:rPr>
        <w:t xml:space="preserve"> </w:t>
      </w:r>
      <w:r w:rsidR="000C6021">
        <w:rPr>
          <w:rFonts w:eastAsia="Cambria" w:cstheme="minorHAnsi"/>
          <w:lang w:eastAsia="en-AU"/>
        </w:rPr>
        <w:t xml:space="preserve">represented </w:t>
      </w:r>
      <w:r w:rsidR="00A572E8">
        <w:rPr>
          <w:rFonts w:eastAsia="Cambria" w:cstheme="minorHAnsi"/>
          <w:lang w:eastAsia="en-AU"/>
        </w:rPr>
        <w:t xml:space="preserve">updated </w:t>
      </w:r>
      <w:r w:rsidR="000C6021">
        <w:rPr>
          <w:rFonts w:eastAsia="Cambria" w:cstheme="minorHAnsi"/>
          <w:lang w:eastAsia="en-AU"/>
        </w:rPr>
        <w:t xml:space="preserve">values from </w:t>
      </w:r>
      <w:r w:rsidR="00A572E8">
        <w:rPr>
          <w:rFonts w:eastAsia="Cambria" w:cstheme="minorHAnsi"/>
          <w:lang w:eastAsia="en-AU"/>
        </w:rPr>
        <w:t xml:space="preserve">previously published studies </w:t>
      </w:r>
      <w:r w:rsidR="00FD7D81">
        <w:rPr>
          <w:rFonts w:eastAsia="Cambria" w:cstheme="minorHAnsi"/>
          <w:lang w:eastAsia="en-AU"/>
        </w:rPr>
        <w:t xml:space="preserve">by </w:t>
      </w:r>
      <w:r w:rsidR="00BB3041">
        <w:rPr>
          <w:rFonts w:eastAsia="Cambria" w:cstheme="minorHAnsi"/>
          <w:lang w:eastAsia="en-AU"/>
        </w:rPr>
        <w:t xml:space="preserve">her </w:t>
      </w:r>
      <w:r w:rsidR="00FD7D81">
        <w:rPr>
          <w:rFonts w:eastAsia="Cambria" w:cstheme="minorHAnsi"/>
          <w:lang w:eastAsia="en-AU"/>
        </w:rPr>
        <w:t>co</w:t>
      </w:r>
      <w:r w:rsidR="00973534">
        <w:rPr>
          <w:rFonts w:eastAsia="Cambria" w:cstheme="minorHAnsi"/>
          <w:lang w:eastAsia="en-AU"/>
        </w:rPr>
        <w:t>-</w:t>
      </w:r>
      <w:r w:rsidR="00FD7D81">
        <w:rPr>
          <w:rFonts w:eastAsia="Cambria" w:cstheme="minorHAnsi"/>
          <w:lang w:eastAsia="en-AU"/>
        </w:rPr>
        <w:t>authors (C</w:t>
      </w:r>
      <w:r w:rsidR="00F113F9">
        <w:rPr>
          <w:rFonts w:eastAsia="Cambria" w:cstheme="minorHAnsi"/>
          <w:lang w:eastAsia="en-AU"/>
        </w:rPr>
        <w:t>IMM</w:t>
      </w:r>
      <w:r w:rsidR="00543BEB">
        <w:rPr>
          <w:rFonts w:eastAsia="Cambria" w:cstheme="minorHAnsi"/>
          <w:lang w:eastAsia="en-AU"/>
        </w:rPr>
        <w:t xml:space="preserve"> </w:t>
      </w:r>
      <w:r w:rsidR="00CD30E3">
        <w:rPr>
          <w:rFonts w:eastAsia="Cambria" w:cstheme="minorHAnsi"/>
          <w:lang w:eastAsia="en-AU"/>
        </w:rPr>
        <w:t>2</w:t>
      </w:r>
      <w:r w:rsidR="00543BEB">
        <w:rPr>
          <w:rFonts w:eastAsia="Cambria" w:cstheme="minorHAnsi"/>
          <w:lang w:eastAsia="en-AU"/>
        </w:rPr>
        <w:t>011</w:t>
      </w:r>
      <w:r w:rsidR="00CD30E3">
        <w:rPr>
          <w:rFonts w:eastAsia="Cambria" w:cstheme="minorHAnsi"/>
          <w:lang w:eastAsia="en-AU"/>
        </w:rPr>
        <w:t>;</w:t>
      </w:r>
      <w:r w:rsidR="00543BEB">
        <w:rPr>
          <w:rFonts w:eastAsia="Cambria" w:cstheme="minorHAnsi"/>
          <w:lang w:eastAsia="en-AU"/>
        </w:rPr>
        <w:t xml:space="preserve"> OSU 2013</w:t>
      </w:r>
      <w:r w:rsidR="00CD30E3">
        <w:rPr>
          <w:rFonts w:eastAsia="Cambria" w:cstheme="minorHAnsi"/>
          <w:lang w:eastAsia="en-AU"/>
        </w:rPr>
        <w:t>;</w:t>
      </w:r>
      <w:r w:rsidR="00543BEB">
        <w:rPr>
          <w:rFonts w:eastAsia="Cambria" w:cstheme="minorHAnsi"/>
          <w:lang w:eastAsia="en-AU"/>
        </w:rPr>
        <w:t xml:space="preserve"> Arbildua et al.</w:t>
      </w:r>
      <w:r w:rsidR="001A64CB">
        <w:rPr>
          <w:rFonts w:eastAsia="Cambria" w:cstheme="minorHAnsi"/>
          <w:lang w:eastAsia="en-AU"/>
        </w:rPr>
        <w:t xml:space="preserve"> 2017)</w:t>
      </w:r>
      <w:r w:rsidR="00B67681">
        <w:rPr>
          <w:rFonts w:eastAsia="Cambria" w:cstheme="minorHAnsi"/>
          <w:lang w:eastAsia="en-AU"/>
        </w:rPr>
        <w:t>.</w:t>
      </w:r>
      <w:r w:rsidR="00DB0D6F">
        <w:rPr>
          <w:rFonts w:eastAsia="Cambria" w:cstheme="minorHAnsi"/>
          <w:lang w:eastAsia="en-AU"/>
        </w:rPr>
        <w:t xml:space="preserve"> </w:t>
      </w:r>
      <w:r w:rsidR="00FD1619">
        <w:rPr>
          <w:rFonts w:eastAsia="Cambria" w:cstheme="minorHAnsi"/>
          <w:lang w:eastAsia="en-AU"/>
        </w:rPr>
        <w:t xml:space="preserve">The </w:t>
      </w:r>
      <w:r w:rsidR="0003271F">
        <w:rPr>
          <w:rFonts w:eastAsia="Cambria" w:cstheme="minorHAnsi"/>
          <w:lang w:eastAsia="en-AU"/>
        </w:rPr>
        <w:t xml:space="preserve">findings </w:t>
      </w:r>
      <w:r w:rsidR="00FD1619">
        <w:rPr>
          <w:rFonts w:eastAsia="Cambria" w:cstheme="minorHAnsi"/>
          <w:lang w:eastAsia="en-AU"/>
        </w:rPr>
        <w:t>from these latest papers were used by Brix et al</w:t>
      </w:r>
      <w:r w:rsidR="00CB5748">
        <w:rPr>
          <w:rFonts w:eastAsia="Cambria" w:cstheme="minorHAnsi"/>
          <w:lang w:eastAsia="en-AU"/>
        </w:rPr>
        <w:t xml:space="preserve">. (2023) to </w:t>
      </w:r>
      <w:r w:rsidR="006613FA">
        <w:rPr>
          <w:rFonts w:eastAsia="Cambria" w:cstheme="minorHAnsi"/>
          <w:lang w:eastAsia="en-AU"/>
        </w:rPr>
        <w:t xml:space="preserve">develop multiple linear regression </w:t>
      </w:r>
      <w:r w:rsidR="0003271F">
        <w:rPr>
          <w:rFonts w:eastAsia="Cambria" w:cstheme="minorHAnsi"/>
          <w:lang w:eastAsia="en-AU"/>
        </w:rPr>
        <w:t xml:space="preserve">(MLR) </w:t>
      </w:r>
      <w:r w:rsidR="006613FA">
        <w:rPr>
          <w:rFonts w:eastAsia="Cambria" w:cstheme="minorHAnsi"/>
          <w:lang w:eastAsia="en-AU"/>
        </w:rPr>
        <w:t xml:space="preserve">models for predicting chronic </w:t>
      </w:r>
      <w:r w:rsidR="00654C35">
        <w:rPr>
          <w:rFonts w:eastAsia="Cambria" w:cstheme="minorHAnsi"/>
          <w:lang w:eastAsia="en-AU"/>
        </w:rPr>
        <w:t>iron toxicity.</w:t>
      </w:r>
    </w:p>
    <w:p w14:paraId="79A2AA15" w14:textId="569BD4AF" w:rsidR="002E7B8D" w:rsidRPr="00BC6C80" w:rsidRDefault="00F74CFC" w:rsidP="00D174B5">
      <w:pPr>
        <w:spacing w:line="264" w:lineRule="auto"/>
      </w:pPr>
      <w:r>
        <w:t xml:space="preserve">A range of species show </w:t>
      </w:r>
      <w:r w:rsidR="00FD1D20">
        <w:t>sensitivity to iron at &gt;</w:t>
      </w:r>
      <w:r w:rsidR="00CD30E3">
        <w:t> </w:t>
      </w:r>
      <w:r w:rsidR="00B5556D">
        <w:t>400</w:t>
      </w:r>
      <w:r w:rsidR="00461E7E">
        <w:t> </w:t>
      </w:r>
      <w:r w:rsidR="00B5556D">
        <w:t>µg/L</w:t>
      </w:r>
      <w:r w:rsidR="00365D63">
        <w:t xml:space="preserve">, dependent on </w:t>
      </w:r>
      <w:r w:rsidR="00E2407D">
        <w:t>solution conditions</w:t>
      </w:r>
      <w:r w:rsidR="005D6CD6">
        <w:t>. I</w:t>
      </w:r>
      <w:r w:rsidR="009C5D30">
        <w:t xml:space="preserve">nsects appear to be </w:t>
      </w:r>
      <w:r w:rsidR="00B33B5A">
        <w:t>t</w:t>
      </w:r>
      <w:r w:rsidR="0044521F">
        <w:t>he most sensitive taxa under a</w:t>
      </w:r>
      <w:r w:rsidR="009C5D30">
        <w:t xml:space="preserve"> range of conditions</w:t>
      </w:r>
      <w:r w:rsidR="00B33B5A">
        <w:t xml:space="preserve"> (Brix et al. 2023).</w:t>
      </w:r>
      <w:r w:rsidR="00DB0D6F">
        <w:t xml:space="preserve"> </w:t>
      </w:r>
      <w:r w:rsidR="00784644">
        <w:t xml:space="preserve">Dissolved organic carbon </w:t>
      </w:r>
      <w:r w:rsidR="005F734D">
        <w:t xml:space="preserve">and pH consistently </w:t>
      </w:r>
      <w:r w:rsidR="007809F9">
        <w:t xml:space="preserve">affected toxicity to all species, while hardness </w:t>
      </w:r>
      <w:r w:rsidR="0046290C">
        <w:t xml:space="preserve">had a lesser </w:t>
      </w:r>
      <w:r w:rsidR="00C958E2">
        <w:t>effect on</w:t>
      </w:r>
      <w:r w:rsidR="001B5264">
        <w:t xml:space="preserve"> </w:t>
      </w:r>
      <w:r w:rsidR="00063A8D" w:rsidRPr="00CC68AE">
        <w:rPr>
          <w:i/>
          <w:iCs/>
        </w:rPr>
        <w:t>P.</w:t>
      </w:r>
      <w:r w:rsidR="00167AF5">
        <w:rPr>
          <w:i/>
          <w:iCs/>
        </w:rPr>
        <w:t> </w:t>
      </w:r>
      <w:r w:rsidR="00063A8D" w:rsidRPr="00CC68AE">
        <w:rPr>
          <w:i/>
          <w:iCs/>
        </w:rPr>
        <w:t>promel</w:t>
      </w:r>
      <w:r w:rsidR="00523499" w:rsidRPr="00CC68AE">
        <w:rPr>
          <w:i/>
          <w:iCs/>
        </w:rPr>
        <w:t>as</w:t>
      </w:r>
      <w:r w:rsidR="00523499">
        <w:t xml:space="preserve"> and </w:t>
      </w:r>
      <w:r w:rsidR="00523499" w:rsidRPr="00CC68AE">
        <w:rPr>
          <w:i/>
          <w:iCs/>
        </w:rPr>
        <w:t>R.</w:t>
      </w:r>
      <w:r w:rsidR="005D6CD6">
        <w:rPr>
          <w:i/>
          <w:iCs/>
        </w:rPr>
        <w:t> </w:t>
      </w:r>
      <w:r w:rsidR="00523499" w:rsidRPr="00CC68AE">
        <w:rPr>
          <w:i/>
          <w:iCs/>
        </w:rPr>
        <w:t>subcapitata</w:t>
      </w:r>
      <w:r w:rsidR="002E24A4">
        <w:t>,</w:t>
      </w:r>
      <w:r w:rsidR="00523499">
        <w:t xml:space="preserve"> </w:t>
      </w:r>
      <w:r w:rsidR="00C958E2">
        <w:t>and</w:t>
      </w:r>
      <w:r w:rsidR="00523499">
        <w:t xml:space="preserve"> </w:t>
      </w:r>
      <w:r w:rsidR="00FB2260">
        <w:t>less again with</w:t>
      </w:r>
      <w:r w:rsidR="00523499">
        <w:t xml:space="preserve"> </w:t>
      </w:r>
      <w:r w:rsidR="00523499" w:rsidRPr="00CC68AE">
        <w:rPr>
          <w:i/>
          <w:iCs/>
        </w:rPr>
        <w:t>C.</w:t>
      </w:r>
      <w:r w:rsidR="005D6CD6">
        <w:rPr>
          <w:i/>
          <w:iCs/>
        </w:rPr>
        <w:t> </w:t>
      </w:r>
      <w:r w:rsidR="00523499" w:rsidRPr="00CC68AE">
        <w:rPr>
          <w:i/>
          <w:iCs/>
        </w:rPr>
        <w:t>dubia</w:t>
      </w:r>
      <w:r w:rsidR="00523499">
        <w:t>.</w:t>
      </w:r>
      <w:r w:rsidR="003915C0">
        <w:t xml:space="preserve"> </w:t>
      </w:r>
      <w:r w:rsidR="00BC6C80">
        <w:t xml:space="preserve">At </w:t>
      </w:r>
      <w:r w:rsidR="003D39D2">
        <w:t>pH 7.2</w:t>
      </w:r>
      <w:r w:rsidR="00CF1983">
        <w:t xml:space="preserve"> and 2.5</w:t>
      </w:r>
      <w:r w:rsidR="00314A07">
        <w:t> </w:t>
      </w:r>
      <w:r w:rsidR="00CF1983">
        <w:t xml:space="preserve">mg/L </w:t>
      </w:r>
      <w:r w:rsidR="007F2A91">
        <w:t>dissolved organic carbon (</w:t>
      </w:r>
      <w:r w:rsidR="00CF1983">
        <w:t>DOC</w:t>
      </w:r>
      <w:r w:rsidR="007F2A91">
        <w:t>)</w:t>
      </w:r>
      <w:r w:rsidR="003D39D2">
        <w:t>, t</w:t>
      </w:r>
      <w:r w:rsidR="00BC6C80">
        <w:t xml:space="preserve">he mayfly </w:t>
      </w:r>
      <w:r w:rsidR="00BC6C80">
        <w:rPr>
          <w:i/>
          <w:iCs/>
        </w:rPr>
        <w:t xml:space="preserve">Epiorus </w:t>
      </w:r>
      <w:r w:rsidR="00BC6C80">
        <w:t>sp</w:t>
      </w:r>
      <w:r w:rsidR="002A342C">
        <w:t>p</w:t>
      </w:r>
      <w:r w:rsidR="00BC6C80">
        <w:t>.</w:t>
      </w:r>
      <w:r w:rsidR="002A342C">
        <w:t xml:space="preserve">, caddisfly </w:t>
      </w:r>
      <w:r w:rsidR="002A342C">
        <w:rPr>
          <w:i/>
          <w:iCs/>
        </w:rPr>
        <w:t xml:space="preserve">Micrasema </w:t>
      </w:r>
      <w:r w:rsidR="002A342C">
        <w:t xml:space="preserve">spp. and chironomid tribe </w:t>
      </w:r>
      <w:r w:rsidR="002A342C" w:rsidRPr="00CC68AE">
        <w:rPr>
          <w:rFonts w:eastAsia="Cambria" w:cstheme="minorHAnsi"/>
          <w:lang w:eastAsia="en-AU"/>
        </w:rPr>
        <w:t>Tanytarsini</w:t>
      </w:r>
      <w:r w:rsidR="00BC6C80">
        <w:t xml:space="preserve"> </w:t>
      </w:r>
      <w:r w:rsidR="003915C0">
        <w:t>h</w:t>
      </w:r>
      <w:r w:rsidR="003D39D2">
        <w:t>ad EC</w:t>
      </w:r>
      <w:r w:rsidR="00CF1983">
        <w:t>2</w:t>
      </w:r>
      <w:r w:rsidR="003D39D2">
        <w:t>0</w:t>
      </w:r>
      <w:r w:rsidR="002A342C">
        <w:t>s</w:t>
      </w:r>
      <w:r w:rsidR="003D39D2">
        <w:t xml:space="preserve"> of </w:t>
      </w:r>
      <w:r w:rsidR="00D155B8">
        <w:t>33</w:t>
      </w:r>
      <w:r w:rsidR="00CF1983">
        <w:t>5</w:t>
      </w:r>
      <w:r w:rsidR="006205E1">
        <w:t> </w:t>
      </w:r>
      <w:r w:rsidR="00CF1983">
        <w:t>g/L</w:t>
      </w:r>
      <w:r w:rsidR="000F61F9">
        <w:t xml:space="preserve">, </w:t>
      </w:r>
      <w:r w:rsidR="00CE08E0">
        <w:t>356</w:t>
      </w:r>
      <w:r w:rsidR="006205E1">
        <w:t> </w:t>
      </w:r>
      <w:r w:rsidR="00CE08E0">
        <w:t xml:space="preserve">µg/L and </w:t>
      </w:r>
      <w:r w:rsidR="003915C0">
        <w:rPr>
          <w:rFonts w:eastAsia="Cambria" w:cstheme="minorHAnsi"/>
          <w:lang w:eastAsia="en-AU"/>
        </w:rPr>
        <w:t>234</w:t>
      </w:r>
      <w:r w:rsidR="006205E1">
        <w:rPr>
          <w:rFonts w:eastAsia="Cambria" w:cstheme="minorHAnsi"/>
          <w:lang w:eastAsia="en-AU"/>
        </w:rPr>
        <w:t> </w:t>
      </w:r>
      <w:r w:rsidR="003915C0">
        <w:rPr>
          <w:rFonts w:eastAsia="Cambria" w:cstheme="minorHAnsi"/>
          <w:lang w:eastAsia="en-AU"/>
        </w:rPr>
        <w:t>µg/L</w:t>
      </w:r>
      <w:r w:rsidR="002A342C">
        <w:rPr>
          <w:rFonts w:eastAsia="Cambria" w:cstheme="minorHAnsi"/>
          <w:lang w:eastAsia="en-AU"/>
        </w:rPr>
        <w:t>, respectively</w:t>
      </w:r>
      <w:r w:rsidR="00407FBB">
        <w:rPr>
          <w:rFonts w:eastAsia="Cambria" w:cstheme="minorHAnsi"/>
          <w:lang w:eastAsia="en-AU"/>
        </w:rPr>
        <w:t xml:space="preserve"> (Cadmus et al. 2018a)</w:t>
      </w:r>
      <w:r w:rsidR="00EF19BA">
        <w:rPr>
          <w:rFonts w:eastAsia="Cambria" w:cstheme="minorHAnsi"/>
          <w:lang w:eastAsia="en-AU"/>
        </w:rPr>
        <w:t>. However, in an earlier study,</w:t>
      </w:r>
      <w:r w:rsidR="00F25835">
        <w:rPr>
          <w:rFonts w:eastAsia="Cambria" w:cstheme="minorHAnsi"/>
          <w:lang w:eastAsia="en-AU"/>
        </w:rPr>
        <w:t xml:space="preserve"> </w:t>
      </w:r>
      <w:r w:rsidR="00A75F84">
        <w:rPr>
          <w:rFonts w:eastAsia="Cambria" w:cstheme="minorHAnsi"/>
          <w:lang w:eastAsia="en-AU"/>
        </w:rPr>
        <w:t>t</w:t>
      </w:r>
      <w:r w:rsidR="00F25835" w:rsidRPr="001C2B0A">
        <w:t xml:space="preserve">he mayfly </w:t>
      </w:r>
      <w:r w:rsidR="00A51569" w:rsidRPr="005A5171">
        <w:rPr>
          <w:bCs/>
          <w:i/>
        </w:rPr>
        <w:t>Leptophlebia</w:t>
      </w:r>
      <w:r w:rsidR="005D6CD6">
        <w:rPr>
          <w:i/>
        </w:rPr>
        <w:t> </w:t>
      </w:r>
      <w:r w:rsidR="00F25835" w:rsidRPr="00E34D35">
        <w:rPr>
          <w:i/>
        </w:rPr>
        <w:t>marginata</w:t>
      </w:r>
      <w:r w:rsidR="00F25835" w:rsidRPr="001C2B0A">
        <w:t xml:space="preserve">, </w:t>
      </w:r>
      <w:r w:rsidR="00F25835">
        <w:t>appear</w:t>
      </w:r>
      <w:r w:rsidR="00A75F84">
        <w:t>ed</w:t>
      </w:r>
      <w:r w:rsidR="00F25835">
        <w:t xml:space="preserve"> to be insensitive to iron</w:t>
      </w:r>
      <w:r w:rsidR="004F502D">
        <w:t xml:space="preserve"> – its</w:t>
      </w:r>
      <w:r w:rsidR="00F25835" w:rsidRPr="001C2B0A">
        <w:t xml:space="preserve"> 30-d</w:t>
      </w:r>
      <w:r w:rsidR="004F502D">
        <w:t>ay</w:t>
      </w:r>
      <w:r w:rsidR="00F25835" w:rsidRPr="001C2B0A">
        <w:t xml:space="preserve"> NOEC </w:t>
      </w:r>
      <w:r w:rsidR="004F502D">
        <w:t>was</w:t>
      </w:r>
      <w:r w:rsidR="00F25835" w:rsidRPr="001C2B0A">
        <w:t xml:space="preserve"> 50</w:t>
      </w:r>
      <w:r w:rsidR="006205E1">
        <w:t>,</w:t>
      </w:r>
      <w:r w:rsidR="00F25835" w:rsidRPr="001C2B0A">
        <w:t>000 µg/L measured total iron</w:t>
      </w:r>
      <w:r w:rsidR="00D71A9B">
        <w:t xml:space="preserve"> (Gerhardt 1992)</w:t>
      </w:r>
      <w:r w:rsidR="00F25835" w:rsidRPr="001C2B0A">
        <w:t>.</w:t>
      </w:r>
      <w:r w:rsidR="00DB0D6F">
        <w:t xml:space="preserve"> </w:t>
      </w:r>
      <w:r w:rsidR="00F25835" w:rsidRPr="001C2B0A">
        <w:t xml:space="preserve">It should be noted that DOC was not measured </w:t>
      </w:r>
      <w:r w:rsidR="00EF19BA">
        <w:t>by Gerhardt (1992)</w:t>
      </w:r>
      <w:r w:rsidR="00A51569">
        <w:t>,</w:t>
      </w:r>
      <w:r w:rsidR="00F25835" w:rsidRPr="001C2B0A">
        <w:t xml:space="preserve"> but the diluent stream water was described as being ‘humus-rich’, which may have reduced iron toxicity.</w:t>
      </w:r>
    </w:p>
    <w:p w14:paraId="3D403557" w14:textId="364CE488" w:rsidR="00BF0280" w:rsidRDefault="009C79DA" w:rsidP="00BF0280">
      <w:r>
        <w:t xml:space="preserve">For pH 6 and </w:t>
      </w:r>
      <w:r w:rsidR="00223388">
        <w:t>low DOC</w:t>
      </w:r>
      <w:r w:rsidR="003B74DE">
        <w:t xml:space="preserve">, </w:t>
      </w:r>
      <w:r w:rsidR="00A235CE">
        <w:t>the most sensitive species w</w:t>
      </w:r>
      <w:r w:rsidR="00276D11">
        <w:t>as</w:t>
      </w:r>
      <w:r w:rsidR="00A235CE">
        <w:t xml:space="preserve"> </w:t>
      </w:r>
      <w:r w:rsidR="00276D11" w:rsidRPr="00733D9F">
        <w:rPr>
          <w:i/>
        </w:rPr>
        <w:t>P.</w:t>
      </w:r>
      <w:r w:rsidR="00446B3E">
        <w:rPr>
          <w:i/>
        </w:rPr>
        <w:t> </w:t>
      </w:r>
      <w:r w:rsidR="00276D11" w:rsidRPr="00733D9F">
        <w:rPr>
          <w:i/>
        </w:rPr>
        <w:t>promelas</w:t>
      </w:r>
      <w:r w:rsidR="00446B3E">
        <w:t>, which had</w:t>
      </w:r>
      <w:r w:rsidR="00E056B3">
        <w:t xml:space="preserve"> an EC10 of 192</w:t>
      </w:r>
      <w:r w:rsidR="006205E1">
        <w:t> </w:t>
      </w:r>
      <w:r w:rsidR="00E056B3">
        <w:t>µg/L</w:t>
      </w:r>
      <w:r w:rsidR="00407FBB">
        <w:t xml:space="preserve"> (Cardwell et al. 2023)</w:t>
      </w:r>
      <w:r w:rsidR="00AD562A">
        <w:t>. O</w:t>
      </w:r>
      <w:r w:rsidR="00E056B3">
        <w:t>ther fish species were less sensitive</w:t>
      </w:r>
      <w:r w:rsidR="00EF19BA">
        <w:t>. For example,</w:t>
      </w:r>
      <w:r w:rsidR="00F8518B">
        <w:t xml:space="preserve"> the b</w:t>
      </w:r>
      <w:r w:rsidR="00F8518B" w:rsidRPr="001C2B0A">
        <w:t xml:space="preserve">rook trout </w:t>
      </w:r>
      <w:r w:rsidR="00950F03" w:rsidRPr="00D96B82">
        <w:rPr>
          <w:bCs/>
          <w:i/>
        </w:rPr>
        <w:t>Salvelinus</w:t>
      </w:r>
      <w:r w:rsidR="00950F03">
        <w:rPr>
          <w:i/>
        </w:rPr>
        <w:t> </w:t>
      </w:r>
      <w:r w:rsidR="00F8518B" w:rsidRPr="00733D9F">
        <w:rPr>
          <w:i/>
        </w:rPr>
        <w:t>fontinalis</w:t>
      </w:r>
      <w:r w:rsidR="00F8518B" w:rsidRPr="001C2B0A">
        <w:t xml:space="preserve"> and </w:t>
      </w:r>
      <w:r w:rsidR="00F8518B">
        <w:t>m</w:t>
      </w:r>
      <w:r w:rsidR="00F8518B" w:rsidRPr="001C2B0A">
        <w:t xml:space="preserve">edaka </w:t>
      </w:r>
      <w:r w:rsidR="00F8518B" w:rsidRPr="00733D9F">
        <w:rPr>
          <w:i/>
        </w:rPr>
        <w:t>Oryzias latipes</w:t>
      </w:r>
      <w:r w:rsidR="00F8518B" w:rsidRPr="001C2B0A">
        <w:t xml:space="preserve"> </w:t>
      </w:r>
      <w:r w:rsidR="00413D93">
        <w:t>had</w:t>
      </w:r>
      <w:r w:rsidR="00F8518B" w:rsidRPr="001C2B0A">
        <w:t xml:space="preserve"> 14-d</w:t>
      </w:r>
      <w:r w:rsidR="000368EC">
        <w:t>ay</w:t>
      </w:r>
      <w:r w:rsidR="00F8518B" w:rsidRPr="001C2B0A">
        <w:t xml:space="preserve"> NOEC and 30-d</w:t>
      </w:r>
      <w:r w:rsidR="000368EC">
        <w:t>ay</w:t>
      </w:r>
      <w:r w:rsidR="00F8518B" w:rsidRPr="001C2B0A">
        <w:t xml:space="preserve"> NOEC values of 13</w:t>
      </w:r>
      <w:r w:rsidR="00413D93">
        <w:t>,</w:t>
      </w:r>
      <w:r w:rsidR="00F8518B" w:rsidRPr="001C2B0A">
        <w:t>420</w:t>
      </w:r>
      <w:r w:rsidR="00413D93" w:rsidRPr="001C2B0A">
        <w:t> µg/L</w:t>
      </w:r>
      <w:r w:rsidR="00F8518B" w:rsidRPr="001C2B0A">
        <w:t xml:space="preserve"> and 25</w:t>
      </w:r>
      <w:r w:rsidR="006205E1">
        <w:t>,</w:t>
      </w:r>
      <w:r w:rsidR="00F8518B" w:rsidRPr="001C2B0A">
        <w:t xml:space="preserve">000 µg/L measured </w:t>
      </w:r>
      <w:r w:rsidR="00800533">
        <w:t xml:space="preserve">as </w:t>
      </w:r>
      <w:r w:rsidR="00F8518B" w:rsidRPr="001C2B0A">
        <w:t>total iron</w:t>
      </w:r>
      <w:r w:rsidR="00F8518B">
        <w:t>,</w:t>
      </w:r>
      <w:r w:rsidR="00F8518B" w:rsidRPr="001C2B0A">
        <w:t xml:space="preserve"> </w:t>
      </w:r>
      <w:r w:rsidR="002C3D34" w:rsidRPr="001C2B0A">
        <w:t>respectively</w:t>
      </w:r>
      <w:r w:rsidR="00C43093">
        <w:t xml:space="preserve"> (Brix et al</w:t>
      </w:r>
      <w:r w:rsidR="00D3081D">
        <w:t>. 2023)</w:t>
      </w:r>
      <w:r w:rsidR="002C3D34">
        <w:t xml:space="preserve">. </w:t>
      </w:r>
      <w:r w:rsidR="00256F26" w:rsidRPr="00733D9F">
        <w:rPr>
          <w:i/>
        </w:rPr>
        <w:t>C</w:t>
      </w:r>
      <w:r w:rsidR="00256F26">
        <w:rPr>
          <w:i/>
        </w:rPr>
        <w:t>.</w:t>
      </w:r>
      <w:r w:rsidR="00413D93">
        <w:rPr>
          <w:i/>
        </w:rPr>
        <w:t> </w:t>
      </w:r>
      <w:r w:rsidR="00BF0280" w:rsidRPr="00733D9F">
        <w:rPr>
          <w:i/>
        </w:rPr>
        <w:t>dubia</w:t>
      </w:r>
      <w:r w:rsidR="00BF0280" w:rsidRPr="001C2B0A">
        <w:t xml:space="preserve"> </w:t>
      </w:r>
      <w:r w:rsidR="00A066E5">
        <w:t>at pH 6 and low DOC</w:t>
      </w:r>
      <w:r w:rsidR="005D03E5">
        <w:t xml:space="preserve"> had an EC10 </w:t>
      </w:r>
      <w:r w:rsidR="00952E90">
        <w:t>of 383</w:t>
      </w:r>
      <w:r w:rsidR="006205E1">
        <w:t> </w:t>
      </w:r>
      <w:r w:rsidR="00952E90">
        <w:t>µg/L</w:t>
      </w:r>
      <w:r w:rsidR="00407FBB">
        <w:t xml:space="preserve"> (Cardwell et al. 2923)</w:t>
      </w:r>
      <w:r w:rsidR="00952E90">
        <w:t>.</w:t>
      </w:r>
    </w:p>
    <w:p w14:paraId="79746B96" w14:textId="633DC7CF" w:rsidR="000D662F" w:rsidRPr="001C2B0A" w:rsidRDefault="002D7C03" w:rsidP="00BB39BF">
      <w:r>
        <w:t>Peters et al. (2011</w:t>
      </w:r>
      <w:r w:rsidR="00BA1E99">
        <w:t>b</w:t>
      </w:r>
      <w:r>
        <w:t>)</w:t>
      </w:r>
      <w:r w:rsidR="00560EB8">
        <w:t xml:space="preserve"> </w:t>
      </w:r>
      <w:r>
        <w:t>estimated</w:t>
      </w:r>
      <w:r w:rsidR="00560EB8">
        <w:t xml:space="preserve"> effects-based thresholds for iron in freshwater based on </w:t>
      </w:r>
      <w:r>
        <w:t xml:space="preserve">field data for macroinvertebrate communities in the United Kingdom. Matched chemical (dissolved, particulate and total iron) and ecological monitoring data </w:t>
      </w:r>
      <w:r w:rsidR="00B313BB">
        <w:t>for 1</w:t>
      </w:r>
      <w:r w:rsidR="00CD1EEE">
        <w:t>,</w:t>
      </w:r>
      <w:r w:rsidR="00B313BB">
        <w:t xml:space="preserve">830 samples </w:t>
      </w:r>
      <w:r>
        <w:t xml:space="preserve">were used to assess the effects of </w:t>
      </w:r>
      <w:r>
        <w:lastRenderedPageBreak/>
        <w:t>iron on benthic macroinvertebrate communities</w:t>
      </w:r>
      <w:r w:rsidR="00893D51">
        <w:t xml:space="preserve"> based</w:t>
      </w:r>
      <w:r>
        <w:t xml:space="preserve"> on </w:t>
      </w:r>
      <w:r w:rsidR="00CD1EEE">
        <w:t xml:space="preserve">3 </w:t>
      </w:r>
      <w:r>
        <w:t>key environmental</w:t>
      </w:r>
      <w:r w:rsidR="00CD1EEE">
        <w:t>-</w:t>
      </w:r>
      <w:r>
        <w:t>quality indices relative to a reference con</w:t>
      </w:r>
      <w:r w:rsidR="00CD1EEE">
        <w:t>d</w:t>
      </w:r>
      <w:r>
        <w:t>ition</w:t>
      </w:r>
      <w:r w:rsidR="00B313BB">
        <w:t>. The EC10 values for the environmental</w:t>
      </w:r>
      <w:r w:rsidR="00FA0625">
        <w:t>-</w:t>
      </w:r>
      <w:r w:rsidR="00B313BB">
        <w:t xml:space="preserve">quality indices and across the </w:t>
      </w:r>
      <w:r w:rsidR="00FA0625">
        <w:t xml:space="preserve">3 </w:t>
      </w:r>
      <w:r w:rsidR="00B313BB">
        <w:t>different fractions of iron were generally similar, ranging from 1</w:t>
      </w:r>
      <w:r w:rsidR="006205E1">
        <w:t>,</w:t>
      </w:r>
      <w:r w:rsidR="00B313BB">
        <w:t>250</w:t>
      </w:r>
      <w:r w:rsidR="00B313BB">
        <w:rPr>
          <w:bCs/>
        </w:rPr>
        <w:t> µg/L to 2</w:t>
      </w:r>
      <w:r w:rsidR="006205E1">
        <w:rPr>
          <w:bCs/>
        </w:rPr>
        <w:t>,</w:t>
      </w:r>
      <w:r w:rsidR="00B313BB">
        <w:rPr>
          <w:bCs/>
        </w:rPr>
        <w:t xml:space="preserve">460 µg/L. </w:t>
      </w:r>
      <w:r w:rsidR="00BB39BF">
        <w:rPr>
          <w:bCs/>
        </w:rPr>
        <w:t xml:space="preserve">These values were considered to represent a </w:t>
      </w:r>
      <w:r w:rsidR="00BB39BF" w:rsidRPr="00BB39BF">
        <w:rPr>
          <w:bCs/>
        </w:rPr>
        <w:t xml:space="preserve">threshold for iron concentrations </w:t>
      </w:r>
      <w:r w:rsidR="00BB39BF">
        <w:rPr>
          <w:bCs/>
        </w:rPr>
        <w:t xml:space="preserve">below </w:t>
      </w:r>
      <w:r w:rsidR="00BB39BF" w:rsidRPr="00BB39BF">
        <w:rPr>
          <w:bCs/>
        </w:rPr>
        <w:t>which good ecological status is likely to be achieved</w:t>
      </w:r>
      <w:r w:rsidR="00FA0625">
        <w:rPr>
          <w:bCs/>
        </w:rPr>
        <w:t>,</w:t>
      </w:r>
      <w:r w:rsidR="008D6B91">
        <w:rPr>
          <w:bCs/>
        </w:rPr>
        <w:t xml:space="preserve"> despite some sensitive species being potentially affected</w:t>
      </w:r>
      <w:r w:rsidR="00BB39BF">
        <w:rPr>
          <w:bCs/>
        </w:rPr>
        <w:t>.</w:t>
      </w:r>
      <w:r w:rsidR="0070186D">
        <w:rPr>
          <w:bCs/>
        </w:rPr>
        <w:t xml:space="preserve"> Notably, these thresholds are higher than toxicity values for numerous macroinvertebrate taxa.</w:t>
      </w:r>
    </w:p>
    <w:p w14:paraId="634B2890" w14:textId="4EA6FD70" w:rsidR="00BF0280" w:rsidRDefault="00BF0280" w:rsidP="00BF0280">
      <w:r w:rsidRPr="00AE7845">
        <w:t xml:space="preserve">No acute data were used in the derivation of the </w:t>
      </w:r>
      <w:r>
        <w:t>D</w:t>
      </w:r>
      <w:r w:rsidRPr="00AE7845">
        <w:t>GV</w:t>
      </w:r>
      <w:r w:rsidR="00672130">
        <w:t>s</w:t>
      </w:r>
      <w:r w:rsidR="00FA0625">
        <w:t>,</w:t>
      </w:r>
      <w:r w:rsidRPr="00AE7845">
        <w:t xml:space="preserve"> as the minimum data requirements were met with chronic data alone</w:t>
      </w:r>
      <w:r>
        <w:t xml:space="preserve"> (see </w:t>
      </w:r>
      <w:r w:rsidR="00FA0625">
        <w:t>s</w:t>
      </w:r>
      <w:r>
        <w:t xml:space="preserve">ection </w:t>
      </w:r>
      <w:r w:rsidR="00FA0625">
        <w:fldChar w:fldCharType="begin"/>
      </w:r>
      <w:r w:rsidR="00FA0625">
        <w:instrText xml:space="preserve"> REF _Ref195456589 \r \h </w:instrText>
      </w:r>
      <w:r w:rsidR="00FA0625">
        <w:fldChar w:fldCharType="separate"/>
      </w:r>
      <w:r w:rsidR="00944476">
        <w:t>4.1</w:t>
      </w:r>
      <w:r w:rsidR="00FA0625">
        <w:fldChar w:fldCharType="end"/>
      </w:r>
      <w:r>
        <w:t>)</w:t>
      </w:r>
      <w:r w:rsidR="00FA0625">
        <w:t>.</w:t>
      </w:r>
      <w:r w:rsidR="003572F4">
        <w:t xml:space="preserve"> </w:t>
      </w:r>
      <w:r w:rsidR="00FA0625">
        <w:t>H</w:t>
      </w:r>
      <w:r w:rsidRPr="00AE7845">
        <w:t>owever, acute iron toxicity has been reviewed elsewhere (Johnson et al. 2007</w:t>
      </w:r>
      <w:r w:rsidR="00CD30E3">
        <w:t>;</w:t>
      </w:r>
      <w:r w:rsidRPr="00AE7845">
        <w:t xml:space="preserve"> Shuhaimi-Othman et al. 2012</w:t>
      </w:r>
      <w:r w:rsidR="00CD30E3">
        <w:t>;</w:t>
      </w:r>
      <w:r w:rsidRPr="00AE7845">
        <w:t xml:space="preserve"> EPRI 2004</w:t>
      </w:r>
      <w:r w:rsidR="00CD30E3">
        <w:t>;</w:t>
      </w:r>
      <w:r w:rsidRPr="00AE7845">
        <w:t xml:space="preserve"> Phippen et al. 2008)</w:t>
      </w:r>
      <w:r>
        <w:t>.</w:t>
      </w:r>
    </w:p>
    <w:p w14:paraId="22D8B396" w14:textId="0157188C" w:rsidR="00A47617" w:rsidRPr="00AE7845" w:rsidRDefault="00A47617" w:rsidP="007A18FB">
      <w:pPr>
        <w:pStyle w:val="Heading2"/>
      </w:pPr>
      <w:bookmarkStart w:id="31" w:name="_Toc197088515"/>
      <w:bookmarkStart w:id="32" w:name="_Toc197783774"/>
      <w:bookmarkStart w:id="33" w:name="_Toc199424866"/>
      <w:r>
        <w:lastRenderedPageBreak/>
        <w:t xml:space="preserve">Factors affecting </w:t>
      </w:r>
      <w:r w:rsidRPr="007A18FB">
        <w:t>toxicity</w:t>
      </w:r>
      <w:bookmarkEnd w:id="31"/>
      <w:bookmarkEnd w:id="32"/>
      <w:bookmarkEnd w:id="33"/>
    </w:p>
    <w:p w14:paraId="72CA47C1" w14:textId="54C831A9" w:rsidR="00A47617" w:rsidRDefault="00A47617" w:rsidP="00A47617">
      <w:r>
        <w:t>Factors that influence the solubility and speciation of iron will also affect its toxicity. The solubility of iron(III) is greatly enhanced by the presence of natural organic matter, particularly humic substances, which stabilise dissolved colloidal iron. This form of iron may be more or less bioavailable to aquatic biota</w:t>
      </w:r>
      <w:r w:rsidR="008549E1">
        <w:t>,</w:t>
      </w:r>
      <w:r>
        <w:t xml:space="preserve"> depending on the organism (Norman et al. 2014). Increased hardness was also found to increase iron(III) solubility (Phippen et al. 2008). Dissolved organic carbon may stabilise iron(II) in solution, thereby reducing the rate of oxidation to iron(III). Sul</w:t>
      </w:r>
      <w:r w:rsidR="00515B5D">
        <w:t>f</w:t>
      </w:r>
      <w:r>
        <w:t>ate, nitrate and chloride ions may also inhibit oxidation of iron(II) (Vuori 1995). Oxidation of iron(II) is accelerated by increased pH</w:t>
      </w:r>
      <w:r w:rsidR="008A4DA1">
        <w:t xml:space="preserve"> and</w:t>
      </w:r>
      <w:r>
        <w:t xml:space="preserve"> temperature,</w:t>
      </w:r>
      <w:r w:rsidR="001F6154">
        <w:t xml:space="preserve"> the</w:t>
      </w:r>
      <w:r>
        <w:t xml:space="preserve"> presence of trace metals, phosphate, fluoride and bacteria, </w:t>
      </w:r>
      <w:r w:rsidR="008A4DA1">
        <w:t>and</w:t>
      </w:r>
      <w:r>
        <w:t xml:space="preserve"> adsorption to particles (e.g. complexation with surface hydroxyl groups</w:t>
      </w:r>
      <w:r w:rsidR="006B6968">
        <w:t>,</w:t>
      </w:r>
      <w:r>
        <w:t xml:space="preserve"> such as surfaces of iron(III) hydroxides) (Teien et al. 2008). Mechanisms of reductive dissolution of iron(III) to release iron(II) include reduction of iron(III) hydroxides by dissolved sulfides, photo-induced dissolution, and the reductive enzymatic reactions on surfaces of phytoplankton (Vuori 1995). Increasing age of iron(III) hydroxide precipitates is associated with decreased toxicity. Iron(III) hydroxide decreased in toxicity to the </w:t>
      </w:r>
      <w:r w:rsidR="00724382">
        <w:t xml:space="preserve">cladoceran </w:t>
      </w:r>
      <w:r w:rsidRPr="00731D94">
        <w:rPr>
          <w:i/>
        </w:rPr>
        <w:t>D</w:t>
      </w:r>
      <w:r w:rsidR="002D11C1">
        <w:rPr>
          <w:i/>
        </w:rPr>
        <w:t>aphnia</w:t>
      </w:r>
      <w:r w:rsidRPr="00731D94">
        <w:rPr>
          <w:i/>
        </w:rPr>
        <w:t xml:space="preserve"> pulex</w:t>
      </w:r>
      <w:r>
        <w:t xml:space="preserve"> when iron stocks were aged for 0, 3 and 6 days (Birge et al. 1985) and to amphipods when test solutions were aged for 6.5 hours (Sykora et al. 1972b). </w:t>
      </w:r>
      <w:r w:rsidRPr="0054089F">
        <w:t>Teien et al. (2008)</w:t>
      </w:r>
      <w:r>
        <w:t xml:space="preserve"> demonstrated that </w:t>
      </w:r>
      <w:r w:rsidR="00E352A0">
        <w:t xml:space="preserve">in </w:t>
      </w:r>
      <w:r>
        <w:t xml:space="preserve">situations where iron is undergoing transformation (possibly due to hydrolysis), it may be considerably more toxic than in aged solutions. Different sets of fish were exposed to iron(III) (500 µg/L total iron) that had been </w:t>
      </w:r>
      <w:r w:rsidR="008937AC">
        <w:t>left</w:t>
      </w:r>
      <w:r>
        <w:t xml:space="preserve"> to react for different periods of time</w:t>
      </w:r>
      <w:r w:rsidR="00D47F84">
        <w:t>,</w:t>
      </w:r>
      <w:r>
        <w:t xml:space="preserve"> and this resulted in greater mortality and accumulation of iron hydroxides on fish gills after the first 0.5</w:t>
      </w:r>
      <w:r w:rsidR="00E352A0">
        <w:t> </w:t>
      </w:r>
      <w:r>
        <w:t>minutes of reaction time than</w:t>
      </w:r>
      <w:r w:rsidR="00E352A0">
        <w:t xml:space="preserve"> after</w:t>
      </w:r>
      <w:r>
        <w:t xml:space="preserve"> 5</w:t>
      </w:r>
      <w:r w:rsidR="00E352A0">
        <w:t xml:space="preserve"> minutes </w:t>
      </w:r>
      <w:r>
        <w:t>or 20</w:t>
      </w:r>
      <w:r w:rsidR="00E352A0">
        <w:t> </w:t>
      </w:r>
      <w:r>
        <w:t>minutes of reaction time (Peters et al. 2011a</w:t>
      </w:r>
      <w:r w:rsidR="001421F5">
        <w:t>;</w:t>
      </w:r>
      <w:r>
        <w:t xml:space="preserve"> Teien et al. 2008). The conditions with </w:t>
      </w:r>
      <w:r w:rsidR="00545414">
        <w:t xml:space="preserve">the </w:t>
      </w:r>
      <w:r>
        <w:t>highest potential</w:t>
      </w:r>
      <w:r w:rsidR="00545414">
        <w:t xml:space="preserve"> for</w:t>
      </w:r>
      <w:r>
        <w:t xml:space="preserve"> iron toxicity to freshwater macroinvertebrate communities at neutral pH were estimated to be low DOC (1.1 mg/L) and low hardness (14 mg</w:t>
      </w:r>
      <w:r w:rsidR="00444016">
        <w:t>/L</w:t>
      </w:r>
      <w:r>
        <w:t xml:space="preserve"> CaCO</w:t>
      </w:r>
      <w:r w:rsidRPr="00497182">
        <w:rPr>
          <w:vertAlign w:val="subscript"/>
        </w:rPr>
        <w:t>3</w:t>
      </w:r>
      <w:r>
        <w:t>) (Peters et al. 2011a).</w:t>
      </w:r>
    </w:p>
    <w:p w14:paraId="552F9C91" w14:textId="210C840F" w:rsidR="00A47617" w:rsidRDefault="00346317" w:rsidP="00A47617">
      <w:r>
        <w:t>As already noted</w:t>
      </w:r>
      <w:r w:rsidR="003843EB">
        <w:t>, m</w:t>
      </w:r>
      <w:r w:rsidR="00A47617">
        <w:t xml:space="preserve">odification of chronic iron toxicity by pH, DOC and hardness has been investigated in studies </w:t>
      </w:r>
      <w:r w:rsidR="00F57060">
        <w:t>with</w:t>
      </w:r>
      <w:r w:rsidR="00A47617">
        <w:t xml:space="preserve"> </w:t>
      </w:r>
      <w:r w:rsidR="001C0430" w:rsidRPr="00F2684E">
        <w:rPr>
          <w:i/>
          <w:iCs/>
        </w:rPr>
        <w:t>R.</w:t>
      </w:r>
      <w:r w:rsidR="00444016">
        <w:rPr>
          <w:i/>
          <w:iCs/>
        </w:rPr>
        <w:t> </w:t>
      </w:r>
      <w:r w:rsidR="003843EB" w:rsidRPr="00F2684E">
        <w:rPr>
          <w:i/>
          <w:iCs/>
        </w:rPr>
        <w:t>subcapitata</w:t>
      </w:r>
      <w:r w:rsidR="003843EB">
        <w:t xml:space="preserve">, </w:t>
      </w:r>
      <w:r w:rsidR="00724382" w:rsidRPr="00F87C1E">
        <w:rPr>
          <w:i/>
        </w:rPr>
        <w:t>C</w:t>
      </w:r>
      <w:r w:rsidR="00724382">
        <w:rPr>
          <w:i/>
        </w:rPr>
        <w:t>.</w:t>
      </w:r>
      <w:r w:rsidR="00444016">
        <w:rPr>
          <w:i/>
        </w:rPr>
        <w:t> </w:t>
      </w:r>
      <w:r w:rsidR="00A47617" w:rsidRPr="00F87C1E">
        <w:rPr>
          <w:i/>
        </w:rPr>
        <w:t>dubia</w:t>
      </w:r>
      <w:r w:rsidR="00CB7AD6">
        <w:t xml:space="preserve">, </w:t>
      </w:r>
      <w:r w:rsidR="00A47617">
        <w:t xml:space="preserve">and </w:t>
      </w:r>
      <w:r w:rsidR="00A47617" w:rsidRPr="00F87C1E">
        <w:rPr>
          <w:i/>
        </w:rPr>
        <w:t>P</w:t>
      </w:r>
      <w:r w:rsidR="00A47617">
        <w:rPr>
          <w:i/>
        </w:rPr>
        <w:t>.</w:t>
      </w:r>
      <w:r w:rsidR="001E4AC7">
        <w:rPr>
          <w:i/>
        </w:rPr>
        <w:t> </w:t>
      </w:r>
      <w:r w:rsidR="00A47617" w:rsidRPr="00F87C1E">
        <w:rPr>
          <w:i/>
        </w:rPr>
        <w:t>promelas</w:t>
      </w:r>
      <w:r w:rsidR="00A47617">
        <w:t xml:space="preserve"> (</w:t>
      </w:r>
      <w:r w:rsidR="00A778B0">
        <w:t>Cardwell et al. 2023</w:t>
      </w:r>
      <w:r w:rsidR="00A47617">
        <w:t xml:space="preserve">), </w:t>
      </w:r>
      <w:r w:rsidR="00323AC9">
        <w:t xml:space="preserve">all </w:t>
      </w:r>
      <w:r w:rsidR="00A47617">
        <w:t xml:space="preserve">of which are represented in the database used to derive the </w:t>
      </w:r>
      <w:r w:rsidR="00D47F84">
        <w:t>D</w:t>
      </w:r>
      <w:r w:rsidR="00A47617">
        <w:t>GV</w:t>
      </w:r>
      <w:r w:rsidR="00D47F84">
        <w:t>s</w:t>
      </w:r>
      <w:r w:rsidR="00D935A0">
        <w:t xml:space="preserve"> (see </w:t>
      </w:r>
      <w:r w:rsidR="00F76257">
        <w:fldChar w:fldCharType="begin"/>
      </w:r>
      <w:r w:rsidR="00F76257">
        <w:instrText xml:space="preserve"> REF AppendixC \h </w:instrText>
      </w:r>
      <w:r w:rsidR="00F76257">
        <w:fldChar w:fldCharType="separate"/>
      </w:r>
      <w:r w:rsidR="00944476" w:rsidRPr="006F37E1">
        <w:t>Appendix C</w:t>
      </w:r>
      <w:r w:rsidR="00F76257">
        <w:fldChar w:fldCharType="end"/>
      </w:r>
      <w:r w:rsidR="00D935A0">
        <w:t>)</w:t>
      </w:r>
      <w:r w:rsidR="00A47617">
        <w:t>.</w:t>
      </w:r>
    </w:p>
    <w:p w14:paraId="1E963E6B" w14:textId="7E496BA5" w:rsidR="00A47617" w:rsidRDefault="000F269B" w:rsidP="00A47617">
      <w:r>
        <w:t>Cardwell et al. (2023) measured s</w:t>
      </w:r>
      <w:r w:rsidR="00A47617">
        <w:t xml:space="preserve">urvival and reproduction </w:t>
      </w:r>
      <w:r w:rsidR="00724382">
        <w:t xml:space="preserve">of </w:t>
      </w:r>
      <w:r w:rsidR="00724382" w:rsidRPr="003D0EF9">
        <w:rPr>
          <w:i/>
          <w:iCs/>
        </w:rPr>
        <w:t>C.</w:t>
      </w:r>
      <w:r w:rsidR="00444016">
        <w:rPr>
          <w:i/>
          <w:iCs/>
        </w:rPr>
        <w:t> </w:t>
      </w:r>
      <w:r w:rsidR="00724382" w:rsidRPr="003D0EF9">
        <w:rPr>
          <w:i/>
          <w:iCs/>
        </w:rPr>
        <w:t>dubia</w:t>
      </w:r>
      <w:r w:rsidR="00724382">
        <w:t xml:space="preserve"> </w:t>
      </w:r>
      <w:r w:rsidR="00A47617">
        <w:t>over 7 days in static renewal of media at pH 6.3, hardness</w:t>
      </w:r>
      <w:r w:rsidR="008E52C1">
        <w:t>es of</w:t>
      </w:r>
      <w:r w:rsidR="00A47617">
        <w:t xml:space="preserve"> 25</w:t>
      </w:r>
      <w:r w:rsidR="008E52C1">
        <w:t> mg/L CaCO</w:t>
      </w:r>
      <w:r w:rsidR="008E52C1" w:rsidRPr="009B6AC1">
        <w:rPr>
          <w:vertAlign w:val="subscript"/>
        </w:rPr>
        <w:t>3</w:t>
      </w:r>
      <w:r w:rsidR="00A47617">
        <w:t>, 84</w:t>
      </w:r>
      <w:r w:rsidR="008E52C1">
        <w:t> mg/L CaCO</w:t>
      </w:r>
      <w:r w:rsidR="008E52C1" w:rsidRPr="009B6AC1">
        <w:rPr>
          <w:vertAlign w:val="subscript"/>
        </w:rPr>
        <w:t>3</w:t>
      </w:r>
      <w:r w:rsidR="00A47617">
        <w:t>, 252 mg</w:t>
      </w:r>
      <w:r w:rsidR="008E52C1">
        <w:t>/L</w:t>
      </w:r>
      <w:r w:rsidR="00A47617">
        <w:t xml:space="preserve"> CaCO</w:t>
      </w:r>
      <w:r w:rsidR="00A47617" w:rsidRPr="009B6AC1">
        <w:rPr>
          <w:vertAlign w:val="subscript"/>
        </w:rPr>
        <w:t>3</w:t>
      </w:r>
      <w:r w:rsidR="00A47617">
        <w:t xml:space="preserve"> </w:t>
      </w:r>
      <w:r w:rsidR="00A4533D">
        <w:t xml:space="preserve">and </w:t>
      </w:r>
      <w:r w:rsidR="008E52C1">
        <w:t xml:space="preserve">DOC of </w:t>
      </w:r>
      <w:r w:rsidR="00A47617">
        <w:t>0</w:t>
      </w:r>
      <w:r w:rsidR="008E52C1">
        <w:t xml:space="preserve"> mg/L </w:t>
      </w:r>
      <w:r w:rsidR="00A47617">
        <w:t xml:space="preserve">and 4 mg/L at </w:t>
      </w:r>
      <w:r w:rsidR="008E52C1">
        <w:t xml:space="preserve">5 </w:t>
      </w:r>
      <w:r w:rsidR="00A47617">
        <w:t>iron (iron(III) as Fe</w:t>
      </w:r>
      <w:r w:rsidR="00A47617" w:rsidRPr="009B6AC1">
        <w:rPr>
          <w:vertAlign w:val="subscript"/>
        </w:rPr>
        <w:t>2</w:t>
      </w:r>
      <w:r w:rsidR="00A47617">
        <w:t>(SO</w:t>
      </w:r>
      <w:r w:rsidR="00A47617" w:rsidRPr="009B6AC1">
        <w:rPr>
          <w:vertAlign w:val="subscript"/>
        </w:rPr>
        <w:t>4</w:t>
      </w:r>
      <w:r w:rsidR="00A47617">
        <w:t>)</w:t>
      </w:r>
      <w:r w:rsidR="00A47617" w:rsidRPr="009B6AC1">
        <w:rPr>
          <w:vertAlign w:val="subscript"/>
        </w:rPr>
        <w:t>3</w:t>
      </w:r>
      <w:r w:rsidR="00A47617">
        <w:t>) concentrations ranging from 200 </w:t>
      </w:r>
      <w:r w:rsidR="00A47617" w:rsidRPr="00B83FC3">
        <w:t>µ</w:t>
      </w:r>
      <w:r w:rsidR="00A47617">
        <w:t>g/L to 10</w:t>
      </w:r>
      <w:r w:rsidR="006205E1">
        <w:t>,</w:t>
      </w:r>
      <w:r w:rsidR="00A47617">
        <w:t>000 </w:t>
      </w:r>
      <w:r w:rsidR="00A47617" w:rsidRPr="0041209F">
        <w:t>µ</w:t>
      </w:r>
      <w:r w:rsidR="00A47617">
        <w:t xml:space="preserve">g/L measured total iron. Survival was unaffected at all iron concentrations and all hardness and </w:t>
      </w:r>
      <w:r w:rsidR="00A47617" w:rsidRPr="00306F7F">
        <w:t xml:space="preserve">DOC conditions. In the absence of DOC, </w:t>
      </w:r>
      <w:r w:rsidR="00A47617">
        <w:t xml:space="preserve">toxicity to </w:t>
      </w:r>
      <w:r w:rsidR="005812DD" w:rsidRPr="003D0EF9">
        <w:rPr>
          <w:i/>
          <w:iCs/>
        </w:rPr>
        <w:t>C.</w:t>
      </w:r>
      <w:r w:rsidR="00A4533D">
        <w:rPr>
          <w:i/>
          <w:iCs/>
        </w:rPr>
        <w:t> </w:t>
      </w:r>
      <w:r w:rsidR="005812DD" w:rsidRPr="003D0EF9">
        <w:rPr>
          <w:i/>
          <w:iCs/>
        </w:rPr>
        <w:t>dubia</w:t>
      </w:r>
      <w:r w:rsidR="00A47617" w:rsidRPr="00306F7F">
        <w:t xml:space="preserve"> reproduction was reduced</w:t>
      </w:r>
      <w:r w:rsidR="009477FA">
        <w:t>,</w:t>
      </w:r>
      <w:r w:rsidR="00A47617" w:rsidRPr="00306F7F">
        <w:t xml:space="preserve"> but not consistently </w:t>
      </w:r>
      <w:r w:rsidR="00A47617">
        <w:t>(EC10 = 570</w:t>
      </w:r>
      <w:r w:rsidR="00550CEF">
        <w:t> </w:t>
      </w:r>
      <w:r w:rsidR="00550CEF" w:rsidRPr="006939ED">
        <w:t>µg/L</w:t>
      </w:r>
      <w:r w:rsidR="00A47617">
        <w:t>, 1</w:t>
      </w:r>
      <w:r w:rsidR="00550CEF">
        <w:t>,</w:t>
      </w:r>
      <w:r w:rsidR="00A47617">
        <w:t>200</w:t>
      </w:r>
      <w:r w:rsidR="00550CEF">
        <w:t> </w:t>
      </w:r>
      <w:r w:rsidR="00550CEF" w:rsidRPr="006939ED">
        <w:t>µg/L</w:t>
      </w:r>
      <w:r w:rsidR="00A47617">
        <w:t xml:space="preserve"> and 900 </w:t>
      </w:r>
      <w:r w:rsidR="00A47617" w:rsidRPr="006939ED">
        <w:t>µg/L total iron</w:t>
      </w:r>
      <w:r w:rsidR="00A47617" w:rsidRPr="00700AE8">
        <w:t>)</w:t>
      </w:r>
      <w:r w:rsidR="009477FA">
        <w:t>,</w:t>
      </w:r>
      <w:r w:rsidR="00A47617" w:rsidRPr="00700AE8">
        <w:t xml:space="preserve"> </w:t>
      </w:r>
      <w:r w:rsidR="00550CEF">
        <w:t>as</w:t>
      </w:r>
      <w:r w:rsidR="00A47617" w:rsidRPr="00700AE8">
        <w:t xml:space="preserve"> respective hardness concentration</w:t>
      </w:r>
      <w:r w:rsidR="00550CEF">
        <w:t xml:space="preserve"> increased</w:t>
      </w:r>
      <w:r w:rsidR="00A47617" w:rsidRPr="00700AE8">
        <w:t>. The 95% confidence limits for the EC10 values overlapped</w:t>
      </w:r>
      <w:r w:rsidR="00A47617">
        <w:t>,</w:t>
      </w:r>
      <w:r w:rsidR="00A47617" w:rsidRPr="00700AE8">
        <w:t xml:space="preserve"> suggesting a statistically non-significant trend.</w:t>
      </w:r>
      <w:r w:rsidR="00A47617" w:rsidRPr="006939ED">
        <w:t xml:space="preserve"> However, the presence</w:t>
      </w:r>
      <w:r w:rsidR="00A47617">
        <w:t xml:space="preserve"> of DOC (4 mg/L) was significantly more effective at reducing reproductive toxicity (EC10s)</w:t>
      </w:r>
      <w:r w:rsidR="00A84A19">
        <w:t xml:space="preserve">, reducing </w:t>
      </w:r>
      <w:r w:rsidR="006711A9">
        <w:t xml:space="preserve">toxicity by a factor of 2 </w:t>
      </w:r>
      <w:r w:rsidR="00A47617">
        <w:t xml:space="preserve">at 25 mg/L </w:t>
      </w:r>
      <w:r w:rsidR="001A1EEB">
        <w:t xml:space="preserve">hardness </w:t>
      </w:r>
      <w:r w:rsidR="00A47617">
        <w:t xml:space="preserve">and </w:t>
      </w:r>
      <w:r w:rsidR="006711A9">
        <w:t xml:space="preserve">by a factor of 5 at </w:t>
      </w:r>
      <w:r w:rsidR="00A47617">
        <w:t>84 mg/L hardness (</w:t>
      </w:r>
      <w:r w:rsidR="00F70FEE">
        <w:t>C</w:t>
      </w:r>
      <w:r w:rsidR="00811D1A">
        <w:t>ardwell et al. 2023</w:t>
      </w:r>
      <w:r w:rsidR="00A47617">
        <w:t>), respectively. There was no detectable dissolved (&lt;</w:t>
      </w:r>
      <w:r w:rsidR="001421F5">
        <w:t> </w:t>
      </w:r>
      <w:r w:rsidR="00A47617">
        <w:t>0.22</w:t>
      </w:r>
      <w:r w:rsidR="0064224E">
        <w:t>-</w:t>
      </w:r>
      <w:r w:rsidR="00A47617">
        <w:rPr>
          <w:rFonts w:ascii="Calibri" w:hAnsi="Calibri"/>
        </w:rPr>
        <w:t>µ</w:t>
      </w:r>
      <w:r w:rsidR="00A47617">
        <w:t>m) iron present in the absence of DOC regardless of the hardness concentration</w:t>
      </w:r>
      <w:r w:rsidR="008D56F2">
        <w:t>. W</w:t>
      </w:r>
      <w:r w:rsidR="00A47617">
        <w:t>hen DOC was added, dissolved iron ranged from 2</w:t>
      </w:r>
      <w:r w:rsidR="001421F5">
        <w:t xml:space="preserve">% to </w:t>
      </w:r>
      <w:r w:rsidR="00A47617">
        <w:t>14%, 0.005</w:t>
      </w:r>
      <w:r w:rsidR="00642AD2">
        <w:t xml:space="preserve">% to </w:t>
      </w:r>
      <w:r w:rsidR="00A47617">
        <w:t>6%</w:t>
      </w:r>
      <w:r w:rsidR="00642AD2">
        <w:t>,</w:t>
      </w:r>
      <w:r w:rsidR="00A47617">
        <w:t xml:space="preserve"> and 0% of total iron </w:t>
      </w:r>
      <w:r w:rsidR="00577565">
        <w:t>at 25 mg/L CaCO</w:t>
      </w:r>
      <w:r w:rsidR="00577565" w:rsidRPr="009B6AC1">
        <w:rPr>
          <w:vertAlign w:val="subscript"/>
        </w:rPr>
        <w:t>3</w:t>
      </w:r>
      <w:r w:rsidR="00577565">
        <w:t>, 84 mg/L CaCO</w:t>
      </w:r>
      <w:r w:rsidR="00577565" w:rsidRPr="009B6AC1">
        <w:rPr>
          <w:vertAlign w:val="subscript"/>
        </w:rPr>
        <w:t>3</w:t>
      </w:r>
      <w:r w:rsidR="0089249C">
        <w:t xml:space="preserve"> and</w:t>
      </w:r>
      <w:r w:rsidR="00577565">
        <w:t xml:space="preserve"> 252 mg/L CaCO</w:t>
      </w:r>
      <w:r w:rsidR="00577565" w:rsidRPr="009B6AC1">
        <w:rPr>
          <w:vertAlign w:val="subscript"/>
        </w:rPr>
        <w:t>3</w:t>
      </w:r>
      <w:r w:rsidR="00577565">
        <w:t xml:space="preserve"> </w:t>
      </w:r>
      <w:r w:rsidR="00A47617">
        <w:t xml:space="preserve">hardness, respectively. Therefore, DOC increased the solubility of iron(III) but this was counteracted by increased hardness. </w:t>
      </w:r>
      <w:r w:rsidR="00A47617">
        <w:lastRenderedPageBreak/>
        <w:t xml:space="preserve">This suggests that the precipitated form of iron(III) was chronically toxic to </w:t>
      </w:r>
      <w:r w:rsidR="00A47617" w:rsidRPr="00FF0B39">
        <w:rPr>
          <w:i/>
        </w:rPr>
        <w:t>C.</w:t>
      </w:r>
      <w:r w:rsidR="00930CA2">
        <w:rPr>
          <w:i/>
        </w:rPr>
        <w:t> </w:t>
      </w:r>
      <w:r w:rsidR="00A47617" w:rsidRPr="00FF0B39">
        <w:rPr>
          <w:i/>
        </w:rPr>
        <w:t>dubia</w:t>
      </w:r>
      <w:r w:rsidR="00A47617">
        <w:t xml:space="preserve"> reproduction and this was primarily mitigated by DOC and secondarily through interactions with hardness.</w:t>
      </w:r>
    </w:p>
    <w:p w14:paraId="04E55D40" w14:textId="562C8C38" w:rsidR="00A47617" w:rsidRDefault="00256F26" w:rsidP="00A47617">
      <w:r>
        <w:t>Cardwell et al. (2023) also measured s</w:t>
      </w:r>
      <w:r w:rsidR="00A47617">
        <w:t xml:space="preserve">urvival and growth (dry biomass) </w:t>
      </w:r>
      <w:r w:rsidR="005812DD">
        <w:t xml:space="preserve">of </w:t>
      </w:r>
      <w:r w:rsidR="005812DD" w:rsidRPr="001A2324">
        <w:rPr>
          <w:i/>
        </w:rPr>
        <w:t>P.</w:t>
      </w:r>
      <w:r w:rsidR="001E4AC7">
        <w:rPr>
          <w:i/>
        </w:rPr>
        <w:t> </w:t>
      </w:r>
      <w:r w:rsidR="005812DD" w:rsidRPr="001A2324">
        <w:rPr>
          <w:i/>
        </w:rPr>
        <w:t>promelas</w:t>
      </w:r>
      <w:r w:rsidR="005812DD">
        <w:t xml:space="preserve"> </w:t>
      </w:r>
      <w:r w:rsidR="00A47617">
        <w:t>in 7-d</w:t>
      </w:r>
      <w:r w:rsidR="00996BAF">
        <w:t>ay</w:t>
      </w:r>
      <w:r w:rsidR="00A47617">
        <w:t xml:space="preserve"> chronic tests with juveniles (&lt;</w:t>
      </w:r>
      <w:r w:rsidR="00BC4A84">
        <w:t> </w:t>
      </w:r>
      <w:r w:rsidR="00A47617">
        <w:t xml:space="preserve">24 hours old) in a static renewal system </w:t>
      </w:r>
      <w:r w:rsidR="00D82BC9">
        <w:t>at</w:t>
      </w:r>
      <w:r w:rsidR="00A47617">
        <w:t xml:space="preserve"> pH 6 and 8; hardness</w:t>
      </w:r>
      <w:r w:rsidR="00996BAF">
        <w:t>es of</w:t>
      </w:r>
      <w:r w:rsidR="00A47617">
        <w:t xml:space="preserve"> 10.6</w:t>
      </w:r>
      <w:r w:rsidR="00996BAF">
        <w:t> mg/L CaCO</w:t>
      </w:r>
      <w:r w:rsidR="00996BAF" w:rsidRPr="009B6AC1">
        <w:rPr>
          <w:vertAlign w:val="subscript"/>
        </w:rPr>
        <w:t>3</w:t>
      </w:r>
      <w:r w:rsidR="00A47617">
        <w:t>, 84</w:t>
      </w:r>
      <w:r w:rsidR="00996BAF">
        <w:t> mg/L CaCO</w:t>
      </w:r>
      <w:r w:rsidR="00996BAF" w:rsidRPr="009B6AC1">
        <w:rPr>
          <w:vertAlign w:val="subscript"/>
        </w:rPr>
        <w:t>3</w:t>
      </w:r>
      <w:r w:rsidR="00996BAF">
        <w:t xml:space="preserve"> and</w:t>
      </w:r>
      <w:r w:rsidR="00A47617">
        <w:t xml:space="preserve"> 252 mg</w:t>
      </w:r>
      <w:r w:rsidR="00996BAF">
        <w:t>/L</w:t>
      </w:r>
      <w:r w:rsidR="00A47617">
        <w:t xml:space="preserve"> CaCO</w:t>
      </w:r>
      <w:r w:rsidR="00A47617" w:rsidRPr="009B6AC1">
        <w:rPr>
          <w:vertAlign w:val="subscript"/>
        </w:rPr>
        <w:t>3</w:t>
      </w:r>
      <w:r w:rsidR="00A47617">
        <w:t>; and</w:t>
      </w:r>
      <w:r w:rsidR="00EB6AEE">
        <w:t xml:space="preserve"> DOC of</w:t>
      </w:r>
      <w:r w:rsidR="00A47617">
        <w:t xml:space="preserve"> 0</w:t>
      </w:r>
      <w:r w:rsidR="00CC1269">
        <w:t> mg/L</w:t>
      </w:r>
      <w:r w:rsidR="00A47617">
        <w:t>, 2</w:t>
      </w:r>
      <w:r w:rsidR="00CC1269">
        <w:t> mg/L and</w:t>
      </w:r>
      <w:r w:rsidR="00A47617">
        <w:t xml:space="preserve"> 4 mg/L (as Suwannee River natural organic matter) at iron (iron(III) as Fe</w:t>
      </w:r>
      <w:r w:rsidR="00A47617" w:rsidRPr="009B6AC1">
        <w:rPr>
          <w:vertAlign w:val="subscript"/>
        </w:rPr>
        <w:t>2</w:t>
      </w:r>
      <w:r w:rsidR="00A47617">
        <w:t>(SO</w:t>
      </w:r>
      <w:r w:rsidR="00A47617" w:rsidRPr="009B6AC1">
        <w:rPr>
          <w:vertAlign w:val="subscript"/>
        </w:rPr>
        <w:t>4</w:t>
      </w:r>
      <w:r w:rsidR="00A47617">
        <w:t>)</w:t>
      </w:r>
      <w:r w:rsidR="00A47617" w:rsidRPr="009B6AC1">
        <w:rPr>
          <w:vertAlign w:val="subscript"/>
        </w:rPr>
        <w:t>3</w:t>
      </w:r>
      <w:r w:rsidR="00A47617">
        <w:t>) concentrations ranging from 128</w:t>
      </w:r>
      <w:r w:rsidR="00EB6AEE">
        <w:t> </w:t>
      </w:r>
      <w:r w:rsidR="00EB6AEE" w:rsidRPr="0041209F">
        <w:t>µ</w:t>
      </w:r>
      <w:r w:rsidR="00EB6AEE">
        <w:t>g/L</w:t>
      </w:r>
      <w:r w:rsidR="006205E1">
        <w:t xml:space="preserve"> to </w:t>
      </w:r>
      <w:r w:rsidR="00A47617">
        <w:t>62</w:t>
      </w:r>
      <w:r w:rsidR="005276A3">
        <w:t>,</w:t>
      </w:r>
      <w:r w:rsidR="00A47617">
        <w:t>000 </w:t>
      </w:r>
      <w:r w:rsidR="00A47617" w:rsidRPr="0041209F">
        <w:t>µ</w:t>
      </w:r>
      <w:r w:rsidR="00A47617">
        <w:t>g/L measured total iron. Iron solutions were equilibrated for 3</w:t>
      </w:r>
      <w:r w:rsidR="00594FB9">
        <w:t> </w:t>
      </w:r>
      <w:r w:rsidR="00A47617">
        <w:t>hours prior to use</w:t>
      </w:r>
      <w:r w:rsidR="00594FB9">
        <w:t>,</w:t>
      </w:r>
      <w:r w:rsidR="00A47617">
        <w:t xml:space="preserve"> and buffers were added to maintain pH, which subsequently contributed to the DOC (332–490 mg/L) but</w:t>
      </w:r>
      <w:r w:rsidR="00594FB9">
        <w:t>,</w:t>
      </w:r>
      <w:r w:rsidR="00A47617">
        <w:t xml:space="preserve"> due to low binding capacities, the buffer contribution of DOC is unlikely to have influenced iron speciation. Chronic fish survival was only affected at the highest total iron test concentration of 62</w:t>
      </w:r>
      <w:r w:rsidR="005276A3">
        <w:t>,</w:t>
      </w:r>
      <w:r w:rsidR="00A47617">
        <w:t>000 µg/L</w:t>
      </w:r>
      <w:r w:rsidR="0011190E">
        <w:t xml:space="preserve"> (with survival reduced to </w:t>
      </w:r>
      <w:r w:rsidR="00A47617">
        <w:t>85%</w:t>
      </w:r>
      <w:r w:rsidR="0011190E">
        <w:t>)</w:t>
      </w:r>
      <w:r w:rsidR="00A47617">
        <w:t>. However, increasing iron reduced growth in all treatments</w:t>
      </w:r>
      <w:r w:rsidR="001D39CB">
        <w:t>.</w:t>
      </w:r>
      <w:r w:rsidR="00A47617">
        <w:t xml:space="preserve"> </w:t>
      </w:r>
      <w:r w:rsidR="001D39CB">
        <w:t>T</w:t>
      </w:r>
      <w:r w:rsidR="00A47617">
        <w:t xml:space="preserve">he exception </w:t>
      </w:r>
      <w:r w:rsidR="001D39CB">
        <w:t>was</w:t>
      </w:r>
      <w:r w:rsidR="00A47617">
        <w:t xml:space="preserve"> when DOC (4 mg/L) was added in pH</w:t>
      </w:r>
      <w:r w:rsidR="000F120D">
        <w:t>-</w:t>
      </w:r>
      <w:r w:rsidR="00A47617">
        <w:t>6 test solutions</w:t>
      </w:r>
      <w:r w:rsidR="001D39CB">
        <w:t>, and</w:t>
      </w:r>
      <w:r w:rsidR="00A47617">
        <w:t xml:space="preserve"> no effects were detected at the highest total iron concentration of 7</w:t>
      </w:r>
      <w:r w:rsidR="005276A3">
        <w:t>,</w:t>
      </w:r>
      <w:r w:rsidR="00A47617">
        <w:t xml:space="preserve">450 µg/L. </w:t>
      </w:r>
      <w:r w:rsidR="00A12DE9">
        <w:t>The effect of i</w:t>
      </w:r>
      <w:r w:rsidR="00A47617">
        <w:t>ron on growth w</w:t>
      </w:r>
      <w:r w:rsidR="00A12DE9">
        <w:t>as greater</w:t>
      </w:r>
      <w:r w:rsidR="00A47617">
        <w:t xml:space="preserve"> at pH 6 compared to pH 8</w:t>
      </w:r>
      <w:r w:rsidR="000F120D">
        <w:t>,</w:t>
      </w:r>
      <w:r w:rsidR="00A47617">
        <w:t xml:space="preserve"> regardless of hardness level and DOC (0</w:t>
      </w:r>
      <w:r w:rsidR="000F120D">
        <w:t> mg/L</w:t>
      </w:r>
      <w:r w:rsidR="00A47617">
        <w:t xml:space="preserve"> and 2 mg/L). Iron effects on growth were partially mitigated by increasing DOC and hardness at pH 6 and pH 8 but </w:t>
      </w:r>
      <w:r w:rsidR="005134AA">
        <w:t>the</w:t>
      </w:r>
      <w:r w:rsidR="0061358D">
        <w:t>se factors had less influence on</w:t>
      </w:r>
      <w:r w:rsidR="00CE15C3">
        <w:t xml:space="preserve"> iron toxicity</w:t>
      </w:r>
      <w:r w:rsidR="00A47617">
        <w:t xml:space="preserve"> at pH 8. There was no detectable dissolved (&lt;</w:t>
      </w:r>
      <w:r w:rsidR="009A6133">
        <w:t> </w:t>
      </w:r>
      <w:r w:rsidR="00A47617">
        <w:t>0.2</w:t>
      </w:r>
      <w:r w:rsidR="000F120D">
        <w:t>-</w:t>
      </w:r>
      <w:r w:rsidR="00A47617" w:rsidRPr="00D63D6E">
        <w:t>µ</w:t>
      </w:r>
      <w:r w:rsidR="00A47617">
        <w:t>m) iron in the absence of DOC</w:t>
      </w:r>
      <w:r w:rsidR="00713B75">
        <w:t>,</w:t>
      </w:r>
      <w:r w:rsidR="00A47617">
        <w:t xml:space="preserve"> regardless of hardness or pH. Dissolved iron was influenced more by increased DOC than hardness, regardless of pH. Therefore, chronic toxicity to </w:t>
      </w:r>
      <w:r w:rsidR="00A47617" w:rsidRPr="005B5820">
        <w:rPr>
          <w:i/>
        </w:rPr>
        <w:t>P.</w:t>
      </w:r>
      <w:r w:rsidR="001E4AC7">
        <w:rPr>
          <w:i/>
        </w:rPr>
        <w:t> </w:t>
      </w:r>
      <w:r w:rsidR="00A47617" w:rsidRPr="005B5820">
        <w:rPr>
          <w:i/>
        </w:rPr>
        <w:t>promelas</w:t>
      </w:r>
      <w:r w:rsidR="00A47617">
        <w:t xml:space="preserve"> </w:t>
      </w:r>
      <w:r w:rsidR="00871F72">
        <w:t xml:space="preserve">(based on growth) </w:t>
      </w:r>
      <w:r w:rsidR="00A47617">
        <w:t>was greatest in the presence of precipitated iron(III) and this was mitigated in the presence of DOC by the formation of more soluble species</w:t>
      </w:r>
      <w:r w:rsidR="00465812">
        <w:t xml:space="preserve"> of iron</w:t>
      </w:r>
      <w:r w:rsidR="00A47617">
        <w:t xml:space="preserve">. Hardness had the least effect on reducing iron toxicity and influencing solubility of iron. Overall, pH had the strongest influence on iron toxicity </w:t>
      </w:r>
      <w:r w:rsidR="00F06E9D">
        <w:t xml:space="preserve">(based on </w:t>
      </w:r>
      <w:r w:rsidR="00A47617">
        <w:t xml:space="preserve">growth </w:t>
      </w:r>
      <w:r w:rsidR="00C8514D">
        <w:t>of</w:t>
      </w:r>
      <w:r w:rsidR="00A47617">
        <w:t xml:space="preserve"> </w:t>
      </w:r>
      <w:r w:rsidR="00A47617" w:rsidRPr="00D63D6E">
        <w:rPr>
          <w:i/>
        </w:rPr>
        <w:t>P.</w:t>
      </w:r>
      <w:r w:rsidR="001E4AC7">
        <w:rPr>
          <w:i/>
        </w:rPr>
        <w:t> </w:t>
      </w:r>
      <w:r w:rsidR="00A47617" w:rsidRPr="00D63D6E">
        <w:rPr>
          <w:i/>
        </w:rPr>
        <w:t>promelas</w:t>
      </w:r>
      <w:r w:rsidR="005D4A7E">
        <w:rPr>
          <w:iCs/>
        </w:rPr>
        <w:t>)</w:t>
      </w:r>
      <w:r w:rsidR="00A47617">
        <w:t xml:space="preserve"> </w:t>
      </w:r>
      <w:r w:rsidR="000C36F2">
        <w:t xml:space="preserve">– the </w:t>
      </w:r>
      <w:r w:rsidR="00A47617">
        <w:t xml:space="preserve">greatest toxicity </w:t>
      </w:r>
      <w:r w:rsidR="005D4A7E">
        <w:t>occurr</w:t>
      </w:r>
      <w:r w:rsidR="000C36F2">
        <w:t>ed</w:t>
      </w:r>
      <w:r w:rsidR="005D4A7E">
        <w:t xml:space="preserve"> </w:t>
      </w:r>
      <w:r w:rsidR="00A47617">
        <w:t>at pH 6. D</w:t>
      </w:r>
      <w:r w:rsidR="00281025">
        <w:t>issolved organic carbon</w:t>
      </w:r>
      <w:r w:rsidR="00A47617">
        <w:t xml:space="preserve"> and hardness were most effective in partially mitigating toxicity.</w:t>
      </w:r>
    </w:p>
    <w:p w14:paraId="496E4DB8" w14:textId="1A102658" w:rsidR="00BF0280" w:rsidRDefault="00256F26" w:rsidP="00902D4E">
      <w:pPr>
        <w:widowControl w:val="0"/>
      </w:pPr>
      <w:r>
        <w:t>The available data indicate</w:t>
      </w:r>
      <w:r w:rsidR="00A47617">
        <w:t xml:space="preserve"> that pH and DOC (listed in order of </w:t>
      </w:r>
      <w:r w:rsidR="00E40454">
        <w:t xml:space="preserve">their </w:t>
      </w:r>
      <w:r w:rsidR="00A47617">
        <w:t>influen</w:t>
      </w:r>
      <w:r w:rsidR="00E40454">
        <w:t>ce on</w:t>
      </w:r>
      <w:r w:rsidR="00A47617">
        <w:t xml:space="preserve"> iron toxicity) likely interact with the dissolved and precipitated forms of iron present to modify toxicity. Hardness did not have consistent effects on iron toxicity to </w:t>
      </w:r>
      <w:r w:rsidR="00D935A0" w:rsidRPr="00D32436">
        <w:rPr>
          <w:rFonts w:eastAsia="Cambria" w:cstheme="minorHAnsi"/>
          <w:i/>
          <w:iCs/>
          <w:lang w:eastAsia="en-AU"/>
        </w:rPr>
        <w:t>R</w:t>
      </w:r>
      <w:r w:rsidR="00D935A0">
        <w:rPr>
          <w:rFonts w:eastAsia="Cambria" w:cstheme="minorHAnsi"/>
          <w:i/>
          <w:iCs/>
          <w:lang w:eastAsia="en-AU"/>
        </w:rPr>
        <w:t>.</w:t>
      </w:r>
      <w:r w:rsidR="001E4AC7">
        <w:rPr>
          <w:rFonts w:eastAsia="Cambria" w:cstheme="minorHAnsi"/>
          <w:i/>
          <w:iCs/>
          <w:lang w:eastAsia="en-AU"/>
        </w:rPr>
        <w:t> </w:t>
      </w:r>
      <w:r w:rsidR="00D935A0" w:rsidRPr="00D32436">
        <w:rPr>
          <w:rFonts w:eastAsia="Cambria" w:cstheme="minorHAnsi"/>
          <w:i/>
          <w:iCs/>
          <w:lang w:eastAsia="en-AU"/>
        </w:rPr>
        <w:t>subcapitata</w:t>
      </w:r>
      <w:r w:rsidR="00D935A0">
        <w:rPr>
          <w:i/>
        </w:rPr>
        <w:t xml:space="preserve">, </w:t>
      </w:r>
      <w:r w:rsidR="00A47617" w:rsidRPr="00700AE8">
        <w:rPr>
          <w:i/>
        </w:rPr>
        <w:t>C.</w:t>
      </w:r>
      <w:r w:rsidR="001E4AC7">
        <w:rPr>
          <w:i/>
        </w:rPr>
        <w:t> </w:t>
      </w:r>
      <w:r w:rsidR="00A47617" w:rsidRPr="00700AE8">
        <w:rPr>
          <w:i/>
        </w:rPr>
        <w:t xml:space="preserve">dubia </w:t>
      </w:r>
      <w:r w:rsidR="00A47617" w:rsidRPr="000611FD">
        <w:t>or</w:t>
      </w:r>
      <w:r w:rsidR="00A47617" w:rsidRPr="00700AE8">
        <w:rPr>
          <w:i/>
        </w:rPr>
        <w:t xml:space="preserve"> </w:t>
      </w:r>
      <w:r w:rsidR="00A47617" w:rsidRPr="001E4AC7">
        <w:rPr>
          <w:i/>
        </w:rPr>
        <w:t>P.</w:t>
      </w:r>
      <w:r w:rsidR="001E4AC7">
        <w:rPr>
          <w:i/>
        </w:rPr>
        <w:t> </w:t>
      </w:r>
      <w:r w:rsidR="00A47617" w:rsidRPr="001E4AC7">
        <w:rPr>
          <w:i/>
        </w:rPr>
        <w:t>promelas</w:t>
      </w:r>
      <w:r w:rsidR="00857481">
        <w:t>.</w:t>
      </w:r>
    </w:p>
    <w:p w14:paraId="12E1AA4A" w14:textId="6572E9BC" w:rsidR="00B83F95" w:rsidRPr="000329AC" w:rsidRDefault="00B83F95" w:rsidP="00902D4E">
      <w:pPr>
        <w:widowControl w:val="0"/>
        <w:rPr>
          <w:rFonts w:eastAsia="Cambria" w:cstheme="minorHAnsi"/>
          <w:i/>
          <w:iCs/>
          <w:lang w:eastAsia="en-AU"/>
        </w:rPr>
      </w:pPr>
      <w:r>
        <w:t xml:space="preserve">Brix et al. (2023) </w:t>
      </w:r>
      <w:r w:rsidR="00FE33DD">
        <w:t xml:space="preserve">developed </w:t>
      </w:r>
      <w:r w:rsidR="00631E57">
        <w:t xml:space="preserve">MLR </w:t>
      </w:r>
      <w:r w:rsidR="00C60D12">
        <w:t xml:space="preserve">models for </w:t>
      </w:r>
      <w:r w:rsidR="00281025">
        <w:t xml:space="preserve">3 </w:t>
      </w:r>
      <w:r w:rsidR="00C60D12">
        <w:t>species</w:t>
      </w:r>
      <w:r w:rsidR="00D55B9E">
        <w:t xml:space="preserve"> </w:t>
      </w:r>
      <w:r w:rsidR="00281025">
        <w:t>(</w:t>
      </w:r>
      <w:r w:rsidR="00256F26" w:rsidRPr="00D32436">
        <w:rPr>
          <w:rFonts w:eastAsia="Cambria" w:cstheme="minorHAnsi"/>
          <w:i/>
          <w:iCs/>
          <w:lang w:eastAsia="en-AU"/>
        </w:rPr>
        <w:t>R</w:t>
      </w:r>
      <w:r w:rsidR="00256F26">
        <w:rPr>
          <w:rFonts w:eastAsia="Cambria" w:cstheme="minorHAnsi"/>
          <w:i/>
          <w:iCs/>
          <w:lang w:eastAsia="en-AU"/>
        </w:rPr>
        <w:t>.</w:t>
      </w:r>
      <w:r w:rsidR="00281025">
        <w:rPr>
          <w:rFonts w:eastAsia="Cambria" w:cstheme="minorHAnsi"/>
          <w:i/>
          <w:iCs/>
          <w:lang w:eastAsia="en-AU"/>
        </w:rPr>
        <w:t> </w:t>
      </w:r>
      <w:r w:rsidR="00B55FF4" w:rsidRPr="00D32436">
        <w:rPr>
          <w:rFonts w:eastAsia="Cambria" w:cstheme="minorHAnsi"/>
          <w:i/>
          <w:iCs/>
          <w:lang w:eastAsia="en-AU"/>
        </w:rPr>
        <w:t>subcapitata</w:t>
      </w:r>
      <w:r w:rsidR="00B55FF4">
        <w:rPr>
          <w:rFonts w:eastAsia="Cambria" w:cstheme="minorHAnsi"/>
          <w:i/>
          <w:iCs/>
          <w:lang w:eastAsia="en-AU"/>
        </w:rPr>
        <w:t xml:space="preserve">, </w:t>
      </w:r>
      <w:r w:rsidR="00256F26" w:rsidRPr="00D32436">
        <w:rPr>
          <w:rFonts w:eastAsia="Cambria" w:cstheme="minorHAnsi"/>
          <w:i/>
          <w:iCs/>
          <w:lang w:eastAsia="en-AU"/>
        </w:rPr>
        <w:t>C</w:t>
      </w:r>
      <w:r w:rsidR="00256F26">
        <w:rPr>
          <w:rFonts w:eastAsia="Cambria" w:cstheme="minorHAnsi"/>
          <w:i/>
          <w:iCs/>
          <w:lang w:eastAsia="en-AU"/>
        </w:rPr>
        <w:t>.</w:t>
      </w:r>
      <w:r w:rsidR="00281025">
        <w:rPr>
          <w:rFonts w:eastAsia="Cambria" w:cstheme="minorHAnsi"/>
          <w:i/>
          <w:iCs/>
          <w:lang w:eastAsia="en-AU"/>
        </w:rPr>
        <w:t> </w:t>
      </w:r>
      <w:r w:rsidR="00B55FF4" w:rsidRPr="00D32436">
        <w:rPr>
          <w:rFonts w:eastAsia="Cambria" w:cstheme="minorHAnsi"/>
          <w:i/>
          <w:iCs/>
          <w:lang w:eastAsia="en-AU"/>
        </w:rPr>
        <w:t>dubia</w:t>
      </w:r>
      <w:r w:rsidR="00281025">
        <w:rPr>
          <w:rFonts w:eastAsia="Cambria" w:cstheme="minorHAnsi"/>
          <w:lang w:eastAsia="en-AU"/>
        </w:rPr>
        <w:t xml:space="preserve"> and </w:t>
      </w:r>
      <w:r w:rsidR="00444F2F" w:rsidRPr="00CC68AE">
        <w:rPr>
          <w:rFonts w:eastAsia="Cambria" w:cstheme="minorHAnsi"/>
          <w:i/>
          <w:iCs/>
          <w:lang w:eastAsia="en-AU"/>
        </w:rPr>
        <w:t>P</w:t>
      </w:r>
      <w:r w:rsidR="00444F2F">
        <w:rPr>
          <w:rFonts w:eastAsia="Cambria" w:cstheme="minorHAnsi"/>
          <w:i/>
          <w:iCs/>
          <w:lang w:eastAsia="en-AU"/>
        </w:rPr>
        <w:t>. </w:t>
      </w:r>
      <w:r w:rsidR="00444F2F" w:rsidRPr="00CC68AE">
        <w:rPr>
          <w:rFonts w:eastAsia="Cambria" w:cstheme="minorHAnsi"/>
          <w:i/>
          <w:iCs/>
          <w:lang w:eastAsia="en-AU"/>
        </w:rPr>
        <w:t>promela</w:t>
      </w:r>
      <w:r w:rsidR="00444F2F">
        <w:rPr>
          <w:rFonts w:eastAsia="Cambria" w:cstheme="minorHAnsi"/>
          <w:i/>
          <w:iCs/>
          <w:lang w:eastAsia="en-AU"/>
        </w:rPr>
        <w:t>s</w:t>
      </w:r>
      <w:r w:rsidR="00281025" w:rsidRPr="00515B5D">
        <w:rPr>
          <w:rFonts w:eastAsia="Cambria" w:cstheme="minorHAnsi"/>
          <w:lang w:eastAsia="en-AU"/>
        </w:rPr>
        <w:t>)</w:t>
      </w:r>
      <w:r w:rsidR="00B55FF4" w:rsidRPr="00D32436">
        <w:rPr>
          <w:rFonts w:eastAsia="Cambria" w:cstheme="minorHAnsi"/>
          <w:i/>
          <w:iCs/>
          <w:lang w:eastAsia="en-AU"/>
        </w:rPr>
        <w:t xml:space="preserve"> </w:t>
      </w:r>
      <w:r w:rsidR="00D55B9E">
        <w:rPr>
          <w:rFonts w:eastAsia="Cambria" w:cstheme="minorHAnsi"/>
          <w:lang w:eastAsia="en-AU"/>
        </w:rPr>
        <w:t>using the data of Cardwell et al. (2023).</w:t>
      </w:r>
      <w:r w:rsidR="00DB0D6F">
        <w:rPr>
          <w:rFonts w:eastAsia="Cambria" w:cstheme="minorHAnsi"/>
          <w:lang w:eastAsia="en-AU"/>
        </w:rPr>
        <w:t xml:space="preserve"> </w:t>
      </w:r>
      <w:r w:rsidR="00C86360">
        <w:rPr>
          <w:rFonts w:eastAsia="Cambria" w:cstheme="minorHAnsi"/>
          <w:lang w:eastAsia="en-AU"/>
        </w:rPr>
        <w:t>A pooled model was not possible because of differences between species</w:t>
      </w:r>
      <w:r w:rsidR="00F600C9">
        <w:rPr>
          <w:rFonts w:eastAsia="Cambria" w:cstheme="minorHAnsi"/>
          <w:lang w:eastAsia="en-AU"/>
        </w:rPr>
        <w:t xml:space="preserve">, so the </w:t>
      </w:r>
      <w:r w:rsidR="00536766">
        <w:rPr>
          <w:rFonts w:eastAsia="Cambria" w:cstheme="minorHAnsi"/>
          <w:i/>
          <w:iCs/>
          <w:lang w:eastAsia="en-AU"/>
        </w:rPr>
        <w:t>R.</w:t>
      </w:r>
      <w:r w:rsidR="00CF4769">
        <w:rPr>
          <w:rFonts w:eastAsia="Cambria" w:cstheme="minorHAnsi"/>
          <w:i/>
          <w:iCs/>
          <w:lang w:eastAsia="en-AU"/>
        </w:rPr>
        <w:t> </w:t>
      </w:r>
      <w:r w:rsidR="00536766">
        <w:rPr>
          <w:rFonts w:eastAsia="Cambria" w:cstheme="minorHAnsi"/>
          <w:i/>
          <w:iCs/>
          <w:lang w:eastAsia="en-AU"/>
        </w:rPr>
        <w:t xml:space="preserve">subcapitata </w:t>
      </w:r>
      <w:r w:rsidR="00536766" w:rsidRPr="00CC68AE">
        <w:rPr>
          <w:rFonts w:eastAsia="Cambria" w:cstheme="minorHAnsi"/>
          <w:lang w:eastAsia="en-AU"/>
        </w:rPr>
        <w:t>model was applied to plants,</w:t>
      </w:r>
      <w:r w:rsidR="00F600C9">
        <w:rPr>
          <w:rFonts w:eastAsia="Cambria" w:cstheme="minorHAnsi"/>
          <w:lang w:eastAsia="en-AU"/>
        </w:rPr>
        <w:t xml:space="preserve"> </w:t>
      </w:r>
      <w:r w:rsidR="00007AC1">
        <w:rPr>
          <w:rFonts w:eastAsia="Cambria" w:cstheme="minorHAnsi"/>
          <w:lang w:eastAsia="en-AU"/>
        </w:rPr>
        <w:t xml:space="preserve">the </w:t>
      </w:r>
      <w:r w:rsidR="00007AC1">
        <w:rPr>
          <w:rFonts w:eastAsia="Cambria" w:cstheme="minorHAnsi"/>
          <w:i/>
          <w:iCs/>
          <w:lang w:eastAsia="en-AU"/>
        </w:rPr>
        <w:t>P.</w:t>
      </w:r>
      <w:r w:rsidR="00CF4769">
        <w:rPr>
          <w:rFonts w:eastAsia="Cambria" w:cstheme="minorHAnsi"/>
          <w:i/>
          <w:iCs/>
          <w:lang w:eastAsia="en-AU"/>
        </w:rPr>
        <w:t> </w:t>
      </w:r>
      <w:r w:rsidR="00007AC1">
        <w:rPr>
          <w:rFonts w:eastAsia="Cambria" w:cstheme="minorHAnsi"/>
          <w:i/>
          <w:iCs/>
          <w:lang w:eastAsia="en-AU"/>
        </w:rPr>
        <w:t xml:space="preserve">promelas </w:t>
      </w:r>
      <w:r w:rsidR="00F600C9">
        <w:rPr>
          <w:rFonts w:eastAsia="Cambria" w:cstheme="minorHAnsi"/>
          <w:lang w:eastAsia="en-AU"/>
        </w:rPr>
        <w:t xml:space="preserve">model was applied to </w:t>
      </w:r>
      <w:r w:rsidR="000059A1">
        <w:rPr>
          <w:rFonts w:eastAsia="Cambria" w:cstheme="minorHAnsi"/>
          <w:lang w:eastAsia="en-AU"/>
        </w:rPr>
        <w:t>fish</w:t>
      </w:r>
      <w:r w:rsidR="00CF4769">
        <w:rPr>
          <w:rFonts w:eastAsia="Cambria" w:cstheme="minorHAnsi"/>
          <w:lang w:eastAsia="en-AU"/>
        </w:rPr>
        <w:t>,</w:t>
      </w:r>
      <w:r w:rsidR="000059A1">
        <w:rPr>
          <w:rFonts w:eastAsia="Cambria" w:cstheme="minorHAnsi"/>
          <w:lang w:eastAsia="en-AU"/>
        </w:rPr>
        <w:t xml:space="preserve"> and the </w:t>
      </w:r>
      <w:r w:rsidR="000059A1" w:rsidRPr="00CC68AE">
        <w:rPr>
          <w:rFonts w:eastAsia="Cambria" w:cstheme="minorHAnsi"/>
          <w:i/>
          <w:iCs/>
          <w:lang w:eastAsia="en-AU"/>
        </w:rPr>
        <w:t>C.</w:t>
      </w:r>
      <w:r w:rsidR="00CF4769">
        <w:rPr>
          <w:rFonts w:eastAsia="Cambria" w:cstheme="minorHAnsi"/>
          <w:i/>
          <w:iCs/>
          <w:lang w:eastAsia="en-AU"/>
        </w:rPr>
        <w:t> </w:t>
      </w:r>
      <w:r w:rsidR="00256F26" w:rsidRPr="00CC68AE">
        <w:rPr>
          <w:rFonts w:eastAsia="Cambria" w:cstheme="minorHAnsi"/>
          <w:i/>
          <w:iCs/>
          <w:lang w:eastAsia="en-AU"/>
        </w:rPr>
        <w:t>d</w:t>
      </w:r>
      <w:r w:rsidR="00256F26">
        <w:rPr>
          <w:rFonts w:eastAsia="Cambria" w:cstheme="minorHAnsi"/>
          <w:i/>
          <w:iCs/>
          <w:lang w:eastAsia="en-AU"/>
        </w:rPr>
        <w:t>ub</w:t>
      </w:r>
      <w:r w:rsidR="00256F26" w:rsidRPr="00CC68AE">
        <w:rPr>
          <w:rFonts w:eastAsia="Cambria" w:cstheme="minorHAnsi"/>
          <w:i/>
          <w:iCs/>
          <w:lang w:eastAsia="en-AU"/>
        </w:rPr>
        <w:t>ia</w:t>
      </w:r>
      <w:r w:rsidR="00256F26">
        <w:rPr>
          <w:rFonts w:eastAsia="Cambria" w:cstheme="minorHAnsi"/>
          <w:lang w:eastAsia="en-AU"/>
        </w:rPr>
        <w:t xml:space="preserve"> </w:t>
      </w:r>
      <w:r w:rsidR="005779B8">
        <w:rPr>
          <w:rFonts w:eastAsia="Cambria" w:cstheme="minorHAnsi"/>
          <w:lang w:eastAsia="en-AU"/>
        </w:rPr>
        <w:t xml:space="preserve">model </w:t>
      </w:r>
      <w:r w:rsidR="007F16E3">
        <w:rPr>
          <w:rFonts w:eastAsia="Cambria" w:cstheme="minorHAnsi"/>
          <w:lang w:eastAsia="en-AU"/>
        </w:rPr>
        <w:t xml:space="preserve">was </w:t>
      </w:r>
      <w:r w:rsidR="005779B8">
        <w:rPr>
          <w:rFonts w:eastAsia="Cambria" w:cstheme="minorHAnsi"/>
          <w:lang w:eastAsia="en-AU"/>
        </w:rPr>
        <w:t>applied to all invertebrat</w:t>
      </w:r>
      <w:r w:rsidR="001F4207">
        <w:rPr>
          <w:rFonts w:eastAsia="Cambria" w:cstheme="minorHAnsi"/>
          <w:lang w:eastAsia="en-AU"/>
        </w:rPr>
        <w:t>e</w:t>
      </w:r>
      <w:r w:rsidR="005779B8">
        <w:rPr>
          <w:rFonts w:eastAsia="Cambria" w:cstheme="minorHAnsi"/>
          <w:lang w:eastAsia="en-AU"/>
        </w:rPr>
        <w:t>s</w:t>
      </w:r>
      <w:r w:rsidR="00CF4769">
        <w:rPr>
          <w:rFonts w:eastAsia="Cambria" w:cstheme="minorHAnsi"/>
          <w:lang w:eastAsia="en-AU"/>
        </w:rPr>
        <w:t>,</w:t>
      </w:r>
      <w:r w:rsidR="005779B8">
        <w:rPr>
          <w:rFonts w:eastAsia="Cambria" w:cstheme="minorHAnsi"/>
          <w:lang w:eastAsia="en-AU"/>
        </w:rPr>
        <w:t xml:space="preserve"> including insects.</w:t>
      </w:r>
      <w:r w:rsidR="00DB0D6F">
        <w:rPr>
          <w:rFonts w:eastAsia="Cambria" w:cstheme="minorHAnsi"/>
          <w:lang w:eastAsia="en-AU"/>
        </w:rPr>
        <w:t xml:space="preserve"> </w:t>
      </w:r>
      <w:r w:rsidR="006014C0">
        <w:rPr>
          <w:rFonts w:eastAsia="Cambria" w:cstheme="minorHAnsi"/>
          <w:lang w:eastAsia="en-AU"/>
        </w:rPr>
        <w:t xml:space="preserve">There was uncertainty </w:t>
      </w:r>
      <w:r w:rsidR="0092103C">
        <w:rPr>
          <w:rFonts w:eastAsia="Cambria" w:cstheme="minorHAnsi"/>
          <w:lang w:eastAsia="en-AU"/>
        </w:rPr>
        <w:t xml:space="preserve">about the applicability </w:t>
      </w:r>
      <w:r w:rsidR="00256F26">
        <w:rPr>
          <w:rFonts w:eastAsia="Cambria" w:cstheme="minorHAnsi"/>
          <w:lang w:eastAsia="en-AU"/>
        </w:rPr>
        <w:t xml:space="preserve">of the </w:t>
      </w:r>
      <w:r w:rsidR="00256F26" w:rsidRPr="006045A7">
        <w:rPr>
          <w:rFonts w:eastAsia="Cambria" w:cstheme="minorHAnsi"/>
          <w:i/>
          <w:iCs/>
          <w:lang w:eastAsia="en-AU"/>
        </w:rPr>
        <w:t>C.</w:t>
      </w:r>
      <w:r w:rsidR="00CF4769">
        <w:rPr>
          <w:rFonts w:eastAsia="Cambria" w:cstheme="minorHAnsi"/>
          <w:i/>
          <w:iCs/>
          <w:lang w:eastAsia="en-AU"/>
        </w:rPr>
        <w:t> </w:t>
      </w:r>
      <w:r w:rsidR="00256F26" w:rsidRPr="006045A7">
        <w:rPr>
          <w:rFonts w:eastAsia="Cambria" w:cstheme="minorHAnsi"/>
          <w:i/>
          <w:iCs/>
          <w:lang w:eastAsia="en-AU"/>
        </w:rPr>
        <w:t>dubia</w:t>
      </w:r>
      <w:r w:rsidR="00256F26">
        <w:rPr>
          <w:rFonts w:eastAsia="Cambria" w:cstheme="minorHAnsi"/>
          <w:lang w:eastAsia="en-AU"/>
        </w:rPr>
        <w:t xml:space="preserve"> model to insects </w:t>
      </w:r>
      <w:r w:rsidR="0092103C">
        <w:rPr>
          <w:rFonts w:eastAsia="Cambria" w:cstheme="minorHAnsi"/>
          <w:lang w:eastAsia="en-AU"/>
        </w:rPr>
        <w:t xml:space="preserve">because of </w:t>
      </w:r>
      <w:r w:rsidR="00FE1BC9">
        <w:rPr>
          <w:rFonts w:eastAsia="Cambria" w:cstheme="minorHAnsi"/>
          <w:lang w:eastAsia="en-AU"/>
        </w:rPr>
        <w:t xml:space="preserve">a lack of knowledge </w:t>
      </w:r>
      <w:r w:rsidR="0023532D">
        <w:rPr>
          <w:rFonts w:eastAsia="Cambria" w:cstheme="minorHAnsi"/>
          <w:lang w:eastAsia="en-AU"/>
        </w:rPr>
        <w:t>regarding</w:t>
      </w:r>
      <w:r w:rsidR="00FE1BC9">
        <w:rPr>
          <w:rFonts w:eastAsia="Cambria" w:cstheme="minorHAnsi"/>
          <w:lang w:eastAsia="en-AU"/>
        </w:rPr>
        <w:t xml:space="preserve"> the pH dependence of insect responses</w:t>
      </w:r>
      <w:r w:rsidR="00C156BB">
        <w:rPr>
          <w:rFonts w:eastAsia="Cambria" w:cstheme="minorHAnsi"/>
          <w:lang w:eastAsia="en-AU"/>
        </w:rPr>
        <w:t xml:space="preserve"> </w:t>
      </w:r>
      <w:r w:rsidR="00163E24">
        <w:rPr>
          <w:rFonts w:eastAsia="Cambria" w:cstheme="minorHAnsi"/>
          <w:lang w:eastAsia="en-AU"/>
        </w:rPr>
        <w:t>and</w:t>
      </w:r>
      <w:r w:rsidR="00C156BB">
        <w:rPr>
          <w:rFonts w:eastAsia="Cambria" w:cstheme="minorHAnsi"/>
          <w:lang w:eastAsia="en-AU"/>
        </w:rPr>
        <w:t xml:space="preserve"> a lack of </w:t>
      </w:r>
      <w:r w:rsidR="000329AC">
        <w:rPr>
          <w:rFonts w:eastAsia="Cambria" w:cstheme="minorHAnsi"/>
          <w:lang w:eastAsia="en-AU"/>
        </w:rPr>
        <w:t xml:space="preserve">validation for molluscs </w:t>
      </w:r>
      <w:r w:rsidR="000329AC" w:rsidRPr="00256F26">
        <w:rPr>
          <w:rFonts w:eastAsia="Cambria" w:cstheme="minorHAnsi"/>
          <w:lang w:eastAsia="en-AU"/>
        </w:rPr>
        <w:t>and</w:t>
      </w:r>
      <w:r w:rsidR="00256F26">
        <w:rPr>
          <w:rFonts w:eastAsia="Cambria" w:cstheme="minorHAnsi"/>
          <w:lang w:eastAsia="en-AU"/>
        </w:rPr>
        <w:t xml:space="preserve"> other crustaceans </w:t>
      </w:r>
      <w:r w:rsidR="00256F26" w:rsidRPr="006045A7">
        <w:rPr>
          <w:rFonts w:eastAsia="Cambria" w:cstheme="minorHAnsi"/>
          <w:lang w:eastAsia="en-AU"/>
        </w:rPr>
        <w:t>(e.g.</w:t>
      </w:r>
      <w:r w:rsidR="00256F26">
        <w:rPr>
          <w:rFonts w:eastAsia="Cambria" w:cstheme="minorHAnsi"/>
          <w:i/>
          <w:iCs/>
          <w:lang w:eastAsia="en-AU"/>
        </w:rPr>
        <w:t xml:space="preserve"> </w:t>
      </w:r>
      <w:r w:rsidR="000329AC" w:rsidRPr="000329AC">
        <w:rPr>
          <w:rFonts w:eastAsia="Cambria" w:cstheme="minorHAnsi"/>
          <w:i/>
          <w:iCs/>
          <w:lang w:eastAsia="en-AU"/>
        </w:rPr>
        <w:t>Daphnia magna</w:t>
      </w:r>
      <w:r w:rsidR="00256F26">
        <w:rPr>
          <w:rFonts w:eastAsia="Cambria" w:cstheme="minorHAnsi"/>
          <w:lang w:eastAsia="en-AU"/>
        </w:rPr>
        <w:t>)</w:t>
      </w:r>
      <w:r w:rsidR="00FE1BC9" w:rsidRPr="000329AC">
        <w:rPr>
          <w:rFonts w:eastAsia="Cambria" w:cstheme="minorHAnsi"/>
          <w:i/>
          <w:iCs/>
          <w:lang w:eastAsia="en-AU"/>
        </w:rPr>
        <w:t>.</w:t>
      </w:r>
    </w:p>
    <w:p w14:paraId="59D60AE6" w14:textId="575512B1" w:rsidR="00A47617" w:rsidRDefault="00711DD5" w:rsidP="000F0C3E">
      <w:pPr>
        <w:widowControl w:val="0"/>
      </w:pPr>
      <w:r>
        <w:rPr>
          <w:rFonts w:eastAsia="Cambria" w:cstheme="minorHAnsi"/>
          <w:lang w:eastAsia="en-AU"/>
        </w:rPr>
        <w:t>A</w:t>
      </w:r>
      <w:r w:rsidR="00F47486">
        <w:rPr>
          <w:rFonts w:eastAsia="Cambria" w:cstheme="minorHAnsi"/>
          <w:lang w:eastAsia="en-AU"/>
        </w:rPr>
        <w:t>lthough the Brix et al. (2023) MLR models were recently used by Canada to develop bioavailability-based guideline values for iron in freshwater (ECCC 2024), these models have not been adopted in the current version of the iron DGVs for Australia and New Zealand. This is because the models are yet to be validated for local species and water</w:t>
      </w:r>
      <w:r w:rsidR="00553E95">
        <w:rPr>
          <w:rFonts w:eastAsia="Cambria" w:cstheme="minorHAnsi"/>
          <w:lang w:eastAsia="en-AU"/>
        </w:rPr>
        <w:t>-</w:t>
      </w:r>
      <w:r w:rsidR="00F47486">
        <w:rPr>
          <w:rFonts w:eastAsia="Cambria" w:cstheme="minorHAnsi"/>
          <w:lang w:eastAsia="en-AU"/>
        </w:rPr>
        <w:t xml:space="preserve">quality conditions. As noted, there is still considerable uncertainty surrounding the applicability of the </w:t>
      </w:r>
      <w:r w:rsidR="00F47486" w:rsidRPr="006045A7">
        <w:rPr>
          <w:rFonts w:eastAsia="Cambria" w:cstheme="minorHAnsi"/>
          <w:i/>
          <w:iCs/>
          <w:lang w:eastAsia="en-AU"/>
        </w:rPr>
        <w:t>C.</w:t>
      </w:r>
      <w:r w:rsidR="00553E95">
        <w:rPr>
          <w:rFonts w:eastAsia="Cambria" w:cstheme="minorHAnsi"/>
          <w:i/>
          <w:iCs/>
          <w:lang w:eastAsia="en-AU"/>
        </w:rPr>
        <w:t> </w:t>
      </w:r>
      <w:r w:rsidR="00F47486" w:rsidRPr="006045A7">
        <w:rPr>
          <w:rFonts w:eastAsia="Cambria" w:cstheme="minorHAnsi"/>
          <w:i/>
          <w:iCs/>
          <w:lang w:eastAsia="en-AU"/>
        </w:rPr>
        <w:t>dubia</w:t>
      </w:r>
      <w:r w:rsidR="00F47486">
        <w:rPr>
          <w:rFonts w:eastAsia="Cambria" w:cstheme="minorHAnsi"/>
          <w:lang w:eastAsia="en-AU"/>
        </w:rPr>
        <w:t xml:space="preserve"> MLR model for other invertebrates</w:t>
      </w:r>
      <w:r w:rsidR="00E56E66">
        <w:rPr>
          <w:rFonts w:eastAsia="Cambria" w:cstheme="minorHAnsi"/>
          <w:lang w:eastAsia="en-AU"/>
        </w:rPr>
        <w:t xml:space="preserve"> (Brix et al. 2023)</w:t>
      </w:r>
      <w:r w:rsidR="00F47486">
        <w:rPr>
          <w:rFonts w:eastAsia="Cambria" w:cstheme="minorHAnsi"/>
          <w:lang w:eastAsia="en-AU"/>
        </w:rPr>
        <w:t xml:space="preserve">, </w:t>
      </w:r>
      <w:r w:rsidR="003D21DD">
        <w:rPr>
          <w:rFonts w:eastAsia="Cambria" w:cstheme="minorHAnsi"/>
          <w:lang w:eastAsia="en-AU"/>
        </w:rPr>
        <w:t xml:space="preserve">and </w:t>
      </w:r>
      <w:r w:rsidR="00306C2F">
        <w:rPr>
          <w:rFonts w:eastAsia="Cambria" w:cstheme="minorHAnsi"/>
          <w:lang w:eastAsia="en-AU"/>
        </w:rPr>
        <w:t xml:space="preserve">none of </w:t>
      </w:r>
      <w:r w:rsidR="00F47486">
        <w:rPr>
          <w:rFonts w:eastAsia="Cambria" w:cstheme="minorHAnsi"/>
          <w:lang w:eastAsia="en-AU"/>
        </w:rPr>
        <w:t xml:space="preserve">the existing models have been </w:t>
      </w:r>
      <w:r w:rsidR="00306C2F">
        <w:rPr>
          <w:rFonts w:eastAsia="Cambria" w:cstheme="minorHAnsi"/>
          <w:lang w:eastAsia="en-AU"/>
        </w:rPr>
        <w:t>validat</w:t>
      </w:r>
      <w:r w:rsidR="00F47486">
        <w:rPr>
          <w:rFonts w:eastAsia="Cambria" w:cstheme="minorHAnsi"/>
          <w:lang w:eastAsia="en-AU"/>
        </w:rPr>
        <w:t xml:space="preserve">ed for </w:t>
      </w:r>
      <w:r w:rsidR="003738E1">
        <w:rPr>
          <w:rFonts w:eastAsia="Cambria" w:cstheme="minorHAnsi"/>
          <w:lang w:eastAsia="en-AU"/>
        </w:rPr>
        <w:t>very soft</w:t>
      </w:r>
      <w:r w:rsidR="0072632D">
        <w:rPr>
          <w:rFonts w:eastAsia="Cambria" w:cstheme="minorHAnsi"/>
          <w:lang w:eastAsia="en-AU"/>
        </w:rPr>
        <w:t>,</w:t>
      </w:r>
      <w:r w:rsidR="003738E1">
        <w:rPr>
          <w:rFonts w:eastAsia="Cambria" w:cstheme="minorHAnsi"/>
          <w:lang w:eastAsia="en-AU"/>
        </w:rPr>
        <w:t xml:space="preserve"> acidic waters</w:t>
      </w:r>
      <w:r w:rsidR="00306C2F">
        <w:rPr>
          <w:rFonts w:eastAsia="Cambria" w:cstheme="minorHAnsi"/>
          <w:lang w:eastAsia="en-AU"/>
        </w:rPr>
        <w:t xml:space="preserve"> (Kevin Brix, EcoTox, pers comm, 28 March 2024), which are not uncommon in Australia. </w:t>
      </w:r>
    </w:p>
    <w:p w14:paraId="11DA1F54" w14:textId="77777777" w:rsidR="00633F7B" w:rsidRDefault="00633F7B" w:rsidP="00515B5D">
      <w:pPr>
        <w:pStyle w:val="Heading2"/>
      </w:pPr>
      <w:bookmarkStart w:id="34" w:name="_Toc172114453"/>
      <w:bookmarkStart w:id="35" w:name="_Toc34822606"/>
      <w:bookmarkStart w:id="36" w:name="_Toc197088516"/>
      <w:bookmarkStart w:id="37" w:name="_Toc197783775"/>
      <w:bookmarkStart w:id="38" w:name="_Toc199424867"/>
      <w:bookmarkEnd w:id="34"/>
      <w:r>
        <w:lastRenderedPageBreak/>
        <w:t xml:space="preserve">Default guideline value </w:t>
      </w:r>
      <w:r w:rsidRPr="007A18FB">
        <w:t>derivation</w:t>
      </w:r>
      <w:bookmarkEnd w:id="35"/>
      <w:bookmarkEnd w:id="36"/>
      <w:bookmarkEnd w:id="37"/>
      <w:bookmarkEnd w:id="38"/>
    </w:p>
    <w:p w14:paraId="20F4D906" w14:textId="77777777" w:rsidR="0057792E" w:rsidRDefault="003654B2" w:rsidP="001303C0">
      <w:pPr>
        <w:spacing w:before="240"/>
        <w:rPr>
          <w:bCs/>
        </w:rPr>
      </w:pPr>
      <w:r w:rsidRPr="0064344A">
        <w:rPr>
          <w:bCs/>
        </w:rPr>
        <w:t>The DGVs were derived in accordance with the method described in Warne et al. (2018) and using Burrlioz 2.0 software.</w:t>
      </w:r>
    </w:p>
    <w:p w14:paraId="414609BF" w14:textId="77777777" w:rsidR="00633F7B" w:rsidRDefault="00633F7B" w:rsidP="00633F7B">
      <w:pPr>
        <w:pStyle w:val="Heading3"/>
      </w:pPr>
      <w:bookmarkStart w:id="39" w:name="_Toc34822607"/>
      <w:bookmarkStart w:id="40" w:name="_Ref195456589"/>
      <w:bookmarkStart w:id="41" w:name="_Toc197088517"/>
      <w:bookmarkStart w:id="42" w:name="_Toc199424868"/>
      <w:r>
        <w:t>Toxicity data used in derivation</w:t>
      </w:r>
      <w:bookmarkEnd w:id="39"/>
      <w:bookmarkEnd w:id="40"/>
      <w:bookmarkEnd w:id="41"/>
      <w:bookmarkEnd w:id="42"/>
    </w:p>
    <w:p w14:paraId="043FD6E5" w14:textId="1E2514FC" w:rsidR="001303C0" w:rsidRDefault="001303C0" w:rsidP="001303C0">
      <w:pPr>
        <w:spacing w:before="240"/>
      </w:pPr>
      <w:r w:rsidRPr="003A0E6B">
        <w:t xml:space="preserve">A summary of the toxicity data (one value per species) used to calculate the DGVs for iron in freshwaters is provided in </w:t>
      </w:r>
      <w:r w:rsidR="007C3BD5">
        <w:fldChar w:fldCharType="begin"/>
      </w:r>
      <w:r w:rsidR="007C3BD5">
        <w:instrText xml:space="preserve"> REF _Ref6321734 \h </w:instrText>
      </w:r>
      <w:r w:rsidR="007C3BD5">
        <w:fldChar w:fldCharType="separate"/>
      </w:r>
      <w:r w:rsidR="00944476">
        <w:rPr>
          <w:b/>
          <w:bCs/>
          <w:lang w:val="en-US"/>
        </w:rPr>
        <w:t>Error! Reference source not found.</w:t>
      </w:r>
      <w:r w:rsidR="007C3BD5">
        <w:fldChar w:fldCharType="end"/>
      </w:r>
      <w:r w:rsidRPr="003A0E6B">
        <w:t>. Further details on the data that passed the screening and quality</w:t>
      </w:r>
      <w:r w:rsidR="003D4650">
        <w:t>-</w:t>
      </w:r>
      <w:r w:rsidRPr="003A0E6B">
        <w:t>assurance schemes, including those used to derive the single</w:t>
      </w:r>
      <w:r w:rsidR="003D4650">
        <w:t>-</w:t>
      </w:r>
      <w:r w:rsidRPr="003A0E6B">
        <w:t xml:space="preserve">species values used to calculate the DGVs, are presented in </w:t>
      </w:r>
      <w:r w:rsidR="00F71AB7">
        <w:fldChar w:fldCharType="begin"/>
      </w:r>
      <w:r w:rsidR="00F71AB7">
        <w:instrText xml:space="preserve"> REF AppendixC \h </w:instrText>
      </w:r>
      <w:r w:rsidR="00F71AB7">
        <w:fldChar w:fldCharType="separate"/>
      </w:r>
      <w:r w:rsidR="00944476" w:rsidRPr="006F37E1">
        <w:t>Appendix C</w:t>
      </w:r>
      <w:r w:rsidR="00F71AB7">
        <w:fldChar w:fldCharType="end"/>
      </w:r>
      <w:r w:rsidR="00920637">
        <w:t xml:space="preserve">, </w:t>
      </w:r>
      <w:r w:rsidR="00503E43">
        <w:fldChar w:fldCharType="begin"/>
      </w:r>
      <w:r w:rsidR="00503E43">
        <w:instrText xml:space="preserve"> REF TableC1 \h </w:instrText>
      </w:r>
      <w:r w:rsidR="00503E43">
        <w:fldChar w:fldCharType="separate"/>
      </w:r>
      <w:r w:rsidR="00944476">
        <w:t>Table C1</w:t>
      </w:r>
      <w:r w:rsidR="00503E43">
        <w:fldChar w:fldCharType="end"/>
      </w:r>
      <w:r w:rsidRPr="003A0E6B">
        <w:t>.</w:t>
      </w:r>
      <w:r w:rsidR="00FD4C7C">
        <w:t xml:space="preserve"> </w:t>
      </w:r>
      <w:r w:rsidR="00FD4C7C" w:rsidRPr="006B3A68">
        <w:t>Details of the data</w:t>
      </w:r>
      <w:r w:rsidR="003D4650">
        <w:t>-</w:t>
      </w:r>
      <w:r w:rsidR="00FD4C7C" w:rsidRPr="006B3A68">
        <w:t>quality assessment and the data that passed the quality assessment are provided as supporting information.</w:t>
      </w:r>
    </w:p>
    <w:p w14:paraId="0326F3A3" w14:textId="37B5E312" w:rsidR="003D21DD" w:rsidRPr="00E86FA1" w:rsidRDefault="003D21DD" w:rsidP="003D21DD">
      <w:pPr>
        <w:pStyle w:val="Caption"/>
      </w:pPr>
      <w:bookmarkStart w:id="43" w:name="_Ref195547797"/>
      <w:bookmarkStart w:id="44" w:name="_Toc197088527"/>
      <w:bookmarkStart w:id="45" w:name="_Toc199424878"/>
      <w:r>
        <w:t>Table </w:t>
      </w:r>
      <w:r>
        <w:rPr>
          <w:noProof/>
        </w:rPr>
        <w:fldChar w:fldCharType="begin"/>
      </w:r>
      <w:r>
        <w:rPr>
          <w:noProof/>
        </w:rPr>
        <w:instrText xml:space="preserve"> SEQ Table \* ARABIC </w:instrText>
      </w:r>
      <w:r>
        <w:rPr>
          <w:noProof/>
        </w:rPr>
        <w:fldChar w:fldCharType="separate"/>
      </w:r>
      <w:r w:rsidR="00944476">
        <w:rPr>
          <w:noProof/>
        </w:rPr>
        <w:t>1</w:t>
      </w:r>
      <w:r>
        <w:rPr>
          <w:noProof/>
        </w:rPr>
        <w:fldChar w:fldCharType="end"/>
      </w:r>
      <w:bookmarkEnd w:id="43"/>
      <w:r>
        <w:rPr>
          <w:noProof/>
        </w:rPr>
        <w:t>.</w:t>
      </w:r>
      <w:r>
        <w:t xml:space="preserve"> </w:t>
      </w:r>
      <w:r w:rsidRPr="00236256">
        <w:t xml:space="preserve">Summary of single </w:t>
      </w:r>
      <w:r>
        <w:t xml:space="preserve">chronic </w:t>
      </w:r>
      <w:r w:rsidRPr="00236256">
        <w:t>toxicity valu</w:t>
      </w:r>
      <w:r>
        <w:t xml:space="preserve">es for all species used in the derivation of </w:t>
      </w:r>
      <w:r w:rsidRPr="00236256">
        <w:t>default guideline values for iron in freshwater</w:t>
      </w:r>
      <w:bookmarkEnd w:id="44"/>
      <w:bookmarkEnd w:id="45"/>
    </w:p>
    <w:tbl>
      <w:tblPr>
        <w:tblW w:w="5000" w:type="pct"/>
        <w:jc w:val="center"/>
        <w:tblBorders>
          <w:top w:val="single" w:sz="2" w:space="0" w:color="auto"/>
          <w:bottom w:val="single" w:sz="2" w:space="0" w:color="auto"/>
          <w:insideH w:val="single" w:sz="2" w:space="0" w:color="auto"/>
        </w:tblBorders>
        <w:tblLook w:val="06A0" w:firstRow="1" w:lastRow="0" w:firstColumn="1" w:lastColumn="0" w:noHBand="1" w:noVBand="1"/>
        <w:tblCaption w:val="Summary of single toxicity values, all species used to derivce default guideline values for total iron in freshwater"/>
        <w:tblDescription w:val="Table provides a list of the species used to derive the iron default guideline value with additional details such as taxonomic group, life stage, duration of test, type of test (acute/chronic), toxicity endpoint and toxicity value."/>
      </w:tblPr>
      <w:tblGrid>
        <w:gridCol w:w="1701"/>
        <w:gridCol w:w="2125"/>
        <w:gridCol w:w="991"/>
        <w:gridCol w:w="879"/>
        <w:gridCol w:w="2117"/>
        <w:gridCol w:w="1257"/>
      </w:tblGrid>
      <w:tr w:rsidR="004B4797" w:rsidRPr="00F34FF6" w14:paraId="7B4944BE" w14:textId="77777777" w:rsidTr="00C34CEC">
        <w:trPr>
          <w:cantSplit/>
          <w:tblHeader/>
          <w:jc w:val="center"/>
        </w:trPr>
        <w:tc>
          <w:tcPr>
            <w:tcW w:w="938" w:type="pct"/>
            <w:tcBorders>
              <w:top w:val="single" w:sz="12" w:space="0" w:color="auto"/>
              <w:bottom w:val="single" w:sz="4" w:space="0" w:color="auto"/>
            </w:tcBorders>
          </w:tcPr>
          <w:p w14:paraId="085D7136" w14:textId="77777777" w:rsidR="003D21DD" w:rsidRPr="00F265FE" w:rsidRDefault="003D21DD" w:rsidP="00236CA4">
            <w:pPr>
              <w:pStyle w:val="TableHeading"/>
            </w:pPr>
            <w:r w:rsidRPr="00F265FE">
              <w:t>Taxonomic group</w:t>
            </w:r>
          </w:p>
        </w:tc>
        <w:tc>
          <w:tcPr>
            <w:tcW w:w="1172" w:type="pct"/>
            <w:tcBorders>
              <w:top w:val="single" w:sz="12" w:space="0" w:color="auto"/>
              <w:bottom w:val="single" w:sz="4" w:space="0" w:color="auto"/>
            </w:tcBorders>
          </w:tcPr>
          <w:p w14:paraId="03CCD28E" w14:textId="77777777" w:rsidR="003D21DD" w:rsidRPr="00F265FE" w:rsidRDefault="003D21DD" w:rsidP="00236CA4">
            <w:pPr>
              <w:pStyle w:val="TableHeading"/>
            </w:pPr>
            <w:r w:rsidRPr="00F265FE">
              <w:t>Species</w:t>
            </w:r>
          </w:p>
        </w:tc>
        <w:tc>
          <w:tcPr>
            <w:tcW w:w="547" w:type="pct"/>
            <w:tcBorders>
              <w:top w:val="single" w:sz="12" w:space="0" w:color="auto"/>
              <w:bottom w:val="single" w:sz="4" w:space="0" w:color="auto"/>
            </w:tcBorders>
          </w:tcPr>
          <w:p w14:paraId="63B642F4" w14:textId="77777777" w:rsidR="003D21DD" w:rsidRPr="00F265FE" w:rsidRDefault="003D21DD" w:rsidP="00236CA4">
            <w:pPr>
              <w:pStyle w:val="TableHeading"/>
            </w:pPr>
            <w:r w:rsidRPr="00F265FE">
              <w:t>Life stage</w:t>
            </w:r>
          </w:p>
        </w:tc>
        <w:tc>
          <w:tcPr>
            <w:tcW w:w="483" w:type="pct"/>
            <w:tcBorders>
              <w:top w:val="single" w:sz="12" w:space="0" w:color="auto"/>
              <w:bottom w:val="single" w:sz="4" w:space="0" w:color="auto"/>
            </w:tcBorders>
          </w:tcPr>
          <w:p w14:paraId="6233701F" w14:textId="77777777" w:rsidR="003D21DD" w:rsidRPr="00F265FE" w:rsidRDefault="003D21DD" w:rsidP="00236CA4">
            <w:pPr>
              <w:pStyle w:val="TableHeading"/>
            </w:pPr>
            <w:r>
              <w:t>Duration (d</w:t>
            </w:r>
            <w:r w:rsidRPr="00F265FE">
              <w:t>)</w:t>
            </w:r>
          </w:p>
        </w:tc>
        <w:tc>
          <w:tcPr>
            <w:tcW w:w="1167" w:type="pct"/>
            <w:tcBorders>
              <w:top w:val="single" w:sz="12" w:space="0" w:color="auto"/>
              <w:bottom w:val="single" w:sz="4" w:space="0" w:color="auto"/>
            </w:tcBorders>
          </w:tcPr>
          <w:p w14:paraId="6A613445" w14:textId="77777777" w:rsidR="003D21DD" w:rsidRPr="00F265FE" w:rsidRDefault="003D21DD" w:rsidP="00236CA4">
            <w:pPr>
              <w:pStyle w:val="TableHeading"/>
            </w:pPr>
            <w:r w:rsidRPr="00F265FE">
              <w:t xml:space="preserve">Toxicity </w:t>
            </w:r>
            <w:r>
              <w:t>measure (test endpoint)</w:t>
            </w:r>
          </w:p>
        </w:tc>
        <w:tc>
          <w:tcPr>
            <w:tcW w:w="693" w:type="pct"/>
            <w:tcBorders>
              <w:top w:val="single" w:sz="12" w:space="0" w:color="auto"/>
              <w:bottom w:val="single" w:sz="4" w:space="0" w:color="auto"/>
            </w:tcBorders>
          </w:tcPr>
          <w:p w14:paraId="2E1F2132" w14:textId="77777777" w:rsidR="003D21DD" w:rsidRPr="00F265FE" w:rsidRDefault="003D21DD" w:rsidP="00236CA4">
            <w:pPr>
              <w:pStyle w:val="TableHeading"/>
            </w:pPr>
            <w:r>
              <w:t>Final t</w:t>
            </w:r>
            <w:r w:rsidRPr="00F265FE">
              <w:t>oxicity value (</w:t>
            </w:r>
            <w:r>
              <w:rPr>
                <w:rFonts w:ascii="Corbel" w:hAnsi="Corbel"/>
              </w:rPr>
              <w:t>µ</w:t>
            </w:r>
            <w:r>
              <w:t>g</w:t>
            </w:r>
            <w:r w:rsidRPr="00F265FE">
              <w:t>/L)</w:t>
            </w:r>
          </w:p>
        </w:tc>
      </w:tr>
      <w:tr w:rsidR="00DC7C10" w:rsidRPr="008F237D" w14:paraId="765287CF" w14:textId="77777777" w:rsidTr="00C34CEC">
        <w:trPr>
          <w:cantSplit/>
          <w:jc w:val="center"/>
        </w:trPr>
        <w:tc>
          <w:tcPr>
            <w:tcW w:w="938" w:type="pct"/>
            <w:tcBorders>
              <w:top w:val="single" w:sz="4" w:space="0" w:color="auto"/>
              <w:left w:val="nil"/>
              <w:bottom w:val="single" w:sz="4" w:space="0" w:color="auto"/>
              <w:right w:val="nil"/>
            </w:tcBorders>
          </w:tcPr>
          <w:p w14:paraId="44DF1519" w14:textId="77777777" w:rsidR="003D21DD" w:rsidRDefault="003D21DD" w:rsidP="00236CA4">
            <w:pPr>
              <w:pStyle w:val="TableText"/>
            </w:pPr>
            <w:r w:rsidRPr="00D31CC4">
              <w:t>Fungus</w:t>
            </w:r>
          </w:p>
        </w:tc>
        <w:tc>
          <w:tcPr>
            <w:tcW w:w="1172" w:type="pct"/>
            <w:tcBorders>
              <w:top w:val="single" w:sz="4" w:space="0" w:color="auto"/>
              <w:left w:val="nil"/>
              <w:bottom w:val="single" w:sz="4" w:space="0" w:color="auto"/>
              <w:right w:val="nil"/>
            </w:tcBorders>
          </w:tcPr>
          <w:p w14:paraId="3D394576" w14:textId="77777777" w:rsidR="003D21DD" w:rsidRDefault="003D21DD" w:rsidP="00236CA4">
            <w:pPr>
              <w:pStyle w:val="TableText"/>
              <w:rPr>
                <w:rStyle w:val="Emphasis"/>
              </w:rPr>
            </w:pPr>
            <w:r w:rsidRPr="00FE6B34">
              <w:rPr>
                <w:rStyle w:val="Emphasis"/>
              </w:rPr>
              <w:t>Alatospora acuminata</w:t>
            </w:r>
          </w:p>
        </w:tc>
        <w:tc>
          <w:tcPr>
            <w:tcW w:w="547" w:type="pct"/>
            <w:tcBorders>
              <w:top w:val="single" w:sz="4" w:space="0" w:color="auto"/>
              <w:left w:val="nil"/>
              <w:bottom w:val="single" w:sz="4" w:space="0" w:color="auto"/>
              <w:right w:val="nil"/>
            </w:tcBorders>
          </w:tcPr>
          <w:p w14:paraId="592A907D" w14:textId="77777777" w:rsidR="003D21DD" w:rsidRDefault="003D21DD" w:rsidP="00236CA4">
            <w:pPr>
              <w:pStyle w:val="TableText"/>
            </w:pPr>
            <w:r>
              <w:t>NR</w:t>
            </w:r>
          </w:p>
        </w:tc>
        <w:tc>
          <w:tcPr>
            <w:tcW w:w="483" w:type="pct"/>
            <w:tcBorders>
              <w:top w:val="single" w:sz="4" w:space="0" w:color="auto"/>
              <w:left w:val="nil"/>
              <w:bottom w:val="single" w:sz="4" w:space="0" w:color="auto"/>
              <w:right w:val="nil"/>
            </w:tcBorders>
          </w:tcPr>
          <w:p w14:paraId="50F5F655" w14:textId="77777777" w:rsidR="003D21DD" w:rsidRDefault="003D21DD" w:rsidP="004C04C8">
            <w:pPr>
              <w:pStyle w:val="TableText"/>
              <w:ind w:right="170"/>
              <w:jc w:val="right"/>
            </w:pPr>
            <w:r w:rsidRPr="008F237D">
              <w:t>21</w:t>
            </w:r>
          </w:p>
        </w:tc>
        <w:tc>
          <w:tcPr>
            <w:tcW w:w="1167" w:type="pct"/>
            <w:tcBorders>
              <w:top w:val="single" w:sz="4" w:space="0" w:color="auto"/>
              <w:left w:val="nil"/>
              <w:bottom w:val="single" w:sz="4" w:space="0" w:color="auto"/>
              <w:right w:val="nil"/>
            </w:tcBorders>
          </w:tcPr>
          <w:p w14:paraId="06F7FC70" w14:textId="77777777" w:rsidR="003D21DD" w:rsidRDefault="003D21DD" w:rsidP="00E3119C">
            <w:pPr>
              <w:pStyle w:val="TableText"/>
            </w:pPr>
            <w:r w:rsidRPr="008F237D">
              <w:t>NOEC</w:t>
            </w:r>
            <w:r>
              <w:t xml:space="preserve"> (growth)</w:t>
            </w:r>
          </w:p>
        </w:tc>
        <w:tc>
          <w:tcPr>
            <w:tcW w:w="693" w:type="pct"/>
            <w:tcBorders>
              <w:top w:val="single" w:sz="4" w:space="0" w:color="auto"/>
              <w:left w:val="nil"/>
              <w:bottom w:val="single" w:sz="4" w:space="0" w:color="auto"/>
              <w:right w:val="nil"/>
            </w:tcBorders>
          </w:tcPr>
          <w:p w14:paraId="729C1B31" w14:textId="77777777" w:rsidR="003D21DD" w:rsidRDefault="003D21DD" w:rsidP="004C04C8">
            <w:pPr>
              <w:pStyle w:val="TableText"/>
              <w:ind w:right="227"/>
              <w:jc w:val="right"/>
            </w:pPr>
            <w:r w:rsidRPr="008F237D">
              <w:t>6</w:t>
            </w:r>
            <w:r>
              <w:t>,</w:t>
            </w:r>
            <w:r w:rsidRPr="008F237D">
              <w:t>900</w:t>
            </w:r>
          </w:p>
        </w:tc>
      </w:tr>
      <w:tr w:rsidR="00DC7C10" w:rsidRPr="008F237D" w14:paraId="481E9F47" w14:textId="77777777" w:rsidTr="00C34CEC">
        <w:trPr>
          <w:cantSplit/>
          <w:jc w:val="center"/>
        </w:trPr>
        <w:tc>
          <w:tcPr>
            <w:tcW w:w="938" w:type="pct"/>
            <w:tcBorders>
              <w:top w:val="single" w:sz="4" w:space="0" w:color="auto"/>
              <w:left w:val="nil"/>
              <w:bottom w:val="single" w:sz="4" w:space="0" w:color="auto"/>
              <w:right w:val="nil"/>
            </w:tcBorders>
          </w:tcPr>
          <w:p w14:paraId="57910814" w14:textId="77777777" w:rsidR="003D21DD" w:rsidRDefault="003D21DD" w:rsidP="00236CA4">
            <w:pPr>
              <w:pStyle w:val="TableText"/>
            </w:pPr>
            <w:r w:rsidRPr="00D31CC4">
              <w:t>Fungus</w:t>
            </w:r>
          </w:p>
        </w:tc>
        <w:tc>
          <w:tcPr>
            <w:tcW w:w="1172" w:type="pct"/>
            <w:tcBorders>
              <w:top w:val="single" w:sz="4" w:space="0" w:color="auto"/>
              <w:left w:val="nil"/>
              <w:bottom w:val="single" w:sz="4" w:space="0" w:color="auto"/>
              <w:right w:val="nil"/>
            </w:tcBorders>
          </w:tcPr>
          <w:p w14:paraId="71EFC7EC" w14:textId="77777777" w:rsidR="003D21DD" w:rsidRDefault="003D21DD" w:rsidP="00236CA4">
            <w:pPr>
              <w:pStyle w:val="TableText"/>
              <w:rPr>
                <w:rStyle w:val="Emphasis"/>
              </w:rPr>
            </w:pPr>
            <w:r w:rsidRPr="00FE6B34">
              <w:rPr>
                <w:rStyle w:val="Emphasis"/>
              </w:rPr>
              <w:t>Articulospora tetracladia</w:t>
            </w:r>
          </w:p>
        </w:tc>
        <w:tc>
          <w:tcPr>
            <w:tcW w:w="547" w:type="pct"/>
            <w:tcBorders>
              <w:top w:val="single" w:sz="4" w:space="0" w:color="auto"/>
              <w:left w:val="nil"/>
              <w:bottom w:val="single" w:sz="4" w:space="0" w:color="auto"/>
              <w:right w:val="nil"/>
            </w:tcBorders>
          </w:tcPr>
          <w:p w14:paraId="16D58EB7" w14:textId="77777777" w:rsidR="003D21DD" w:rsidRDefault="003D21DD" w:rsidP="00236CA4">
            <w:pPr>
              <w:pStyle w:val="TableText"/>
            </w:pPr>
            <w:r>
              <w:t>NR</w:t>
            </w:r>
          </w:p>
        </w:tc>
        <w:tc>
          <w:tcPr>
            <w:tcW w:w="483" w:type="pct"/>
            <w:tcBorders>
              <w:top w:val="single" w:sz="4" w:space="0" w:color="auto"/>
              <w:left w:val="nil"/>
              <w:bottom w:val="single" w:sz="4" w:space="0" w:color="auto"/>
              <w:right w:val="nil"/>
            </w:tcBorders>
          </w:tcPr>
          <w:p w14:paraId="19D0BE33" w14:textId="77777777" w:rsidR="003D21DD" w:rsidRDefault="003D21DD" w:rsidP="004C04C8">
            <w:pPr>
              <w:pStyle w:val="TableText"/>
              <w:ind w:right="170"/>
              <w:jc w:val="right"/>
            </w:pPr>
            <w:r w:rsidRPr="008F237D">
              <w:t>21</w:t>
            </w:r>
          </w:p>
        </w:tc>
        <w:tc>
          <w:tcPr>
            <w:tcW w:w="1167" w:type="pct"/>
            <w:tcBorders>
              <w:top w:val="single" w:sz="4" w:space="0" w:color="auto"/>
              <w:left w:val="nil"/>
              <w:bottom w:val="single" w:sz="4" w:space="0" w:color="auto"/>
              <w:right w:val="nil"/>
            </w:tcBorders>
          </w:tcPr>
          <w:p w14:paraId="781D7B72" w14:textId="77777777" w:rsidR="003D21DD" w:rsidRDefault="003D21DD" w:rsidP="00E3119C">
            <w:pPr>
              <w:pStyle w:val="TableText"/>
            </w:pPr>
            <w:r w:rsidRPr="008F237D">
              <w:t>NOEC</w:t>
            </w:r>
            <w:r>
              <w:t xml:space="preserve"> (growth)</w:t>
            </w:r>
          </w:p>
        </w:tc>
        <w:tc>
          <w:tcPr>
            <w:tcW w:w="693" w:type="pct"/>
            <w:tcBorders>
              <w:top w:val="single" w:sz="4" w:space="0" w:color="auto"/>
              <w:left w:val="nil"/>
              <w:bottom w:val="single" w:sz="4" w:space="0" w:color="auto"/>
              <w:right w:val="nil"/>
            </w:tcBorders>
          </w:tcPr>
          <w:p w14:paraId="1E15CB36" w14:textId="77777777" w:rsidR="003D21DD" w:rsidRDefault="003D21DD" w:rsidP="004C04C8">
            <w:pPr>
              <w:pStyle w:val="TableText"/>
              <w:ind w:right="227"/>
              <w:jc w:val="right"/>
            </w:pPr>
            <w:r w:rsidRPr="008F237D">
              <w:t>6</w:t>
            </w:r>
            <w:r>
              <w:t>,</w:t>
            </w:r>
            <w:r w:rsidRPr="008F237D">
              <w:t>900</w:t>
            </w:r>
          </w:p>
        </w:tc>
      </w:tr>
      <w:tr w:rsidR="00DC7C10" w:rsidRPr="008F237D" w14:paraId="3844B836" w14:textId="77777777" w:rsidTr="00C34CEC">
        <w:trPr>
          <w:cantSplit/>
          <w:jc w:val="center"/>
        </w:trPr>
        <w:tc>
          <w:tcPr>
            <w:tcW w:w="938" w:type="pct"/>
            <w:tcBorders>
              <w:top w:val="single" w:sz="4" w:space="0" w:color="auto"/>
              <w:left w:val="nil"/>
              <w:bottom w:val="single" w:sz="4" w:space="0" w:color="auto"/>
              <w:right w:val="nil"/>
            </w:tcBorders>
          </w:tcPr>
          <w:p w14:paraId="372DD92E" w14:textId="77777777" w:rsidR="003D21DD" w:rsidRDefault="003D21DD" w:rsidP="00236CA4">
            <w:pPr>
              <w:pStyle w:val="TableText"/>
            </w:pPr>
            <w:r w:rsidRPr="00D31CC4">
              <w:t>Fungus</w:t>
            </w:r>
          </w:p>
        </w:tc>
        <w:tc>
          <w:tcPr>
            <w:tcW w:w="1172" w:type="pct"/>
            <w:tcBorders>
              <w:top w:val="single" w:sz="4" w:space="0" w:color="auto"/>
              <w:left w:val="nil"/>
              <w:bottom w:val="single" w:sz="4" w:space="0" w:color="auto"/>
              <w:right w:val="nil"/>
            </w:tcBorders>
          </w:tcPr>
          <w:p w14:paraId="74F17E6B" w14:textId="77777777" w:rsidR="003D21DD" w:rsidRDefault="003D21DD" w:rsidP="00236CA4">
            <w:pPr>
              <w:pStyle w:val="TableText"/>
              <w:rPr>
                <w:rStyle w:val="Emphasis"/>
              </w:rPr>
            </w:pPr>
            <w:r w:rsidRPr="00FE6B34">
              <w:rPr>
                <w:rStyle w:val="Emphasis"/>
              </w:rPr>
              <w:t>Tetrachaetum elegans</w:t>
            </w:r>
          </w:p>
        </w:tc>
        <w:tc>
          <w:tcPr>
            <w:tcW w:w="547" w:type="pct"/>
            <w:tcBorders>
              <w:top w:val="single" w:sz="4" w:space="0" w:color="auto"/>
              <w:left w:val="nil"/>
              <w:bottom w:val="single" w:sz="4" w:space="0" w:color="auto"/>
              <w:right w:val="nil"/>
            </w:tcBorders>
          </w:tcPr>
          <w:p w14:paraId="6F8BBE5D" w14:textId="77777777" w:rsidR="003D21DD" w:rsidRDefault="003D21DD" w:rsidP="00236CA4">
            <w:pPr>
              <w:pStyle w:val="TableText"/>
            </w:pPr>
            <w:r>
              <w:t>NR</w:t>
            </w:r>
          </w:p>
        </w:tc>
        <w:tc>
          <w:tcPr>
            <w:tcW w:w="483" w:type="pct"/>
            <w:tcBorders>
              <w:top w:val="single" w:sz="4" w:space="0" w:color="auto"/>
              <w:left w:val="nil"/>
              <w:bottom w:val="single" w:sz="4" w:space="0" w:color="auto"/>
              <w:right w:val="nil"/>
            </w:tcBorders>
          </w:tcPr>
          <w:p w14:paraId="5F12DA6A" w14:textId="77777777" w:rsidR="003D21DD" w:rsidRDefault="003D21DD" w:rsidP="004C04C8">
            <w:pPr>
              <w:pStyle w:val="TableText"/>
              <w:ind w:right="170"/>
              <w:jc w:val="right"/>
            </w:pPr>
            <w:r w:rsidRPr="008F237D">
              <w:t>21</w:t>
            </w:r>
          </w:p>
        </w:tc>
        <w:tc>
          <w:tcPr>
            <w:tcW w:w="1167" w:type="pct"/>
            <w:tcBorders>
              <w:top w:val="single" w:sz="4" w:space="0" w:color="auto"/>
              <w:left w:val="nil"/>
              <w:bottom w:val="single" w:sz="4" w:space="0" w:color="auto"/>
              <w:right w:val="nil"/>
            </w:tcBorders>
          </w:tcPr>
          <w:p w14:paraId="7151EC3F" w14:textId="77777777" w:rsidR="003D21DD" w:rsidRDefault="003D21DD" w:rsidP="00E3119C">
            <w:pPr>
              <w:pStyle w:val="TableText"/>
            </w:pPr>
            <w:r w:rsidRPr="008F237D">
              <w:t>NOEC</w:t>
            </w:r>
            <w:r>
              <w:t xml:space="preserve"> (growth)</w:t>
            </w:r>
          </w:p>
        </w:tc>
        <w:tc>
          <w:tcPr>
            <w:tcW w:w="693" w:type="pct"/>
            <w:tcBorders>
              <w:top w:val="single" w:sz="4" w:space="0" w:color="auto"/>
              <w:left w:val="nil"/>
              <w:bottom w:val="single" w:sz="4" w:space="0" w:color="auto"/>
              <w:right w:val="nil"/>
            </w:tcBorders>
          </w:tcPr>
          <w:p w14:paraId="6EE1219F" w14:textId="77777777" w:rsidR="003D21DD" w:rsidRDefault="003D21DD" w:rsidP="004C04C8">
            <w:pPr>
              <w:pStyle w:val="TableText"/>
              <w:ind w:right="227"/>
              <w:jc w:val="right"/>
            </w:pPr>
            <w:r w:rsidRPr="008F237D">
              <w:t>6</w:t>
            </w:r>
            <w:r>
              <w:t>,</w:t>
            </w:r>
            <w:r w:rsidRPr="008F237D">
              <w:t>900</w:t>
            </w:r>
          </w:p>
        </w:tc>
      </w:tr>
      <w:tr w:rsidR="004B4797" w:rsidRPr="008F237D" w14:paraId="30E20CA3" w14:textId="77777777" w:rsidTr="00C34CEC">
        <w:trPr>
          <w:cantSplit/>
          <w:jc w:val="center"/>
        </w:trPr>
        <w:tc>
          <w:tcPr>
            <w:tcW w:w="938" w:type="pct"/>
            <w:tcBorders>
              <w:top w:val="single" w:sz="4" w:space="0" w:color="auto"/>
              <w:left w:val="nil"/>
              <w:bottom w:val="single" w:sz="4" w:space="0" w:color="auto"/>
              <w:right w:val="nil"/>
            </w:tcBorders>
          </w:tcPr>
          <w:p w14:paraId="51FEA5BC" w14:textId="77777777" w:rsidR="003D21DD" w:rsidRDefault="003D21DD" w:rsidP="00236CA4">
            <w:pPr>
              <w:pStyle w:val="TableText"/>
            </w:pPr>
            <w:r>
              <w:t>Microalga</w:t>
            </w:r>
          </w:p>
        </w:tc>
        <w:tc>
          <w:tcPr>
            <w:tcW w:w="1172" w:type="pct"/>
            <w:tcBorders>
              <w:top w:val="single" w:sz="4" w:space="0" w:color="auto"/>
              <w:left w:val="nil"/>
              <w:bottom w:val="single" w:sz="4" w:space="0" w:color="auto"/>
              <w:right w:val="nil"/>
            </w:tcBorders>
          </w:tcPr>
          <w:p w14:paraId="312905E6" w14:textId="77777777" w:rsidR="003D21DD" w:rsidRPr="00FE6B34" w:rsidRDefault="003D21DD" w:rsidP="00236CA4">
            <w:pPr>
              <w:pStyle w:val="TableText"/>
              <w:rPr>
                <w:rStyle w:val="Emphasis"/>
              </w:rPr>
            </w:pPr>
            <w:r>
              <w:rPr>
                <w:rStyle w:val="Emphasis"/>
              </w:rPr>
              <w:t>Raphidocelis subcapitata</w:t>
            </w:r>
          </w:p>
        </w:tc>
        <w:tc>
          <w:tcPr>
            <w:tcW w:w="547" w:type="pct"/>
            <w:tcBorders>
              <w:top w:val="single" w:sz="4" w:space="0" w:color="auto"/>
              <w:left w:val="nil"/>
              <w:bottom w:val="single" w:sz="4" w:space="0" w:color="auto"/>
              <w:right w:val="nil"/>
            </w:tcBorders>
          </w:tcPr>
          <w:p w14:paraId="0DD411EA" w14:textId="77777777" w:rsidR="003D21DD" w:rsidRDefault="003D21DD" w:rsidP="00236CA4">
            <w:pPr>
              <w:pStyle w:val="TableText"/>
            </w:pPr>
          </w:p>
        </w:tc>
        <w:tc>
          <w:tcPr>
            <w:tcW w:w="483" w:type="pct"/>
            <w:tcBorders>
              <w:top w:val="single" w:sz="4" w:space="0" w:color="auto"/>
              <w:left w:val="nil"/>
              <w:bottom w:val="single" w:sz="4" w:space="0" w:color="auto"/>
              <w:right w:val="nil"/>
            </w:tcBorders>
          </w:tcPr>
          <w:p w14:paraId="1BBFEAD1" w14:textId="77777777" w:rsidR="003D21DD" w:rsidRDefault="003D21DD" w:rsidP="004C04C8">
            <w:pPr>
              <w:pStyle w:val="TableText"/>
              <w:ind w:right="170"/>
              <w:jc w:val="right"/>
            </w:pPr>
            <w:r>
              <w:t>3</w:t>
            </w:r>
          </w:p>
        </w:tc>
        <w:tc>
          <w:tcPr>
            <w:tcW w:w="1167" w:type="pct"/>
            <w:tcBorders>
              <w:top w:val="single" w:sz="4" w:space="0" w:color="auto"/>
              <w:left w:val="nil"/>
              <w:bottom w:val="single" w:sz="4" w:space="0" w:color="auto"/>
              <w:right w:val="nil"/>
            </w:tcBorders>
          </w:tcPr>
          <w:p w14:paraId="2CA01F3B" w14:textId="77777777" w:rsidR="003D21DD" w:rsidRDefault="003D21DD" w:rsidP="00E3119C">
            <w:pPr>
              <w:pStyle w:val="TableText"/>
            </w:pPr>
            <w:r>
              <w:t>EC10 (yield)</w:t>
            </w:r>
          </w:p>
        </w:tc>
        <w:tc>
          <w:tcPr>
            <w:tcW w:w="693" w:type="pct"/>
            <w:tcBorders>
              <w:top w:val="single" w:sz="4" w:space="0" w:color="auto"/>
              <w:left w:val="nil"/>
              <w:bottom w:val="single" w:sz="4" w:space="0" w:color="auto"/>
              <w:right w:val="nil"/>
            </w:tcBorders>
          </w:tcPr>
          <w:p w14:paraId="15DAE2F8" w14:textId="77777777" w:rsidR="003D21DD" w:rsidRDefault="003D21DD" w:rsidP="004C04C8">
            <w:pPr>
              <w:pStyle w:val="TableText"/>
              <w:ind w:right="227"/>
              <w:jc w:val="right"/>
            </w:pPr>
            <w:r>
              <w:t>442</w:t>
            </w:r>
            <w:r w:rsidRPr="007A6AE4">
              <w:rPr>
                <w:vertAlign w:val="superscript"/>
              </w:rPr>
              <w:t>a</w:t>
            </w:r>
          </w:p>
        </w:tc>
      </w:tr>
      <w:tr w:rsidR="00DC7C10" w:rsidRPr="008F237D" w14:paraId="4F2150FA" w14:textId="77777777" w:rsidTr="00C34CEC">
        <w:trPr>
          <w:cantSplit/>
          <w:jc w:val="center"/>
        </w:trPr>
        <w:tc>
          <w:tcPr>
            <w:tcW w:w="938" w:type="pct"/>
            <w:tcBorders>
              <w:top w:val="single" w:sz="4" w:space="0" w:color="auto"/>
              <w:left w:val="nil"/>
              <w:bottom w:val="single" w:sz="4" w:space="0" w:color="auto"/>
              <w:right w:val="nil"/>
            </w:tcBorders>
          </w:tcPr>
          <w:p w14:paraId="41C67917" w14:textId="77777777" w:rsidR="003D21DD" w:rsidRDefault="003D21DD" w:rsidP="00236CA4">
            <w:pPr>
              <w:pStyle w:val="TableText"/>
            </w:pPr>
            <w:r w:rsidRPr="00D31CC4">
              <w:t>Macrophyte</w:t>
            </w:r>
          </w:p>
        </w:tc>
        <w:tc>
          <w:tcPr>
            <w:tcW w:w="1172" w:type="pct"/>
            <w:tcBorders>
              <w:top w:val="single" w:sz="4" w:space="0" w:color="auto"/>
              <w:left w:val="nil"/>
              <w:bottom w:val="single" w:sz="4" w:space="0" w:color="auto"/>
              <w:right w:val="nil"/>
            </w:tcBorders>
          </w:tcPr>
          <w:p w14:paraId="76205220" w14:textId="77777777" w:rsidR="003D21DD" w:rsidRDefault="003D21DD" w:rsidP="00236CA4">
            <w:pPr>
              <w:pStyle w:val="TableText"/>
              <w:rPr>
                <w:rStyle w:val="Emphasis"/>
              </w:rPr>
            </w:pPr>
            <w:r w:rsidRPr="00FE6B34">
              <w:rPr>
                <w:rStyle w:val="Emphasis"/>
              </w:rPr>
              <w:t>Phragmites australis</w:t>
            </w:r>
          </w:p>
        </w:tc>
        <w:tc>
          <w:tcPr>
            <w:tcW w:w="547" w:type="pct"/>
            <w:tcBorders>
              <w:top w:val="single" w:sz="4" w:space="0" w:color="auto"/>
              <w:left w:val="nil"/>
              <w:bottom w:val="single" w:sz="4" w:space="0" w:color="auto"/>
              <w:right w:val="nil"/>
            </w:tcBorders>
          </w:tcPr>
          <w:p w14:paraId="50FB8F9C" w14:textId="77777777" w:rsidR="003D21DD" w:rsidRDefault="003D21DD" w:rsidP="00236CA4">
            <w:pPr>
              <w:pStyle w:val="TableText"/>
            </w:pPr>
            <w:r>
              <w:t>S</w:t>
            </w:r>
            <w:r w:rsidRPr="008F237D">
              <w:t>eedling</w:t>
            </w:r>
          </w:p>
        </w:tc>
        <w:tc>
          <w:tcPr>
            <w:tcW w:w="483" w:type="pct"/>
            <w:tcBorders>
              <w:top w:val="single" w:sz="4" w:space="0" w:color="auto"/>
              <w:left w:val="nil"/>
              <w:bottom w:val="single" w:sz="4" w:space="0" w:color="auto"/>
              <w:right w:val="nil"/>
            </w:tcBorders>
          </w:tcPr>
          <w:p w14:paraId="5DC1226C" w14:textId="77777777" w:rsidR="003D21DD" w:rsidRDefault="003D21DD" w:rsidP="004C04C8">
            <w:pPr>
              <w:pStyle w:val="TableText"/>
              <w:ind w:right="170"/>
              <w:jc w:val="right"/>
            </w:pPr>
            <w:r w:rsidRPr="008F237D">
              <w:t>64</w:t>
            </w:r>
          </w:p>
        </w:tc>
        <w:tc>
          <w:tcPr>
            <w:tcW w:w="1167" w:type="pct"/>
            <w:tcBorders>
              <w:top w:val="single" w:sz="4" w:space="0" w:color="auto"/>
              <w:left w:val="nil"/>
              <w:bottom w:val="single" w:sz="4" w:space="0" w:color="auto"/>
              <w:right w:val="nil"/>
            </w:tcBorders>
          </w:tcPr>
          <w:p w14:paraId="55525F67" w14:textId="77777777" w:rsidR="003D21DD" w:rsidRDefault="003D21DD" w:rsidP="00E3119C">
            <w:pPr>
              <w:pStyle w:val="TableText"/>
            </w:pPr>
            <w:r w:rsidRPr="008F237D">
              <w:t>NOEC</w:t>
            </w:r>
            <w:r>
              <w:t xml:space="preserve"> (growth)</w:t>
            </w:r>
          </w:p>
        </w:tc>
        <w:tc>
          <w:tcPr>
            <w:tcW w:w="693" w:type="pct"/>
            <w:tcBorders>
              <w:top w:val="single" w:sz="4" w:space="0" w:color="auto"/>
              <w:left w:val="nil"/>
              <w:bottom w:val="single" w:sz="4" w:space="0" w:color="auto"/>
              <w:right w:val="nil"/>
            </w:tcBorders>
          </w:tcPr>
          <w:p w14:paraId="5422C7E9" w14:textId="77777777" w:rsidR="003D21DD" w:rsidRDefault="003D21DD" w:rsidP="004C04C8">
            <w:pPr>
              <w:pStyle w:val="TableText"/>
              <w:ind w:right="227"/>
              <w:jc w:val="right"/>
            </w:pPr>
            <w:r w:rsidRPr="008F237D">
              <w:t>1</w:t>
            </w:r>
            <w:r>
              <w:t>,</w:t>
            </w:r>
            <w:r w:rsidRPr="008F237D">
              <w:t>000</w:t>
            </w:r>
            <w:r w:rsidRPr="00273AD3">
              <w:rPr>
                <w:rStyle w:val="Strong"/>
                <w:b w:val="0"/>
                <w:vertAlign w:val="superscript"/>
              </w:rPr>
              <w:t>a</w:t>
            </w:r>
          </w:p>
        </w:tc>
      </w:tr>
      <w:tr w:rsidR="00DC7C10" w:rsidRPr="008F237D" w14:paraId="7E0F1975" w14:textId="77777777" w:rsidTr="00C34CEC">
        <w:trPr>
          <w:cantSplit/>
          <w:jc w:val="center"/>
        </w:trPr>
        <w:tc>
          <w:tcPr>
            <w:tcW w:w="938" w:type="pct"/>
            <w:tcBorders>
              <w:top w:val="single" w:sz="4" w:space="0" w:color="auto"/>
              <w:left w:val="nil"/>
              <w:bottom w:val="single" w:sz="4" w:space="0" w:color="auto"/>
              <w:right w:val="nil"/>
            </w:tcBorders>
          </w:tcPr>
          <w:p w14:paraId="493DA909" w14:textId="77777777" w:rsidR="003D21DD" w:rsidRDefault="003D21DD" w:rsidP="00236CA4">
            <w:pPr>
              <w:pStyle w:val="TableText"/>
            </w:pPr>
            <w:r>
              <w:t>Rotifer</w:t>
            </w:r>
          </w:p>
        </w:tc>
        <w:tc>
          <w:tcPr>
            <w:tcW w:w="1172" w:type="pct"/>
            <w:tcBorders>
              <w:top w:val="single" w:sz="4" w:space="0" w:color="auto"/>
              <w:left w:val="nil"/>
              <w:bottom w:val="single" w:sz="4" w:space="0" w:color="auto"/>
              <w:right w:val="nil"/>
            </w:tcBorders>
          </w:tcPr>
          <w:p w14:paraId="5D8A9D21" w14:textId="77777777" w:rsidR="003D21DD" w:rsidRDefault="003D21DD" w:rsidP="00236CA4">
            <w:pPr>
              <w:pStyle w:val="TableText"/>
              <w:rPr>
                <w:rStyle w:val="Emphasis"/>
              </w:rPr>
            </w:pPr>
            <w:r>
              <w:rPr>
                <w:i/>
                <w:iCs/>
              </w:rPr>
              <w:t>Euchlanis dilitata</w:t>
            </w:r>
          </w:p>
        </w:tc>
        <w:tc>
          <w:tcPr>
            <w:tcW w:w="547" w:type="pct"/>
            <w:tcBorders>
              <w:top w:val="single" w:sz="4" w:space="0" w:color="auto"/>
              <w:left w:val="nil"/>
              <w:bottom w:val="single" w:sz="4" w:space="0" w:color="auto"/>
              <w:right w:val="nil"/>
            </w:tcBorders>
          </w:tcPr>
          <w:p w14:paraId="29BAD32E" w14:textId="77777777" w:rsidR="003D21DD" w:rsidRDefault="003D21DD" w:rsidP="00236CA4">
            <w:pPr>
              <w:pStyle w:val="TableText"/>
            </w:pPr>
            <w:r>
              <w:t>Neonate</w:t>
            </w:r>
          </w:p>
        </w:tc>
        <w:tc>
          <w:tcPr>
            <w:tcW w:w="483" w:type="pct"/>
            <w:tcBorders>
              <w:top w:val="single" w:sz="4" w:space="0" w:color="auto"/>
              <w:left w:val="nil"/>
              <w:bottom w:val="single" w:sz="4" w:space="0" w:color="auto"/>
              <w:right w:val="nil"/>
            </w:tcBorders>
          </w:tcPr>
          <w:p w14:paraId="7F445D87" w14:textId="77777777" w:rsidR="003D21DD" w:rsidRDefault="003D21DD" w:rsidP="004C04C8">
            <w:pPr>
              <w:pStyle w:val="TableText"/>
              <w:ind w:right="170"/>
              <w:jc w:val="right"/>
            </w:pPr>
            <w:r>
              <w:t>5</w:t>
            </w:r>
          </w:p>
        </w:tc>
        <w:tc>
          <w:tcPr>
            <w:tcW w:w="1167" w:type="pct"/>
            <w:tcBorders>
              <w:top w:val="single" w:sz="4" w:space="0" w:color="auto"/>
              <w:left w:val="nil"/>
              <w:bottom w:val="single" w:sz="4" w:space="0" w:color="auto"/>
              <w:right w:val="nil"/>
            </w:tcBorders>
          </w:tcPr>
          <w:p w14:paraId="7CC511BB" w14:textId="77777777" w:rsidR="003D21DD" w:rsidRDefault="003D21DD" w:rsidP="00E3119C">
            <w:pPr>
              <w:pStyle w:val="TableText"/>
            </w:pPr>
            <w:r>
              <w:t>LC10 (reproduction)</w:t>
            </w:r>
          </w:p>
        </w:tc>
        <w:tc>
          <w:tcPr>
            <w:tcW w:w="693" w:type="pct"/>
            <w:tcBorders>
              <w:top w:val="single" w:sz="4" w:space="0" w:color="auto"/>
              <w:left w:val="nil"/>
              <w:bottom w:val="single" w:sz="4" w:space="0" w:color="auto"/>
              <w:right w:val="nil"/>
            </w:tcBorders>
          </w:tcPr>
          <w:p w14:paraId="2F461F5B" w14:textId="77777777" w:rsidR="003D21DD" w:rsidRDefault="003D21DD" w:rsidP="004C04C8">
            <w:pPr>
              <w:pStyle w:val="TableText"/>
              <w:ind w:right="227"/>
              <w:jc w:val="right"/>
            </w:pPr>
            <w:r>
              <w:t>957</w:t>
            </w:r>
          </w:p>
        </w:tc>
      </w:tr>
      <w:tr w:rsidR="00DC7C10" w:rsidRPr="008F237D" w14:paraId="3E7136AA" w14:textId="77777777" w:rsidTr="00C34CEC">
        <w:trPr>
          <w:cantSplit/>
          <w:jc w:val="center"/>
        </w:trPr>
        <w:tc>
          <w:tcPr>
            <w:tcW w:w="938" w:type="pct"/>
            <w:tcBorders>
              <w:top w:val="single" w:sz="4" w:space="0" w:color="auto"/>
              <w:left w:val="nil"/>
              <w:bottom w:val="single" w:sz="4" w:space="0" w:color="auto"/>
              <w:right w:val="nil"/>
            </w:tcBorders>
          </w:tcPr>
          <w:p w14:paraId="65363717" w14:textId="77777777" w:rsidR="003D21DD" w:rsidRDefault="003D21DD" w:rsidP="00236CA4">
            <w:pPr>
              <w:pStyle w:val="TableText"/>
            </w:pPr>
            <w:r>
              <w:t>Annelid</w:t>
            </w:r>
          </w:p>
        </w:tc>
        <w:tc>
          <w:tcPr>
            <w:tcW w:w="1172" w:type="pct"/>
            <w:tcBorders>
              <w:top w:val="single" w:sz="4" w:space="0" w:color="auto"/>
              <w:left w:val="nil"/>
              <w:bottom w:val="single" w:sz="4" w:space="0" w:color="auto"/>
              <w:right w:val="nil"/>
            </w:tcBorders>
          </w:tcPr>
          <w:p w14:paraId="6BEC47A4" w14:textId="77777777" w:rsidR="003D21DD" w:rsidRDefault="003D21DD" w:rsidP="00236CA4">
            <w:pPr>
              <w:pStyle w:val="TableText"/>
              <w:rPr>
                <w:rStyle w:val="Emphasis"/>
              </w:rPr>
            </w:pPr>
            <w:r>
              <w:rPr>
                <w:rStyle w:val="Emphasis"/>
              </w:rPr>
              <w:t>Lumbriculus variegatis</w:t>
            </w:r>
          </w:p>
        </w:tc>
        <w:tc>
          <w:tcPr>
            <w:tcW w:w="547" w:type="pct"/>
            <w:tcBorders>
              <w:top w:val="single" w:sz="4" w:space="0" w:color="auto"/>
              <w:left w:val="nil"/>
              <w:bottom w:val="single" w:sz="4" w:space="0" w:color="auto"/>
              <w:right w:val="nil"/>
            </w:tcBorders>
          </w:tcPr>
          <w:p w14:paraId="62855A0F" w14:textId="77777777" w:rsidR="003D21DD" w:rsidRDefault="003D21DD" w:rsidP="00236CA4">
            <w:pPr>
              <w:pStyle w:val="TableText"/>
            </w:pPr>
            <w:r>
              <w:t>Worm</w:t>
            </w:r>
          </w:p>
        </w:tc>
        <w:tc>
          <w:tcPr>
            <w:tcW w:w="483" w:type="pct"/>
            <w:tcBorders>
              <w:top w:val="single" w:sz="4" w:space="0" w:color="auto"/>
              <w:left w:val="nil"/>
              <w:bottom w:val="single" w:sz="4" w:space="0" w:color="auto"/>
              <w:right w:val="nil"/>
            </w:tcBorders>
          </w:tcPr>
          <w:p w14:paraId="30DCD87A" w14:textId="77777777" w:rsidR="003D21DD" w:rsidRDefault="003D21DD" w:rsidP="004C04C8">
            <w:pPr>
              <w:pStyle w:val="TableText"/>
              <w:ind w:right="170"/>
              <w:jc w:val="right"/>
            </w:pPr>
            <w:r>
              <w:t>35</w:t>
            </w:r>
          </w:p>
        </w:tc>
        <w:tc>
          <w:tcPr>
            <w:tcW w:w="1167" w:type="pct"/>
            <w:tcBorders>
              <w:top w:val="single" w:sz="4" w:space="0" w:color="auto"/>
              <w:left w:val="nil"/>
              <w:bottom w:val="single" w:sz="4" w:space="0" w:color="auto"/>
              <w:right w:val="nil"/>
            </w:tcBorders>
          </w:tcPr>
          <w:p w14:paraId="236990CC" w14:textId="77777777" w:rsidR="003D21DD" w:rsidRDefault="003D21DD" w:rsidP="00E3119C">
            <w:pPr>
              <w:pStyle w:val="TableText"/>
            </w:pPr>
            <w:r>
              <w:t>EC10 (reproduction)</w:t>
            </w:r>
          </w:p>
        </w:tc>
        <w:tc>
          <w:tcPr>
            <w:tcW w:w="693" w:type="pct"/>
            <w:tcBorders>
              <w:top w:val="single" w:sz="4" w:space="0" w:color="auto"/>
              <w:left w:val="nil"/>
              <w:bottom w:val="single" w:sz="4" w:space="0" w:color="auto"/>
              <w:right w:val="nil"/>
            </w:tcBorders>
          </w:tcPr>
          <w:p w14:paraId="23E498BC" w14:textId="77777777" w:rsidR="003D21DD" w:rsidRDefault="003D21DD" w:rsidP="004C04C8">
            <w:pPr>
              <w:pStyle w:val="TableText"/>
              <w:ind w:right="227"/>
              <w:jc w:val="right"/>
            </w:pPr>
            <w:r>
              <w:t>470</w:t>
            </w:r>
          </w:p>
        </w:tc>
      </w:tr>
      <w:tr w:rsidR="00DC7C10" w:rsidRPr="008F237D" w14:paraId="0CB36B7A" w14:textId="77777777" w:rsidTr="00C34CEC">
        <w:trPr>
          <w:cantSplit/>
          <w:jc w:val="center"/>
        </w:trPr>
        <w:tc>
          <w:tcPr>
            <w:tcW w:w="938" w:type="pct"/>
            <w:tcBorders>
              <w:top w:val="single" w:sz="4" w:space="0" w:color="auto"/>
              <w:left w:val="nil"/>
              <w:bottom w:val="single" w:sz="4" w:space="0" w:color="auto"/>
              <w:right w:val="nil"/>
            </w:tcBorders>
          </w:tcPr>
          <w:p w14:paraId="67351D0E" w14:textId="77777777" w:rsidR="003D21DD" w:rsidRDefault="003D21DD" w:rsidP="00236CA4">
            <w:pPr>
              <w:pStyle w:val="TableText"/>
            </w:pPr>
            <w:r>
              <w:t>Planarian</w:t>
            </w:r>
          </w:p>
        </w:tc>
        <w:tc>
          <w:tcPr>
            <w:tcW w:w="1172" w:type="pct"/>
            <w:tcBorders>
              <w:top w:val="single" w:sz="4" w:space="0" w:color="auto"/>
              <w:left w:val="nil"/>
              <w:bottom w:val="single" w:sz="4" w:space="0" w:color="auto"/>
              <w:right w:val="nil"/>
            </w:tcBorders>
          </w:tcPr>
          <w:p w14:paraId="7BA8800B" w14:textId="77777777" w:rsidR="003D21DD" w:rsidRDefault="003D21DD" w:rsidP="00236CA4">
            <w:pPr>
              <w:pStyle w:val="TableText"/>
              <w:rPr>
                <w:rStyle w:val="Emphasis"/>
              </w:rPr>
            </w:pPr>
            <w:r>
              <w:rPr>
                <w:i/>
                <w:iCs/>
              </w:rPr>
              <w:t>Dugesia dorotocephala</w:t>
            </w:r>
          </w:p>
        </w:tc>
        <w:tc>
          <w:tcPr>
            <w:tcW w:w="547" w:type="pct"/>
            <w:tcBorders>
              <w:top w:val="single" w:sz="4" w:space="0" w:color="auto"/>
              <w:left w:val="nil"/>
              <w:bottom w:val="single" w:sz="4" w:space="0" w:color="auto"/>
              <w:right w:val="nil"/>
            </w:tcBorders>
          </w:tcPr>
          <w:p w14:paraId="0A451DA9" w14:textId="77777777" w:rsidR="003D21DD" w:rsidRDefault="003D21DD" w:rsidP="00236CA4">
            <w:pPr>
              <w:pStyle w:val="TableText"/>
            </w:pPr>
          </w:p>
        </w:tc>
        <w:tc>
          <w:tcPr>
            <w:tcW w:w="483" w:type="pct"/>
            <w:tcBorders>
              <w:top w:val="single" w:sz="4" w:space="0" w:color="auto"/>
              <w:left w:val="nil"/>
              <w:bottom w:val="single" w:sz="4" w:space="0" w:color="auto"/>
              <w:right w:val="nil"/>
            </w:tcBorders>
          </w:tcPr>
          <w:p w14:paraId="188F9305" w14:textId="77777777" w:rsidR="003D21DD" w:rsidRDefault="003D21DD" w:rsidP="004C04C8">
            <w:pPr>
              <w:pStyle w:val="TableText"/>
              <w:ind w:right="170"/>
              <w:jc w:val="right"/>
            </w:pPr>
            <w:r>
              <w:t>30</w:t>
            </w:r>
          </w:p>
        </w:tc>
        <w:tc>
          <w:tcPr>
            <w:tcW w:w="1167" w:type="pct"/>
            <w:tcBorders>
              <w:top w:val="single" w:sz="4" w:space="0" w:color="auto"/>
              <w:left w:val="nil"/>
              <w:bottom w:val="single" w:sz="4" w:space="0" w:color="auto"/>
              <w:right w:val="nil"/>
            </w:tcBorders>
          </w:tcPr>
          <w:p w14:paraId="5707EA40" w14:textId="77777777" w:rsidR="003D21DD" w:rsidRDefault="003D21DD" w:rsidP="00E3119C">
            <w:pPr>
              <w:pStyle w:val="TableText"/>
            </w:pPr>
            <w:r>
              <w:t>EC10 (growth)</w:t>
            </w:r>
          </w:p>
        </w:tc>
        <w:tc>
          <w:tcPr>
            <w:tcW w:w="693" w:type="pct"/>
            <w:tcBorders>
              <w:top w:val="single" w:sz="4" w:space="0" w:color="auto"/>
              <w:left w:val="nil"/>
              <w:bottom w:val="single" w:sz="4" w:space="0" w:color="auto"/>
              <w:right w:val="nil"/>
            </w:tcBorders>
          </w:tcPr>
          <w:p w14:paraId="65B2855F" w14:textId="77777777" w:rsidR="003D21DD" w:rsidRDefault="003D21DD" w:rsidP="004C04C8">
            <w:pPr>
              <w:pStyle w:val="TableText"/>
              <w:ind w:right="227"/>
              <w:jc w:val="right"/>
            </w:pPr>
            <w:r>
              <w:t>40,000</w:t>
            </w:r>
          </w:p>
        </w:tc>
      </w:tr>
      <w:tr w:rsidR="00DC7C10" w:rsidRPr="008F237D" w14:paraId="78EA948E" w14:textId="77777777" w:rsidTr="00C34CEC">
        <w:trPr>
          <w:cantSplit/>
          <w:jc w:val="center"/>
        </w:trPr>
        <w:tc>
          <w:tcPr>
            <w:tcW w:w="938" w:type="pct"/>
            <w:tcBorders>
              <w:top w:val="single" w:sz="4" w:space="0" w:color="auto"/>
              <w:left w:val="nil"/>
              <w:bottom w:val="single" w:sz="4" w:space="0" w:color="auto"/>
              <w:right w:val="nil"/>
            </w:tcBorders>
          </w:tcPr>
          <w:p w14:paraId="5A2ED241" w14:textId="77777777" w:rsidR="003D21DD" w:rsidRDefault="003D21DD" w:rsidP="00236CA4">
            <w:pPr>
              <w:pStyle w:val="TableText"/>
            </w:pPr>
            <w:r>
              <w:t>Insect</w:t>
            </w:r>
          </w:p>
        </w:tc>
        <w:tc>
          <w:tcPr>
            <w:tcW w:w="1172" w:type="pct"/>
            <w:tcBorders>
              <w:top w:val="single" w:sz="4" w:space="0" w:color="auto"/>
              <w:left w:val="nil"/>
              <w:bottom w:val="single" w:sz="4" w:space="0" w:color="auto"/>
              <w:right w:val="nil"/>
            </w:tcBorders>
          </w:tcPr>
          <w:p w14:paraId="5144E486" w14:textId="77777777" w:rsidR="003D21DD" w:rsidRDefault="003D21DD" w:rsidP="00236CA4">
            <w:pPr>
              <w:pStyle w:val="TableText"/>
              <w:rPr>
                <w:rStyle w:val="Emphasis"/>
              </w:rPr>
            </w:pPr>
            <w:r>
              <w:rPr>
                <w:i/>
                <w:iCs/>
              </w:rPr>
              <w:t>Hexagenia limbata</w:t>
            </w:r>
          </w:p>
        </w:tc>
        <w:tc>
          <w:tcPr>
            <w:tcW w:w="547" w:type="pct"/>
            <w:tcBorders>
              <w:top w:val="single" w:sz="4" w:space="0" w:color="auto"/>
              <w:left w:val="nil"/>
              <w:bottom w:val="single" w:sz="4" w:space="0" w:color="auto"/>
              <w:right w:val="nil"/>
            </w:tcBorders>
          </w:tcPr>
          <w:p w14:paraId="5AFFCB82" w14:textId="77777777" w:rsidR="003D21DD" w:rsidRDefault="003D21DD" w:rsidP="00236CA4">
            <w:pPr>
              <w:pStyle w:val="TableText"/>
            </w:pPr>
            <w:r>
              <w:t>Nymph</w:t>
            </w:r>
          </w:p>
        </w:tc>
        <w:tc>
          <w:tcPr>
            <w:tcW w:w="483" w:type="pct"/>
            <w:tcBorders>
              <w:top w:val="single" w:sz="4" w:space="0" w:color="auto"/>
              <w:left w:val="nil"/>
              <w:bottom w:val="single" w:sz="4" w:space="0" w:color="auto"/>
              <w:right w:val="nil"/>
            </w:tcBorders>
          </w:tcPr>
          <w:p w14:paraId="222F2A79" w14:textId="77777777" w:rsidR="003D21DD" w:rsidRDefault="003D21DD" w:rsidP="004C04C8">
            <w:pPr>
              <w:pStyle w:val="TableText"/>
              <w:ind w:right="170"/>
              <w:jc w:val="right"/>
            </w:pPr>
            <w:r>
              <w:t>30</w:t>
            </w:r>
          </w:p>
        </w:tc>
        <w:tc>
          <w:tcPr>
            <w:tcW w:w="1167" w:type="pct"/>
            <w:tcBorders>
              <w:top w:val="single" w:sz="4" w:space="0" w:color="auto"/>
              <w:left w:val="nil"/>
              <w:bottom w:val="single" w:sz="4" w:space="0" w:color="auto"/>
              <w:right w:val="nil"/>
            </w:tcBorders>
          </w:tcPr>
          <w:p w14:paraId="067D1B2F" w14:textId="77777777" w:rsidR="003D21DD" w:rsidRDefault="003D21DD" w:rsidP="00E3119C">
            <w:pPr>
              <w:pStyle w:val="TableText"/>
            </w:pPr>
            <w:r>
              <w:t>EC10 (survival)</w:t>
            </w:r>
          </w:p>
        </w:tc>
        <w:tc>
          <w:tcPr>
            <w:tcW w:w="693" w:type="pct"/>
            <w:tcBorders>
              <w:top w:val="single" w:sz="4" w:space="0" w:color="auto"/>
              <w:left w:val="nil"/>
              <w:bottom w:val="single" w:sz="4" w:space="0" w:color="auto"/>
              <w:right w:val="nil"/>
            </w:tcBorders>
          </w:tcPr>
          <w:p w14:paraId="08888889" w14:textId="77777777" w:rsidR="003D21DD" w:rsidRDefault="003D21DD" w:rsidP="004C04C8">
            <w:pPr>
              <w:pStyle w:val="TableText"/>
              <w:ind w:right="227"/>
              <w:jc w:val="right"/>
            </w:pPr>
            <w:r>
              <w:t>7,863</w:t>
            </w:r>
          </w:p>
        </w:tc>
      </w:tr>
      <w:tr w:rsidR="00DC7C10" w:rsidRPr="008F237D" w14:paraId="5A560789" w14:textId="77777777" w:rsidTr="00C34CEC">
        <w:trPr>
          <w:cantSplit/>
          <w:jc w:val="center"/>
        </w:trPr>
        <w:tc>
          <w:tcPr>
            <w:tcW w:w="938" w:type="pct"/>
            <w:tcBorders>
              <w:top w:val="single" w:sz="4" w:space="0" w:color="auto"/>
              <w:left w:val="nil"/>
              <w:bottom w:val="single" w:sz="4" w:space="0" w:color="auto"/>
              <w:right w:val="nil"/>
            </w:tcBorders>
          </w:tcPr>
          <w:p w14:paraId="5A5212E8" w14:textId="77777777" w:rsidR="003D21DD" w:rsidRDefault="003D21DD" w:rsidP="00236CA4">
            <w:pPr>
              <w:pStyle w:val="TableText"/>
            </w:pPr>
            <w:r>
              <w:t>Insect</w:t>
            </w:r>
          </w:p>
        </w:tc>
        <w:tc>
          <w:tcPr>
            <w:tcW w:w="1172" w:type="pct"/>
            <w:tcBorders>
              <w:top w:val="single" w:sz="4" w:space="0" w:color="auto"/>
              <w:left w:val="nil"/>
              <w:bottom w:val="single" w:sz="4" w:space="0" w:color="auto"/>
              <w:right w:val="nil"/>
            </w:tcBorders>
          </w:tcPr>
          <w:p w14:paraId="19AC29C5" w14:textId="77777777" w:rsidR="003D21DD" w:rsidRDefault="003D21DD" w:rsidP="00236CA4">
            <w:pPr>
              <w:pStyle w:val="TableText"/>
              <w:rPr>
                <w:rStyle w:val="Emphasis"/>
              </w:rPr>
            </w:pPr>
            <w:r w:rsidRPr="00FE6B34">
              <w:rPr>
                <w:rStyle w:val="Emphasis"/>
              </w:rPr>
              <w:t>Leptophlebia marginata</w:t>
            </w:r>
          </w:p>
        </w:tc>
        <w:tc>
          <w:tcPr>
            <w:tcW w:w="547" w:type="pct"/>
            <w:tcBorders>
              <w:top w:val="single" w:sz="4" w:space="0" w:color="auto"/>
              <w:left w:val="nil"/>
              <w:bottom w:val="single" w:sz="4" w:space="0" w:color="auto"/>
              <w:right w:val="nil"/>
            </w:tcBorders>
          </w:tcPr>
          <w:p w14:paraId="7CCB3C16" w14:textId="77777777" w:rsidR="003D21DD" w:rsidRDefault="003D21DD" w:rsidP="00236CA4">
            <w:pPr>
              <w:pStyle w:val="TableText"/>
            </w:pPr>
            <w:r>
              <w:t>Larvae</w:t>
            </w:r>
          </w:p>
        </w:tc>
        <w:tc>
          <w:tcPr>
            <w:tcW w:w="483" w:type="pct"/>
            <w:tcBorders>
              <w:top w:val="single" w:sz="4" w:space="0" w:color="auto"/>
              <w:left w:val="nil"/>
              <w:bottom w:val="single" w:sz="4" w:space="0" w:color="auto"/>
              <w:right w:val="nil"/>
            </w:tcBorders>
          </w:tcPr>
          <w:p w14:paraId="1BCD09D0" w14:textId="77777777" w:rsidR="003D21DD" w:rsidRDefault="003D21DD" w:rsidP="004C04C8">
            <w:pPr>
              <w:pStyle w:val="TableText"/>
              <w:ind w:right="170"/>
              <w:jc w:val="right"/>
            </w:pPr>
            <w:r>
              <w:t>30</w:t>
            </w:r>
          </w:p>
        </w:tc>
        <w:tc>
          <w:tcPr>
            <w:tcW w:w="1167" w:type="pct"/>
            <w:tcBorders>
              <w:top w:val="single" w:sz="4" w:space="0" w:color="auto"/>
              <w:left w:val="nil"/>
              <w:bottom w:val="single" w:sz="4" w:space="0" w:color="auto"/>
              <w:right w:val="nil"/>
            </w:tcBorders>
          </w:tcPr>
          <w:p w14:paraId="23FE20BE" w14:textId="77777777" w:rsidR="003D21DD" w:rsidRDefault="003D21DD" w:rsidP="00E3119C">
            <w:pPr>
              <w:pStyle w:val="TableText"/>
            </w:pPr>
            <w:r>
              <w:rPr>
                <w:color w:val="000000"/>
              </w:rPr>
              <w:t>NOEC (immobility)</w:t>
            </w:r>
          </w:p>
        </w:tc>
        <w:tc>
          <w:tcPr>
            <w:tcW w:w="693" w:type="pct"/>
            <w:tcBorders>
              <w:top w:val="single" w:sz="4" w:space="0" w:color="auto"/>
              <w:left w:val="nil"/>
              <w:bottom w:val="single" w:sz="4" w:space="0" w:color="auto"/>
              <w:right w:val="nil"/>
            </w:tcBorders>
          </w:tcPr>
          <w:p w14:paraId="673AEAFE" w14:textId="77777777" w:rsidR="003D21DD" w:rsidRDefault="003D21DD" w:rsidP="004C04C8">
            <w:pPr>
              <w:pStyle w:val="TableText"/>
              <w:ind w:right="227"/>
              <w:jc w:val="right"/>
            </w:pPr>
            <w:r>
              <w:t>50,000</w:t>
            </w:r>
          </w:p>
        </w:tc>
      </w:tr>
      <w:tr w:rsidR="004B4797" w:rsidRPr="008F237D" w14:paraId="4AC2B8B7" w14:textId="77777777" w:rsidTr="00C34CEC">
        <w:trPr>
          <w:cantSplit/>
          <w:jc w:val="center"/>
        </w:trPr>
        <w:tc>
          <w:tcPr>
            <w:tcW w:w="938" w:type="pct"/>
            <w:tcBorders>
              <w:top w:val="single" w:sz="4" w:space="0" w:color="auto"/>
              <w:left w:val="nil"/>
              <w:bottom w:val="single" w:sz="4" w:space="0" w:color="auto"/>
              <w:right w:val="nil"/>
            </w:tcBorders>
          </w:tcPr>
          <w:p w14:paraId="316BF6E0" w14:textId="77777777" w:rsidR="003D21DD" w:rsidRDefault="003D21DD" w:rsidP="00236CA4">
            <w:pPr>
              <w:pStyle w:val="TableText"/>
            </w:pPr>
            <w:r>
              <w:t>Crustacean</w:t>
            </w:r>
          </w:p>
        </w:tc>
        <w:tc>
          <w:tcPr>
            <w:tcW w:w="1172" w:type="pct"/>
            <w:tcBorders>
              <w:top w:val="single" w:sz="4" w:space="0" w:color="auto"/>
              <w:left w:val="nil"/>
              <w:bottom w:val="single" w:sz="4" w:space="0" w:color="auto"/>
              <w:right w:val="nil"/>
            </w:tcBorders>
          </w:tcPr>
          <w:p w14:paraId="15EABCA1" w14:textId="77777777" w:rsidR="003D21DD" w:rsidRPr="00FE6B34" w:rsidRDefault="003D21DD" w:rsidP="00236CA4">
            <w:pPr>
              <w:pStyle w:val="TableText"/>
              <w:rPr>
                <w:rStyle w:val="Emphasis"/>
              </w:rPr>
            </w:pPr>
            <w:r>
              <w:rPr>
                <w:rStyle w:val="Emphasis"/>
              </w:rPr>
              <w:t>Ceriodaphnia dubia</w:t>
            </w:r>
          </w:p>
        </w:tc>
        <w:tc>
          <w:tcPr>
            <w:tcW w:w="547" w:type="pct"/>
            <w:tcBorders>
              <w:top w:val="single" w:sz="4" w:space="0" w:color="auto"/>
              <w:left w:val="nil"/>
              <w:bottom w:val="single" w:sz="4" w:space="0" w:color="auto"/>
              <w:right w:val="nil"/>
            </w:tcBorders>
          </w:tcPr>
          <w:p w14:paraId="69532A60" w14:textId="77777777" w:rsidR="003D21DD" w:rsidRDefault="003D21DD" w:rsidP="00236CA4">
            <w:pPr>
              <w:pStyle w:val="TableText"/>
            </w:pPr>
            <w:r>
              <w:t>Neonate</w:t>
            </w:r>
          </w:p>
        </w:tc>
        <w:tc>
          <w:tcPr>
            <w:tcW w:w="483" w:type="pct"/>
            <w:tcBorders>
              <w:top w:val="single" w:sz="4" w:space="0" w:color="auto"/>
              <w:left w:val="nil"/>
              <w:bottom w:val="single" w:sz="4" w:space="0" w:color="auto"/>
              <w:right w:val="nil"/>
            </w:tcBorders>
          </w:tcPr>
          <w:p w14:paraId="368DA66D" w14:textId="77777777" w:rsidR="003D21DD" w:rsidRDefault="003D21DD" w:rsidP="004C04C8">
            <w:pPr>
              <w:pStyle w:val="TableText"/>
              <w:ind w:right="170"/>
              <w:jc w:val="right"/>
            </w:pPr>
            <w:r>
              <w:t>7</w:t>
            </w:r>
          </w:p>
        </w:tc>
        <w:tc>
          <w:tcPr>
            <w:tcW w:w="1167" w:type="pct"/>
            <w:tcBorders>
              <w:top w:val="single" w:sz="4" w:space="0" w:color="auto"/>
              <w:left w:val="nil"/>
              <w:bottom w:val="single" w:sz="4" w:space="0" w:color="auto"/>
              <w:right w:val="nil"/>
            </w:tcBorders>
          </w:tcPr>
          <w:p w14:paraId="73367F9B" w14:textId="77777777" w:rsidR="003D21DD" w:rsidRDefault="003D21DD" w:rsidP="00E3119C">
            <w:pPr>
              <w:pStyle w:val="TableText"/>
            </w:pPr>
            <w:r>
              <w:t>EC10 (reproduction)</w:t>
            </w:r>
          </w:p>
        </w:tc>
        <w:tc>
          <w:tcPr>
            <w:tcW w:w="693" w:type="pct"/>
            <w:tcBorders>
              <w:top w:val="single" w:sz="4" w:space="0" w:color="auto"/>
              <w:left w:val="nil"/>
              <w:bottom w:val="single" w:sz="4" w:space="0" w:color="auto"/>
              <w:right w:val="nil"/>
            </w:tcBorders>
          </w:tcPr>
          <w:p w14:paraId="0CCA5F9D" w14:textId="77777777" w:rsidR="003D21DD" w:rsidRDefault="003D21DD" w:rsidP="004C04C8">
            <w:pPr>
              <w:pStyle w:val="TableText"/>
              <w:ind w:right="227"/>
              <w:jc w:val="right"/>
            </w:pPr>
            <w:r>
              <w:t>383</w:t>
            </w:r>
            <w:r w:rsidRPr="007A6AE4">
              <w:rPr>
                <w:vertAlign w:val="superscript"/>
              </w:rPr>
              <w:t>a</w:t>
            </w:r>
          </w:p>
        </w:tc>
      </w:tr>
      <w:tr w:rsidR="004B4797" w:rsidRPr="008F237D" w14:paraId="7B4054F6" w14:textId="77777777" w:rsidTr="00C34CEC">
        <w:trPr>
          <w:cantSplit/>
          <w:jc w:val="center"/>
        </w:trPr>
        <w:tc>
          <w:tcPr>
            <w:tcW w:w="938" w:type="pct"/>
            <w:tcBorders>
              <w:top w:val="single" w:sz="4" w:space="0" w:color="auto"/>
              <w:bottom w:val="nil"/>
            </w:tcBorders>
          </w:tcPr>
          <w:p w14:paraId="2B35248A" w14:textId="77777777" w:rsidR="003D21DD" w:rsidRDefault="003D21DD" w:rsidP="00236CA4">
            <w:pPr>
              <w:pStyle w:val="TableText"/>
            </w:pPr>
            <w:r>
              <w:t xml:space="preserve">Crustacean </w:t>
            </w:r>
          </w:p>
        </w:tc>
        <w:tc>
          <w:tcPr>
            <w:tcW w:w="1172" w:type="pct"/>
            <w:tcBorders>
              <w:top w:val="single" w:sz="4" w:space="0" w:color="auto"/>
              <w:bottom w:val="nil"/>
            </w:tcBorders>
          </w:tcPr>
          <w:p w14:paraId="30C796BA" w14:textId="77777777" w:rsidR="003D21DD" w:rsidRPr="00FE6B34" w:rsidRDefault="003D21DD" w:rsidP="00236CA4">
            <w:pPr>
              <w:pStyle w:val="TableText"/>
              <w:rPr>
                <w:rStyle w:val="Emphasis"/>
              </w:rPr>
            </w:pPr>
            <w:r w:rsidRPr="00FE6B34">
              <w:rPr>
                <w:rStyle w:val="Emphasis"/>
              </w:rPr>
              <w:t>Daphnia magna</w:t>
            </w:r>
          </w:p>
        </w:tc>
        <w:tc>
          <w:tcPr>
            <w:tcW w:w="547" w:type="pct"/>
            <w:tcBorders>
              <w:top w:val="single" w:sz="4" w:space="0" w:color="auto"/>
              <w:bottom w:val="nil"/>
            </w:tcBorders>
          </w:tcPr>
          <w:p w14:paraId="73EE3A2E" w14:textId="77777777" w:rsidR="003D21DD" w:rsidRDefault="003D21DD" w:rsidP="00236CA4">
            <w:pPr>
              <w:pStyle w:val="TableText"/>
            </w:pPr>
            <w:r>
              <w:t>Neonate</w:t>
            </w:r>
          </w:p>
        </w:tc>
        <w:tc>
          <w:tcPr>
            <w:tcW w:w="483" w:type="pct"/>
            <w:tcBorders>
              <w:top w:val="single" w:sz="4" w:space="0" w:color="auto"/>
              <w:bottom w:val="nil"/>
            </w:tcBorders>
          </w:tcPr>
          <w:p w14:paraId="153AE409" w14:textId="77777777" w:rsidR="003D21DD" w:rsidRDefault="003D21DD" w:rsidP="004C04C8">
            <w:pPr>
              <w:pStyle w:val="TableText"/>
              <w:ind w:right="170"/>
              <w:jc w:val="right"/>
            </w:pPr>
            <w:r>
              <w:t>21</w:t>
            </w:r>
          </w:p>
        </w:tc>
        <w:tc>
          <w:tcPr>
            <w:tcW w:w="1167" w:type="pct"/>
            <w:tcBorders>
              <w:top w:val="single" w:sz="4" w:space="0" w:color="auto"/>
              <w:left w:val="nil"/>
              <w:bottom w:val="single" w:sz="4" w:space="0" w:color="auto"/>
              <w:right w:val="nil"/>
            </w:tcBorders>
          </w:tcPr>
          <w:p w14:paraId="0F4AE159" w14:textId="77777777" w:rsidR="003D21DD" w:rsidRDefault="003D21DD" w:rsidP="00E3119C">
            <w:pPr>
              <w:pStyle w:val="TableText"/>
            </w:pPr>
            <w:r>
              <w:t>EC16 (reproduction)</w:t>
            </w:r>
          </w:p>
        </w:tc>
        <w:tc>
          <w:tcPr>
            <w:tcW w:w="693" w:type="pct"/>
            <w:tcBorders>
              <w:top w:val="single" w:sz="4" w:space="0" w:color="auto"/>
              <w:left w:val="nil"/>
              <w:bottom w:val="single" w:sz="4" w:space="0" w:color="auto"/>
              <w:right w:val="nil"/>
            </w:tcBorders>
          </w:tcPr>
          <w:p w14:paraId="46B3D006" w14:textId="777FEE79" w:rsidR="003D21DD" w:rsidRDefault="003D21DD" w:rsidP="004C04C8">
            <w:pPr>
              <w:pStyle w:val="TableText"/>
              <w:ind w:right="227"/>
              <w:jc w:val="right"/>
            </w:pPr>
            <w:r>
              <w:t>4</w:t>
            </w:r>
            <w:r w:rsidR="00D350B0">
              <w:t>,</w:t>
            </w:r>
            <w:r>
              <w:t>380</w:t>
            </w:r>
          </w:p>
        </w:tc>
      </w:tr>
      <w:tr w:rsidR="004B4797" w:rsidRPr="008F237D" w14:paraId="7F13B51B" w14:textId="77777777" w:rsidTr="00C34CEC">
        <w:trPr>
          <w:cantSplit/>
          <w:jc w:val="center"/>
        </w:trPr>
        <w:tc>
          <w:tcPr>
            <w:tcW w:w="938" w:type="pct"/>
            <w:tcBorders>
              <w:top w:val="single" w:sz="4" w:space="0" w:color="auto"/>
              <w:left w:val="nil"/>
              <w:bottom w:val="single" w:sz="4" w:space="0" w:color="auto"/>
              <w:right w:val="nil"/>
            </w:tcBorders>
          </w:tcPr>
          <w:p w14:paraId="6E0858F3" w14:textId="77777777" w:rsidR="003D21DD" w:rsidRDefault="003D21DD" w:rsidP="00236CA4">
            <w:pPr>
              <w:pStyle w:val="TableText"/>
            </w:pPr>
            <w:r>
              <w:t>Crustacean</w:t>
            </w:r>
          </w:p>
        </w:tc>
        <w:tc>
          <w:tcPr>
            <w:tcW w:w="1172" w:type="pct"/>
            <w:tcBorders>
              <w:top w:val="single" w:sz="4" w:space="0" w:color="auto"/>
              <w:left w:val="nil"/>
              <w:bottom w:val="single" w:sz="4" w:space="0" w:color="auto"/>
              <w:right w:val="nil"/>
            </w:tcBorders>
          </w:tcPr>
          <w:p w14:paraId="51495E95" w14:textId="77777777" w:rsidR="003D21DD" w:rsidRPr="00FE6B34" w:rsidRDefault="003D21DD" w:rsidP="00236CA4">
            <w:pPr>
              <w:pStyle w:val="TableText"/>
              <w:rPr>
                <w:rStyle w:val="Emphasis"/>
              </w:rPr>
            </w:pPr>
            <w:r w:rsidRPr="00FE6B34">
              <w:rPr>
                <w:rStyle w:val="Emphasis"/>
              </w:rPr>
              <w:t>Daphnia pulex</w:t>
            </w:r>
          </w:p>
        </w:tc>
        <w:tc>
          <w:tcPr>
            <w:tcW w:w="547" w:type="pct"/>
            <w:tcBorders>
              <w:top w:val="single" w:sz="4" w:space="0" w:color="auto"/>
              <w:left w:val="nil"/>
              <w:bottom w:val="single" w:sz="4" w:space="0" w:color="auto"/>
              <w:right w:val="nil"/>
            </w:tcBorders>
          </w:tcPr>
          <w:p w14:paraId="06BE6129" w14:textId="77777777" w:rsidR="003D21DD" w:rsidRDefault="003D21DD" w:rsidP="00236CA4">
            <w:pPr>
              <w:pStyle w:val="TableText"/>
            </w:pPr>
            <w:r>
              <w:t>Neonate</w:t>
            </w:r>
          </w:p>
        </w:tc>
        <w:tc>
          <w:tcPr>
            <w:tcW w:w="483" w:type="pct"/>
            <w:tcBorders>
              <w:top w:val="single" w:sz="4" w:space="0" w:color="auto"/>
              <w:left w:val="nil"/>
              <w:bottom w:val="single" w:sz="4" w:space="0" w:color="auto"/>
              <w:right w:val="nil"/>
            </w:tcBorders>
          </w:tcPr>
          <w:p w14:paraId="50A20C01" w14:textId="77777777" w:rsidR="003D21DD" w:rsidRDefault="003D21DD" w:rsidP="004C04C8">
            <w:pPr>
              <w:pStyle w:val="TableText"/>
              <w:ind w:right="170"/>
              <w:jc w:val="right"/>
            </w:pPr>
            <w:r>
              <w:t>21</w:t>
            </w:r>
          </w:p>
        </w:tc>
        <w:tc>
          <w:tcPr>
            <w:tcW w:w="1167" w:type="pct"/>
            <w:tcBorders>
              <w:top w:val="single" w:sz="4" w:space="0" w:color="auto"/>
              <w:left w:val="nil"/>
              <w:bottom w:val="single" w:sz="4" w:space="0" w:color="auto"/>
              <w:right w:val="nil"/>
            </w:tcBorders>
          </w:tcPr>
          <w:p w14:paraId="73B35F59" w14:textId="77777777" w:rsidR="003D21DD" w:rsidRDefault="003D21DD" w:rsidP="00E3119C">
            <w:pPr>
              <w:pStyle w:val="TableText"/>
            </w:pPr>
            <w:r>
              <w:t>NOEC (reproduction)</w:t>
            </w:r>
          </w:p>
        </w:tc>
        <w:tc>
          <w:tcPr>
            <w:tcW w:w="693" w:type="pct"/>
            <w:tcBorders>
              <w:top w:val="single" w:sz="4" w:space="0" w:color="auto"/>
              <w:left w:val="nil"/>
              <w:bottom w:val="single" w:sz="4" w:space="0" w:color="auto"/>
              <w:right w:val="nil"/>
            </w:tcBorders>
          </w:tcPr>
          <w:p w14:paraId="435DC322" w14:textId="77777777" w:rsidR="003D21DD" w:rsidRDefault="003D21DD" w:rsidP="004C04C8">
            <w:pPr>
              <w:pStyle w:val="TableText"/>
              <w:ind w:right="227"/>
              <w:jc w:val="right"/>
            </w:pPr>
            <w:r>
              <w:t>852</w:t>
            </w:r>
          </w:p>
        </w:tc>
      </w:tr>
      <w:tr w:rsidR="004B4797" w:rsidRPr="008F237D" w14:paraId="114984C5" w14:textId="77777777" w:rsidTr="00C34CEC">
        <w:trPr>
          <w:cantSplit/>
          <w:jc w:val="center"/>
        </w:trPr>
        <w:tc>
          <w:tcPr>
            <w:tcW w:w="938" w:type="pct"/>
            <w:tcBorders>
              <w:top w:val="single" w:sz="4" w:space="0" w:color="auto"/>
              <w:bottom w:val="single" w:sz="4" w:space="0" w:color="auto"/>
            </w:tcBorders>
          </w:tcPr>
          <w:p w14:paraId="3217D122" w14:textId="77777777" w:rsidR="003D21DD" w:rsidRPr="00D31CC4" w:rsidRDefault="003D21DD" w:rsidP="00236CA4">
            <w:pPr>
              <w:pStyle w:val="TableText"/>
            </w:pPr>
            <w:r>
              <w:t>Amphibian</w:t>
            </w:r>
          </w:p>
        </w:tc>
        <w:tc>
          <w:tcPr>
            <w:tcW w:w="1172" w:type="pct"/>
            <w:tcBorders>
              <w:top w:val="single" w:sz="4" w:space="0" w:color="auto"/>
              <w:bottom w:val="single" w:sz="4" w:space="0" w:color="auto"/>
            </w:tcBorders>
          </w:tcPr>
          <w:p w14:paraId="56BED6A6" w14:textId="77777777" w:rsidR="003D21DD" w:rsidRPr="00FE6B34" w:rsidRDefault="003D21DD" w:rsidP="00236CA4">
            <w:pPr>
              <w:pStyle w:val="TableText"/>
              <w:rPr>
                <w:rStyle w:val="Emphasis"/>
              </w:rPr>
            </w:pPr>
            <w:r>
              <w:rPr>
                <w:rStyle w:val="Emphasis"/>
              </w:rPr>
              <w:t>Bufo boreas</w:t>
            </w:r>
          </w:p>
        </w:tc>
        <w:tc>
          <w:tcPr>
            <w:tcW w:w="547" w:type="pct"/>
            <w:tcBorders>
              <w:top w:val="single" w:sz="4" w:space="0" w:color="auto"/>
              <w:bottom w:val="single" w:sz="4" w:space="0" w:color="auto"/>
            </w:tcBorders>
          </w:tcPr>
          <w:p w14:paraId="723D7B37" w14:textId="77777777" w:rsidR="003D21DD" w:rsidRDefault="003D21DD" w:rsidP="00236CA4">
            <w:pPr>
              <w:pStyle w:val="TableText"/>
            </w:pPr>
            <w:r>
              <w:t>Tadpole</w:t>
            </w:r>
          </w:p>
        </w:tc>
        <w:tc>
          <w:tcPr>
            <w:tcW w:w="483" w:type="pct"/>
            <w:tcBorders>
              <w:top w:val="single" w:sz="4" w:space="0" w:color="auto"/>
              <w:bottom w:val="single" w:sz="4" w:space="0" w:color="auto"/>
            </w:tcBorders>
          </w:tcPr>
          <w:p w14:paraId="3BACCFD0" w14:textId="77777777" w:rsidR="003D21DD" w:rsidRPr="008F237D" w:rsidRDefault="003D21DD" w:rsidP="004C04C8">
            <w:pPr>
              <w:pStyle w:val="TableText"/>
              <w:ind w:right="170"/>
              <w:jc w:val="right"/>
            </w:pPr>
            <w:r>
              <w:t>35</w:t>
            </w:r>
          </w:p>
        </w:tc>
        <w:tc>
          <w:tcPr>
            <w:tcW w:w="1167" w:type="pct"/>
            <w:tcBorders>
              <w:top w:val="single" w:sz="4" w:space="0" w:color="auto"/>
              <w:bottom w:val="single" w:sz="4" w:space="0" w:color="auto"/>
            </w:tcBorders>
          </w:tcPr>
          <w:p w14:paraId="6FAD2884" w14:textId="77777777" w:rsidR="003D21DD" w:rsidRPr="008F237D" w:rsidRDefault="003D21DD" w:rsidP="00E3119C">
            <w:pPr>
              <w:pStyle w:val="TableText"/>
            </w:pPr>
            <w:r>
              <w:t>EC10 (biomass)</w:t>
            </w:r>
          </w:p>
        </w:tc>
        <w:tc>
          <w:tcPr>
            <w:tcW w:w="693" w:type="pct"/>
            <w:tcBorders>
              <w:top w:val="single" w:sz="4" w:space="0" w:color="auto"/>
              <w:bottom w:val="single" w:sz="4" w:space="0" w:color="auto"/>
            </w:tcBorders>
          </w:tcPr>
          <w:p w14:paraId="60F83481" w14:textId="77777777" w:rsidR="003D21DD" w:rsidRDefault="003D21DD" w:rsidP="004C04C8">
            <w:pPr>
              <w:pStyle w:val="TableText"/>
              <w:ind w:right="227"/>
              <w:jc w:val="right"/>
            </w:pPr>
            <w:r>
              <w:t>2,607</w:t>
            </w:r>
          </w:p>
        </w:tc>
      </w:tr>
      <w:tr w:rsidR="004B4797" w:rsidRPr="008F237D" w14:paraId="4EFE0967" w14:textId="77777777" w:rsidTr="00C34CEC">
        <w:trPr>
          <w:cantSplit/>
          <w:jc w:val="center"/>
        </w:trPr>
        <w:tc>
          <w:tcPr>
            <w:tcW w:w="938" w:type="pct"/>
            <w:tcBorders>
              <w:top w:val="single" w:sz="4" w:space="0" w:color="auto"/>
              <w:bottom w:val="single" w:sz="4" w:space="0" w:color="auto"/>
            </w:tcBorders>
          </w:tcPr>
          <w:p w14:paraId="6E52629F" w14:textId="77777777" w:rsidR="003D21DD" w:rsidRPr="00D31CC4" w:rsidRDefault="003D21DD" w:rsidP="00236CA4">
            <w:pPr>
              <w:pStyle w:val="TableText"/>
            </w:pPr>
            <w:r w:rsidRPr="00D31CC4">
              <w:t>Fish</w:t>
            </w:r>
            <w:r>
              <w:t xml:space="preserve"> </w:t>
            </w:r>
          </w:p>
        </w:tc>
        <w:tc>
          <w:tcPr>
            <w:tcW w:w="1172" w:type="pct"/>
            <w:tcBorders>
              <w:top w:val="single" w:sz="4" w:space="0" w:color="auto"/>
              <w:bottom w:val="single" w:sz="4" w:space="0" w:color="auto"/>
            </w:tcBorders>
          </w:tcPr>
          <w:p w14:paraId="699E718F" w14:textId="77777777" w:rsidR="003D21DD" w:rsidRPr="00FE6B34" w:rsidRDefault="003D21DD" w:rsidP="00236CA4">
            <w:pPr>
              <w:pStyle w:val="TableText"/>
              <w:rPr>
                <w:rStyle w:val="Emphasis"/>
              </w:rPr>
            </w:pPr>
            <w:r>
              <w:rPr>
                <w:rStyle w:val="Emphasis"/>
              </w:rPr>
              <w:t>Oncorhyncus kisutch</w:t>
            </w:r>
          </w:p>
        </w:tc>
        <w:tc>
          <w:tcPr>
            <w:tcW w:w="547" w:type="pct"/>
            <w:tcBorders>
              <w:top w:val="single" w:sz="4" w:space="0" w:color="auto"/>
              <w:bottom w:val="single" w:sz="4" w:space="0" w:color="auto"/>
            </w:tcBorders>
          </w:tcPr>
          <w:p w14:paraId="7E776844" w14:textId="77777777" w:rsidR="003D21DD" w:rsidRDefault="003D21DD" w:rsidP="00236CA4">
            <w:pPr>
              <w:pStyle w:val="TableText"/>
            </w:pPr>
            <w:r>
              <w:t>L</w:t>
            </w:r>
            <w:r w:rsidRPr="008F237D">
              <w:t>arvae</w:t>
            </w:r>
          </w:p>
        </w:tc>
        <w:tc>
          <w:tcPr>
            <w:tcW w:w="483" w:type="pct"/>
            <w:tcBorders>
              <w:top w:val="single" w:sz="4" w:space="0" w:color="auto"/>
              <w:bottom w:val="single" w:sz="4" w:space="0" w:color="auto"/>
            </w:tcBorders>
          </w:tcPr>
          <w:p w14:paraId="45E7F96E" w14:textId="77777777" w:rsidR="003D21DD" w:rsidRDefault="003D21DD" w:rsidP="004C04C8">
            <w:pPr>
              <w:pStyle w:val="TableText"/>
              <w:ind w:right="170"/>
              <w:jc w:val="right"/>
            </w:pPr>
            <w:r>
              <w:t>7</w:t>
            </w:r>
          </w:p>
        </w:tc>
        <w:tc>
          <w:tcPr>
            <w:tcW w:w="1167" w:type="pct"/>
            <w:tcBorders>
              <w:top w:val="single" w:sz="4" w:space="0" w:color="auto"/>
              <w:bottom w:val="single" w:sz="4" w:space="0" w:color="auto"/>
            </w:tcBorders>
          </w:tcPr>
          <w:p w14:paraId="6F58CD0C" w14:textId="77777777" w:rsidR="003D21DD" w:rsidRPr="008F237D" w:rsidRDefault="003D21DD" w:rsidP="00E3119C">
            <w:pPr>
              <w:pStyle w:val="TableText"/>
            </w:pPr>
            <w:r w:rsidRPr="008F237D">
              <w:t>NOEC</w:t>
            </w:r>
            <w:r>
              <w:t xml:space="preserve"> converted to EC10 (mortality)</w:t>
            </w:r>
          </w:p>
        </w:tc>
        <w:tc>
          <w:tcPr>
            <w:tcW w:w="693" w:type="pct"/>
            <w:tcBorders>
              <w:top w:val="single" w:sz="4" w:space="0" w:color="auto"/>
              <w:bottom w:val="single" w:sz="4" w:space="0" w:color="auto"/>
            </w:tcBorders>
          </w:tcPr>
          <w:p w14:paraId="3CBF2844" w14:textId="77777777" w:rsidR="003D21DD" w:rsidRPr="008F237D" w:rsidRDefault="003D21DD" w:rsidP="004C04C8">
            <w:pPr>
              <w:pStyle w:val="TableText"/>
              <w:ind w:right="227"/>
              <w:jc w:val="right"/>
            </w:pPr>
            <w:r>
              <w:t>3,040</w:t>
            </w:r>
          </w:p>
        </w:tc>
      </w:tr>
      <w:tr w:rsidR="004B4797" w:rsidRPr="008F237D" w14:paraId="4C1C256C" w14:textId="77777777" w:rsidTr="00C34CEC">
        <w:trPr>
          <w:cantSplit/>
          <w:jc w:val="center"/>
        </w:trPr>
        <w:tc>
          <w:tcPr>
            <w:tcW w:w="938" w:type="pct"/>
            <w:tcBorders>
              <w:top w:val="single" w:sz="4" w:space="0" w:color="auto"/>
              <w:bottom w:val="single" w:sz="4" w:space="0" w:color="auto"/>
            </w:tcBorders>
          </w:tcPr>
          <w:p w14:paraId="0741BFB1" w14:textId="77777777" w:rsidR="003D21DD" w:rsidRPr="00D31CC4" w:rsidRDefault="003D21DD" w:rsidP="00236CA4">
            <w:pPr>
              <w:pStyle w:val="TableText"/>
            </w:pPr>
            <w:r w:rsidRPr="00D31CC4">
              <w:t>Fish</w:t>
            </w:r>
            <w:r>
              <w:t xml:space="preserve"> </w:t>
            </w:r>
          </w:p>
        </w:tc>
        <w:tc>
          <w:tcPr>
            <w:tcW w:w="1172" w:type="pct"/>
            <w:tcBorders>
              <w:top w:val="single" w:sz="4" w:space="0" w:color="auto"/>
              <w:bottom w:val="single" w:sz="4" w:space="0" w:color="auto"/>
            </w:tcBorders>
          </w:tcPr>
          <w:p w14:paraId="00639823" w14:textId="77777777" w:rsidR="003D21DD" w:rsidRPr="00FE6B34" w:rsidRDefault="003D21DD" w:rsidP="00236CA4">
            <w:pPr>
              <w:pStyle w:val="TableText"/>
              <w:rPr>
                <w:rStyle w:val="Emphasis"/>
              </w:rPr>
            </w:pPr>
            <w:r w:rsidRPr="00FE6B34">
              <w:rPr>
                <w:rStyle w:val="Emphasis"/>
              </w:rPr>
              <w:t>Oryzias latipes</w:t>
            </w:r>
          </w:p>
        </w:tc>
        <w:tc>
          <w:tcPr>
            <w:tcW w:w="547" w:type="pct"/>
            <w:tcBorders>
              <w:top w:val="single" w:sz="4" w:space="0" w:color="auto"/>
              <w:bottom w:val="single" w:sz="4" w:space="0" w:color="auto"/>
            </w:tcBorders>
          </w:tcPr>
          <w:p w14:paraId="07D017FD" w14:textId="77777777" w:rsidR="003D21DD" w:rsidRDefault="003D21DD" w:rsidP="00236CA4">
            <w:pPr>
              <w:pStyle w:val="TableText"/>
            </w:pPr>
            <w:r>
              <w:t>L</w:t>
            </w:r>
            <w:r w:rsidRPr="008F237D">
              <w:t>arvae</w:t>
            </w:r>
          </w:p>
        </w:tc>
        <w:tc>
          <w:tcPr>
            <w:tcW w:w="483" w:type="pct"/>
            <w:tcBorders>
              <w:top w:val="single" w:sz="4" w:space="0" w:color="auto"/>
              <w:bottom w:val="single" w:sz="4" w:space="0" w:color="auto"/>
            </w:tcBorders>
          </w:tcPr>
          <w:p w14:paraId="5534EAE6" w14:textId="77777777" w:rsidR="003D21DD" w:rsidRPr="008F237D" w:rsidRDefault="003D21DD" w:rsidP="004C04C8">
            <w:pPr>
              <w:pStyle w:val="TableText"/>
              <w:ind w:right="170"/>
              <w:jc w:val="right"/>
            </w:pPr>
            <w:r>
              <w:t>7</w:t>
            </w:r>
          </w:p>
        </w:tc>
        <w:tc>
          <w:tcPr>
            <w:tcW w:w="1167" w:type="pct"/>
            <w:tcBorders>
              <w:top w:val="single" w:sz="4" w:space="0" w:color="auto"/>
              <w:bottom w:val="single" w:sz="4" w:space="0" w:color="auto"/>
            </w:tcBorders>
          </w:tcPr>
          <w:p w14:paraId="6A24654A" w14:textId="77777777" w:rsidR="003D21DD" w:rsidRPr="008F237D" w:rsidRDefault="003D21DD" w:rsidP="00E3119C">
            <w:pPr>
              <w:pStyle w:val="TableText"/>
            </w:pPr>
            <w:r w:rsidRPr="008F237D">
              <w:t>NOEC</w:t>
            </w:r>
            <w:r>
              <w:t xml:space="preserve"> (mortality)</w:t>
            </w:r>
          </w:p>
        </w:tc>
        <w:tc>
          <w:tcPr>
            <w:tcW w:w="693" w:type="pct"/>
            <w:tcBorders>
              <w:top w:val="single" w:sz="4" w:space="0" w:color="auto"/>
              <w:bottom w:val="single" w:sz="4" w:space="0" w:color="auto"/>
            </w:tcBorders>
          </w:tcPr>
          <w:p w14:paraId="114EC072" w14:textId="77777777" w:rsidR="003D21DD" w:rsidRDefault="003D21DD" w:rsidP="004C04C8">
            <w:pPr>
              <w:pStyle w:val="TableText"/>
              <w:ind w:right="227"/>
              <w:jc w:val="right"/>
            </w:pPr>
            <w:r w:rsidRPr="008F237D">
              <w:t>25</w:t>
            </w:r>
            <w:r>
              <w:t>,</w:t>
            </w:r>
            <w:r w:rsidRPr="008F237D">
              <w:t>000</w:t>
            </w:r>
          </w:p>
        </w:tc>
      </w:tr>
      <w:tr w:rsidR="004B4797" w:rsidRPr="008F237D" w14:paraId="7849E885" w14:textId="77777777" w:rsidTr="00C34CEC">
        <w:trPr>
          <w:cantSplit/>
          <w:jc w:val="center"/>
        </w:trPr>
        <w:tc>
          <w:tcPr>
            <w:tcW w:w="938" w:type="pct"/>
            <w:tcBorders>
              <w:top w:val="single" w:sz="4" w:space="0" w:color="auto"/>
              <w:bottom w:val="single" w:sz="4" w:space="0" w:color="auto"/>
            </w:tcBorders>
          </w:tcPr>
          <w:p w14:paraId="5CC3B34C" w14:textId="77777777" w:rsidR="003D21DD" w:rsidRPr="00D31CC4" w:rsidRDefault="003D21DD" w:rsidP="00236CA4">
            <w:pPr>
              <w:pStyle w:val="TableText"/>
            </w:pPr>
            <w:r w:rsidRPr="00D31CC4">
              <w:t>Fish</w:t>
            </w:r>
          </w:p>
        </w:tc>
        <w:tc>
          <w:tcPr>
            <w:tcW w:w="1172" w:type="pct"/>
            <w:tcBorders>
              <w:top w:val="single" w:sz="4" w:space="0" w:color="auto"/>
              <w:bottom w:val="single" w:sz="4" w:space="0" w:color="auto"/>
            </w:tcBorders>
          </w:tcPr>
          <w:p w14:paraId="5AC25F59" w14:textId="77777777" w:rsidR="003D21DD" w:rsidRPr="00FE6B34" w:rsidRDefault="003D21DD" w:rsidP="00236CA4">
            <w:pPr>
              <w:pStyle w:val="TableText"/>
              <w:rPr>
                <w:rStyle w:val="Emphasis"/>
              </w:rPr>
            </w:pPr>
            <w:r w:rsidRPr="00FE6B34">
              <w:rPr>
                <w:rStyle w:val="Emphasis"/>
              </w:rPr>
              <w:t>Pimephales promelas</w:t>
            </w:r>
          </w:p>
        </w:tc>
        <w:tc>
          <w:tcPr>
            <w:tcW w:w="547" w:type="pct"/>
            <w:tcBorders>
              <w:top w:val="single" w:sz="4" w:space="0" w:color="auto"/>
              <w:bottom w:val="single" w:sz="4" w:space="0" w:color="auto"/>
            </w:tcBorders>
          </w:tcPr>
          <w:p w14:paraId="6DD0B305" w14:textId="77777777" w:rsidR="003D21DD" w:rsidRPr="008F237D" w:rsidRDefault="003D21DD" w:rsidP="00236CA4">
            <w:pPr>
              <w:pStyle w:val="TableText"/>
            </w:pPr>
            <w:r>
              <w:t>L</w:t>
            </w:r>
            <w:r w:rsidRPr="008F237D">
              <w:t>arvae</w:t>
            </w:r>
          </w:p>
        </w:tc>
        <w:tc>
          <w:tcPr>
            <w:tcW w:w="483" w:type="pct"/>
            <w:tcBorders>
              <w:top w:val="single" w:sz="4" w:space="0" w:color="auto"/>
              <w:bottom w:val="single" w:sz="4" w:space="0" w:color="auto"/>
            </w:tcBorders>
          </w:tcPr>
          <w:p w14:paraId="7A70B0E9" w14:textId="77777777" w:rsidR="003D21DD" w:rsidRPr="008F237D" w:rsidRDefault="003D21DD" w:rsidP="004C04C8">
            <w:pPr>
              <w:pStyle w:val="TableText"/>
              <w:ind w:right="170"/>
              <w:jc w:val="right"/>
            </w:pPr>
            <w:r w:rsidRPr="008F237D">
              <w:t>7</w:t>
            </w:r>
          </w:p>
        </w:tc>
        <w:tc>
          <w:tcPr>
            <w:tcW w:w="1167" w:type="pct"/>
            <w:tcBorders>
              <w:top w:val="single" w:sz="4" w:space="0" w:color="auto"/>
              <w:bottom w:val="single" w:sz="4" w:space="0" w:color="auto"/>
            </w:tcBorders>
          </w:tcPr>
          <w:p w14:paraId="503FE2A4" w14:textId="77777777" w:rsidR="003D21DD" w:rsidRPr="008F237D" w:rsidRDefault="003D21DD" w:rsidP="00E3119C">
            <w:pPr>
              <w:pStyle w:val="TableText"/>
            </w:pPr>
            <w:r w:rsidRPr="008F237D">
              <w:t>EC10</w:t>
            </w:r>
            <w:r>
              <w:t xml:space="preserve"> (growth)</w:t>
            </w:r>
          </w:p>
        </w:tc>
        <w:tc>
          <w:tcPr>
            <w:tcW w:w="693" w:type="pct"/>
            <w:tcBorders>
              <w:top w:val="single" w:sz="4" w:space="0" w:color="auto"/>
              <w:bottom w:val="single" w:sz="4" w:space="0" w:color="auto"/>
            </w:tcBorders>
          </w:tcPr>
          <w:p w14:paraId="3DE67B21" w14:textId="77777777" w:rsidR="003D21DD" w:rsidRPr="008F237D" w:rsidRDefault="003D21DD" w:rsidP="004C04C8">
            <w:pPr>
              <w:pStyle w:val="TableText"/>
              <w:ind w:right="227"/>
              <w:jc w:val="right"/>
            </w:pPr>
            <w:r>
              <w:t>192</w:t>
            </w:r>
            <w:r w:rsidRPr="004958F8">
              <w:rPr>
                <w:vertAlign w:val="superscript"/>
              </w:rPr>
              <w:t>a</w:t>
            </w:r>
          </w:p>
        </w:tc>
      </w:tr>
      <w:tr w:rsidR="004B4797" w:rsidRPr="008F237D" w14:paraId="4BF7FFDF" w14:textId="77777777" w:rsidTr="00C34CEC">
        <w:trPr>
          <w:cantSplit/>
          <w:jc w:val="center"/>
        </w:trPr>
        <w:tc>
          <w:tcPr>
            <w:tcW w:w="938" w:type="pct"/>
            <w:tcBorders>
              <w:top w:val="single" w:sz="4" w:space="0" w:color="auto"/>
              <w:bottom w:val="single" w:sz="4" w:space="0" w:color="auto"/>
            </w:tcBorders>
          </w:tcPr>
          <w:p w14:paraId="1C8808D2" w14:textId="77777777" w:rsidR="003D21DD" w:rsidRPr="00D31CC4" w:rsidDel="00BD649D" w:rsidRDefault="003D21DD" w:rsidP="00236CA4">
            <w:pPr>
              <w:pStyle w:val="TableText"/>
            </w:pPr>
            <w:r>
              <w:t xml:space="preserve">Fish </w:t>
            </w:r>
          </w:p>
        </w:tc>
        <w:tc>
          <w:tcPr>
            <w:tcW w:w="1172" w:type="pct"/>
            <w:tcBorders>
              <w:top w:val="single" w:sz="4" w:space="0" w:color="auto"/>
              <w:bottom w:val="single" w:sz="4" w:space="0" w:color="auto"/>
            </w:tcBorders>
          </w:tcPr>
          <w:p w14:paraId="29C71770" w14:textId="77777777" w:rsidR="003D21DD" w:rsidRPr="00FE6B34" w:rsidDel="00BD649D" w:rsidRDefault="003D21DD" w:rsidP="00236CA4">
            <w:pPr>
              <w:pStyle w:val="TableText"/>
              <w:rPr>
                <w:rStyle w:val="Emphasis"/>
              </w:rPr>
            </w:pPr>
            <w:r>
              <w:rPr>
                <w:rStyle w:val="Emphasis"/>
              </w:rPr>
              <w:t>Prospium williamsoni</w:t>
            </w:r>
          </w:p>
        </w:tc>
        <w:tc>
          <w:tcPr>
            <w:tcW w:w="547" w:type="pct"/>
            <w:tcBorders>
              <w:top w:val="single" w:sz="4" w:space="0" w:color="auto"/>
              <w:bottom w:val="single" w:sz="4" w:space="0" w:color="auto"/>
            </w:tcBorders>
          </w:tcPr>
          <w:p w14:paraId="55DAF189" w14:textId="77777777" w:rsidR="003D21DD" w:rsidDel="00BD649D" w:rsidRDefault="003D21DD" w:rsidP="00236CA4">
            <w:pPr>
              <w:pStyle w:val="TableText"/>
            </w:pPr>
            <w:r>
              <w:t>Egg</w:t>
            </w:r>
          </w:p>
        </w:tc>
        <w:tc>
          <w:tcPr>
            <w:tcW w:w="483" w:type="pct"/>
            <w:tcBorders>
              <w:top w:val="single" w:sz="4" w:space="0" w:color="auto"/>
              <w:bottom w:val="single" w:sz="4" w:space="0" w:color="auto"/>
            </w:tcBorders>
          </w:tcPr>
          <w:p w14:paraId="4B710A68" w14:textId="77777777" w:rsidR="003D21DD" w:rsidRPr="008F237D" w:rsidDel="00BD649D" w:rsidRDefault="003D21DD" w:rsidP="004C04C8">
            <w:pPr>
              <w:pStyle w:val="TableText"/>
              <w:ind w:right="170"/>
              <w:jc w:val="right"/>
            </w:pPr>
            <w:r>
              <w:t>78</w:t>
            </w:r>
          </w:p>
        </w:tc>
        <w:tc>
          <w:tcPr>
            <w:tcW w:w="1167" w:type="pct"/>
            <w:tcBorders>
              <w:top w:val="single" w:sz="4" w:space="0" w:color="auto"/>
              <w:bottom w:val="single" w:sz="4" w:space="0" w:color="auto"/>
            </w:tcBorders>
          </w:tcPr>
          <w:p w14:paraId="4AA9185D" w14:textId="77777777" w:rsidR="003D21DD" w:rsidRPr="008F237D" w:rsidDel="00BD649D" w:rsidRDefault="003D21DD" w:rsidP="00E3119C">
            <w:pPr>
              <w:pStyle w:val="TableText"/>
            </w:pPr>
            <w:r>
              <w:t>EC10 (biomass)</w:t>
            </w:r>
          </w:p>
        </w:tc>
        <w:tc>
          <w:tcPr>
            <w:tcW w:w="693" w:type="pct"/>
            <w:tcBorders>
              <w:top w:val="single" w:sz="4" w:space="0" w:color="auto"/>
              <w:bottom w:val="single" w:sz="4" w:space="0" w:color="auto"/>
            </w:tcBorders>
          </w:tcPr>
          <w:p w14:paraId="541886CB" w14:textId="77777777" w:rsidR="003D21DD" w:rsidRPr="008F237D" w:rsidDel="00BD649D" w:rsidRDefault="003D21DD" w:rsidP="004C04C8">
            <w:pPr>
              <w:pStyle w:val="TableText"/>
              <w:ind w:right="227"/>
              <w:jc w:val="right"/>
            </w:pPr>
            <w:r>
              <w:t>868</w:t>
            </w:r>
          </w:p>
        </w:tc>
      </w:tr>
      <w:tr w:rsidR="004B4797" w:rsidRPr="008F237D" w14:paraId="6EC683DC" w14:textId="77777777" w:rsidTr="00C34CEC">
        <w:trPr>
          <w:cantSplit/>
          <w:jc w:val="center"/>
        </w:trPr>
        <w:tc>
          <w:tcPr>
            <w:tcW w:w="938" w:type="pct"/>
            <w:tcBorders>
              <w:top w:val="single" w:sz="4" w:space="0" w:color="auto"/>
              <w:bottom w:val="single" w:sz="4" w:space="0" w:color="auto"/>
            </w:tcBorders>
          </w:tcPr>
          <w:p w14:paraId="041FFDF5" w14:textId="77777777" w:rsidR="003D21DD" w:rsidRPr="00D31CC4" w:rsidDel="00BD649D" w:rsidRDefault="003D21DD" w:rsidP="00236CA4">
            <w:pPr>
              <w:pStyle w:val="TableText"/>
            </w:pPr>
            <w:r>
              <w:t xml:space="preserve">Fish </w:t>
            </w:r>
          </w:p>
        </w:tc>
        <w:tc>
          <w:tcPr>
            <w:tcW w:w="1172" w:type="pct"/>
            <w:tcBorders>
              <w:top w:val="single" w:sz="4" w:space="0" w:color="auto"/>
              <w:bottom w:val="single" w:sz="4" w:space="0" w:color="auto"/>
            </w:tcBorders>
          </w:tcPr>
          <w:p w14:paraId="5A5E61B7" w14:textId="77777777" w:rsidR="003D21DD" w:rsidRPr="00FE6B34" w:rsidDel="00BD649D" w:rsidRDefault="003D21DD" w:rsidP="00236CA4">
            <w:pPr>
              <w:pStyle w:val="TableText"/>
              <w:rPr>
                <w:rStyle w:val="Emphasis"/>
              </w:rPr>
            </w:pPr>
            <w:r>
              <w:rPr>
                <w:rStyle w:val="Emphasis"/>
              </w:rPr>
              <w:t>Salmo trutta</w:t>
            </w:r>
          </w:p>
        </w:tc>
        <w:tc>
          <w:tcPr>
            <w:tcW w:w="547" w:type="pct"/>
            <w:tcBorders>
              <w:top w:val="single" w:sz="4" w:space="0" w:color="auto"/>
              <w:bottom w:val="single" w:sz="4" w:space="0" w:color="auto"/>
            </w:tcBorders>
          </w:tcPr>
          <w:p w14:paraId="71D78EC8" w14:textId="77777777" w:rsidR="003D21DD" w:rsidDel="00BD649D" w:rsidRDefault="003D21DD" w:rsidP="00236CA4">
            <w:pPr>
              <w:pStyle w:val="TableText"/>
            </w:pPr>
            <w:r>
              <w:t>Egg</w:t>
            </w:r>
          </w:p>
        </w:tc>
        <w:tc>
          <w:tcPr>
            <w:tcW w:w="483" w:type="pct"/>
            <w:tcBorders>
              <w:top w:val="single" w:sz="4" w:space="0" w:color="auto"/>
              <w:bottom w:val="single" w:sz="4" w:space="0" w:color="auto"/>
            </w:tcBorders>
          </w:tcPr>
          <w:p w14:paraId="758D7EAC" w14:textId="77777777" w:rsidR="003D21DD" w:rsidRPr="008F237D" w:rsidDel="00BD649D" w:rsidRDefault="003D21DD" w:rsidP="004C04C8">
            <w:pPr>
              <w:pStyle w:val="TableText"/>
              <w:ind w:right="170"/>
              <w:jc w:val="right"/>
            </w:pPr>
            <w:r>
              <w:t>79</w:t>
            </w:r>
          </w:p>
        </w:tc>
        <w:tc>
          <w:tcPr>
            <w:tcW w:w="1167" w:type="pct"/>
            <w:tcBorders>
              <w:top w:val="single" w:sz="4" w:space="0" w:color="auto"/>
              <w:bottom w:val="single" w:sz="4" w:space="0" w:color="auto"/>
            </w:tcBorders>
          </w:tcPr>
          <w:p w14:paraId="50417B9A" w14:textId="77777777" w:rsidR="003D21DD" w:rsidRPr="008F237D" w:rsidDel="00BD649D" w:rsidRDefault="003D21DD" w:rsidP="00E3119C">
            <w:pPr>
              <w:pStyle w:val="TableText"/>
            </w:pPr>
            <w:r>
              <w:t>EC20 (biomass)</w:t>
            </w:r>
          </w:p>
        </w:tc>
        <w:tc>
          <w:tcPr>
            <w:tcW w:w="693" w:type="pct"/>
            <w:tcBorders>
              <w:top w:val="single" w:sz="4" w:space="0" w:color="auto"/>
              <w:bottom w:val="single" w:sz="4" w:space="0" w:color="auto"/>
            </w:tcBorders>
          </w:tcPr>
          <w:p w14:paraId="7B2FAB2B" w14:textId="77777777" w:rsidR="003D21DD" w:rsidRPr="008F237D" w:rsidDel="00BD649D" w:rsidRDefault="003D21DD" w:rsidP="004C04C8">
            <w:pPr>
              <w:pStyle w:val="TableText"/>
              <w:ind w:right="227"/>
              <w:jc w:val="right"/>
            </w:pPr>
            <w:r>
              <w:t>5,000</w:t>
            </w:r>
          </w:p>
        </w:tc>
      </w:tr>
      <w:tr w:rsidR="004B4797" w:rsidRPr="008F237D" w14:paraId="43F83A28" w14:textId="77777777" w:rsidTr="00C34CEC">
        <w:trPr>
          <w:cantSplit/>
          <w:jc w:val="center"/>
        </w:trPr>
        <w:tc>
          <w:tcPr>
            <w:tcW w:w="938" w:type="pct"/>
            <w:tcBorders>
              <w:top w:val="single" w:sz="4" w:space="0" w:color="auto"/>
              <w:bottom w:val="single" w:sz="4" w:space="0" w:color="auto"/>
            </w:tcBorders>
          </w:tcPr>
          <w:p w14:paraId="50BD76B2" w14:textId="77777777" w:rsidR="003D21DD" w:rsidRPr="00D31CC4" w:rsidRDefault="003D21DD" w:rsidP="00236CA4">
            <w:pPr>
              <w:pStyle w:val="TableText"/>
            </w:pPr>
            <w:r>
              <w:t xml:space="preserve">Fish </w:t>
            </w:r>
          </w:p>
        </w:tc>
        <w:tc>
          <w:tcPr>
            <w:tcW w:w="1172" w:type="pct"/>
            <w:tcBorders>
              <w:top w:val="single" w:sz="4" w:space="0" w:color="auto"/>
              <w:bottom w:val="single" w:sz="4" w:space="0" w:color="auto"/>
            </w:tcBorders>
          </w:tcPr>
          <w:p w14:paraId="0F7F7A89" w14:textId="77777777" w:rsidR="003D21DD" w:rsidRPr="00FE6B34" w:rsidRDefault="003D21DD" w:rsidP="00236CA4">
            <w:pPr>
              <w:pStyle w:val="TableText"/>
              <w:rPr>
                <w:rStyle w:val="Emphasis"/>
              </w:rPr>
            </w:pPr>
            <w:r w:rsidRPr="00FE6B34">
              <w:rPr>
                <w:rStyle w:val="Emphasis"/>
              </w:rPr>
              <w:t>Salvelinus fontinalis</w:t>
            </w:r>
          </w:p>
        </w:tc>
        <w:tc>
          <w:tcPr>
            <w:tcW w:w="547" w:type="pct"/>
            <w:tcBorders>
              <w:top w:val="single" w:sz="4" w:space="0" w:color="auto"/>
              <w:bottom w:val="single" w:sz="4" w:space="0" w:color="auto"/>
            </w:tcBorders>
          </w:tcPr>
          <w:p w14:paraId="288C9484" w14:textId="77777777" w:rsidR="003D21DD" w:rsidRDefault="003D21DD" w:rsidP="00236CA4">
            <w:pPr>
              <w:pStyle w:val="TableText"/>
            </w:pPr>
            <w:r>
              <w:t>3 months</w:t>
            </w:r>
          </w:p>
        </w:tc>
        <w:tc>
          <w:tcPr>
            <w:tcW w:w="483" w:type="pct"/>
            <w:tcBorders>
              <w:top w:val="single" w:sz="4" w:space="0" w:color="auto"/>
              <w:bottom w:val="single" w:sz="4" w:space="0" w:color="auto"/>
            </w:tcBorders>
          </w:tcPr>
          <w:p w14:paraId="342A4F04" w14:textId="77777777" w:rsidR="003D21DD" w:rsidRPr="008F237D" w:rsidRDefault="003D21DD" w:rsidP="004C04C8">
            <w:pPr>
              <w:pStyle w:val="TableText"/>
              <w:ind w:right="170"/>
              <w:jc w:val="right"/>
            </w:pPr>
            <w:r>
              <w:t>245</w:t>
            </w:r>
          </w:p>
        </w:tc>
        <w:tc>
          <w:tcPr>
            <w:tcW w:w="1167" w:type="pct"/>
            <w:tcBorders>
              <w:top w:val="single" w:sz="4" w:space="0" w:color="auto"/>
              <w:bottom w:val="single" w:sz="4" w:space="0" w:color="auto"/>
            </w:tcBorders>
          </w:tcPr>
          <w:p w14:paraId="562615BB" w14:textId="77777777" w:rsidR="003D21DD" w:rsidRPr="008F237D" w:rsidRDefault="003D21DD" w:rsidP="00E3119C">
            <w:pPr>
              <w:pStyle w:val="TableText"/>
            </w:pPr>
            <w:r>
              <w:t>NOEC (growth)</w:t>
            </w:r>
          </w:p>
        </w:tc>
        <w:tc>
          <w:tcPr>
            <w:tcW w:w="693" w:type="pct"/>
            <w:tcBorders>
              <w:top w:val="single" w:sz="4" w:space="0" w:color="auto"/>
              <w:bottom w:val="single" w:sz="4" w:space="0" w:color="auto"/>
            </w:tcBorders>
          </w:tcPr>
          <w:p w14:paraId="0E1C9981" w14:textId="77777777" w:rsidR="003D21DD" w:rsidRPr="008F237D" w:rsidRDefault="003D21DD" w:rsidP="004C04C8">
            <w:pPr>
              <w:pStyle w:val="TableText"/>
              <w:ind w:right="227"/>
              <w:jc w:val="right"/>
            </w:pPr>
            <w:r>
              <w:t>10,280</w:t>
            </w:r>
          </w:p>
        </w:tc>
      </w:tr>
    </w:tbl>
    <w:p w14:paraId="0DC65642" w14:textId="77777777" w:rsidR="003D21DD" w:rsidRPr="00515B5D" w:rsidRDefault="003D21DD" w:rsidP="003D4650">
      <w:pPr>
        <w:pStyle w:val="FigureTableNoteSource"/>
        <w:rPr>
          <w:rStyle w:val="FigurecaptionChar"/>
          <w:rFonts w:ascii="Calibri" w:eastAsiaTheme="minorHAnsi" w:hAnsi="Calibri"/>
          <w:szCs w:val="22"/>
          <w:lang w:bidi="ar-SA"/>
        </w:rPr>
      </w:pPr>
      <w:r w:rsidRPr="00515B5D">
        <w:rPr>
          <w:rStyle w:val="FigurecaptionChar"/>
          <w:rFonts w:ascii="Calibri" w:eastAsiaTheme="minorHAnsi" w:hAnsi="Calibri"/>
          <w:szCs w:val="22"/>
          <w:lang w:bidi="ar-SA"/>
        </w:rPr>
        <w:t>NR = not reported.</w:t>
      </w:r>
    </w:p>
    <w:p w14:paraId="0CE7D275" w14:textId="77777777" w:rsidR="003D21DD" w:rsidRPr="00515B5D" w:rsidRDefault="003D21DD" w:rsidP="003D4650">
      <w:pPr>
        <w:pStyle w:val="FigureTableNoteSource"/>
        <w:rPr>
          <w:rStyle w:val="FigurecaptionChar"/>
          <w:rFonts w:ascii="Calibri" w:eastAsiaTheme="minorHAnsi" w:hAnsi="Calibri"/>
          <w:szCs w:val="22"/>
          <w:lang w:bidi="ar-SA"/>
        </w:rPr>
      </w:pPr>
      <w:r w:rsidRPr="003D4650">
        <w:rPr>
          <w:rStyle w:val="Strong"/>
          <w:b w:val="0"/>
          <w:bCs w:val="0"/>
          <w:vertAlign w:val="superscript"/>
        </w:rPr>
        <w:t>a</w:t>
      </w:r>
      <w:r w:rsidRPr="003D4650">
        <w:rPr>
          <w:rStyle w:val="Strong"/>
          <w:b w:val="0"/>
          <w:bCs w:val="0"/>
        </w:rPr>
        <w:t xml:space="preserve"> </w:t>
      </w:r>
      <w:r w:rsidRPr="00515B5D">
        <w:rPr>
          <w:rStyle w:val="FigurecaptionChar"/>
          <w:rFonts w:ascii="Calibri" w:eastAsiaTheme="minorHAnsi" w:hAnsi="Calibri"/>
          <w:szCs w:val="22"/>
          <w:lang w:bidi="ar-SA"/>
        </w:rPr>
        <w:t>The lowest toxicity value from different endpoints from a single species was used.</w:t>
      </w:r>
    </w:p>
    <w:p w14:paraId="74A3529C" w14:textId="77777777" w:rsidR="009A2070" w:rsidRDefault="009A2070">
      <w:pPr>
        <w:spacing w:after="0" w:line="240" w:lineRule="auto"/>
        <w:rPr>
          <w:bCs/>
        </w:rPr>
      </w:pPr>
      <w:r>
        <w:rPr>
          <w:bCs/>
        </w:rPr>
        <w:br w:type="page"/>
      </w:r>
    </w:p>
    <w:p w14:paraId="2023D002" w14:textId="139C16D9" w:rsidR="001303C0" w:rsidRDefault="003715CC" w:rsidP="007C2EE0">
      <w:pPr>
        <w:rPr>
          <w:bCs/>
        </w:rPr>
      </w:pPr>
      <w:r>
        <w:rPr>
          <w:bCs/>
        </w:rPr>
        <w:lastRenderedPageBreak/>
        <w:t>C</w:t>
      </w:r>
      <w:r w:rsidR="00D776A7">
        <w:rPr>
          <w:bCs/>
        </w:rPr>
        <w:t xml:space="preserve">hronic toxicity </w:t>
      </w:r>
      <w:r w:rsidR="001303C0">
        <w:rPr>
          <w:bCs/>
        </w:rPr>
        <w:t>values</w:t>
      </w:r>
      <w:r>
        <w:rPr>
          <w:bCs/>
        </w:rPr>
        <w:t xml:space="preserve"> of acceptable quality</w:t>
      </w:r>
      <w:r w:rsidR="001303C0">
        <w:rPr>
          <w:bCs/>
        </w:rPr>
        <w:t xml:space="preserve"> were available for </w:t>
      </w:r>
      <w:r w:rsidR="00682AC5">
        <w:rPr>
          <w:bCs/>
        </w:rPr>
        <w:t>20</w:t>
      </w:r>
      <w:r w:rsidR="00DB1AD6">
        <w:rPr>
          <w:bCs/>
        </w:rPr>
        <w:t xml:space="preserve"> </w:t>
      </w:r>
      <w:r w:rsidR="001303C0">
        <w:rPr>
          <w:bCs/>
        </w:rPr>
        <w:t xml:space="preserve">species </w:t>
      </w:r>
      <w:r w:rsidR="001303C0" w:rsidRPr="001C7296">
        <w:rPr>
          <w:bCs/>
        </w:rPr>
        <w:t xml:space="preserve">from </w:t>
      </w:r>
      <w:r w:rsidR="008D4F73">
        <w:rPr>
          <w:bCs/>
        </w:rPr>
        <w:t>10</w:t>
      </w:r>
      <w:r w:rsidR="008D4F73" w:rsidRPr="001C7296">
        <w:rPr>
          <w:bCs/>
        </w:rPr>
        <w:t xml:space="preserve"> </w:t>
      </w:r>
      <w:r w:rsidR="001303C0" w:rsidRPr="001C7296">
        <w:rPr>
          <w:bCs/>
        </w:rPr>
        <w:t>taxonomic</w:t>
      </w:r>
      <w:r w:rsidR="001303C0">
        <w:rPr>
          <w:bCs/>
        </w:rPr>
        <w:t xml:space="preserve"> groups</w:t>
      </w:r>
      <w:r>
        <w:rPr>
          <w:bCs/>
        </w:rPr>
        <w:t>,</w:t>
      </w:r>
      <w:r w:rsidR="001303C0">
        <w:rPr>
          <w:bCs/>
        </w:rPr>
        <w:t xml:space="preserve"> </w:t>
      </w:r>
      <w:r>
        <w:t xml:space="preserve">comprising </w:t>
      </w:r>
      <w:r>
        <w:rPr>
          <w:bCs/>
        </w:rPr>
        <w:t xml:space="preserve">3 fungi, </w:t>
      </w:r>
      <w:r>
        <w:t xml:space="preserve">one </w:t>
      </w:r>
      <w:r>
        <w:rPr>
          <w:bCs/>
        </w:rPr>
        <w:t>microalga, one macrophyte, one rotifer, one annelid, one planarian, 2 insect</w:t>
      </w:r>
      <w:r>
        <w:t>s,</w:t>
      </w:r>
      <w:r>
        <w:rPr>
          <w:bCs/>
        </w:rPr>
        <w:t xml:space="preserve"> 3 crustaceans,</w:t>
      </w:r>
      <w:r w:rsidRPr="007F12F1">
        <w:rPr>
          <w:bCs/>
        </w:rPr>
        <w:t xml:space="preserve"> </w:t>
      </w:r>
      <w:r>
        <w:rPr>
          <w:bCs/>
        </w:rPr>
        <w:t>one amphibian and 6 fish</w:t>
      </w:r>
      <w:r w:rsidR="001303C0">
        <w:rPr>
          <w:bCs/>
        </w:rPr>
        <w:t xml:space="preserve">. Toxicity data consisted </w:t>
      </w:r>
      <w:r w:rsidR="003F66ED">
        <w:rPr>
          <w:bCs/>
        </w:rPr>
        <w:t xml:space="preserve">mainly of </w:t>
      </w:r>
      <w:r w:rsidR="00C27C1F">
        <w:rPr>
          <w:bCs/>
        </w:rPr>
        <w:t xml:space="preserve">chronic </w:t>
      </w:r>
      <w:r w:rsidR="003F66ED">
        <w:rPr>
          <w:bCs/>
        </w:rPr>
        <w:t>EC10 and EC20 values</w:t>
      </w:r>
      <w:r w:rsidR="00C27C1F">
        <w:rPr>
          <w:bCs/>
        </w:rPr>
        <w:t xml:space="preserve"> (</w:t>
      </w:r>
      <w:r w:rsidR="00A06F80">
        <w:rPr>
          <w:bCs/>
        </w:rPr>
        <w:t>one EC16)</w:t>
      </w:r>
      <w:r w:rsidR="002A15DE">
        <w:rPr>
          <w:bCs/>
        </w:rPr>
        <w:t xml:space="preserve"> in addition to</w:t>
      </w:r>
      <w:r w:rsidR="003271E6">
        <w:rPr>
          <w:bCs/>
        </w:rPr>
        <w:t xml:space="preserve"> </w:t>
      </w:r>
      <w:r w:rsidR="00451BAA">
        <w:rPr>
          <w:bCs/>
        </w:rPr>
        <w:t xml:space="preserve">7 </w:t>
      </w:r>
      <w:r w:rsidR="001303C0">
        <w:rPr>
          <w:bCs/>
        </w:rPr>
        <w:t>chronic NOECs (</w:t>
      </w:r>
      <w:r w:rsidR="00363C9F">
        <w:rPr>
          <w:bCs/>
        </w:rPr>
        <w:fldChar w:fldCharType="begin"/>
      </w:r>
      <w:r w:rsidR="00363C9F">
        <w:rPr>
          <w:bCs/>
        </w:rPr>
        <w:instrText xml:space="preserve"> REF _Ref6321734 \h </w:instrText>
      </w:r>
      <w:r w:rsidR="00363C9F">
        <w:rPr>
          <w:bCs/>
        </w:rPr>
      </w:r>
      <w:r w:rsidR="00363C9F">
        <w:rPr>
          <w:bCs/>
        </w:rPr>
        <w:fldChar w:fldCharType="separate"/>
      </w:r>
      <w:r w:rsidR="00944476">
        <w:rPr>
          <w:b/>
          <w:lang w:val="en-US"/>
        </w:rPr>
        <w:t>Error! Reference source not found.</w:t>
      </w:r>
      <w:r w:rsidR="00363C9F">
        <w:rPr>
          <w:bCs/>
        </w:rPr>
        <w:fldChar w:fldCharType="end"/>
      </w:r>
      <w:r w:rsidR="001303C0">
        <w:rPr>
          <w:bCs/>
        </w:rPr>
        <w:t>). Quality</w:t>
      </w:r>
      <w:r w:rsidR="00451BAA">
        <w:rPr>
          <w:bCs/>
        </w:rPr>
        <w:t>-</w:t>
      </w:r>
      <w:r w:rsidR="001303C0">
        <w:rPr>
          <w:bCs/>
        </w:rPr>
        <w:t xml:space="preserve">assessment scores for the toxicity values used to derive the </w:t>
      </w:r>
      <w:r w:rsidR="00C8514D">
        <w:rPr>
          <w:bCs/>
        </w:rPr>
        <w:t>D</w:t>
      </w:r>
      <w:r w:rsidR="001303C0">
        <w:rPr>
          <w:bCs/>
        </w:rPr>
        <w:t>GV</w:t>
      </w:r>
      <w:r w:rsidR="00C8514D">
        <w:rPr>
          <w:bCs/>
        </w:rPr>
        <w:t>s</w:t>
      </w:r>
      <w:r w:rsidR="001303C0">
        <w:rPr>
          <w:bCs/>
        </w:rPr>
        <w:t xml:space="preserve"> ranged from 50</w:t>
      </w:r>
      <w:r w:rsidR="008E2ABF">
        <w:rPr>
          <w:bCs/>
        </w:rPr>
        <w:t xml:space="preserve">% to </w:t>
      </w:r>
      <w:r w:rsidR="001303C0">
        <w:rPr>
          <w:bCs/>
        </w:rPr>
        <w:t>96%.</w:t>
      </w:r>
    </w:p>
    <w:p w14:paraId="5AF9C054" w14:textId="03C1AA91" w:rsidR="00DB00A4" w:rsidRDefault="00285B67" w:rsidP="007C2EE0">
      <w:pPr>
        <w:autoSpaceDE w:val="0"/>
        <w:autoSpaceDN w:val="0"/>
        <w:adjustRightInd w:val="0"/>
        <w:spacing w:line="264" w:lineRule="auto"/>
        <w:rPr>
          <w:bCs/>
        </w:rPr>
      </w:pPr>
      <w:r>
        <w:rPr>
          <w:bCs/>
        </w:rPr>
        <w:t>Cadmus et al. (2018</w:t>
      </w:r>
      <w:r w:rsidR="00C00478">
        <w:rPr>
          <w:bCs/>
        </w:rPr>
        <w:t>a</w:t>
      </w:r>
      <w:r>
        <w:rPr>
          <w:bCs/>
        </w:rPr>
        <w:t>)</w:t>
      </w:r>
      <w:r w:rsidR="00CD4D87">
        <w:rPr>
          <w:bCs/>
        </w:rPr>
        <w:t xml:space="preserve"> reported </w:t>
      </w:r>
      <w:r w:rsidR="00050652">
        <w:rPr>
          <w:bCs/>
        </w:rPr>
        <w:t xml:space="preserve">chronic </w:t>
      </w:r>
      <w:r w:rsidR="00CD4D87">
        <w:rPr>
          <w:bCs/>
        </w:rPr>
        <w:t xml:space="preserve">EC20 values for </w:t>
      </w:r>
      <w:r w:rsidR="0075765A">
        <w:rPr>
          <w:bCs/>
        </w:rPr>
        <w:t>1</w:t>
      </w:r>
      <w:r w:rsidR="00050652">
        <w:rPr>
          <w:bCs/>
        </w:rPr>
        <w:t>5</w:t>
      </w:r>
      <w:r w:rsidR="0075765A">
        <w:rPr>
          <w:bCs/>
        </w:rPr>
        <w:t xml:space="preserve"> </w:t>
      </w:r>
      <w:r>
        <w:rPr>
          <w:bCs/>
        </w:rPr>
        <w:t xml:space="preserve">insect </w:t>
      </w:r>
      <w:r w:rsidR="00050652">
        <w:rPr>
          <w:bCs/>
        </w:rPr>
        <w:t xml:space="preserve">taxa (one species, 12 genera, one sub-family and one tribe), </w:t>
      </w:r>
      <w:r>
        <w:rPr>
          <w:bCs/>
        </w:rPr>
        <w:t>mainly derived fro</w:t>
      </w:r>
      <w:r w:rsidR="00CD4D87">
        <w:rPr>
          <w:bCs/>
        </w:rPr>
        <w:t xml:space="preserve">m </w:t>
      </w:r>
      <w:r w:rsidR="00411031">
        <w:rPr>
          <w:bCs/>
        </w:rPr>
        <w:t>a mesocosm experiment</w:t>
      </w:r>
      <w:r w:rsidR="00C00478">
        <w:rPr>
          <w:bCs/>
        </w:rPr>
        <w:t xml:space="preserve"> undertaken by Cadmus et al. (2018b)</w:t>
      </w:r>
      <w:r w:rsidR="00411031">
        <w:rPr>
          <w:bCs/>
        </w:rPr>
        <w:t>.</w:t>
      </w:r>
      <w:r w:rsidR="00DB0D6F">
        <w:rPr>
          <w:bCs/>
        </w:rPr>
        <w:t xml:space="preserve"> </w:t>
      </w:r>
      <w:r w:rsidR="00DC63A3">
        <w:rPr>
          <w:bCs/>
        </w:rPr>
        <w:t xml:space="preserve">As </w:t>
      </w:r>
      <w:r w:rsidR="009C3856">
        <w:rPr>
          <w:bCs/>
        </w:rPr>
        <w:t>noted by Brix et al. (</w:t>
      </w:r>
      <w:r w:rsidR="00F80167">
        <w:rPr>
          <w:bCs/>
        </w:rPr>
        <w:t>2023</w:t>
      </w:r>
      <w:r w:rsidR="009C3856">
        <w:rPr>
          <w:bCs/>
        </w:rPr>
        <w:t>), th</w:t>
      </w:r>
      <w:r w:rsidR="00AC6378">
        <w:rPr>
          <w:bCs/>
        </w:rPr>
        <w:t>e mesocosm data increased the representation o</w:t>
      </w:r>
      <w:r w:rsidR="0005619B">
        <w:rPr>
          <w:bCs/>
        </w:rPr>
        <w:t xml:space="preserve">f insect taxa that are typically </w:t>
      </w:r>
      <w:r w:rsidR="00477E12">
        <w:rPr>
          <w:bCs/>
        </w:rPr>
        <w:t xml:space="preserve">significantly </w:t>
      </w:r>
      <w:r w:rsidR="0005619B">
        <w:rPr>
          <w:bCs/>
        </w:rPr>
        <w:t xml:space="preserve">under-represented </w:t>
      </w:r>
      <w:r w:rsidR="00A91F9B">
        <w:rPr>
          <w:bCs/>
        </w:rPr>
        <w:t>relative to natural aquatic communities</w:t>
      </w:r>
      <w:r w:rsidR="00880E93">
        <w:rPr>
          <w:bCs/>
        </w:rPr>
        <w:t>.</w:t>
      </w:r>
      <w:r w:rsidR="00DB0D6F">
        <w:rPr>
          <w:bCs/>
        </w:rPr>
        <w:t xml:space="preserve"> </w:t>
      </w:r>
      <w:r w:rsidR="00C6446D">
        <w:rPr>
          <w:bCs/>
        </w:rPr>
        <w:t xml:space="preserve">For </w:t>
      </w:r>
      <w:r w:rsidR="004B62CB">
        <w:rPr>
          <w:bCs/>
        </w:rPr>
        <w:t>a</w:t>
      </w:r>
      <w:r w:rsidR="00125BDC">
        <w:rPr>
          <w:bCs/>
        </w:rPr>
        <w:t xml:space="preserve"> limited number of </w:t>
      </w:r>
      <w:r w:rsidR="00050652">
        <w:rPr>
          <w:bCs/>
        </w:rPr>
        <w:t>these insect taxa</w:t>
      </w:r>
      <w:r w:rsidR="0076632E">
        <w:rPr>
          <w:bCs/>
        </w:rPr>
        <w:t xml:space="preserve">, Brix et al. (2023) </w:t>
      </w:r>
      <w:r w:rsidR="0095782E">
        <w:rPr>
          <w:bCs/>
        </w:rPr>
        <w:t>recalculated EC10</w:t>
      </w:r>
      <w:r w:rsidR="00B95085">
        <w:rPr>
          <w:bCs/>
        </w:rPr>
        <w:t xml:space="preserve"> and EC20</w:t>
      </w:r>
      <w:r w:rsidR="0095782E">
        <w:rPr>
          <w:bCs/>
        </w:rPr>
        <w:t xml:space="preserve"> values </w:t>
      </w:r>
      <w:r w:rsidR="00D86F85">
        <w:rPr>
          <w:bCs/>
        </w:rPr>
        <w:t>from the original data of Cadmus et al. (2018</w:t>
      </w:r>
      <w:r w:rsidR="00C00478">
        <w:rPr>
          <w:bCs/>
        </w:rPr>
        <w:t>a,</w:t>
      </w:r>
      <w:r w:rsidR="00D67671">
        <w:rPr>
          <w:bCs/>
        </w:rPr>
        <w:t xml:space="preserve"> 2018</w:t>
      </w:r>
      <w:r w:rsidR="00C00478">
        <w:rPr>
          <w:bCs/>
        </w:rPr>
        <w:t>b</w:t>
      </w:r>
      <w:r w:rsidR="00D86F85">
        <w:rPr>
          <w:bCs/>
        </w:rPr>
        <w:t>)</w:t>
      </w:r>
      <w:r w:rsidR="007556F5">
        <w:rPr>
          <w:bCs/>
        </w:rPr>
        <w:t xml:space="preserve">, as well as </w:t>
      </w:r>
      <w:r w:rsidR="00A4052C">
        <w:rPr>
          <w:bCs/>
        </w:rPr>
        <w:t>for</w:t>
      </w:r>
      <w:r w:rsidR="009E5F4B">
        <w:rPr>
          <w:bCs/>
        </w:rPr>
        <w:t xml:space="preserve"> </w:t>
      </w:r>
      <w:r w:rsidR="00BA3F33">
        <w:rPr>
          <w:bCs/>
        </w:rPr>
        <w:t xml:space="preserve">an </w:t>
      </w:r>
      <w:r w:rsidR="009E5F4B">
        <w:rPr>
          <w:bCs/>
        </w:rPr>
        <w:t xml:space="preserve">older study </w:t>
      </w:r>
      <w:r w:rsidR="00BD6BED">
        <w:rPr>
          <w:bCs/>
        </w:rPr>
        <w:t xml:space="preserve">of fish species </w:t>
      </w:r>
      <w:r w:rsidR="009E5F4B">
        <w:rPr>
          <w:bCs/>
        </w:rPr>
        <w:t xml:space="preserve">by </w:t>
      </w:r>
      <w:r w:rsidR="00C82179">
        <w:rPr>
          <w:bCs/>
        </w:rPr>
        <w:t>Smith and Sykora (</w:t>
      </w:r>
      <w:r w:rsidR="00BD6BED">
        <w:rPr>
          <w:bCs/>
        </w:rPr>
        <w:t>1976)</w:t>
      </w:r>
      <w:r w:rsidR="00C64085">
        <w:rPr>
          <w:bCs/>
        </w:rPr>
        <w:t>, as</w:t>
      </w:r>
      <w:r w:rsidR="00932A8B">
        <w:rPr>
          <w:bCs/>
        </w:rPr>
        <w:t xml:space="preserve"> indicated </w:t>
      </w:r>
      <w:r w:rsidR="00C64085">
        <w:rPr>
          <w:bCs/>
        </w:rPr>
        <w:t xml:space="preserve">in the listing in </w:t>
      </w:r>
      <w:r w:rsidR="00812755">
        <w:rPr>
          <w:bCs/>
        </w:rPr>
        <w:fldChar w:fldCharType="begin"/>
      </w:r>
      <w:r w:rsidR="00812755">
        <w:rPr>
          <w:bCs/>
        </w:rPr>
        <w:instrText xml:space="preserve"> REF AppendixC \h </w:instrText>
      </w:r>
      <w:r w:rsidR="00812755">
        <w:rPr>
          <w:bCs/>
        </w:rPr>
      </w:r>
      <w:r w:rsidR="00812755">
        <w:rPr>
          <w:bCs/>
        </w:rPr>
        <w:fldChar w:fldCharType="separate"/>
      </w:r>
      <w:r w:rsidR="00944476" w:rsidRPr="006F37E1">
        <w:t>Appendix C</w:t>
      </w:r>
      <w:r w:rsidR="00812755">
        <w:rPr>
          <w:bCs/>
        </w:rPr>
        <w:fldChar w:fldCharType="end"/>
      </w:r>
      <w:r w:rsidR="00D67671">
        <w:rPr>
          <w:bCs/>
        </w:rPr>
        <w:t>,</w:t>
      </w:r>
      <w:r w:rsidR="006045A7">
        <w:rPr>
          <w:bCs/>
        </w:rPr>
        <w:t xml:space="preserve"> </w:t>
      </w:r>
      <w:r w:rsidR="00503E43">
        <w:rPr>
          <w:bCs/>
        </w:rPr>
        <w:fldChar w:fldCharType="begin"/>
      </w:r>
      <w:r w:rsidR="00503E43">
        <w:rPr>
          <w:bCs/>
        </w:rPr>
        <w:instrText xml:space="preserve"> REF TableC2 \h </w:instrText>
      </w:r>
      <w:r w:rsidR="00503E43">
        <w:rPr>
          <w:bCs/>
        </w:rPr>
      </w:r>
      <w:r w:rsidR="00503E43">
        <w:rPr>
          <w:bCs/>
        </w:rPr>
        <w:fldChar w:fldCharType="separate"/>
      </w:r>
      <w:r w:rsidR="00944476">
        <w:t>Table C</w:t>
      </w:r>
      <w:r w:rsidR="00944476">
        <w:rPr>
          <w:noProof/>
        </w:rPr>
        <w:t>2</w:t>
      </w:r>
      <w:r w:rsidR="00503E43">
        <w:rPr>
          <w:bCs/>
        </w:rPr>
        <w:fldChar w:fldCharType="end"/>
      </w:r>
      <w:r w:rsidR="00C64085">
        <w:rPr>
          <w:bCs/>
        </w:rPr>
        <w:t>.</w:t>
      </w:r>
      <w:r w:rsidR="004277E4">
        <w:rPr>
          <w:bCs/>
        </w:rPr>
        <w:t xml:space="preserve"> </w:t>
      </w:r>
      <w:r w:rsidR="00A9047D">
        <w:rPr>
          <w:bCs/>
        </w:rPr>
        <w:t>The</w:t>
      </w:r>
      <w:r w:rsidR="00BA3F33">
        <w:rPr>
          <w:bCs/>
        </w:rPr>
        <w:t xml:space="preserve"> </w:t>
      </w:r>
      <w:r w:rsidR="001621F8">
        <w:rPr>
          <w:bCs/>
        </w:rPr>
        <w:t xml:space="preserve">Brix et al. (2023) </w:t>
      </w:r>
      <w:r w:rsidR="00BA3F33">
        <w:rPr>
          <w:bCs/>
        </w:rPr>
        <w:t>EC10 values</w:t>
      </w:r>
      <w:r w:rsidR="00A9047D">
        <w:rPr>
          <w:bCs/>
        </w:rPr>
        <w:t xml:space="preserve"> are </w:t>
      </w:r>
      <w:r w:rsidR="00120615">
        <w:rPr>
          <w:bCs/>
        </w:rPr>
        <w:t>tabulat</w:t>
      </w:r>
      <w:r w:rsidR="00A9047D">
        <w:rPr>
          <w:bCs/>
        </w:rPr>
        <w:t xml:space="preserve">ed in the Supplementary Information attached to </w:t>
      </w:r>
      <w:r w:rsidR="00120615">
        <w:rPr>
          <w:bCs/>
        </w:rPr>
        <w:t>Brix et al. (2023)</w:t>
      </w:r>
      <w:r w:rsidR="007556F5">
        <w:rPr>
          <w:bCs/>
        </w:rPr>
        <w:t>.</w:t>
      </w:r>
    </w:p>
    <w:p w14:paraId="60E34200" w14:textId="55EF200C" w:rsidR="001B015E" w:rsidRDefault="00EE6760" w:rsidP="001B015E">
      <w:pPr>
        <w:autoSpaceDE w:val="0"/>
        <w:autoSpaceDN w:val="0"/>
        <w:adjustRightInd w:val="0"/>
        <w:spacing w:line="264" w:lineRule="auto"/>
        <w:rPr>
          <w:bCs/>
        </w:rPr>
      </w:pPr>
      <w:r>
        <w:rPr>
          <w:bCs/>
        </w:rPr>
        <w:t xml:space="preserve">Despite the </w:t>
      </w:r>
      <w:r w:rsidR="00F117DB">
        <w:rPr>
          <w:bCs/>
        </w:rPr>
        <w:t xml:space="preserve">use of </w:t>
      </w:r>
      <w:r w:rsidR="006045A7">
        <w:rPr>
          <w:bCs/>
        </w:rPr>
        <w:t xml:space="preserve">the Cadmus et al. (2018a, </w:t>
      </w:r>
      <w:r w:rsidR="00D67671">
        <w:rPr>
          <w:bCs/>
        </w:rPr>
        <w:t>2018</w:t>
      </w:r>
      <w:r w:rsidR="006045A7">
        <w:rPr>
          <w:bCs/>
        </w:rPr>
        <w:t>b) mesocosm data for the insect genera, sub-family and tribe</w:t>
      </w:r>
      <w:r w:rsidR="00F117DB">
        <w:rPr>
          <w:bCs/>
        </w:rPr>
        <w:t xml:space="preserve"> by Brix et al. (2023)</w:t>
      </w:r>
      <w:r w:rsidR="00466B4F">
        <w:rPr>
          <w:bCs/>
        </w:rPr>
        <w:t xml:space="preserve">, </w:t>
      </w:r>
      <w:r w:rsidR="006045A7">
        <w:rPr>
          <w:bCs/>
        </w:rPr>
        <w:t>only species</w:t>
      </w:r>
      <w:r w:rsidR="00312378">
        <w:rPr>
          <w:bCs/>
        </w:rPr>
        <w:t>-</w:t>
      </w:r>
      <w:r w:rsidR="006045A7">
        <w:rPr>
          <w:bCs/>
        </w:rPr>
        <w:t>level</w:t>
      </w:r>
      <w:r w:rsidR="007903A7">
        <w:rPr>
          <w:bCs/>
        </w:rPr>
        <w:t xml:space="preserve"> </w:t>
      </w:r>
      <w:r w:rsidR="00A22360">
        <w:rPr>
          <w:bCs/>
        </w:rPr>
        <w:t xml:space="preserve">data can be used </w:t>
      </w:r>
      <w:r w:rsidR="00312378">
        <w:rPr>
          <w:bCs/>
        </w:rPr>
        <w:t xml:space="preserve">in Australia and New Zealand </w:t>
      </w:r>
      <w:r w:rsidR="00A22360">
        <w:rPr>
          <w:bCs/>
        </w:rPr>
        <w:t>for deriving DGVs</w:t>
      </w:r>
      <w:r w:rsidR="00D21B9F">
        <w:rPr>
          <w:bCs/>
        </w:rPr>
        <w:t xml:space="preserve"> (Warne et al.</w:t>
      </w:r>
      <w:r>
        <w:rPr>
          <w:bCs/>
        </w:rPr>
        <w:t xml:space="preserve"> </w:t>
      </w:r>
      <w:r w:rsidR="006045A7">
        <w:rPr>
          <w:bCs/>
        </w:rPr>
        <w:t>2018</w:t>
      </w:r>
      <w:r>
        <w:rPr>
          <w:bCs/>
        </w:rPr>
        <w:t>)</w:t>
      </w:r>
      <w:r w:rsidR="00A95776">
        <w:rPr>
          <w:bCs/>
        </w:rPr>
        <w:t xml:space="preserve">. </w:t>
      </w:r>
      <w:r w:rsidR="00A22360">
        <w:rPr>
          <w:bCs/>
        </w:rPr>
        <w:t xml:space="preserve">Notably, there was ambiguity over whether some of the toxicity values from the mesocosm study were </w:t>
      </w:r>
      <w:r w:rsidR="005F36C7">
        <w:rPr>
          <w:bCs/>
        </w:rPr>
        <w:t>ba</w:t>
      </w:r>
      <w:r w:rsidR="00A22360">
        <w:rPr>
          <w:bCs/>
        </w:rPr>
        <w:t xml:space="preserve">sed on a single or multiple unidentified species from a genus. Advice on this matter from a co-author of Cadmus et al. (2018b) was that </w:t>
      </w:r>
      <w:r w:rsidR="008F0419">
        <w:rPr>
          <w:bCs/>
        </w:rPr>
        <w:t>some results might have been for a single species while others were based on multiple species</w:t>
      </w:r>
      <w:r w:rsidR="00A95776">
        <w:rPr>
          <w:bCs/>
        </w:rPr>
        <w:t xml:space="preserve"> </w:t>
      </w:r>
      <w:r w:rsidR="00E41E45">
        <w:rPr>
          <w:bCs/>
        </w:rPr>
        <w:t>(</w:t>
      </w:r>
      <w:r w:rsidR="00A22360">
        <w:rPr>
          <w:bCs/>
        </w:rPr>
        <w:t xml:space="preserve">Professor Will </w:t>
      </w:r>
      <w:r w:rsidR="00E41E45">
        <w:rPr>
          <w:bCs/>
        </w:rPr>
        <w:t>Clements</w:t>
      </w:r>
      <w:r w:rsidR="00A22360">
        <w:rPr>
          <w:bCs/>
        </w:rPr>
        <w:t xml:space="preserve">, </w:t>
      </w:r>
      <w:r w:rsidR="00E41E45">
        <w:rPr>
          <w:bCs/>
        </w:rPr>
        <w:t>personal communication</w:t>
      </w:r>
      <w:r w:rsidR="00A22360">
        <w:rPr>
          <w:bCs/>
        </w:rPr>
        <w:t>, 1 August 2024</w:t>
      </w:r>
      <w:r w:rsidR="00E41E45">
        <w:rPr>
          <w:bCs/>
        </w:rPr>
        <w:t>)</w:t>
      </w:r>
      <w:r w:rsidR="0000766F">
        <w:rPr>
          <w:bCs/>
        </w:rPr>
        <w:t xml:space="preserve">. </w:t>
      </w:r>
      <w:r w:rsidR="00824535">
        <w:rPr>
          <w:bCs/>
        </w:rPr>
        <w:t xml:space="preserve">Given </w:t>
      </w:r>
      <w:r w:rsidR="008F0419">
        <w:rPr>
          <w:bCs/>
        </w:rPr>
        <w:t xml:space="preserve">the </w:t>
      </w:r>
      <w:r w:rsidR="00824535">
        <w:rPr>
          <w:bCs/>
        </w:rPr>
        <w:t>uncertainty</w:t>
      </w:r>
      <w:r w:rsidR="00B90C1E">
        <w:rPr>
          <w:bCs/>
        </w:rPr>
        <w:t xml:space="preserve">, it was decided to </w:t>
      </w:r>
      <w:r w:rsidR="000D112F">
        <w:rPr>
          <w:bCs/>
        </w:rPr>
        <w:t xml:space="preserve">derive </w:t>
      </w:r>
      <w:r w:rsidR="008F0419">
        <w:rPr>
          <w:bCs/>
        </w:rPr>
        <w:t xml:space="preserve">the DGVs </w:t>
      </w:r>
      <w:r w:rsidR="000631A4">
        <w:rPr>
          <w:bCs/>
        </w:rPr>
        <w:t xml:space="preserve">from the dataset </w:t>
      </w:r>
      <w:r w:rsidR="00DA0BB9">
        <w:rPr>
          <w:bCs/>
        </w:rPr>
        <w:t>without the</w:t>
      </w:r>
      <w:r w:rsidR="00625D1F">
        <w:rPr>
          <w:bCs/>
        </w:rPr>
        <w:t xml:space="preserve"> </w:t>
      </w:r>
      <w:r w:rsidR="00EB7A45">
        <w:rPr>
          <w:bCs/>
        </w:rPr>
        <w:t xml:space="preserve">mesocosm </w:t>
      </w:r>
      <w:r w:rsidR="00DA0BB9">
        <w:rPr>
          <w:bCs/>
        </w:rPr>
        <w:t xml:space="preserve">insect species and to use </w:t>
      </w:r>
      <w:r w:rsidR="00740AC7">
        <w:rPr>
          <w:bCs/>
        </w:rPr>
        <w:t xml:space="preserve">the mesocosm data </w:t>
      </w:r>
      <w:r w:rsidR="008F0419">
        <w:rPr>
          <w:bCs/>
        </w:rPr>
        <w:t>to help validate the DGVs,</w:t>
      </w:r>
      <w:r w:rsidR="00740AC7">
        <w:rPr>
          <w:bCs/>
        </w:rPr>
        <w:t xml:space="preserve"> as recommended by Warne et al. (20</w:t>
      </w:r>
      <w:r w:rsidR="005F36C7">
        <w:rPr>
          <w:bCs/>
        </w:rPr>
        <w:t>18</w:t>
      </w:r>
      <w:r w:rsidR="00740AC7">
        <w:rPr>
          <w:bCs/>
        </w:rPr>
        <w:t>).</w:t>
      </w:r>
      <w:r w:rsidR="00DB0D6F">
        <w:rPr>
          <w:bCs/>
        </w:rPr>
        <w:t xml:space="preserve"> </w:t>
      </w:r>
      <w:r w:rsidR="005A26B7">
        <w:rPr>
          <w:bCs/>
        </w:rPr>
        <w:t xml:space="preserve">The </w:t>
      </w:r>
      <w:r w:rsidR="008F0419">
        <w:rPr>
          <w:bCs/>
        </w:rPr>
        <w:t>mesocosm study had a</w:t>
      </w:r>
      <w:r w:rsidR="005A26B7">
        <w:rPr>
          <w:bCs/>
        </w:rPr>
        <w:t xml:space="preserve"> </w:t>
      </w:r>
      <w:r w:rsidR="005A37CE">
        <w:rPr>
          <w:bCs/>
        </w:rPr>
        <w:t>10-d</w:t>
      </w:r>
      <w:r w:rsidR="00F50CB2">
        <w:rPr>
          <w:bCs/>
        </w:rPr>
        <w:t>ay</w:t>
      </w:r>
      <w:r w:rsidR="005A37CE">
        <w:rPr>
          <w:bCs/>
        </w:rPr>
        <w:t xml:space="preserve"> </w:t>
      </w:r>
      <w:r w:rsidR="008F0419">
        <w:rPr>
          <w:bCs/>
        </w:rPr>
        <w:t xml:space="preserve">exposure duration which, given </w:t>
      </w:r>
      <w:r w:rsidR="00F50CB2">
        <w:rPr>
          <w:bCs/>
        </w:rPr>
        <w:t xml:space="preserve">that </w:t>
      </w:r>
      <w:r w:rsidR="008F0419">
        <w:rPr>
          <w:bCs/>
        </w:rPr>
        <w:t>most of the organisms counted would have been larval/nymph forms,</w:t>
      </w:r>
      <w:r w:rsidR="005A37CE">
        <w:rPr>
          <w:bCs/>
        </w:rPr>
        <w:t xml:space="preserve"> would be classified as chronic (Warne et al. </w:t>
      </w:r>
      <w:r w:rsidR="008F0419">
        <w:rPr>
          <w:bCs/>
        </w:rPr>
        <w:t>2018</w:t>
      </w:r>
      <w:r w:rsidR="008C035F">
        <w:rPr>
          <w:bCs/>
        </w:rPr>
        <w:t>)</w:t>
      </w:r>
      <w:r w:rsidR="00F50CB2">
        <w:rPr>
          <w:bCs/>
        </w:rPr>
        <w:t>. T</w:t>
      </w:r>
      <w:r w:rsidR="008F0419">
        <w:rPr>
          <w:bCs/>
        </w:rPr>
        <w:t>herefore,</w:t>
      </w:r>
      <w:r w:rsidR="008C035F">
        <w:rPr>
          <w:bCs/>
        </w:rPr>
        <w:t xml:space="preserve"> </w:t>
      </w:r>
      <w:r w:rsidR="008F0419">
        <w:rPr>
          <w:bCs/>
        </w:rPr>
        <w:t>the mesocosm study was</w:t>
      </w:r>
      <w:r w:rsidR="008C035F">
        <w:rPr>
          <w:bCs/>
        </w:rPr>
        <w:t xml:space="preserve"> appropriate for validation</w:t>
      </w:r>
      <w:r w:rsidR="008F0419">
        <w:rPr>
          <w:bCs/>
        </w:rPr>
        <w:t xml:space="preserve"> purposes</w:t>
      </w:r>
      <w:r w:rsidR="008C730B">
        <w:rPr>
          <w:bCs/>
        </w:rPr>
        <w:t xml:space="preserve"> (see </w:t>
      </w:r>
      <w:r w:rsidR="002E588F">
        <w:rPr>
          <w:bCs/>
        </w:rPr>
        <w:t>s</w:t>
      </w:r>
      <w:r w:rsidR="008C730B">
        <w:rPr>
          <w:bCs/>
        </w:rPr>
        <w:t xml:space="preserve">ection </w:t>
      </w:r>
      <w:r w:rsidR="008C730B">
        <w:rPr>
          <w:bCs/>
        </w:rPr>
        <w:fldChar w:fldCharType="begin"/>
      </w:r>
      <w:r w:rsidR="008C730B">
        <w:rPr>
          <w:bCs/>
        </w:rPr>
        <w:instrText xml:space="preserve"> REF _Ref174697711 \r \h </w:instrText>
      </w:r>
      <w:r w:rsidR="008C730B">
        <w:rPr>
          <w:bCs/>
        </w:rPr>
      </w:r>
      <w:r w:rsidR="008C730B">
        <w:rPr>
          <w:bCs/>
        </w:rPr>
        <w:fldChar w:fldCharType="separate"/>
      </w:r>
      <w:r w:rsidR="00944476">
        <w:rPr>
          <w:bCs/>
        </w:rPr>
        <w:t>4.3</w:t>
      </w:r>
      <w:r w:rsidR="008C730B">
        <w:rPr>
          <w:bCs/>
        </w:rPr>
        <w:fldChar w:fldCharType="end"/>
      </w:r>
      <w:r w:rsidR="008C730B">
        <w:rPr>
          <w:bCs/>
        </w:rPr>
        <w:t>)</w:t>
      </w:r>
      <w:r w:rsidR="008C035F">
        <w:rPr>
          <w:bCs/>
        </w:rPr>
        <w:t>.</w:t>
      </w:r>
    </w:p>
    <w:p w14:paraId="6796D247" w14:textId="003F9AA2" w:rsidR="00020995" w:rsidRDefault="0003682D" w:rsidP="00FA035B">
      <w:pPr>
        <w:autoSpaceDE w:val="0"/>
        <w:autoSpaceDN w:val="0"/>
        <w:adjustRightInd w:val="0"/>
        <w:spacing w:line="264" w:lineRule="auto"/>
        <w:rPr>
          <w:bCs/>
        </w:rPr>
      </w:pPr>
      <w:r>
        <w:rPr>
          <w:bCs/>
        </w:rPr>
        <w:t xml:space="preserve">Data from the </w:t>
      </w:r>
      <w:r w:rsidR="00020995">
        <w:rPr>
          <w:bCs/>
        </w:rPr>
        <w:t xml:space="preserve">Kotalik et al. (2019) </w:t>
      </w:r>
      <w:r>
        <w:rPr>
          <w:bCs/>
        </w:rPr>
        <w:t xml:space="preserve">mesocosm study were also not used for the derivation of the DGVs, because </w:t>
      </w:r>
      <w:r w:rsidR="008C730B">
        <w:rPr>
          <w:bCs/>
        </w:rPr>
        <w:t xml:space="preserve">the </w:t>
      </w:r>
      <w:r>
        <w:rPr>
          <w:bCs/>
        </w:rPr>
        <w:t>endpoints were not based on individual species</w:t>
      </w:r>
      <w:r w:rsidR="008C730B">
        <w:rPr>
          <w:bCs/>
        </w:rPr>
        <w:t xml:space="preserve">. </w:t>
      </w:r>
      <w:r w:rsidR="00D805E5">
        <w:rPr>
          <w:bCs/>
        </w:rPr>
        <w:t>Instead, the r</w:t>
      </w:r>
      <w:r w:rsidR="008C730B">
        <w:rPr>
          <w:bCs/>
        </w:rPr>
        <w:t xml:space="preserve">esults from this study were also used to help validate the DGVs (see </w:t>
      </w:r>
      <w:r w:rsidR="002E588F">
        <w:rPr>
          <w:bCs/>
        </w:rPr>
        <w:t>s</w:t>
      </w:r>
      <w:r w:rsidR="008C730B">
        <w:rPr>
          <w:bCs/>
        </w:rPr>
        <w:t xml:space="preserve">ection </w:t>
      </w:r>
      <w:r w:rsidR="008C730B">
        <w:rPr>
          <w:bCs/>
        </w:rPr>
        <w:fldChar w:fldCharType="begin"/>
      </w:r>
      <w:r w:rsidR="008C730B">
        <w:rPr>
          <w:bCs/>
        </w:rPr>
        <w:instrText xml:space="preserve"> REF _Ref174697711 \r \h </w:instrText>
      </w:r>
      <w:r w:rsidR="008C730B">
        <w:rPr>
          <w:bCs/>
        </w:rPr>
      </w:r>
      <w:r w:rsidR="008C730B">
        <w:rPr>
          <w:bCs/>
        </w:rPr>
        <w:fldChar w:fldCharType="separate"/>
      </w:r>
      <w:r w:rsidR="00944476">
        <w:rPr>
          <w:bCs/>
        </w:rPr>
        <w:t>4.3</w:t>
      </w:r>
      <w:r w:rsidR="008C730B">
        <w:rPr>
          <w:bCs/>
        </w:rPr>
        <w:fldChar w:fldCharType="end"/>
      </w:r>
      <w:r w:rsidR="008C730B">
        <w:rPr>
          <w:bCs/>
        </w:rPr>
        <w:t>).</w:t>
      </w:r>
    </w:p>
    <w:p w14:paraId="01BA8C99" w14:textId="127978F1" w:rsidR="00D76BCB" w:rsidRPr="003C3D55" w:rsidRDefault="00005FDE" w:rsidP="00005FDE">
      <w:pPr>
        <w:autoSpaceDE w:val="0"/>
        <w:autoSpaceDN w:val="0"/>
        <w:adjustRightInd w:val="0"/>
        <w:spacing w:line="264" w:lineRule="auto"/>
      </w:pPr>
      <w:r>
        <w:rPr>
          <w:bCs/>
        </w:rPr>
        <w:t xml:space="preserve">Where there were data for the same species, endpoint and test duration, but </w:t>
      </w:r>
      <w:r w:rsidR="00353981">
        <w:rPr>
          <w:bCs/>
        </w:rPr>
        <w:t>the</w:t>
      </w:r>
      <w:r>
        <w:rPr>
          <w:bCs/>
        </w:rPr>
        <w:t xml:space="preserve"> physicochemical conditions</w:t>
      </w:r>
      <w:r w:rsidR="00353981">
        <w:rPr>
          <w:bCs/>
        </w:rPr>
        <w:t xml:space="preserve"> were different</w:t>
      </w:r>
      <w:r>
        <w:rPr>
          <w:bCs/>
        </w:rPr>
        <w:t xml:space="preserve"> (e.g. different pH, hardness</w:t>
      </w:r>
      <w:r w:rsidR="009117F8">
        <w:rPr>
          <w:bCs/>
        </w:rPr>
        <w:t>,</w:t>
      </w:r>
      <w:r>
        <w:rPr>
          <w:bCs/>
        </w:rPr>
        <w:t xml:space="preserve"> DOC), toxicity values from the most bioavailable condition were used in the SSD. For example, </w:t>
      </w:r>
      <w:r w:rsidR="002F224F">
        <w:rPr>
          <w:bCs/>
        </w:rPr>
        <w:t>t</w:t>
      </w:r>
      <w:r w:rsidR="00D76BCB">
        <w:rPr>
          <w:bCs/>
        </w:rPr>
        <w:t xml:space="preserve">he data reported by Cardwell et al. (2023) for </w:t>
      </w:r>
      <w:r w:rsidR="00D76BCB" w:rsidRPr="00D32436">
        <w:rPr>
          <w:rFonts w:eastAsia="Cambria" w:cstheme="minorHAnsi"/>
          <w:i/>
          <w:iCs/>
          <w:lang w:eastAsia="en-AU"/>
        </w:rPr>
        <w:t>R</w:t>
      </w:r>
      <w:r w:rsidR="00D76BCB">
        <w:rPr>
          <w:rFonts w:eastAsia="Cambria" w:cstheme="minorHAnsi"/>
          <w:i/>
          <w:iCs/>
          <w:lang w:eastAsia="en-AU"/>
        </w:rPr>
        <w:t>.</w:t>
      </w:r>
      <w:r w:rsidR="009117F8">
        <w:rPr>
          <w:rFonts w:eastAsia="Cambria" w:cstheme="minorHAnsi"/>
          <w:i/>
          <w:iCs/>
          <w:lang w:eastAsia="en-AU"/>
        </w:rPr>
        <w:t> </w:t>
      </w:r>
      <w:r w:rsidR="00D76BCB" w:rsidRPr="00D32436">
        <w:rPr>
          <w:rFonts w:eastAsia="Cambria" w:cstheme="minorHAnsi"/>
          <w:i/>
          <w:iCs/>
          <w:lang w:eastAsia="en-AU"/>
        </w:rPr>
        <w:t>subcapitata</w:t>
      </w:r>
      <w:r w:rsidR="00D76BCB">
        <w:rPr>
          <w:rFonts w:eastAsia="Cambria" w:cstheme="minorHAnsi"/>
          <w:i/>
          <w:iCs/>
          <w:lang w:eastAsia="en-AU"/>
        </w:rPr>
        <w:t xml:space="preserve">, </w:t>
      </w:r>
      <w:r w:rsidR="00D76BCB" w:rsidRPr="00CC68AE">
        <w:rPr>
          <w:rFonts w:eastAsia="Cambria" w:cstheme="minorHAnsi"/>
          <w:i/>
          <w:iCs/>
          <w:lang w:eastAsia="en-AU"/>
        </w:rPr>
        <w:t>P</w:t>
      </w:r>
      <w:r w:rsidR="00D76BCB">
        <w:rPr>
          <w:rFonts w:eastAsia="Cambria" w:cstheme="minorHAnsi"/>
          <w:i/>
          <w:iCs/>
          <w:lang w:eastAsia="en-AU"/>
        </w:rPr>
        <w:t>.</w:t>
      </w:r>
      <w:r w:rsidR="009117F8">
        <w:rPr>
          <w:rFonts w:eastAsia="Cambria" w:cstheme="minorHAnsi"/>
          <w:i/>
          <w:iCs/>
          <w:lang w:eastAsia="en-AU"/>
        </w:rPr>
        <w:t> </w:t>
      </w:r>
      <w:r w:rsidR="00D76BCB" w:rsidRPr="00CC68AE">
        <w:rPr>
          <w:rFonts w:eastAsia="Cambria" w:cstheme="minorHAnsi"/>
          <w:i/>
          <w:iCs/>
          <w:lang w:eastAsia="en-AU"/>
        </w:rPr>
        <w:t>promela</w:t>
      </w:r>
      <w:r w:rsidR="00D76BCB">
        <w:rPr>
          <w:rFonts w:eastAsia="Cambria" w:cstheme="minorHAnsi"/>
          <w:i/>
          <w:iCs/>
          <w:lang w:eastAsia="en-AU"/>
        </w:rPr>
        <w:t>s</w:t>
      </w:r>
      <w:r w:rsidR="00D76BCB" w:rsidRPr="00CC68AE">
        <w:rPr>
          <w:rFonts w:eastAsia="Cambria" w:cstheme="minorHAnsi"/>
          <w:lang w:eastAsia="en-AU"/>
        </w:rPr>
        <w:t xml:space="preserve"> and </w:t>
      </w:r>
      <w:r w:rsidR="00D76BCB" w:rsidRPr="00D32436">
        <w:rPr>
          <w:rFonts w:eastAsia="Cambria" w:cstheme="minorHAnsi"/>
          <w:i/>
          <w:iCs/>
          <w:lang w:eastAsia="en-AU"/>
        </w:rPr>
        <w:t>C</w:t>
      </w:r>
      <w:r w:rsidR="00D76BCB">
        <w:rPr>
          <w:rFonts w:eastAsia="Cambria" w:cstheme="minorHAnsi"/>
          <w:i/>
          <w:iCs/>
          <w:lang w:eastAsia="en-AU"/>
        </w:rPr>
        <w:t>.</w:t>
      </w:r>
      <w:r w:rsidR="009117F8">
        <w:rPr>
          <w:rFonts w:eastAsia="Cambria" w:cstheme="minorHAnsi"/>
          <w:i/>
          <w:iCs/>
          <w:lang w:eastAsia="en-AU"/>
        </w:rPr>
        <w:t> </w:t>
      </w:r>
      <w:r w:rsidR="00D76BCB" w:rsidRPr="00D32436">
        <w:rPr>
          <w:rFonts w:eastAsia="Cambria" w:cstheme="minorHAnsi"/>
          <w:i/>
          <w:iCs/>
          <w:lang w:eastAsia="en-AU"/>
        </w:rPr>
        <w:t>dubia</w:t>
      </w:r>
      <w:r w:rsidR="00D76BCB">
        <w:rPr>
          <w:rFonts w:eastAsia="Cambria" w:cstheme="minorHAnsi"/>
          <w:i/>
          <w:iCs/>
          <w:lang w:eastAsia="en-AU"/>
        </w:rPr>
        <w:t xml:space="preserve"> </w:t>
      </w:r>
      <w:r w:rsidR="00D76BCB" w:rsidRPr="002F7C66">
        <w:rPr>
          <w:rFonts w:eastAsia="Cambria" w:cstheme="minorHAnsi"/>
          <w:lang w:eastAsia="en-AU"/>
        </w:rPr>
        <w:t xml:space="preserve">covered a range of </w:t>
      </w:r>
      <w:r w:rsidR="00D76BCB">
        <w:rPr>
          <w:rFonts w:eastAsia="Cambria" w:cstheme="minorHAnsi"/>
          <w:lang w:eastAsia="en-AU"/>
        </w:rPr>
        <w:t>pH, hardness and DOC concentrations (</w:t>
      </w:r>
      <w:r w:rsidR="00812755">
        <w:rPr>
          <w:rFonts w:eastAsia="Cambria" w:cstheme="minorHAnsi"/>
          <w:lang w:eastAsia="en-AU"/>
        </w:rPr>
        <w:fldChar w:fldCharType="begin"/>
      </w:r>
      <w:r w:rsidR="00812755">
        <w:rPr>
          <w:rFonts w:eastAsia="Cambria" w:cstheme="minorHAnsi"/>
          <w:lang w:eastAsia="en-AU"/>
        </w:rPr>
        <w:instrText xml:space="preserve"> REF AppendixC \h </w:instrText>
      </w:r>
      <w:r w:rsidR="00812755">
        <w:rPr>
          <w:rFonts w:eastAsia="Cambria" w:cstheme="minorHAnsi"/>
          <w:lang w:eastAsia="en-AU"/>
        </w:rPr>
      </w:r>
      <w:r w:rsidR="00812755">
        <w:rPr>
          <w:rFonts w:eastAsia="Cambria" w:cstheme="minorHAnsi"/>
          <w:lang w:eastAsia="en-AU"/>
        </w:rPr>
        <w:fldChar w:fldCharType="separate"/>
      </w:r>
      <w:r w:rsidR="00944476" w:rsidRPr="006F37E1">
        <w:t>Appendix C</w:t>
      </w:r>
      <w:r w:rsidR="00812755">
        <w:rPr>
          <w:rFonts w:eastAsia="Cambria" w:cstheme="minorHAnsi"/>
          <w:lang w:eastAsia="en-AU"/>
        </w:rPr>
        <w:fldChar w:fldCharType="end"/>
      </w:r>
      <w:r w:rsidR="00D76BCB">
        <w:rPr>
          <w:rFonts w:eastAsia="Cambria" w:cstheme="minorHAnsi"/>
          <w:lang w:eastAsia="en-AU"/>
        </w:rPr>
        <w:t>).</w:t>
      </w:r>
      <w:r w:rsidR="00DB0D6F">
        <w:rPr>
          <w:rFonts w:eastAsia="Cambria" w:cstheme="minorHAnsi"/>
          <w:lang w:eastAsia="en-AU"/>
        </w:rPr>
        <w:t xml:space="preserve"> </w:t>
      </w:r>
      <w:r w:rsidR="00D76BCB">
        <w:rPr>
          <w:rFonts w:eastAsia="Cambria" w:cstheme="minorHAnsi"/>
          <w:lang w:eastAsia="en-AU"/>
        </w:rPr>
        <w:t xml:space="preserve">Given that the Brix et al. (2023) MLR models have not been used in the current derivation, the lowest toxicity value for each of the above </w:t>
      </w:r>
      <w:r w:rsidR="00D76BCB" w:rsidRPr="002E663E">
        <w:rPr>
          <w:rFonts w:eastAsia="Cambria" w:cstheme="minorHAnsi"/>
          <w:lang w:eastAsia="en-AU"/>
        </w:rPr>
        <w:t>species was</w:t>
      </w:r>
      <w:r w:rsidR="00D76BCB">
        <w:rPr>
          <w:rFonts w:eastAsia="Cambria" w:cstheme="minorHAnsi"/>
          <w:lang w:eastAsia="en-AU"/>
        </w:rPr>
        <w:t xml:space="preserve"> used in the SSD, in accordance with the recommendations in Warne et al. (2018) (see </w:t>
      </w:r>
      <w:r w:rsidR="00812755">
        <w:rPr>
          <w:rFonts w:eastAsia="Cambria" w:cstheme="minorHAnsi"/>
          <w:lang w:eastAsia="en-AU"/>
        </w:rPr>
        <w:fldChar w:fldCharType="begin"/>
      </w:r>
      <w:r w:rsidR="00812755">
        <w:rPr>
          <w:rFonts w:eastAsia="Cambria" w:cstheme="minorHAnsi"/>
          <w:lang w:eastAsia="en-AU"/>
        </w:rPr>
        <w:instrText xml:space="preserve"> REF AppendixC \h </w:instrText>
      </w:r>
      <w:r w:rsidR="00812755">
        <w:rPr>
          <w:rFonts w:eastAsia="Cambria" w:cstheme="minorHAnsi"/>
          <w:lang w:eastAsia="en-AU"/>
        </w:rPr>
      </w:r>
      <w:r w:rsidR="00812755">
        <w:rPr>
          <w:rFonts w:eastAsia="Cambria" w:cstheme="minorHAnsi"/>
          <w:lang w:eastAsia="en-AU"/>
        </w:rPr>
        <w:fldChar w:fldCharType="separate"/>
      </w:r>
      <w:r w:rsidR="00944476" w:rsidRPr="006F37E1">
        <w:t>Appendix C</w:t>
      </w:r>
      <w:r w:rsidR="00812755">
        <w:rPr>
          <w:rFonts w:eastAsia="Cambria" w:cstheme="minorHAnsi"/>
          <w:lang w:eastAsia="en-AU"/>
        </w:rPr>
        <w:fldChar w:fldCharType="end"/>
      </w:r>
      <w:r w:rsidR="00D76BCB">
        <w:rPr>
          <w:rFonts w:eastAsia="Cambria" w:cstheme="minorHAnsi"/>
          <w:lang w:eastAsia="en-AU"/>
        </w:rPr>
        <w:t>).</w:t>
      </w:r>
    </w:p>
    <w:p w14:paraId="3E90B275" w14:textId="457D3D8D" w:rsidR="00570CEB" w:rsidRDefault="00A753A5" w:rsidP="007C2EE0">
      <w:pPr>
        <w:autoSpaceDE w:val="0"/>
        <w:autoSpaceDN w:val="0"/>
        <w:adjustRightInd w:val="0"/>
        <w:spacing w:line="264" w:lineRule="auto"/>
        <w:rPr>
          <w:bCs/>
        </w:rPr>
      </w:pPr>
      <w:r>
        <w:rPr>
          <w:bCs/>
        </w:rPr>
        <w:t>A number of the results were reported as gre</w:t>
      </w:r>
      <w:r w:rsidR="00E6666C">
        <w:rPr>
          <w:bCs/>
        </w:rPr>
        <w:t>ater</w:t>
      </w:r>
      <w:r w:rsidR="00C706C2">
        <w:rPr>
          <w:bCs/>
        </w:rPr>
        <w:t>-</w:t>
      </w:r>
      <w:r w:rsidR="00B81803">
        <w:rPr>
          <w:bCs/>
        </w:rPr>
        <w:t>than (</w:t>
      </w:r>
      <w:r w:rsidR="00452502">
        <w:rPr>
          <w:bCs/>
        </w:rPr>
        <w:t>&gt;) values.</w:t>
      </w:r>
      <w:r w:rsidR="00DB0D6F">
        <w:rPr>
          <w:bCs/>
        </w:rPr>
        <w:t xml:space="preserve"> </w:t>
      </w:r>
      <w:r w:rsidR="00683707">
        <w:rPr>
          <w:bCs/>
        </w:rPr>
        <w:t>These were accepted as the actual value</w:t>
      </w:r>
      <w:r w:rsidR="00990ADF">
        <w:rPr>
          <w:bCs/>
        </w:rPr>
        <w:t>, following the recommendations of Warne et al. (2018).</w:t>
      </w:r>
    </w:p>
    <w:p w14:paraId="18EF94C7" w14:textId="5E4B04B9" w:rsidR="001303C0" w:rsidRDefault="001303C0" w:rsidP="001303C0">
      <w:pPr>
        <w:rPr>
          <w:bCs/>
        </w:rPr>
      </w:pPr>
      <w:r>
        <w:rPr>
          <w:bCs/>
        </w:rPr>
        <w:t>Iron salts used to prepare the test solutions consisted of iron(II) as FeSO</w:t>
      </w:r>
      <w:r w:rsidRPr="00773FEF">
        <w:rPr>
          <w:bCs/>
          <w:vertAlign w:val="subscript"/>
        </w:rPr>
        <w:t>4</w:t>
      </w:r>
      <w:r>
        <w:rPr>
          <w:bCs/>
        </w:rPr>
        <w:t xml:space="preserve"> and iron(III) as FeCl</w:t>
      </w:r>
      <w:r w:rsidRPr="00773FEF">
        <w:rPr>
          <w:bCs/>
          <w:vertAlign w:val="subscript"/>
        </w:rPr>
        <w:t>3</w:t>
      </w:r>
      <w:r>
        <w:rPr>
          <w:bCs/>
        </w:rPr>
        <w:t>.6H</w:t>
      </w:r>
      <w:r w:rsidRPr="00773FEF">
        <w:rPr>
          <w:bCs/>
          <w:vertAlign w:val="subscript"/>
        </w:rPr>
        <w:t>2</w:t>
      </w:r>
      <w:r>
        <w:rPr>
          <w:bCs/>
        </w:rPr>
        <w:t>O or Fe</w:t>
      </w:r>
      <w:r w:rsidRPr="00773FEF">
        <w:rPr>
          <w:bCs/>
          <w:vertAlign w:val="subscript"/>
        </w:rPr>
        <w:t>2</w:t>
      </w:r>
      <w:r>
        <w:rPr>
          <w:bCs/>
        </w:rPr>
        <w:t>(SO</w:t>
      </w:r>
      <w:r w:rsidRPr="00773FEF">
        <w:rPr>
          <w:bCs/>
          <w:vertAlign w:val="subscript"/>
        </w:rPr>
        <w:t>4</w:t>
      </w:r>
      <w:r>
        <w:rPr>
          <w:bCs/>
        </w:rPr>
        <w:t>)</w:t>
      </w:r>
      <w:r w:rsidRPr="00773FEF">
        <w:rPr>
          <w:bCs/>
          <w:vertAlign w:val="subscript"/>
        </w:rPr>
        <w:t>3</w:t>
      </w:r>
      <w:r>
        <w:rPr>
          <w:bCs/>
        </w:rPr>
        <w:t>.</w:t>
      </w:r>
      <w:r w:rsidR="00DB0D6F">
        <w:rPr>
          <w:bCs/>
        </w:rPr>
        <w:t xml:space="preserve"> </w:t>
      </w:r>
      <w:r w:rsidR="00B33BD3">
        <w:rPr>
          <w:bCs/>
        </w:rPr>
        <w:t>This ensure</w:t>
      </w:r>
      <w:r w:rsidR="00C706C2">
        <w:rPr>
          <w:bCs/>
        </w:rPr>
        <w:t>d</w:t>
      </w:r>
      <w:r w:rsidR="00B33BD3">
        <w:rPr>
          <w:bCs/>
        </w:rPr>
        <w:t xml:space="preserve"> t</w:t>
      </w:r>
      <w:r w:rsidR="007A6D13">
        <w:rPr>
          <w:bCs/>
        </w:rPr>
        <w:t xml:space="preserve">hat the total iron measurements </w:t>
      </w:r>
      <w:r w:rsidR="008F5544">
        <w:rPr>
          <w:bCs/>
        </w:rPr>
        <w:t>include</w:t>
      </w:r>
      <w:r w:rsidR="00C706C2">
        <w:rPr>
          <w:bCs/>
        </w:rPr>
        <w:t>d</w:t>
      </w:r>
      <w:r w:rsidR="008F5544">
        <w:rPr>
          <w:bCs/>
        </w:rPr>
        <w:t xml:space="preserve"> </w:t>
      </w:r>
      <w:r w:rsidR="007A6D13">
        <w:rPr>
          <w:bCs/>
        </w:rPr>
        <w:t xml:space="preserve">freshly precipitated </w:t>
      </w:r>
      <w:r w:rsidR="008F5544">
        <w:rPr>
          <w:bCs/>
        </w:rPr>
        <w:t>iron</w:t>
      </w:r>
      <w:r w:rsidR="007756C9">
        <w:rPr>
          <w:bCs/>
        </w:rPr>
        <w:t xml:space="preserve">, i.e. </w:t>
      </w:r>
      <w:r w:rsidR="0007560F">
        <w:rPr>
          <w:bCs/>
        </w:rPr>
        <w:t xml:space="preserve">forms </w:t>
      </w:r>
      <w:r w:rsidR="00554CF0">
        <w:rPr>
          <w:bCs/>
        </w:rPr>
        <w:t>that are bioavailable</w:t>
      </w:r>
      <w:r w:rsidR="00BA756E">
        <w:rPr>
          <w:bCs/>
        </w:rPr>
        <w:t>, not including the mineralised forms that might be present in natural water samples.</w:t>
      </w:r>
    </w:p>
    <w:p w14:paraId="5C980A93" w14:textId="47E6FDDD" w:rsidR="00370639" w:rsidRDefault="00370639" w:rsidP="001303C0">
      <w:pPr>
        <w:rPr>
          <w:bCs/>
        </w:rPr>
      </w:pPr>
      <w:r>
        <w:lastRenderedPageBreak/>
        <w:t>An assessment of whether the data selected for the derivation of the DGVs were unimodal or multimodal in distribution was conducted according to the weight</w:t>
      </w:r>
      <w:r w:rsidR="00AA10DD">
        <w:t>-</w:t>
      </w:r>
      <w:r>
        <w:t>of</w:t>
      </w:r>
      <w:r w:rsidR="00AA10DD">
        <w:t>-</w:t>
      </w:r>
      <w:r>
        <w:t xml:space="preserve">evidence approach described in Warne et al. (2018). Because iron is an essential element used in many cellular processes, there is no one specific mode of toxicity and no one particular taxonomic group more sensitive than the others that would indicate multimodality. A visual inspection of the distribution of data in the SSD did not suggest multimodality. </w:t>
      </w:r>
      <w:r w:rsidR="00BD1D78">
        <w:t>Supporti</w:t>
      </w:r>
      <w:r w:rsidR="00F2579E">
        <w:t>n</w:t>
      </w:r>
      <w:r w:rsidR="00BD1D78">
        <w:t>g this, t</w:t>
      </w:r>
      <w:r>
        <w:t xml:space="preserve">he bimodality coefficient (Freeman </w:t>
      </w:r>
      <w:r w:rsidR="00E44304">
        <w:t>and</w:t>
      </w:r>
      <w:r>
        <w:t xml:space="preserve"> Dale 2013) calculated on the log</w:t>
      </w:r>
      <w:r w:rsidR="006205E1">
        <w:t>-</w:t>
      </w:r>
      <w:r>
        <w:t>10</w:t>
      </w:r>
      <w:r w:rsidR="00D24E9B">
        <w:t>-</w:t>
      </w:r>
      <w:r>
        <w:t>transformed values used in the SSD was 0.</w:t>
      </w:r>
      <w:r w:rsidR="00BD1D78">
        <w:t>3</w:t>
      </w:r>
      <w:r>
        <w:t xml:space="preserve">8, which was </w:t>
      </w:r>
      <w:r w:rsidR="00BD1D78">
        <w:t>below the</w:t>
      </w:r>
      <w:r>
        <w:t xml:space="preserve"> 0.555</w:t>
      </w:r>
      <w:r w:rsidR="00FA6E4E">
        <w:t> </w:t>
      </w:r>
      <w:r w:rsidR="00BD1D78">
        <w:t>threshold for i</w:t>
      </w:r>
      <w:r>
        <w:t>ndicating that the data may exhibit bimodality.</w:t>
      </w:r>
      <w:r w:rsidR="00BD1D78">
        <w:t xml:space="preserve"> Therefore, the dataset was considered to be unimodal.</w:t>
      </w:r>
    </w:p>
    <w:p w14:paraId="3A2B44AD" w14:textId="0842C930" w:rsidR="001303C0" w:rsidRDefault="001303C0" w:rsidP="001303C0">
      <w:pPr>
        <w:rPr>
          <w:bCs/>
        </w:rPr>
      </w:pPr>
      <w:r>
        <w:rPr>
          <w:bCs/>
        </w:rPr>
        <w:t xml:space="preserve">The low solubility of iron in oxygenated systems meant that </w:t>
      </w:r>
      <w:r w:rsidR="00C114CF">
        <w:rPr>
          <w:bCs/>
        </w:rPr>
        <w:t>dissolved/</w:t>
      </w:r>
      <w:r>
        <w:rPr>
          <w:bCs/>
        </w:rPr>
        <w:t xml:space="preserve">colloidal </w:t>
      </w:r>
      <w:r w:rsidR="00FE62EF">
        <w:rPr>
          <w:bCs/>
        </w:rPr>
        <w:t>and</w:t>
      </w:r>
      <w:r>
        <w:rPr>
          <w:bCs/>
        </w:rPr>
        <w:t xml:space="preserve"> particulate iron were the dominant forms </w:t>
      </w:r>
      <w:r w:rsidR="00B1067F">
        <w:rPr>
          <w:bCs/>
        </w:rPr>
        <w:t xml:space="preserve">of iron </w:t>
      </w:r>
      <w:r>
        <w:rPr>
          <w:bCs/>
        </w:rPr>
        <w:t xml:space="preserve">giving rise to these toxicity data. A </w:t>
      </w:r>
      <w:r w:rsidR="00C8514D">
        <w:rPr>
          <w:bCs/>
        </w:rPr>
        <w:t>D</w:t>
      </w:r>
      <w:r>
        <w:rPr>
          <w:bCs/>
        </w:rPr>
        <w:t xml:space="preserve">GV based only on dissolved iron would be overly conservative and neglect the direct physical toxic effects of precipitated iron that occurs readily in the environment and is also present in the bioassays used in the derivation process. When both dissolved/colloidal and precipitate forms occur in the natural environment, the toxicity associated with those forms needs to be represented in the </w:t>
      </w:r>
      <w:r w:rsidR="00C8514D">
        <w:rPr>
          <w:bCs/>
        </w:rPr>
        <w:t>D</w:t>
      </w:r>
      <w:r>
        <w:rPr>
          <w:bCs/>
        </w:rPr>
        <w:t>GV</w:t>
      </w:r>
      <w:r w:rsidR="00C8514D">
        <w:rPr>
          <w:bCs/>
        </w:rPr>
        <w:t>s</w:t>
      </w:r>
      <w:r>
        <w:rPr>
          <w:bCs/>
        </w:rPr>
        <w:t>.</w:t>
      </w:r>
    </w:p>
    <w:p w14:paraId="28F66509" w14:textId="7C11A033" w:rsidR="001303C0" w:rsidRDefault="00AD62A1" w:rsidP="001303C0">
      <w:pPr>
        <w:spacing w:before="240"/>
        <w:rPr>
          <w:bCs/>
        </w:rPr>
      </w:pPr>
      <w:r>
        <w:rPr>
          <w:bCs/>
        </w:rPr>
        <w:t xml:space="preserve">As </w:t>
      </w:r>
      <w:r w:rsidR="001303C0">
        <w:rPr>
          <w:bCs/>
        </w:rPr>
        <w:t xml:space="preserve">pH </w:t>
      </w:r>
      <w:r>
        <w:rPr>
          <w:bCs/>
        </w:rPr>
        <w:t xml:space="preserve">is </w:t>
      </w:r>
      <w:r w:rsidR="001303C0">
        <w:rPr>
          <w:bCs/>
        </w:rPr>
        <w:t>a</w:t>
      </w:r>
      <w:r w:rsidR="00346F39">
        <w:rPr>
          <w:bCs/>
        </w:rPr>
        <w:t>n influential</w:t>
      </w:r>
      <w:r w:rsidR="001303C0">
        <w:rPr>
          <w:bCs/>
        </w:rPr>
        <w:t xml:space="preserve"> water</w:t>
      </w:r>
      <w:r w:rsidR="00FA6E4E">
        <w:rPr>
          <w:bCs/>
        </w:rPr>
        <w:t>-</w:t>
      </w:r>
      <w:r w:rsidR="001303C0">
        <w:rPr>
          <w:bCs/>
        </w:rPr>
        <w:t xml:space="preserve">quality parameter for iron toxicity, all data selected for </w:t>
      </w:r>
      <w:r w:rsidR="00FD3B58">
        <w:rPr>
          <w:bCs/>
        </w:rPr>
        <w:t xml:space="preserve">DGV </w:t>
      </w:r>
      <w:r w:rsidR="001303C0">
        <w:rPr>
          <w:bCs/>
        </w:rPr>
        <w:t xml:space="preserve">derivation came from toxicity tests where the pH was between 6 and </w:t>
      </w:r>
      <w:r w:rsidR="00D76BCB">
        <w:rPr>
          <w:bCs/>
        </w:rPr>
        <w:t>8</w:t>
      </w:r>
      <w:r w:rsidR="00C8514D">
        <w:rPr>
          <w:bCs/>
        </w:rPr>
        <w:t>,</w:t>
      </w:r>
      <w:r w:rsidR="001303C0">
        <w:rPr>
          <w:bCs/>
        </w:rPr>
        <w:t xml:space="preserve"> representing the physiological limits of </w:t>
      </w:r>
      <w:r w:rsidR="00C8514D">
        <w:rPr>
          <w:bCs/>
        </w:rPr>
        <w:t xml:space="preserve">many </w:t>
      </w:r>
      <w:r w:rsidR="001303C0">
        <w:rPr>
          <w:bCs/>
        </w:rPr>
        <w:t>aquatic biota. There is currently insufficient evidence of the influence of DOC and hardness on iron toxicity to screen data on the basis of these water</w:t>
      </w:r>
      <w:r>
        <w:rPr>
          <w:bCs/>
        </w:rPr>
        <w:t>-</w:t>
      </w:r>
      <w:r w:rsidR="001303C0">
        <w:rPr>
          <w:bCs/>
        </w:rPr>
        <w:t>quality parameters, and no hardness or DOC bioavailability-based algorithms are available for application to a wide range of biota. Therefore, toxicity values obtained under a range of hardness (8–252 mg</w:t>
      </w:r>
      <w:r>
        <w:rPr>
          <w:bCs/>
        </w:rPr>
        <w:t>/L</w:t>
      </w:r>
      <w:r w:rsidR="001303C0">
        <w:rPr>
          <w:bCs/>
        </w:rPr>
        <w:t xml:space="preserve"> CaCO</w:t>
      </w:r>
      <w:r w:rsidR="001303C0" w:rsidRPr="002C011F">
        <w:rPr>
          <w:bCs/>
          <w:vertAlign w:val="subscript"/>
        </w:rPr>
        <w:t>3</w:t>
      </w:r>
      <w:r w:rsidR="001303C0">
        <w:rPr>
          <w:bCs/>
        </w:rPr>
        <w:t xml:space="preserve">) and DOC (0–4 mg/L added) conditions were included in the derivation process. Where environmental water quality is outside the pH, hardness and DOC ranges above, it may be beneficial to undertake site-specific assessments in order to determine site-specific </w:t>
      </w:r>
      <w:r w:rsidR="00891983">
        <w:rPr>
          <w:bCs/>
        </w:rPr>
        <w:t>guideline values</w:t>
      </w:r>
      <w:r w:rsidR="001303C0">
        <w:rPr>
          <w:bCs/>
        </w:rPr>
        <w:t>.</w:t>
      </w:r>
    </w:p>
    <w:p w14:paraId="3DB2825C" w14:textId="4B3BBB23" w:rsidR="001303C0" w:rsidRDefault="001303C0" w:rsidP="001303C0">
      <w:pPr>
        <w:pStyle w:val="Heading3"/>
      </w:pPr>
      <w:bookmarkStart w:id="46" w:name="_Toc197088518"/>
      <w:bookmarkStart w:id="47" w:name="_Toc199424869"/>
      <w:r>
        <w:t>Species sensitivity distributi</w:t>
      </w:r>
      <w:r w:rsidR="003F79FC">
        <w:t>o</w:t>
      </w:r>
      <w:r>
        <w:t>n</w:t>
      </w:r>
      <w:bookmarkEnd w:id="46"/>
      <w:bookmarkEnd w:id="47"/>
    </w:p>
    <w:p w14:paraId="425F283A" w14:textId="73488821" w:rsidR="00F428F2" w:rsidRDefault="001303C0" w:rsidP="00515B5D">
      <w:r w:rsidRPr="00220BB1">
        <w:t xml:space="preserve">The cumulative frequency SSD of the </w:t>
      </w:r>
      <w:r w:rsidR="00F2579E">
        <w:t>20</w:t>
      </w:r>
      <w:r w:rsidR="00105D4A">
        <w:t> </w:t>
      </w:r>
      <w:r w:rsidRPr="00220BB1">
        <w:t>freshwater iron chronic toxicity data</w:t>
      </w:r>
      <w:r w:rsidR="00C23E86">
        <w:t xml:space="preserve"> reported in </w:t>
      </w:r>
      <w:r w:rsidR="00C23E86">
        <w:fldChar w:fldCharType="begin"/>
      </w:r>
      <w:r w:rsidR="00C23E86">
        <w:instrText xml:space="preserve"> REF _Ref195547797 \h </w:instrText>
      </w:r>
      <w:r w:rsidR="00C23E86">
        <w:fldChar w:fldCharType="separate"/>
      </w:r>
      <w:r w:rsidR="00944476">
        <w:t>Table </w:t>
      </w:r>
      <w:r w:rsidR="00944476">
        <w:rPr>
          <w:noProof/>
        </w:rPr>
        <w:t>1</w:t>
      </w:r>
      <w:r w:rsidR="00C23E86">
        <w:fldChar w:fldCharType="end"/>
      </w:r>
      <w:r w:rsidRPr="00220BB1">
        <w:t xml:space="preserve"> is shown in</w:t>
      </w:r>
      <w:r w:rsidR="00AB1EAB">
        <w:rPr>
          <w:b/>
          <w:bCs/>
        </w:rPr>
        <w:t xml:space="preserve"> </w:t>
      </w:r>
      <w:r w:rsidR="00AB1EAB">
        <w:rPr>
          <w:b/>
          <w:bCs/>
        </w:rPr>
        <w:fldChar w:fldCharType="begin"/>
      </w:r>
      <w:r w:rsidR="00AB1EAB">
        <w:rPr>
          <w:b/>
          <w:bCs/>
        </w:rPr>
        <w:instrText xml:space="preserve"> REF _Ref195118003 \h </w:instrText>
      </w:r>
      <w:r w:rsidR="00AB1EAB">
        <w:rPr>
          <w:b/>
          <w:bCs/>
        </w:rPr>
      </w:r>
      <w:r w:rsidR="00AB1EAB">
        <w:rPr>
          <w:b/>
          <w:bCs/>
        </w:rPr>
        <w:fldChar w:fldCharType="separate"/>
      </w:r>
      <w:r w:rsidR="00944476" w:rsidRPr="00AB1EAB">
        <w:t>Figure </w:t>
      </w:r>
      <w:r w:rsidR="00944476">
        <w:rPr>
          <w:noProof/>
        </w:rPr>
        <w:t>1</w:t>
      </w:r>
      <w:r w:rsidR="00AB1EAB">
        <w:rPr>
          <w:b/>
          <w:bCs/>
        </w:rPr>
        <w:fldChar w:fldCharType="end"/>
      </w:r>
      <w:r w:rsidR="00EB591F" w:rsidRPr="00220BB1">
        <w:t>. The</w:t>
      </w:r>
      <w:r w:rsidR="00144ECF">
        <w:t xml:space="preserve"> SSD</w:t>
      </w:r>
      <w:r w:rsidR="00DB7404" w:rsidRPr="00220BB1">
        <w:t xml:space="preserve"> was plotted using the Burrlioz 2.0 software. The model was judg</w:t>
      </w:r>
      <w:r w:rsidR="00DB7404">
        <w:t>ed to provide a good fit to the data</w:t>
      </w:r>
      <w:r w:rsidR="007C22D4">
        <w:t>.</w:t>
      </w:r>
    </w:p>
    <w:p w14:paraId="3791D1AF" w14:textId="373BEB13" w:rsidR="00F428F2" w:rsidRDefault="00F428F2" w:rsidP="00F428F2">
      <w:pPr>
        <w:pStyle w:val="Caption"/>
      </w:pPr>
    </w:p>
    <w:p w14:paraId="020649A4" w14:textId="44D0829F" w:rsidR="00144ECF" w:rsidRDefault="00F6551F" w:rsidP="00AB1EAB">
      <w:pPr>
        <w:pStyle w:val="Caption"/>
      </w:pPr>
      <w:bookmarkStart w:id="48" w:name="_Ref195118003"/>
      <w:bookmarkStart w:id="49" w:name="_Toc197783727"/>
      <w:bookmarkStart w:id="50" w:name="_Toc199424877"/>
      <w:r w:rsidRPr="00AB1EAB">
        <w:t>Figure</w:t>
      </w:r>
      <w:r w:rsidR="00A5339E" w:rsidRPr="00AB1EAB">
        <w:t> </w:t>
      </w:r>
      <w:r>
        <w:fldChar w:fldCharType="begin"/>
      </w:r>
      <w:r>
        <w:instrText xml:space="preserve"> SEQ Figure \* ARABIC </w:instrText>
      </w:r>
      <w:r>
        <w:fldChar w:fldCharType="separate"/>
      </w:r>
      <w:r w:rsidR="00944476">
        <w:rPr>
          <w:noProof/>
        </w:rPr>
        <w:t>1</w:t>
      </w:r>
      <w:r>
        <w:fldChar w:fldCharType="end"/>
      </w:r>
      <w:bookmarkEnd w:id="48"/>
      <w:r w:rsidR="00144ECF" w:rsidRPr="00515B5D">
        <w:t>.</w:t>
      </w:r>
      <w:r w:rsidR="00144ECF" w:rsidRPr="00AB1EAB">
        <w:t xml:space="preserve"> Species sensitivity distribution</w:t>
      </w:r>
      <w:r w:rsidR="00C43280" w:rsidRPr="00AB1EAB">
        <w:t xml:space="preserve"> for</w:t>
      </w:r>
      <w:r w:rsidR="00144ECF" w:rsidRPr="00AB1EAB">
        <w:t xml:space="preserve"> iron in freshwater</w:t>
      </w:r>
      <w:bookmarkEnd w:id="49"/>
      <w:bookmarkEnd w:id="50"/>
    </w:p>
    <w:p w14:paraId="79B1B639" w14:textId="2F86BF47" w:rsidR="008934A6" w:rsidRPr="008934A6" w:rsidRDefault="008934A6" w:rsidP="00B65E15">
      <w:r>
        <w:rPr>
          <w:noProof/>
        </w:rPr>
        <w:drawing>
          <wp:inline distT="0" distB="0" distL="0" distR="0" wp14:anchorId="5F64C7AE" wp14:editId="718C073B">
            <wp:extent cx="5759450" cy="5101590"/>
            <wp:effectExtent l="0" t="0" r="6350" b="3810"/>
            <wp:docPr id="130666138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82840" name="Picture 5">
                      <a:extLst>
                        <a:ext uri="{C183D7F6-B498-43B3-948B-1728B52AA6E4}">
                          <adec:decorative xmlns:adec="http://schemas.microsoft.com/office/drawing/2017/decorative" val="1"/>
                        </a:ext>
                      </a:extLst>
                    </pic:cNvPr>
                    <pic:cNvPicPr/>
                  </pic:nvPicPr>
                  <pic:blipFill rotWithShape="1">
                    <a:blip r:embed="rId33">
                      <a:extLst>
                        <a:ext uri="{28A0092B-C50C-407E-A947-70E740481C1C}">
                          <a14:useLocalDpi xmlns:a14="http://schemas.microsoft.com/office/drawing/2010/main" val="0"/>
                        </a:ext>
                      </a:extLst>
                    </a:blip>
                    <a:srcRect t="4136"/>
                    <a:stretch/>
                  </pic:blipFill>
                  <pic:spPr bwMode="auto">
                    <a:xfrm>
                      <a:off x="0" y="0"/>
                      <a:ext cx="5759450" cy="5101590"/>
                    </a:xfrm>
                    <a:prstGeom prst="rect">
                      <a:avLst/>
                    </a:prstGeom>
                    <a:ln>
                      <a:noFill/>
                    </a:ln>
                    <a:extLst>
                      <a:ext uri="{53640926-AAD7-44D8-BBD7-CCE9431645EC}">
                        <a14:shadowObscured xmlns:a14="http://schemas.microsoft.com/office/drawing/2010/main"/>
                      </a:ext>
                    </a:extLst>
                  </pic:spPr>
                </pic:pic>
              </a:graphicData>
            </a:graphic>
          </wp:inline>
        </w:drawing>
      </w:r>
    </w:p>
    <w:p w14:paraId="3CB44581" w14:textId="084FA26A" w:rsidR="00144ECF" w:rsidRPr="00734430" w:rsidRDefault="00144ECF" w:rsidP="00734430">
      <w:pPr>
        <w:pStyle w:val="Heading3"/>
      </w:pPr>
      <w:bookmarkStart w:id="51" w:name="_Ref174697711"/>
      <w:bookmarkStart w:id="52" w:name="_Toc197088519"/>
      <w:bookmarkStart w:id="53" w:name="_Toc199424870"/>
      <w:r w:rsidRPr="00734430">
        <w:t>Default guideline values</w:t>
      </w:r>
      <w:bookmarkEnd w:id="51"/>
      <w:bookmarkEnd w:id="52"/>
      <w:bookmarkEnd w:id="53"/>
    </w:p>
    <w:p w14:paraId="7A6A7782" w14:textId="1EEB2D1D" w:rsidR="001303C0" w:rsidRDefault="001303C0" w:rsidP="001303C0">
      <w:r w:rsidRPr="009D54BA">
        <w:t xml:space="preserve">It is important that the DGVs </w:t>
      </w:r>
      <w:r w:rsidR="009D54BA" w:rsidRPr="009D54BA">
        <w:t>(</w:t>
      </w:r>
      <w:r w:rsidR="009D54BA" w:rsidRPr="009D54BA">
        <w:fldChar w:fldCharType="begin"/>
      </w:r>
      <w:r w:rsidR="009D54BA" w:rsidRPr="009D54BA">
        <w:instrText xml:space="preserve"> REF _Ref6321833 \h </w:instrText>
      </w:r>
      <w:r w:rsidR="009D54BA">
        <w:instrText xml:space="preserve"> \* MERGEFORMAT </w:instrText>
      </w:r>
      <w:r w:rsidR="009D54BA" w:rsidRPr="009D54BA">
        <w:fldChar w:fldCharType="separate"/>
      </w:r>
      <w:r w:rsidR="00944476">
        <w:t>Table 2</w:t>
      </w:r>
      <w:r w:rsidR="009D54BA" w:rsidRPr="009D54BA">
        <w:fldChar w:fldCharType="end"/>
      </w:r>
      <w:r w:rsidR="009D54BA" w:rsidRPr="009D54BA">
        <w:t xml:space="preserve">) </w:t>
      </w:r>
      <w:r w:rsidRPr="009D54BA">
        <w:t xml:space="preserve">and associated information in this technical brief are used in accordance with the detailed guidance provided in the </w:t>
      </w:r>
      <w:hyperlink r:id="rId34" w:history="1">
        <w:r w:rsidR="00123D34" w:rsidRPr="000B09AC">
          <w:rPr>
            <w:rStyle w:val="Hyperlink"/>
            <w:i/>
            <w:iCs/>
          </w:rPr>
          <w:t>Australian and New Zealand Guidelines for Fresh and Marine Water Quality</w:t>
        </w:r>
      </w:hyperlink>
      <w:r w:rsidRPr="009D54BA">
        <w:t xml:space="preserve"> </w:t>
      </w:r>
      <w:r w:rsidR="00F83E24">
        <w:t>(</w:t>
      </w:r>
      <w:r w:rsidR="00981370" w:rsidRPr="00981370">
        <w:rPr>
          <w:rStyle w:val="Hyperlink"/>
          <w:color w:val="000000" w:themeColor="text1"/>
          <w:u w:val="none"/>
        </w:rPr>
        <w:t>ANZG 2018)</w:t>
      </w:r>
      <w:r w:rsidRPr="009D54BA">
        <w:t>.</w:t>
      </w:r>
    </w:p>
    <w:p w14:paraId="5387A9FC" w14:textId="32C04F12" w:rsidR="006A7045" w:rsidRPr="006A7045" w:rsidRDefault="001303C0" w:rsidP="006A7045">
      <w:pPr>
        <w:rPr>
          <w:bCs/>
        </w:rPr>
      </w:pPr>
      <w:r>
        <w:rPr>
          <w:bCs/>
        </w:rPr>
        <w:t>The DGVs for 99</w:t>
      </w:r>
      <w:r w:rsidR="00123D34">
        <w:rPr>
          <w:bCs/>
        </w:rPr>
        <w:t>%</w:t>
      </w:r>
      <w:r>
        <w:rPr>
          <w:bCs/>
        </w:rPr>
        <w:t>, 95</w:t>
      </w:r>
      <w:r w:rsidR="00123D34">
        <w:rPr>
          <w:bCs/>
        </w:rPr>
        <w:t>%</w:t>
      </w:r>
      <w:r>
        <w:rPr>
          <w:bCs/>
        </w:rPr>
        <w:t>, 90</w:t>
      </w:r>
      <w:r w:rsidR="00123D34">
        <w:rPr>
          <w:bCs/>
        </w:rPr>
        <w:t>%</w:t>
      </w:r>
      <w:r>
        <w:rPr>
          <w:bCs/>
        </w:rPr>
        <w:t xml:space="preserve"> and 80% species protection are shown in </w:t>
      </w:r>
      <w:r w:rsidR="00992439">
        <w:rPr>
          <w:bCs/>
        </w:rPr>
        <w:fldChar w:fldCharType="begin"/>
      </w:r>
      <w:r w:rsidR="00992439">
        <w:rPr>
          <w:bCs/>
        </w:rPr>
        <w:instrText xml:space="preserve"> REF _Ref6321833 \h </w:instrText>
      </w:r>
      <w:r w:rsidR="00992439">
        <w:rPr>
          <w:bCs/>
        </w:rPr>
      </w:r>
      <w:r w:rsidR="00992439">
        <w:rPr>
          <w:bCs/>
        </w:rPr>
        <w:fldChar w:fldCharType="separate"/>
      </w:r>
      <w:r w:rsidR="00944476">
        <w:t>Table </w:t>
      </w:r>
      <w:r w:rsidR="00944476">
        <w:rPr>
          <w:noProof/>
        </w:rPr>
        <w:t>2</w:t>
      </w:r>
      <w:r w:rsidR="00992439">
        <w:rPr>
          <w:bCs/>
        </w:rPr>
        <w:fldChar w:fldCharType="end"/>
      </w:r>
      <w:r>
        <w:rPr>
          <w:bCs/>
        </w:rPr>
        <w:t>. The 95% species</w:t>
      </w:r>
      <w:r w:rsidR="00123D34">
        <w:rPr>
          <w:bCs/>
        </w:rPr>
        <w:t>-</w:t>
      </w:r>
      <w:r>
        <w:rPr>
          <w:bCs/>
        </w:rPr>
        <w:t xml:space="preserve">protection </w:t>
      </w:r>
      <w:r w:rsidR="00DD7301">
        <w:rPr>
          <w:bCs/>
        </w:rPr>
        <w:t xml:space="preserve">DGV </w:t>
      </w:r>
      <w:r>
        <w:rPr>
          <w:bCs/>
        </w:rPr>
        <w:t xml:space="preserve">of </w:t>
      </w:r>
      <w:r w:rsidR="0049371E">
        <w:rPr>
          <w:bCs/>
        </w:rPr>
        <w:t>280</w:t>
      </w:r>
      <w:r w:rsidR="009A6133">
        <w:rPr>
          <w:bCs/>
        </w:rPr>
        <w:t> </w:t>
      </w:r>
      <w:r>
        <w:rPr>
          <w:rFonts w:cstheme="minorHAnsi"/>
          <w:bCs/>
        </w:rPr>
        <w:t>µ</w:t>
      </w:r>
      <w:r>
        <w:rPr>
          <w:bCs/>
        </w:rPr>
        <w:t xml:space="preserve">g/L </w:t>
      </w:r>
      <w:r w:rsidR="0064344A">
        <w:rPr>
          <w:bCs/>
        </w:rPr>
        <w:t xml:space="preserve">iron </w:t>
      </w:r>
      <w:r>
        <w:rPr>
          <w:bCs/>
        </w:rPr>
        <w:t xml:space="preserve">is recommended </w:t>
      </w:r>
      <w:r w:rsidR="00123D34">
        <w:rPr>
          <w:bCs/>
        </w:rPr>
        <w:t>when assessing ecosystems that are</w:t>
      </w:r>
      <w:r>
        <w:rPr>
          <w:bCs/>
        </w:rPr>
        <w:t xml:space="preserve"> slightly to moderate</w:t>
      </w:r>
      <w:r w:rsidR="00123D34">
        <w:rPr>
          <w:bCs/>
        </w:rPr>
        <w:t>ly</w:t>
      </w:r>
      <w:r>
        <w:rPr>
          <w:bCs/>
        </w:rPr>
        <w:t xml:space="preserve"> disturbed</w:t>
      </w:r>
      <w:r w:rsidR="006A7045">
        <w:rPr>
          <w:bCs/>
        </w:rPr>
        <w:t xml:space="preserve">. When applying the DGV for iron to an unfiltered water sample, it </w:t>
      </w:r>
      <w:r w:rsidR="009F4336">
        <w:rPr>
          <w:bCs/>
        </w:rPr>
        <w:t>is recommended</w:t>
      </w:r>
      <w:r w:rsidR="006A7045">
        <w:rPr>
          <w:bCs/>
        </w:rPr>
        <w:t xml:space="preserve"> to distinguish the iron associated with mineralised forms in suspended sediment, which is not considered bioavailable, from the </w:t>
      </w:r>
      <w:r w:rsidR="009F4336">
        <w:rPr>
          <w:bCs/>
        </w:rPr>
        <w:t xml:space="preserve">potentially </w:t>
      </w:r>
      <w:r w:rsidR="007B1B25">
        <w:rPr>
          <w:bCs/>
        </w:rPr>
        <w:t xml:space="preserve">bioavailable </w:t>
      </w:r>
      <w:r w:rsidR="006A7045">
        <w:rPr>
          <w:bCs/>
        </w:rPr>
        <w:t>iron in colloidal/precipitated and surface-adsorbed forms. To do this, a weak</w:t>
      </w:r>
      <w:r w:rsidR="00656B7E">
        <w:rPr>
          <w:bCs/>
        </w:rPr>
        <w:t>-</w:t>
      </w:r>
      <w:r w:rsidR="006A7045">
        <w:rPr>
          <w:bCs/>
        </w:rPr>
        <w:t>acid (pH</w:t>
      </w:r>
      <w:r w:rsidR="00656B7E">
        <w:rPr>
          <w:bCs/>
        </w:rPr>
        <w:t>-</w:t>
      </w:r>
      <w:r w:rsidR="006A7045">
        <w:rPr>
          <w:bCs/>
        </w:rPr>
        <w:t>2) extraction of the unfiltered water sample is recommended, as detailed in ANZG (</w:t>
      </w:r>
      <w:r w:rsidR="00DB31E8">
        <w:rPr>
          <w:bCs/>
        </w:rPr>
        <w:t>2025</w:t>
      </w:r>
      <w:r w:rsidR="006A7045">
        <w:rPr>
          <w:bCs/>
        </w:rPr>
        <w:t>). The weak</w:t>
      </w:r>
      <w:r w:rsidR="00656B7E">
        <w:rPr>
          <w:bCs/>
        </w:rPr>
        <w:t>-</w:t>
      </w:r>
      <w:r w:rsidR="006A7045">
        <w:rPr>
          <w:bCs/>
        </w:rPr>
        <w:t xml:space="preserve">acid extractable fraction will contain dissolved/colloidal and precipitated forms without a large contribution from mineralised particulate iron. </w:t>
      </w:r>
      <w:r w:rsidR="007B1B25">
        <w:rPr>
          <w:bCs/>
        </w:rPr>
        <w:t>Although t</w:t>
      </w:r>
      <w:r w:rsidR="00583FB8">
        <w:rPr>
          <w:bCs/>
        </w:rPr>
        <w:t xml:space="preserve">he total iron fraction of the unfiltered water sample can be compared with the DGV, if </w:t>
      </w:r>
      <w:r w:rsidR="00D44E99">
        <w:rPr>
          <w:bCs/>
        </w:rPr>
        <w:t>this fraction</w:t>
      </w:r>
      <w:r w:rsidR="00583FB8">
        <w:rPr>
          <w:bCs/>
        </w:rPr>
        <w:t xml:space="preserve"> exceeds the DGV, it will not be possible to identify </w:t>
      </w:r>
      <w:r w:rsidR="00D44E99">
        <w:rPr>
          <w:bCs/>
        </w:rPr>
        <w:t>the relative proportions of non-</w:t>
      </w:r>
      <w:r w:rsidR="00D44E99">
        <w:rPr>
          <w:bCs/>
        </w:rPr>
        <w:lastRenderedPageBreak/>
        <w:t>bioavailable and bioavailable iron in the sample.</w:t>
      </w:r>
      <w:r w:rsidR="00583FB8">
        <w:rPr>
          <w:bCs/>
        </w:rPr>
        <w:t xml:space="preserve"> </w:t>
      </w:r>
      <w:r w:rsidR="006A7045">
        <w:t xml:space="preserve">Further details on applying the DGVs to metals of low solubility, including iron(III), are presented in </w:t>
      </w:r>
      <w:r w:rsidR="00E7033D">
        <w:fldChar w:fldCharType="begin"/>
      </w:r>
      <w:r w:rsidR="00E7033D">
        <w:instrText xml:space="preserve"> REF AppendixB \h </w:instrText>
      </w:r>
      <w:r w:rsidR="00E7033D">
        <w:fldChar w:fldCharType="separate"/>
      </w:r>
      <w:r w:rsidR="00944476">
        <w:t>Appendix B</w:t>
      </w:r>
      <w:r w:rsidR="00E7033D">
        <w:fldChar w:fldCharType="end"/>
      </w:r>
      <w:r w:rsidR="006A7045">
        <w:t>.</w:t>
      </w:r>
    </w:p>
    <w:p w14:paraId="66A83C1C" w14:textId="0E380929" w:rsidR="001303C0" w:rsidRDefault="009D54BA" w:rsidP="009D54BA">
      <w:pPr>
        <w:pStyle w:val="Caption"/>
      </w:pPr>
      <w:bookmarkStart w:id="54" w:name="_Ref6321833"/>
      <w:bookmarkStart w:id="55" w:name="_Toc197088528"/>
      <w:bookmarkStart w:id="56" w:name="_Toc199424879"/>
      <w:r>
        <w:t>Table</w:t>
      </w:r>
      <w:r w:rsidR="00A5339E">
        <w:t> </w:t>
      </w:r>
      <w:r w:rsidR="005347DF">
        <w:rPr>
          <w:noProof/>
        </w:rPr>
        <w:fldChar w:fldCharType="begin"/>
      </w:r>
      <w:r w:rsidR="005347DF">
        <w:rPr>
          <w:noProof/>
        </w:rPr>
        <w:instrText xml:space="preserve"> SEQ Table \* ARABIC </w:instrText>
      </w:r>
      <w:r w:rsidR="005347DF">
        <w:rPr>
          <w:noProof/>
        </w:rPr>
        <w:fldChar w:fldCharType="separate"/>
      </w:r>
      <w:r w:rsidR="00944476">
        <w:rPr>
          <w:noProof/>
        </w:rPr>
        <w:t>2</w:t>
      </w:r>
      <w:r w:rsidR="005347DF">
        <w:rPr>
          <w:noProof/>
        </w:rPr>
        <w:fldChar w:fldCharType="end"/>
      </w:r>
      <w:bookmarkEnd w:id="54"/>
      <w:r w:rsidR="006C1524">
        <w:t>.</w:t>
      </w:r>
      <w:r w:rsidR="00F6551F">
        <w:t xml:space="preserve"> </w:t>
      </w:r>
      <w:r w:rsidR="001303C0" w:rsidRPr="00520F65">
        <w:rPr>
          <w:noProof/>
        </w:rPr>
        <w:t>Toxicant default guideline values</w:t>
      </w:r>
      <w:r w:rsidR="003E3E09">
        <w:rPr>
          <w:noProof/>
        </w:rPr>
        <w:t xml:space="preserve"> for</w:t>
      </w:r>
      <w:r w:rsidR="001303C0" w:rsidRPr="00520F65">
        <w:rPr>
          <w:noProof/>
        </w:rPr>
        <w:t xml:space="preserve"> iron in freshwater</w:t>
      </w:r>
      <w:r w:rsidR="003E3E09">
        <w:rPr>
          <w:noProof/>
        </w:rPr>
        <w:t xml:space="preserve"> with</w:t>
      </w:r>
      <w:r w:rsidR="001303C0" w:rsidRPr="00520F65">
        <w:rPr>
          <w:noProof/>
        </w:rPr>
        <w:t xml:space="preserve"> </w:t>
      </w:r>
      <w:r w:rsidR="00A043EC">
        <w:rPr>
          <w:noProof/>
        </w:rPr>
        <w:t xml:space="preserve">very </w:t>
      </w:r>
      <w:r w:rsidR="006C6E96">
        <w:rPr>
          <w:noProof/>
        </w:rPr>
        <w:t>high</w:t>
      </w:r>
      <w:r w:rsidR="006C6E96" w:rsidRPr="00520F65">
        <w:rPr>
          <w:noProof/>
        </w:rPr>
        <w:t xml:space="preserve"> </w:t>
      </w:r>
      <w:r w:rsidR="001303C0" w:rsidRPr="00520F65">
        <w:rPr>
          <w:noProof/>
        </w:rPr>
        <w:t>reliability</w:t>
      </w:r>
      <w:bookmarkEnd w:id="55"/>
      <w:bookmarkEnd w:id="56"/>
    </w:p>
    <w:tbl>
      <w:tblPr>
        <w:tblStyle w:val="TableGrid"/>
        <w:tblW w:w="31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Caption w:val="Toxicant default guideline values, total iron in freshwater, moderate reliability"/>
        <w:tblDescription w:val="Table shows the guideline values for a range of protection levels for total iron in freshwater. The four levels of species protection are 99, 95, 90 and 80%. The corresponding default guideline values are 430, 700, 950 and 1400 (microgram per litre), respectively."/>
      </w:tblPr>
      <w:tblGrid>
        <w:gridCol w:w="2890"/>
        <w:gridCol w:w="2891"/>
      </w:tblGrid>
      <w:tr w:rsidR="005C264B" w:rsidRPr="00295D89" w14:paraId="5E297D9F" w14:textId="5B85DF06" w:rsidTr="00B65E15">
        <w:trPr>
          <w:trHeight w:val="57"/>
          <w:tblHeader/>
        </w:trPr>
        <w:tc>
          <w:tcPr>
            <w:tcW w:w="2500" w:type="pct"/>
            <w:tcBorders>
              <w:top w:val="single" w:sz="12" w:space="0" w:color="auto"/>
              <w:bottom w:val="single" w:sz="12" w:space="0" w:color="auto"/>
            </w:tcBorders>
          </w:tcPr>
          <w:p w14:paraId="5F16DF47" w14:textId="77777777" w:rsidR="00242E96" w:rsidRPr="00295D89" w:rsidRDefault="00242E96" w:rsidP="00E3119C">
            <w:pPr>
              <w:pStyle w:val="TableHeading"/>
            </w:pPr>
            <w:r>
              <w:t>Level of</w:t>
            </w:r>
            <w:r w:rsidRPr="00295D89">
              <w:t xml:space="preserve"> species protection (%)</w:t>
            </w:r>
          </w:p>
        </w:tc>
        <w:tc>
          <w:tcPr>
            <w:tcW w:w="2500" w:type="pct"/>
            <w:tcBorders>
              <w:top w:val="single" w:sz="12" w:space="0" w:color="auto"/>
              <w:bottom w:val="single" w:sz="12" w:space="0" w:color="auto"/>
            </w:tcBorders>
          </w:tcPr>
          <w:p w14:paraId="39C9DF44" w14:textId="77D5CDF8" w:rsidR="00242E96" w:rsidRPr="004509F8" w:rsidRDefault="00242E96" w:rsidP="00E3119C">
            <w:pPr>
              <w:spacing w:after="60" w:line="240" w:lineRule="auto"/>
              <w:rPr>
                <w:rFonts w:cstheme="minorHAnsi"/>
                <w:b/>
                <w:bCs/>
                <w:sz w:val="18"/>
                <w:szCs w:val="18"/>
              </w:rPr>
            </w:pPr>
            <w:r w:rsidRPr="004509F8">
              <w:rPr>
                <w:rFonts w:cstheme="minorHAnsi"/>
                <w:b/>
                <w:bCs/>
                <w:sz w:val="18"/>
                <w:szCs w:val="18"/>
              </w:rPr>
              <w:t>DGV for iron in freshwater (</w:t>
            </w:r>
            <w:r w:rsidR="00484663">
              <w:rPr>
                <w:rFonts w:cstheme="minorHAnsi"/>
                <w:b/>
                <w:bCs/>
                <w:sz w:val="18"/>
                <w:szCs w:val="18"/>
              </w:rPr>
              <w:t>µ</w:t>
            </w:r>
            <w:r w:rsidRPr="004509F8">
              <w:rPr>
                <w:rFonts w:cstheme="minorHAnsi"/>
                <w:b/>
                <w:bCs/>
                <w:sz w:val="18"/>
                <w:szCs w:val="18"/>
              </w:rPr>
              <w:t>g/L)</w:t>
            </w:r>
            <w:r w:rsidRPr="004509F8">
              <w:rPr>
                <w:rFonts w:cstheme="minorHAnsi"/>
                <w:b/>
                <w:bCs/>
                <w:sz w:val="18"/>
                <w:szCs w:val="18"/>
                <w:vertAlign w:val="superscript"/>
              </w:rPr>
              <w:t>a</w:t>
            </w:r>
            <w:r w:rsidR="00734430">
              <w:rPr>
                <w:rFonts w:cstheme="minorHAnsi"/>
                <w:b/>
                <w:bCs/>
                <w:sz w:val="18"/>
                <w:szCs w:val="18"/>
                <w:vertAlign w:val="superscript"/>
              </w:rPr>
              <w:t>,b</w:t>
            </w:r>
          </w:p>
        </w:tc>
      </w:tr>
      <w:tr w:rsidR="005C264B" w:rsidRPr="00295D89" w14:paraId="2FED7DB5" w14:textId="4A919DA7" w:rsidTr="00B65E15">
        <w:trPr>
          <w:trHeight w:val="284"/>
        </w:trPr>
        <w:tc>
          <w:tcPr>
            <w:tcW w:w="2500" w:type="pct"/>
            <w:tcBorders>
              <w:top w:val="single" w:sz="12" w:space="0" w:color="auto"/>
              <w:bottom w:val="single" w:sz="4" w:space="0" w:color="auto"/>
            </w:tcBorders>
          </w:tcPr>
          <w:p w14:paraId="78C52F53" w14:textId="77777777" w:rsidR="00242E96" w:rsidRPr="00295D89" w:rsidRDefault="00242E96" w:rsidP="009D07D8">
            <w:pPr>
              <w:pStyle w:val="TableText"/>
              <w:jc w:val="center"/>
            </w:pPr>
            <w:r w:rsidRPr="00295D89">
              <w:t>99</w:t>
            </w:r>
          </w:p>
        </w:tc>
        <w:tc>
          <w:tcPr>
            <w:tcW w:w="2500" w:type="pct"/>
            <w:tcBorders>
              <w:top w:val="single" w:sz="12" w:space="0" w:color="auto"/>
              <w:bottom w:val="single" w:sz="4" w:space="0" w:color="auto"/>
            </w:tcBorders>
          </w:tcPr>
          <w:p w14:paraId="4B0BCC17" w14:textId="09F3ECFB" w:rsidR="00242E96" w:rsidRDefault="0049371E" w:rsidP="009D07D8">
            <w:pPr>
              <w:pStyle w:val="TableText"/>
              <w:jc w:val="center"/>
            </w:pPr>
            <w:r>
              <w:t>140</w:t>
            </w:r>
          </w:p>
        </w:tc>
      </w:tr>
      <w:tr w:rsidR="005C264B" w:rsidRPr="00295D89" w14:paraId="32E938B4" w14:textId="7424B77D" w:rsidTr="00B65E15">
        <w:trPr>
          <w:trHeight w:val="284"/>
        </w:trPr>
        <w:tc>
          <w:tcPr>
            <w:tcW w:w="2500" w:type="pct"/>
            <w:tcBorders>
              <w:top w:val="single" w:sz="4" w:space="0" w:color="auto"/>
              <w:bottom w:val="single" w:sz="4" w:space="0" w:color="auto"/>
            </w:tcBorders>
          </w:tcPr>
          <w:p w14:paraId="44FC5F85" w14:textId="77777777" w:rsidR="00242E96" w:rsidRPr="00295D89" w:rsidRDefault="00242E96" w:rsidP="009D07D8">
            <w:pPr>
              <w:pStyle w:val="TableText"/>
              <w:jc w:val="center"/>
            </w:pPr>
            <w:r w:rsidRPr="00295D89">
              <w:t>95</w:t>
            </w:r>
          </w:p>
        </w:tc>
        <w:tc>
          <w:tcPr>
            <w:tcW w:w="2500" w:type="pct"/>
            <w:tcBorders>
              <w:top w:val="single" w:sz="4" w:space="0" w:color="auto"/>
              <w:bottom w:val="single" w:sz="4" w:space="0" w:color="auto"/>
            </w:tcBorders>
          </w:tcPr>
          <w:p w14:paraId="2B502267" w14:textId="7DA82584" w:rsidR="00242E96" w:rsidRDefault="0049371E" w:rsidP="009D07D8">
            <w:pPr>
              <w:pStyle w:val="TableText"/>
              <w:jc w:val="center"/>
            </w:pPr>
            <w:r>
              <w:t>280</w:t>
            </w:r>
          </w:p>
        </w:tc>
      </w:tr>
      <w:tr w:rsidR="005C264B" w:rsidRPr="00295D89" w14:paraId="165A2490" w14:textId="558BB458" w:rsidTr="00B65E15">
        <w:trPr>
          <w:trHeight w:val="284"/>
        </w:trPr>
        <w:tc>
          <w:tcPr>
            <w:tcW w:w="2500" w:type="pct"/>
            <w:tcBorders>
              <w:top w:val="single" w:sz="4" w:space="0" w:color="auto"/>
              <w:bottom w:val="single" w:sz="4" w:space="0" w:color="auto"/>
            </w:tcBorders>
          </w:tcPr>
          <w:p w14:paraId="38311042" w14:textId="77777777" w:rsidR="00242E96" w:rsidRPr="00295D89" w:rsidRDefault="00242E96" w:rsidP="009D07D8">
            <w:pPr>
              <w:pStyle w:val="TableText"/>
              <w:jc w:val="center"/>
            </w:pPr>
            <w:r w:rsidRPr="00295D89">
              <w:t>90</w:t>
            </w:r>
          </w:p>
        </w:tc>
        <w:tc>
          <w:tcPr>
            <w:tcW w:w="2500" w:type="pct"/>
            <w:tcBorders>
              <w:top w:val="single" w:sz="4" w:space="0" w:color="auto"/>
              <w:bottom w:val="single" w:sz="4" w:space="0" w:color="auto"/>
            </w:tcBorders>
          </w:tcPr>
          <w:p w14:paraId="0B2BD022" w14:textId="5A254A4E" w:rsidR="00242E96" w:rsidRDefault="0049371E" w:rsidP="009D07D8">
            <w:pPr>
              <w:pStyle w:val="TableText"/>
              <w:jc w:val="center"/>
            </w:pPr>
            <w:r>
              <w:t>430</w:t>
            </w:r>
          </w:p>
        </w:tc>
      </w:tr>
      <w:tr w:rsidR="005C264B" w:rsidRPr="00295D89" w14:paraId="0BEC3850" w14:textId="211D8188" w:rsidTr="00B65E15">
        <w:trPr>
          <w:trHeight w:val="284"/>
        </w:trPr>
        <w:tc>
          <w:tcPr>
            <w:tcW w:w="2500" w:type="pct"/>
            <w:tcBorders>
              <w:top w:val="single" w:sz="4" w:space="0" w:color="auto"/>
              <w:bottom w:val="single" w:sz="12" w:space="0" w:color="auto"/>
            </w:tcBorders>
          </w:tcPr>
          <w:p w14:paraId="1B3962C2" w14:textId="77777777" w:rsidR="00242E96" w:rsidRPr="00295D89" w:rsidRDefault="00242E96" w:rsidP="009D07D8">
            <w:pPr>
              <w:pStyle w:val="TableText"/>
              <w:jc w:val="center"/>
            </w:pPr>
            <w:r w:rsidRPr="00295D89">
              <w:t>80</w:t>
            </w:r>
          </w:p>
        </w:tc>
        <w:tc>
          <w:tcPr>
            <w:tcW w:w="2500" w:type="pct"/>
            <w:tcBorders>
              <w:top w:val="single" w:sz="4" w:space="0" w:color="auto"/>
              <w:bottom w:val="single" w:sz="12" w:space="0" w:color="auto"/>
            </w:tcBorders>
          </w:tcPr>
          <w:p w14:paraId="31FE62B0" w14:textId="21D3E426" w:rsidR="00242E96" w:rsidRDefault="0049371E" w:rsidP="009D07D8">
            <w:pPr>
              <w:pStyle w:val="TableText"/>
              <w:jc w:val="center"/>
            </w:pPr>
            <w:r>
              <w:t>730</w:t>
            </w:r>
          </w:p>
        </w:tc>
      </w:tr>
    </w:tbl>
    <w:p w14:paraId="0038F968" w14:textId="4DC9877E" w:rsidR="001303C0" w:rsidRDefault="001303C0" w:rsidP="001303C0">
      <w:pPr>
        <w:pStyle w:val="FigureTableNoteSource"/>
        <w:rPr>
          <w:rStyle w:val="FigurecaptionChar"/>
          <w:rFonts w:asciiTheme="minorHAnsi" w:hAnsiTheme="minorHAnsi" w:cstheme="minorHAnsi"/>
        </w:rPr>
      </w:pPr>
      <w:r w:rsidRPr="00F560EF">
        <w:rPr>
          <w:rStyle w:val="Strong"/>
          <w:vertAlign w:val="superscript"/>
        </w:rPr>
        <w:t xml:space="preserve">a </w:t>
      </w:r>
      <w:r w:rsidRPr="000D6D92">
        <w:rPr>
          <w:rStyle w:val="Strong"/>
          <w:b w:val="0"/>
          <w:bCs w:val="0"/>
        </w:rPr>
        <w:t xml:space="preserve">The </w:t>
      </w:r>
      <w:r w:rsidR="005C264B">
        <w:rPr>
          <w:rStyle w:val="FigurecaptionChar"/>
        </w:rPr>
        <w:t>default guideline value</w:t>
      </w:r>
      <w:r>
        <w:rPr>
          <w:rStyle w:val="FigurecaptionChar"/>
        </w:rPr>
        <w:t>s</w:t>
      </w:r>
      <w:r w:rsidR="00A87E1E">
        <w:rPr>
          <w:rStyle w:val="FigurecaptionChar"/>
        </w:rPr>
        <w:t xml:space="preserve"> (DGVs)</w:t>
      </w:r>
      <w:r>
        <w:rPr>
          <w:rStyle w:val="FigurecaptionChar"/>
        </w:rPr>
        <w:t xml:space="preserve"> were derived </w:t>
      </w:r>
      <w:r w:rsidRPr="00E906B5">
        <w:rPr>
          <w:rFonts w:ascii="Myriad Pro" w:hAnsi="Myriad Pro" w:cstheme="minorHAnsi"/>
          <w:szCs w:val="18"/>
        </w:rPr>
        <w:t xml:space="preserve">using </w:t>
      </w:r>
      <w:r w:rsidR="00911E54" w:rsidRPr="006F15AC">
        <w:t>the Burrlioz 2.0 software</w:t>
      </w:r>
      <w:r w:rsidR="00911E54">
        <w:t xml:space="preserve"> and based on </w:t>
      </w:r>
      <w:r w:rsidRPr="00610664">
        <w:rPr>
          <w:rFonts w:asciiTheme="minorHAnsi" w:hAnsiTheme="minorHAnsi" w:cstheme="minorHAnsi"/>
          <w:szCs w:val="18"/>
        </w:rPr>
        <w:t>data from toxicity tests conducted for a pH range of 6</w:t>
      </w:r>
      <w:r w:rsidRPr="00610664">
        <w:rPr>
          <w:rFonts w:asciiTheme="minorHAnsi" w:hAnsiTheme="minorHAnsi" w:cstheme="minorHAnsi"/>
          <w:bCs/>
          <w:szCs w:val="18"/>
        </w:rPr>
        <w:t>–</w:t>
      </w:r>
      <w:r w:rsidR="006C6E96">
        <w:rPr>
          <w:rFonts w:asciiTheme="minorHAnsi" w:hAnsiTheme="minorHAnsi" w:cstheme="minorHAnsi"/>
          <w:bCs/>
          <w:szCs w:val="18"/>
        </w:rPr>
        <w:t>8</w:t>
      </w:r>
      <w:r w:rsidRPr="00610664">
        <w:rPr>
          <w:rFonts w:asciiTheme="minorHAnsi" w:hAnsiTheme="minorHAnsi" w:cstheme="minorHAnsi"/>
          <w:szCs w:val="18"/>
        </w:rPr>
        <w:t xml:space="preserve">, hardness range of </w:t>
      </w:r>
      <w:r w:rsidRPr="00610664">
        <w:rPr>
          <w:rFonts w:asciiTheme="minorHAnsi" w:hAnsiTheme="minorHAnsi" w:cstheme="minorHAnsi"/>
          <w:bCs/>
          <w:szCs w:val="18"/>
        </w:rPr>
        <w:t>8–252 mg</w:t>
      </w:r>
      <w:r w:rsidR="00B13489">
        <w:rPr>
          <w:rFonts w:asciiTheme="minorHAnsi" w:hAnsiTheme="minorHAnsi" w:cstheme="minorHAnsi"/>
          <w:bCs/>
          <w:szCs w:val="18"/>
        </w:rPr>
        <w:t>/L</w:t>
      </w:r>
      <w:r w:rsidRPr="00610664">
        <w:rPr>
          <w:rFonts w:asciiTheme="minorHAnsi" w:hAnsiTheme="minorHAnsi" w:cstheme="minorHAnsi"/>
          <w:bCs/>
          <w:szCs w:val="18"/>
        </w:rPr>
        <w:t xml:space="preserve"> CaCO</w:t>
      </w:r>
      <w:r w:rsidRPr="00610664">
        <w:rPr>
          <w:rFonts w:asciiTheme="minorHAnsi" w:hAnsiTheme="minorHAnsi" w:cstheme="minorHAnsi"/>
          <w:bCs/>
          <w:szCs w:val="18"/>
          <w:vertAlign w:val="subscript"/>
        </w:rPr>
        <w:t>3</w:t>
      </w:r>
      <w:r w:rsidRPr="00610664">
        <w:rPr>
          <w:rFonts w:asciiTheme="minorHAnsi" w:hAnsiTheme="minorHAnsi" w:cstheme="minorHAnsi"/>
          <w:szCs w:val="18"/>
        </w:rPr>
        <w:t xml:space="preserve"> and dissolved organic carbon range of 0</w:t>
      </w:r>
      <w:r w:rsidR="00CC3BF5">
        <w:rPr>
          <w:rFonts w:asciiTheme="minorHAnsi" w:hAnsiTheme="minorHAnsi" w:cstheme="minorHAnsi"/>
          <w:bCs/>
          <w:szCs w:val="18"/>
        </w:rPr>
        <w:t>–</w:t>
      </w:r>
      <w:r w:rsidRPr="00610664">
        <w:rPr>
          <w:rFonts w:asciiTheme="minorHAnsi" w:hAnsiTheme="minorHAnsi" w:cstheme="minorHAnsi"/>
          <w:szCs w:val="18"/>
        </w:rPr>
        <w:t>4</w:t>
      </w:r>
      <w:r w:rsidR="00CC3BF5">
        <w:rPr>
          <w:rFonts w:asciiTheme="minorHAnsi" w:hAnsiTheme="minorHAnsi" w:cstheme="minorHAnsi"/>
          <w:szCs w:val="18"/>
        </w:rPr>
        <w:t> </w:t>
      </w:r>
      <w:r w:rsidRPr="00610664">
        <w:rPr>
          <w:rFonts w:asciiTheme="minorHAnsi" w:hAnsiTheme="minorHAnsi" w:cstheme="minorHAnsi"/>
          <w:szCs w:val="18"/>
        </w:rPr>
        <w:t>mg/L</w:t>
      </w:r>
      <w:r w:rsidR="0064344A" w:rsidRPr="00610664">
        <w:rPr>
          <w:rStyle w:val="FigurecaptionChar"/>
          <w:rFonts w:asciiTheme="minorHAnsi" w:hAnsiTheme="minorHAnsi" w:cstheme="minorHAnsi"/>
        </w:rPr>
        <w:t>. They</w:t>
      </w:r>
      <w:r w:rsidR="006A1182" w:rsidRPr="00610664">
        <w:rPr>
          <w:rStyle w:val="FigurecaptionChar"/>
          <w:rFonts w:asciiTheme="minorHAnsi" w:hAnsiTheme="minorHAnsi" w:cstheme="minorHAnsi"/>
        </w:rPr>
        <w:t xml:space="preserve"> have been rounded to </w:t>
      </w:r>
      <w:r w:rsidR="00B13489">
        <w:rPr>
          <w:rStyle w:val="FigurecaptionChar"/>
          <w:rFonts w:asciiTheme="minorHAnsi" w:hAnsiTheme="minorHAnsi" w:cstheme="minorHAnsi"/>
        </w:rPr>
        <w:t>2</w:t>
      </w:r>
      <w:r w:rsidR="00B13489" w:rsidRPr="00610664">
        <w:rPr>
          <w:rStyle w:val="FigurecaptionChar"/>
          <w:rFonts w:asciiTheme="minorHAnsi" w:hAnsiTheme="minorHAnsi" w:cstheme="minorHAnsi"/>
        </w:rPr>
        <w:t xml:space="preserve"> </w:t>
      </w:r>
      <w:r w:rsidR="006A1182" w:rsidRPr="00610664">
        <w:rPr>
          <w:rStyle w:val="FigurecaptionChar"/>
          <w:rFonts w:asciiTheme="minorHAnsi" w:hAnsiTheme="minorHAnsi" w:cstheme="minorHAnsi"/>
        </w:rPr>
        <w:t>significant figures.</w:t>
      </w:r>
    </w:p>
    <w:p w14:paraId="1BA66B0B" w14:textId="5A8AE2CE" w:rsidR="00734430" w:rsidRDefault="00734430" w:rsidP="00734430">
      <w:pPr>
        <w:pStyle w:val="FigureTableNoteSource"/>
        <w:rPr>
          <w:rStyle w:val="FigurecaptionChar"/>
          <w:rFonts w:asciiTheme="minorHAnsi" w:hAnsiTheme="minorHAnsi" w:cstheme="minorHAnsi"/>
        </w:rPr>
      </w:pPr>
      <w:r>
        <w:rPr>
          <w:rStyle w:val="Strong"/>
          <w:vertAlign w:val="superscript"/>
        </w:rPr>
        <w:t>b</w:t>
      </w:r>
      <w:r w:rsidRPr="00F560EF">
        <w:rPr>
          <w:rStyle w:val="Strong"/>
          <w:vertAlign w:val="superscript"/>
        </w:rPr>
        <w:t xml:space="preserve"> </w:t>
      </w:r>
      <w:r w:rsidR="00583FB8" w:rsidRPr="00D3325F">
        <w:t xml:space="preserve">The </w:t>
      </w:r>
      <w:r w:rsidR="00583FB8">
        <w:t>t</w:t>
      </w:r>
      <w:r w:rsidR="00583FB8" w:rsidRPr="00D3325F">
        <w:t>otal iron concentration or</w:t>
      </w:r>
      <w:r w:rsidR="00DB31E8">
        <w:t>, preferably,</w:t>
      </w:r>
      <w:r w:rsidR="00583FB8" w:rsidRPr="00D3325F">
        <w:t xml:space="preserve"> the potentially bioavailable fraction (i.e. weak</w:t>
      </w:r>
      <w:r w:rsidR="00B13489">
        <w:t>-</w:t>
      </w:r>
      <w:r w:rsidR="00583FB8" w:rsidRPr="00D3325F">
        <w:t xml:space="preserve">acid extract) of the unfiltered environmental water sample </w:t>
      </w:r>
      <w:r w:rsidR="00583FB8">
        <w:t>should be</w:t>
      </w:r>
      <w:r w:rsidR="00583FB8" w:rsidRPr="00D3325F">
        <w:t xml:space="preserve"> compared </w:t>
      </w:r>
      <w:r w:rsidR="00583FB8">
        <w:t>with</w:t>
      </w:r>
      <w:r w:rsidR="00583FB8" w:rsidRPr="00D3325F">
        <w:t xml:space="preserve"> the DGV</w:t>
      </w:r>
      <w:r w:rsidR="00583FB8">
        <w:t>s</w:t>
      </w:r>
      <w:r>
        <w:t xml:space="preserve">. </w:t>
      </w:r>
      <w:r w:rsidR="00583FB8">
        <w:t>Filtered/dissolved f</w:t>
      </w:r>
      <w:r w:rsidR="00B13489">
        <w:t>r</w:t>
      </w:r>
      <w:r w:rsidR="00583FB8">
        <w:t xml:space="preserve">actions of iron should not be compared with the DGVs. </w:t>
      </w:r>
      <w:r>
        <w:t xml:space="preserve">See </w:t>
      </w:r>
      <w:r w:rsidR="00367D77">
        <w:t>s</w:t>
      </w:r>
      <w:r w:rsidR="00096032">
        <w:t xml:space="preserve">ection </w:t>
      </w:r>
      <w:r w:rsidR="00367D77">
        <w:fldChar w:fldCharType="begin"/>
      </w:r>
      <w:r w:rsidR="00367D77">
        <w:instrText xml:space="preserve"> REF _Ref174697711 \r \h </w:instrText>
      </w:r>
      <w:r w:rsidR="00367D77">
        <w:fldChar w:fldCharType="separate"/>
      </w:r>
      <w:r w:rsidR="00944476">
        <w:t>4.3</w:t>
      </w:r>
      <w:r w:rsidR="00367D77">
        <w:fldChar w:fldCharType="end"/>
      </w:r>
      <w:r w:rsidR="00096032">
        <w:t xml:space="preserve"> </w:t>
      </w:r>
      <w:r>
        <w:t xml:space="preserve">and </w:t>
      </w:r>
      <w:r w:rsidR="00E7033D">
        <w:fldChar w:fldCharType="begin"/>
      </w:r>
      <w:r w:rsidR="00E7033D">
        <w:instrText xml:space="preserve"> REF AppendixB \h </w:instrText>
      </w:r>
      <w:r w:rsidR="00E7033D">
        <w:fldChar w:fldCharType="separate"/>
      </w:r>
      <w:r w:rsidR="00944476">
        <w:t>Appendix B</w:t>
      </w:r>
      <w:r w:rsidR="00E7033D">
        <w:fldChar w:fldCharType="end"/>
      </w:r>
      <w:r>
        <w:t xml:space="preserve"> for further details.</w:t>
      </w:r>
    </w:p>
    <w:p w14:paraId="00EE1EFE" w14:textId="459BA3C4" w:rsidR="00854C01" w:rsidRDefault="00854C01" w:rsidP="001303C0">
      <w:r>
        <w:t xml:space="preserve">The DGVs were compared with the results of the mesocosm studies of Cadmus et al. (2018a, </w:t>
      </w:r>
      <w:r w:rsidR="007F2B4E">
        <w:t>2018</w:t>
      </w:r>
      <w:r>
        <w:t>b) and Kotalik et al. (2019) and the field assessment of Peters et al. (2011</w:t>
      </w:r>
      <w:r w:rsidR="00ED23B1">
        <w:t>b</w:t>
      </w:r>
      <w:r>
        <w:t>)</w:t>
      </w:r>
      <w:r w:rsidR="007F2B4E">
        <w:t>. A</w:t>
      </w:r>
      <w:r>
        <w:t xml:space="preserve"> summary follows:</w:t>
      </w:r>
    </w:p>
    <w:p w14:paraId="217D12D6" w14:textId="3F770D11" w:rsidR="00A246BE" w:rsidRDefault="00A246BE" w:rsidP="00854C01">
      <w:pPr>
        <w:pStyle w:val="ListParagraph"/>
        <w:numPr>
          <w:ilvl w:val="0"/>
          <w:numId w:val="35"/>
        </w:numPr>
      </w:pPr>
      <w:r>
        <w:t xml:space="preserve">Based on the criteria detailed in Warne et al. (2018), the </w:t>
      </w:r>
      <w:r w:rsidR="00367D77">
        <w:t xml:space="preserve">2 </w:t>
      </w:r>
      <w:r>
        <w:t>mesocosm studies were considered to be of accep</w:t>
      </w:r>
      <w:r w:rsidR="00367D77">
        <w:t>table</w:t>
      </w:r>
      <w:r>
        <w:t xml:space="preserve"> quality. The key limitations included the fact that they focused only on phytoplankton and insect communities and only just met exposure</w:t>
      </w:r>
      <w:r w:rsidR="00367D77">
        <w:t>-</w:t>
      </w:r>
      <w:r>
        <w:t>duration criteria for a chronic exposure to larval/nymph aquatic insects (10–14 d</w:t>
      </w:r>
      <w:r w:rsidR="00367D77">
        <w:t>ays</w:t>
      </w:r>
      <w:r>
        <w:t>).</w:t>
      </w:r>
    </w:p>
    <w:p w14:paraId="740D0717" w14:textId="21AB52DB" w:rsidR="00854C01" w:rsidRDefault="00854C01" w:rsidP="00854C01">
      <w:pPr>
        <w:pStyle w:val="ListParagraph"/>
        <w:numPr>
          <w:ilvl w:val="0"/>
          <w:numId w:val="35"/>
        </w:numPr>
      </w:pPr>
      <w:r>
        <w:t xml:space="preserve">Cadmus et al. (2018a, </w:t>
      </w:r>
      <w:r w:rsidR="00367D77">
        <w:t>2018</w:t>
      </w:r>
      <w:r>
        <w:t>b) – The 99% species</w:t>
      </w:r>
      <w:r w:rsidR="00CB7349">
        <w:t>-</w:t>
      </w:r>
      <w:r>
        <w:t>protection DGV is protective of all the insect taxa listed, while the 95% species</w:t>
      </w:r>
      <w:r w:rsidR="00CB7349">
        <w:t>-</w:t>
      </w:r>
      <w:r>
        <w:t>protection DGV is protective of all but the Tanytarsini (Chironomidae) taxon. Thus, the DGVs appear to be appropriately protective</w:t>
      </w:r>
      <w:r w:rsidR="002A384E">
        <w:t xml:space="preserve"> based on these data.</w:t>
      </w:r>
    </w:p>
    <w:p w14:paraId="2FEBEB3B" w14:textId="37FB68F7" w:rsidR="002A384E" w:rsidRDefault="002A384E" w:rsidP="00854C01">
      <w:pPr>
        <w:pStyle w:val="ListParagraph"/>
        <w:numPr>
          <w:ilvl w:val="0"/>
          <w:numId w:val="35"/>
        </w:numPr>
      </w:pPr>
      <w:r>
        <w:t>Kotalik et al. (2019) – All the DGVs are higher than a number of EC20s in the range of 1</w:t>
      </w:r>
      <w:r w:rsidR="009A6133">
        <w:t>–</w:t>
      </w:r>
      <w:r>
        <w:t>16</w:t>
      </w:r>
      <w:r w:rsidR="009A6133">
        <w:t> </w:t>
      </w:r>
      <w:r>
        <w:rPr>
          <w:rFonts w:ascii="Calibri" w:hAnsi="Calibri" w:cs="Calibri"/>
        </w:rPr>
        <w:t>µ</w:t>
      </w:r>
      <w:r>
        <w:t xml:space="preserve">g/L total iron derived for various endpoints for algae, diatoms and some insects. However, as noted in </w:t>
      </w:r>
      <w:r w:rsidR="0078014D">
        <w:t>s</w:t>
      </w:r>
      <w:r>
        <w:t xml:space="preserve">ection </w:t>
      </w:r>
      <w:r>
        <w:fldChar w:fldCharType="begin"/>
      </w:r>
      <w:r>
        <w:instrText xml:space="preserve"> REF _Ref174712492 \r \h </w:instrText>
      </w:r>
      <w:r>
        <w:fldChar w:fldCharType="separate"/>
      </w:r>
      <w:r w:rsidR="00944476">
        <w:t>2.3</w:t>
      </w:r>
      <w:r>
        <w:fldChar w:fldCharType="end"/>
      </w:r>
      <w:r>
        <w:t>, there was high uncerta</w:t>
      </w:r>
      <w:r w:rsidR="00F2579E">
        <w:t>int</w:t>
      </w:r>
      <w:r>
        <w:t>y associated with these EC20s. Moreover, these concentrations are likely to be lower than, or at least representative of, natural background concentrations of total iron. Notably, most other EC20s reported by Kotalik et al. (2019) were &gt;</w:t>
      </w:r>
      <w:r w:rsidR="009A6133">
        <w:t> </w:t>
      </w:r>
      <w:r>
        <w:t>250</w:t>
      </w:r>
      <w:r w:rsidR="009A6133">
        <w:t> </w:t>
      </w:r>
      <w:r>
        <w:rPr>
          <w:rFonts w:ascii="Calibri" w:hAnsi="Calibri" w:cs="Calibri"/>
        </w:rPr>
        <w:t>µ</w:t>
      </w:r>
      <w:r>
        <w:t>g/L and had lower uncertainty. These values were around or above the 95% species</w:t>
      </w:r>
      <w:r w:rsidR="00CB7349">
        <w:t>-</w:t>
      </w:r>
      <w:r>
        <w:t>protection DGV.</w:t>
      </w:r>
    </w:p>
    <w:p w14:paraId="75969E54" w14:textId="39FC6C81" w:rsidR="00854C01" w:rsidRDefault="006C5CE2" w:rsidP="00DA07CB">
      <w:pPr>
        <w:pStyle w:val="ListParagraph"/>
        <w:numPr>
          <w:ilvl w:val="0"/>
          <w:numId w:val="35"/>
        </w:numPr>
        <w:rPr>
          <w:lang w:eastAsia="ja-JP"/>
        </w:rPr>
      </w:pPr>
      <w:r>
        <w:t>Peters et al. (2011</w:t>
      </w:r>
      <w:r w:rsidR="008F763B">
        <w:t>b</w:t>
      </w:r>
      <w:r>
        <w:t xml:space="preserve">) – All the DGVs are below the estimated </w:t>
      </w:r>
      <w:r w:rsidRPr="006C5CE2">
        <w:rPr>
          <w:bCs/>
        </w:rPr>
        <w:t>threshold</w:t>
      </w:r>
      <w:r>
        <w:rPr>
          <w:bCs/>
        </w:rPr>
        <w:t xml:space="preserve"> range of </w:t>
      </w:r>
      <w:r>
        <w:t>1</w:t>
      </w:r>
      <w:r w:rsidR="009A6133">
        <w:t>,</w:t>
      </w:r>
      <w:r>
        <w:t>250</w:t>
      </w:r>
      <w:r w:rsidR="00CB7349">
        <w:t>–</w:t>
      </w:r>
      <w:r>
        <w:rPr>
          <w:bCs/>
        </w:rPr>
        <w:t>2</w:t>
      </w:r>
      <w:r w:rsidR="009A6133">
        <w:rPr>
          <w:bCs/>
        </w:rPr>
        <w:t>,</w:t>
      </w:r>
      <w:r>
        <w:rPr>
          <w:bCs/>
        </w:rPr>
        <w:t>460 µg/L</w:t>
      </w:r>
      <w:r w:rsidRPr="006C5CE2">
        <w:rPr>
          <w:bCs/>
        </w:rPr>
        <w:t xml:space="preserve"> </w:t>
      </w:r>
      <w:r>
        <w:rPr>
          <w:bCs/>
        </w:rPr>
        <w:t>iron for maintaining</w:t>
      </w:r>
      <w:r w:rsidRPr="006C5CE2">
        <w:rPr>
          <w:bCs/>
        </w:rPr>
        <w:t xml:space="preserve"> good ecological status </w:t>
      </w:r>
      <w:r>
        <w:rPr>
          <w:bCs/>
        </w:rPr>
        <w:t>based on field macroinvertebrate data. However, Peters et al. (2011</w:t>
      </w:r>
      <w:r w:rsidR="008F763B">
        <w:rPr>
          <w:bCs/>
        </w:rPr>
        <w:t>b</w:t>
      </w:r>
      <w:r>
        <w:rPr>
          <w:bCs/>
        </w:rPr>
        <w:t xml:space="preserve">) also noted that </w:t>
      </w:r>
      <w:r>
        <w:t>there may be some sensitive taxa that would not be adequately protected by thresholds based on whole</w:t>
      </w:r>
      <w:r w:rsidR="00075F8E">
        <w:t>-</w:t>
      </w:r>
      <w:r>
        <w:t>community responses</w:t>
      </w:r>
      <w:r w:rsidRPr="006C5CE2">
        <w:rPr>
          <w:bCs/>
        </w:rPr>
        <w:t>.</w:t>
      </w:r>
      <w:r w:rsidR="00470A7E">
        <w:rPr>
          <w:bCs/>
        </w:rPr>
        <w:t xml:space="preserve"> Consequently, the more conservative DGVs </w:t>
      </w:r>
      <w:r w:rsidR="00056CA0">
        <w:rPr>
          <w:bCs/>
        </w:rPr>
        <w:t xml:space="preserve">for iron </w:t>
      </w:r>
      <w:r w:rsidR="00470A7E">
        <w:t>appear to be appropriately protective</w:t>
      </w:r>
      <w:r w:rsidR="00056CA0">
        <w:t xml:space="preserve"> based on the macroinvertebrate field data</w:t>
      </w:r>
      <w:r w:rsidR="00470A7E">
        <w:t>.</w:t>
      </w:r>
    </w:p>
    <w:p w14:paraId="3277BA70" w14:textId="600267AC" w:rsidR="0056014C" w:rsidRPr="0056014C" w:rsidRDefault="0056014C" w:rsidP="00DA07CB">
      <w:pPr>
        <w:pStyle w:val="ListParagraph"/>
        <w:numPr>
          <w:ilvl w:val="0"/>
          <w:numId w:val="35"/>
        </w:numPr>
        <w:rPr>
          <w:lang w:eastAsia="ja-JP"/>
        </w:rPr>
      </w:pPr>
      <w:r>
        <w:t>On balance, the available mesocosm and field evidence supports the protectiveness of the DGVs.</w:t>
      </w:r>
    </w:p>
    <w:p w14:paraId="6998FD1E" w14:textId="27C0CEC5" w:rsidR="00B47BC6" w:rsidRDefault="00EE68EC" w:rsidP="001303C0">
      <w:r>
        <w:lastRenderedPageBreak/>
        <w:t xml:space="preserve">It is </w:t>
      </w:r>
      <w:r w:rsidR="001F293A">
        <w:t xml:space="preserve">also </w:t>
      </w:r>
      <w:r>
        <w:t>instructive to compare the DGV</w:t>
      </w:r>
      <w:r w:rsidR="001F293A">
        <w:t>s</w:t>
      </w:r>
      <w:r>
        <w:t xml:space="preserve"> with values derived by other </w:t>
      </w:r>
      <w:r w:rsidR="003171C7">
        <w:t>investigations</w:t>
      </w:r>
      <w:r w:rsidR="006229EC">
        <w:t xml:space="preserve"> (</w:t>
      </w:r>
      <w:r w:rsidR="00E7033D">
        <w:fldChar w:fldCharType="begin"/>
      </w:r>
      <w:r w:rsidR="00E7033D">
        <w:instrText xml:space="preserve"> REF AppendixA \h </w:instrText>
      </w:r>
      <w:r w:rsidR="00E7033D">
        <w:fldChar w:fldCharType="separate"/>
      </w:r>
      <w:r w:rsidR="00944476">
        <w:t>Appendix A</w:t>
      </w:r>
      <w:r w:rsidR="00E7033D">
        <w:fldChar w:fldCharType="end"/>
      </w:r>
      <w:r w:rsidR="006229EC">
        <w:t>)</w:t>
      </w:r>
      <w:r w:rsidR="003171C7">
        <w:t xml:space="preserve">. </w:t>
      </w:r>
      <w:r w:rsidR="008B2320">
        <w:t>The most recent of these</w:t>
      </w:r>
      <w:r w:rsidR="009524B9">
        <w:t xml:space="preserve"> </w:t>
      </w:r>
      <w:r w:rsidR="00E342CC">
        <w:t>(</w:t>
      </w:r>
      <w:r w:rsidR="009524B9">
        <w:t>from Canada</w:t>
      </w:r>
      <w:r w:rsidR="00E342CC">
        <w:t>,</w:t>
      </w:r>
      <w:r w:rsidR="009524B9">
        <w:t xml:space="preserve"> ECCC 2024)</w:t>
      </w:r>
      <w:r w:rsidR="008A3937">
        <w:t xml:space="preserve"> </w:t>
      </w:r>
      <w:r w:rsidR="00075F8E">
        <w:t xml:space="preserve">has </w:t>
      </w:r>
      <w:r w:rsidR="008A3937">
        <w:t>a 95% species</w:t>
      </w:r>
      <w:r w:rsidR="00075F8E">
        <w:t>-</w:t>
      </w:r>
      <w:r w:rsidR="008A3937">
        <w:t xml:space="preserve">protection value of </w:t>
      </w:r>
      <w:r w:rsidR="00A2589D">
        <w:t>110</w:t>
      </w:r>
      <w:r w:rsidR="009A6133">
        <w:t> </w:t>
      </w:r>
      <w:r w:rsidR="00A2589D">
        <w:t>µ</w:t>
      </w:r>
      <w:r w:rsidR="00A25877">
        <w:t>g</w:t>
      </w:r>
      <w:r w:rsidR="00075F8E">
        <w:t>/L</w:t>
      </w:r>
      <w:r w:rsidR="00A25877">
        <w:t xml:space="preserve"> total</w:t>
      </w:r>
      <w:r w:rsidR="00075F8E">
        <w:t xml:space="preserve"> iron</w:t>
      </w:r>
      <w:r w:rsidR="008B2320">
        <w:t xml:space="preserve"> </w:t>
      </w:r>
      <w:r w:rsidR="00BD6ADF">
        <w:t>at</w:t>
      </w:r>
      <w:r w:rsidR="00A25877">
        <w:t xml:space="preserve"> pH </w:t>
      </w:r>
      <w:r w:rsidR="00727A43">
        <w:t>7</w:t>
      </w:r>
      <w:r w:rsidR="00A25877">
        <w:t xml:space="preserve">.5 and </w:t>
      </w:r>
      <w:r w:rsidR="00DF5F24">
        <w:t>0.5</w:t>
      </w:r>
      <w:r w:rsidR="009A6133">
        <w:t> </w:t>
      </w:r>
      <w:r w:rsidR="00DF5F24">
        <w:t>mg/L</w:t>
      </w:r>
      <w:r w:rsidR="000213B3">
        <w:t xml:space="preserve"> DOC</w:t>
      </w:r>
      <w:r w:rsidR="00622875">
        <w:t>, derived using the shinyssdtools software.</w:t>
      </w:r>
      <w:r w:rsidR="00DB0D6F">
        <w:t xml:space="preserve"> </w:t>
      </w:r>
      <w:r w:rsidR="0020447B">
        <w:t xml:space="preserve">As noted earlier, this derivation </w:t>
      </w:r>
      <w:r w:rsidR="00471600">
        <w:t>used the MLR</w:t>
      </w:r>
      <w:r w:rsidR="0020447B">
        <w:t xml:space="preserve"> models</w:t>
      </w:r>
      <w:r w:rsidR="00471600">
        <w:t xml:space="preserve"> from Brix et al. (2023)</w:t>
      </w:r>
      <w:r w:rsidR="00AE0255">
        <w:t>.</w:t>
      </w:r>
      <w:r w:rsidR="00DB0D6F">
        <w:t xml:space="preserve"> </w:t>
      </w:r>
      <w:r w:rsidR="00AE0255">
        <w:t xml:space="preserve">The major driver for the lower </w:t>
      </w:r>
      <w:r w:rsidR="0020447B">
        <w:t>Canadian guideline value compared to the 95% species</w:t>
      </w:r>
      <w:r w:rsidR="0044005A">
        <w:t>-</w:t>
      </w:r>
      <w:r w:rsidR="0020447B">
        <w:t xml:space="preserve">protection level DGV in </w:t>
      </w:r>
      <w:r w:rsidR="0020447B">
        <w:fldChar w:fldCharType="begin"/>
      </w:r>
      <w:r w:rsidR="0020447B">
        <w:instrText xml:space="preserve"> REF _Ref6321833 \h </w:instrText>
      </w:r>
      <w:r w:rsidR="0020447B">
        <w:fldChar w:fldCharType="separate"/>
      </w:r>
      <w:r w:rsidR="00944476">
        <w:t>Table </w:t>
      </w:r>
      <w:r w:rsidR="00944476">
        <w:rPr>
          <w:noProof/>
        </w:rPr>
        <w:t>2</w:t>
      </w:r>
      <w:r w:rsidR="0020447B">
        <w:fldChar w:fldCharType="end"/>
      </w:r>
      <w:r w:rsidR="0020447B">
        <w:t xml:space="preserve"> </w:t>
      </w:r>
      <w:r w:rsidR="00AE0255">
        <w:t>appear</w:t>
      </w:r>
      <w:r w:rsidR="001F293A">
        <w:t>s</w:t>
      </w:r>
      <w:r w:rsidR="00AE0255">
        <w:t xml:space="preserve"> to be </w:t>
      </w:r>
      <w:r w:rsidR="001F293A">
        <w:t>due to the Canadian guideline value ha</w:t>
      </w:r>
      <w:r w:rsidR="009F6CB5">
        <w:t>ving</w:t>
      </w:r>
      <w:r w:rsidR="001F293A">
        <w:t xml:space="preserve"> been </w:t>
      </w:r>
      <w:r w:rsidR="00CE7588">
        <w:t>derived based on</w:t>
      </w:r>
      <w:r w:rsidR="001F293A">
        <w:t xml:space="preserve"> a very low DOC concentration, </w:t>
      </w:r>
      <w:r w:rsidR="0044005A">
        <w:t xml:space="preserve">as </w:t>
      </w:r>
      <w:r w:rsidR="001F293A">
        <w:t xml:space="preserve">DOC </w:t>
      </w:r>
      <w:r w:rsidR="0044005A">
        <w:t xml:space="preserve">is </w:t>
      </w:r>
      <w:r w:rsidR="001F293A">
        <w:t>an influential toxicity</w:t>
      </w:r>
      <w:r w:rsidR="0044005A">
        <w:t>-</w:t>
      </w:r>
      <w:r w:rsidR="001F293A">
        <w:t xml:space="preserve">modifying factor. </w:t>
      </w:r>
      <w:r w:rsidR="004D664D">
        <w:t>An</w:t>
      </w:r>
      <w:r w:rsidR="00DC4E65">
        <w:t xml:space="preserve"> </w:t>
      </w:r>
      <w:r w:rsidR="004D664D">
        <w:t>example of this</w:t>
      </w:r>
      <w:r w:rsidR="00DC4E65">
        <w:t xml:space="preserve"> </w:t>
      </w:r>
      <w:r w:rsidR="001F293A">
        <w:t xml:space="preserve">is </w:t>
      </w:r>
      <w:r w:rsidR="009A6133">
        <w:t xml:space="preserve">3 </w:t>
      </w:r>
      <w:r w:rsidR="00A11F91">
        <w:t xml:space="preserve">different </w:t>
      </w:r>
      <w:r w:rsidR="00AE0255">
        <w:t xml:space="preserve">insect </w:t>
      </w:r>
      <w:r w:rsidR="004E38FE">
        <w:t>EC20 value</w:t>
      </w:r>
      <w:r w:rsidR="00A11F91">
        <w:t>s</w:t>
      </w:r>
      <w:r w:rsidR="004E38FE">
        <w:t xml:space="preserve"> </w:t>
      </w:r>
      <w:r w:rsidR="00BD75D0">
        <w:t>of</w:t>
      </w:r>
      <w:r w:rsidR="004E38FE">
        <w:t xml:space="preserve"> 234</w:t>
      </w:r>
      <w:r w:rsidR="009A6133">
        <w:t> µg/L</w:t>
      </w:r>
      <w:r w:rsidR="004E38FE">
        <w:t>, 335</w:t>
      </w:r>
      <w:r w:rsidR="009A6133">
        <w:t> µg/L</w:t>
      </w:r>
      <w:r w:rsidR="004E38FE">
        <w:t xml:space="preserve"> and 356</w:t>
      </w:r>
      <w:r w:rsidR="009A6133">
        <w:t> </w:t>
      </w:r>
      <w:r w:rsidR="004E38FE">
        <w:t xml:space="preserve">µg/L </w:t>
      </w:r>
      <w:r w:rsidR="00DC4E65">
        <w:t xml:space="preserve">that </w:t>
      </w:r>
      <w:r w:rsidR="001F293A">
        <w:t xml:space="preserve">were converted </w:t>
      </w:r>
      <w:r w:rsidR="00A11F91">
        <w:t xml:space="preserve">to EC10 values </w:t>
      </w:r>
      <w:r w:rsidR="00EC7465">
        <w:t>a</w:t>
      </w:r>
      <w:r w:rsidR="00BD75D0">
        <w:t>t pH 7.5 and 0.5</w:t>
      </w:r>
      <w:r w:rsidR="009A6133">
        <w:t> </w:t>
      </w:r>
      <w:r w:rsidR="00BD75D0">
        <w:t>mg/L DOC</w:t>
      </w:r>
      <w:r w:rsidR="00BD65C8">
        <w:t xml:space="preserve"> of </w:t>
      </w:r>
      <w:r w:rsidR="00A11F91">
        <w:t>89</w:t>
      </w:r>
      <w:r w:rsidR="009A6133">
        <w:t> µg/L</w:t>
      </w:r>
      <w:r w:rsidR="00A11F91">
        <w:t>, 127</w:t>
      </w:r>
      <w:r w:rsidR="009A6133">
        <w:t> µg/L</w:t>
      </w:r>
      <w:r w:rsidR="00A11F91">
        <w:t xml:space="preserve"> and 135</w:t>
      </w:r>
      <w:r w:rsidR="001F293A">
        <w:rPr>
          <w:bCs/>
        </w:rPr>
        <w:t> µg/L</w:t>
      </w:r>
      <w:r w:rsidR="009A6133">
        <w:rPr>
          <w:bCs/>
        </w:rPr>
        <w:t>, respectively</w:t>
      </w:r>
      <w:r w:rsidR="00B13772">
        <w:t>.</w:t>
      </w:r>
    </w:p>
    <w:p w14:paraId="573BBABA" w14:textId="7EEC821E" w:rsidR="001F293A" w:rsidRPr="00FB2D7B" w:rsidRDefault="001F293A" w:rsidP="001303C0">
      <w:r w:rsidRPr="007C68E4">
        <w:rPr>
          <w:iCs/>
        </w:rPr>
        <w:t xml:space="preserve">In </w:t>
      </w:r>
      <w:r>
        <w:rPr>
          <w:iCs/>
        </w:rPr>
        <w:t xml:space="preserve">infrequent cases where </w:t>
      </w:r>
      <w:r w:rsidRPr="007C68E4">
        <w:rPr>
          <w:iCs/>
        </w:rPr>
        <w:t xml:space="preserve">the background </w:t>
      </w:r>
      <w:r>
        <w:rPr>
          <w:iCs/>
        </w:rPr>
        <w:t xml:space="preserve">iron concentrations </w:t>
      </w:r>
      <w:r w:rsidRPr="007C68E4">
        <w:rPr>
          <w:iCs/>
        </w:rPr>
        <w:t>exceed the DGV, and it is deemed that the ecosystem could tolerate increases in concentration</w:t>
      </w:r>
      <w:r w:rsidR="00255E6D">
        <w:rPr>
          <w:iCs/>
        </w:rPr>
        <w:t xml:space="preserve"> above the already naturally elevated background</w:t>
      </w:r>
      <w:r w:rsidRPr="007C68E4">
        <w:rPr>
          <w:iCs/>
        </w:rPr>
        <w:t xml:space="preserve">, </w:t>
      </w:r>
      <w:r>
        <w:rPr>
          <w:iCs/>
        </w:rPr>
        <w:t xml:space="preserve">the recommended </w:t>
      </w:r>
      <w:r w:rsidRPr="007C68E4">
        <w:rPr>
          <w:iCs/>
        </w:rPr>
        <w:t xml:space="preserve">approach </w:t>
      </w:r>
      <w:r>
        <w:rPr>
          <w:iCs/>
        </w:rPr>
        <w:t xml:space="preserve">is </w:t>
      </w:r>
      <w:r w:rsidRPr="007C68E4">
        <w:rPr>
          <w:iCs/>
        </w:rPr>
        <w:t>to derive a new site-specific guideline value</w:t>
      </w:r>
      <w:r>
        <w:rPr>
          <w:iCs/>
        </w:rPr>
        <w:t xml:space="preserve"> based on background</w:t>
      </w:r>
      <w:r w:rsidR="004D0E1F">
        <w:rPr>
          <w:iCs/>
        </w:rPr>
        <w:t xml:space="preserve"> or </w:t>
      </w:r>
      <w:r>
        <w:rPr>
          <w:iCs/>
        </w:rPr>
        <w:t xml:space="preserve">reference site data </w:t>
      </w:r>
      <w:r w:rsidR="00F43A1B" w:rsidRPr="00F43A1B">
        <w:t>(ANZG 2018)</w:t>
      </w:r>
      <w:r w:rsidRPr="007C68E4">
        <w:rPr>
          <w:iCs/>
        </w:rPr>
        <w:t>.</w:t>
      </w:r>
      <w:r w:rsidR="0016134C">
        <w:rPr>
          <w:iCs/>
        </w:rPr>
        <w:t xml:space="preserve"> </w:t>
      </w:r>
      <w:r w:rsidR="00F43A1B">
        <w:rPr>
          <w:iCs/>
        </w:rPr>
        <w:t>In most cases, t</w:t>
      </w:r>
      <w:r w:rsidR="00F43A1B" w:rsidRPr="007C68E4">
        <w:rPr>
          <w:iCs/>
        </w:rPr>
        <w:t xml:space="preserve">he 80th percentile of the background </w:t>
      </w:r>
      <w:r w:rsidR="00F43A1B">
        <w:rPr>
          <w:iCs/>
        </w:rPr>
        <w:t xml:space="preserve">concentration </w:t>
      </w:r>
      <w:r w:rsidR="00F43A1B" w:rsidRPr="007C68E4">
        <w:rPr>
          <w:iCs/>
        </w:rPr>
        <w:t>becomes the site-specific guideline value</w:t>
      </w:r>
      <w:r w:rsidR="00F43A1B">
        <w:rPr>
          <w:iCs/>
        </w:rPr>
        <w:t xml:space="preserve">. Further guidance on this is provided in </w:t>
      </w:r>
      <w:r w:rsidR="001F3631" w:rsidRPr="00515B5D">
        <w:t>ANZG (2018)</w:t>
      </w:r>
      <w:r w:rsidR="00F43A1B">
        <w:rPr>
          <w:iCs/>
        </w:rPr>
        <w:t xml:space="preserve">. </w:t>
      </w:r>
      <w:r w:rsidR="0016134C">
        <w:rPr>
          <w:iCs/>
        </w:rPr>
        <w:t>Note that local jurisdictions should always be consulted when deriving site-specific guideline values.</w:t>
      </w:r>
    </w:p>
    <w:p w14:paraId="19D62889" w14:textId="5886E7B5" w:rsidR="001303C0" w:rsidRDefault="001303C0" w:rsidP="00734430">
      <w:pPr>
        <w:pStyle w:val="Heading3"/>
      </w:pPr>
      <w:bookmarkStart w:id="57" w:name="_Toc197088520"/>
      <w:bookmarkStart w:id="58" w:name="_Toc199424871"/>
      <w:r>
        <w:t>Reliability classification</w:t>
      </w:r>
      <w:bookmarkEnd w:id="57"/>
      <w:bookmarkEnd w:id="58"/>
    </w:p>
    <w:p w14:paraId="5F4B44B7" w14:textId="5C1B011F" w:rsidR="001303C0" w:rsidRDefault="001303C0" w:rsidP="001303C0">
      <w:pPr>
        <w:rPr>
          <w:lang w:eastAsia="ja-JP"/>
        </w:rPr>
      </w:pPr>
      <w:r>
        <w:rPr>
          <w:lang w:eastAsia="ja-JP"/>
        </w:rPr>
        <w:t xml:space="preserve">The total iron freshwater DGVs have a </w:t>
      </w:r>
      <w:r w:rsidR="00A043EC">
        <w:rPr>
          <w:lang w:eastAsia="ja-JP"/>
        </w:rPr>
        <w:t xml:space="preserve">very </w:t>
      </w:r>
      <w:r w:rsidR="00475BB5">
        <w:rPr>
          <w:lang w:eastAsia="ja-JP"/>
        </w:rPr>
        <w:t xml:space="preserve">high </w:t>
      </w:r>
      <w:r>
        <w:rPr>
          <w:lang w:eastAsia="ja-JP"/>
        </w:rPr>
        <w:t xml:space="preserve">reliability classification (Warne et al. 2018) based on the outcomes for the following </w:t>
      </w:r>
      <w:r w:rsidR="004D0E1F">
        <w:rPr>
          <w:lang w:eastAsia="ja-JP"/>
        </w:rPr>
        <w:t xml:space="preserve">3 </w:t>
      </w:r>
      <w:r>
        <w:rPr>
          <w:lang w:eastAsia="ja-JP"/>
        </w:rPr>
        <w:t>criteria:</w:t>
      </w:r>
    </w:p>
    <w:p w14:paraId="6597F8E5" w14:textId="1306E445" w:rsidR="001303C0" w:rsidRPr="00583D6D" w:rsidRDefault="001303C0" w:rsidP="001303C0">
      <w:pPr>
        <w:pStyle w:val="ListBullet"/>
        <w:rPr>
          <w:lang w:eastAsia="ja-JP"/>
        </w:rPr>
      </w:pPr>
      <w:r w:rsidRPr="00583D6D">
        <w:rPr>
          <w:lang w:eastAsia="ja-JP"/>
        </w:rPr>
        <w:t>Sample size</w:t>
      </w:r>
      <w:r w:rsidR="001F3631">
        <w:rPr>
          <w:lang w:eastAsia="ja-JP"/>
        </w:rPr>
        <w:t xml:space="preserve"> – </w:t>
      </w:r>
      <w:r w:rsidR="00B20C46">
        <w:rPr>
          <w:lang w:eastAsia="ja-JP"/>
        </w:rPr>
        <w:t>2</w:t>
      </w:r>
      <w:r w:rsidR="005F36C7">
        <w:rPr>
          <w:lang w:eastAsia="ja-JP"/>
        </w:rPr>
        <w:t>0</w:t>
      </w:r>
      <w:r w:rsidR="008F5A5A">
        <w:rPr>
          <w:lang w:eastAsia="ja-JP"/>
        </w:rPr>
        <w:t xml:space="preserve"> </w:t>
      </w:r>
      <w:r>
        <w:rPr>
          <w:lang w:eastAsia="ja-JP"/>
        </w:rPr>
        <w:t>(</w:t>
      </w:r>
      <w:r w:rsidR="00A043EC">
        <w:rPr>
          <w:lang w:eastAsia="ja-JP"/>
        </w:rPr>
        <w:t>preferred</w:t>
      </w:r>
      <w:r>
        <w:rPr>
          <w:lang w:eastAsia="ja-JP"/>
        </w:rPr>
        <w:t>)</w:t>
      </w:r>
    </w:p>
    <w:p w14:paraId="332F6BAD" w14:textId="0A6FF506" w:rsidR="00D862FC" w:rsidRPr="00583D6D" w:rsidRDefault="001303C0" w:rsidP="001303C0">
      <w:pPr>
        <w:pStyle w:val="ListBullet"/>
        <w:rPr>
          <w:lang w:eastAsia="ja-JP"/>
        </w:rPr>
      </w:pPr>
      <w:r w:rsidRPr="00583D6D">
        <w:rPr>
          <w:lang w:eastAsia="ja-JP"/>
        </w:rPr>
        <w:t>Type of toxicity data</w:t>
      </w:r>
      <w:r w:rsidR="001F3631">
        <w:rPr>
          <w:lang w:eastAsia="ja-JP"/>
        </w:rPr>
        <w:t xml:space="preserve"> – </w:t>
      </w:r>
      <w:r w:rsidRPr="00583D6D">
        <w:rPr>
          <w:lang w:eastAsia="ja-JP"/>
        </w:rPr>
        <w:t>chronic</w:t>
      </w:r>
    </w:p>
    <w:p w14:paraId="164E8334" w14:textId="0417A560" w:rsidR="00D862FC" w:rsidRPr="00D862FC" w:rsidRDefault="001303C0" w:rsidP="00D862FC">
      <w:pPr>
        <w:pStyle w:val="ListBullet"/>
        <w:rPr>
          <w:lang w:eastAsia="ja-JP"/>
        </w:rPr>
      </w:pPr>
      <w:r w:rsidRPr="00583D6D">
        <w:rPr>
          <w:lang w:eastAsia="ja-JP"/>
        </w:rPr>
        <w:t>SSD model fit</w:t>
      </w:r>
      <w:r w:rsidR="001F3631">
        <w:rPr>
          <w:lang w:eastAsia="ja-JP"/>
        </w:rPr>
        <w:t xml:space="preserve"> – </w:t>
      </w:r>
      <w:r w:rsidR="00FA61AE">
        <w:rPr>
          <w:lang w:eastAsia="ja-JP"/>
        </w:rPr>
        <w:t>good</w:t>
      </w:r>
      <w:r w:rsidR="00FA61AE" w:rsidRPr="00583D6D">
        <w:rPr>
          <w:lang w:eastAsia="ja-JP"/>
        </w:rPr>
        <w:t xml:space="preserve"> </w:t>
      </w:r>
      <w:r w:rsidRPr="00583D6D">
        <w:rPr>
          <w:lang w:eastAsia="ja-JP"/>
        </w:rPr>
        <w:t>(</w:t>
      </w:r>
      <w:r w:rsidR="00D862FC">
        <w:rPr>
          <w:lang w:eastAsia="ja-JP"/>
        </w:rPr>
        <w:t>Burr Type III</w:t>
      </w:r>
      <w:r w:rsidRPr="00583D6D">
        <w:rPr>
          <w:lang w:eastAsia="ja-JP"/>
        </w:rPr>
        <w:t xml:space="preserve"> model).</w:t>
      </w:r>
    </w:p>
    <w:p w14:paraId="2A75AA25" w14:textId="6268812F" w:rsidR="000756BD" w:rsidRDefault="00215865" w:rsidP="001303C0">
      <w:pPr>
        <w:pStyle w:val="Heading2"/>
        <w:numPr>
          <w:ilvl w:val="0"/>
          <w:numId w:val="0"/>
        </w:numPr>
      </w:pPr>
      <w:bookmarkStart w:id="59" w:name="_Ref195456441"/>
      <w:bookmarkStart w:id="60" w:name="_Toc197088521"/>
      <w:bookmarkStart w:id="61" w:name="_Toc197783776"/>
      <w:bookmarkStart w:id="62" w:name="_Toc199424872"/>
      <w:r>
        <w:lastRenderedPageBreak/>
        <w:t>G</w:t>
      </w:r>
      <w:r w:rsidR="001303C0">
        <w:t>lossary</w:t>
      </w:r>
      <w:r w:rsidR="00A933ED">
        <w:t xml:space="preserve"> and acronyms</w:t>
      </w:r>
      <w:bookmarkEnd w:id="59"/>
      <w:bookmarkEnd w:id="60"/>
      <w:bookmarkEnd w:id="61"/>
      <w:bookmarkEnd w:id="62"/>
    </w:p>
    <w:tbl>
      <w:tblPr>
        <w:tblW w:w="5000" w:type="pct"/>
        <w:tblBorders>
          <w:top w:val="single" w:sz="4" w:space="0" w:color="auto"/>
          <w:bottom w:val="single" w:sz="4" w:space="0" w:color="auto"/>
        </w:tblBorders>
        <w:tblLook w:val="0420" w:firstRow="1" w:lastRow="0" w:firstColumn="0" w:lastColumn="0" w:noHBand="0" w:noVBand="1"/>
      </w:tblPr>
      <w:tblGrid>
        <w:gridCol w:w="2737"/>
        <w:gridCol w:w="6333"/>
      </w:tblGrid>
      <w:tr w:rsidR="001303C0" w:rsidRPr="00585FD8" w14:paraId="7B4234B7" w14:textId="77777777" w:rsidTr="00B65E15">
        <w:trPr>
          <w:cantSplit/>
          <w:tblHeader/>
        </w:trPr>
        <w:tc>
          <w:tcPr>
            <w:tcW w:w="1509" w:type="pct"/>
            <w:tcBorders>
              <w:top w:val="single" w:sz="12" w:space="0" w:color="auto"/>
              <w:bottom w:val="single" w:sz="12" w:space="0" w:color="auto"/>
            </w:tcBorders>
          </w:tcPr>
          <w:p w14:paraId="538DCD28" w14:textId="77777777" w:rsidR="001303C0" w:rsidRPr="00585FD8" w:rsidRDefault="001303C0" w:rsidP="007336AC">
            <w:pPr>
              <w:pStyle w:val="TableHeading"/>
              <w:rPr>
                <w:lang w:eastAsia="ja-JP"/>
              </w:rPr>
            </w:pPr>
            <w:r w:rsidRPr="00585FD8">
              <w:rPr>
                <w:lang w:eastAsia="ja-JP"/>
              </w:rPr>
              <w:t>Term</w:t>
            </w:r>
          </w:p>
        </w:tc>
        <w:tc>
          <w:tcPr>
            <w:tcW w:w="3491" w:type="pct"/>
            <w:tcBorders>
              <w:top w:val="single" w:sz="12" w:space="0" w:color="auto"/>
              <w:bottom w:val="single" w:sz="12" w:space="0" w:color="auto"/>
            </w:tcBorders>
          </w:tcPr>
          <w:p w14:paraId="0204551F" w14:textId="77777777" w:rsidR="001303C0" w:rsidRPr="00585FD8" w:rsidRDefault="001303C0" w:rsidP="007336AC">
            <w:pPr>
              <w:pStyle w:val="TableHeading"/>
              <w:rPr>
                <w:lang w:eastAsia="ja-JP"/>
              </w:rPr>
            </w:pPr>
            <w:r w:rsidRPr="00585FD8">
              <w:rPr>
                <w:lang w:eastAsia="ja-JP"/>
              </w:rPr>
              <w:t>Definition</w:t>
            </w:r>
          </w:p>
        </w:tc>
      </w:tr>
      <w:tr w:rsidR="00A62CDD" w:rsidRPr="00585FD8" w14:paraId="14D47F02" w14:textId="77777777" w:rsidTr="00B65E15">
        <w:tc>
          <w:tcPr>
            <w:tcW w:w="1509" w:type="pct"/>
            <w:tcBorders>
              <w:top w:val="single" w:sz="12" w:space="0" w:color="auto"/>
              <w:bottom w:val="single" w:sz="4" w:space="0" w:color="auto"/>
            </w:tcBorders>
          </w:tcPr>
          <w:p w14:paraId="35ED4200" w14:textId="341EC4A2" w:rsidR="00A62CDD" w:rsidRPr="00585FD8" w:rsidRDefault="00A62CDD" w:rsidP="00A62CDD">
            <w:pPr>
              <w:pStyle w:val="TableText"/>
              <w:rPr>
                <w:lang w:eastAsia="ja-JP"/>
              </w:rPr>
            </w:pPr>
            <w:r>
              <w:rPr>
                <w:lang w:eastAsia="ja-JP"/>
              </w:rPr>
              <w:t>A</w:t>
            </w:r>
            <w:r w:rsidRPr="00585FD8">
              <w:rPr>
                <w:lang w:eastAsia="ja-JP"/>
              </w:rPr>
              <w:t>cute toxicity</w:t>
            </w:r>
          </w:p>
        </w:tc>
        <w:tc>
          <w:tcPr>
            <w:tcW w:w="3491" w:type="pct"/>
            <w:tcBorders>
              <w:top w:val="single" w:sz="12" w:space="0" w:color="auto"/>
              <w:bottom w:val="single" w:sz="4" w:space="0" w:color="auto"/>
            </w:tcBorders>
          </w:tcPr>
          <w:p w14:paraId="6A09CB98" w14:textId="5BE859D2" w:rsidR="00A62CDD" w:rsidRPr="00585FD8" w:rsidRDefault="00A62CDD" w:rsidP="00A62CDD">
            <w:pPr>
              <w:pStyle w:val="TableText"/>
              <w:rPr>
                <w:lang w:eastAsia="ja-JP"/>
              </w:rPr>
            </w:pPr>
            <w:r w:rsidRPr="00BE3065">
              <w:rPr>
                <w:lang w:eastAsia="ja-JP"/>
              </w:rPr>
              <w:t xml:space="preserve">A lethal or adverse sub-lethal effect that occurs </w:t>
            </w:r>
            <w:r>
              <w:rPr>
                <w:lang w:eastAsia="ja-JP"/>
              </w:rPr>
              <w:t xml:space="preserve">as </w:t>
            </w:r>
            <w:r w:rsidR="00A93C9E">
              <w:rPr>
                <w:lang w:eastAsia="ja-JP"/>
              </w:rPr>
              <w:t>due to</w:t>
            </w:r>
            <w:r>
              <w:rPr>
                <w:lang w:eastAsia="ja-JP"/>
              </w:rPr>
              <w:t xml:space="preserve"> a </w:t>
            </w:r>
            <w:r w:rsidRPr="00BE3065">
              <w:rPr>
                <w:lang w:eastAsia="ja-JP"/>
              </w:rPr>
              <w:t>short</w:t>
            </w:r>
            <w:r>
              <w:rPr>
                <w:lang w:eastAsia="ja-JP"/>
              </w:rPr>
              <w:t xml:space="preserve"> (relative to the organism’s life span) exposure to a chemical</w:t>
            </w:r>
            <w:r w:rsidRPr="00BE3065">
              <w:rPr>
                <w:lang w:eastAsia="ja-JP"/>
              </w:rPr>
              <w:t xml:space="preserve">. Refer to Warne et al. </w:t>
            </w:r>
            <w:r>
              <w:rPr>
                <w:lang w:eastAsia="ja-JP"/>
              </w:rPr>
              <w:t>(2018)</w:t>
            </w:r>
            <w:r w:rsidRPr="00BE3065">
              <w:rPr>
                <w:lang w:eastAsia="ja-JP"/>
              </w:rPr>
              <w:t xml:space="preserve"> for examples of acute exposures.</w:t>
            </w:r>
          </w:p>
        </w:tc>
      </w:tr>
      <w:tr w:rsidR="006A4C9F" w:rsidRPr="00585FD8" w14:paraId="5BD937A2" w14:textId="77777777" w:rsidTr="00B65E15">
        <w:tc>
          <w:tcPr>
            <w:tcW w:w="1509" w:type="pct"/>
            <w:tcBorders>
              <w:top w:val="single" w:sz="4" w:space="0" w:color="auto"/>
              <w:bottom w:val="single" w:sz="4" w:space="0" w:color="auto"/>
            </w:tcBorders>
          </w:tcPr>
          <w:p w14:paraId="37191BB6" w14:textId="5C4168B4" w:rsidR="006A4C9F" w:rsidRPr="00585FD8" w:rsidRDefault="006A4C9F" w:rsidP="006A4C9F">
            <w:pPr>
              <w:pStyle w:val="TableText"/>
              <w:rPr>
                <w:lang w:eastAsia="ja-JP"/>
              </w:rPr>
            </w:pPr>
            <w:r>
              <w:rPr>
                <w:lang w:eastAsia="ja-JP"/>
              </w:rPr>
              <w:t>A</w:t>
            </w:r>
            <w:r w:rsidRPr="00585FD8">
              <w:rPr>
                <w:lang w:eastAsia="ja-JP"/>
              </w:rPr>
              <w:t>cute</w:t>
            </w:r>
            <w:r>
              <w:rPr>
                <w:lang w:eastAsia="ja-JP"/>
              </w:rPr>
              <w:t>-</w:t>
            </w:r>
            <w:r w:rsidRPr="00585FD8">
              <w:rPr>
                <w:lang w:eastAsia="ja-JP"/>
              </w:rPr>
              <w:t>to</w:t>
            </w:r>
            <w:r>
              <w:rPr>
                <w:lang w:eastAsia="ja-JP"/>
              </w:rPr>
              <w:t>-</w:t>
            </w:r>
            <w:r w:rsidRPr="00585FD8">
              <w:rPr>
                <w:lang w:eastAsia="ja-JP"/>
              </w:rPr>
              <w:t>chronic ratio</w:t>
            </w:r>
          </w:p>
        </w:tc>
        <w:tc>
          <w:tcPr>
            <w:tcW w:w="3491" w:type="pct"/>
            <w:tcBorders>
              <w:top w:val="single" w:sz="4" w:space="0" w:color="auto"/>
              <w:bottom w:val="single" w:sz="4" w:space="0" w:color="auto"/>
            </w:tcBorders>
          </w:tcPr>
          <w:p w14:paraId="5948E07E" w14:textId="545ABB39" w:rsidR="006A4C9F" w:rsidRPr="00585FD8" w:rsidRDefault="006A4C9F" w:rsidP="006A4C9F">
            <w:pPr>
              <w:pStyle w:val="TableText"/>
              <w:rPr>
                <w:lang w:eastAsia="ja-JP"/>
              </w:rPr>
            </w:pPr>
            <w:r>
              <w:rPr>
                <w:lang w:eastAsia="ja-JP"/>
              </w:rPr>
              <w:t>T</w:t>
            </w:r>
            <w:r w:rsidRPr="00BE3065">
              <w:rPr>
                <w:lang w:eastAsia="ja-JP"/>
              </w:rPr>
              <w:t>he species</w:t>
            </w:r>
            <w:r>
              <w:rPr>
                <w:lang w:eastAsia="ja-JP"/>
              </w:rPr>
              <w:t>’</w:t>
            </w:r>
            <w:r w:rsidRPr="00BE3065">
              <w:rPr>
                <w:lang w:eastAsia="ja-JP"/>
              </w:rPr>
              <w:t xml:space="preserve"> mean acute value (LC/EC50) divided by the chronic value (e.g. NOEC or EC10) for the same species.</w:t>
            </w:r>
          </w:p>
        </w:tc>
      </w:tr>
      <w:tr w:rsidR="00620280" w:rsidRPr="00585FD8" w14:paraId="45CA8D71" w14:textId="77777777" w:rsidTr="00B65E15">
        <w:tc>
          <w:tcPr>
            <w:tcW w:w="1509" w:type="pct"/>
            <w:tcBorders>
              <w:top w:val="single" w:sz="4" w:space="0" w:color="auto"/>
              <w:bottom w:val="single" w:sz="4" w:space="0" w:color="auto"/>
            </w:tcBorders>
          </w:tcPr>
          <w:p w14:paraId="5A945649" w14:textId="2D2F56D0" w:rsidR="00620280" w:rsidRPr="00585FD8" w:rsidRDefault="00620280" w:rsidP="007336AC">
            <w:pPr>
              <w:pStyle w:val="TableText"/>
              <w:rPr>
                <w:lang w:eastAsia="ja-JP"/>
              </w:rPr>
            </w:pPr>
            <w:r>
              <w:rPr>
                <w:lang w:eastAsia="ja-JP"/>
              </w:rPr>
              <w:t xml:space="preserve">Assessment </w:t>
            </w:r>
            <w:r w:rsidR="00324203">
              <w:rPr>
                <w:lang w:eastAsia="ja-JP"/>
              </w:rPr>
              <w:t>f</w:t>
            </w:r>
            <w:r>
              <w:rPr>
                <w:lang w:eastAsia="ja-JP"/>
              </w:rPr>
              <w:t>actor</w:t>
            </w:r>
          </w:p>
        </w:tc>
        <w:tc>
          <w:tcPr>
            <w:tcW w:w="3491" w:type="pct"/>
            <w:tcBorders>
              <w:top w:val="single" w:sz="4" w:space="0" w:color="auto"/>
              <w:bottom w:val="single" w:sz="4" w:space="0" w:color="auto"/>
            </w:tcBorders>
          </w:tcPr>
          <w:p w14:paraId="07BF025E" w14:textId="1810A8A5" w:rsidR="00620280" w:rsidRPr="00620280" w:rsidRDefault="00620280" w:rsidP="00620280">
            <w:pPr>
              <w:pStyle w:val="TableText"/>
            </w:pPr>
            <w:r w:rsidRPr="00620280">
              <w:t xml:space="preserve">A unitless number applied to the lowest toxicity figure for a chemical to derive a concentration that should not cause adverse environmental effects. The size of the </w:t>
            </w:r>
            <w:r w:rsidR="006A4C9F">
              <w:t>a</w:t>
            </w:r>
            <w:r>
              <w:t xml:space="preserve">ssessment </w:t>
            </w:r>
            <w:r w:rsidR="006A4C9F">
              <w:t>f</w:t>
            </w:r>
            <w:r>
              <w:t>actor</w:t>
            </w:r>
            <w:r w:rsidRPr="00620280">
              <w:t xml:space="preserve"> varies with the type of data. Also called ‘application factor’ or ‘safety factor’.</w:t>
            </w:r>
          </w:p>
        </w:tc>
      </w:tr>
      <w:tr w:rsidR="00620280" w:rsidRPr="00585FD8" w14:paraId="2661FBFB" w14:textId="77777777" w:rsidTr="00B65E15">
        <w:tc>
          <w:tcPr>
            <w:tcW w:w="1509" w:type="pct"/>
            <w:tcBorders>
              <w:top w:val="single" w:sz="4" w:space="0" w:color="auto"/>
              <w:bottom w:val="single" w:sz="4" w:space="0" w:color="auto"/>
            </w:tcBorders>
          </w:tcPr>
          <w:p w14:paraId="4DD988A1" w14:textId="180C9F95" w:rsidR="00620280" w:rsidRPr="00585FD8" w:rsidRDefault="00620280" w:rsidP="007336AC">
            <w:pPr>
              <w:pStyle w:val="TableText"/>
              <w:rPr>
                <w:lang w:eastAsia="ja-JP"/>
              </w:rPr>
            </w:pPr>
            <w:r>
              <w:rPr>
                <w:lang w:eastAsia="ja-JP"/>
              </w:rPr>
              <w:t>Benthic</w:t>
            </w:r>
          </w:p>
        </w:tc>
        <w:tc>
          <w:tcPr>
            <w:tcW w:w="3491" w:type="pct"/>
            <w:tcBorders>
              <w:top w:val="single" w:sz="4" w:space="0" w:color="auto"/>
              <w:bottom w:val="single" w:sz="4" w:space="0" w:color="auto"/>
            </w:tcBorders>
          </w:tcPr>
          <w:p w14:paraId="2D5B65ED" w14:textId="028FEEBD" w:rsidR="00620280" w:rsidRPr="00620280" w:rsidRDefault="00620280" w:rsidP="00620280">
            <w:pPr>
              <w:pStyle w:val="TableText"/>
            </w:pPr>
            <w:r w:rsidRPr="00620280">
              <w:t>Refers to organisms living in or on the sediments of aquatic habitats (e.g. lakes, rivers, ponds).</w:t>
            </w:r>
          </w:p>
        </w:tc>
      </w:tr>
      <w:tr w:rsidR="00620280" w:rsidRPr="00585FD8" w14:paraId="1BE3B81E" w14:textId="77777777" w:rsidTr="00B65E15">
        <w:tc>
          <w:tcPr>
            <w:tcW w:w="1509" w:type="pct"/>
            <w:tcBorders>
              <w:top w:val="single" w:sz="4" w:space="0" w:color="auto"/>
              <w:bottom w:val="single" w:sz="4" w:space="0" w:color="auto"/>
            </w:tcBorders>
          </w:tcPr>
          <w:p w14:paraId="7472C505" w14:textId="0A1B1E29" w:rsidR="00620280" w:rsidRDefault="00620280" w:rsidP="007336AC">
            <w:pPr>
              <w:pStyle w:val="TableText"/>
              <w:rPr>
                <w:lang w:eastAsia="ja-JP"/>
              </w:rPr>
            </w:pPr>
            <w:r>
              <w:rPr>
                <w:lang w:eastAsia="ja-JP"/>
              </w:rPr>
              <w:t>Bioaccumulation</w:t>
            </w:r>
          </w:p>
        </w:tc>
        <w:tc>
          <w:tcPr>
            <w:tcW w:w="3491" w:type="pct"/>
            <w:tcBorders>
              <w:top w:val="single" w:sz="4" w:space="0" w:color="auto"/>
              <w:bottom w:val="single" w:sz="4" w:space="0" w:color="auto"/>
            </w:tcBorders>
          </w:tcPr>
          <w:p w14:paraId="71FD4241" w14:textId="2AB80F2E" w:rsidR="00620280" w:rsidRPr="00620280" w:rsidRDefault="00620280" w:rsidP="00620280">
            <w:pPr>
              <w:pStyle w:val="TableText"/>
            </w:pPr>
            <w:r w:rsidRPr="00620280">
              <w:t>The process by which chemical substances are accumulated by aquatic organisms by all routes of exposures (dietary and the ambient environment).</w:t>
            </w:r>
          </w:p>
        </w:tc>
      </w:tr>
      <w:tr w:rsidR="007F2B34" w:rsidRPr="00585FD8" w14:paraId="2004086C" w14:textId="77777777" w:rsidTr="00B65E15">
        <w:tc>
          <w:tcPr>
            <w:tcW w:w="1509" w:type="pct"/>
            <w:tcBorders>
              <w:top w:val="single" w:sz="4" w:space="0" w:color="auto"/>
              <w:bottom w:val="single" w:sz="4" w:space="0" w:color="auto"/>
            </w:tcBorders>
          </w:tcPr>
          <w:p w14:paraId="3D1C81F6" w14:textId="522291BD" w:rsidR="007F2B34" w:rsidRPr="00585FD8" w:rsidRDefault="007F2B34" w:rsidP="007F2B34">
            <w:pPr>
              <w:pStyle w:val="TableText"/>
              <w:rPr>
                <w:lang w:eastAsia="ja-JP"/>
              </w:rPr>
            </w:pPr>
            <w:r>
              <w:rPr>
                <w:lang w:eastAsia="ja-JP"/>
              </w:rPr>
              <w:t>C</w:t>
            </w:r>
            <w:r w:rsidRPr="00585FD8">
              <w:rPr>
                <w:lang w:eastAsia="ja-JP"/>
              </w:rPr>
              <w:t>hronic toxicity</w:t>
            </w:r>
          </w:p>
        </w:tc>
        <w:tc>
          <w:tcPr>
            <w:tcW w:w="3491" w:type="pct"/>
            <w:tcBorders>
              <w:top w:val="single" w:sz="4" w:space="0" w:color="auto"/>
              <w:bottom w:val="single" w:sz="4" w:space="0" w:color="auto"/>
            </w:tcBorders>
          </w:tcPr>
          <w:p w14:paraId="09B280CE" w14:textId="7461864B" w:rsidR="007F2B34" w:rsidRPr="00585FD8" w:rsidRDefault="007F2B34" w:rsidP="007F2B34">
            <w:pPr>
              <w:pStyle w:val="TableText"/>
              <w:rPr>
                <w:lang w:eastAsia="ja-JP"/>
              </w:rPr>
            </w:pPr>
            <w:r w:rsidRPr="00BE3065">
              <w:rPr>
                <w:lang w:eastAsia="ja-JP"/>
              </w:rPr>
              <w:t xml:space="preserve">A lethal or sub-lethal adverse effect that occurs </w:t>
            </w:r>
            <w:r>
              <w:rPr>
                <w:lang w:eastAsia="ja-JP"/>
              </w:rPr>
              <w:t>as the result of</w:t>
            </w:r>
            <w:r w:rsidRPr="00BE3065">
              <w:rPr>
                <w:lang w:eastAsia="ja-JP"/>
              </w:rPr>
              <w:t xml:space="preserve"> exposure to a chemical for a period that is a substantial portion of the organism’s life span or an adverse </w:t>
            </w:r>
            <w:r>
              <w:rPr>
                <w:lang w:eastAsia="ja-JP"/>
              </w:rPr>
              <w:t xml:space="preserve">sub-lethal </w:t>
            </w:r>
            <w:r w:rsidRPr="00BE3065">
              <w:rPr>
                <w:lang w:eastAsia="ja-JP"/>
              </w:rPr>
              <w:t>effect on a sensitive early life stage.</w:t>
            </w:r>
            <w:r w:rsidRPr="00585FD8">
              <w:rPr>
                <w:lang w:eastAsia="ja-JP"/>
              </w:rPr>
              <w:t xml:space="preserve"> Refer to Warne et al. (201</w:t>
            </w:r>
            <w:r>
              <w:rPr>
                <w:lang w:eastAsia="ja-JP"/>
              </w:rPr>
              <w:t>8</w:t>
            </w:r>
            <w:r w:rsidRPr="00585FD8">
              <w:rPr>
                <w:lang w:eastAsia="ja-JP"/>
              </w:rPr>
              <w:t>) for examples of chronic exposures.</w:t>
            </w:r>
          </w:p>
        </w:tc>
      </w:tr>
      <w:tr w:rsidR="001303C0" w:rsidRPr="00585FD8" w14:paraId="4926BC66" w14:textId="77777777" w:rsidTr="00B65E15">
        <w:tc>
          <w:tcPr>
            <w:tcW w:w="1509" w:type="pct"/>
            <w:tcBorders>
              <w:top w:val="single" w:sz="4" w:space="0" w:color="auto"/>
              <w:bottom w:val="single" w:sz="4" w:space="0" w:color="auto"/>
            </w:tcBorders>
          </w:tcPr>
          <w:p w14:paraId="55C3E9CE" w14:textId="40123989" w:rsidR="001303C0" w:rsidRPr="00585FD8" w:rsidRDefault="00324203" w:rsidP="007336AC">
            <w:pPr>
              <w:pStyle w:val="TableText"/>
              <w:rPr>
                <w:lang w:eastAsia="ja-JP"/>
              </w:rPr>
            </w:pPr>
            <w:r>
              <w:rPr>
                <w:lang w:eastAsia="ja-JP"/>
              </w:rPr>
              <w:t>D</w:t>
            </w:r>
            <w:r w:rsidR="001303C0" w:rsidRPr="00585FD8">
              <w:rPr>
                <w:lang w:eastAsia="ja-JP"/>
              </w:rPr>
              <w:t>efault guideline value (DGV)</w:t>
            </w:r>
          </w:p>
        </w:tc>
        <w:tc>
          <w:tcPr>
            <w:tcW w:w="3491" w:type="pct"/>
            <w:tcBorders>
              <w:top w:val="single" w:sz="4" w:space="0" w:color="auto"/>
              <w:bottom w:val="single" w:sz="4" w:space="0" w:color="auto"/>
            </w:tcBorders>
          </w:tcPr>
          <w:p w14:paraId="57ED641E" w14:textId="32506797" w:rsidR="001303C0" w:rsidRPr="00585FD8" w:rsidRDefault="001303C0" w:rsidP="007336AC">
            <w:pPr>
              <w:pStyle w:val="TableText"/>
              <w:rPr>
                <w:lang w:eastAsia="ja-JP"/>
              </w:rPr>
            </w:pPr>
            <w:r w:rsidRPr="00585FD8">
              <w:rPr>
                <w:lang w:eastAsia="ja-JP"/>
              </w:rPr>
              <w:t xml:space="preserve">A guideline value recommended for generic application in the absence of a more specific guideline value (e.g. </w:t>
            </w:r>
            <w:r w:rsidR="0065668F">
              <w:rPr>
                <w:lang w:eastAsia="ja-JP"/>
              </w:rPr>
              <w:t xml:space="preserve">a </w:t>
            </w:r>
            <w:r w:rsidRPr="00585FD8">
              <w:rPr>
                <w:lang w:eastAsia="ja-JP"/>
              </w:rPr>
              <w:t>site-specific</w:t>
            </w:r>
            <w:r w:rsidR="0065668F">
              <w:rPr>
                <w:lang w:eastAsia="ja-JP"/>
              </w:rPr>
              <w:t xml:space="preserve"> value</w:t>
            </w:r>
            <w:r w:rsidRPr="00585FD8">
              <w:rPr>
                <w:lang w:eastAsia="ja-JP"/>
              </w:rPr>
              <w:t xml:space="preserve">), in the </w:t>
            </w:r>
            <w:r w:rsidRPr="00CA1026">
              <w:rPr>
                <w:i/>
                <w:lang w:eastAsia="ja-JP"/>
              </w:rPr>
              <w:t>Australian and New Zealand Guidelines for Fresh and Marine Water Quality</w:t>
            </w:r>
            <w:r w:rsidRPr="00585FD8">
              <w:rPr>
                <w:lang w:eastAsia="ja-JP"/>
              </w:rPr>
              <w:t>.</w:t>
            </w:r>
            <w:r w:rsidR="0065668F">
              <w:rPr>
                <w:lang w:eastAsia="ja-JP"/>
              </w:rPr>
              <w:t xml:space="preserve"> Formerly known as ‘trigger values’.</w:t>
            </w:r>
          </w:p>
        </w:tc>
      </w:tr>
      <w:tr w:rsidR="007F2A91" w:rsidRPr="00585FD8" w14:paraId="3806E89B" w14:textId="77777777" w:rsidTr="00B65E15">
        <w:tc>
          <w:tcPr>
            <w:tcW w:w="1509" w:type="pct"/>
            <w:tcBorders>
              <w:top w:val="single" w:sz="4" w:space="0" w:color="auto"/>
              <w:bottom w:val="single" w:sz="4" w:space="0" w:color="auto"/>
            </w:tcBorders>
          </w:tcPr>
          <w:p w14:paraId="73871F39" w14:textId="68CF9E7D" w:rsidR="007F2A91" w:rsidRDefault="007F2A91" w:rsidP="007336AC">
            <w:pPr>
              <w:pStyle w:val="TableText"/>
              <w:rPr>
                <w:lang w:eastAsia="ja-JP"/>
              </w:rPr>
            </w:pPr>
            <w:r>
              <w:rPr>
                <w:lang w:eastAsia="ja-JP"/>
              </w:rPr>
              <w:t>DOC</w:t>
            </w:r>
          </w:p>
        </w:tc>
        <w:tc>
          <w:tcPr>
            <w:tcW w:w="3491" w:type="pct"/>
            <w:tcBorders>
              <w:top w:val="single" w:sz="4" w:space="0" w:color="auto"/>
              <w:bottom w:val="single" w:sz="4" w:space="0" w:color="auto"/>
            </w:tcBorders>
          </w:tcPr>
          <w:p w14:paraId="21C5B03D" w14:textId="7DBBD6EB" w:rsidR="007F2A91" w:rsidRPr="00585FD8" w:rsidRDefault="007F2A91" w:rsidP="007336AC">
            <w:pPr>
              <w:pStyle w:val="TableText"/>
              <w:rPr>
                <w:lang w:eastAsia="ja-JP"/>
              </w:rPr>
            </w:pPr>
            <w:r>
              <w:rPr>
                <w:lang w:eastAsia="ja-JP"/>
              </w:rPr>
              <w:t>Dissolved organic carbon.</w:t>
            </w:r>
          </w:p>
        </w:tc>
      </w:tr>
      <w:tr w:rsidR="00192372" w:rsidRPr="00585FD8" w14:paraId="67F6BDD1" w14:textId="77777777" w:rsidTr="00B65E15">
        <w:tc>
          <w:tcPr>
            <w:tcW w:w="1509" w:type="pct"/>
            <w:tcBorders>
              <w:top w:val="single" w:sz="4" w:space="0" w:color="auto"/>
              <w:bottom w:val="single" w:sz="4" w:space="0" w:color="auto"/>
            </w:tcBorders>
          </w:tcPr>
          <w:p w14:paraId="6E16654D" w14:textId="163607B3" w:rsidR="00192372" w:rsidRPr="00585FD8" w:rsidRDefault="00192372" w:rsidP="00192372">
            <w:pPr>
              <w:pStyle w:val="TableText"/>
              <w:rPr>
                <w:lang w:eastAsia="ja-JP"/>
              </w:rPr>
            </w:pPr>
            <w:r w:rsidRPr="00745640">
              <w:t>ECx</w:t>
            </w:r>
          </w:p>
        </w:tc>
        <w:tc>
          <w:tcPr>
            <w:tcW w:w="3491" w:type="pct"/>
            <w:tcBorders>
              <w:top w:val="single" w:sz="4" w:space="0" w:color="auto"/>
              <w:bottom w:val="single" w:sz="4" w:space="0" w:color="auto"/>
            </w:tcBorders>
          </w:tcPr>
          <w:p w14:paraId="6C39296A" w14:textId="31D22A15" w:rsidR="00192372" w:rsidRPr="00585FD8" w:rsidRDefault="00192372" w:rsidP="00192372">
            <w:pPr>
              <w:pStyle w:val="TableText"/>
              <w:rPr>
                <w:lang w:eastAsia="ja-JP"/>
              </w:rPr>
            </w:pPr>
            <w:r>
              <w:t>T</w:t>
            </w:r>
            <w:r w:rsidRPr="00134FA7">
              <w:t>he concentration of a substance in water or sediment that is estimated to produce an x% change in the response being measured or a certain effect in x% of the test organisms, under specified conditions.</w:t>
            </w:r>
          </w:p>
        </w:tc>
      </w:tr>
      <w:tr w:rsidR="001303C0" w:rsidRPr="00585FD8" w14:paraId="07F4616F" w14:textId="77777777" w:rsidTr="00B65E15">
        <w:tc>
          <w:tcPr>
            <w:tcW w:w="1509" w:type="pct"/>
            <w:tcBorders>
              <w:top w:val="single" w:sz="4" w:space="0" w:color="auto"/>
              <w:bottom w:val="single" w:sz="4" w:space="0" w:color="auto"/>
            </w:tcBorders>
          </w:tcPr>
          <w:p w14:paraId="7FDCF3EE" w14:textId="66A5291D" w:rsidR="001303C0" w:rsidRPr="00585FD8" w:rsidRDefault="00324203" w:rsidP="007336AC">
            <w:pPr>
              <w:pStyle w:val="TableText"/>
              <w:rPr>
                <w:lang w:eastAsia="ja-JP"/>
              </w:rPr>
            </w:pPr>
            <w:r>
              <w:rPr>
                <w:lang w:eastAsia="ja-JP"/>
              </w:rPr>
              <w:t>E</w:t>
            </w:r>
            <w:r w:rsidR="001303C0" w:rsidRPr="00585FD8">
              <w:rPr>
                <w:lang w:eastAsia="ja-JP"/>
              </w:rPr>
              <w:t>ndpoint</w:t>
            </w:r>
          </w:p>
        </w:tc>
        <w:tc>
          <w:tcPr>
            <w:tcW w:w="3491" w:type="pct"/>
            <w:tcBorders>
              <w:top w:val="single" w:sz="4" w:space="0" w:color="auto"/>
              <w:bottom w:val="single" w:sz="4" w:space="0" w:color="auto"/>
            </w:tcBorders>
          </w:tcPr>
          <w:p w14:paraId="5A86FF13" w14:textId="77777777" w:rsidR="001303C0" w:rsidRPr="00585FD8" w:rsidRDefault="001303C0" w:rsidP="007336AC">
            <w:pPr>
              <w:pStyle w:val="TableText"/>
              <w:rPr>
                <w:lang w:eastAsia="ja-JP"/>
              </w:rPr>
            </w:pPr>
            <w:r w:rsidRPr="00585FD8">
              <w:rPr>
                <w:lang w:eastAsia="ja-JP"/>
              </w:rPr>
              <w:t>Measured attainment response, typically applied to ecotoxicity or management goals.</w:t>
            </w:r>
          </w:p>
        </w:tc>
      </w:tr>
      <w:tr w:rsidR="00FE298C" w:rsidRPr="00585FD8" w14:paraId="770A37F1" w14:textId="77777777" w:rsidTr="00B65E15">
        <w:tc>
          <w:tcPr>
            <w:tcW w:w="1509" w:type="pct"/>
            <w:tcBorders>
              <w:top w:val="single" w:sz="4" w:space="0" w:color="auto"/>
              <w:bottom w:val="single" w:sz="4" w:space="0" w:color="auto"/>
            </w:tcBorders>
          </w:tcPr>
          <w:p w14:paraId="454A9785" w14:textId="6927344B" w:rsidR="00FE298C" w:rsidRPr="00585FD8" w:rsidRDefault="00FE298C" w:rsidP="00FE298C">
            <w:pPr>
              <w:pStyle w:val="TableText"/>
              <w:rPr>
                <w:lang w:eastAsia="ja-JP"/>
              </w:rPr>
            </w:pPr>
            <w:r>
              <w:rPr>
                <w:lang w:eastAsia="ja-JP"/>
              </w:rPr>
              <w:t>G</w:t>
            </w:r>
            <w:r w:rsidRPr="00585FD8">
              <w:rPr>
                <w:lang w:eastAsia="ja-JP"/>
              </w:rPr>
              <w:t>uideline value (GV)</w:t>
            </w:r>
          </w:p>
        </w:tc>
        <w:tc>
          <w:tcPr>
            <w:tcW w:w="3491" w:type="pct"/>
            <w:tcBorders>
              <w:top w:val="single" w:sz="4" w:space="0" w:color="auto"/>
              <w:bottom w:val="single" w:sz="4" w:space="0" w:color="auto"/>
            </w:tcBorders>
          </w:tcPr>
          <w:p w14:paraId="59A3ABFF" w14:textId="21F9F94C" w:rsidR="00FE298C" w:rsidRPr="00585FD8" w:rsidRDefault="00FE298C" w:rsidP="00FE298C">
            <w:pPr>
              <w:pStyle w:val="TableText"/>
              <w:rPr>
                <w:lang w:eastAsia="ja-JP"/>
              </w:rPr>
            </w:pPr>
            <w:r>
              <w:rPr>
                <w:lang w:eastAsia="ja-JP"/>
              </w:rPr>
              <w:t>A</w:t>
            </w:r>
            <w:r w:rsidRPr="002A43EB">
              <w:rPr>
                <w:lang w:eastAsia="ja-JP"/>
              </w:rPr>
              <w:t xml:space="preserve"> measurable quantity (e.g. concentration) or condition of an indicator for a specific community value below which (or above which, in the case of stressors such as pH, dissolved oxygen and many biodiversity responses) there is considered a low risk of unacceptable effects occurring to that community value. Guideline values for more than one indicator should be used simultaneously in a multiple lines of evidence approach. (Also refer to default guideline value and site-specific guideline value.)</w:t>
            </w:r>
          </w:p>
        </w:tc>
      </w:tr>
      <w:tr w:rsidR="00620280" w:rsidRPr="00585FD8" w14:paraId="628A55C7" w14:textId="77777777" w:rsidTr="00B65E15">
        <w:tc>
          <w:tcPr>
            <w:tcW w:w="1509" w:type="pct"/>
            <w:tcBorders>
              <w:top w:val="single" w:sz="4" w:space="0" w:color="auto"/>
              <w:bottom w:val="single" w:sz="4" w:space="0" w:color="auto"/>
            </w:tcBorders>
          </w:tcPr>
          <w:p w14:paraId="74FA456C" w14:textId="158693B3" w:rsidR="00620280" w:rsidRPr="00585FD8" w:rsidRDefault="00620280" w:rsidP="007336AC">
            <w:pPr>
              <w:pStyle w:val="TableText"/>
              <w:rPr>
                <w:lang w:eastAsia="ja-JP"/>
              </w:rPr>
            </w:pPr>
            <w:r>
              <w:rPr>
                <w:lang w:eastAsia="ja-JP"/>
              </w:rPr>
              <w:t>Humic substances</w:t>
            </w:r>
          </w:p>
        </w:tc>
        <w:tc>
          <w:tcPr>
            <w:tcW w:w="3491" w:type="pct"/>
            <w:tcBorders>
              <w:top w:val="single" w:sz="4" w:space="0" w:color="auto"/>
              <w:bottom w:val="single" w:sz="4" w:space="0" w:color="auto"/>
            </w:tcBorders>
          </w:tcPr>
          <w:p w14:paraId="40464322" w14:textId="5D4730A0" w:rsidR="00620280" w:rsidRPr="00620280" w:rsidRDefault="00620280" w:rsidP="00620280">
            <w:pPr>
              <w:pStyle w:val="TableText"/>
              <w:rPr>
                <w:shd w:val="clear" w:color="auto" w:fill="FFFFFF"/>
              </w:rPr>
            </w:pPr>
            <w:r>
              <w:rPr>
                <w:shd w:val="clear" w:color="auto" w:fill="FFFFFF"/>
              </w:rPr>
              <w:t>Organic substances only partially broken down that occur in water mainly in a colloidal state. Humic acids are large-molecule organic acids that dissolve in water.</w:t>
            </w:r>
          </w:p>
        </w:tc>
      </w:tr>
      <w:tr w:rsidR="0097590D" w:rsidRPr="00585FD8" w14:paraId="6CB7BFC4" w14:textId="77777777" w:rsidTr="00B65E15">
        <w:tc>
          <w:tcPr>
            <w:tcW w:w="1509" w:type="pct"/>
            <w:tcBorders>
              <w:top w:val="single" w:sz="4" w:space="0" w:color="auto"/>
              <w:bottom w:val="single" w:sz="4" w:space="0" w:color="auto"/>
            </w:tcBorders>
          </w:tcPr>
          <w:p w14:paraId="5E10FE60" w14:textId="6DCC0C3D" w:rsidR="0097590D" w:rsidRPr="00585FD8" w:rsidRDefault="0097590D" w:rsidP="0097590D">
            <w:pPr>
              <w:pStyle w:val="TableText"/>
              <w:rPr>
                <w:lang w:eastAsia="ja-JP"/>
              </w:rPr>
            </w:pPr>
            <w:r w:rsidRPr="004B7514">
              <w:t>LCx</w:t>
            </w:r>
          </w:p>
        </w:tc>
        <w:tc>
          <w:tcPr>
            <w:tcW w:w="3491" w:type="pct"/>
            <w:tcBorders>
              <w:top w:val="single" w:sz="4" w:space="0" w:color="auto"/>
              <w:bottom w:val="single" w:sz="4" w:space="0" w:color="auto"/>
            </w:tcBorders>
          </w:tcPr>
          <w:p w14:paraId="4CFBA362" w14:textId="47FE7499" w:rsidR="0097590D" w:rsidRPr="00585FD8" w:rsidRDefault="0097590D" w:rsidP="0097590D">
            <w:pPr>
              <w:pStyle w:val="TableText"/>
              <w:rPr>
                <w:lang w:eastAsia="ja-JP"/>
              </w:rPr>
            </w:pPr>
            <w:r>
              <w:t>T</w:t>
            </w:r>
            <w:r w:rsidRPr="00100EA6">
              <w:t>he concentration of a substance in water or sediment that is estimated to be lethal to x% of a group of test organisms under specified conditions.</w:t>
            </w:r>
          </w:p>
        </w:tc>
      </w:tr>
      <w:tr w:rsidR="001303C0" w:rsidRPr="00585FD8" w14:paraId="4F9353DA" w14:textId="77777777" w:rsidTr="00B65E15">
        <w:tc>
          <w:tcPr>
            <w:tcW w:w="1509" w:type="pct"/>
            <w:tcBorders>
              <w:top w:val="single" w:sz="4" w:space="0" w:color="auto"/>
              <w:bottom w:val="single" w:sz="4" w:space="0" w:color="auto"/>
            </w:tcBorders>
          </w:tcPr>
          <w:p w14:paraId="6044A1E3" w14:textId="2E3C70B1" w:rsidR="001303C0" w:rsidRPr="00585FD8" w:rsidRDefault="001303C0" w:rsidP="007336AC">
            <w:pPr>
              <w:pStyle w:val="TableText"/>
              <w:rPr>
                <w:lang w:eastAsia="ja-JP"/>
              </w:rPr>
            </w:pPr>
            <w:r w:rsidRPr="00585FD8">
              <w:rPr>
                <w:lang w:eastAsia="ja-JP"/>
              </w:rPr>
              <w:t>Lowest</w:t>
            </w:r>
            <w:r w:rsidR="0097590D">
              <w:rPr>
                <w:lang w:eastAsia="ja-JP"/>
              </w:rPr>
              <w:t>-</w:t>
            </w:r>
            <w:r w:rsidRPr="00585FD8">
              <w:rPr>
                <w:lang w:eastAsia="ja-JP"/>
              </w:rPr>
              <w:t>observed</w:t>
            </w:r>
            <w:r w:rsidR="0097590D">
              <w:rPr>
                <w:lang w:eastAsia="ja-JP"/>
              </w:rPr>
              <w:t>-</w:t>
            </w:r>
            <w:r w:rsidRPr="00585FD8">
              <w:rPr>
                <w:lang w:eastAsia="ja-JP"/>
              </w:rPr>
              <w:t>effect concentration</w:t>
            </w:r>
            <w:r w:rsidR="0097590D">
              <w:rPr>
                <w:lang w:eastAsia="ja-JP"/>
              </w:rPr>
              <w:t xml:space="preserve"> (LOEC</w:t>
            </w:r>
            <w:r w:rsidRPr="00585FD8">
              <w:rPr>
                <w:lang w:eastAsia="ja-JP"/>
              </w:rPr>
              <w:t>)</w:t>
            </w:r>
          </w:p>
        </w:tc>
        <w:tc>
          <w:tcPr>
            <w:tcW w:w="3491" w:type="pct"/>
            <w:tcBorders>
              <w:top w:val="single" w:sz="4" w:space="0" w:color="auto"/>
              <w:bottom w:val="single" w:sz="4" w:space="0" w:color="auto"/>
            </w:tcBorders>
          </w:tcPr>
          <w:p w14:paraId="440359A8" w14:textId="3960C5F1" w:rsidR="001303C0" w:rsidRPr="00585FD8" w:rsidRDefault="001303C0" w:rsidP="007336AC">
            <w:pPr>
              <w:pStyle w:val="TableText"/>
              <w:rPr>
                <w:lang w:eastAsia="ja-JP"/>
              </w:rPr>
            </w:pPr>
            <w:r w:rsidRPr="00585FD8">
              <w:rPr>
                <w:lang w:eastAsia="ja-JP"/>
              </w:rPr>
              <w:t>The lowest concentration of a chemical used in a toxicity test that has a statistically significant (p</w:t>
            </w:r>
            <w:r w:rsidR="00BC4A84">
              <w:rPr>
                <w:lang w:eastAsia="ja-JP"/>
              </w:rPr>
              <w:t> </w:t>
            </w:r>
            <w:r w:rsidRPr="00585FD8">
              <w:rPr>
                <w:lang w:eastAsia="ja-JP"/>
              </w:rPr>
              <w:t>≤</w:t>
            </w:r>
            <w:r w:rsidR="00BC4A84">
              <w:rPr>
                <w:lang w:eastAsia="ja-JP"/>
              </w:rPr>
              <w:t> </w:t>
            </w:r>
            <w:r w:rsidRPr="00585FD8">
              <w:rPr>
                <w:lang w:eastAsia="ja-JP"/>
              </w:rPr>
              <w:t>0.05) adverse effect on the exposed population of test organisms as compared with the controls. All higher concentrations should also cause statistically significant effects.</w:t>
            </w:r>
          </w:p>
        </w:tc>
      </w:tr>
      <w:tr w:rsidR="00324203" w:rsidRPr="00585FD8" w14:paraId="29B6846B" w14:textId="77777777" w:rsidTr="00B65E15">
        <w:tc>
          <w:tcPr>
            <w:tcW w:w="1509" w:type="pct"/>
            <w:tcBorders>
              <w:top w:val="single" w:sz="4" w:space="0" w:color="auto"/>
              <w:bottom w:val="single" w:sz="4" w:space="0" w:color="auto"/>
            </w:tcBorders>
          </w:tcPr>
          <w:p w14:paraId="3D59D713" w14:textId="27EE0CD0" w:rsidR="00324203" w:rsidRDefault="00324203" w:rsidP="007336AC">
            <w:pPr>
              <w:pStyle w:val="TableText"/>
              <w:rPr>
                <w:lang w:eastAsia="ja-JP"/>
              </w:rPr>
            </w:pPr>
            <w:r>
              <w:rPr>
                <w:lang w:eastAsia="ja-JP"/>
              </w:rPr>
              <w:t>MLR</w:t>
            </w:r>
          </w:p>
        </w:tc>
        <w:tc>
          <w:tcPr>
            <w:tcW w:w="3491" w:type="pct"/>
            <w:tcBorders>
              <w:top w:val="single" w:sz="4" w:space="0" w:color="auto"/>
              <w:bottom w:val="single" w:sz="4" w:space="0" w:color="auto"/>
            </w:tcBorders>
          </w:tcPr>
          <w:p w14:paraId="3A9CBAC9" w14:textId="6511DB98" w:rsidR="00324203" w:rsidRPr="00620280" w:rsidRDefault="00324203" w:rsidP="00620280">
            <w:pPr>
              <w:pStyle w:val="TableText"/>
            </w:pPr>
            <w:r>
              <w:t>Multiple linear regression.</w:t>
            </w:r>
          </w:p>
        </w:tc>
      </w:tr>
      <w:tr w:rsidR="000473AB" w:rsidRPr="00585FD8" w14:paraId="4FBBB942" w14:textId="77777777" w:rsidTr="00B65E15">
        <w:tc>
          <w:tcPr>
            <w:tcW w:w="1509" w:type="pct"/>
            <w:tcBorders>
              <w:top w:val="single" w:sz="4" w:space="0" w:color="auto"/>
              <w:bottom w:val="single" w:sz="4" w:space="0" w:color="auto"/>
            </w:tcBorders>
          </w:tcPr>
          <w:p w14:paraId="6204B985" w14:textId="619F35B2" w:rsidR="000473AB" w:rsidRPr="00585FD8" w:rsidRDefault="000473AB" w:rsidP="000473AB">
            <w:pPr>
              <w:pStyle w:val="TableText"/>
              <w:rPr>
                <w:lang w:eastAsia="ja-JP"/>
              </w:rPr>
            </w:pPr>
            <w:r w:rsidRPr="00585FD8">
              <w:rPr>
                <w:lang w:eastAsia="ja-JP"/>
              </w:rPr>
              <w:t>No</w:t>
            </w:r>
            <w:r>
              <w:rPr>
                <w:lang w:eastAsia="ja-JP"/>
              </w:rPr>
              <w:t>-</w:t>
            </w:r>
            <w:r w:rsidRPr="00585FD8">
              <w:rPr>
                <w:lang w:eastAsia="ja-JP"/>
              </w:rPr>
              <w:t>observed</w:t>
            </w:r>
            <w:r>
              <w:rPr>
                <w:lang w:eastAsia="ja-JP"/>
              </w:rPr>
              <w:t>-</w:t>
            </w:r>
            <w:r w:rsidRPr="00585FD8">
              <w:rPr>
                <w:lang w:eastAsia="ja-JP"/>
              </w:rPr>
              <w:t>effect concentration</w:t>
            </w:r>
            <w:r>
              <w:rPr>
                <w:lang w:eastAsia="ja-JP"/>
              </w:rPr>
              <w:t xml:space="preserve"> (NOEC</w:t>
            </w:r>
            <w:r w:rsidRPr="00585FD8">
              <w:rPr>
                <w:lang w:eastAsia="ja-JP"/>
              </w:rPr>
              <w:t>)</w:t>
            </w:r>
          </w:p>
        </w:tc>
        <w:tc>
          <w:tcPr>
            <w:tcW w:w="3491" w:type="pct"/>
            <w:tcBorders>
              <w:top w:val="single" w:sz="4" w:space="0" w:color="auto"/>
              <w:bottom w:val="single" w:sz="4" w:space="0" w:color="auto"/>
            </w:tcBorders>
          </w:tcPr>
          <w:p w14:paraId="6A4E0FA9" w14:textId="33DBD37E" w:rsidR="000473AB" w:rsidRPr="00585FD8" w:rsidRDefault="000473AB" w:rsidP="000473AB">
            <w:pPr>
              <w:pStyle w:val="TableText"/>
              <w:rPr>
                <w:lang w:eastAsia="ja-JP"/>
              </w:rPr>
            </w:pPr>
            <w:r>
              <w:rPr>
                <w:lang w:eastAsia="ja-JP"/>
              </w:rPr>
              <w:t>T</w:t>
            </w:r>
            <w:r w:rsidRPr="000158D8">
              <w:rPr>
                <w:lang w:eastAsia="ja-JP"/>
              </w:rPr>
              <w:t xml:space="preserve">he highest concentration of a </w:t>
            </w:r>
            <w:r>
              <w:rPr>
                <w:lang w:eastAsia="ja-JP"/>
              </w:rPr>
              <w:t>toxicant</w:t>
            </w:r>
            <w:r w:rsidRPr="000158D8">
              <w:rPr>
                <w:lang w:eastAsia="ja-JP"/>
              </w:rPr>
              <w:t xml:space="preserve"> used in a toxicity test that </w:t>
            </w:r>
            <w:r>
              <w:rPr>
                <w:lang w:eastAsia="ja-JP"/>
              </w:rPr>
              <w:t>does not have a</w:t>
            </w:r>
            <w:r w:rsidRPr="000158D8">
              <w:rPr>
                <w:lang w:eastAsia="ja-JP"/>
              </w:rPr>
              <w:t xml:space="preserve"> statistically significant </w:t>
            </w:r>
            <w:r>
              <w:rPr>
                <w:lang w:eastAsia="ja-JP"/>
              </w:rPr>
              <w:t>(</w:t>
            </w:r>
            <w:r w:rsidRPr="00585FD8">
              <w:rPr>
                <w:lang w:eastAsia="ja-JP"/>
              </w:rPr>
              <w:t>p</w:t>
            </w:r>
            <w:r>
              <w:rPr>
                <w:lang w:eastAsia="ja-JP"/>
              </w:rPr>
              <w:t> </w:t>
            </w:r>
            <w:r w:rsidRPr="00585FD8">
              <w:rPr>
                <w:lang w:eastAsia="ja-JP"/>
              </w:rPr>
              <w:t>≤</w:t>
            </w:r>
            <w:r>
              <w:rPr>
                <w:lang w:eastAsia="ja-JP"/>
              </w:rPr>
              <w:t> </w:t>
            </w:r>
            <w:r w:rsidRPr="00585FD8">
              <w:rPr>
                <w:lang w:eastAsia="ja-JP"/>
              </w:rPr>
              <w:t xml:space="preserve">0.05) </w:t>
            </w:r>
            <w:r w:rsidRPr="000158D8">
              <w:rPr>
                <w:lang w:eastAsia="ja-JP"/>
              </w:rPr>
              <w:t>adverse effect on the exposed population of test organisms as compared with the controls.</w:t>
            </w:r>
          </w:p>
        </w:tc>
      </w:tr>
      <w:tr w:rsidR="001303C0" w:rsidRPr="00585FD8" w14:paraId="290AE093" w14:textId="77777777" w:rsidTr="00B65E15">
        <w:tc>
          <w:tcPr>
            <w:tcW w:w="1509" w:type="pct"/>
            <w:tcBorders>
              <w:top w:val="single" w:sz="4" w:space="0" w:color="auto"/>
              <w:bottom w:val="single" w:sz="4" w:space="0" w:color="auto"/>
            </w:tcBorders>
          </w:tcPr>
          <w:p w14:paraId="6FBF0445" w14:textId="40D46DAF" w:rsidR="001303C0" w:rsidRPr="00585FD8" w:rsidRDefault="00324203" w:rsidP="007336AC">
            <w:pPr>
              <w:pStyle w:val="TableText"/>
              <w:rPr>
                <w:lang w:eastAsia="ja-JP"/>
              </w:rPr>
            </w:pPr>
            <w:r>
              <w:rPr>
                <w:lang w:eastAsia="ja-JP"/>
              </w:rPr>
              <w:lastRenderedPageBreak/>
              <w:t>S</w:t>
            </w:r>
            <w:r w:rsidR="001303C0" w:rsidRPr="00585FD8">
              <w:rPr>
                <w:lang w:eastAsia="ja-JP"/>
              </w:rPr>
              <w:t>ite-specific</w:t>
            </w:r>
          </w:p>
        </w:tc>
        <w:tc>
          <w:tcPr>
            <w:tcW w:w="3491" w:type="pct"/>
            <w:tcBorders>
              <w:top w:val="single" w:sz="4" w:space="0" w:color="auto"/>
              <w:bottom w:val="single" w:sz="4" w:space="0" w:color="auto"/>
            </w:tcBorders>
          </w:tcPr>
          <w:p w14:paraId="0E13CF78" w14:textId="77777777" w:rsidR="001303C0" w:rsidRPr="00585FD8" w:rsidRDefault="001303C0" w:rsidP="007336AC">
            <w:pPr>
              <w:pStyle w:val="TableText"/>
              <w:rPr>
                <w:lang w:eastAsia="ja-JP"/>
              </w:rPr>
            </w:pPr>
            <w:r w:rsidRPr="00585FD8">
              <w:rPr>
                <w:lang w:eastAsia="ja-JP"/>
              </w:rPr>
              <w:t>Relating to something that is confined to, or valid for, a particular place. Site-specific trigger values are relevant to the location or conditions that are the focus of a given assessment.</w:t>
            </w:r>
          </w:p>
        </w:tc>
      </w:tr>
      <w:tr w:rsidR="00670933" w:rsidRPr="00585FD8" w14:paraId="3573E836" w14:textId="77777777" w:rsidTr="00B65E15">
        <w:tc>
          <w:tcPr>
            <w:tcW w:w="1509" w:type="pct"/>
            <w:tcBorders>
              <w:top w:val="single" w:sz="4" w:space="0" w:color="auto"/>
              <w:bottom w:val="single" w:sz="4" w:space="0" w:color="auto"/>
            </w:tcBorders>
          </w:tcPr>
          <w:p w14:paraId="79DB4A03" w14:textId="7FFA0EA8" w:rsidR="00670933" w:rsidRPr="00585FD8" w:rsidRDefault="00670933" w:rsidP="00670933">
            <w:pPr>
              <w:pStyle w:val="TableText"/>
              <w:rPr>
                <w:lang w:eastAsia="ja-JP"/>
              </w:rPr>
            </w:pPr>
            <w:r>
              <w:rPr>
                <w:lang w:eastAsia="ja-JP"/>
              </w:rPr>
              <w:t>S</w:t>
            </w:r>
            <w:r w:rsidRPr="00585FD8">
              <w:rPr>
                <w:lang w:eastAsia="ja-JP"/>
              </w:rPr>
              <w:t xml:space="preserve">pecies sensitivity distribution </w:t>
            </w:r>
            <w:r>
              <w:rPr>
                <w:lang w:eastAsia="ja-JP"/>
              </w:rPr>
              <w:t>(</w:t>
            </w:r>
            <w:r w:rsidRPr="00585FD8">
              <w:rPr>
                <w:lang w:eastAsia="ja-JP"/>
              </w:rPr>
              <w:t>SSD</w:t>
            </w:r>
            <w:r>
              <w:rPr>
                <w:lang w:eastAsia="ja-JP"/>
              </w:rPr>
              <w:t>)</w:t>
            </w:r>
            <w:r w:rsidRPr="00585FD8">
              <w:rPr>
                <w:lang w:eastAsia="ja-JP"/>
              </w:rPr>
              <w:t xml:space="preserve"> </w:t>
            </w:r>
          </w:p>
        </w:tc>
        <w:tc>
          <w:tcPr>
            <w:tcW w:w="3491" w:type="pct"/>
            <w:tcBorders>
              <w:top w:val="single" w:sz="4" w:space="0" w:color="auto"/>
              <w:bottom w:val="single" w:sz="4" w:space="0" w:color="auto"/>
            </w:tcBorders>
          </w:tcPr>
          <w:p w14:paraId="6CB34BE8" w14:textId="5BD005AA" w:rsidR="00670933" w:rsidRPr="00585FD8" w:rsidRDefault="00670933" w:rsidP="00670933">
            <w:pPr>
              <w:pStyle w:val="TableText"/>
              <w:rPr>
                <w:lang w:eastAsia="ja-JP"/>
              </w:rPr>
            </w:pPr>
            <w:r>
              <w:rPr>
                <w:lang w:eastAsia="ja-JP"/>
              </w:rPr>
              <w:t>A</w:t>
            </w:r>
            <w:r w:rsidRPr="006D6161">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1303C0" w:rsidRPr="00585FD8" w14:paraId="71228D1A" w14:textId="77777777" w:rsidTr="00B65E15">
        <w:tc>
          <w:tcPr>
            <w:tcW w:w="1509" w:type="pct"/>
            <w:tcBorders>
              <w:top w:val="single" w:sz="4" w:space="0" w:color="auto"/>
              <w:bottom w:val="single" w:sz="4" w:space="0" w:color="auto"/>
            </w:tcBorders>
          </w:tcPr>
          <w:p w14:paraId="3AA02CDE" w14:textId="56764078" w:rsidR="001303C0" w:rsidRPr="00585FD8" w:rsidRDefault="00324203" w:rsidP="007336AC">
            <w:pPr>
              <w:pStyle w:val="TableText"/>
              <w:rPr>
                <w:lang w:eastAsia="ja-JP"/>
              </w:rPr>
            </w:pPr>
            <w:r>
              <w:rPr>
                <w:lang w:eastAsia="ja-JP"/>
              </w:rPr>
              <w:t>T</w:t>
            </w:r>
            <w:r w:rsidR="001303C0" w:rsidRPr="00585FD8">
              <w:rPr>
                <w:lang w:eastAsia="ja-JP"/>
              </w:rPr>
              <w:t>oxicity</w:t>
            </w:r>
          </w:p>
        </w:tc>
        <w:tc>
          <w:tcPr>
            <w:tcW w:w="3491" w:type="pct"/>
            <w:tcBorders>
              <w:top w:val="single" w:sz="4" w:space="0" w:color="auto"/>
              <w:bottom w:val="single" w:sz="4" w:space="0" w:color="auto"/>
            </w:tcBorders>
          </w:tcPr>
          <w:p w14:paraId="2DE624E7" w14:textId="77777777" w:rsidR="001303C0" w:rsidRPr="00585FD8" w:rsidRDefault="001303C0" w:rsidP="007336AC">
            <w:pPr>
              <w:pStyle w:val="TableText"/>
              <w:rPr>
                <w:lang w:eastAsia="ja-JP"/>
              </w:rPr>
            </w:pPr>
            <w:r w:rsidRPr="00585FD8">
              <w:rPr>
                <w:lang w:eastAsia="ja-JP"/>
              </w:rPr>
              <w:t>The inherent potential or capacity of a material to cause adverse effects in a living organism.</w:t>
            </w:r>
          </w:p>
        </w:tc>
      </w:tr>
      <w:tr w:rsidR="001303C0" w:rsidRPr="00585FD8" w14:paraId="0D4D2A0B" w14:textId="77777777" w:rsidTr="00B65E15">
        <w:tc>
          <w:tcPr>
            <w:tcW w:w="1509" w:type="pct"/>
            <w:tcBorders>
              <w:top w:val="single" w:sz="4" w:space="0" w:color="auto"/>
              <w:bottom w:val="single" w:sz="4" w:space="0" w:color="auto"/>
            </w:tcBorders>
          </w:tcPr>
          <w:p w14:paraId="558C20D2" w14:textId="11942326" w:rsidR="001303C0" w:rsidRPr="00585FD8" w:rsidRDefault="00324203" w:rsidP="007336AC">
            <w:pPr>
              <w:pStyle w:val="TableText"/>
              <w:rPr>
                <w:lang w:eastAsia="ja-JP"/>
              </w:rPr>
            </w:pPr>
            <w:r>
              <w:rPr>
                <w:lang w:eastAsia="ja-JP"/>
              </w:rPr>
              <w:t>T</w:t>
            </w:r>
            <w:r w:rsidR="001303C0" w:rsidRPr="00585FD8">
              <w:rPr>
                <w:lang w:eastAsia="ja-JP"/>
              </w:rPr>
              <w:t>oxicity test</w:t>
            </w:r>
          </w:p>
        </w:tc>
        <w:tc>
          <w:tcPr>
            <w:tcW w:w="3491" w:type="pct"/>
            <w:tcBorders>
              <w:top w:val="single" w:sz="4" w:space="0" w:color="auto"/>
              <w:bottom w:val="single" w:sz="4" w:space="0" w:color="auto"/>
            </w:tcBorders>
          </w:tcPr>
          <w:p w14:paraId="7BD3F439" w14:textId="77777777" w:rsidR="001303C0" w:rsidRPr="00585FD8" w:rsidRDefault="001303C0" w:rsidP="007336AC">
            <w:pPr>
              <w:pStyle w:val="TableText"/>
              <w:rPr>
                <w:lang w:eastAsia="ja-JP"/>
              </w:rPr>
            </w:pPr>
            <w:r w:rsidRPr="00585FD8">
              <w:rPr>
                <w:lang w:eastAsia="ja-JP"/>
              </w:rPr>
              <w:t>The means by which the toxicity of a chemical or other test material is determined. A toxicity test is used to measure the degree of response produced by exposure to a concentration of chemical.</w:t>
            </w:r>
          </w:p>
        </w:tc>
      </w:tr>
      <w:tr w:rsidR="008B122E" w:rsidRPr="00585FD8" w14:paraId="025DC4A7" w14:textId="77777777" w:rsidTr="00B65E15">
        <w:tc>
          <w:tcPr>
            <w:tcW w:w="1509" w:type="pct"/>
            <w:tcBorders>
              <w:top w:val="single" w:sz="4" w:space="0" w:color="auto"/>
              <w:bottom w:val="single" w:sz="12" w:space="0" w:color="auto"/>
            </w:tcBorders>
          </w:tcPr>
          <w:p w14:paraId="036F8ABA" w14:textId="7B151D53" w:rsidR="008B122E" w:rsidRPr="00585FD8" w:rsidRDefault="00324203" w:rsidP="007336AC">
            <w:pPr>
              <w:pStyle w:val="TableText"/>
              <w:rPr>
                <w:lang w:eastAsia="ja-JP"/>
              </w:rPr>
            </w:pPr>
            <w:r>
              <w:rPr>
                <w:lang w:eastAsia="ja-JP"/>
              </w:rPr>
              <w:t>T</w:t>
            </w:r>
            <w:r w:rsidR="008B122E">
              <w:rPr>
                <w:lang w:eastAsia="ja-JP"/>
              </w:rPr>
              <w:t>oxicity value</w:t>
            </w:r>
          </w:p>
        </w:tc>
        <w:tc>
          <w:tcPr>
            <w:tcW w:w="3491" w:type="pct"/>
            <w:tcBorders>
              <w:top w:val="single" w:sz="4" w:space="0" w:color="auto"/>
              <w:bottom w:val="single" w:sz="12" w:space="0" w:color="auto"/>
            </w:tcBorders>
          </w:tcPr>
          <w:p w14:paraId="6929C454" w14:textId="50CC59FB" w:rsidR="008B122E" w:rsidRPr="00585FD8" w:rsidRDefault="008B122E" w:rsidP="007336AC">
            <w:pPr>
              <w:pStyle w:val="TableText"/>
              <w:rPr>
                <w:lang w:eastAsia="ja-JP"/>
              </w:rPr>
            </w:pPr>
            <w:r>
              <w:rPr>
                <w:lang w:eastAsia="ja-JP"/>
              </w:rPr>
              <w:t>A value defining the concentration of a toxicant that represents an estimate of its toxicity to a species.</w:t>
            </w:r>
          </w:p>
        </w:tc>
      </w:tr>
    </w:tbl>
    <w:p w14:paraId="64529ADF" w14:textId="77777777" w:rsidR="001303C0" w:rsidRPr="00585FD8" w:rsidRDefault="001303C0" w:rsidP="001303C0">
      <w:pPr>
        <w:rPr>
          <w:lang w:eastAsia="ja-JP"/>
        </w:rPr>
      </w:pPr>
    </w:p>
    <w:p w14:paraId="437DA7D6" w14:textId="77777777" w:rsidR="00606A7B" w:rsidRDefault="00606A7B" w:rsidP="001303C0">
      <w:pPr>
        <w:rPr>
          <w:lang w:eastAsia="ja-JP"/>
        </w:rPr>
        <w:sectPr w:rsidR="00606A7B" w:rsidSect="004C0221">
          <w:pgSz w:w="11906" w:h="16838" w:code="9"/>
          <w:pgMar w:top="1418" w:right="1418" w:bottom="1418" w:left="1418" w:header="567" w:footer="284" w:gutter="0"/>
          <w:pgNumType w:start="1"/>
          <w:cols w:space="708"/>
          <w:docGrid w:linePitch="360"/>
        </w:sectPr>
      </w:pPr>
    </w:p>
    <w:p w14:paraId="628F211C" w14:textId="29D36273" w:rsidR="001C0D1C" w:rsidRDefault="00E55B1C">
      <w:pPr>
        <w:pStyle w:val="Heading2"/>
        <w:numPr>
          <w:ilvl w:val="0"/>
          <w:numId w:val="0"/>
        </w:numPr>
      </w:pPr>
      <w:bookmarkStart w:id="63" w:name="_Appendix_A:_Summary"/>
      <w:bookmarkStart w:id="64" w:name="AppendixA"/>
      <w:bookmarkStart w:id="65" w:name="_Toc197088522"/>
      <w:bookmarkStart w:id="66" w:name="_Toc197783777"/>
      <w:bookmarkStart w:id="67" w:name="_Toc199424873"/>
      <w:bookmarkEnd w:id="63"/>
      <w:r>
        <w:lastRenderedPageBreak/>
        <w:t>Appendix</w:t>
      </w:r>
      <w:r w:rsidR="00615C91">
        <w:t> </w:t>
      </w:r>
      <w:r>
        <w:t>A</w:t>
      </w:r>
      <w:bookmarkEnd w:id="64"/>
      <w:r>
        <w:t xml:space="preserve">: </w:t>
      </w:r>
      <w:r w:rsidR="009C5809">
        <w:t>s</w:t>
      </w:r>
      <w:r w:rsidR="001303C0">
        <w:t>ummary of protection levels for iron in freshwater</w:t>
      </w:r>
      <w:bookmarkEnd w:id="65"/>
      <w:bookmarkEnd w:id="66"/>
      <w:bookmarkEnd w:id="67"/>
    </w:p>
    <w:p w14:paraId="4782D1D6" w14:textId="2EDA7A01" w:rsidR="00606A7B" w:rsidRPr="00606A7B" w:rsidRDefault="00061882" w:rsidP="00515B5D">
      <w:pPr>
        <w:pStyle w:val="AppendixTablecaption"/>
      </w:pPr>
      <w:bookmarkStart w:id="68" w:name="TableA1"/>
      <w:bookmarkStart w:id="69" w:name="_Ref6322195"/>
      <w:bookmarkStart w:id="70" w:name="_Ref6322511"/>
      <w:bookmarkStart w:id="71" w:name="_Toc175062609"/>
      <w:bookmarkStart w:id="72" w:name="_Toc199424880"/>
      <w:r>
        <w:t>Table</w:t>
      </w:r>
      <w:r w:rsidR="00615C91">
        <w:t> </w:t>
      </w:r>
      <w:r>
        <w:t>A</w:t>
      </w:r>
      <w:r w:rsidR="00B745CA">
        <w:t>1</w:t>
      </w:r>
      <w:bookmarkEnd w:id="68"/>
      <w:bookmarkEnd w:id="69"/>
      <w:r w:rsidR="00D92080">
        <w:rPr>
          <w:noProof/>
        </w:rPr>
        <w:t>.</w:t>
      </w:r>
      <w:r>
        <w:t xml:space="preserve"> </w:t>
      </w:r>
      <w:r w:rsidR="00606A7B">
        <w:t>Summary of published protection levels derived to protect freshwater biota from iron</w:t>
      </w:r>
      <w:bookmarkEnd w:id="70"/>
      <w:bookmarkEnd w:id="71"/>
      <w:bookmarkEnd w:id="72"/>
    </w:p>
    <w:tbl>
      <w:tblPr>
        <w:tblW w:w="5000" w:type="pct"/>
        <w:jc w:val="center"/>
        <w:tblBorders>
          <w:top w:val="single" w:sz="4" w:space="0" w:color="auto"/>
          <w:bottom w:val="single" w:sz="4" w:space="0" w:color="auto"/>
          <w:insideH w:val="single" w:sz="4" w:space="0" w:color="auto"/>
        </w:tblBorders>
        <w:tblLook w:val="0000" w:firstRow="0" w:lastRow="0" w:firstColumn="0" w:lastColumn="0" w:noHBand="0" w:noVBand="0"/>
        <w:tblCaption w:val="Summary of published protection levels derived to protect freshwater biota from iron"/>
        <w:tblDescription w:val="Table lists the different protection levels and provides the respective form of iron, protection level name, derivation method and reference."/>
      </w:tblPr>
      <w:tblGrid>
        <w:gridCol w:w="1984"/>
        <w:gridCol w:w="1983"/>
        <w:gridCol w:w="3120"/>
        <w:gridCol w:w="4117"/>
        <w:gridCol w:w="2798"/>
      </w:tblGrid>
      <w:tr w:rsidR="00606A7B" w:rsidRPr="005907F2" w14:paraId="4D986BE9" w14:textId="77777777" w:rsidTr="00515B5D">
        <w:trPr>
          <w:cantSplit/>
          <w:tblHeader/>
          <w:jc w:val="center"/>
        </w:trPr>
        <w:tc>
          <w:tcPr>
            <w:tcW w:w="709" w:type="pct"/>
            <w:tcBorders>
              <w:top w:val="single" w:sz="12" w:space="0" w:color="auto"/>
              <w:bottom w:val="single" w:sz="12" w:space="0" w:color="auto"/>
            </w:tcBorders>
          </w:tcPr>
          <w:p w14:paraId="1E5BD227" w14:textId="4074545E" w:rsidR="00606A7B" w:rsidRPr="005907F2" w:rsidRDefault="00606A7B" w:rsidP="00580BAD">
            <w:pPr>
              <w:pStyle w:val="TableHeading"/>
            </w:pPr>
            <w:r w:rsidRPr="005907F2">
              <w:t>Protection level</w:t>
            </w:r>
            <w:r w:rsidR="00580BAD">
              <w:t xml:space="preserve"> </w:t>
            </w:r>
            <w:r w:rsidRPr="005907F2">
              <w:t>(</w:t>
            </w:r>
            <w:r w:rsidRPr="005907F2">
              <w:rPr>
                <w:rFonts w:ascii="Calibri" w:hAnsi="Calibri"/>
              </w:rPr>
              <w:t>µ</w:t>
            </w:r>
            <w:r w:rsidRPr="005907F2">
              <w:t>g/L)</w:t>
            </w:r>
          </w:p>
        </w:tc>
        <w:tc>
          <w:tcPr>
            <w:tcW w:w="708" w:type="pct"/>
            <w:tcBorders>
              <w:top w:val="single" w:sz="12" w:space="0" w:color="auto"/>
              <w:bottom w:val="single" w:sz="12" w:space="0" w:color="auto"/>
            </w:tcBorders>
          </w:tcPr>
          <w:p w14:paraId="4399EE85" w14:textId="77777777" w:rsidR="00606A7B" w:rsidRPr="005907F2" w:rsidRDefault="00606A7B" w:rsidP="007336AC">
            <w:pPr>
              <w:pStyle w:val="TableHeading"/>
            </w:pPr>
            <w:r w:rsidRPr="005907F2">
              <w:t>I</w:t>
            </w:r>
            <w:r>
              <w:t>ron form</w:t>
            </w:r>
          </w:p>
        </w:tc>
        <w:tc>
          <w:tcPr>
            <w:tcW w:w="1114" w:type="pct"/>
            <w:tcBorders>
              <w:top w:val="single" w:sz="12" w:space="0" w:color="auto"/>
              <w:bottom w:val="single" w:sz="12" w:space="0" w:color="auto"/>
            </w:tcBorders>
          </w:tcPr>
          <w:p w14:paraId="036041AE" w14:textId="22A8D54B" w:rsidR="00606A7B" w:rsidRPr="005907F2" w:rsidRDefault="00606A7B" w:rsidP="007336AC">
            <w:pPr>
              <w:pStyle w:val="TableHeading"/>
            </w:pPr>
            <w:r w:rsidRPr="005907F2">
              <w:t xml:space="preserve">Protection </w:t>
            </w:r>
            <w:r w:rsidR="00FD3B58">
              <w:t>type</w:t>
            </w:r>
          </w:p>
        </w:tc>
        <w:tc>
          <w:tcPr>
            <w:tcW w:w="1470" w:type="pct"/>
            <w:tcBorders>
              <w:top w:val="single" w:sz="12" w:space="0" w:color="auto"/>
              <w:bottom w:val="single" w:sz="12" w:space="0" w:color="auto"/>
            </w:tcBorders>
          </w:tcPr>
          <w:p w14:paraId="1EC47021" w14:textId="77777777" w:rsidR="00606A7B" w:rsidRPr="005907F2" w:rsidRDefault="00606A7B" w:rsidP="007336AC">
            <w:pPr>
              <w:pStyle w:val="TableHeading"/>
            </w:pPr>
            <w:r>
              <w:t>Derivation method</w:t>
            </w:r>
          </w:p>
        </w:tc>
        <w:tc>
          <w:tcPr>
            <w:tcW w:w="999" w:type="pct"/>
            <w:tcBorders>
              <w:top w:val="single" w:sz="12" w:space="0" w:color="auto"/>
              <w:bottom w:val="single" w:sz="12" w:space="0" w:color="auto"/>
            </w:tcBorders>
          </w:tcPr>
          <w:p w14:paraId="710E5323" w14:textId="77777777" w:rsidR="00606A7B" w:rsidRPr="005907F2" w:rsidRDefault="00606A7B" w:rsidP="007336AC">
            <w:pPr>
              <w:pStyle w:val="TableHeading"/>
            </w:pPr>
            <w:r w:rsidRPr="005907F2">
              <w:t>Reference</w:t>
            </w:r>
          </w:p>
        </w:tc>
      </w:tr>
      <w:tr w:rsidR="00606A7B" w:rsidRPr="005907F2" w14:paraId="0F15DBDE" w14:textId="77777777" w:rsidTr="00515B5D">
        <w:trPr>
          <w:cantSplit/>
          <w:jc w:val="center"/>
        </w:trPr>
        <w:tc>
          <w:tcPr>
            <w:tcW w:w="709" w:type="pct"/>
            <w:tcBorders>
              <w:top w:val="single" w:sz="12" w:space="0" w:color="auto"/>
            </w:tcBorders>
          </w:tcPr>
          <w:p w14:paraId="6B70AFC5" w14:textId="77777777" w:rsidR="00606A7B" w:rsidRDefault="00606A7B" w:rsidP="009C778F">
            <w:pPr>
              <w:pStyle w:val="TableText"/>
            </w:pPr>
            <w:r>
              <w:t>9</w:t>
            </w:r>
          </w:p>
        </w:tc>
        <w:tc>
          <w:tcPr>
            <w:tcW w:w="708" w:type="pct"/>
            <w:tcBorders>
              <w:top w:val="single" w:sz="12" w:space="0" w:color="auto"/>
            </w:tcBorders>
          </w:tcPr>
          <w:p w14:paraId="5D140882" w14:textId="49D56261" w:rsidR="00606A7B" w:rsidRDefault="00606A7B" w:rsidP="007336AC">
            <w:pPr>
              <w:pStyle w:val="TableText"/>
            </w:pPr>
            <w:r>
              <w:t>Total</w:t>
            </w:r>
          </w:p>
        </w:tc>
        <w:tc>
          <w:tcPr>
            <w:tcW w:w="1114" w:type="pct"/>
            <w:tcBorders>
              <w:top w:val="single" w:sz="12" w:space="0" w:color="auto"/>
            </w:tcBorders>
          </w:tcPr>
          <w:p w14:paraId="64974B73" w14:textId="1A2C00FA" w:rsidR="00606A7B" w:rsidRDefault="00606A7B" w:rsidP="007336AC">
            <w:pPr>
              <w:pStyle w:val="TableText"/>
            </w:pPr>
            <w:r>
              <w:t>Criterion continuous concentration</w:t>
            </w:r>
          </w:p>
        </w:tc>
        <w:tc>
          <w:tcPr>
            <w:tcW w:w="1470" w:type="pct"/>
            <w:tcBorders>
              <w:top w:val="single" w:sz="12" w:space="0" w:color="auto"/>
            </w:tcBorders>
          </w:tcPr>
          <w:p w14:paraId="1B366E05" w14:textId="252E3337" w:rsidR="00606A7B" w:rsidRPr="0055276E" w:rsidRDefault="00606A7B" w:rsidP="007336AC">
            <w:pPr>
              <w:pStyle w:val="TableText"/>
            </w:pPr>
            <w:r>
              <w:t xml:space="preserve">Assessment </w:t>
            </w:r>
            <w:r w:rsidR="00C26EBA">
              <w:t>f</w:t>
            </w:r>
            <w:r>
              <w:t>actor</w:t>
            </w:r>
          </w:p>
        </w:tc>
        <w:tc>
          <w:tcPr>
            <w:tcW w:w="999" w:type="pct"/>
            <w:tcBorders>
              <w:top w:val="single" w:sz="12" w:space="0" w:color="auto"/>
            </w:tcBorders>
          </w:tcPr>
          <w:p w14:paraId="1227773B" w14:textId="77777777" w:rsidR="00606A7B" w:rsidRPr="0067628B" w:rsidRDefault="00606A7B" w:rsidP="007336AC">
            <w:pPr>
              <w:pStyle w:val="TableText"/>
            </w:pPr>
            <w:r w:rsidRPr="0067628B">
              <w:t>Shuhaimi-Othman et al. (2012)</w:t>
            </w:r>
          </w:p>
        </w:tc>
      </w:tr>
      <w:tr w:rsidR="00606A7B" w:rsidRPr="005907F2" w14:paraId="328D9942" w14:textId="77777777" w:rsidTr="00515B5D">
        <w:trPr>
          <w:cantSplit/>
          <w:jc w:val="center"/>
        </w:trPr>
        <w:tc>
          <w:tcPr>
            <w:tcW w:w="709" w:type="pct"/>
          </w:tcPr>
          <w:p w14:paraId="54A0876C" w14:textId="77777777" w:rsidR="00606A7B" w:rsidRPr="005907F2" w:rsidRDefault="00606A7B" w:rsidP="009C778F">
            <w:pPr>
              <w:pStyle w:val="TableText"/>
            </w:pPr>
            <w:r>
              <w:t>16</w:t>
            </w:r>
          </w:p>
        </w:tc>
        <w:tc>
          <w:tcPr>
            <w:tcW w:w="708" w:type="pct"/>
          </w:tcPr>
          <w:p w14:paraId="2D7827C8" w14:textId="786F87E3" w:rsidR="00606A7B" w:rsidRPr="005907F2" w:rsidRDefault="00606A7B" w:rsidP="007336AC">
            <w:pPr>
              <w:pStyle w:val="TableText"/>
            </w:pPr>
            <w:r>
              <w:t>Dissolved</w:t>
            </w:r>
          </w:p>
        </w:tc>
        <w:tc>
          <w:tcPr>
            <w:tcW w:w="1114" w:type="pct"/>
          </w:tcPr>
          <w:p w14:paraId="759AEC8F" w14:textId="77777777" w:rsidR="00606A7B" w:rsidRPr="005907F2" w:rsidRDefault="00606A7B" w:rsidP="007336AC">
            <w:pPr>
              <w:pStyle w:val="TableText"/>
            </w:pPr>
            <w:r>
              <w:t>Long-term protection</w:t>
            </w:r>
          </w:p>
        </w:tc>
        <w:tc>
          <w:tcPr>
            <w:tcW w:w="1470" w:type="pct"/>
          </w:tcPr>
          <w:p w14:paraId="53722009" w14:textId="69BD1788" w:rsidR="00606A7B" w:rsidRPr="0055276E" w:rsidRDefault="00606A7B" w:rsidP="007336AC">
            <w:pPr>
              <w:pStyle w:val="TableText"/>
            </w:pPr>
            <w:r>
              <w:t xml:space="preserve">Assessment </w:t>
            </w:r>
            <w:r w:rsidR="00C26EBA">
              <w:t>f</w:t>
            </w:r>
            <w:r>
              <w:t>actor</w:t>
            </w:r>
          </w:p>
        </w:tc>
        <w:tc>
          <w:tcPr>
            <w:tcW w:w="999" w:type="pct"/>
          </w:tcPr>
          <w:p w14:paraId="5C43DD4C" w14:textId="163CB737" w:rsidR="00606A7B" w:rsidRPr="0067628B" w:rsidRDefault="00606A7B" w:rsidP="007336AC">
            <w:pPr>
              <w:pStyle w:val="TableText"/>
            </w:pPr>
            <w:r w:rsidRPr="0067628B">
              <w:t>Johnson et al. (2007)</w:t>
            </w:r>
          </w:p>
        </w:tc>
      </w:tr>
      <w:tr w:rsidR="00606A7B" w:rsidRPr="005907F2" w14:paraId="43FA003F" w14:textId="77777777" w:rsidTr="00515B5D">
        <w:trPr>
          <w:cantSplit/>
          <w:jc w:val="center"/>
        </w:trPr>
        <w:tc>
          <w:tcPr>
            <w:tcW w:w="709" w:type="pct"/>
          </w:tcPr>
          <w:p w14:paraId="7D3D3AFC" w14:textId="77777777" w:rsidR="00606A7B" w:rsidRDefault="00606A7B" w:rsidP="009C778F">
            <w:pPr>
              <w:pStyle w:val="TableText"/>
            </w:pPr>
            <w:r>
              <w:t>37.2</w:t>
            </w:r>
          </w:p>
        </w:tc>
        <w:tc>
          <w:tcPr>
            <w:tcW w:w="708" w:type="pct"/>
          </w:tcPr>
          <w:p w14:paraId="310CD6B9" w14:textId="324D87A8" w:rsidR="00606A7B" w:rsidRDefault="00606A7B" w:rsidP="007336AC">
            <w:pPr>
              <w:pStyle w:val="TableText"/>
            </w:pPr>
            <w:r>
              <w:t>Total</w:t>
            </w:r>
          </w:p>
        </w:tc>
        <w:tc>
          <w:tcPr>
            <w:tcW w:w="1114" w:type="pct"/>
          </w:tcPr>
          <w:p w14:paraId="549656BD" w14:textId="635A073B" w:rsidR="00606A7B" w:rsidRDefault="00606A7B" w:rsidP="007336AC">
            <w:pPr>
              <w:pStyle w:val="TableText"/>
            </w:pPr>
            <w:r>
              <w:t>Continuous maximum concentration</w:t>
            </w:r>
          </w:p>
        </w:tc>
        <w:tc>
          <w:tcPr>
            <w:tcW w:w="1470" w:type="pct"/>
          </w:tcPr>
          <w:p w14:paraId="268A8134" w14:textId="0FD43C0D" w:rsidR="00606A7B" w:rsidRPr="0055276E" w:rsidRDefault="00606A7B" w:rsidP="007336AC">
            <w:pPr>
              <w:pStyle w:val="TableText"/>
            </w:pPr>
            <w:r>
              <w:t xml:space="preserve">Assessment </w:t>
            </w:r>
            <w:r w:rsidR="00C26EBA">
              <w:t>f</w:t>
            </w:r>
            <w:r>
              <w:t>actor</w:t>
            </w:r>
          </w:p>
        </w:tc>
        <w:tc>
          <w:tcPr>
            <w:tcW w:w="999" w:type="pct"/>
          </w:tcPr>
          <w:p w14:paraId="2A8B7AFD" w14:textId="5C107B7D" w:rsidR="00606A7B" w:rsidRPr="0067628B" w:rsidRDefault="00606A7B" w:rsidP="007336AC">
            <w:pPr>
              <w:pStyle w:val="TableText"/>
            </w:pPr>
            <w:r w:rsidRPr="0067628B">
              <w:t>Shuhaimi-Othman et al. (2012)</w:t>
            </w:r>
          </w:p>
        </w:tc>
      </w:tr>
      <w:tr w:rsidR="00606A7B" w:rsidRPr="005907F2" w14:paraId="5167BBAA" w14:textId="77777777" w:rsidTr="00515B5D">
        <w:trPr>
          <w:cantSplit/>
          <w:jc w:val="center"/>
        </w:trPr>
        <w:tc>
          <w:tcPr>
            <w:tcW w:w="709" w:type="pct"/>
          </w:tcPr>
          <w:p w14:paraId="68E83D89" w14:textId="77777777" w:rsidR="00606A7B" w:rsidRPr="005907F2" w:rsidRDefault="00606A7B" w:rsidP="009C778F">
            <w:pPr>
              <w:pStyle w:val="TableText"/>
            </w:pPr>
            <w:r>
              <w:t>41</w:t>
            </w:r>
          </w:p>
        </w:tc>
        <w:tc>
          <w:tcPr>
            <w:tcW w:w="708" w:type="pct"/>
          </w:tcPr>
          <w:p w14:paraId="308DAA01" w14:textId="7F5E5029" w:rsidR="00606A7B" w:rsidRPr="005907F2" w:rsidRDefault="00606A7B" w:rsidP="007336AC">
            <w:pPr>
              <w:pStyle w:val="TableText"/>
            </w:pPr>
            <w:r>
              <w:t>Dissolved</w:t>
            </w:r>
          </w:p>
        </w:tc>
        <w:tc>
          <w:tcPr>
            <w:tcW w:w="1114" w:type="pct"/>
          </w:tcPr>
          <w:p w14:paraId="45BFBE28" w14:textId="77777777" w:rsidR="00606A7B" w:rsidRPr="005907F2" w:rsidRDefault="00606A7B" w:rsidP="007336AC">
            <w:pPr>
              <w:pStyle w:val="TableText"/>
            </w:pPr>
            <w:r>
              <w:t>Short-term protection</w:t>
            </w:r>
          </w:p>
        </w:tc>
        <w:tc>
          <w:tcPr>
            <w:tcW w:w="1470" w:type="pct"/>
          </w:tcPr>
          <w:p w14:paraId="67EEDD8B" w14:textId="6036285B" w:rsidR="00606A7B" w:rsidRPr="0055276E" w:rsidRDefault="00606A7B" w:rsidP="007336AC">
            <w:pPr>
              <w:pStyle w:val="TableText"/>
            </w:pPr>
            <w:r>
              <w:t xml:space="preserve">Assessment </w:t>
            </w:r>
            <w:r w:rsidR="00C26EBA">
              <w:t>f</w:t>
            </w:r>
            <w:r>
              <w:t>actor</w:t>
            </w:r>
          </w:p>
        </w:tc>
        <w:tc>
          <w:tcPr>
            <w:tcW w:w="999" w:type="pct"/>
          </w:tcPr>
          <w:p w14:paraId="51B6159B" w14:textId="18B727D1" w:rsidR="00606A7B" w:rsidRPr="0067628B" w:rsidRDefault="00606A7B" w:rsidP="007336AC">
            <w:pPr>
              <w:pStyle w:val="TableText"/>
            </w:pPr>
            <w:r w:rsidRPr="0067628B">
              <w:t>Johnson et al. (2007)</w:t>
            </w:r>
          </w:p>
        </w:tc>
      </w:tr>
      <w:tr w:rsidR="00866568" w:rsidRPr="005907F2" w14:paraId="4BCD3BEF" w14:textId="77777777" w:rsidTr="00515B5D">
        <w:trPr>
          <w:cantSplit/>
          <w:jc w:val="center"/>
        </w:trPr>
        <w:tc>
          <w:tcPr>
            <w:tcW w:w="709" w:type="pct"/>
          </w:tcPr>
          <w:p w14:paraId="30BC6901" w14:textId="2ED5C2F8" w:rsidR="00866568" w:rsidRDefault="00866568" w:rsidP="009C778F">
            <w:pPr>
              <w:pStyle w:val="TableText"/>
            </w:pPr>
            <w:r>
              <w:t>110</w:t>
            </w:r>
          </w:p>
        </w:tc>
        <w:tc>
          <w:tcPr>
            <w:tcW w:w="708" w:type="pct"/>
          </w:tcPr>
          <w:p w14:paraId="471516BE" w14:textId="04A5EA11" w:rsidR="00866568" w:rsidRDefault="00866568" w:rsidP="00866568">
            <w:pPr>
              <w:pStyle w:val="TableText"/>
            </w:pPr>
            <w:r>
              <w:t>Total</w:t>
            </w:r>
          </w:p>
        </w:tc>
        <w:tc>
          <w:tcPr>
            <w:tcW w:w="1114" w:type="pct"/>
          </w:tcPr>
          <w:p w14:paraId="0F164687" w14:textId="789064BF" w:rsidR="00866568" w:rsidRDefault="00866568" w:rsidP="00866568">
            <w:pPr>
              <w:pStyle w:val="TableText"/>
            </w:pPr>
            <w:r>
              <w:t>All aquatic biota</w:t>
            </w:r>
          </w:p>
        </w:tc>
        <w:tc>
          <w:tcPr>
            <w:tcW w:w="1470" w:type="pct"/>
          </w:tcPr>
          <w:p w14:paraId="649C51CD" w14:textId="457F40F6" w:rsidR="00866568" w:rsidRDefault="007A161A" w:rsidP="00866568">
            <w:pPr>
              <w:pStyle w:val="TableText"/>
            </w:pPr>
            <w:r>
              <w:t>SSD + m</w:t>
            </w:r>
            <w:r w:rsidR="005824D9">
              <w:t>ultiple linear regression</w:t>
            </w:r>
            <w:r w:rsidR="004C000D">
              <w:t xml:space="preserve"> (</w:t>
            </w:r>
            <w:r w:rsidR="00A021CF">
              <w:t>s</w:t>
            </w:r>
            <w:r w:rsidR="004C000D">
              <w:t>hinys</w:t>
            </w:r>
            <w:r w:rsidR="00A021CF">
              <w:t>s</w:t>
            </w:r>
            <w:r w:rsidR="004C000D">
              <w:t>dtools)</w:t>
            </w:r>
            <w:r w:rsidR="005824D9">
              <w:t xml:space="preserve"> using EC10s, pH </w:t>
            </w:r>
            <w:r w:rsidR="00227129">
              <w:t>7</w:t>
            </w:r>
            <w:r w:rsidR="005824D9">
              <w:t xml:space="preserve">.5, </w:t>
            </w:r>
            <w:r w:rsidR="00580C18">
              <w:t>0.5</w:t>
            </w:r>
            <w:r w:rsidR="00BC4A84">
              <w:t> </w:t>
            </w:r>
            <w:r w:rsidR="00580C18">
              <w:t>mg/L DOC</w:t>
            </w:r>
          </w:p>
        </w:tc>
        <w:tc>
          <w:tcPr>
            <w:tcW w:w="999" w:type="pct"/>
          </w:tcPr>
          <w:p w14:paraId="5BFB1E7B" w14:textId="45D09001" w:rsidR="00866568" w:rsidRPr="0067628B" w:rsidRDefault="00866568" w:rsidP="00866568">
            <w:pPr>
              <w:pStyle w:val="TableText"/>
            </w:pPr>
            <w:r>
              <w:t xml:space="preserve">ECCC </w:t>
            </w:r>
            <w:r w:rsidR="005824D9">
              <w:t>(2024)</w:t>
            </w:r>
          </w:p>
        </w:tc>
      </w:tr>
      <w:tr w:rsidR="00866568" w:rsidRPr="005907F2" w14:paraId="4BC9CEFB" w14:textId="77777777" w:rsidTr="00515B5D">
        <w:trPr>
          <w:cantSplit/>
          <w:jc w:val="center"/>
        </w:trPr>
        <w:tc>
          <w:tcPr>
            <w:tcW w:w="709" w:type="pct"/>
          </w:tcPr>
          <w:p w14:paraId="1B812534" w14:textId="3DEBF482" w:rsidR="00866568" w:rsidRDefault="00010F5B" w:rsidP="009C778F">
            <w:pPr>
              <w:pStyle w:val="TableText"/>
            </w:pPr>
            <w:r>
              <w:t>1</w:t>
            </w:r>
            <w:r w:rsidR="00F05A64">
              <w:t>14</w:t>
            </w:r>
            <w:r w:rsidR="00C26EBA">
              <w:t>–</w:t>
            </w:r>
            <w:r>
              <w:t>200</w:t>
            </w:r>
          </w:p>
        </w:tc>
        <w:tc>
          <w:tcPr>
            <w:tcW w:w="708" w:type="pct"/>
          </w:tcPr>
          <w:p w14:paraId="447D0C83" w14:textId="4975F5A9" w:rsidR="00866568" w:rsidRDefault="00866568" w:rsidP="00866568">
            <w:pPr>
              <w:pStyle w:val="TableText"/>
            </w:pPr>
            <w:r>
              <w:t>Total</w:t>
            </w:r>
          </w:p>
        </w:tc>
        <w:tc>
          <w:tcPr>
            <w:tcW w:w="1114" w:type="pct"/>
          </w:tcPr>
          <w:p w14:paraId="0C55E884" w14:textId="4D5E3427" w:rsidR="00866568" w:rsidRDefault="00866568" w:rsidP="00866568">
            <w:pPr>
              <w:pStyle w:val="TableText"/>
            </w:pPr>
            <w:r>
              <w:t>All aquatic biota</w:t>
            </w:r>
          </w:p>
        </w:tc>
        <w:tc>
          <w:tcPr>
            <w:tcW w:w="1470" w:type="pct"/>
          </w:tcPr>
          <w:p w14:paraId="56C5CB25" w14:textId="213FE26D" w:rsidR="00866568" w:rsidRDefault="007A161A" w:rsidP="00866568">
            <w:pPr>
              <w:pStyle w:val="TableText"/>
            </w:pPr>
            <w:r>
              <w:t>SSD + m</w:t>
            </w:r>
            <w:r w:rsidR="00866568">
              <w:t>ultiple linear regression using EC</w:t>
            </w:r>
            <w:r w:rsidR="00D95F70">
              <w:t>1</w:t>
            </w:r>
            <w:r w:rsidR="00866568">
              <w:t>0s</w:t>
            </w:r>
            <w:r w:rsidR="00D95F70">
              <w:t xml:space="preserve"> </w:t>
            </w:r>
            <w:r w:rsidR="00E30660">
              <w:t>or</w:t>
            </w:r>
            <w:r w:rsidR="00D95F70">
              <w:t xml:space="preserve"> EC20s</w:t>
            </w:r>
            <w:r w:rsidR="00866568">
              <w:t xml:space="preserve">, pH </w:t>
            </w:r>
            <w:r w:rsidR="00DF612D">
              <w:t>&lt;</w:t>
            </w:r>
            <w:r w:rsidR="00BC4A84">
              <w:t> </w:t>
            </w:r>
            <w:r w:rsidR="00DF612D">
              <w:t>7</w:t>
            </w:r>
            <w:r w:rsidR="00866568">
              <w:t xml:space="preserve">, </w:t>
            </w:r>
            <w:r w:rsidR="00AB43D8">
              <w:t>DOC</w:t>
            </w:r>
            <w:r w:rsidR="00E30660">
              <w:t xml:space="preserve"> &lt;</w:t>
            </w:r>
            <w:r w:rsidR="00BC4A84">
              <w:t> </w:t>
            </w:r>
            <w:r w:rsidR="00E30660">
              <w:t>1</w:t>
            </w:r>
            <w:r w:rsidR="00BC4A84">
              <w:t> </w:t>
            </w:r>
            <w:r w:rsidR="00E30660">
              <w:t xml:space="preserve">mg/L, </w:t>
            </w:r>
            <w:r w:rsidR="00866568">
              <w:t>15</w:t>
            </w:r>
            <w:r w:rsidR="00BC4A84">
              <w:t> </w:t>
            </w:r>
            <w:r w:rsidR="00866568">
              <w:t>mg/L hardness</w:t>
            </w:r>
          </w:p>
        </w:tc>
        <w:tc>
          <w:tcPr>
            <w:tcW w:w="999" w:type="pct"/>
          </w:tcPr>
          <w:p w14:paraId="7D0F374F" w14:textId="4F67D358" w:rsidR="00866568" w:rsidRPr="0067628B" w:rsidRDefault="00866568" w:rsidP="00866568">
            <w:pPr>
              <w:pStyle w:val="TableText"/>
            </w:pPr>
            <w:r>
              <w:t>Brix et al. (2023)</w:t>
            </w:r>
          </w:p>
        </w:tc>
      </w:tr>
      <w:tr w:rsidR="00866568" w:rsidRPr="005907F2" w14:paraId="1AEDE666" w14:textId="77777777" w:rsidTr="00515B5D">
        <w:trPr>
          <w:cantSplit/>
          <w:jc w:val="center"/>
        </w:trPr>
        <w:tc>
          <w:tcPr>
            <w:tcW w:w="709" w:type="pct"/>
          </w:tcPr>
          <w:p w14:paraId="1397593A" w14:textId="77777777" w:rsidR="00866568" w:rsidRPr="005907F2" w:rsidRDefault="00866568" w:rsidP="009C778F">
            <w:pPr>
              <w:pStyle w:val="TableText"/>
            </w:pPr>
            <w:r>
              <w:t>210</w:t>
            </w:r>
          </w:p>
        </w:tc>
        <w:tc>
          <w:tcPr>
            <w:tcW w:w="708" w:type="pct"/>
          </w:tcPr>
          <w:p w14:paraId="3046D233" w14:textId="2ADE3056" w:rsidR="00866568" w:rsidRPr="005907F2" w:rsidRDefault="00866568" w:rsidP="00866568">
            <w:pPr>
              <w:pStyle w:val="TableText"/>
            </w:pPr>
            <w:r>
              <w:t>Total</w:t>
            </w:r>
          </w:p>
        </w:tc>
        <w:tc>
          <w:tcPr>
            <w:tcW w:w="1114" w:type="pct"/>
          </w:tcPr>
          <w:p w14:paraId="27FAB6FC" w14:textId="77777777" w:rsidR="00866568" w:rsidRPr="005907F2" w:rsidRDefault="00866568" w:rsidP="00866568">
            <w:pPr>
              <w:pStyle w:val="TableText"/>
            </w:pPr>
            <w:r>
              <w:t>Sensitive mayflies</w:t>
            </w:r>
          </w:p>
        </w:tc>
        <w:tc>
          <w:tcPr>
            <w:tcW w:w="1470" w:type="pct"/>
          </w:tcPr>
          <w:p w14:paraId="584AADD3" w14:textId="28F12AAF" w:rsidR="00866568" w:rsidRDefault="00866568" w:rsidP="00866568">
            <w:pPr>
              <w:pStyle w:val="TableText"/>
            </w:pPr>
            <w:r>
              <w:t xml:space="preserve">Quantile </w:t>
            </w:r>
            <w:r w:rsidR="00C26EBA">
              <w:t>r</w:t>
            </w:r>
            <w:r>
              <w:t>egression</w:t>
            </w:r>
          </w:p>
        </w:tc>
        <w:tc>
          <w:tcPr>
            <w:tcW w:w="999" w:type="pct"/>
          </w:tcPr>
          <w:p w14:paraId="43FB4E0B" w14:textId="77777777" w:rsidR="00866568" w:rsidRPr="0067628B" w:rsidRDefault="00866568" w:rsidP="00866568">
            <w:pPr>
              <w:pStyle w:val="TableText"/>
            </w:pPr>
            <w:r w:rsidRPr="0067628B">
              <w:t>EPRI (2004)</w:t>
            </w:r>
            <w:r w:rsidRPr="0067628B">
              <w:rPr>
                <w:bCs/>
                <w:vertAlign w:val="superscript"/>
              </w:rPr>
              <w:t xml:space="preserve"> </w:t>
            </w:r>
          </w:p>
        </w:tc>
      </w:tr>
      <w:tr w:rsidR="003F4E0F" w:rsidRPr="005907F2" w14:paraId="38CF74E6" w14:textId="77777777" w:rsidTr="00515B5D">
        <w:trPr>
          <w:cantSplit/>
          <w:jc w:val="center"/>
        </w:trPr>
        <w:tc>
          <w:tcPr>
            <w:tcW w:w="709" w:type="pct"/>
          </w:tcPr>
          <w:p w14:paraId="3283A8C6" w14:textId="4ECFD9C6" w:rsidR="003F4E0F" w:rsidRDefault="003F4E0F" w:rsidP="009C778F">
            <w:pPr>
              <w:pStyle w:val="TableText"/>
            </w:pPr>
            <w:r>
              <w:t>251</w:t>
            </w:r>
          </w:p>
        </w:tc>
        <w:tc>
          <w:tcPr>
            <w:tcW w:w="708" w:type="pct"/>
          </w:tcPr>
          <w:p w14:paraId="7FEE9123" w14:textId="16E25933" w:rsidR="003F4E0F" w:rsidRDefault="003F4E0F" w:rsidP="003F4E0F">
            <w:pPr>
              <w:pStyle w:val="TableText"/>
            </w:pPr>
            <w:r>
              <w:t>Total</w:t>
            </w:r>
          </w:p>
        </w:tc>
        <w:tc>
          <w:tcPr>
            <w:tcW w:w="1114" w:type="pct"/>
          </w:tcPr>
          <w:p w14:paraId="7E42EA6A" w14:textId="46FF5470" w:rsidR="003F4E0F" w:rsidRDefault="003F4E0F" w:rsidP="003F4E0F">
            <w:pPr>
              <w:pStyle w:val="TableText"/>
            </w:pPr>
            <w:r>
              <w:t xml:space="preserve">All aquatic </w:t>
            </w:r>
            <w:r w:rsidR="001D3C70">
              <w:t xml:space="preserve">genera </w:t>
            </w:r>
            <w:r>
              <w:t>EC20s, including mesocosm insects</w:t>
            </w:r>
          </w:p>
        </w:tc>
        <w:tc>
          <w:tcPr>
            <w:tcW w:w="1470" w:type="pct"/>
          </w:tcPr>
          <w:p w14:paraId="6827EAB4" w14:textId="3906FB6D" w:rsidR="003F4E0F" w:rsidRDefault="003F4E0F" w:rsidP="003F4E0F">
            <w:pPr>
              <w:pStyle w:val="TableText"/>
            </w:pPr>
            <w:r>
              <w:t xml:space="preserve">Quantile </w:t>
            </w:r>
            <w:r w:rsidR="00C26EBA">
              <w:t>r</w:t>
            </w:r>
            <w:r>
              <w:t>egression</w:t>
            </w:r>
          </w:p>
        </w:tc>
        <w:tc>
          <w:tcPr>
            <w:tcW w:w="999" w:type="pct"/>
          </w:tcPr>
          <w:p w14:paraId="5E63E184" w14:textId="1AD7C4CD" w:rsidR="003F4E0F" w:rsidRDefault="003F4E0F" w:rsidP="003F4E0F">
            <w:pPr>
              <w:pStyle w:val="TableText"/>
            </w:pPr>
            <w:r>
              <w:t>Cadmus et al. (2018</w:t>
            </w:r>
            <w:r w:rsidR="000C59A6">
              <w:t>a</w:t>
            </w:r>
            <w:r>
              <w:t>)</w:t>
            </w:r>
          </w:p>
        </w:tc>
      </w:tr>
      <w:tr w:rsidR="00BE605C" w:rsidRPr="005907F2" w14:paraId="79A1FFC0" w14:textId="77777777" w:rsidTr="00515B5D">
        <w:trPr>
          <w:cantSplit/>
          <w:jc w:val="center"/>
        </w:trPr>
        <w:tc>
          <w:tcPr>
            <w:tcW w:w="709" w:type="pct"/>
          </w:tcPr>
          <w:p w14:paraId="5ADFC554" w14:textId="77777777" w:rsidR="00BE605C" w:rsidRDefault="00BE605C" w:rsidP="009C778F">
            <w:pPr>
              <w:pStyle w:val="TableText"/>
            </w:pPr>
            <w:r>
              <w:t>280</w:t>
            </w:r>
          </w:p>
        </w:tc>
        <w:tc>
          <w:tcPr>
            <w:tcW w:w="708" w:type="pct"/>
          </w:tcPr>
          <w:p w14:paraId="55A2125D" w14:textId="77777777" w:rsidR="00BE605C" w:rsidRDefault="00BE605C" w:rsidP="00AE1928">
            <w:pPr>
              <w:pStyle w:val="TableText"/>
            </w:pPr>
            <w:r>
              <w:t>Total</w:t>
            </w:r>
          </w:p>
        </w:tc>
        <w:tc>
          <w:tcPr>
            <w:tcW w:w="1114" w:type="pct"/>
          </w:tcPr>
          <w:p w14:paraId="45A75460" w14:textId="77777777" w:rsidR="00BE605C" w:rsidRDefault="00BE605C" w:rsidP="00AE1928">
            <w:pPr>
              <w:pStyle w:val="TableText"/>
            </w:pPr>
            <w:r>
              <w:t>All aquatic biota</w:t>
            </w:r>
          </w:p>
        </w:tc>
        <w:tc>
          <w:tcPr>
            <w:tcW w:w="1470" w:type="pct"/>
          </w:tcPr>
          <w:p w14:paraId="3F5CB181" w14:textId="6762A408" w:rsidR="00BE605C" w:rsidRDefault="00BE605C" w:rsidP="00AE1928">
            <w:pPr>
              <w:pStyle w:val="TableText"/>
            </w:pPr>
            <w:r>
              <w:t>S</w:t>
            </w:r>
            <w:r w:rsidR="009C778F">
              <w:t>pecies sensitivity distribution</w:t>
            </w:r>
            <w:r>
              <w:t xml:space="preserve"> (Burrlioz 2.0)</w:t>
            </w:r>
          </w:p>
        </w:tc>
        <w:tc>
          <w:tcPr>
            <w:tcW w:w="999" w:type="pct"/>
          </w:tcPr>
          <w:p w14:paraId="62127867" w14:textId="77777777" w:rsidR="00BE605C" w:rsidRDefault="00BE605C" w:rsidP="00AE1928">
            <w:pPr>
              <w:pStyle w:val="TableText"/>
            </w:pPr>
            <w:r>
              <w:t>This report</w:t>
            </w:r>
          </w:p>
        </w:tc>
      </w:tr>
      <w:tr w:rsidR="003F4E0F" w:rsidRPr="005907F2" w14:paraId="5A29162B" w14:textId="77777777" w:rsidTr="00515B5D">
        <w:trPr>
          <w:cantSplit/>
          <w:jc w:val="center"/>
        </w:trPr>
        <w:tc>
          <w:tcPr>
            <w:tcW w:w="709" w:type="pct"/>
          </w:tcPr>
          <w:p w14:paraId="33AC87D6" w14:textId="77777777" w:rsidR="003F4E0F" w:rsidRPr="005907F2" w:rsidRDefault="003F4E0F" w:rsidP="009C778F">
            <w:pPr>
              <w:pStyle w:val="TableText"/>
            </w:pPr>
            <w:r w:rsidRPr="005907F2">
              <w:t>300</w:t>
            </w:r>
          </w:p>
        </w:tc>
        <w:tc>
          <w:tcPr>
            <w:tcW w:w="708" w:type="pct"/>
          </w:tcPr>
          <w:p w14:paraId="7CE3D9BB" w14:textId="4E3BC070" w:rsidR="003F4E0F" w:rsidRPr="005907F2" w:rsidRDefault="003F4E0F" w:rsidP="003F4E0F">
            <w:pPr>
              <w:pStyle w:val="TableText"/>
            </w:pPr>
            <w:r w:rsidRPr="005907F2">
              <w:t>Total</w:t>
            </w:r>
          </w:p>
        </w:tc>
        <w:tc>
          <w:tcPr>
            <w:tcW w:w="1114" w:type="pct"/>
          </w:tcPr>
          <w:p w14:paraId="4C24D597" w14:textId="77777777" w:rsidR="003F4E0F" w:rsidRPr="005907F2" w:rsidRDefault="003F4E0F" w:rsidP="003F4E0F">
            <w:pPr>
              <w:pStyle w:val="TableText"/>
            </w:pPr>
            <w:r w:rsidRPr="005907F2">
              <w:t>Interim guideline value</w:t>
            </w:r>
          </w:p>
        </w:tc>
        <w:tc>
          <w:tcPr>
            <w:tcW w:w="1470" w:type="pct"/>
          </w:tcPr>
          <w:p w14:paraId="3C22E908" w14:textId="65527A5A" w:rsidR="003F4E0F" w:rsidRPr="0055276E" w:rsidRDefault="003F4E0F" w:rsidP="003F4E0F">
            <w:pPr>
              <w:pStyle w:val="TableText"/>
            </w:pPr>
            <w:r>
              <w:t xml:space="preserve">Assessment </w:t>
            </w:r>
            <w:r w:rsidR="00C26EBA">
              <w:t>f</w:t>
            </w:r>
            <w:r>
              <w:t>actor</w:t>
            </w:r>
          </w:p>
        </w:tc>
        <w:tc>
          <w:tcPr>
            <w:tcW w:w="999" w:type="pct"/>
          </w:tcPr>
          <w:p w14:paraId="2252B651" w14:textId="282CBD97" w:rsidR="003F4E0F" w:rsidRPr="0067628B" w:rsidRDefault="003F4E0F" w:rsidP="003F4E0F">
            <w:pPr>
              <w:pStyle w:val="TableText"/>
            </w:pPr>
            <w:r w:rsidRPr="0067628B">
              <w:t>ANZECC</w:t>
            </w:r>
            <w:r w:rsidR="00C26EBA">
              <w:t xml:space="preserve"> and </w:t>
            </w:r>
            <w:r w:rsidRPr="0067628B">
              <w:t>ARMCANZ (2000)</w:t>
            </w:r>
          </w:p>
        </w:tc>
      </w:tr>
      <w:tr w:rsidR="003F4E0F" w:rsidRPr="005907F2" w14:paraId="0C1B37AA" w14:textId="77777777" w:rsidTr="00515B5D">
        <w:trPr>
          <w:cantSplit/>
          <w:jc w:val="center"/>
        </w:trPr>
        <w:tc>
          <w:tcPr>
            <w:tcW w:w="709" w:type="pct"/>
          </w:tcPr>
          <w:p w14:paraId="75445A2B" w14:textId="77777777" w:rsidR="003F4E0F" w:rsidRPr="005907F2" w:rsidRDefault="003F4E0F" w:rsidP="009C778F">
            <w:pPr>
              <w:pStyle w:val="TableText"/>
            </w:pPr>
            <w:r>
              <w:t>300</w:t>
            </w:r>
          </w:p>
        </w:tc>
        <w:tc>
          <w:tcPr>
            <w:tcW w:w="708" w:type="pct"/>
          </w:tcPr>
          <w:p w14:paraId="5A4408B3" w14:textId="57721D1A" w:rsidR="003F4E0F" w:rsidRPr="005907F2" w:rsidRDefault="003F4E0F" w:rsidP="003F4E0F">
            <w:pPr>
              <w:pStyle w:val="TableText"/>
            </w:pPr>
            <w:r>
              <w:t>Total</w:t>
            </w:r>
          </w:p>
        </w:tc>
        <w:tc>
          <w:tcPr>
            <w:tcW w:w="1114" w:type="pct"/>
          </w:tcPr>
          <w:p w14:paraId="7F0E9636" w14:textId="77777777" w:rsidR="003F4E0F" w:rsidRPr="005907F2" w:rsidRDefault="003F4E0F" w:rsidP="003F4E0F">
            <w:pPr>
              <w:pStyle w:val="TableText"/>
            </w:pPr>
            <w:r>
              <w:t>All aquatic biota</w:t>
            </w:r>
          </w:p>
        </w:tc>
        <w:tc>
          <w:tcPr>
            <w:tcW w:w="1470" w:type="pct"/>
          </w:tcPr>
          <w:p w14:paraId="6DA597FD" w14:textId="4FD340B7" w:rsidR="003F4E0F" w:rsidRPr="0055276E" w:rsidRDefault="003F4E0F" w:rsidP="003F4E0F">
            <w:pPr>
              <w:pStyle w:val="TableText"/>
            </w:pPr>
            <w:r>
              <w:t xml:space="preserve">Assessment </w:t>
            </w:r>
            <w:r w:rsidR="00C26EBA">
              <w:t>f</w:t>
            </w:r>
            <w:r>
              <w:t>actor</w:t>
            </w:r>
          </w:p>
        </w:tc>
        <w:tc>
          <w:tcPr>
            <w:tcW w:w="999" w:type="pct"/>
          </w:tcPr>
          <w:p w14:paraId="04C4C737" w14:textId="76669740" w:rsidR="003F4E0F" w:rsidRPr="0067628B" w:rsidRDefault="00C664E8" w:rsidP="003F4E0F">
            <w:pPr>
              <w:pStyle w:val="TableText"/>
            </w:pPr>
            <w:r>
              <w:t>CCREM</w:t>
            </w:r>
            <w:r w:rsidR="003F4E0F" w:rsidRPr="0067628B">
              <w:t xml:space="preserve"> (1987)</w:t>
            </w:r>
          </w:p>
        </w:tc>
      </w:tr>
      <w:tr w:rsidR="003F4E0F" w:rsidRPr="005907F2" w14:paraId="5B33F5C9" w14:textId="77777777" w:rsidTr="00515B5D">
        <w:trPr>
          <w:cantSplit/>
          <w:jc w:val="center"/>
        </w:trPr>
        <w:tc>
          <w:tcPr>
            <w:tcW w:w="709" w:type="pct"/>
          </w:tcPr>
          <w:p w14:paraId="0B332E75" w14:textId="77777777" w:rsidR="003F4E0F" w:rsidRDefault="003F4E0F" w:rsidP="009C778F">
            <w:pPr>
              <w:pStyle w:val="TableText"/>
            </w:pPr>
            <w:r>
              <w:t>350</w:t>
            </w:r>
          </w:p>
        </w:tc>
        <w:tc>
          <w:tcPr>
            <w:tcW w:w="708" w:type="pct"/>
          </w:tcPr>
          <w:p w14:paraId="4589ECBC" w14:textId="28D6088C" w:rsidR="003F4E0F" w:rsidRDefault="003F4E0F" w:rsidP="003F4E0F">
            <w:pPr>
              <w:pStyle w:val="TableText"/>
            </w:pPr>
            <w:r>
              <w:t>Dissolved (&lt;</w:t>
            </w:r>
            <w:r w:rsidR="00C26EBA">
              <w:t> </w:t>
            </w:r>
            <w:r>
              <w:t>0.45</w:t>
            </w:r>
            <w:r w:rsidR="00C26EBA">
              <w:t> </w:t>
            </w:r>
            <w:r>
              <w:rPr>
                <w:rFonts w:ascii="Calibri" w:hAnsi="Calibri"/>
              </w:rPr>
              <w:t>µ</w:t>
            </w:r>
            <w:r>
              <w:t>m)</w:t>
            </w:r>
          </w:p>
        </w:tc>
        <w:tc>
          <w:tcPr>
            <w:tcW w:w="1114" w:type="pct"/>
          </w:tcPr>
          <w:p w14:paraId="574BC4E8" w14:textId="77777777" w:rsidR="003F4E0F" w:rsidRDefault="003F4E0F" w:rsidP="003F4E0F">
            <w:pPr>
              <w:pStyle w:val="TableText"/>
            </w:pPr>
            <w:r>
              <w:t>All aquatic biota</w:t>
            </w:r>
          </w:p>
        </w:tc>
        <w:tc>
          <w:tcPr>
            <w:tcW w:w="1470" w:type="pct"/>
          </w:tcPr>
          <w:p w14:paraId="10CDE59B" w14:textId="3612B907" w:rsidR="003F4E0F" w:rsidRPr="0055276E" w:rsidRDefault="003F4E0F" w:rsidP="003F4E0F">
            <w:pPr>
              <w:pStyle w:val="TableText"/>
            </w:pPr>
            <w:r>
              <w:t xml:space="preserve">Assessment </w:t>
            </w:r>
            <w:r w:rsidR="00C26EBA">
              <w:t>f</w:t>
            </w:r>
            <w:r>
              <w:t>actor</w:t>
            </w:r>
          </w:p>
        </w:tc>
        <w:tc>
          <w:tcPr>
            <w:tcW w:w="999" w:type="pct"/>
          </w:tcPr>
          <w:p w14:paraId="45EE1F4F" w14:textId="77777777" w:rsidR="003F4E0F" w:rsidRPr="0067628B" w:rsidRDefault="003F4E0F" w:rsidP="003F4E0F">
            <w:pPr>
              <w:pStyle w:val="TableText"/>
            </w:pPr>
            <w:r w:rsidRPr="0067628B">
              <w:t>Phippen et al. (2008)</w:t>
            </w:r>
          </w:p>
        </w:tc>
      </w:tr>
      <w:tr w:rsidR="003F4E0F" w:rsidRPr="005907F2" w14:paraId="34BA5BD4" w14:textId="77777777" w:rsidTr="00515B5D">
        <w:trPr>
          <w:cantSplit/>
          <w:jc w:val="center"/>
        </w:trPr>
        <w:tc>
          <w:tcPr>
            <w:tcW w:w="709" w:type="pct"/>
          </w:tcPr>
          <w:p w14:paraId="725F133E" w14:textId="76A40EAD" w:rsidR="003F4E0F" w:rsidRDefault="003F4E0F" w:rsidP="009C778F">
            <w:pPr>
              <w:pStyle w:val="TableText"/>
            </w:pPr>
            <w:r>
              <w:t>499</w:t>
            </w:r>
          </w:p>
        </w:tc>
        <w:tc>
          <w:tcPr>
            <w:tcW w:w="708" w:type="pct"/>
          </w:tcPr>
          <w:p w14:paraId="447233D3" w14:textId="32D9EEE6" w:rsidR="003F4E0F" w:rsidRDefault="003F4E0F" w:rsidP="003F4E0F">
            <w:pPr>
              <w:pStyle w:val="TableText"/>
            </w:pPr>
            <w:r>
              <w:t>Total</w:t>
            </w:r>
          </w:p>
        </w:tc>
        <w:tc>
          <w:tcPr>
            <w:tcW w:w="1114" w:type="pct"/>
          </w:tcPr>
          <w:p w14:paraId="6C3AFAB2" w14:textId="0751170A" w:rsidR="003F4E0F" w:rsidRDefault="003F4E0F" w:rsidP="003F4E0F">
            <w:pPr>
              <w:pStyle w:val="TableText"/>
            </w:pPr>
            <w:r>
              <w:t>All aquatic biota EC20s, excluding mesocosm insects</w:t>
            </w:r>
          </w:p>
        </w:tc>
        <w:tc>
          <w:tcPr>
            <w:tcW w:w="1470" w:type="pct"/>
          </w:tcPr>
          <w:p w14:paraId="2DB05EB9" w14:textId="2BDCA558" w:rsidR="003F4E0F" w:rsidRDefault="003F4E0F" w:rsidP="003F4E0F">
            <w:pPr>
              <w:pStyle w:val="TableText"/>
            </w:pPr>
            <w:r>
              <w:t xml:space="preserve">Quantile </w:t>
            </w:r>
            <w:r w:rsidR="00C26EBA">
              <w:t>r</w:t>
            </w:r>
            <w:r>
              <w:t>egression</w:t>
            </w:r>
          </w:p>
        </w:tc>
        <w:tc>
          <w:tcPr>
            <w:tcW w:w="999" w:type="pct"/>
          </w:tcPr>
          <w:p w14:paraId="622EB3F3" w14:textId="10CC2141" w:rsidR="003F4E0F" w:rsidRPr="0067628B" w:rsidRDefault="003F4E0F" w:rsidP="003F4E0F">
            <w:pPr>
              <w:pStyle w:val="TableText"/>
            </w:pPr>
            <w:r>
              <w:t>Cadmus et al. (2018</w:t>
            </w:r>
            <w:r w:rsidR="000C59A6">
              <w:t>a</w:t>
            </w:r>
            <w:r>
              <w:t>)</w:t>
            </w:r>
          </w:p>
        </w:tc>
      </w:tr>
      <w:tr w:rsidR="003F4E0F" w:rsidRPr="005907F2" w14:paraId="3832C58F" w14:textId="77777777" w:rsidTr="00515B5D">
        <w:trPr>
          <w:cantSplit/>
          <w:jc w:val="center"/>
        </w:trPr>
        <w:tc>
          <w:tcPr>
            <w:tcW w:w="709" w:type="pct"/>
          </w:tcPr>
          <w:p w14:paraId="736902EC" w14:textId="77777777" w:rsidR="003F4E0F" w:rsidRDefault="003F4E0F" w:rsidP="009C778F">
            <w:pPr>
              <w:pStyle w:val="TableText"/>
            </w:pPr>
            <w:r>
              <w:t>730</w:t>
            </w:r>
          </w:p>
        </w:tc>
        <w:tc>
          <w:tcPr>
            <w:tcW w:w="708" w:type="pct"/>
          </w:tcPr>
          <w:p w14:paraId="1EA20EF3" w14:textId="42A328C1" w:rsidR="003F4E0F" w:rsidRDefault="003F4E0F" w:rsidP="003F4E0F">
            <w:pPr>
              <w:pStyle w:val="TableText"/>
            </w:pPr>
            <w:r>
              <w:t>Total</w:t>
            </w:r>
          </w:p>
        </w:tc>
        <w:tc>
          <w:tcPr>
            <w:tcW w:w="1114" w:type="pct"/>
          </w:tcPr>
          <w:p w14:paraId="4A243374" w14:textId="77777777" w:rsidR="003F4E0F" w:rsidRDefault="003F4E0F" w:rsidP="003F4E0F">
            <w:pPr>
              <w:pStyle w:val="TableText"/>
            </w:pPr>
            <w:r>
              <w:t>Sensitive taxa</w:t>
            </w:r>
          </w:p>
        </w:tc>
        <w:tc>
          <w:tcPr>
            <w:tcW w:w="1470" w:type="pct"/>
          </w:tcPr>
          <w:p w14:paraId="69D6C54D" w14:textId="085F4C4F" w:rsidR="003F4E0F" w:rsidRDefault="003F4E0F" w:rsidP="003F4E0F">
            <w:pPr>
              <w:pStyle w:val="TableText"/>
            </w:pPr>
            <w:r>
              <w:t xml:space="preserve">Quantile </w:t>
            </w:r>
            <w:r w:rsidR="00C26EBA">
              <w:t>r</w:t>
            </w:r>
            <w:r>
              <w:t>egression</w:t>
            </w:r>
          </w:p>
        </w:tc>
        <w:tc>
          <w:tcPr>
            <w:tcW w:w="999" w:type="pct"/>
          </w:tcPr>
          <w:p w14:paraId="6F5C04D8" w14:textId="4AFF1E28" w:rsidR="003F4E0F" w:rsidRPr="0067628B" w:rsidRDefault="003F4E0F" w:rsidP="003F4E0F">
            <w:pPr>
              <w:pStyle w:val="TableText"/>
            </w:pPr>
            <w:r w:rsidRPr="0067628B">
              <w:t>Peters et al. (2011a</w:t>
            </w:r>
            <w:r w:rsidR="00FB30B4">
              <w:t>,</w:t>
            </w:r>
            <w:r w:rsidRPr="0067628B">
              <w:t xml:space="preserve"> 2011b)</w:t>
            </w:r>
          </w:p>
        </w:tc>
      </w:tr>
      <w:tr w:rsidR="003F4E0F" w:rsidRPr="005907F2" w14:paraId="54220003" w14:textId="77777777" w:rsidTr="00515B5D">
        <w:trPr>
          <w:cantSplit/>
          <w:jc w:val="center"/>
        </w:trPr>
        <w:tc>
          <w:tcPr>
            <w:tcW w:w="709" w:type="pct"/>
          </w:tcPr>
          <w:p w14:paraId="0ED1D8CB" w14:textId="3834CBDC" w:rsidR="003F4E0F" w:rsidRPr="005907F2" w:rsidRDefault="003F4E0F" w:rsidP="009C778F">
            <w:pPr>
              <w:pStyle w:val="TableText"/>
            </w:pPr>
            <w:r>
              <w:t>1</w:t>
            </w:r>
            <w:r w:rsidR="00C26EBA">
              <w:t>,</w:t>
            </w:r>
            <w:r>
              <w:t>000</w:t>
            </w:r>
          </w:p>
        </w:tc>
        <w:tc>
          <w:tcPr>
            <w:tcW w:w="708" w:type="pct"/>
          </w:tcPr>
          <w:p w14:paraId="23768F0F" w14:textId="5C7D7CE7" w:rsidR="003F4E0F" w:rsidRPr="005907F2" w:rsidRDefault="003F4E0F" w:rsidP="003F4E0F">
            <w:pPr>
              <w:pStyle w:val="TableText"/>
            </w:pPr>
            <w:r>
              <w:t>Total</w:t>
            </w:r>
          </w:p>
        </w:tc>
        <w:tc>
          <w:tcPr>
            <w:tcW w:w="1114" w:type="pct"/>
          </w:tcPr>
          <w:p w14:paraId="165AE57A" w14:textId="77777777" w:rsidR="003F4E0F" w:rsidRPr="005907F2" w:rsidRDefault="003F4E0F" w:rsidP="003F4E0F">
            <w:pPr>
              <w:pStyle w:val="TableText"/>
            </w:pPr>
            <w:r>
              <w:t>All aquatic biota</w:t>
            </w:r>
          </w:p>
        </w:tc>
        <w:tc>
          <w:tcPr>
            <w:tcW w:w="1470" w:type="pct"/>
          </w:tcPr>
          <w:p w14:paraId="3822478C" w14:textId="552D9CC8" w:rsidR="003F4E0F" w:rsidRPr="0055276E" w:rsidRDefault="003F4E0F" w:rsidP="003F4E0F">
            <w:pPr>
              <w:pStyle w:val="TableText"/>
            </w:pPr>
            <w:r>
              <w:t xml:space="preserve">Assessment </w:t>
            </w:r>
            <w:r w:rsidR="00C26EBA">
              <w:t>f</w:t>
            </w:r>
            <w:r>
              <w:t>actor</w:t>
            </w:r>
          </w:p>
        </w:tc>
        <w:tc>
          <w:tcPr>
            <w:tcW w:w="999" w:type="pct"/>
          </w:tcPr>
          <w:p w14:paraId="161F919D" w14:textId="5E2D09F7" w:rsidR="003F4E0F" w:rsidRPr="0067628B" w:rsidRDefault="003F4E0F" w:rsidP="003F4E0F">
            <w:pPr>
              <w:pStyle w:val="TableText"/>
            </w:pPr>
            <w:r w:rsidRPr="0067628B">
              <w:t>US</w:t>
            </w:r>
            <w:r w:rsidR="00C26EBA">
              <w:t xml:space="preserve"> </w:t>
            </w:r>
            <w:r w:rsidRPr="0067628B">
              <w:t>EPA (1986)</w:t>
            </w:r>
          </w:p>
        </w:tc>
      </w:tr>
      <w:tr w:rsidR="003F4E0F" w:rsidRPr="005907F2" w14:paraId="51CD868C" w14:textId="77777777" w:rsidTr="00515B5D">
        <w:trPr>
          <w:cantSplit/>
          <w:jc w:val="center"/>
        </w:trPr>
        <w:tc>
          <w:tcPr>
            <w:tcW w:w="709" w:type="pct"/>
          </w:tcPr>
          <w:p w14:paraId="376753F9" w14:textId="51E48FF4" w:rsidR="003F4E0F" w:rsidRDefault="003F4E0F" w:rsidP="009C778F">
            <w:pPr>
              <w:pStyle w:val="TableText"/>
            </w:pPr>
            <w:r>
              <w:t>1</w:t>
            </w:r>
            <w:r w:rsidR="00C26EBA">
              <w:t>,</w:t>
            </w:r>
            <w:r>
              <w:t>000</w:t>
            </w:r>
          </w:p>
        </w:tc>
        <w:tc>
          <w:tcPr>
            <w:tcW w:w="708" w:type="pct"/>
          </w:tcPr>
          <w:p w14:paraId="120D4BFB" w14:textId="487361AD" w:rsidR="003F4E0F" w:rsidRDefault="003F4E0F" w:rsidP="003F4E0F">
            <w:pPr>
              <w:pStyle w:val="TableText"/>
            </w:pPr>
            <w:r>
              <w:t>Total</w:t>
            </w:r>
          </w:p>
        </w:tc>
        <w:tc>
          <w:tcPr>
            <w:tcW w:w="1114" w:type="pct"/>
          </w:tcPr>
          <w:p w14:paraId="23288B77" w14:textId="77777777" w:rsidR="003F4E0F" w:rsidRDefault="003F4E0F" w:rsidP="003F4E0F">
            <w:pPr>
              <w:pStyle w:val="TableText"/>
            </w:pPr>
            <w:r>
              <w:t>All aquatic biota</w:t>
            </w:r>
          </w:p>
        </w:tc>
        <w:tc>
          <w:tcPr>
            <w:tcW w:w="1470" w:type="pct"/>
          </w:tcPr>
          <w:p w14:paraId="657B1F4F" w14:textId="0D77021E" w:rsidR="003F4E0F" w:rsidRPr="0055276E" w:rsidRDefault="003F4E0F" w:rsidP="003F4E0F">
            <w:pPr>
              <w:pStyle w:val="TableText"/>
            </w:pPr>
            <w:r>
              <w:t xml:space="preserve">Assessment </w:t>
            </w:r>
            <w:r w:rsidR="00C26EBA">
              <w:t>f</w:t>
            </w:r>
            <w:r>
              <w:t>actor</w:t>
            </w:r>
          </w:p>
        </w:tc>
        <w:tc>
          <w:tcPr>
            <w:tcW w:w="999" w:type="pct"/>
          </w:tcPr>
          <w:p w14:paraId="3F6CF3B0" w14:textId="77777777" w:rsidR="003F4E0F" w:rsidRPr="0067628B" w:rsidRDefault="003F4E0F" w:rsidP="003F4E0F">
            <w:pPr>
              <w:pStyle w:val="TableText"/>
            </w:pPr>
            <w:r w:rsidRPr="0067628B">
              <w:t>Phippen et al. (2008)</w:t>
            </w:r>
          </w:p>
        </w:tc>
      </w:tr>
      <w:tr w:rsidR="003F4E0F" w:rsidRPr="005907F2" w14:paraId="10706156" w14:textId="77777777" w:rsidTr="00515B5D">
        <w:trPr>
          <w:cantSplit/>
          <w:jc w:val="center"/>
        </w:trPr>
        <w:tc>
          <w:tcPr>
            <w:tcW w:w="709" w:type="pct"/>
            <w:tcBorders>
              <w:bottom w:val="single" w:sz="4" w:space="0" w:color="auto"/>
            </w:tcBorders>
          </w:tcPr>
          <w:p w14:paraId="54AF7A01" w14:textId="2998EB54" w:rsidR="003F4E0F" w:rsidRPr="005907F2" w:rsidRDefault="003F4E0F" w:rsidP="009C778F">
            <w:pPr>
              <w:pStyle w:val="TableText"/>
            </w:pPr>
            <w:r>
              <w:lastRenderedPageBreak/>
              <w:t>1</w:t>
            </w:r>
            <w:r w:rsidR="00C26EBA">
              <w:t>,</w:t>
            </w:r>
            <w:r>
              <w:t>740</w:t>
            </w:r>
          </w:p>
        </w:tc>
        <w:tc>
          <w:tcPr>
            <w:tcW w:w="708" w:type="pct"/>
            <w:tcBorders>
              <w:bottom w:val="single" w:sz="4" w:space="0" w:color="auto"/>
            </w:tcBorders>
          </w:tcPr>
          <w:p w14:paraId="6AE86DB3" w14:textId="6A88B25B" w:rsidR="003F4E0F" w:rsidRPr="005907F2" w:rsidRDefault="003F4E0F" w:rsidP="003F4E0F">
            <w:pPr>
              <w:pStyle w:val="TableText"/>
            </w:pPr>
            <w:r>
              <w:t>Total</w:t>
            </w:r>
          </w:p>
        </w:tc>
        <w:tc>
          <w:tcPr>
            <w:tcW w:w="1114" w:type="pct"/>
            <w:tcBorders>
              <w:bottom w:val="single" w:sz="4" w:space="0" w:color="auto"/>
            </w:tcBorders>
          </w:tcPr>
          <w:p w14:paraId="71C55719" w14:textId="77777777" w:rsidR="003F4E0F" w:rsidRPr="005907F2" w:rsidRDefault="003F4E0F" w:rsidP="003F4E0F">
            <w:pPr>
              <w:pStyle w:val="TableText"/>
            </w:pPr>
            <w:r>
              <w:t>Community</w:t>
            </w:r>
          </w:p>
        </w:tc>
        <w:tc>
          <w:tcPr>
            <w:tcW w:w="1470" w:type="pct"/>
            <w:tcBorders>
              <w:bottom w:val="single" w:sz="4" w:space="0" w:color="auto"/>
            </w:tcBorders>
          </w:tcPr>
          <w:p w14:paraId="3AAB49A7" w14:textId="192F39C8" w:rsidR="003F4E0F" w:rsidRDefault="003F4E0F" w:rsidP="003F4E0F">
            <w:pPr>
              <w:pStyle w:val="TableText"/>
            </w:pPr>
            <w:r>
              <w:t xml:space="preserve">Quantile </w:t>
            </w:r>
            <w:r w:rsidR="00C26EBA">
              <w:t>r</w:t>
            </w:r>
            <w:r>
              <w:t>egression</w:t>
            </w:r>
          </w:p>
        </w:tc>
        <w:tc>
          <w:tcPr>
            <w:tcW w:w="999" w:type="pct"/>
            <w:tcBorders>
              <w:bottom w:val="single" w:sz="4" w:space="0" w:color="auto"/>
            </w:tcBorders>
          </w:tcPr>
          <w:p w14:paraId="583550FA" w14:textId="77777777" w:rsidR="003F4E0F" w:rsidRPr="0067628B" w:rsidRDefault="003F4E0F" w:rsidP="003F4E0F">
            <w:pPr>
              <w:pStyle w:val="TableText"/>
            </w:pPr>
            <w:r w:rsidRPr="0067628B">
              <w:t>EPRI (2004)</w:t>
            </w:r>
          </w:p>
        </w:tc>
      </w:tr>
      <w:tr w:rsidR="003F4E0F" w:rsidRPr="005907F2" w14:paraId="4E96C653" w14:textId="77777777" w:rsidTr="00515B5D">
        <w:trPr>
          <w:cantSplit/>
          <w:jc w:val="center"/>
        </w:trPr>
        <w:tc>
          <w:tcPr>
            <w:tcW w:w="709" w:type="pct"/>
            <w:tcBorders>
              <w:bottom w:val="single" w:sz="12" w:space="0" w:color="auto"/>
            </w:tcBorders>
          </w:tcPr>
          <w:p w14:paraId="4252E3E7" w14:textId="43C876A3" w:rsidR="003F4E0F" w:rsidRDefault="003F4E0F" w:rsidP="009C778F">
            <w:pPr>
              <w:pStyle w:val="TableText"/>
            </w:pPr>
            <w:r>
              <w:t>1</w:t>
            </w:r>
            <w:r w:rsidR="00C26EBA">
              <w:t>,</w:t>
            </w:r>
            <w:r>
              <w:t>840</w:t>
            </w:r>
          </w:p>
        </w:tc>
        <w:tc>
          <w:tcPr>
            <w:tcW w:w="708" w:type="pct"/>
            <w:tcBorders>
              <w:bottom w:val="single" w:sz="12" w:space="0" w:color="auto"/>
            </w:tcBorders>
          </w:tcPr>
          <w:p w14:paraId="00FDEF96" w14:textId="7C7C21E7" w:rsidR="003F4E0F" w:rsidRDefault="003F4E0F" w:rsidP="003F4E0F">
            <w:pPr>
              <w:pStyle w:val="TableText"/>
            </w:pPr>
            <w:r>
              <w:t>Total</w:t>
            </w:r>
          </w:p>
        </w:tc>
        <w:tc>
          <w:tcPr>
            <w:tcW w:w="1114" w:type="pct"/>
            <w:tcBorders>
              <w:bottom w:val="single" w:sz="12" w:space="0" w:color="auto"/>
            </w:tcBorders>
          </w:tcPr>
          <w:p w14:paraId="28DCF8BA" w14:textId="77777777" w:rsidR="003F4E0F" w:rsidRDefault="003F4E0F" w:rsidP="003F4E0F">
            <w:pPr>
              <w:pStyle w:val="TableText"/>
            </w:pPr>
            <w:r>
              <w:t>Community</w:t>
            </w:r>
          </w:p>
        </w:tc>
        <w:tc>
          <w:tcPr>
            <w:tcW w:w="1470" w:type="pct"/>
            <w:tcBorders>
              <w:bottom w:val="single" w:sz="12" w:space="0" w:color="auto"/>
            </w:tcBorders>
          </w:tcPr>
          <w:p w14:paraId="403EC9FE" w14:textId="412DA131" w:rsidR="003F4E0F" w:rsidRDefault="003F4E0F" w:rsidP="003F4E0F">
            <w:pPr>
              <w:pStyle w:val="TableText"/>
            </w:pPr>
            <w:r>
              <w:t xml:space="preserve">Quantile </w:t>
            </w:r>
            <w:r w:rsidR="00C26EBA">
              <w:t>r</w:t>
            </w:r>
            <w:r>
              <w:t>egression</w:t>
            </w:r>
          </w:p>
        </w:tc>
        <w:tc>
          <w:tcPr>
            <w:tcW w:w="999" w:type="pct"/>
            <w:tcBorders>
              <w:bottom w:val="single" w:sz="12" w:space="0" w:color="auto"/>
            </w:tcBorders>
          </w:tcPr>
          <w:p w14:paraId="43D7F31F" w14:textId="0E8D9B76" w:rsidR="003F4E0F" w:rsidRPr="0067628B" w:rsidRDefault="003F4E0F" w:rsidP="003F4E0F">
            <w:pPr>
              <w:pStyle w:val="TableText"/>
            </w:pPr>
            <w:r w:rsidRPr="0067628B">
              <w:t>Peters et al. (2011a</w:t>
            </w:r>
            <w:r w:rsidR="00FB30B4">
              <w:t>,</w:t>
            </w:r>
            <w:r w:rsidRPr="0067628B">
              <w:t xml:space="preserve"> 2011b)</w:t>
            </w:r>
          </w:p>
        </w:tc>
      </w:tr>
    </w:tbl>
    <w:p w14:paraId="094344BC" w14:textId="77777777" w:rsidR="00606A7B" w:rsidRDefault="00606A7B" w:rsidP="00606A7B"/>
    <w:p w14:paraId="74B086F5" w14:textId="77777777" w:rsidR="00606A7B" w:rsidRDefault="00606A7B" w:rsidP="00606A7B">
      <w:pPr>
        <w:sectPr w:rsidR="00606A7B" w:rsidSect="003E0D02">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1418" w:right="1418" w:bottom="1418" w:left="1418" w:header="567" w:footer="284" w:gutter="0"/>
          <w:cols w:space="708"/>
          <w:docGrid w:linePitch="360"/>
        </w:sectPr>
      </w:pPr>
    </w:p>
    <w:p w14:paraId="2C6FB27E" w14:textId="6F192FC6" w:rsidR="00196840" w:rsidRDefault="00196840" w:rsidP="00196840">
      <w:pPr>
        <w:pStyle w:val="Heading2"/>
        <w:numPr>
          <w:ilvl w:val="0"/>
          <w:numId w:val="0"/>
        </w:numPr>
      </w:pPr>
      <w:bookmarkStart w:id="73" w:name="AppendixB"/>
      <w:bookmarkStart w:id="74" w:name="_Ref528068950"/>
      <w:bookmarkStart w:id="75" w:name="_Toc197088523"/>
      <w:bookmarkStart w:id="76" w:name="_Toc197783778"/>
      <w:bookmarkStart w:id="77" w:name="_Toc199424874"/>
      <w:bookmarkStart w:id="78" w:name="_Ref528068779"/>
      <w:bookmarkStart w:id="79" w:name="_Ref528068976"/>
      <w:bookmarkStart w:id="80" w:name="_Toc4498837"/>
      <w:r>
        <w:lastRenderedPageBreak/>
        <w:t>Appendix</w:t>
      </w:r>
      <w:r w:rsidR="00615C91">
        <w:t> </w:t>
      </w:r>
      <w:r>
        <w:t>B</w:t>
      </w:r>
      <w:bookmarkEnd w:id="73"/>
      <w:r>
        <w:t xml:space="preserve">: </w:t>
      </w:r>
      <w:r w:rsidR="009C5809">
        <w:t>w</w:t>
      </w:r>
      <w:r w:rsidRPr="00396EEE">
        <w:t>ater</w:t>
      </w:r>
      <w:r w:rsidR="008216B0">
        <w:t>-</w:t>
      </w:r>
      <w:r w:rsidRPr="00396EEE">
        <w:t>quality assessment for sparingly soluble metals</w:t>
      </w:r>
      <w:bookmarkEnd w:id="74"/>
      <w:bookmarkEnd w:id="75"/>
      <w:bookmarkEnd w:id="76"/>
      <w:bookmarkEnd w:id="77"/>
    </w:p>
    <w:p w14:paraId="541F4624" w14:textId="61F2BBA1" w:rsidR="00196840" w:rsidRDefault="00196840" w:rsidP="00196840">
      <w:r w:rsidRPr="00B37818">
        <w:t>A number of metals</w:t>
      </w:r>
      <w:r>
        <w:t xml:space="preserve"> have low solubility in freshwater and marine water but have been found to be toxic at concentrations above their solubility limit. Therefore, the derivation of guideline values for those metals included data for which toxicity was at least in part due to particulate (precipitated) metals. Examples include iron(III) in marine water (solubility &lt;</w:t>
      </w:r>
      <w:r w:rsidR="009A6133">
        <w:t> </w:t>
      </w:r>
      <w:r>
        <w:t>0.03</w:t>
      </w:r>
      <w:r w:rsidR="009A6133">
        <w:t> </w:t>
      </w:r>
      <w:r>
        <w:t>µg/L; Liu and Millero 2002), iron(III) in freshwater (solubility &lt;</w:t>
      </w:r>
      <w:r w:rsidR="009A6133">
        <w:t> </w:t>
      </w:r>
      <w:r>
        <w:t>0.05</w:t>
      </w:r>
      <w:r w:rsidR="009A6133">
        <w:t> </w:t>
      </w:r>
      <w:r>
        <w:t>µg/L; Phippen et al. 2008), chromium(III) in freshwater (solubility &lt;</w:t>
      </w:r>
      <w:r w:rsidR="009A6133">
        <w:t> </w:t>
      </w:r>
      <w:r>
        <w:t>5</w:t>
      </w:r>
      <w:r w:rsidR="009A6133">
        <w:t> </w:t>
      </w:r>
      <w:r>
        <w:t>µg/L; Rai et al. 1989) and aluminium in marine water (solubility ca 500</w:t>
      </w:r>
      <w:r w:rsidR="009A6133">
        <w:t> </w:t>
      </w:r>
      <w:r>
        <w:t>µg/L; Angel et al. 2016). The DGVs for these metals are expressed as total metal concentrations.</w:t>
      </w:r>
    </w:p>
    <w:p w14:paraId="4ED2C006" w14:textId="49BD639C" w:rsidR="00196840" w:rsidRDefault="00196840" w:rsidP="00196840">
      <w:r>
        <w:t xml:space="preserve">For iron and chromium, the DGVs are above the solubility limits under oxic conditions and neutral pH. Measuring total metal concentrations to compare with these DGVs requires a method that discriminates between precipitated metals and metals in mineralised forms that are not likely to be bioavailable. This is normally a cold, </w:t>
      </w:r>
      <w:r w:rsidR="006512DB">
        <w:t>weak-</w:t>
      </w:r>
      <w:r>
        <w:t>acid (pH</w:t>
      </w:r>
      <w:r w:rsidR="003B24DB">
        <w:t>-</w:t>
      </w:r>
      <w:r>
        <w:t xml:space="preserve">2) extraction </w:t>
      </w:r>
      <w:r w:rsidRPr="001D1DB7">
        <w:rPr>
          <w:iCs/>
          <w:color w:val="000000" w:themeColor="text1"/>
        </w:rPr>
        <w:t xml:space="preserve">(e.g. as per </w:t>
      </w:r>
      <w:r>
        <w:rPr>
          <w:iCs/>
          <w:color w:val="000000" w:themeColor="text1"/>
        </w:rPr>
        <w:t>US EPA</w:t>
      </w:r>
      <w:r w:rsidRPr="001D1DB7">
        <w:rPr>
          <w:iCs/>
          <w:color w:val="000000" w:themeColor="text1"/>
        </w:rPr>
        <w:t xml:space="preserve"> 1991)</w:t>
      </w:r>
      <w:r>
        <w:rPr>
          <w:iCs/>
          <w:color w:val="000000" w:themeColor="text1"/>
        </w:rPr>
        <w:t xml:space="preserve"> </w:t>
      </w:r>
      <w:r>
        <w:t>that will solubilise precipitated metal oxyhydroxides, including those that become adsorbed to other substrates</w:t>
      </w:r>
      <w:r w:rsidR="00D546A7">
        <w:t>,</w:t>
      </w:r>
      <w:r>
        <w:t xml:space="preserve"> such as mineralised forms or particulate (or colloidal) organic matter (Markich et al. 2001). A total recoverable metals analysis (concentrated acid digestion) </w:t>
      </w:r>
      <w:r w:rsidR="00645338">
        <w:t>is not advisable</w:t>
      </w:r>
      <w:r>
        <w:t>, as this will overestimate the precipitated metals fraction by also including the digested mineralised forms, potentially leading to false exceedance of the DGV.</w:t>
      </w:r>
      <w:r w:rsidR="00DB0D6F">
        <w:t xml:space="preserve"> </w:t>
      </w:r>
      <w:r>
        <w:t>At least in the case of iron and chromium, 0.45</w:t>
      </w:r>
      <w:r w:rsidR="009A6133">
        <w:t>-</w:t>
      </w:r>
      <w:r>
        <w:t xml:space="preserve">µm sample filtration is not a recommended step, as it will exclude </w:t>
      </w:r>
      <w:r w:rsidR="005B760F">
        <w:t xml:space="preserve">colloidal and </w:t>
      </w:r>
      <w:r>
        <w:t>precipitated metal that might be contributing to toxicity, potentially leading to false compliance with the DGV.</w:t>
      </w:r>
    </w:p>
    <w:p w14:paraId="061D8412" w14:textId="6E53F22D" w:rsidR="00196840" w:rsidRDefault="00196840" w:rsidP="00196840">
      <w:r>
        <w:t xml:space="preserve">A </w:t>
      </w:r>
      <w:r w:rsidRPr="006F7D52">
        <w:t>recent study by Balsamo Crespo et al. (</w:t>
      </w:r>
      <w:r>
        <w:t>2023</w:t>
      </w:r>
      <w:r w:rsidRPr="006F7D52">
        <w:t xml:space="preserve">) demonstrated that a </w:t>
      </w:r>
      <w:r>
        <w:t>≥</w:t>
      </w:r>
      <w:r w:rsidR="00BC4A84">
        <w:t> </w:t>
      </w:r>
      <w:r>
        <w:t>4</w:t>
      </w:r>
      <w:r w:rsidRPr="006F7D52">
        <w:t>-h</w:t>
      </w:r>
      <w:r>
        <w:t>our</w:t>
      </w:r>
      <w:r w:rsidRPr="006F7D52">
        <w:t xml:space="preserve"> extraction of an unfiltered sample at pH</w:t>
      </w:r>
      <w:r>
        <w:t> </w:t>
      </w:r>
      <w:r w:rsidRPr="006F7D52">
        <w:t>2 adequately discriminated non-mineralised iron in freshwaters.</w:t>
      </w:r>
      <w:r>
        <w:t xml:space="preserve"> These results were subsequently confirmed </w:t>
      </w:r>
      <w:r w:rsidR="00E650B7">
        <w:t xml:space="preserve">for both freshwater and marine water samples </w:t>
      </w:r>
      <w:r>
        <w:t xml:space="preserve">in another study specifically commissioned to address public comments on the iron in freshwater </w:t>
      </w:r>
      <w:r w:rsidR="0025338F">
        <w:t xml:space="preserve">and marine water </w:t>
      </w:r>
      <w:r>
        <w:t>DGVs relating to the appropriate chemical analysis method, although a 16-h</w:t>
      </w:r>
      <w:r w:rsidR="0025338F">
        <w:t>our</w:t>
      </w:r>
      <w:r>
        <w:t xml:space="preserve"> extraction period was recommended (ANZG 202</w:t>
      </w:r>
      <w:r w:rsidR="00A45926">
        <w:t>5</w:t>
      </w:r>
      <w:r>
        <w:t>). Another study by</w:t>
      </w:r>
      <w:r w:rsidRPr="00A7601A">
        <w:t xml:space="preserve"> Rodriguez et al. </w:t>
      </w:r>
      <w:r>
        <w:t>(</w:t>
      </w:r>
      <w:r w:rsidRPr="00A7601A">
        <w:t xml:space="preserve">2019) reported that, </w:t>
      </w:r>
      <w:r>
        <w:t>for</w:t>
      </w:r>
      <w:r w:rsidRPr="00A7601A">
        <w:t xml:space="preserve"> the analysis of aluminium in freshwater, a pH</w:t>
      </w:r>
      <w:r>
        <w:noBreakHyphen/>
      </w:r>
      <w:r w:rsidRPr="00A7601A">
        <w:t>4</w:t>
      </w:r>
      <w:r>
        <w:t xml:space="preserve"> </w:t>
      </w:r>
      <w:r w:rsidRPr="00A7601A">
        <w:t>extractable fraction best correlated with the toxic fraction</w:t>
      </w:r>
      <w:r>
        <w:t>. However, there is currently no accepted standard analytical method for iron that employs a pH</w:t>
      </w:r>
      <w:r>
        <w:noBreakHyphen/>
        <w:t>4 extraction. Moreover, for iron, Balsamo Crespo et al. (2023) found that the pH</w:t>
      </w:r>
      <w:r w:rsidR="007F625E">
        <w:t>-</w:t>
      </w:r>
      <w:r>
        <w:t>2 method performed better than the pH</w:t>
      </w:r>
      <w:r w:rsidR="007F625E">
        <w:t>-</w:t>
      </w:r>
      <w:r>
        <w:t>4 method.</w:t>
      </w:r>
    </w:p>
    <w:p w14:paraId="35604A81" w14:textId="35DF792F" w:rsidR="00196840" w:rsidRPr="00765655" w:rsidRDefault="00196840" w:rsidP="00196840">
      <w:pPr>
        <w:rPr>
          <w:rFonts w:cstheme="minorHAnsi"/>
        </w:rPr>
      </w:pPr>
      <w:r w:rsidRPr="00765655">
        <w:rPr>
          <w:rFonts w:cstheme="minorHAnsi"/>
        </w:rPr>
        <w:t xml:space="preserve">The same study team </w:t>
      </w:r>
      <w:r>
        <w:rPr>
          <w:rFonts w:cstheme="minorHAnsi"/>
        </w:rPr>
        <w:t>that</w:t>
      </w:r>
      <w:r w:rsidRPr="00765655">
        <w:rPr>
          <w:rFonts w:cstheme="minorHAnsi"/>
        </w:rPr>
        <w:t xml:space="preserve"> published Balsamo Crespo et al. (2023) </w:t>
      </w:r>
      <w:r w:rsidR="005B760F">
        <w:rPr>
          <w:rFonts w:cstheme="minorHAnsi"/>
        </w:rPr>
        <w:t>ha</w:t>
      </w:r>
      <w:r w:rsidR="004E17DE">
        <w:rPr>
          <w:rFonts w:cstheme="minorHAnsi"/>
        </w:rPr>
        <w:t>s</w:t>
      </w:r>
      <w:r w:rsidR="005B760F">
        <w:rPr>
          <w:rFonts w:cstheme="minorHAnsi"/>
        </w:rPr>
        <w:t xml:space="preserve"> also</w:t>
      </w:r>
      <w:r w:rsidRPr="00765655">
        <w:rPr>
          <w:rFonts w:cstheme="minorHAnsi"/>
        </w:rPr>
        <w:t xml:space="preserve"> </w:t>
      </w:r>
      <w:r w:rsidR="005B760F" w:rsidRPr="00765655">
        <w:rPr>
          <w:rFonts w:cstheme="minorHAnsi"/>
        </w:rPr>
        <w:t>validat</w:t>
      </w:r>
      <w:r w:rsidR="005B760F">
        <w:rPr>
          <w:rFonts w:cstheme="minorHAnsi"/>
        </w:rPr>
        <w:t>ed</w:t>
      </w:r>
      <w:r w:rsidR="005B760F" w:rsidRPr="00765655">
        <w:rPr>
          <w:rFonts w:cstheme="minorHAnsi"/>
        </w:rPr>
        <w:t xml:space="preserve"> </w:t>
      </w:r>
      <w:r w:rsidRPr="00765655">
        <w:rPr>
          <w:rFonts w:cstheme="minorHAnsi"/>
        </w:rPr>
        <w:t>the pH</w:t>
      </w:r>
      <w:r w:rsidR="007F625E">
        <w:rPr>
          <w:rFonts w:cstheme="minorHAnsi"/>
        </w:rPr>
        <w:t>-</w:t>
      </w:r>
      <w:r w:rsidRPr="00765655">
        <w:rPr>
          <w:rFonts w:cstheme="minorHAnsi"/>
        </w:rPr>
        <w:t xml:space="preserve">2 method as a measure of bioavailable iron </w:t>
      </w:r>
      <w:r>
        <w:rPr>
          <w:rFonts w:cstheme="minorHAnsi"/>
        </w:rPr>
        <w:t xml:space="preserve">in freshwater </w:t>
      </w:r>
      <w:r w:rsidRPr="00765655">
        <w:rPr>
          <w:rFonts w:cstheme="minorHAnsi"/>
        </w:rPr>
        <w:t xml:space="preserve">through toxicity tests using the cladoceran </w:t>
      </w:r>
      <w:r w:rsidRPr="00765655">
        <w:rPr>
          <w:rFonts w:cstheme="minorHAnsi"/>
          <w:i/>
          <w:iCs/>
        </w:rPr>
        <w:t>C</w:t>
      </w:r>
      <w:r w:rsidR="00FB5461">
        <w:rPr>
          <w:rFonts w:cstheme="minorHAnsi"/>
          <w:i/>
          <w:iCs/>
        </w:rPr>
        <w:t>. </w:t>
      </w:r>
      <w:r w:rsidRPr="00765655">
        <w:rPr>
          <w:rFonts w:cstheme="minorHAnsi"/>
          <w:i/>
          <w:iCs/>
        </w:rPr>
        <w:t>dubia</w:t>
      </w:r>
      <w:r w:rsidRPr="00765655">
        <w:rPr>
          <w:rFonts w:cstheme="minorHAnsi"/>
        </w:rPr>
        <w:t xml:space="preserve">. The results are expected to be published in 2025, but a summary of the currently unpublished data is provided here. Results from reproduction tests with </w:t>
      </w:r>
      <w:r w:rsidRPr="00765655">
        <w:rPr>
          <w:rFonts w:cstheme="minorHAnsi"/>
          <w:i/>
        </w:rPr>
        <w:t>C.</w:t>
      </w:r>
      <w:r w:rsidR="00FB5461">
        <w:rPr>
          <w:rFonts w:cstheme="minorHAnsi"/>
          <w:i/>
        </w:rPr>
        <w:t> </w:t>
      </w:r>
      <w:r w:rsidR="00A5339E" w:rsidRPr="00515B5D">
        <w:rPr>
          <w:rFonts w:cstheme="minorHAnsi"/>
          <w:i/>
        </w:rPr>
        <w:t>dubia</w:t>
      </w:r>
      <w:r w:rsidR="00A5339E" w:rsidRPr="00A5339E">
        <w:rPr>
          <w:rFonts w:cstheme="minorHAnsi"/>
        </w:rPr>
        <w:t xml:space="preserve"> (</w:t>
      </w:r>
      <w:r w:rsidR="001B7626">
        <w:rPr>
          <w:rFonts w:cstheme="minorHAnsi"/>
        </w:rPr>
        <w:t>US EPA</w:t>
      </w:r>
      <w:r w:rsidR="00A5339E" w:rsidRPr="00A5339E">
        <w:rPr>
          <w:rFonts w:cstheme="minorHAnsi"/>
        </w:rPr>
        <w:t xml:space="preserve"> 2002)</w:t>
      </w:r>
      <w:r w:rsidR="00A5339E">
        <w:rPr>
          <w:rFonts w:cstheme="minorHAnsi"/>
        </w:rPr>
        <w:t xml:space="preserve"> </w:t>
      </w:r>
      <w:r w:rsidRPr="00765655">
        <w:rPr>
          <w:rFonts w:cstheme="minorHAnsi"/>
        </w:rPr>
        <w:t>showed that freshly precipitated iron represents a higher risk than well-mineralised phases</w:t>
      </w:r>
      <w:r w:rsidR="00543467">
        <w:rPr>
          <w:rFonts w:cstheme="minorHAnsi"/>
        </w:rPr>
        <w:t xml:space="preserve"> – </w:t>
      </w:r>
      <w:r w:rsidRPr="00765655">
        <w:rPr>
          <w:rFonts w:cstheme="minorHAnsi"/>
        </w:rPr>
        <w:t>EC</w:t>
      </w:r>
      <w:r w:rsidRPr="00515B5D">
        <w:rPr>
          <w:rFonts w:cstheme="minorHAnsi"/>
        </w:rPr>
        <w:t>10</w:t>
      </w:r>
      <w:r w:rsidRPr="00765655">
        <w:rPr>
          <w:rFonts w:cstheme="minorHAnsi"/>
        </w:rPr>
        <w:t xml:space="preserve"> values</w:t>
      </w:r>
      <w:r w:rsidR="00990DC1">
        <w:rPr>
          <w:rFonts w:cstheme="minorHAnsi"/>
        </w:rPr>
        <w:t xml:space="preserve"> were</w:t>
      </w:r>
      <w:r w:rsidRPr="00765655">
        <w:rPr>
          <w:rFonts w:cstheme="minorHAnsi"/>
        </w:rPr>
        <w:t xml:space="preserve"> significantly lower for fresh precipitates than crystalline phases. The pH</w:t>
      </w:r>
      <w:r w:rsidR="00F321E2">
        <w:rPr>
          <w:rFonts w:cstheme="minorHAnsi"/>
        </w:rPr>
        <w:t>-</w:t>
      </w:r>
      <w:r w:rsidRPr="00765655">
        <w:rPr>
          <w:rFonts w:cstheme="minorHAnsi"/>
        </w:rPr>
        <w:t xml:space="preserve">2 extraction method </w:t>
      </w:r>
      <w:r w:rsidR="00A5339E" w:rsidRPr="00A5339E">
        <w:rPr>
          <w:rFonts w:cstheme="minorHAnsi"/>
        </w:rPr>
        <w:t xml:space="preserve">(Balsamo Crespo et al., 2023, ANZG </w:t>
      </w:r>
      <w:r w:rsidR="00A45926" w:rsidRPr="00A5339E">
        <w:rPr>
          <w:rFonts w:cstheme="minorHAnsi"/>
        </w:rPr>
        <w:t>202</w:t>
      </w:r>
      <w:r w:rsidR="00A45926">
        <w:rPr>
          <w:rFonts w:cstheme="minorHAnsi"/>
        </w:rPr>
        <w:t>5</w:t>
      </w:r>
      <w:r w:rsidR="00A5339E" w:rsidRPr="00A5339E">
        <w:rPr>
          <w:rFonts w:cstheme="minorHAnsi"/>
        </w:rPr>
        <w:t>)</w:t>
      </w:r>
      <w:r w:rsidRPr="00765655">
        <w:rPr>
          <w:rFonts w:cstheme="minorHAnsi"/>
        </w:rPr>
        <w:t xml:space="preserve"> was able to describe the dose</w:t>
      </w:r>
      <w:r w:rsidR="00F321E2">
        <w:rPr>
          <w:rFonts w:cstheme="minorHAnsi"/>
        </w:rPr>
        <w:t>–</w:t>
      </w:r>
      <w:r w:rsidRPr="00765655">
        <w:rPr>
          <w:rFonts w:cstheme="minorHAnsi"/>
        </w:rPr>
        <w:t>response relationship without significant differences between EC</w:t>
      </w:r>
      <w:r w:rsidRPr="00515B5D">
        <w:rPr>
          <w:rFonts w:cstheme="minorHAnsi"/>
        </w:rPr>
        <w:t>10</w:t>
      </w:r>
      <w:r w:rsidRPr="00765655">
        <w:rPr>
          <w:rFonts w:cstheme="minorHAnsi"/>
        </w:rPr>
        <w:t xml:space="preserve"> values from experiments with single and combined exposure to fresh and well-mineralised iron phases. Filtered iron measurements </w:t>
      </w:r>
      <w:r w:rsidR="00A5339E" w:rsidRPr="00A5339E">
        <w:rPr>
          <w:rFonts w:cstheme="minorHAnsi"/>
        </w:rPr>
        <w:t>(</w:t>
      </w:r>
      <w:r w:rsidR="001B7626">
        <w:rPr>
          <w:rFonts w:cstheme="minorHAnsi"/>
        </w:rPr>
        <w:t>US EPA</w:t>
      </w:r>
      <w:r w:rsidR="00A5339E" w:rsidRPr="00A5339E">
        <w:rPr>
          <w:rFonts w:cstheme="minorHAnsi"/>
        </w:rPr>
        <w:t xml:space="preserve"> 1994, 2002)</w:t>
      </w:r>
      <w:r w:rsidRPr="00765655">
        <w:rPr>
          <w:rFonts w:cstheme="minorHAnsi"/>
        </w:rPr>
        <w:t xml:space="preserve"> resulted in at least half the exposure range </w:t>
      </w:r>
      <w:r w:rsidR="00223242">
        <w:rPr>
          <w:rFonts w:cstheme="minorHAnsi"/>
        </w:rPr>
        <w:t>having</w:t>
      </w:r>
      <w:r w:rsidR="00223242" w:rsidRPr="00765655">
        <w:rPr>
          <w:rFonts w:cstheme="minorHAnsi"/>
        </w:rPr>
        <w:t xml:space="preserve"> </w:t>
      </w:r>
      <w:r w:rsidRPr="00765655">
        <w:rPr>
          <w:rFonts w:cstheme="minorHAnsi"/>
        </w:rPr>
        <w:t xml:space="preserve">readings below the limit of detection </w:t>
      </w:r>
      <w:r w:rsidRPr="00765655">
        <w:rPr>
          <w:rFonts w:cstheme="minorHAnsi"/>
        </w:rPr>
        <w:lastRenderedPageBreak/>
        <w:t>(0.005 mg</w:t>
      </w:r>
      <w:r w:rsidR="00282957">
        <w:rPr>
          <w:rFonts w:cstheme="minorHAnsi"/>
        </w:rPr>
        <w:t>/L</w:t>
      </w:r>
      <w:r w:rsidRPr="00765655">
        <w:rPr>
          <w:rFonts w:cstheme="minorHAnsi"/>
        </w:rPr>
        <w:t xml:space="preserve"> Fe) and</w:t>
      </w:r>
      <w:r w:rsidR="00282957">
        <w:rPr>
          <w:rFonts w:cstheme="minorHAnsi"/>
        </w:rPr>
        <w:t>,</w:t>
      </w:r>
      <w:r w:rsidRPr="00765655">
        <w:rPr>
          <w:rFonts w:cstheme="minorHAnsi"/>
        </w:rPr>
        <w:t xml:space="preserve"> therefore</w:t>
      </w:r>
      <w:r w:rsidR="00282957">
        <w:rPr>
          <w:rFonts w:cstheme="minorHAnsi"/>
        </w:rPr>
        <w:t>,</w:t>
      </w:r>
      <w:r w:rsidRPr="00765655">
        <w:rPr>
          <w:rFonts w:cstheme="minorHAnsi"/>
        </w:rPr>
        <w:t xml:space="preserve"> this operationally defined fraction was deemed unsatisfactory to describe the response of </w:t>
      </w:r>
      <w:r w:rsidRPr="00765655">
        <w:rPr>
          <w:rFonts w:cstheme="minorHAnsi"/>
          <w:i/>
        </w:rPr>
        <w:t>C.</w:t>
      </w:r>
      <w:r w:rsidR="00282957">
        <w:rPr>
          <w:rFonts w:cstheme="minorHAnsi"/>
          <w:i/>
        </w:rPr>
        <w:t> </w:t>
      </w:r>
      <w:r w:rsidRPr="00765655">
        <w:rPr>
          <w:rFonts w:cstheme="minorHAnsi"/>
          <w:i/>
        </w:rPr>
        <w:t>dubia</w:t>
      </w:r>
      <w:r w:rsidRPr="00765655">
        <w:rPr>
          <w:rFonts w:cstheme="minorHAnsi"/>
        </w:rPr>
        <w:t xml:space="preserve"> in single and combined exposure settings. Total recoverable iron determination </w:t>
      </w:r>
      <w:r w:rsidR="00A5339E" w:rsidRPr="00A5339E">
        <w:rPr>
          <w:rFonts w:cstheme="minorHAnsi"/>
        </w:rPr>
        <w:t>(</w:t>
      </w:r>
      <w:r w:rsidR="001B7626">
        <w:rPr>
          <w:rFonts w:cstheme="minorHAnsi"/>
        </w:rPr>
        <w:t>US EPA</w:t>
      </w:r>
      <w:r w:rsidR="00A5339E" w:rsidRPr="00A5339E">
        <w:rPr>
          <w:rFonts w:cstheme="minorHAnsi"/>
        </w:rPr>
        <w:t xml:space="preserve"> 1994, 2002)</w:t>
      </w:r>
      <w:r w:rsidRPr="00765655">
        <w:rPr>
          <w:rFonts w:cstheme="minorHAnsi"/>
        </w:rPr>
        <w:t xml:space="preserve"> was able to describe the response curve for single exposure to freshly precipitated iron, but in combined treatments, the total extraction over-estimated the dose</w:t>
      </w:r>
      <w:r w:rsidR="0002317F">
        <w:rPr>
          <w:rFonts w:cstheme="minorHAnsi"/>
        </w:rPr>
        <w:t>–</w:t>
      </w:r>
      <w:r w:rsidRPr="00765655">
        <w:rPr>
          <w:rFonts w:cstheme="minorHAnsi"/>
        </w:rPr>
        <w:t xml:space="preserve">response relationship on reproduction because it recovered iron from the mineralised fractions that were below the concentration that caused effects in </w:t>
      </w:r>
      <w:r w:rsidR="0002317F">
        <w:rPr>
          <w:rFonts w:cstheme="minorHAnsi"/>
        </w:rPr>
        <w:t xml:space="preserve">exposures to </w:t>
      </w:r>
      <w:r w:rsidR="00E549E7">
        <w:rPr>
          <w:rFonts w:cstheme="minorHAnsi"/>
        </w:rPr>
        <w:t xml:space="preserve">only the </w:t>
      </w:r>
      <w:r w:rsidRPr="00765655">
        <w:rPr>
          <w:rFonts w:cstheme="minorHAnsi"/>
        </w:rPr>
        <w:t xml:space="preserve">mineralised phase. </w:t>
      </w:r>
      <w:r w:rsidR="00E549E7">
        <w:rPr>
          <w:rFonts w:cstheme="minorHAnsi"/>
        </w:rPr>
        <w:t>In turn, t</w:t>
      </w:r>
      <w:r w:rsidRPr="00765655">
        <w:rPr>
          <w:rFonts w:cstheme="minorHAnsi"/>
        </w:rPr>
        <w:t>his yielded significant differences between EC</w:t>
      </w:r>
      <w:r w:rsidRPr="00515B5D">
        <w:rPr>
          <w:rFonts w:cstheme="minorHAnsi"/>
        </w:rPr>
        <w:t>10</w:t>
      </w:r>
      <w:r w:rsidRPr="00765655">
        <w:rPr>
          <w:rFonts w:cstheme="minorHAnsi"/>
        </w:rPr>
        <w:t xml:space="preserve"> values from models for single and combined exposure to fresh precipitates. In summary, the results support the hypothesis that the bioavailable iron fraction should encompass iron phases of lower crystallinity and</w:t>
      </w:r>
      <w:r w:rsidR="00E549E7">
        <w:rPr>
          <w:rFonts w:cstheme="minorHAnsi"/>
        </w:rPr>
        <w:t>,</w:t>
      </w:r>
      <w:r w:rsidRPr="00765655">
        <w:rPr>
          <w:rFonts w:cstheme="minorHAnsi"/>
        </w:rPr>
        <w:t xml:space="preserve"> furthermore, the pH</w:t>
      </w:r>
      <w:r w:rsidR="00E549E7">
        <w:rPr>
          <w:rFonts w:cstheme="minorHAnsi"/>
        </w:rPr>
        <w:t>-</w:t>
      </w:r>
      <w:r w:rsidRPr="00765655">
        <w:rPr>
          <w:rFonts w:cstheme="minorHAnsi"/>
        </w:rPr>
        <w:t xml:space="preserve">2 method </w:t>
      </w:r>
      <w:r>
        <w:rPr>
          <w:rFonts w:cstheme="minorHAnsi"/>
        </w:rPr>
        <w:t>(</w:t>
      </w:r>
      <w:r w:rsidRPr="00765655">
        <w:rPr>
          <w:rFonts w:cstheme="minorHAnsi"/>
        </w:rPr>
        <w:t>with an extraction time of 6</w:t>
      </w:r>
      <w:r w:rsidR="00E549E7">
        <w:rPr>
          <w:rFonts w:cstheme="minorHAnsi"/>
        </w:rPr>
        <w:t>–</w:t>
      </w:r>
      <w:r>
        <w:rPr>
          <w:rFonts w:cstheme="minorHAnsi"/>
        </w:rPr>
        <w:t>16</w:t>
      </w:r>
      <w:r w:rsidRPr="00765655">
        <w:rPr>
          <w:rFonts w:cstheme="minorHAnsi"/>
        </w:rPr>
        <w:t xml:space="preserve"> hours</w:t>
      </w:r>
      <w:r>
        <w:rPr>
          <w:rFonts w:cstheme="minorHAnsi"/>
        </w:rPr>
        <w:t>)</w:t>
      </w:r>
      <w:r w:rsidRPr="00765655">
        <w:rPr>
          <w:rFonts w:cstheme="minorHAnsi"/>
        </w:rPr>
        <w:t xml:space="preserve"> is a suitable method to predict the chronic effects of iron at low response levels without the interference of well-mineralised iron phases.</w:t>
      </w:r>
    </w:p>
    <w:p w14:paraId="1D5D849D" w14:textId="50019386" w:rsidR="00196840" w:rsidRDefault="00196840" w:rsidP="00196840">
      <w:r>
        <w:t>Consequently, the recently validated pH</w:t>
      </w:r>
      <w:r w:rsidR="007B3F58">
        <w:t>-</w:t>
      </w:r>
      <w:r>
        <w:t xml:space="preserve">2 extraction method (ANZG </w:t>
      </w:r>
      <w:r w:rsidR="00A45926">
        <w:t>2025</w:t>
      </w:r>
      <w:r>
        <w:t>) is recommended for use when analysing iron for the purpose of comparing concentrations with the iron DGVs. The method is analogous to US EPA (1991) Method 200.1, which was designed to determine acid-soluble metals but was not validated for iron. There is a low risk of toxicity if the pH</w:t>
      </w:r>
      <w:r w:rsidR="007B3F58">
        <w:t>-</w:t>
      </w:r>
      <w:r>
        <w:t xml:space="preserve">2 extractable fraction does not exceed the DGV, but </w:t>
      </w:r>
      <w:r w:rsidR="007B3F58">
        <w:t xml:space="preserve">there is </w:t>
      </w:r>
      <w:r>
        <w:t>potential for toxicity if the DGV is exceeded.</w:t>
      </w:r>
      <w:r w:rsidR="005B760F">
        <w:t xml:space="preserve"> </w:t>
      </w:r>
      <w:r w:rsidR="005B760F">
        <w:rPr>
          <w:bCs/>
        </w:rPr>
        <w:t>Although it is also possible to compare the total iron concentration of the unfiltered water sample with the DGV, if this fraction exceeds the DGV, it will not be possible to identify the relative proportions of non-bioavailable and bioavailable iron in the sample.</w:t>
      </w:r>
    </w:p>
    <w:p w14:paraId="60507C2C" w14:textId="77777777" w:rsidR="00196840" w:rsidRDefault="00196840" w:rsidP="00196840"/>
    <w:p w14:paraId="0BE92123" w14:textId="77777777" w:rsidR="00196840" w:rsidRDefault="00196840" w:rsidP="00196840">
      <w:pPr>
        <w:sectPr w:rsidR="00196840" w:rsidSect="00515B5D">
          <w:headerReference w:type="even" r:id="rId41"/>
          <w:footerReference w:type="even" r:id="rId42"/>
          <w:footerReference w:type="default" r:id="rId43"/>
          <w:headerReference w:type="first" r:id="rId44"/>
          <w:footerReference w:type="first" r:id="rId45"/>
          <w:pgSz w:w="11906" w:h="16838" w:code="9"/>
          <w:pgMar w:top="1418" w:right="1418" w:bottom="1418" w:left="1418" w:header="567" w:footer="284" w:gutter="0"/>
          <w:cols w:space="708"/>
          <w:docGrid w:linePitch="360"/>
        </w:sectPr>
      </w:pPr>
    </w:p>
    <w:p w14:paraId="2DC47700" w14:textId="4497D4B5" w:rsidR="00606A7B" w:rsidRPr="000C7ECF" w:rsidRDefault="00606A7B" w:rsidP="00606A7B">
      <w:pPr>
        <w:pStyle w:val="Heading2"/>
        <w:numPr>
          <w:ilvl w:val="0"/>
          <w:numId w:val="0"/>
        </w:numPr>
      </w:pPr>
      <w:bookmarkStart w:id="81" w:name="AppendixC"/>
      <w:bookmarkStart w:id="82" w:name="_Toc197088524"/>
      <w:bookmarkStart w:id="83" w:name="_Toc197783779"/>
      <w:bookmarkStart w:id="84" w:name="_Toc199424875"/>
      <w:r w:rsidRPr="006F37E1">
        <w:lastRenderedPageBreak/>
        <w:t>Appendix</w:t>
      </w:r>
      <w:r w:rsidR="00615C91" w:rsidRPr="006F37E1">
        <w:t> </w:t>
      </w:r>
      <w:r w:rsidR="00196840" w:rsidRPr="006F37E1">
        <w:t>C</w:t>
      </w:r>
      <w:bookmarkEnd w:id="81"/>
      <w:r w:rsidRPr="006F37E1">
        <w:t xml:space="preserve">: </w:t>
      </w:r>
      <w:r w:rsidR="00196840" w:rsidRPr="006F37E1">
        <w:t>t</w:t>
      </w:r>
      <w:r w:rsidRPr="006F37E1">
        <w:t>oxicity data that passed the screening and quality assessment</w:t>
      </w:r>
      <w:bookmarkEnd w:id="78"/>
      <w:bookmarkEnd w:id="79"/>
      <w:bookmarkEnd w:id="80"/>
      <w:r w:rsidR="00FA052F" w:rsidRPr="006F37E1">
        <w:t xml:space="preserve"> and were used to derive </w:t>
      </w:r>
      <w:r w:rsidR="00050652" w:rsidRPr="006F37E1">
        <w:t xml:space="preserve">or validate </w:t>
      </w:r>
      <w:r w:rsidR="00FA052F" w:rsidRPr="006F37E1">
        <w:t>the default guideline values</w:t>
      </w:r>
      <w:bookmarkEnd w:id="82"/>
      <w:bookmarkEnd w:id="83"/>
      <w:bookmarkEnd w:id="84"/>
    </w:p>
    <w:p w14:paraId="6515F7D7" w14:textId="1F9A04E9" w:rsidR="00606A7B" w:rsidRPr="003413B2" w:rsidRDefault="00B309FD" w:rsidP="00515B5D">
      <w:pPr>
        <w:pStyle w:val="AppendixTablecaption"/>
      </w:pPr>
      <w:bookmarkStart w:id="85" w:name="TableC1"/>
      <w:bookmarkStart w:id="86" w:name="_Ref6322314"/>
      <w:bookmarkStart w:id="87" w:name="_Toc199424881"/>
      <w:r>
        <w:t>Table</w:t>
      </w:r>
      <w:r w:rsidR="00615C91">
        <w:t> </w:t>
      </w:r>
      <w:r w:rsidR="00B745CA">
        <w:t>C1</w:t>
      </w:r>
      <w:bookmarkEnd w:id="85"/>
      <w:bookmarkEnd w:id="86"/>
      <w:r w:rsidR="001E3F06">
        <w:rPr>
          <w:noProof/>
        </w:rPr>
        <w:t>.</w:t>
      </w:r>
      <w:r>
        <w:t xml:space="preserve"> </w:t>
      </w:r>
      <w:r w:rsidR="00606A7B">
        <w:t>Summary</w:t>
      </w:r>
      <w:r w:rsidR="00B745CA">
        <w:t xml:space="preserve"> of the</w:t>
      </w:r>
      <w:r w:rsidR="00606A7B">
        <w:t xml:space="preserve"> </w:t>
      </w:r>
      <w:r w:rsidR="001966F1">
        <w:t xml:space="preserve">chronic </w:t>
      </w:r>
      <w:r w:rsidR="00606A7B">
        <w:t>toxicity data that passed the screening and quality assurance processes</w:t>
      </w:r>
      <w:r w:rsidR="00050652">
        <w:t xml:space="preserve"> and were used to derive the iron in freshwater default guideline values</w:t>
      </w:r>
      <w:bookmarkEnd w:id="87"/>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Caption w:val="Summary of the key characteristics of the freshwater iron chronic toxicity data that passed the screening and quality assurance processes (i.e. scored &gt;50% quality)"/>
        <w:tblDescription w:val="Table lists 11 species with their taxonomic group and species name. The different life stages for each species are provided with the following test information (exposure duration, test type, toxicity measure, test medium, temperature, water hardness, pH, DOC, concentration and reference)."/>
      </w:tblPr>
      <w:tblGrid>
        <w:gridCol w:w="1537"/>
        <w:gridCol w:w="1417"/>
        <w:gridCol w:w="849"/>
        <w:gridCol w:w="989"/>
        <w:gridCol w:w="1559"/>
        <w:gridCol w:w="1277"/>
        <w:gridCol w:w="989"/>
        <w:gridCol w:w="989"/>
        <w:gridCol w:w="710"/>
        <w:gridCol w:w="741"/>
        <w:gridCol w:w="992"/>
        <w:gridCol w:w="1922"/>
      </w:tblGrid>
      <w:tr w:rsidR="001C64A7" w:rsidRPr="00045A29" w14:paraId="7B4AB580" w14:textId="77777777" w:rsidTr="00B65E15">
        <w:trPr>
          <w:cantSplit/>
          <w:tblHeader/>
          <w:jc w:val="center"/>
        </w:trPr>
        <w:tc>
          <w:tcPr>
            <w:tcW w:w="1537" w:type="dxa"/>
            <w:tcBorders>
              <w:top w:val="single" w:sz="12" w:space="0" w:color="auto"/>
              <w:bottom w:val="single" w:sz="12" w:space="0" w:color="auto"/>
            </w:tcBorders>
          </w:tcPr>
          <w:p w14:paraId="16D1DFD4" w14:textId="2182BFB1" w:rsidR="001966F1" w:rsidRPr="00045A29" w:rsidRDefault="001966F1" w:rsidP="00B65E15">
            <w:pPr>
              <w:pStyle w:val="TableHeading"/>
              <w:spacing w:before="50" w:after="50"/>
            </w:pPr>
            <w:r w:rsidRPr="00045A29">
              <w:t>Taxonomic group (</w:t>
            </w:r>
            <w:r w:rsidR="00580BAD">
              <w:t>p</w:t>
            </w:r>
            <w:r w:rsidRPr="00045A29">
              <w:t>hylum)</w:t>
            </w:r>
          </w:p>
        </w:tc>
        <w:tc>
          <w:tcPr>
            <w:tcW w:w="1417" w:type="dxa"/>
            <w:tcBorders>
              <w:top w:val="single" w:sz="12" w:space="0" w:color="auto"/>
              <w:bottom w:val="single" w:sz="12" w:space="0" w:color="auto"/>
            </w:tcBorders>
          </w:tcPr>
          <w:p w14:paraId="0C849100" w14:textId="77777777" w:rsidR="001966F1" w:rsidRPr="00045A29" w:rsidRDefault="001966F1" w:rsidP="00B65E15">
            <w:pPr>
              <w:pStyle w:val="TableHeading"/>
              <w:spacing w:before="50" w:after="50"/>
            </w:pPr>
            <w:r w:rsidRPr="00045A29">
              <w:t>Species</w:t>
            </w:r>
          </w:p>
        </w:tc>
        <w:tc>
          <w:tcPr>
            <w:tcW w:w="849" w:type="dxa"/>
            <w:tcBorders>
              <w:top w:val="single" w:sz="12" w:space="0" w:color="auto"/>
              <w:bottom w:val="single" w:sz="12" w:space="0" w:color="auto"/>
            </w:tcBorders>
          </w:tcPr>
          <w:p w14:paraId="54BB5D54" w14:textId="77777777" w:rsidR="001966F1" w:rsidRPr="00045A29" w:rsidRDefault="001966F1" w:rsidP="00B65E15">
            <w:pPr>
              <w:pStyle w:val="TableHeading"/>
              <w:spacing w:before="50" w:after="50"/>
            </w:pPr>
            <w:r w:rsidRPr="00045A29">
              <w:t>Life stage</w:t>
            </w:r>
          </w:p>
        </w:tc>
        <w:tc>
          <w:tcPr>
            <w:tcW w:w="989" w:type="dxa"/>
            <w:tcBorders>
              <w:top w:val="single" w:sz="12" w:space="0" w:color="auto"/>
              <w:bottom w:val="single" w:sz="12" w:space="0" w:color="auto"/>
            </w:tcBorders>
          </w:tcPr>
          <w:p w14:paraId="32F83F6D" w14:textId="77777777" w:rsidR="001966F1" w:rsidRPr="00045A29" w:rsidRDefault="001966F1" w:rsidP="00B65E15">
            <w:pPr>
              <w:pStyle w:val="TableHeading"/>
              <w:spacing w:before="50" w:after="50"/>
            </w:pPr>
            <w:r w:rsidRPr="00045A29">
              <w:t>Exposure duration (d)</w:t>
            </w:r>
          </w:p>
        </w:tc>
        <w:tc>
          <w:tcPr>
            <w:tcW w:w="1559" w:type="dxa"/>
            <w:tcBorders>
              <w:top w:val="single" w:sz="12" w:space="0" w:color="auto"/>
              <w:bottom w:val="single" w:sz="12" w:space="0" w:color="auto"/>
            </w:tcBorders>
          </w:tcPr>
          <w:p w14:paraId="133E4578" w14:textId="3000A22C" w:rsidR="001966F1" w:rsidRPr="00045A29" w:rsidRDefault="001966F1" w:rsidP="00B65E15">
            <w:pPr>
              <w:pStyle w:val="TableHeading"/>
              <w:spacing w:before="50" w:after="50"/>
            </w:pPr>
            <w:r w:rsidRPr="00045A29">
              <w:t>Toxicity measure (</w:t>
            </w:r>
            <w:r w:rsidR="0024579F">
              <w:t>t</w:t>
            </w:r>
            <w:r w:rsidRPr="00045A29">
              <w:t xml:space="preserve">est </w:t>
            </w:r>
            <w:r>
              <w:t>e</w:t>
            </w:r>
            <w:r w:rsidRPr="00045A29">
              <w:t>ndpoint)</w:t>
            </w:r>
          </w:p>
        </w:tc>
        <w:tc>
          <w:tcPr>
            <w:tcW w:w="1277" w:type="dxa"/>
            <w:tcBorders>
              <w:top w:val="single" w:sz="12" w:space="0" w:color="auto"/>
              <w:bottom w:val="single" w:sz="12" w:space="0" w:color="auto"/>
            </w:tcBorders>
          </w:tcPr>
          <w:p w14:paraId="56FBD2F3" w14:textId="77777777" w:rsidR="001966F1" w:rsidRPr="00045A29" w:rsidRDefault="001966F1" w:rsidP="00B65E15">
            <w:pPr>
              <w:pStyle w:val="TableHeading"/>
              <w:spacing w:before="50" w:after="50"/>
            </w:pPr>
            <w:r w:rsidRPr="00045A29">
              <w:t>Test medium</w:t>
            </w:r>
          </w:p>
        </w:tc>
        <w:tc>
          <w:tcPr>
            <w:tcW w:w="989" w:type="dxa"/>
            <w:tcBorders>
              <w:top w:val="single" w:sz="12" w:space="0" w:color="auto"/>
              <w:bottom w:val="single" w:sz="12" w:space="0" w:color="auto"/>
            </w:tcBorders>
          </w:tcPr>
          <w:p w14:paraId="15D8A3A0" w14:textId="0ACA4559" w:rsidR="001966F1" w:rsidRPr="00045A29" w:rsidRDefault="001966F1" w:rsidP="00B65E15">
            <w:pPr>
              <w:pStyle w:val="TableHeading"/>
              <w:spacing w:before="50" w:after="50"/>
            </w:pPr>
            <w:r>
              <w:t>Tem</w:t>
            </w:r>
            <w:r w:rsidR="00A4145D">
              <w:softHyphen/>
            </w:r>
            <w:r>
              <w:t xml:space="preserve">perature </w:t>
            </w:r>
            <w:r w:rsidRPr="00045A29">
              <w:t>(</w:t>
            </w:r>
            <w:r w:rsidRPr="00045A29">
              <w:sym w:font="Symbol" w:char="F0B0"/>
            </w:r>
            <w:r w:rsidRPr="00045A29">
              <w:t>C)</w:t>
            </w:r>
          </w:p>
        </w:tc>
        <w:tc>
          <w:tcPr>
            <w:tcW w:w="989" w:type="dxa"/>
            <w:tcBorders>
              <w:top w:val="single" w:sz="12" w:space="0" w:color="auto"/>
              <w:bottom w:val="single" w:sz="12" w:space="0" w:color="auto"/>
            </w:tcBorders>
          </w:tcPr>
          <w:p w14:paraId="3309E174" w14:textId="3A275216" w:rsidR="001966F1" w:rsidRPr="00045A29" w:rsidRDefault="001966F1" w:rsidP="00B65E15">
            <w:pPr>
              <w:pStyle w:val="TableHeading"/>
              <w:spacing w:before="50" w:after="50"/>
            </w:pPr>
            <w:r w:rsidRPr="00045A29">
              <w:t>Water hardness (mg/L</w:t>
            </w:r>
            <w:r w:rsidR="00125565" w:rsidRPr="00045A29">
              <w:t xml:space="preserve"> CaCO</w:t>
            </w:r>
            <w:r w:rsidR="00125565" w:rsidRPr="00045A29">
              <w:rPr>
                <w:vertAlign w:val="subscript"/>
              </w:rPr>
              <w:t>3</w:t>
            </w:r>
            <w:r w:rsidRPr="00045A29">
              <w:t>)</w:t>
            </w:r>
          </w:p>
        </w:tc>
        <w:tc>
          <w:tcPr>
            <w:tcW w:w="710" w:type="dxa"/>
            <w:tcBorders>
              <w:top w:val="single" w:sz="12" w:space="0" w:color="auto"/>
              <w:bottom w:val="single" w:sz="12" w:space="0" w:color="auto"/>
            </w:tcBorders>
          </w:tcPr>
          <w:p w14:paraId="1D1AFF0D" w14:textId="77777777" w:rsidR="001966F1" w:rsidRPr="00045A29" w:rsidRDefault="001966F1" w:rsidP="00B65E15">
            <w:pPr>
              <w:pStyle w:val="TableHeading"/>
              <w:spacing w:before="50" w:after="50"/>
            </w:pPr>
            <w:r w:rsidRPr="00045A29">
              <w:t>pH</w:t>
            </w:r>
          </w:p>
        </w:tc>
        <w:tc>
          <w:tcPr>
            <w:tcW w:w="741" w:type="dxa"/>
            <w:tcBorders>
              <w:top w:val="single" w:sz="12" w:space="0" w:color="auto"/>
              <w:bottom w:val="single" w:sz="12" w:space="0" w:color="auto"/>
            </w:tcBorders>
          </w:tcPr>
          <w:p w14:paraId="2FB75C62" w14:textId="77777777" w:rsidR="001966F1" w:rsidRPr="00045A29" w:rsidRDefault="001966F1" w:rsidP="00B65E15">
            <w:pPr>
              <w:pStyle w:val="TableHeading"/>
              <w:spacing w:before="50" w:after="50"/>
            </w:pPr>
            <w:r w:rsidRPr="00045A29">
              <w:t>DOC (mg/L)</w:t>
            </w:r>
          </w:p>
        </w:tc>
        <w:tc>
          <w:tcPr>
            <w:tcW w:w="992" w:type="dxa"/>
            <w:tcBorders>
              <w:top w:val="single" w:sz="12" w:space="0" w:color="auto"/>
              <w:bottom w:val="single" w:sz="12" w:space="0" w:color="auto"/>
            </w:tcBorders>
          </w:tcPr>
          <w:p w14:paraId="285FDA18" w14:textId="48EB27B7" w:rsidR="001966F1" w:rsidRPr="00045A29" w:rsidRDefault="001966F1" w:rsidP="00B65E15">
            <w:pPr>
              <w:pStyle w:val="TableHeading"/>
              <w:spacing w:before="50" w:after="50"/>
            </w:pPr>
            <w:r w:rsidRPr="00045A29">
              <w:t>Concen</w:t>
            </w:r>
            <w:r w:rsidR="00F5513E">
              <w:softHyphen/>
            </w:r>
            <w:r w:rsidRPr="00045A29">
              <w:t>tration (µg/L)</w:t>
            </w:r>
          </w:p>
        </w:tc>
        <w:tc>
          <w:tcPr>
            <w:tcW w:w="1922" w:type="dxa"/>
            <w:tcBorders>
              <w:top w:val="single" w:sz="12" w:space="0" w:color="auto"/>
              <w:bottom w:val="single" w:sz="12" w:space="0" w:color="auto"/>
            </w:tcBorders>
          </w:tcPr>
          <w:p w14:paraId="003E90EE" w14:textId="77777777" w:rsidR="001966F1" w:rsidRPr="00045A29" w:rsidRDefault="001966F1" w:rsidP="00B65E15">
            <w:pPr>
              <w:pStyle w:val="TableHeading"/>
              <w:spacing w:before="50" w:after="50"/>
            </w:pPr>
            <w:r w:rsidRPr="00045A29">
              <w:t>Reference</w:t>
            </w:r>
          </w:p>
        </w:tc>
      </w:tr>
      <w:tr w:rsidR="001C64A7" w:rsidRPr="00045A29" w14:paraId="1AF28609" w14:textId="77777777" w:rsidTr="00B65E15">
        <w:trPr>
          <w:cantSplit/>
          <w:jc w:val="center"/>
        </w:trPr>
        <w:tc>
          <w:tcPr>
            <w:tcW w:w="1537" w:type="dxa"/>
            <w:tcBorders>
              <w:top w:val="single" w:sz="12" w:space="0" w:color="auto"/>
              <w:left w:val="nil"/>
              <w:bottom w:val="single" w:sz="4" w:space="0" w:color="auto"/>
              <w:right w:val="nil"/>
            </w:tcBorders>
          </w:tcPr>
          <w:p w14:paraId="6DCD11ED" w14:textId="6B3A298D" w:rsidR="007F2E5A" w:rsidRDefault="007F2E5A" w:rsidP="00B65E15">
            <w:pPr>
              <w:pStyle w:val="TableText"/>
              <w:spacing w:before="50" w:after="50"/>
            </w:pPr>
            <w:r>
              <w:t>Fungus (</w:t>
            </w:r>
            <w:r w:rsidRPr="00045A29">
              <w:t>Ascomycota</w:t>
            </w:r>
            <w:r>
              <w:t>)</w:t>
            </w:r>
          </w:p>
        </w:tc>
        <w:tc>
          <w:tcPr>
            <w:tcW w:w="1417" w:type="dxa"/>
            <w:tcBorders>
              <w:top w:val="single" w:sz="12" w:space="0" w:color="auto"/>
              <w:left w:val="nil"/>
              <w:bottom w:val="single" w:sz="4" w:space="0" w:color="auto"/>
              <w:right w:val="nil"/>
            </w:tcBorders>
          </w:tcPr>
          <w:p w14:paraId="6F35B126" w14:textId="7A184F35" w:rsidR="007F2E5A" w:rsidRDefault="007F2E5A" w:rsidP="00B65E15">
            <w:pPr>
              <w:pStyle w:val="TableText"/>
              <w:spacing w:before="50" w:after="50"/>
              <w:rPr>
                <w:rStyle w:val="Emphasis"/>
              </w:rPr>
            </w:pPr>
            <w:r w:rsidRPr="00FE6B34">
              <w:rPr>
                <w:rStyle w:val="Emphasis"/>
              </w:rPr>
              <w:t>Alatospora acuminata</w:t>
            </w:r>
          </w:p>
        </w:tc>
        <w:tc>
          <w:tcPr>
            <w:tcW w:w="849" w:type="dxa"/>
            <w:tcBorders>
              <w:top w:val="single" w:sz="12" w:space="0" w:color="auto"/>
              <w:left w:val="nil"/>
              <w:bottom w:val="single" w:sz="4" w:space="0" w:color="auto"/>
              <w:right w:val="nil"/>
            </w:tcBorders>
          </w:tcPr>
          <w:p w14:paraId="79D9E8FA" w14:textId="11A3A835" w:rsidR="007F2E5A" w:rsidRPr="00045A29" w:rsidRDefault="007F2E5A" w:rsidP="00265A5A">
            <w:pPr>
              <w:pStyle w:val="TableText"/>
              <w:spacing w:before="50" w:after="50"/>
            </w:pPr>
            <w:r w:rsidRPr="00045A29">
              <w:t>NR</w:t>
            </w:r>
          </w:p>
        </w:tc>
        <w:tc>
          <w:tcPr>
            <w:tcW w:w="989" w:type="dxa"/>
            <w:tcBorders>
              <w:top w:val="single" w:sz="12" w:space="0" w:color="auto"/>
              <w:left w:val="nil"/>
              <w:bottom w:val="single" w:sz="4" w:space="0" w:color="auto"/>
              <w:right w:val="nil"/>
            </w:tcBorders>
          </w:tcPr>
          <w:p w14:paraId="37CBA77F" w14:textId="4E78A7C9" w:rsidR="007F2E5A" w:rsidRDefault="007F2E5A" w:rsidP="00386786">
            <w:pPr>
              <w:pStyle w:val="TableText"/>
              <w:spacing w:before="50" w:after="50"/>
              <w:ind w:right="284"/>
              <w:jc w:val="right"/>
            </w:pPr>
            <w:r w:rsidRPr="00045A29">
              <w:t>21</w:t>
            </w:r>
          </w:p>
        </w:tc>
        <w:tc>
          <w:tcPr>
            <w:tcW w:w="1559" w:type="dxa"/>
            <w:tcBorders>
              <w:top w:val="single" w:sz="12" w:space="0" w:color="auto"/>
              <w:left w:val="nil"/>
              <w:bottom w:val="single" w:sz="4" w:space="0" w:color="auto"/>
              <w:right w:val="nil"/>
            </w:tcBorders>
          </w:tcPr>
          <w:p w14:paraId="1AE5838A" w14:textId="05C99C25" w:rsidR="007F2E5A" w:rsidRDefault="007F2E5A" w:rsidP="00265A5A">
            <w:pPr>
              <w:pStyle w:val="TableText"/>
              <w:spacing w:before="50" w:after="50"/>
            </w:pPr>
            <w:r w:rsidRPr="00045A29">
              <w:t>NOEC (</w:t>
            </w:r>
            <w:r>
              <w:t>g</w:t>
            </w:r>
            <w:r w:rsidRPr="00045A29">
              <w:t>rowth, biomass)</w:t>
            </w:r>
          </w:p>
        </w:tc>
        <w:tc>
          <w:tcPr>
            <w:tcW w:w="1277" w:type="dxa"/>
            <w:tcBorders>
              <w:top w:val="single" w:sz="12" w:space="0" w:color="auto"/>
              <w:left w:val="nil"/>
              <w:bottom w:val="single" w:sz="4" w:space="0" w:color="auto"/>
              <w:right w:val="nil"/>
            </w:tcBorders>
          </w:tcPr>
          <w:p w14:paraId="71F3F4C9" w14:textId="2277EDEB" w:rsidR="007F2E5A" w:rsidRDefault="007F2E5A" w:rsidP="00265A5A">
            <w:pPr>
              <w:pStyle w:val="TableText"/>
              <w:spacing w:before="50" w:after="50"/>
            </w:pPr>
            <w:r w:rsidRPr="00045A29">
              <w:t>Basal medium</w:t>
            </w:r>
          </w:p>
        </w:tc>
        <w:tc>
          <w:tcPr>
            <w:tcW w:w="989" w:type="dxa"/>
            <w:tcBorders>
              <w:top w:val="single" w:sz="12" w:space="0" w:color="auto"/>
              <w:left w:val="nil"/>
              <w:bottom w:val="single" w:sz="4" w:space="0" w:color="auto"/>
              <w:right w:val="nil"/>
            </w:tcBorders>
          </w:tcPr>
          <w:p w14:paraId="3702B0F1" w14:textId="6DEF05DE" w:rsidR="007F2E5A" w:rsidRDefault="007F2E5A" w:rsidP="00265A5A">
            <w:pPr>
              <w:pStyle w:val="TableText"/>
              <w:spacing w:before="50" w:after="50"/>
            </w:pPr>
            <w:r>
              <w:t>15</w:t>
            </w:r>
          </w:p>
        </w:tc>
        <w:tc>
          <w:tcPr>
            <w:tcW w:w="989" w:type="dxa"/>
            <w:tcBorders>
              <w:top w:val="single" w:sz="12" w:space="0" w:color="auto"/>
              <w:left w:val="nil"/>
              <w:bottom w:val="single" w:sz="4" w:space="0" w:color="auto"/>
              <w:right w:val="nil"/>
            </w:tcBorders>
          </w:tcPr>
          <w:p w14:paraId="7D4AD302" w14:textId="05C10A04" w:rsidR="007F2E5A" w:rsidRDefault="007F2E5A" w:rsidP="00265A5A">
            <w:pPr>
              <w:pStyle w:val="TableText"/>
              <w:spacing w:before="50" w:after="50"/>
            </w:pPr>
            <w:r w:rsidRPr="00045A29">
              <w:t>NR</w:t>
            </w:r>
          </w:p>
        </w:tc>
        <w:tc>
          <w:tcPr>
            <w:tcW w:w="710" w:type="dxa"/>
            <w:tcBorders>
              <w:top w:val="single" w:sz="12" w:space="0" w:color="auto"/>
              <w:left w:val="nil"/>
              <w:bottom w:val="single" w:sz="4" w:space="0" w:color="auto"/>
              <w:right w:val="nil"/>
            </w:tcBorders>
          </w:tcPr>
          <w:p w14:paraId="3A8DDC2D" w14:textId="59A9F260" w:rsidR="007F2E5A" w:rsidRDefault="007F2E5A" w:rsidP="00265A5A">
            <w:pPr>
              <w:pStyle w:val="TableText"/>
              <w:spacing w:before="50" w:after="50"/>
            </w:pPr>
            <w:r w:rsidRPr="00045A29">
              <w:t>7</w:t>
            </w:r>
          </w:p>
        </w:tc>
        <w:tc>
          <w:tcPr>
            <w:tcW w:w="741" w:type="dxa"/>
            <w:tcBorders>
              <w:top w:val="single" w:sz="12" w:space="0" w:color="auto"/>
              <w:left w:val="nil"/>
              <w:bottom w:val="single" w:sz="4" w:space="0" w:color="auto"/>
              <w:right w:val="nil"/>
            </w:tcBorders>
          </w:tcPr>
          <w:p w14:paraId="6F448C20" w14:textId="67C42C2F" w:rsidR="007F2E5A" w:rsidRDefault="007F2E5A" w:rsidP="00265A5A">
            <w:pPr>
              <w:pStyle w:val="TableText"/>
              <w:spacing w:before="50" w:after="50"/>
            </w:pPr>
            <w:r w:rsidRPr="00045A29">
              <w:t>NR</w:t>
            </w:r>
          </w:p>
        </w:tc>
        <w:tc>
          <w:tcPr>
            <w:tcW w:w="992" w:type="dxa"/>
            <w:tcBorders>
              <w:top w:val="single" w:sz="12" w:space="0" w:color="auto"/>
              <w:left w:val="nil"/>
              <w:bottom w:val="single" w:sz="4" w:space="0" w:color="auto"/>
              <w:right w:val="nil"/>
            </w:tcBorders>
          </w:tcPr>
          <w:p w14:paraId="33C0A967" w14:textId="14E2E4ED" w:rsidR="007F2E5A" w:rsidRPr="00510C93" w:rsidRDefault="007F2E5A" w:rsidP="00265A5A">
            <w:pPr>
              <w:pStyle w:val="TableText"/>
              <w:spacing w:before="50" w:after="50"/>
            </w:pPr>
            <w:r>
              <w:t>&gt; </w:t>
            </w:r>
            <w:r w:rsidRPr="00045A29">
              <w:t>6</w:t>
            </w:r>
            <w:r>
              <w:t>,</w:t>
            </w:r>
            <w:r w:rsidRPr="00045A29">
              <w:t>900</w:t>
            </w:r>
            <w:r w:rsidR="002B75DE">
              <w:rPr>
                <w:vertAlign w:val="superscript"/>
              </w:rPr>
              <w:t>a</w:t>
            </w:r>
          </w:p>
        </w:tc>
        <w:tc>
          <w:tcPr>
            <w:tcW w:w="1922" w:type="dxa"/>
            <w:tcBorders>
              <w:top w:val="single" w:sz="12" w:space="0" w:color="auto"/>
              <w:left w:val="nil"/>
              <w:bottom w:val="single" w:sz="4" w:space="0" w:color="auto"/>
              <w:right w:val="nil"/>
            </w:tcBorders>
          </w:tcPr>
          <w:p w14:paraId="012F9EFA" w14:textId="07093F94" w:rsidR="007F2E5A" w:rsidRDefault="007F2E5A" w:rsidP="00B65E15">
            <w:pPr>
              <w:pStyle w:val="TableText"/>
              <w:spacing w:before="50" w:after="50"/>
            </w:pPr>
            <w:r w:rsidRPr="00045A29">
              <w:t>Bermingham et al. (1996)</w:t>
            </w:r>
          </w:p>
        </w:tc>
      </w:tr>
      <w:tr w:rsidR="001C64A7" w:rsidRPr="00045A29" w14:paraId="69A52A31" w14:textId="77777777" w:rsidTr="00B65E15">
        <w:trPr>
          <w:cantSplit/>
          <w:jc w:val="center"/>
        </w:trPr>
        <w:tc>
          <w:tcPr>
            <w:tcW w:w="1537" w:type="dxa"/>
            <w:tcBorders>
              <w:top w:val="single" w:sz="4" w:space="0" w:color="auto"/>
              <w:left w:val="nil"/>
              <w:bottom w:val="single" w:sz="4" w:space="0" w:color="auto"/>
              <w:right w:val="nil"/>
            </w:tcBorders>
          </w:tcPr>
          <w:p w14:paraId="0E44EC55" w14:textId="10990610" w:rsidR="007F2E5A" w:rsidRDefault="00801F97" w:rsidP="00B65E15">
            <w:pPr>
              <w:pStyle w:val="TableText"/>
              <w:spacing w:before="50" w:after="50"/>
            </w:pPr>
            <w:r>
              <w:t>Fungus (</w:t>
            </w:r>
            <w:r w:rsidRPr="00045A29">
              <w:t>Ascomycota</w:t>
            </w:r>
            <w:r>
              <w:t>)</w:t>
            </w:r>
          </w:p>
        </w:tc>
        <w:tc>
          <w:tcPr>
            <w:tcW w:w="1417" w:type="dxa"/>
            <w:tcBorders>
              <w:top w:val="single" w:sz="4" w:space="0" w:color="auto"/>
              <w:left w:val="nil"/>
              <w:bottom w:val="single" w:sz="4" w:space="0" w:color="auto"/>
              <w:right w:val="nil"/>
            </w:tcBorders>
          </w:tcPr>
          <w:p w14:paraId="052B2BE9" w14:textId="376D4B65" w:rsidR="007F2E5A" w:rsidRDefault="007F2E5A" w:rsidP="00B65E15">
            <w:pPr>
              <w:pStyle w:val="TableText"/>
              <w:spacing w:before="50" w:after="50"/>
              <w:rPr>
                <w:rStyle w:val="Emphasis"/>
              </w:rPr>
            </w:pPr>
            <w:r w:rsidRPr="00FE6B34">
              <w:rPr>
                <w:rStyle w:val="Emphasis"/>
              </w:rPr>
              <w:t>Articulospora tetracladia</w:t>
            </w:r>
          </w:p>
        </w:tc>
        <w:tc>
          <w:tcPr>
            <w:tcW w:w="849" w:type="dxa"/>
            <w:tcBorders>
              <w:top w:val="single" w:sz="4" w:space="0" w:color="auto"/>
              <w:left w:val="nil"/>
              <w:bottom w:val="single" w:sz="4" w:space="0" w:color="auto"/>
              <w:right w:val="nil"/>
            </w:tcBorders>
          </w:tcPr>
          <w:p w14:paraId="64403181" w14:textId="76F22E44" w:rsidR="007F2E5A" w:rsidRPr="00045A29" w:rsidRDefault="007F2E5A" w:rsidP="00265A5A">
            <w:pPr>
              <w:pStyle w:val="TableText"/>
              <w:spacing w:before="50" w:after="50"/>
            </w:pPr>
            <w:r>
              <w:t>NR</w:t>
            </w:r>
          </w:p>
        </w:tc>
        <w:tc>
          <w:tcPr>
            <w:tcW w:w="989" w:type="dxa"/>
            <w:tcBorders>
              <w:top w:val="single" w:sz="4" w:space="0" w:color="auto"/>
              <w:left w:val="nil"/>
              <w:bottom w:val="single" w:sz="4" w:space="0" w:color="auto"/>
              <w:right w:val="nil"/>
            </w:tcBorders>
          </w:tcPr>
          <w:p w14:paraId="0DB813FC" w14:textId="43E5D8F8" w:rsidR="007F2E5A" w:rsidRDefault="007F2E5A" w:rsidP="00386786">
            <w:pPr>
              <w:pStyle w:val="TableText"/>
              <w:spacing w:before="50" w:after="50"/>
              <w:ind w:right="284"/>
              <w:jc w:val="right"/>
            </w:pPr>
            <w:r w:rsidRPr="008F237D">
              <w:t>21</w:t>
            </w:r>
          </w:p>
        </w:tc>
        <w:tc>
          <w:tcPr>
            <w:tcW w:w="1559" w:type="dxa"/>
            <w:tcBorders>
              <w:top w:val="single" w:sz="4" w:space="0" w:color="auto"/>
              <w:left w:val="nil"/>
              <w:bottom w:val="single" w:sz="4" w:space="0" w:color="auto"/>
              <w:right w:val="nil"/>
            </w:tcBorders>
          </w:tcPr>
          <w:p w14:paraId="69E35029" w14:textId="63C17C15" w:rsidR="007F2E5A" w:rsidRDefault="007F2E5A" w:rsidP="00265A5A">
            <w:pPr>
              <w:pStyle w:val="TableText"/>
              <w:spacing w:before="50" w:after="50"/>
            </w:pPr>
            <w:r w:rsidRPr="00045A29">
              <w:t>NOEC (</w:t>
            </w:r>
            <w:r>
              <w:t>g</w:t>
            </w:r>
            <w:r w:rsidRPr="00045A29">
              <w:t>rowth, biomass)</w:t>
            </w:r>
          </w:p>
        </w:tc>
        <w:tc>
          <w:tcPr>
            <w:tcW w:w="1277" w:type="dxa"/>
            <w:tcBorders>
              <w:top w:val="single" w:sz="4" w:space="0" w:color="auto"/>
              <w:left w:val="nil"/>
              <w:bottom w:val="single" w:sz="4" w:space="0" w:color="auto"/>
              <w:right w:val="nil"/>
            </w:tcBorders>
          </w:tcPr>
          <w:p w14:paraId="508715C7" w14:textId="10C2113E" w:rsidR="007F2E5A" w:rsidRDefault="007F2E5A" w:rsidP="00265A5A">
            <w:pPr>
              <w:pStyle w:val="TableText"/>
              <w:spacing w:before="50" w:after="50"/>
            </w:pPr>
            <w:r w:rsidRPr="00045A29">
              <w:t>Basal medium</w:t>
            </w:r>
          </w:p>
        </w:tc>
        <w:tc>
          <w:tcPr>
            <w:tcW w:w="989" w:type="dxa"/>
            <w:tcBorders>
              <w:top w:val="single" w:sz="4" w:space="0" w:color="auto"/>
              <w:left w:val="nil"/>
              <w:bottom w:val="single" w:sz="4" w:space="0" w:color="auto"/>
              <w:right w:val="nil"/>
            </w:tcBorders>
          </w:tcPr>
          <w:p w14:paraId="695B47CF" w14:textId="001C2250" w:rsidR="007F2E5A" w:rsidRDefault="007F2E5A" w:rsidP="00265A5A">
            <w:pPr>
              <w:pStyle w:val="TableText"/>
              <w:spacing w:before="50" w:after="50"/>
            </w:pPr>
            <w:r>
              <w:t>15</w:t>
            </w:r>
          </w:p>
        </w:tc>
        <w:tc>
          <w:tcPr>
            <w:tcW w:w="989" w:type="dxa"/>
            <w:tcBorders>
              <w:top w:val="single" w:sz="4" w:space="0" w:color="auto"/>
              <w:left w:val="nil"/>
              <w:bottom w:val="single" w:sz="4" w:space="0" w:color="auto"/>
              <w:right w:val="nil"/>
            </w:tcBorders>
          </w:tcPr>
          <w:p w14:paraId="6DDECC34" w14:textId="525CFFAC" w:rsidR="007F2E5A" w:rsidRDefault="007F2E5A" w:rsidP="00265A5A">
            <w:pPr>
              <w:pStyle w:val="TableText"/>
              <w:spacing w:before="50" w:after="50"/>
            </w:pPr>
            <w:r w:rsidRPr="00045A29">
              <w:t>NR</w:t>
            </w:r>
          </w:p>
        </w:tc>
        <w:tc>
          <w:tcPr>
            <w:tcW w:w="710" w:type="dxa"/>
            <w:tcBorders>
              <w:top w:val="single" w:sz="4" w:space="0" w:color="auto"/>
              <w:left w:val="nil"/>
              <w:bottom w:val="single" w:sz="4" w:space="0" w:color="auto"/>
              <w:right w:val="nil"/>
            </w:tcBorders>
          </w:tcPr>
          <w:p w14:paraId="174CD856" w14:textId="54C9548F" w:rsidR="007F2E5A" w:rsidRDefault="007F2E5A" w:rsidP="00265A5A">
            <w:pPr>
              <w:pStyle w:val="TableText"/>
              <w:spacing w:before="50" w:after="50"/>
            </w:pPr>
            <w:r w:rsidRPr="00045A29">
              <w:t>7</w:t>
            </w:r>
          </w:p>
        </w:tc>
        <w:tc>
          <w:tcPr>
            <w:tcW w:w="741" w:type="dxa"/>
            <w:tcBorders>
              <w:top w:val="single" w:sz="4" w:space="0" w:color="auto"/>
              <w:left w:val="nil"/>
              <w:bottom w:val="single" w:sz="4" w:space="0" w:color="auto"/>
              <w:right w:val="nil"/>
            </w:tcBorders>
          </w:tcPr>
          <w:p w14:paraId="7A140EDD" w14:textId="4ABDC977" w:rsidR="007F2E5A" w:rsidRDefault="007F2E5A" w:rsidP="00265A5A">
            <w:pPr>
              <w:pStyle w:val="TableText"/>
              <w:spacing w:before="50" w:after="50"/>
            </w:pPr>
            <w:r w:rsidRPr="00045A29">
              <w:t>NR</w:t>
            </w:r>
          </w:p>
        </w:tc>
        <w:tc>
          <w:tcPr>
            <w:tcW w:w="992" w:type="dxa"/>
            <w:tcBorders>
              <w:top w:val="single" w:sz="4" w:space="0" w:color="auto"/>
              <w:left w:val="nil"/>
              <w:bottom w:val="single" w:sz="4" w:space="0" w:color="auto"/>
              <w:right w:val="nil"/>
            </w:tcBorders>
          </w:tcPr>
          <w:p w14:paraId="6E8B3A41" w14:textId="6DE6BA10" w:rsidR="007F2E5A" w:rsidRPr="00510C93" w:rsidRDefault="007F2E5A" w:rsidP="00265A5A">
            <w:pPr>
              <w:pStyle w:val="TableText"/>
              <w:spacing w:before="50" w:after="50"/>
            </w:pPr>
            <w:r>
              <w:t>&gt; 6,900</w:t>
            </w:r>
          </w:p>
        </w:tc>
        <w:tc>
          <w:tcPr>
            <w:tcW w:w="1922" w:type="dxa"/>
            <w:tcBorders>
              <w:top w:val="single" w:sz="4" w:space="0" w:color="auto"/>
              <w:left w:val="nil"/>
              <w:bottom w:val="single" w:sz="4" w:space="0" w:color="auto"/>
              <w:right w:val="nil"/>
            </w:tcBorders>
          </w:tcPr>
          <w:p w14:paraId="6E46C71F" w14:textId="477CDDDD" w:rsidR="007F2E5A" w:rsidRDefault="007F2E5A" w:rsidP="00B65E15">
            <w:pPr>
              <w:pStyle w:val="TableText"/>
              <w:spacing w:before="50" w:after="50"/>
            </w:pPr>
            <w:r w:rsidRPr="00045A29">
              <w:t>Bermingham et al. (1996)</w:t>
            </w:r>
          </w:p>
        </w:tc>
      </w:tr>
      <w:tr w:rsidR="001C64A7" w:rsidRPr="00045A29" w14:paraId="612A984E" w14:textId="77777777" w:rsidTr="00B65E15">
        <w:trPr>
          <w:cantSplit/>
          <w:jc w:val="center"/>
        </w:trPr>
        <w:tc>
          <w:tcPr>
            <w:tcW w:w="1537" w:type="dxa"/>
            <w:tcBorders>
              <w:top w:val="single" w:sz="4" w:space="0" w:color="auto"/>
              <w:left w:val="nil"/>
              <w:bottom w:val="single" w:sz="4" w:space="0" w:color="auto"/>
              <w:right w:val="nil"/>
            </w:tcBorders>
          </w:tcPr>
          <w:p w14:paraId="0C6477BF" w14:textId="3FD09616" w:rsidR="007F2E5A" w:rsidRDefault="00801F97" w:rsidP="00B65E15">
            <w:pPr>
              <w:pStyle w:val="TableText"/>
              <w:spacing w:before="50" w:after="50"/>
            </w:pPr>
            <w:r>
              <w:t>Fungus (</w:t>
            </w:r>
            <w:r w:rsidRPr="00045A29">
              <w:t>Ascomycota</w:t>
            </w:r>
            <w:r>
              <w:t>)</w:t>
            </w:r>
          </w:p>
        </w:tc>
        <w:tc>
          <w:tcPr>
            <w:tcW w:w="1417" w:type="dxa"/>
            <w:tcBorders>
              <w:top w:val="single" w:sz="4" w:space="0" w:color="auto"/>
              <w:left w:val="nil"/>
              <w:bottom w:val="single" w:sz="4" w:space="0" w:color="auto"/>
              <w:right w:val="nil"/>
            </w:tcBorders>
          </w:tcPr>
          <w:p w14:paraId="05529CC7" w14:textId="1E5ECA30" w:rsidR="007F2E5A" w:rsidRDefault="007F2E5A" w:rsidP="00B65E15">
            <w:pPr>
              <w:pStyle w:val="TableText"/>
              <w:spacing w:before="50" w:after="50"/>
              <w:rPr>
                <w:rStyle w:val="Emphasis"/>
              </w:rPr>
            </w:pPr>
            <w:r w:rsidRPr="00FE6B34">
              <w:rPr>
                <w:rStyle w:val="Emphasis"/>
              </w:rPr>
              <w:t>Tetrachaetum elegans</w:t>
            </w:r>
          </w:p>
        </w:tc>
        <w:tc>
          <w:tcPr>
            <w:tcW w:w="849" w:type="dxa"/>
            <w:tcBorders>
              <w:top w:val="single" w:sz="4" w:space="0" w:color="auto"/>
              <w:left w:val="nil"/>
              <w:bottom w:val="single" w:sz="4" w:space="0" w:color="auto"/>
              <w:right w:val="nil"/>
            </w:tcBorders>
          </w:tcPr>
          <w:p w14:paraId="4D552F38" w14:textId="357F614A" w:rsidR="007F2E5A" w:rsidRPr="00045A29" w:rsidRDefault="007F2E5A" w:rsidP="00265A5A">
            <w:pPr>
              <w:pStyle w:val="TableText"/>
              <w:spacing w:before="50" w:after="50"/>
            </w:pPr>
            <w:r w:rsidRPr="00045A29">
              <w:t>NR</w:t>
            </w:r>
          </w:p>
        </w:tc>
        <w:tc>
          <w:tcPr>
            <w:tcW w:w="989" w:type="dxa"/>
            <w:tcBorders>
              <w:top w:val="single" w:sz="4" w:space="0" w:color="auto"/>
              <w:left w:val="nil"/>
              <w:bottom w:val="single" w:sz="4" w:space="0" w:color="auto"/>
              <w:right w:val="nil"/>
            </w:tcBorders>
          </w:tcPr>
          <w:p w14:paraId="580168A2" w14:textId="72C42327" w:rsidR="007F2E5A" w:rsidRDefault="007F2E5A" w:rsidP="00386786">
            <w:pPr>
              <w:pStyle w:val="TableText"/>
              <w:spacing w:before="50" w:after="50"/>
              <w:ind w:right="284"/>
              <w:jc w:val="right"/>
            </w:pPr>
            <w:r w:rsidRPr="00045A29">
              <w:t>21</w:t>
            </w:r>
          </w:p>
        </w:tc>
        <w:tc>
          <w:tcPr>
            <w:tcW w:w="1559" w:type="dxa"/>
            <w:tcBorders>
              <w:top w:val="single" w:sz="4" w:space="0" w:color="auto"/>
              <w:left w:val="nil"/>
              <w:bottom w:val="single" w:sz="4" w:space="0" w:color="auto"/>
              <w:right w:val="nil"/>
            </w:tcBorders>
          </w:tcPr>
          <w:p w14:paraId="49180144" w14:textId="6985961D" w:rsidR="007F2E5A" w:rsidRDefault="007F2E5A" w:rsidP="00265A5A">
            <w:pPr>
              <w:pStyle w:val="TableText"/>
              <w:spacing w:before="50" w:after="50"/>
            </w:pPr>
            <w:r w:rsidRPr="00045A29">
              <w:t>NOEC (</w:t>
            </w:r>
            <w:r>
              <w:t>g</w:t>
            </w:r>
            <w:r w:rsidRPr="00045A29">
              <w:t>rowth, biomass)</w:t>
            </w:r>
          </w:p>
        </w:tc>
        <w:tc>
          <w:tcPr>
            <w:tcW w:w="1277" w:type="dxa"/>
            <w:tcBorders>
              <w:top w:val="single" w:sz="4" w:space="0" w:color="auto"/>
              <w:left w:val="nil"/>
              <w:bottom w:val="single" w:sz="4" w:space="0" w:color="auto"/>
              <w:right w:val="nil"/>
            </w:tcBorders>
          </w:tcPr>
          <w:p w14:paraId="38F5758E" w14:textId="44DCB59F" w:rsidR="007F2E5A" w:rsidRDefault="007F2E5A" w:rsidP="00265A5A">
            <w:pPr>
              <w:pStyle w:val="TableText"/>
              <w:spacing w:before="50" w:after="50"/>
            </w:pPr>
            <w:r w:rsidRPr="00045A29">
              <w:t>Basal medium</w:t>
            </w:r>
          </w:p>
        </w:tc>
        <w:tc>
          <w:tcPr>
            <w:tcW w:w="989" w:type="dxa"/>
            <w:tcBorders>
              <w:top w:val="single" w:sz="4" w:space="0" w:color="auto"/>
              <w:left w:val="nil"/>
              <w:bottom w:val="single" w:sz="4" w:space="0" w:color="auto"/>
              <w:right w:val="nil"/>
            </w:tcBorders>
          </w:tcPr>
          <w:p w14:paraId="3BAB98FC" w14:textId="62305B7E" w:rsidR="007F2E5A" w:rsidRDefault="007F2E5A" w:rsidP="00265A5A">
            <w:pPr>
              <w:pStyle w:val="TableText"/>
              <w:spacing w:before="50" w:after="50"/>
            </w:pPr>
            <w:r>
              <w:t>15</w:t>
            </w:r>
          </w:p>
        </w:tc>
        <w:tc>
          <w:tcPr>
            <w:tcW w:w="989" w:type="dxa"/>
            <w:tcBorders>
              <w:top w:val="single" w:sz="4" w:space="0" w:color="auto"/>
              <w:left w:val="nil"/>
              <w:bottom w:val="single" w:sz="4" w:space="0" w:color="auto"/>
              <w:right w:val="nil"/>
            </w:tcBorders>
          </w:tcPr>
          <w:p w14:paraId="4118D191" w14:textId="7432DC98" w:rsidR="007F2E5A" w:rsidRDefault="007F2E5A" w:rsidP="00265A5A">
            <w:pPr>
              <w:pStyle w:val="TableText"/>
              <w:spacing w:before="50" w:after="50"/>
            </w:pPr>
            <w:r w:rsidRPr="00045A29">
              <w:t>NR</w:t>
            </w:r>
          </w:p>
        </w:tc>
        <w:tc>
          <w:tcPr>
            <w:tcW w:w="710" w:type="dxa"/>
            <w:tcBorders>
              <w:top w:val="single" w:sz="4" w:space="0" w:color="auto"/>
              <w:left w:val="nil"/>
              <w:bottom w:val="single" w:sz="4" w:space="0" w:color="auto"/>
              <w:right w:val="nil"/>
            </w:tcBorders>
          </w:tcPr>
          <w:p w14:paraId="702C6F3B" w14:textId="5E459BAB" w:rsidR="007F2E5A" w:rsidRDefault="007F2E5A" w:rsidP="00265A5A">
            <w:pPr>
              <w:pStyle w:val="TableText"/>
              <w:spacing w:before="50" w:after="50"/>
            </w:pPr>
            <w:r w:rsidRPr="00045A29">
              <w:t>7</w:t>
            </w:r>
          </w:p>
        </w:tc>
        <w:tc>
          <w:tcPr>
            <w:tcW w:w="741" w:type="dxa"/>
            <w:tcBorders>
              <w:top w:val="single" w:sz="4" w:space="0" w:color="auto"/>
              <w:left w:val="nil"/>
              <w:bottom w:val="single" w:sz="4" w:space="0" w:color="auto"/>
              <w:right w:val="nil"/>
            </w:tcBorders>
          </w:tcPr>
          <w:p w14:paraId="73B4162D" w14:textId="2F71D0E7" w:rsidR="007F2E5A" w:rsidRDefault="007F2E5A" w:rsidP="00265A5A">
            <w:pPr>
              <w:pStyle w:val="TableText"/>
              <w:spacing w:before="50" w:after="50"/>
            </w:pPr>
            <w:r w:rsidRPr="00045A29">
              <w:t>NR</w:t>
            </w:r>
          </w:p>
        </w:tc>
        <w:tc>
          <w:tcPr>
            <w:tcW w:w="992" w:type="dxa"/>
            <w:tcBorders>
              <w:top w:val="single" w:sz="4" w:space="0" w:color="auto"/>
              <w:left w:val="nil"/>
              <w:bottom w:val="single" w:sz="4" w:space="0" w:color="auto"/>
              <w:right w:val="nil"/>
            </w:tcBorders>
          </w:tcPr>
          <w:p w14:paraId="5EC3C431" w14:textId="3C680955" w:rsidR="007F2E5A" w:rsidRPr="00510C93" w:rsidRDefault="007F2E5A" w:rsidP="00265A5A">
            <w:pPr>
              <w:pStyle w:val="TableText"/>
              <w:spacing w:before="50" w:after="50"/>
            </w:pPr>
            <w:r>
              <w:t>&gt; 6,</w:t>
            </w:r>
            <w:r w:rsidRPr="00045A29">
              <w:t>900</w:t>
            </w:r>
          </w:p>
        </w:tc>
        <w:tc>
          <w:tcPr>
            <w:tcW w:w="1922" w:type="dxa"/>
            <w:tcBorders>
              <w:top w:val="single" w:sz="4" w:space="0" w:color="auto"/>
              <w:left w:val="nil"/>
              <w:bottom w:val="single" w:sz="4" w:space="0" w:color="auto"/>
              <w:right w:val="nil"/>
            </w:tcBorders>
          </w:tcPr>
          <w:p w14:paraId="174A71C8" w14:textId="7E3ACC6E" w:rsidR="007F2E5A" w:rsidRDefault="007F2E5A" w:rsidP="00B65E15">
            <w:pPr>
              <w:pStyle w:val="TableText"/>
              <w:spacing w:before="50" w:after="50"/>
            </w:pPr>
            <w:r w:rsidRPr="00045A29">
              <w:t>Bermingham et al. (1996)</w:t>
            </w:r>
          </w:p>
        </w:tc>
      </w:tr>
      <w:tr w:rsidR="001C64A7" w:rsidRPr="00045A29" w14:paraId="2D9E1A05" w14:textId="77777777" w:rsidTr="00B65E15">
        <w:trPr>
          <w:cantSplit/>
          <w:jc w:val="center"/>
        </w:trPr>
        <w:tc>
          <w:tcPr>
            <w:tcW w:w="1537" w:type="dxa"/>
            <w:tcBorders>
              <w:top w:val="single" w:sz="4" w:space="0" w:color="auto"/>
              <w:left w:val="nil"/>
              <w:bottom w:val="single" w:sz="4" w:space="0" w:color="auto"/>
              <w:right w:val="nil"/>
            </w:tcBorders>
          </w:tcPr>
          <w:p w14:paraId="682A6835" w14:textId="5083F3E7" w:rsidR="007F2E5A" w:rsidRDefault="007F2E5A" w:rsidP="00B65E15">
            <w:pPr>
              <w:pStyle w:val="TableText"/>
              <w:spacing w:before="50" w:after="50"/>
            </w:pPr>
            <w:r>
              <w:t>Microalga (Chlorophyta)</w:t>
            </w:r>
          </w:p>
        </w:tc>
        <w:tc>
          <w:tcPr>
            <w:tcW w:w="1417" w:type="dxa"/>
            <w:tcBorders>
              <w:top w:val="single" w:sz="4" w:space="0" w:color="auto"/>
              <w:left w:val="nil"/>
              <w:bottom w:val="single" w:sz="4" w:space="0" w:color="auto"/>
              <w:right w:val="nil"/>
            </w:tcBorders>
          </w:tcPr>
          <w:p w14:paraId="3DECAE4B" w14:textId="0681BF38" w:rsidR="007F2E5A" w:rsidRPr="00FE6B34" w:rsidRDefault="007F2E5A" w:rsidP="00B65E15">
            <w:pPr>
              <w:pStyle w:val="TableText"/>
              <w:spacing w:before="50" w:after="50"/>
              <w:rPr>
                <w:rStyle w:val="Emphasis"/>
              </w:rPr>
            </w:pPr>
            <w:r>
              <w:rPr>
                <w:rStyle w:val="Emphasis"/>
              </w:rPr>
              <w:t>Raphidocelis subcapitata</w:t>
            </w:r>
          </w:p>
        </w:tc>
        <w:tc>
          <w:tcPr>
            <w:tcW w:w="849" w:type="dxa"/>
            <w:tcBorders>
              <w:top w:val="single" w:sz="4" w:space="0" w:color="auto"/>
              <w:left w:val="nil"/>
              <w:bottom w:val="single" w:sz="4" w:space="0" w:color="auto"/>
              <w:right w:val="nil"/>
            </w:tcBorders>
          </w:tcPr>
          <w:p w14:paraId="3BE74272" w14:textId="77777777" w:rsidR="007F2E5A" w:rsidRPr="00045A29" w:rsidRDefault="007F2E5A" w:rsidP="00265A5A">
            <w:pPr>
              <w:pStyle w:val="TableText"/>
              <w:spacing w:before="50" w:after="50"/>
            </w:pPr>
          </w:p>
        </w:tc>
        <w:tc>
          <w:tcPr>
            <w:tcW w:w="989" w:type="dxa"/>
            <w:tcBorders>
              <w:top w:val="single" w:sz="4" w:space="0" w:color="auto"/>
              <w:left w:val="nil"/>
              <w:bottom w:val="single" w:sz="4" w:space="0" w:color="auto"/>
              <w:right w:val="nil"/>
            </w:tcBorders>
          </w:tcPr>
          <w:p w14:paraId="31ECE908" w14:textId="4A536834" w:rsidR="007F2E5A" w:rsidRPr="00045A29" w:rsidRDefault="007F2E5A" w:rsidP="00386786">
            <w:pPr>
              <w:pStyle w:val="TableText"/>
              <w:spacing w:before="50" w:after="50"/>
              <w:ind w:right="284"/>
              <w:jc w:val="right"/>
            </w:pPr>
            <w:r>
              <w:t>3</w:t>
            </w:r>
          </w:p>
        </w:tc>
        <w:tc>
          <w:tcPr>
            <w:tcW w:w="1559" w:type="dxa"/>
            <w:tcBorders>
              <w:top w:val="single" w:sz="4" w:space="0" w:color="auto"/>
              <w:left w:val="nil"/>
              <w:bottom w:val="single" w:sz="4" w:space="0" w:color="auto"/>
              <w:right w:val="nil"/>
            </w:tcBorders>
          </w:tcPr>
          <w:p w14:paraId="72B8703C" w14:textId="7130D083" w:rsidR="007F2E5A" w:rsidRPr="00045A29" w:rsidRDefault="007F2E5A" w:rsidP="00265A5A">
            <w:pPr>
              <w:pStyle w:val="TableText"/>
              <w:spacing w:before="50" w:after="50"/>
            </w:pPr>
            <w:r>
              <w:t>EC10 (yield)</w:t>
            </w:r>
          </w:p>
        </w:tc>
        <w:tc>
          <w:tcPr>
            <w:tcW w:w="1277" w:type="dxa"/>
            <w:tcBorders>
              <w:top w:val="single" w:sz="4" w:space="0" w:color="auto"/>
              <w:left w:val="nil"/>
              <w:bottom w:val="single" w:sz="4" w:space="0" w:color="auto"/>
              <w:right w:val="nil"/>
            </w:tcBorders>
          </w:tcPr>
          <w:p w14:paraId="28B6A143" w14:textId="4FF6CC79" w:rsidR="007F2E5A" w:rsidRPr="00045A29" w:rsidRDefault="007F2E5A"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01555DBC" w14:textId="10C05EAC" w:rsidR="007F2E5A" w:rsidRDefault="007F2E5A" w:rsidP="00265A5A">
            <w:pPr>
              <w:pStyle w:val="TableText"/>
              <w:spacing w:before="50" w:after="50"/>
            </w:pPr>
            <w:r>
              <w:t>24</w:t>
            </w:r>
          </w:p>
        </w:tc>
        <w:tc>
          <w:tcPr>
            <w:tcW w:w="989" w:type="dxa"/>
            <w:tcBorders>
              <w:top w:val="single" w:sz="4" w:space="0" w:color="auto"/>
              <w:left w:val="nil"/>
              <w:bottom w:val="single" w:sz="4" w:space="0" w:color="auto"/>
              <w:right w:val="nil"/>
            </w:tcBorders>
          </w:tcPr>
          <w:p w14:paraId="42F9B955" w14:textId="3357D5AD" w:rsidR="007F2E5A" w:rsidRPr="00045A29" w:rsidRDefault="007F2E5A" w:rsidP="00265A5A">
            <w:pPr>
              <w:pStyle w:val="TableText"/>
              <w:spacing w:before="50" w:after="50"/>
            </w:pPr>
            <w:r>
              <w:t>25</w:t>
            </w:r>
          </w:p>
        </w:tc>
        <w:tc>
          <w:tcPr>
            <w:tcW w:w="710" w:type="dxa"/>
            <w:tcBorders>
              <w:top w:val="single" w:sz="4" w:space="0" w:color="auto"/>
              <w:left w:val="nil"/>
              <w:bottom w:val="single" w:sz="4" w:space="0" w:color="auto"/>
              <w:right w:val="nil"/>
            </w:tcBorders>
          </w:tcPr>
          <w:p w14:paraId="0147C907" w14:textId="282A92BF" w:rsidR="007F2E5A" w:rsidRPr="00045A29" w:rsidRDefault="007F2E5A" w:rsidP="00265A5A">
            <w:pPr>
              <w:pStyle w:val="TableText"/>
              <w:spacing w:before="50" w:after="50"/>
            </w:pPr>
            <w:r>
              <w:t>6.4</w:t>
            </w:r>
          </w:p>
        </w:tc>
        <w:tc>
          <w:tcPr>
            <w:tcW w:w="741" w:type="dxa"/>
            <w:tcBorders>
              <w:top w:val="single" w:sz="4" w:space="0" w:color="auto"/>
              <w:left w:val="nil"/>
              <w:bottom w:val="single" w:sz="4" w:space="0" w:color="auto"/>
              <w:right w:val="nil"/>
            </w:tcBorders>
          </w:tcPr>
          <w:p w14:paraId="39F7B3A3" w14:textId="465C30C4" w:rsidR="007F2E5A" w:rsidRPr="00045A29" w:rsidRDefault="007F2E5A" w:rsidP="00265A5A">
            <w:pPr>
              <w:pStyle w:val="TableText"/>
              <w:spacing w:before="50" w:after="50"/>
            </w:pPr>
            <w:r>
              <w:t>0.3</w:t>
            </w:r>
          </w:p>
        </w:tc>
        <w:tc>
          <w:tcPr>
            <w:tcW w:w="992" w:type="dxa"/>
            <w:tcBorders>
              <w:top w:val="single" w:sz="4" w:space="0" w:color="auto"/>
              <w:left w:val="nil"/>
              <w:bottom w:val="single" w:sz="4" w:space="0" w:color="auto"/>
              <w:right w:val="nil"/>
            </w:tcBorders>
          </w:tcPr>
          <w:p w14:paraId="6EB3407E" w14:textId="61326E68" w:rsidR="007F2E5A" w:rsidRPr="00510C93" w:rsidRDefault="007F2E5A" w:rsidP="00265A5A">
            <w:pPr>
              <w:pStyle w:val="TableText"/>
              <w:spacing w:before="50" w:after="50"/>
              <w:rPr>
                <w:highlight w:val="yellow"/>
              </w:rPr>
            </w:pPr>
            <w:r w:rsidRPr="00510C93">
              <w:t>442</w:t>
            </w:r>
          </w:p>
        </w:tc>
        <w:tc>
          <w:tcPr>
            <w:tcW w:w="1922" w:type="dxa"/>
            <w:tcBorders>
              <w:top w:val="single" w:sz="4" w:space="0" w:color="auto"/>
              <w:left w:val="nil"/>
              <w:bottom w:val="single" w:sz="4" w:space="0" w:color="auto"/>
              <w:right w:val="nil"/>
            </w:tcBorders>
          </w:tcPr>
          <w:p w14:paraId="6DBE03A1" w14:textId="75724BB8" w:rsidR="007F2E5A" w:rsidRDefault="007F2E5A" w:rsidP="00B65E15">
            <w:pPr>
              <w:pStyle w:val="TableText"/>
              <w:spacing w:before="50" w:after="50"/>
            </w:pPr>
            <w:r>
              <w:t>Cardwell et al. (2023)</w:t>
            </w:r>
          </w:p>
        </w:tc>
      </w:tr>
      <w:tr w:rsidR="008B0BC5" w:rsidRPr="00045A29" w14:paraId="47A8DA23" w14:textId="77777777" w:rsidTr="008B0BC5">
        <w:trPr>
          <w:cantSplit/>
          <w:jc w:val="center"/>
        </w:trPr>
        <w:tc>
          <w:tcPr>
            <w:tcW w:w="1537" w:type="dxa"/>
            <w:tcBorders>
              <w:top w:val="single" w:sz="4" w:space="0" w:color="auto"/>
              <w:left w:val="nil"/>
              <w:bottom w:val="single" w:sz="4" w:space="0" w:color="auto"/>
              <w:right w:val="nil"/>
            </w:tcBorders>
          </w:tcPr>
          <w:p w14:paraId="25590643" w14:textId="5E3EA8BE" w:rsidR="00801F97" w:rsidRDefault="00801F97" w:rsidP="00B65E15">
            <w:pPr>
              <w:pStyle w:val="TableText"/>
              <w:spacing w:before="50" w:after="50"/>
            </w:pPr>
            <w:r>
              <w:t>Microalga (Chlorophyta)</w:t>
            </w:r>
          </w:p>
        </w:tc>
        <w:tc>
          <w:tcPr>
            <w:tcW w:w="1417" w:type="dxa"/>
            <w:tcBorders>
              <w:top w:val="single" w:sz="4" w:space="0" w:color="auto"/>
              <w:left w:val="nil"/>
              <w:bottom w:val="single" w:sz="4" w:space="0" w:color="auto"/>
              <w:right w:val="nil"/>
            </w:tcBorders>
          </w:tcPr>
          <w:p w14:paraId="63520703" w14:textId="47470E6A" w:rsidR="00801F97" w:rsidRPr="00FE6B34" w:rsidRDefault="00801F97" w:rsidP="00B65E15">
            <w:pPr>
              <w:pStyle w:val="TableText"/>
              <w:spacing w:before="50" w:after="50"/>
              <w:rPr>
                <w:rStyle w:val="Emphasis"/>
              </w:rPr>
            </w:pPr>
            <w:r>
              <w:rPr>
                <w:rStyle w:val="Emphasis"/>
              </w:rPr>
              <w:t>Raphidocelis subcapitata</w:t>
            </w:r>
          </w:p>
        </w:tc>
        <w:tc>
          <w:tcPr>
            <w:tcW w:w="849" w:type="dxa"/>
            <w:tcBorders>
              <w:top w:val="single" w:sz="4" w:space="0" w:color="auto"/>
              <w:left w:val="nil"/>
              <w:bottom w:val="single" w:sz="4" w:space="0" w:color="auto"/>
              <w:right w:val="nil"/>
            </w:tcBorders>
          </w:tcPr>
          <w:p w14:paraId="5CE3F3A7" w14:textId="77777777" w:rsidR="00801F97" w:rsidRPr="00045A29" w:rsidRDefault="00801F97" w:rsidP="00265A5A">
            <w:pPr>
              <w:pStyle w:val="TableText"/>
              <w:spacing w:before="50" w:after="50"/>
            </w:pPr>
          </w:p>
        </w:tc>
        <w:tc>
          <w:tcPr>
            <w:tcW w:w="989" w:type="dxa"/>
            <w:tcBorders>
              <w:top w:val="single" w:sz="4" w:space="0" w:color="auto"/>
              <w:left w:val="nil"/>
              <w:bottom w:val="single" w:sz="4" w:space="0" w:color="auto"/>
              <w:right w:val="nil"/>
            </w:tcBorders>
          </w:tcPr>
          <w:p w14:paraId="30072749" w14:textId="5A8FE76B" w:rsidR="00801F97" w:rsidRPr="00045A29" w:rsidRDefault="00801F97" w:rsidP="00386786">
            <w:pPr>
              <w:pStyle w:val="TableText"/>
              <w:spacing w:before="50" w:after="50"/>
              <w:ind w:right="284"/>
              <w:jc w:val="right"/>
            </w:pPr>
            <w:r>
              <w:t>3</w:t>
            </w:r>
          </w:p>
        </w:tc>
        <w:tc>
          <w:tcPr>
            <w:tcW w:w="1559" w:type="dxa"/>
            <w:tcBorders>
              <w:top w:val="single" w:sz="4" w:space="0" w:color="auto"/>
              <w:left w:val="nil"/>
              <w:bottom w:val="single" w:sz="4" w:space="0" w:color="auto"/>
              <w:right w:val="nil"/>
            </w:tcBorders>
          </w:tcPr>
          <w:p w14:paraId="0CC84E47" w14:textId="78BC2B7F" w:rsidR="00801F97" w:rsidRPr="00045A29" w:rsidRDefault="00801F97" w:rsidP="00265A5A">
            <w:pPr>
              <w:pStyle w:val="TableText"/>
              <w:spacing w:before="50" w:after="50"/>
            </w:pPr>
            <w:r>
              <w:t>EC10 (yield)</w:t>
            </w:r>
          </w:p>
        </w:tc>
        <w:tc>
          <w:tcPr>
            <w:tcW w:w="1277" w:type="dxa"/>
            <w:tcBorders>
              <w:top w:val="single" w:sz="4" w:space="0" w:color="auto"/>
              <w:left w:val="nil"/>
              <w:bottom w:val="single" w:sz="4" w:space="0" w:color="auto"/>
              <w:right w:val="nil"/>
            </w:tcBorders>
          </w:tcPr>
          <w:p w14:paraId="7B6FA087" w14:textId="4045C279" w:rsidR="00801F97" w:rsidRPr="00045A29" w:rsidRDefault="00801F97"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046E57BA" w14:textId="351AE1F6" w:rsidR="00801F97" w:rsidRDefault="00801F97" w:rsidP="00265A5A">
            <w:pPr>
              <w:pStyle w:val="TableText"/>
              <w:spacing w:before="50" w:after="50"/>
            </w:pPr>
            <w:r>
              <w:t>24</w:t>
            </w:r>
          </w:p>
        </w:tc>
        <w:tc>
          <w:tcPr>
            <w:tcW w:w="989" w:type="dxa"/>
            <w:tcBorders>
              <w:top w:val="single" w:sz="4" w:space="0" w:color="auto"/>
              <w:left w:val="nil"/>
              <w:bottom w:val="single" w:sz="4" w:space="0" w:color="auto"/>
              <w:right w:val="nil"/>
            </w:tcBorders>
          </w:tcPr>
          <w:p w14:paraId="182837A4" w14:textId="0893FE48" w:rsidR="00801F97" w:rsidRPr="00045A29" w:rsidRDefault="00801F97" w:rsidP="00265A5A">
            <w:pPr>
              <w:pStyle w:val="TableText"/>
              <w:spacing w:before="50" w:after="50"/>
            </w:pPr>
            <w:r>
              <w:t>25</w:t>
            </w:r>
          </w:p>
        </w:tc>
        <w:tc>
          <w:tcPr>
            <w:tcW w:w="710" w:type="dxa"/>
            <w:tcBorders>
              <w:top w:val="single" w:sz="4" w:space="0" w:color="auto"/>
              <w:left w:val="nil"/>
              <w:bottom w:val="single" w:sz="4" w:space="0" w:color="auto"/>
              <w:right w:val="nil"/>
            </w:tcBorders>
          </w:tcPr>
          <w:p w14:paraId="59EB437A" w14:textId="3EA13DF8" w:rsidR="00801F97" w:rsidRPr="00045A29" w:rsidRDefault="00801F97" w:rsidP="00265A5A">
            <w:pPr>
              <w:pStyle w:val="TableText"/>
              <w:spacing w:before="50" w:after="50"/>
            </w:pPr>
            <w:r>
              <w:t>8.0</w:t>
            </w:r>
          </w:p>
        </w:tc>
        <w:tc>
          <w:tcPr>
            <w:tcW w:w="741" w:type="dxa"/>
            <w:tcBorders>
              <w:top w:val="single" w:sz="4" w:space="0" w:color="auto"/>
              <w:left w:val="nil"/>
              <w:bottom w:val="single" w:sz="4" w:space="0" w:color="auto"/>
              <w:right w:val="nil"/>
            </w:tcBorders>
          </w:tcPr>
          <w:p w14:paraId="3188824D" w14:textId="2B8BC780" w:rsidR="00801F97" w:rsidRPr="00045A29" w:rsidRDefault="00801F97" w:rsidP="00265A5A">
            <w:pPr>
              <w:pStyle w:val="TableText"/>
              <w:spacing w:before="50" w:after="50"/>
            </w:pPr>
            <w:r>
              <w:t>0.3</w:t>
            </w:r>
          </w:p>
        </w:tc>
        <w:tc>
          <w:tcPr>
            <w:tcW w:w="992" w:type="dxa"/>
            <w:tcBorders>
              <w:top w:val="single" w:sz="4" w:space="0" w:color="auto"/>
              <w:left w:val="nil"/>
              <w:bottom w:val="single" w:sz="4" w:space="0" w:color="auto"/>
              <w:right w:val="nil"/>
            </w:tcBorders>
          </w:tcPr>
          <w:p w14:paraId="5CFB9BCA" w14:textId="0C4E80A3" w:rsidR="00801F97" w:rsidRPr="00045A29" w:rsidRDefault="00801F97" w:rsidP="00265A5A">
            <w:pPr>
              <w:pStyle w:val="TableText"/>
              <w:spacing w:before="50" w:after="50"/>
            </w:pPr>
            <w:r>
              <w:t>1,559</w:t>
            </w:r>
          </w:p>
        </w:tc>
        <w:tc>
          <w:tcPr>
            <w:tcW w:w="1922" w:type="dxa"/>
            <w:tcBorders>
              <w:top w:val="single" w:sz="4" w:space="0" w:color="auto"/>
              <w:left w:val="nil"/>
              <w:bottom w:val="single" w:sz="4" w:space="0" w:color="auto"/>
              <w:right w:val="nil"/>
            </w:tcBorders>
          </w:tcPr>
          <w:p w14:paraId="3B9469BA" w14:textId="738E4BF6" w:rsidR="00801F97" w:rsidRDefault="00801F97" w:rsidP="00B65E15">
            <w:pPr>
              <w:pStyle w:val="TableText"/>
              <w:spacing w:before="50" w:after="50"/>
            </w:pPr>
            <w:r>
              <w:t>Cardwell et al. (2023)</w:t>
            </w:r>
          </w:p>
        </w:tc>
      </w:tr>
      <w:tr w:rsidR="008B0BC5" w:rsidRPr="00045A29" w14:paraId="1B2AA38D" w14:textId="77777777" w:rsidTr="008B0BC5">
        <w:trPr>
          <w:cantSplit/>
          <w:jc w:val="center"/>
        </w:trPr>
        <w:tc>
          <w:tcPr>
            <w:tcW w:w="1537" w:type="dxa"/>
            <w:tcBorders>
              <w:top w:val="single" w:sz="4" w:space="0" w:color="auto"/>
              <w:left w:val="nil"/>
              <w:bottom w:val="single" w:sz="4" w:space="0" w:color="auto"/>
              <w:right w:val="nil"/>
            </w:tcBorders>
          </w:tcPr>
          <w:p w14:paraId="33C55B30" w14:textId="4D5A7406" w:rsidR="00801F97" w:rsidRDefault="00801F97" w:rsidP="00B65E15">
            <w:pPr>
              <w:pStyle w:val="TableText"/>
              <w:spacing w:before="50" w:after="50"/>
            </w:pPr>
            <w:r>
              <w:t>Microalga (Chlorophyta)</w:t>
            </w:r>
          </w:p>
        </w:tc>
        <w:tc>
          <w:tcPr>
            <w:tcW w:w="1417" w:type="dxa"/>
            <w:tcBorders>
              <w:top w:val="single" w:sz="4" w:space="0" w:color="auto"/>
              <w:left w:val="nil"/>
              <w:bottom w:val="single" w:sz="4" w:space="0" w:color="auto"/>
              <w:right w:val="nil"/>
            </w:tcBorders>
          </w:tcPr>
          <w:p w14:paraId="35481E8C" w14:textId="693B146A" w:rsidR="00801F97" w:rsidRPr="00FE6B34" w:rsidRDefault="00801F97" w:rsidP="00B65E15">
            <w:pPr>
              <w:pStyle w:val="TableText"/>
              <w:spacing w:before="50" w:after="50"/>
              <w:rPr>
                <w:rStyle w:val="Emphasis"/>
              </w:rPr>
            </w:pPr>
            <w:r>
              <w:rPr>
                <w:rStyle w:val="Emphasis"/>
              </w:rPr>
              <w:t>Raphidocelis subcapitata</w:t>
            </w:r>
          </w:p>
        </w:tc>
        <w:tc>
          <w:tcPr>
            <w:tcW w:w="849" w:type="dxa"/>
            <w:tcBorders>
              <w:top w:val="single" w:sz="4" w:space="0" w:color="auto"/>
              <w:left w:val="nil"/>
              <w:bottom w:val="single" w:sz="4" w:space="0" w:color="auto"/>
              <w:right w:val="nil"/>
            </w:tcBorders>
          </w:tcPr>
          <w:p w14:paraId="2AC8C018" w14:textId="77777777" w:rsidR="00801F97" w:rsidRPr="00045A29" w:rsidRDefault="00801F97" w:rsidP="00265A5A">
            <w:pPr>
              <w:pStyle w:val="TableText"/>
              <w:spacing w:before="50" w:after="50"/>
            </w:pPr>
          </w:p>
        </w:tc>
        <w:tc>
          <w:tcPr>
            <w:tcW w:w="989" w:type="dxa"/>
            <w:tcBorders>
              <w:top w:val="single" w:sz="4" w:space="0" w:color="auto"/>
              <w:left w:val="nil"/>
              <w:bottom w:val="single" w:sz="4" w:space="0" w:color="auto"/>
              <w:right w:val="nil"/>
            </w:tcBorders>
          </w:tcPr>
          <w:p w14:paraId="727E2D63" w14:textId="7E67360A" w:rsidR="00801F97" w:rsidRPr="00045A29" w:rsidRDefault="00801F97" w:rsidP="00386786">
            <w:pPr>
              <w:pStyle w:val="TableText"/>
              <w:spacing w:before="50" w:after="50"/>
              <w:ind w:right="284"/>
              <w:jc w:val="right"/>
            </w:pPr>
            <w:r>
              <w:t>3</w:t>
            </w:r>
          </w:p>
        </w:tc>
        <w:tc>
          <w:tcPr>
            <w:tcW w:w="1559" w:type="dxa"/>
            <w:tcBorders>
              <w:top w:val="single" w:sz="4" w:space="0" w:color="auto"/>
              <w:left w:val="nil"/>
              <w:bottom w:val="single" w:sz="4" w:space="0" w:color="auto"/>
              <w:right w:val="nil"/>
            </w:tcBorders>
          </w:tcPr>
          <w:p w14:paraId="30F447C6" w14:textId="65DD955B" w:rsidR="00801F97" w:rsidRPr="00045A29" w:rsidRDefault="00801F97" w:rsidP="00265A5A">
            <w:pPr>
              <w:pStyle w:val="TableText"/>
              <w:spacing w:before="50" w:after="50"/>
            </w:pPr>
            <w:r>
              <w:t>EC10 (yield)</w:t>
            </w:r>
          </w:p>
        </w:tc>
        <w:tc>
          <w:tcPr>
            <w:tcW w:w="1277" w:type="dxa"/>
            <w:tcBorders>
              <w:top w:val="single" w:sz="4" w:space="0" w:color="auto"/>
              <w:left w:val="nil"/>
              <w:bottom w:val="single" w:sz="4" w:space="0" w:color="auto"/>
              <w:right w:val="nil"/>
            </w:tcBorders>
          </w:tcPr>
          <w:p w14:paraId="2672325A" w14:textId="04F153CC" w:rsidR="00801F97" w:rsidRPr="00045A29" w:rsidRDefault="00801F97"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06025BC0" w14:textId="4324F4DD" w:rsidR="00801F97" w:rsidRDefault="00801F97" w:rsidP="00265A5A">
            <w:pPr>
              <w:pStyle w:val="TableText"/>
              <w:spacing w:before="50" w:after="50"/>
            </w:pPr>
            <w:r>
              <w:t>24</w:t>
            </w:r>
          </w:p>
        </w:tc>
        <w:tc>
          <w:tcPr>
            <w:tcW w:w="989" w:type="dxa"/>
            <w:tcBorders>
              <w:top w:val="single" w:sz="4" w:space="0" w:color="auto"/>
              <w:left w:val="nil"/>
              <w:bottom w:val="single" w:sz="4" w:space="0" w:color="auto"/>
              <w:right w:val="nil"/>
            </w:tcBorders>
          </w:tcPr>
          <w:p w14:paraId="238678F1" w14:textId="2737BADF" w:rsidR="00801F97" w:rsidRPr="00045A29" w:rsidRDefault="00801F97" w:rsidP="00265A5A">
            <w:pPr>
              <w:pStyle w:val="TableText"/>
              <w:spacing w:before="50" w:after="50"/>
            </w:pPr>
            <w:r>
              <w:t>84</w:t>
            </w:r>
          </w:p>
        </w:tc>
        <w:tc>
          <w:tcPr>
            <w:tcW w:w="710" w:type="dxa"/>
            <w:tcBorders>
              <w:top w:val="single" w:sz="4" w:space="0" w:color="auto"/>
              <w:left w:val="nil"/>
              <w:bottom w:val="single" w:sz="4" w:space="0" w:color="auto"/>
              <w:right w:val="nil"/>
            </w:tcBorders>
          </w:tcPr>
          <w:p w14:paraId="78DA851F" w14:textId="3AD0F87F" w:rsidR="00801F97" w:rsidRPr="00045A29" w:rsidRDefault="00801F97" w:rsidP="00265A5A">
            <w:pPr>
              <w:pStyle w:val="TableText"/>
              <w:spacing w:before="50" w:after="50"/>
            </w:pPr>
            <w:r>
              <w:t>6.4</w:t>
            </w:r>
          </w:p>
        </w:tc>
        <w:tc>
          <w:tcPr>
            <w:tcW w:w="741" w:type="dxa"/>
            <w:tcBorders>
              <w:top w:val="single" w:sz="4" w:space="0" w:color="auto"/>
              <w:left w:val="nil"/>
              <w:bottom w:val="single" w:sz="4" w:space="0" w:color="auto"/>
              <w:right w:val="nil"/>
            </w:tcBorders>
          </w:tcPr>
          <w:p w14:paraId="7231F2B7" w14:textId="3E635BF1" w:rsidR="00801F97" w:rsidRPr="00045A29" w:rsidRDefault="00801F97" w:rsidP="00265A5A">
            <w:pPr>
              <w:pStyle w:val="TableText"/>
              <w:spacing w:before="50" w:after="50"/>
            </w:pPr>
            <w:r>
              <w:t>0.3</w:t>
            </w:r>
          </w:p>
        </w:tc>
        <w:tc>
          <w:tcPr>
            <w:tcW w:w="992" w:type="dxa"/>
            <w:tcBorders>
              <w:top w:val="single" w:sz="4" w:space="0" w:color="auto"/>
              <w:left w:val="nil"/>
              <w:bottom w:val="single" w:sz="4" w:space="0" w:color="auto"/>
              <w:right w:val="nil"/>
            </w:tcBorders>
          </w:tcPr>
          <w:p w14:paraId="01394B73" w14:textId="392DC9A2" w:rsidR="00801F97" w:rsidRPr="00045A29" w:rsidRDefault="00801F97" w:rsidP="00265A5A">
            <w:pPr>
              <w:pStyle w:val="TableText"/>
              <w:spacing w:before="50" w:after="50"/>
            </w:pPr>
            <w:r>
              <w:t>653</w:t>
            </w:r>
          </w:p>
        </w:tc>
        <w:tc>
          <w:tcPr>
            <w:tcW w:w="1922" w:type="dxa"/>
            <w:tcBorders>
              <w:top w:val="single" w:sz="4" w:space="0" w:color="auto"/>
              <w:left w:val="nil"/>
              <w:bottom w:val="single" w:sz="4" w:space="0" w:color="auto"/>
              <w:right w:val="nil"/>
            </w:tcBorders>
          </w:tcPr>
          <w:p w14:paraId="0E101CB9" w14:textId="0AE34D75" w:rsidR="00801F97" w:rsidRDefault="00801F97" w:rsidP="00B65E15">
            <w:pPr>
              <w:pStyle w:val="TableText"/>
              <w:spacing w:before="50" w:after="50"/>
            </w:pPr>
            <w:r>
              <w:t>Cardwell et al. (2023)</w:t>
            </w:r>
          </w:p>
        </w:tc>
      </w:tr>
      <w:tr w:rsidR="008B0BC5" w:rsidRPr="00045A29" w14:paraId="715D7322" w14:textId="77777777" w:rsidTr="008B0BC5">
        <w:trPr>
          <w:cantSplit/>
          <w:jc w:val="center"/>
        </w:trPr>
        <w:tc>
          <w:tcPr>
            <w:tcW w:w="1537" w:type="dxa"/>
            <w:tcBorders>
              <w:top w:val="single" w:sz="4" w:space="0" w:color="auto"/>
              <w:left w:val="nil"/>
              <w:bottom w:val="single" w:sz="4" w:space="0" w:color="auto"/>
              <w:right w:val="nil"/>
            </w:tcBorders>
          </w:tcPr>
          <w:p w14:paraId="4DD11BFF" w14:textId="30012849" w:rsidR="00801F97" w:rsidRDefault="00801F97" w:rsidP="00B65E15">
            <w:pPr>
              <w:pStyle w:val="TableText"/>
              <w:spacing w:before="50" w:after="50"/>
            </w:pPr>
            <w:r>
              <w:t>Microalga (Chlorophyta)</w:t>
            </w:r>
          </w:p>
        </w:tc>
        <w:tc>
          <w:tcPr>
            <w:tcW w:w="1417" w:type="dxa"/>
            <w:tcBorders>
              <w:top w:val="single" w:sz="4" w:space="0" w:color="auto"/>
              <w:left w:val="nil"/>
              <w:bottom w:val="single" w:sz="4" w:space="0" w:color="auto"/>
              <w:right w:val="nil"/>
            </w:tcBorders>
          </w:tcPr>
          <w:p w14:paraId="6A2BD792" w14:textId="582BBA91" w:rsidR="00801F97" w:rsidRPr="00FE6B34" w:rsidRDefault="00801F97" w:rsidP="00B65E15">
            <w:pPr>
              <w:pStyle w:val="TableText"/>
              <w:spacing w:before="50" w:after="50"/>
              <w:rPr>
                <w:rStyle w:val="Emphasis"/>
              </w:rPr>
            </w:pPr>
            <w:r>
              <w:rPr>
                <w:rStyle w:val="Emphasis"/>
              </w:rPr>
              <w:t>Raphidocelis subcapitata</w:t>
            </w:r>
          </w:p>
        </w:tc>
        <w:tc>
          <w:tcPr>
            <w:tcW w:w="849" w:type="dxa"/>
            <w:tcBorders>
              <w:top w:val="single" w:sz="4" w:space="0" w:color="auto"/>
              <w:left w:val="nil"/>
              <w:bottom w:val="single" w:sz="4" w:space="0" w:color="auto"/>
              <w:right w:val="nil"/>
            </w:tcBorders>
          </w:tcPr>
          <w:p w14:paraId="2EF9DA9A" w14:textId="77777777" w:rsidR="00801F97" w:rsidRPr="00045A29" w:rsidRDefault="00801F97" w:rsidP="00265A5A">
            <w:pPr>
              <w:pStyle w:val="TableText"/>
              <w:spacing w:before="50" w:after="50"/>
            </w:pPr>
          </w:p>
        </w:tc>
        <w:tc>
          <w:tcPr>
            <w:tcW w:w="989" w:type="dxa"/>
            <w:tcBorders>
              <w:top w:val="single" w:sz="4" w:space="0" w:color="auto"/>
              <w:left w:val="nil"/>
              <w:bottom w:val="single" w:sz="4" w:space="0" w:color="auto"/>
              <w:right w:val="nil"/>
            </w:tcBorders>
          </w:tcPr>
          <w:p w14:paraId="42440243" w14:textId="10869ADC" w:rsidR="00801F97" w:rsidRPr="00045A29" w:rsidRDefault="00801F97" w:rsidP="00386786">
            <w:pPr>
              <w:pStyle w:val="TableText"/>
              <w:spacing w:before="50" w:after="50"/>
              <w:ind w:right="284"/>
              <w:jc w:val="right"/>
            </w:pPr>
            <w:r>
              <w:t>3</w:t>
            </w:r>
          </w:p>
        </w:tc>
        <w:tc>
          <w:tcPr>
            <w:tcW w:w="1559" w:type="dxa"/>
            <w:tcBorders>
              <w:top w:val="single" w:sz="4" w:space="0" w:color="auto"/>
              <w:left w:val="nil"/>
              <w:bottom w:val="single" w:sz="4" w:space="0" w:color="auto"/>
              <w:right w:val="nil"/>
            </w:tcBorders>
          </w:tcPr>
          <w:p w14:paraId="1460EDC6" w14:textId="00B7A565" w:rsidR="00801F97" w:rsidRPr="00045A29" w:rsidRDefault="00801F97" w:rsidP="00265A5A">
            <w:pPr>
              <w:pStyle w:val="TableText"/>
              <w:spacing w:before="50" w:after="50"/>
            </w:pPr>
            <w:r>
              <w:t>EC10 (yield)</w:t>
            </w:r>
          </w:p>
        </w:tc>
        <w:tc>
          <w:tcPr>
            <w:tcW w:w="1277" w:type="dxa"/>
            <w:tcBorders>
              <w:top w:val="single" w:sz="4" w:space="0" w:color="auto"/>
              <w:left w:val="nil"/>
              <w:bottom w:val="single" w:sz="4" w:space="0" w:color="auto"/>
              <w:right w:val="nil"/>
            </w:tcBorders>
          </w:tcPr>
          <w:p w14:paraId="658E72A2" w14:textId="58FCD648" w:rsidR="00801F97" w:rsidRPr="00045A29" w:rsidRDefault="00801F97"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24D0A96A" w14:textId="391C4FA9" w:rsidR="00801F97" w:rsidRDefault="00801F97" w:rsidP="00265A5A">
            <w:pPr>
              <w:pStyle w:val="TableText"/>
              <w:spacing w:before="50" w:after="50"/>
            </w:pPr>
            <w:r>
              <w:t>24</w:t>
            </w:r>
          </w:p>
        </w:tc>
        <w:tc>
          <w:tcPr>
            <w:tcW w:w="989" w:type="dxa"/>
            <w:tcBorders>
              <w:top w:val="single" w:sz="4" w:space="0" w:color="auto"/>
              <w:left w:val="nil"/>
              <w:bottom w:val="single" w:sz="4" w:space="0" w:color="auto"/>
              <w:right w:val="nil"/>
            </w:tcBorders>
          </w:tcPr>
          <w:p w14:paraId="740004F2" w14:textId="1E0EC239" w:rsidR="00801F97" w:rsidRPr="00045A29" w:rsidRDefault="00801F97" w:rsidP="00265A5A">
            <w:pPr>
              <w:pStyle w:val="TableText"/>
              <w:spacing w:before="50" w:after="50"/>
            </w:pPr>
            <w:r>
              <w:t>84</w:t>
            </w:r>
          </w:p>
        </w:tc>
        <w:tc>
          <w:tcPr>
            <w:tcW w:w="710" w:type="dxa"/>
            <w:tcBorders>
              <w:top w:val="single" w:sz="4" w:space="0" w:color="auto"/>
              <w:left w:val="nil"/>
              <w:bottom w:val="single" w:sz="4" w:space="0" w:color="auto"/>
              <w:right w:val="nil"/>
            </w:tcBorders>
          </w:tcPr>
          <w:p w14:paraId="3FCAB605" w14:textId="2AF7D776" w:rsidR="00801F97" w:rsidRPr="00045A29" w:rsidRDefault="00801F97" w:rsidP="00265A5A">
            <w:pPr>
              <w:pStyle w:val="TableText"/>
              <w:spacing w:before="50" w:after="50"/>
            </w:pPr>
            <w:r>
              <w:t>7.9</w:t>
            </w:r>
          </w:p>
        </w:tc>
        <w:tc>
          <w:tcPr>
            <w:tcW w:w="741" w:type="dxa"/>
            <w:tcBorders>
              <w:top w:val="single" w:sz="4" w:space="0" w:color="auto"/>
              <w:left w:val="nil"/>
              <w:bottom w:val="single" w:sz="4" w:space="0" w:color="auto"/>
              <w:right w:val="nil"/>
            </w:tcBorders>
          </w:tcPr>
          <w:p w14:paraId="5EB5AC44" w14:textId="7EA16E28" w:rsidR="00801F97" w:rsidRPr="00045A29" w:rsidRDefault="00801F97" w:rsidP="00265A5A">
            <w:pPr>
              <w:pStyle w:val="TableText"/>
              <w:spacing w:before="50" w:after="50"/>
            </w:pPr>
            <w:r>
              <w:t>0.3</w:t>
            </w:r>
          </w:p>
        </w:tc>
        <w:tc>
          <w:tcPr>
            <w:tcW w:w="992" w:type="dxa"/>
            <w:tcBorders>
              <w:top w:val="single" w:sz="4" w:space="0" w:color="auto"/>
              <w:left w:val="nil"/>
              <w:bottom w:val="single" w:sz="4" w:space="0" w:color="auto"/>
              <w:right w:val="nil"/>
            </w:tcBorders>
          </w:tcPr>
          <w:p w14:paraId="7A9E8D5B" w14:textId="0C8B25B5" w:rsidR="00801F97" w:rsidRPr="00045A29" w:rsidRDefault="00801F97" w:rsidP="00265A5A">
            <w:pPr>
              <w:pStyle w:val="TableText"/>
              <w:spacing w:before="50" w:after="50"/>
            </w:pPr>
            <w:r>
              <w:t>2,047</w:t>
            </w:r>
          </w:p>
        </w:tc>
        <w:tc>
          <w:tcPr>
            <w:tcW w:w="1922" w:type="dxa"/>
            <w:tcBorders>
              <w:top w:val="single" w:sz="4" w:space="0" w:color="auto"/>
              <w:left w:val="nil"/>
              <w:bottom w:val="single" w:sz="4" w:space="0" w:color="auto"/>
              <w:right w:val="nil"/>
            </w:tcBorders>
          </w:tcPr>
          <w:p w14:paraId="2FA1E867" w14:textId="0796E676" w:rsidR="00801F97" w:rsidRDefault="00801F97" w:rsidP="00B65E15">
            <w:pPr>
              <w:pStyle w:val="TableText"/>
              <w:spacing w:before="50" w:after="50"/>
            </w:pPr>
            <w:r>
              <w:t>Cardwell et al. (2023)</w:t>
            </w:r>
          </w:p>
        </w:tc>
      </w:tr>
      <w:tr w:rsidR="008B0BC5" w:rsidRPr="00045A29" w14:paraId="0AC59BA9" w14:textId="77777777" w:rsidTr="008B0BC5">
        <w:trPr>
          <w:cantSplit/>
          <w:jc w:val="center"/>
        </w:trPr>
        <w:tc>
          <w:tcPr>
            <w:tcW w:w="1537" w:type="dxa"/>
            <w:tcBorders>
              <w:top w:val="single" w:sz="4" w:space="0" w:color="auto"/>
              <w:left w:val="nil"/>
              <w:bottom w:val="single" w:sz="4" w:space="0" w:color="auto"/>
              <w:right w:val="nil"/>
            </w:tcBorders>
          </w:tcPr>
          <w:p w14:paraId="6A911C2A" w14:textId="2CD26CF4" w:rsidR="00801F97" w:rsidRDefault="00801F97" w:rsidP="00B65E15">
            <w:pPr>
              <w:pStyle w:val="TableText"/>
              <w:spacing w:before="50" w:after="50"/>
            </w:pPr>
            <w:r>
              <w:t>Microalga (Chlorophyta)</w:t>
            </w:r>
          </w:p>
        </w:tc>
        <w:tc>
          <w:tcPr>
            <w:tcW w:w="1417" w:type="dxa"/>
            <w:tcBorders>
              <w:top w:val="single" w:sz="4" w:space="0" w:color="auto"/>
              <w:left w:val="nil"/>
              <w:bottom w:val="single" w:sz="4" w:space="0" w:color="auto"/>
              <w:right w:val="nil"/>
            </w:tcBorders>
          </w:tcPr>
          <w:p w14:paraId="5BF2791B" w14:textId="460B54DA" w:rsidR="00801F97" w:rsidRPr="00FE6B34" w:rsidRDefault="00801F97" w:rsidP="00B65E15">
            <w:pPr>
              <w:pStyle w:val="TableText"/>
              <w:spacing w:before="50" w:after="50"/>
              <w:rPr>
                <w:rStyle w:val="Emphasis"/>
              </w:rPr>
            </w:pPr>
            <w:r>
              <w:rPr>
                <w:rStyle w:val="Emphasis"/>
              </w:rPr>
              <w:t>Raphidocelis subcapitata</w:t>
            </w:r>
          </w:p>
        </w:tc>
        <w:tc>
          <w:tcPr>
            <w:tcW w:w="849" w:type="dxa"/>
            <w:tcBorders>
              <w:top w:val="single" w:sz="4" w:space="0" w:color="auto"/>
              <w:left w:val="nil"/>
              <w:bottom w:val="single" w:sz="4" w:space="0" w:color="auto"/>
              <w:right w:val="nil"/>
            </w:tcBorders>
          </w:tcPr>
          <w:p w14:paraId="001CF8B3" w14:textId="77777777" w:rsidR="00801F97" w:rsidRPr="00045A29" w:rsidRDefault="00801F97" w:rsidP="00265A5A">
            <w:pPr>
              <w:pStyle w:val="TableText"/>
              <w:spacing w:before="50" w:after="50"/>
            </w:pPr>
          </w:p>
        </w:tc>
        <w:tc>
          <w:tcPr>
            <w:tcW w:w="989" w:type="dxa"/>
            <w:tcBorders>
              <w:top w:val="single" w:sz="4" w:space="0" w:color="auto"/>
              <w:left w:val="nil"/>
              <w:bottom w:val="single" w:sz="4" w:space="0" w:color="auto"/>
              <w:right w:val="nil"/>
            </w:tcBorders>
          </w:tcPr>
          <w:p w14:paraId="727D901D" w14:textId="0BC15674" w:rsidR="00801F97" w:rsidRPr="00045A29" w:rsidRDefault="00801F97" w:rsidP="00386786">
            <w:pPr>
              <w:pStyle w:val="TableText"/>
              <w:spacing w:before="50" w:after="50"/>
              <w:ind w:right="284"/>
              <w:jc w:val="right"/>
            </w:pPr>
            <w:r>
              <w:t>3</w:t>
            </w:r>
          </w:p>
        </w:tc>
        <w:tc>
          <w:tcPr>
            <w:tcW w:w="1559" w:type="dxa"/>
            <w:tcBorders>
              <w:top w:val="single" w:sz="4" w:space="0" w:color="auto"/>
              <w:left w:val="nil"/>
              <w:bottom w:val="single" w:sz="4" w:space="0" w:color="auto"/>
              <w:right w:val="nil"/>
            </w:tcBorders>
          </w:tcPr>
          <w:p w14:paraId="0AEAE08B" w14:textId="2050C54C" w:rsidR="00801F97" w:rsidRPr="00045A29" w:rsidRDefault="00801F97" w:rsidP="00265A5A">
            <w:pPr>
              <w:pStyle w:val="TableText"/>
              <w:spacing w:before="50" w:after="50"/>
            </w:pPr>
            <w:r>
              <w:t>EC10 (yield)</w:t>
            </w:r>
          </w:p>
        </w:tc>
        <w:tc>
          <w:tcPr>
            <w:tcW w:w="1277" w:type="dxa"/>
            <w:tcBorders>
              <w:top w:val="single" w:sz="4" w:space="0" w:color="auto"/>
              <w:left w:val="nil"/>
              <w:bottom w:val="single" w:sz="4" w:space="0" w:color="auto"/>
              <w:right w:val="nil"/>
            </w:tcBorders>
          </w:tcPr>
          <w:p w14:paraId="6FB4DC5B" w14:textId="7E2E3388" w:rsidR="00801F97" w:rsidRPr="00045A29" w:rsidRDefault="00801F97"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0876812E" w14:textId="385B8D97" w:rsidR="00801F97" w:rsidRDefault="00801F97" w:rsidP="00265A5A">
            <w:pPr>
              <w:pStyle w:val="TableText"/>
              <w:spacing w:before="50" w:after="50"/>
            </w:pPr>
            <w:r>
              <w:t>24</w:t>
            </w:r>
          </w:p>
        </w:tc>
        <w:tc>
          <w:tcPr>
            <w:tcW w:w="989" w:type="dxa"/>
            <w:tcBorders>
              <w:top w:val="single" w:sz="4" w:space="0" w:color="auto"/>
              <w:left w:val="nil"/>
              <w:bottom w:val="single" w:sz="4" w:space="0" w:color="auto"/>
              <w:right w:val="nil"/>
            </w:tcBorders>
          </w:tcPr>
          <w:p w14:paraId="45466766" w14:textId="1B21F649" w:rsidR="00801F97" w:rsidRPr="00045A29" w:rsidRDefault="00801F97" w:rsidP="00265A5A">
            <w:pPr>
              <w:pStyle w:val="TableText"/>
              <w:spacing w:before="50" w:after="50"/>
            </w:pPr>
            <w:r>
              <w:t>252</w:t>
            </w:r>
          </w:p>
        </w:tc>
        <w:tc>
          <w:tcPr>
            <w:tcW w:w="710" w:type="dxa"/>
            <w:tcBorders>
              <w:top w:val="single" w:sz="4" w:space="0" w:color="auto"/>
              <w:left w:val="nil"/>
              <w:bottom w:val="single" w:sz="4" w:space="0" w:color="auto"/>
              <w:right w:val="nil"/>
            </w:tcBorders>
          </w:tcPr>
          <w:p w14:paraId="38F99BE8" w14:textId="2B7959C7" w:rsidR="00801F97" w:rsidRPr="00045A29" w:rsidRDefault="00801F97" w:rsidP="00265A5A">
            <w:pPr>
              <w:pStyle w:val="TableText"/>
              <w:spacing w:before="50" w:after="50"/>
            </w:pPr>
            <w:r>
              <w:t>6.2</w:t>
            </w:r>
          </w:p>
        </w:tc>
        <w:tc>
          <w:tcPr>
            <w:tcW w:w="741" w:type="dxa"/>
            <w:tcBorders>
              <w:top w:val="single" w:sz="4" w:space="0" w:color="auto"/>
              <w:left w:val="nil"/>
              <w:bottom w:val="single" w:sz="4" w:space="0" w:color="auto"/>
              <w:right w:val="nil"/>
            </w:tcBorders>
          </w:tcPr>
          <w:p w14:paraId="5ADEE3AE" w14:textId="12888FAF" w:rsidR="00801F97" w:rsidRPr="00045A29" w:rsidRDefault="00801F97" w:rsidP="00265A5A">
            <w:pPr>
              <w:pStyle w:val="TableText"/>
              <w:spacing w:before="50" w:after="50"/>
            </w:pPr>
            <w:r>
              <w:t>0.3</w:t>
            </w:r>
          </w:p>
        </w:tc>
        <w:tc>
          <w:tcPr>
            <w:tcW w:w="992" w:type="dxa"/>
            <w:tcBorders>
              <w:top w:val="single" w:sz="4" w:space="0" w:color="auto"/>
              <w:left w:val="nil"/>
              <w:bottom w:val="single" w:sz="4" w:space="0" w:color="auto"/>
              <w:right w:val="nil"/>
            </w:tcBorders>
          </w:tcPr>
          <w:p w14:paraId="33D1603B" w14:textId="400A1B24" w:rsidR="00801F97" w:rsidRPr="00045A29" w:rsidRDefault="00801F97" w:rsidP="00265A5A">
            <w:pPr>
              <w:pStyle w:val="TableText"/>
              <w:spacing w:before="50" w:after="50"/>
            </w:pPr>
            <w:r>
              <w:t>497</w:t>
            </w:r>
          </w:p>
        </w:tc>
        <w:tc>
          <w:tcPr>
            <w:tcW w:w="1922" w:type="dxa"/>
            <w:tcBorders>
              <w:top w:val="single" w:sz="4" w:space="0" w:color="auto"/>
              <w:left w:val="nil"/>
              <w:bottom w:val="single" w:sz="4" w:space="0" w:color="auto"/>
              <w:right w:val="nil"/>
            </w:tcBorders>
          </w:tcPr>
          <w:p w14:paraId="02657EFF" w14:textId="385BBFF2" w:rsidR="00801F97" w:rsidRDefault="00801F97" w:rsidP="00B65E15">
            <w:pPr>
              <w:pStyle w:val="TableText"/>
              <w:spacing w:before="50" w:after="50"/>
            </w:pPr>
            <w:r>
              <w:t>Cardwell et al. (2023)</w:t>
            </w:r>
          </w:p>
        </w:tc>
      </w:tr>
      <w:tr w:rsidR="00F5513E" w:rsidRPr="00045A29" w14:paraId="1975E9D1" w14:textId="77777777" w:rsidTr="00B65E15">
        <w:trPr>
          <w:cantSplit/>
          <w:jc w:val="center"/>
        </w:trPr>
        <w:tc>
          <w:tcPr>
            <w:tcW w:w="1537" w:type="dxa"/>
            <w:tcBorders>
              <w:top w:val="single" w:sz="4" w:space="0" w:color="auto"/>
              <w:left w:val="nil"/>
              <w:bottom w:val="single" w:sz="4" w:space="0" w:color="auto"/>
              <w:right w:val="nil"/>
            </w:tcBorders>
          </w:tcPr>
          <w:p w14:paraId="59F15D84" w14:textId="325A7566" w:rsidR="00801F97" w:rsidRDefault="00801F97" w:rsidP="00B65E15">
            <w:pPr>
              <w:pStyle w:val="TableText"/>
              <w:spacing w:before="50" w:after="50"/>
            </w:pPr>
            <w:r>
              <w:t>Microalga (Chlorophyta)</w:t>
            </w:r>
          </w:p>
        </w:tc>
        <w:tc>
          <w:tcPr>
            <w:tcW w:w="1417" w:type="dxa"/>
            <w:tcBorders>
              <w:top w:val="single" w:sz="4" w:space="0" w:color="auto"/>
              <w:left w:val="nil"/>
              <w:bottom w:val="single" w:sz="4" w:space="0" w:color="auto"/>
              <w:right w:val="nil"/>
            </w:tcBorders>
          </w:tcPr>
          <w:p w14:paraId="1B9D677D" w14:textId="0A6657E8" w:rsidR="00801F97" w:rsidRPr="00FE6B34" w:rsidRDefault="00801F97" w:rsidP="00B65E15">
            <w:pPr>
              <w:pStyle w:val="TableText"/>
              <w:spacing w:before="50" w:after="50"/>
              <w:rPr>
                <w:rStyle w:val="Emphasis"/>
              </w:rPr>
            </w:pPr>
            <w:r>
              <w:rPr>
                <w:rStyle w:val="Emphasis"/>
              </w:rPr>
              <w:t>Raphidocelis subcapitata</w:t>
            </w:r>
          </w:p>
        </w:tc>
        <w:tc>
          <w:tcPr>
            <w:tcW w:w="849" w:type="dxa"/>
            <w:tcBorders>
              <w:top w:val="single" w:sz="4" w:space="0" w:color="auto"/>
              <w:left w:val="nil"/>
              <w:bottom w:val="single" w:sz="4" w:space="0" w:color="auto"/>
              <w:right w:val="nil"/>
            </w:tcBorders>
          </w:tcPr>
          <w:p w14:paraId="0097E91A" w14:textId="77777777" w:rsidR="00801F97" w:rsidRPr="00045A29" w:rsidRDefault="00801F97" w:rsidP="00265A5A">
            <w:pPr>
              <w:pStyle w:val="TableText"/>
              <w:spacing w:before="50" w:after="50"/>
            </w:pPr>
          </w:p>
        </w:tc>
        <w:tc>
          <w:tcPr>
            <w:tcW w:w="989" w:type="dxa"/>
            <w:tcBorders>
              <w:top w:val="single" w:sz="4" w:space="0" w:color="auto"/>
              <w:left w:val="nil"/>
              <w:bottom w:val="single" w:sz="4" w:space="0" w:color="auto"/>
              <w:right w:val="nil"/>
            </w:tcBorders>
          </w:tcPr>
          <w:p w14:paraId="5ED630E2" w14:textId="0B3FE6EF" w:rsidR="00801F97" w:rsidRPr="00045A29" w:rsidRDefault="00801F97" w:rsidP="00386786">
            <w:pPr>
              <w:pStyle w:val="TableText"/>
              <w:spacing w:before="50" w:after="50"/>
              <w:ind w:right="284"/>
              <w:jc w:val="right"/>
            </w:pPr>
            <w:r>
              <w:t>3</w:t>
            </w:r>
          </w:p>
        </w:tc>
        <w:tc>
          <w:tcPr>
            <w:tcW w:w="1559" w:type="dxa"/>
            <w:tcBorders>
              <w:top w:val="single" w:sz="4" w:space="0" w:color="auto"/>
              <w:left w:val="nil"/>
              <w:bottom w:val="single" w:sz="4" w:space="0" w:color="auto"/>
              <w:right w:val="nil"/>
            </w:tcBorders>
          </w:tcPr>
          <w:p w14:paraId="52FA79A9" w14:textId="55ADB187" w:rsidR="00801F97" w:rsidRPr="00045A29" w:rsidRDefault="00801F97" w:rsidP="00265A5A">
            <w:pPr>
              <w:pStyle w:val="TableText"/>
              <w:spacing w:before="50" w:after="50"/>
            </w:pPr>
            <w:r>
              <w:t>EC10 (yield)</w:t>
            </w:r>
          </w:p>
        </w:tc>
        <w:tc>
          <w:tcPr>
            <w:tcW w:w="1277" w:type="dxa"/>
            <w:tcBorders>
              <w:top w:val="single" w:sz="4" w:space="0" w:color="auto"/>
              <w:left w:val="nil"/>
              <w:bottom w:val="single" w:sz="4" w:space="0" w:color="auto"/>
              <w:right w:val="nil"/>
            </w:tcBorders>
          </w:tcPr>
          <w:p w14:paraId="6E1A1A24" w14:textId="18A61258" w:rsidR="00801F97" w:rsidRPr="00045A29" w:rsidRDefault="00801F97"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7A69B76F" w14:textId="3785BE27" w:rsidR="00801F97" w:rsidRDefault="00801F97" w:rsidP="00265A5A">
            <w:pPr>
              <w:pStyle w:val="TableText"/>
              <w:spacing w:before="50" w:after="50"/>
            </w:pPr>
            <w:r>
              <w:t>24</w:t>
            </w:r>
          </w:p>
        </w:tc>
        <w:tc>
          <w:tcPr>
            <w:tcW w:w="989" w:type="dxa"/>
            <w:tcBorders>
              <w:top w:val="single" w:sz="4" w:space="0" w:color="auto"/>
              <w:left w:val="nil"/>
              <w:bottom w:val="single" w:sz="4" w:space="0" w:color="auto"/>
              <w:right w:val="nil"/>
            </w:tcBorders>
          </w:tcPr>
          <w:p w14:paraId="44AF0DF1" w14:textId="4953DC6D" w:rsidR="00801F97" w:rsidRPr="00045A29" w:rsidRDefault="00801F97" w:rsidP="00265A5A">
            <w:pPr>
              <w:pStyle w:val="TableText"/>
              <w:spacing w:before="50" w:after="50"/>
            </w:pPr>
            <w:r>
              <w:t>252</w:t>
            </w:r>
          </w:p>
        </w:tc>
        <w:tc>
          <w:tcPr>
            <w:tcW w:w="710" w:type="dxa"/>
            <w:tcBorders>
              <w:top w:val="single" w:sz="4" w:space="0" w:color="auto"/>
              <w:left w:val="nil"/>
              <w:bottom w:val="single" w:sz="4" w:space="0" w:color="auto"/>
              <w:right w:val="nil"/>
            </w:tcBorders>
          </w:tcPr>
          <w:p w14:paraId="0AB6B0B1" w14:textId="3C586147" w:rsidR="00801F97" w:rsidRPr="00045A29" w:rsidRDefault="00801F97" w:rsidP="00265A5A">
            <w:pPr>
              <w:pStyle w:val="TableText"/>
              <w:spacing w:before="50" w:after="50"/>
            </w:pPr>
            <w:r>
              <w:t>7.8</w:t>
            </w:r>
          </w:p>
        </w:tc>
        <w:tc>
          <w:tcPr>
            <w:tcW w:w="741" w:type="dxa"/>
            <w:tcBorders>
              <w:top w:val="single" w:sz="4" w:space="0" w:color="auto"/>
              <w:left w:val="nil"/>
              <w:bottom w:val="single" w:sz="4" w:space="0" w:color="auto"/>
              <w:right w:val="nil"/>
            </w:tcBorders>
          </w:tcPr>
          <w:p w14:paraId="1DA53D7C" w14:textId="714D407B" w:rsidR="00801F97" w:rsidRPr="00045A29" w:rsidRDefault="00801F97" w:rsidP="00265A5A">
            <w:pPr>
              <w:pStyle w:val="TableText"/>
              <w:spacing w:before="50" w:after="50"/>
            </w:pPr>
            <w:r>
              <w:t>0.3</w:t>
            </w:r>
          </w:p>
        </w:tc>
        <w:tc>
          <w:tcPr>
            <w:tcW w:w="992" w:type="dxa"/>
            <w:tcBorders>
              <w:top w:val="single" w:sz="4" w:space="0" w:color="auto"/>
              <w:left w:val="nil"/>
              <w:bottom w:val="single" w:sz="4" w:space="0" w:color="auto"/>
              <w:right w:val="nil"/>
            </w:tcBorders>
          </w:tcPr>
          <w:p w14:paraId="673486F3" w14:textId="2CA3BD63" w:rsidR="00801F97" w:rsidRPr="00045A29" w:rsidRDefault="00801F97" w:rsidP="00265A5A">
            <w:pPr>
              <w:pStyle w:val="TableText"/>
              <w:spacing w:before="50" w:after="50"/>
            </w:pPr>
            <w:r>
              <w:t>1,195</w:t>
            </w:r>
          </w:p>
        </w:tc>
        <w:tc>
          <w:tcPr>
            <w:tcW w:w="1922" w:type="dxa"/>
            <w:tcBorders>
              <w:top w:val="single" w:sz="4" w:space="0" w:color="auto"/>
              <w:left w:val="nil"/>
              <w:bottom w:val="single" w:sz="4" w:space="0" w:color="auto"/>
              <w:right w:val="nil"/>
            </w:tcBorders>
          </w:tcPr>
          <w:p w14:paraId="652A0E5D" w14:textId="49D74D5C" w:rsidR="00801F97" w:rsidRDefault="00801F97" w:rsidP="00B65E15">
            <w:pPr>
              <w:pStyle w:val="TableText"/>
              <w:spacing w:before="50" w:after="50"/>
            </w:pPr>
            <w:r>
              <w:t>Cardwell et al. (2023)</w:t>
            </w:r>
          </w:p>
        </w:tc>
      </w:tr>
      <w:tr w:rsidR="00F5513E" w:rsidRPr="00045A29" w14:paraId="25FA4D3F" w14:textId="77777777" w:rsidTr="00B65E15">
        <w:trPr>
          <w:cantSplit/>
          <w:jc w:val="center"/>
        </w:trPr>
        <w:tc>
          <w:tcPr>
            <w:tcW w:w="1537" w:type="dxa"/>
            <w:tcBorders>
              <w:top w:val="single" w:sz="4" w:space="0" w:color="auto"/>
              <w:left w:val="nil"/>
              <w:bottom w:val="single" w:sz="4" w:space="0" w:color="auto"/>
              <w:right w:val="nil"/>
            </w:tcBorders>
          </w:tcPr>
          <w:p w14:paraId="5B97BD35" w14:textId="601CD6DA" w:rsidR="00801F97" w:rsidRDefault="00801F97" w:rsidP="00B65E15">
            <w:pPr>
              <w:pStyle w:val="TableText"/>
              <w:spacing w:before="50" w:after="50"/>
            </w:pPr>
            <w:r>
              <w:lastRenderedPageBreak/>
              <w:t>Microalga (Chlorophyta)</w:t>
            </w:r>
          </w:p>
        </w:tc>
        <w:tc>
          <w:tcPr>
            <w:tcW w:w="1417" w:type="dxa"/>
            <w:tcBorders>
              <w:top w:val="single" w:sz="4" w:space="0" w:color="auto"/>
              <w:left w:val="nil"/>
              <w:bottom w:val="single" w:sz="4" w:space="0" w:color="auto"/>
              <w:right w:val="nil"/>
            </w:tcBorders>
          </w:tcPr>
          <w:p w14:paraId="674282A0" w14:textId="7A185473" w:rsidR="00801F97" w:rsidRPr="00FE6B34" w:rsidRDefault="00801F97" w:rsidP="00B65E15">
            <w:pPr>
              <w:pStyle w:val="TableText"/>
              <w:spacing w:before="50" w:after="50"/>
              <w:rPr>
                <w:rStyle w:val="Emphasis"/>
              </w:rPr>
            </w:pPr>
            <w:r>
              <w:rPr>
                <w:rStyle w:val="Emphasis"/>
              </w:rPr>
              <w:t>Raphidocelis subcapitata</w:t>
            </w:r>
          </w:p>
        </w:tc>
        <w:tc>
          <w:tcPr>
            <w:tcW w:w="849" w:type="dxa"/>
            <w:tcBorders>
              <w:top w:val="single" w:sz="4" w:space="0" w:color="auto"/>
              <w:left w:val="nil"/>
              <w:bottom w:val="single" w:sz="4" w:space="0" w:color="auto"/>
              <w:right w:val="nil"/>
            </w:tcBorders>
          </w:tcPr>
          <w:p w14:paraId="7D9A354C" w14:textId="77777777" w:rsidR="00801F97" w:rsidRPr="00045A29" w:rsidRDefault="00801F97" w:rsidP="00265A5A">
            <w:pPr>
              <w:pStyle w:val="TableText"/>
              <w:spacing w:before="50" w:after="50"/>
            </w:pPr>
          </w:p>
        </w:tc>
        <w:tc>
          <w:tcPr>
            <w:tcW w:w="989" w:type="dxa"/>
            <w:tcBorders>
              <w:top w:val="single" w:sz="4" w:space="0" w:color="auto"/>
              <w:left w:val="nil"/>
              <w:bottom w:val="single" w:sz="4" w:space="0" w:color="auto"/>
              <w:right w:val="nil"/>
            </w:tcBorders>
          </w:tcPr>
          <w:p w14:paraId="1FFBAA82" w14:textId="22F3D4CE" w:rsidR="00801F97" w:rsidRPr="00045A29" w:rsidRDefault="00801F97" w:rsidP="00386786">
            <w:pPr>
              <w:pStyle w:val="TableText"/>
              <w:spacing w:before="50" w:after="50"/>
              <w:ind w:right="284"/>
              <w:jc w:val="right"/>
            </w:pPr>
            <w:r>
              <w:t>3</w:t>
            </w:r>
          </w:p>
        </w:tc>
        <w:tc>
          <w:tcPr>
            <w:tcW w:w="1559" w:type="dxa"/>
            <w:tcBorders>
              <w:top w:val="single" w:sz="4" w:space="0" w:color="auto"/>
              <w:left w:val="nil"/>
              <w:bottom w:val="single" w:sz="4" w:space="0" w:color="auto"/>
              <w:right w:val="nil"/>
            </w:tcBorders>
          </w:tcPr>
          <w:p w14:paraId="7F30D3BE" w14:textId="038060E0" w:rsidR="00801F97" w:rsidRPr="00045A29" w:rsidRDefault="00801F97" w:rsidP="00265A5A">
            <w:pPr>
              <w:pStyle w:val="TableText"/>
              <w:spacing w:before="50" w:after="50"/>
            </w:pPr>
            <w:r>
              <w:t>EC10 (yield)</w:t>
            </w:r>
          </w:p>
        </w:tc>
        <w:tc>
          <w:tcPr>
            <w:tcW w:w="1277" w:type="dxa"/>
            <w:tcBorders>
              <w:top w:val="single" w:sz="4" w:space="0" w:color="auto"/>
              <w:left w:val="nil"/>
              <w:bottom w:val="single" w:sz="4" w:space="0" w:color="auto"/>
              <w:right w:val="nil"/>
            </w:tcBorders>
          </w:tcPr>
          <w:p w14:paraId="0F382CF8" w14:textId="3ABEBDB8" w:rsidR="00801F97" w:rsidRPr="00045A29" w:rsidRDefault="00801F97"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7921CCD4" w14:textId="528E55AA" w:rsidR="00801F97" w:rsidRDefault="00801F97" w:rsidP="00265A5A">
            <w:pPr>
              <w:pStyle w:val="TableText"/>
              <w:spacing w:before="50" w:after="50"/>
            </w:pPr>
            <w:r>
              <w:t>24</w:t>
            </w:r>
          </w:p>
        </w:tc>
        <w:tc>
          <w:tcPr>
            <w:tcW w:w="989" w:type="dxa"/>
            <w:tcBorders>
              <w:top w:val="single" w:sz="4" w:space="0" w:color="auto"/>
              <w:left w:val="nil"/>
              <w:bottom w:val="single" w:sz="4" w:space="0" w:color="auto"/>
              <w:right w:val="nil"/>
            </w:tcBorders>
          </w:tcPr>
          <w:p w14:paraId="20BBDDB3" w14:textId="5F82BDA6" w:rsidR="00801F97" w:rsidRPr="00045A29" w:rsidRDefault="00801F97" w:rsidP="00265A5A">
            <w:pPr>
              <w:pStyle w:val="TableText"/>
              <w:spacing w:before="50" w:after="50"/>
            </w:pPr>
            <w:r>
              <w:t>255</w:t>
            </w:r>
          </w:p>
        </w:tc>
        <w:tc>
          <w:tcPr>
            <w:tcW w:w="710" w:type="dxa"/>
            <w:tcBorders>
              <w:top w:val="single" w:sz="4" w:space="0" w:color="auto"/>
              <w:left w:val="nil"/>
              <w:bottom w:val="single" w:sz="4" w:space="0" w:color="auto"/>
              <w:right w:val="nil"/>
            </w:tcBorders>
          </w:tcPr>
          <w:p w14:paraId="6234D918" w14:textId="33E8CFF1" w:rsidR="00801F97" w:rsidRPr="00045A29" w:rsidRDefault="00801F97" w:rsidP="00265A5A">
            <w:pPr>
              <w:pStyle w:val="TableText"/>
              <w:spacing w:before="50" w:after="50"/>
            </w:pPr>
            <w:r>
              <w:t>6.1</w:t>
            </w:r>
          </w:p>
        </w:tc>
        <w:tc>
          <w:tcPr>
            <w:tcW w:w="741" w:type="dxa"/>
            <w:tcBorders>
              <w:top w:val="single" w:sz="4" w:space="0" w:color="auto"/>
              <w:left w:val="nil"/>
              <w:bottom w:val="single" w:sz="4" w:space="0" w:color="auto"/>
              <w:right w:val="nil"/>
            </w:tcBorders>
          </w:tcPr>
          <w:p w14:paraId="207948FC" w14:textId="082976BE" w:rsidR="00801F97" w:rsidRPr="00045A29" w:rsidRDefault="00801F97" w:rsidP="00265A5A">
            <w:pPr>
              <w:pStyle w:val="TableText"/>
              <w:spacing w:before="50" w:after="50"/>
            </w:pPr>
            <w:r>
              <w:t>4.2</w:t>
            </w:r>
          </w:p>
        </w:tc>
        <w:tc>
          <w:tcPr>
            <w:tcW w:w="992" w:type="dxa"/>
            <w:tcBorders>
              <w:top w:val="single" w:sz="4" w:space="0" w:color="auto"/>
              <w:left w:val="nil"/>
              <w:bottom w:val="single" w:sz="4" w:space="0" w:color="auto"/>
              <w:right w:val="nil"/>
            </w:tcBorders>
          </w:tcPr>
          <w:p w14:paraId="67F1A829" w14:textId="55DB98A0" w:rsidR="00801F97" w:rsidRPr="00045A29" w:rsidRDefault="00801F97" w:rsidP="00265A5A">
            <w:pPr>
              <w:pStyle w:val="TableText"/>
              <w:spacing w:before="50" w:after="50"/>
            </w:pPr>
            <w:r>
              <w:t>8,625</w:t>
            </w:r>
          </w:p>
        </w:tc>
        <w:tc>
          <w:tcPr>
            <w:tcW w:w="1922" w:type="dxa"/>
            <w:tcBorders>
              <w:top w:val="single" w:sz="4" w:space="0" w:color="auto"/>
              <w:left w:val="nil"/>
              <w:bottom w:val="single" w:sz="4" w:space="0" w:color="auto"/>
              <w:right w:val="nil"/>
            </w:tcBorders>
          </w:tcPr>
          <w:p w14:paraId="3CCD2B13" w14:textId="57DE0A4C" w:rsidR="00801F97" w:rsidRDefault="00801F97" w:rsidP="00B65E15">
            <w:pPr>
              <w:pStyle w:val="TableText"/>
              <w:spacing w:before="50" w:after="50"/>
            </w:pPr>
            <w:r>
              <w:t>Cardwell et al. (2023)</w:t>
            </w:r>
          </w:p>
        </w:tc>
      </w:tr>
      <w:tr w:rsidR="008B0BC5" w:rsidRPr="00045A29" w14:paraId="79A638D4" w14:textId="77777777" w:rsidTr="008B0BC5">
        <w:trPr>
          <w:cantSplit/>
          <w:jc w:val="center"/>
        </w:trPr>
        <w:tc>
          <w:tcPr>
            <w:tcW w:w="1537" w:type="dxa"/>
            <w:tcBorders>
              <w:top w:val="single" w:sz="4" w:space="0" w:color="auto"/>
              <w:left w:val="nil"/>
              <w:bottom w:val="single" w:sz="4" w:space="0" w:color="auto"/>
              <w:right w:val="nil"/>
            </w:tcBorders>
          </w:tcPr>
          <w:p w14:paraId="6C9087A5" w14:textId="02BCD903" w:rsidR="00801F97" w:rsidRDefault="00801F97" w:rsidP="00B65E15">
            <w:pPr>
              <w:pStyle w:val="TableText"/>
              <w:spacing w:before="50" w:after="50"/>
            </w:pPr>
            <w:r>
              <w:t>Macrophyte (</w:t>
            </w:r>
            <w:r w:rsidRPr="00045A29">
              <w:t>Tracheophyta</w:t>
            </w:r>
            <w:r>
              <w:t>)</w:t>
            </w:r>
          </w:p>
        </w:tc>
        <w:tc>
          <w:tcPr>
            <w:tcW w:w="1417" w:type="dxa"/>
            <w:tcBorders>
              <w:top w:val="single" w:sz="4" w:space="0" w:color="auto"/>
              <w:left w:val="nil"/>
              <w:bottom w:val="single" w:sz="4" w:space="0" w:color="auto"/>
              <w:right w:val="nil"/>
            </w:tcBorders>
          </w:tcPr>
          <w:p w14:paraId="7FB0B1F5" w14:textId="20BE274C" w:rsidR="00801F97" w:rsidRPr="00FE6B34" w:rsidRDefault="00801F97" w:rsidP="00B65E15">
            <w:pPr>
              <w:pStyle w:val="TableText"/>
              <w:spacing w:before="50" w:after="50"/>
              <w:rPr>
                <w:rStyle w:val="Emphasis"/>
              </w:rPr>
            </w:pPr>
            <w:r w:rsidRPr="00FE6B34">
              <w:rPr>
                <w:rStyle w:val="Emphasis"/>
              </w:rPr>
              <w:t>Phragmites australis</w:t>
            </w:r>
          </w:p>
        </w:tc>
        <w:tc>
          <w:tcPr>
            <w:tcW w:w="849" w:type="dxa"/>
            <w:tcBorders>
              <w:top w:val="single" w:sz="4" w:space="0" w:color="auto"/>
              <w:left w:val="nil"/>
              <w:bottom w:val="single" w:sz="4" w:space="0" w:color="auto"/>
              <w:right w:val="nil"/>
            </w:tcBorders>
          </w:tcPr>
          <w:p w14:paraId="38A80F4C" w14:textId="39F65C03" w:rsidR="00801F97" w:rsidRPr="00045A29" w:rsidRDefault="00801F97" w:rsidP="00265A5A">
            <w:pPr>
              <w:pStyle w:val="TableText"/>
              <w:spacing w:before="50" w:after="50"/>
            </w:pPr>
            <w:r w:rsidRPr="00045A29">
              <w:t>Seedling</w:t>
            </w:r>
          </w:p>
        </w:tc>
        <w:tc>
          <w:tcPr>
            <w:tcW w:w="989" w:type="dxa"/>
            <w:tcBorders>
              <w:top w:val="single" w:sz="4" w:space="0" w:color="auto"/>
              <w:left w:val="nil"/>
              <w:bottom w:val="single" w:sz="4" w:space="0" w:color="auto"/>
              <w:right w:val="nil"/>
            </w:tcBorders>
          </w:tcPr>
          <w:p w14:paraId="225FA3DD" w14:textId="3B34AAEB" w:rsidR="00801F97" w:rsidRPr="00045A29" w:rsidRDefault="00801F97" w:rsidP="00386786">
            <w:pPr>
              <w:pStyle w:val="TableText"/>
              <w:spacing w:before="50" w:after="50"/>
              <w:ind w:right="284"/>
              <w:jc w:val="right"/>
            </w:pPr>
            <w:r w:rsidRPr="00045A29">
              <w:t>64</w:t>
            </w:r>
          </w:p>
        </w:tc>
        <w:tc>
          <w:tcPr>
            <w:tcW w:w="1559" w:type="dxa"/>
            <w:tcBorders>
              <w:top w:val="single" w:sz="4" w:space="0" w:color="auto"/>
              <w:left w:val="nil"/>
              <w:bottom w:val="single" w:sz="4" w:space="0" w:color="auto"/>
              <w:right w:val="nil"/>
            </w:tcBorders>
          </w:tcPr>
          <w:p w14:paraId="4A1E132D" w14:textId="6E8DCC50" w:rsidR="00801F97" w:rsidRPr="00045A29" w:rsidRDefault="00801F97" w:rsidP="00265A5A">
            <w:pPr>
              <w:pStyle w:val="TableText"/>
              <w:spacing w:before="50" w:after="50"/>
            </w:pPr>
            <w:r w:rsidRPr="00045A29">
              <w:t>NOEC (</w:t>
            </w:r>
            <w:r>
              <w:t>g</w:t>
            </w:r>
            <w:r w:rsidRPr="00045A29">
              <w:t>rowth, biomass)</w:t>
            </w:r>
          </w:p>
        </w:tc>
        <w:tc>
          <w:tcPr>
            <w:tcW w:w="1277" w:type="dxa"/>
            <w:tcBorders>
              <w:top w:val="single" w:sz="4" w:space="0" w:color="auto"/>
              <w:left w:val="nil"/>
              <w:bottom w:val="single" w:sz="4" w:space="0" w:color="auto"/>
              <w:right w:val="nil"/>
            </w:tcBorders>
          </w:tcPr>
          <w:p w14:paraId="7ED28088" w14:textId="50E41C30" w:rsidR="00801F97" w:rsidRDefault="00801F97" w:rsidP="00265A5A">
            <w:pPr>
              <w:pStyle w:val="TableText"/>
              <w:spacing w:before="50" w:after="50"/>
            </w:pPr>
            <w:r w:rsidRPr="00045A29">
              <w:t>10% Rorison</w:t>
            </w:r>
            <w:r>
              <w:t>’</w:t>
            </w:r>
            <w:r w:rsidRPr="00045A29">
              <w:t>s solution</w:t>
            </w:r>
          </w:p>
        </w:tc>
        <w:tc>
          <w:tcPr>
            <w:tcW w:w="989" w:type="dxa"/>
            <w:tcBorders>
              <w:top w:val="single" w:sz="4" w:space="0" w:color="auto"/>
              <w:left w:val="nil"/>
              <w:bottom w:val="single" w:sz="4" w:space="0" w:color="auto"/>
              <w:right w:val="nil"/>
            </w:tcBorders>
          </w:tcPr>
          <w:p w14:paraId="6C99E3C7" w14:textId="5A1A3254" w:rsidR="00801F97" w:rsidRDefault="00801F97" w:rsidP="00265A5A">
            <w:pPr>
              <w:pStyle w:val="TableText"/>
              <w:spacing w:before="50" w:after="50"/>
            </w:pPr>
            <w:r>
              <w:t>14–20</w:t>
            </w:r>
          </w:p>
        </w:tc>
        <w:tc>
          <w:tcPr>
            <w:tcW w:w="989" w:type="dxa"/>
            <w:tcBorders>
              <w:top w:val="single" w:sz="4" w:space="0" w:color="auto"/>
              <w:left w:val="nil"/>
              <w:bottom w:val="single" w:sz="4" w:space="0" w:color="auto"/>
              <w:right w:val="nil"/>
            </w:tcBorders>
          </w:tcPr>
          <w:p w14:paraId="66C44B97" w14:textId="3A09B900" w:rsidR="00801F97" w:rsidRDefault="00801F97" w:rsidP="00265A5A">
            <w:pPr>
              <w:pStyle w:val="TableText"/>
              <w:spacing w:before="50" w:after="50"/>
            </w:pPr>
            <w:r w:rsidRPr="00045A29">
              <w:t>NR</w:t>
            </w:r>
          </w:p>
        </w:tc>
        <w:tc>
          <w:tcPr>
            <w:tcW w:w="710" w:type="dxa"/>
            <w:tcBorders>
              <w:top w:val="single" w:sz="4" w:space="0" w:color="auto"/>
              <w:left w:val="nil"/>
              <w:bottom w:val="single" w:sz="4" w:space="0" w:color="auto"/>
              <w:right w:val="nil"/>
            </w:tcBorders>
          </w:tcPr>
          <w:p w14:paraId="1394DB44" w14:textId="220B11D7" w:rsidR="00801F97" w:rsidRDefault="00801F97" w:rsidP="00265A5A">
            <w:pPr>
              <w:pStyle w:val="TableText"/>
              <w:spacing w:before="50" w:after="50"/>
            </w:pPr>
            <w:r w:rsidRPr="00045A29">
              <w:t>6</w:t>
            </w:r>
          </w:p>
        </w:tc>
        <w:tc>
          <w:tcPr>
            <w:tcW w:w="741" w:type="dxa"/>
            <w:tcBorders>
              <w:top w:val="single" w:sz="4" w:space="0" w:color="auto"/>
              <w:left w:val="nil"/>
              <w:bottom w:val="single" w:sz="4" w:space="0" w:color="auto"/>
              <w:right w:val="nil"/>
            </w:tcBorders>
          </w:tcPr>
          <w:p w14:paraId="50AC7966" w14:textId="1DB81A9B" w:rsidR="00801F97" w:rsidRDefault="00801F97" w:rsidP="00265A5A">
            <w:pPr>
              <w:pStyle w:val="TableText"/>
              <w:spacing w:before="50" w:after="50"/>
            </w:pPr>
            <w:r w:rsidRPr="00045A29">
              <w:t>NR</w:t>
            </w:r>
          </w:p>
        </w:tc>
        <w:tc>
          <w:tcPr>
            <w:tcW w:w="992" w:type="dxa"/>
            <w:tcBorders>
              <w:top w:val="single" w:sz="4" w:space="0" w:color="auto"/>
              <w:left w:val="nil"/>
              <w:bottom w:val="single" w:sz="4" w:space="0" w:color="auto"/>
              <w:right w:val="nil"/>
            </w:tcBorders>
          </w:tcPr>
          <w:p w14:paraId="03BA12A7" w14:textId="3AE17A4F" w:rsidR="00801F97" w:rsidRDefault="00801F97" w:rsidP="00265A5A">
            <w:pPr>
              <w:pStyle w:val="TableText"/>
              <w:spacing w:before="50" w:after="50"/>
            </w:pPr>
            <w:r w:rsidRPr="00045A29">
              <w:t>2</w:t>
            </w:r>
            <w:r>
              <w:t>,</w:t>
            </w:r>
            <w:r w:rsidRPr="00045A29">
              <w:t>000</w:t>
            </w:r>
          </w:p>
        </w:tc>
        <w:tc>
          <w:tcPr>
            <w:tcW w:w="1922" w:type="dxa"/>
            <w:tcBorders>
              <w:top w:val="single" w:sz="4" w:space="0" w:color="auto"/>
              <w:left w:val="nil"/>
              <w:bottom w:val="single" w:sz="4" w:space="0" w:color="auto"/>
              <w:right w:val="nil"/>
            </w:tcBorders>
          </w:tcPr>
          <w:p w14:paraId="146A46EB" w14:textId="771E05E8" w:rsidR="00801F97" w:rsidRDefault="00801F97" w:rsidP="00B65E15">
            <w:pPr>
              <w:pStyle w:val="TableText"/>
              <w:spacing w:before="50" w:after="50"/>
            </w:pPr>
            <w:r w:rsidRPr="00045A29">
              <w:t xml:space="preserve">Batty </w:t>
            </w:r>
            <w:r>
              <w:t>and</w:t>
            </w:r>
            <w:r w:rsidRPr="00045A29">
              <w:t xml:space="preserve"> Younger (2002)</w:t>
            </w:r>
          </w:p>
        </w:tc>
      </w:tr>
      <w:tr w:rsidR="008B0BC5" w:rsidRPr="00045A29" w14:paraId="5D1E4359" w14:textId="77777777" w:rsidTr="008B0BC5">
        <w:trPr>
          <w:cantSplit/>
          <w:jc w:val="center"/>
        </w:trPr>
        <w:tc>
          <w:tcPr>
            <w:tcW w:w="1537" w:type="dxa"/>
            <w:tcBorders>
              <w:top w:val="single" w:sz="4" w:space="0" w:color="auto"/>
              <w:left w:val="nil"/>
              <w:bottom w:val="single" w:sz="4" w:space="0" w:color="auto"/>
              <w:right w:val="nil"/>
            </w:tcBorders>
          </w:tcPr>
          <w:p w14:paraId="3B060A9E" w14:textId="4627326C" w:rsidR="00B45D86" w:rsidRDefault="00B45D86" w:rsidP="00B65E15">
            <w:pPr>
              <w:pStyle w:val="TableText"/>
              <w:spacing w:before="50" w:after="50"/>
            </w:pPr>
            <w:r>
              <w:t>Macrophyte (</w:t>
            </w:r>
            <w:r w:rsidRPr="00045A29">
              <w:t>Tracheophyta</w:t>
            </w:r>
            <w:r>
              <w:t>)</w:t>
            </w:r>
          </w:p>
        </w:tc>
        <w:tc>
          <w:tcPr>
            <w:tcW w:w="1417" w:type="dxa"/>
            <w:tcBorders>
              <w:top w:val="single" w:sz="4" w:space="0" w:color="auto"/>
              <w:left w:val="nil"/>
              <w:bottom w:val="single" w:sz="4" w:space="0" w:color="auto"/>
              <w:right w:val="nil"/>
            </w:tcBorders>
          </w:tcPr>
          <w:p w14:paraId="71D220EB" w14:textId="191879D0" w:rsidR="00B45D86" w:rsidRPr="00FE6B34" w:rsidRDefault="00B45D86" w:rsidP="00B65E15">
            <w:pPr>
              <w:pStyle w:val="TableText"/>
              <w:spacing w:before="50" w:after="50"/>
              <w:rPr>
                <w:rStyle w:val="Emphasis"/>
              </w:rPr>
            </w:pPr>
            <w:r w:rsidRPr="00FE6B34">
              <w:rPr>
                <w:rStyle w:val="Emphasis"/>
              </w:rPr>
              <w:t>Phragmites australis</w:t>
            </w:r>
          </w:p>
        </w:tc>
        <w:tc>
          <w:tcPr>
            <w:tcW w:w="849" w:type="dxa"/>
            <w:tcBorders>
              <w:top w:val="single" w:sz="4" w:space="0" w:color="auto"/>
              <w:left w:val="nil"/>
              <w:bottom w:val="single" w:sz="4" w:space="0" w:color="auto"/>
              <w:right w:val="nil"/>
            </w:tcBorders>
          </w:tcPr>
          <w:p w14:paraId="2545C930" w14:textId="55D593FC" w:rsidR="00B45D86" w:rsidRPr="00045A29" w:rsidRDefault="00B45D86" w:rsidP="00265A5A">
            <w:pPr>
              <w:pStyle w:val="TableText"/>
              <w:spacing w:before="50" w:after="50"/>
            </w:pPr>
            <w:r w:rsidRPr="00045A29">
              <w:t>Seedling</w:t>
            </w:r>
          </w:p>
        </w:tc>
        <w:tc>
          <w:tcPr>
            <w:tcW w:w="989" w:type="dxa"/>
            <w:tcBorders>
              <w:top w:val="single" w:sz="4" w:space="0" w:color="auto"/>
              <w:left w:val="nil"/>
              <w:bottom w:val="single" w:sz="4" w:space="0" w:color="auto"/>
              <w:right w:val="nil"/>
            </w:tcBorders>
          </w:tcPr>
          <w:p w14:paraId="01440CFC" w14:textId="7D9B0A60" w:rsidR="00B45D86" w:rsidRPr="00045A29" w:rsidRDefault="00B45D86" w:rsidP="00386786">
            <w:pPr>
              <w:pStyle w:val="TableText"/>
              <w:spacing w:before="50" w:after="50"/>
              <w:ind w:right="284"/>
              <w:jc w:val="right"/>
            </w:pPr>
            <w:r w:rsidRPr="00045A29">
              <w:t>64</w:t>
            </w:r>
          </w:p>
        </w:tc>
        <w:tc>
          <w:tcPr>
            <w:tcW w:w="1559" w:type="dxa"/>
            <w:tcBorders>
              <w:top w:val="single" w:sz="4" w:space="0" w:color="auto"/>
              <w:left w:val="nil"/>
              <w:bottom w:val="single" w:sz="4" w:space="0" w:color="auto"/>
              <w:right w:val="nil"/>
            </w:tcBorders>
          </w:tcPr>
          <w:p w14:paraId="2AB2CB28" w14:textId="3FEA114A" w:rsidR="00B45D86" w:rsidRPr="00045A29" w:rsidRDefault="00B45D86" w:rsidP="00265A5A">
            <w:pPr>
              <w:pStyle w:val="TableText"/>
              <w:spacing w:before="50" w:after="50"/>
            </w:pPr>
            <w:r w:rsidRPr="00045A29">
              <w:t>NOEC (</w:t>
            </w:r>
            <w:r>
              <w:t>g</w:t>
            </w:r>
            <w:r w:rsidRPr="00045A29">
              <w:t>rowth, rhizome biomass)</w:t>
            </w:r>
          </w:p>
        </w:tc>
        <w:tc>
          <w:tcPr>
            <w:tcW w:w="1277" w:type="dxa"/>
            <w:tcBorders>
              <w:top w:val="single" w:sz="4" w:space="0" w:color="auto"/>
              <w:left w:val="nil"/>
              <w:bottom w:val="single" w:sz="4" w:space="0" w:color="auto"/>
              <w:right w:val="nil"/>
            </w:tcBorders>
          </w:tcPr>
          <w:p w14:paraId="28288C6F" w14:textId="11A62CDC" w:rsidR="00B45D86" w:rsidRDefault="00B45D86" w:rsidP="00265A5A">
            <w:pPr>
              <w:pStyle w:val="TableText"/>
              <w:spacing w:before="50" w:after="50"/>
            </w:pPr>
            <w:r w:rsidRPr="00045A29">
              <w:t>10% Rorison</w:t>
            </w:r>
            <w:r>
              <w:t>’</w:t>
            </w:r>
            <w:r w:rsidRPr="00045A29">
              <w:t>s solution</w:t>
            </w:r>
          </w:p>
        </w:tc>
        <w:tc>
          <w:tcPr>
            <w:tcW w:w="989" w:type="dxa"/>
            <w:tcBorders>
              <w:top w:val="single" w:sz="4" w:space="0" w:color="auto"/>
              <w:left w:val="nil"/>
              <w:bottom w:val="single" w:sz="4" w:space="0" w:color="auto"/>
              <w:right w:val="nil"/>
            </w:tcBorders>
          </w:tcPr>
          <w:p w14:paraId="36A04791" w14:textId="2F13B9C2" w:rsidR="00B45D86" w:rsidRDefault="00B45D86" w:rsidP="00265A5A">
            <w:pPr>
              <w:pStyle w:val="TableText"/>
              <w:spacing w:before="50" w:after="50"/>
            </w:pPr>
            <w:r>
              <w:t>14–20</w:t>
            </w:r>
          </w:p>
        </w:tc>
        <w:tc>
          <w:tcPr>
            <w:tcW w:w="989" w:type="dxa"/>
            <w:tcBorders>
              <w:top w:val="single" w:sz="4" w:space="0" w:color="auto"/>
              <w:left w:val="nil"/>
              <w:bottom w:val="single" w:sz="4" w:space="0" w:color="auto"/>
              <w:right w:val="nil"/>
            </w:tcBorders>
          </w:tcPr>
          <w:p w14:paraId="3DE66193" w14:textId="22CA060B" w:rsidR="00B45D86" w:rsidRDefault="00B45D86" w:rsidP="00265A5A">
            <w:pPr>
              <w:pStyle w:val="TableText"/>
              <w:spacing w:before="50" w:after="50"/>
            </w:pPr>
            <w:r w:rsidRPr="00045A29">
              <w:t>NR</w:t>
            </w:r>
          </w:p>
        </w:tc>
        <w:tc>
          <w:tcPr>
            <w:tcW w:w="710" w:type="dxa"/>
            <w:tcBorders>
              <w:top w:val="single" w:sz="4" w:space="0" w:color="auto"/>
              <w:left w:val="nil"/>
              <w:bottom w:val="single" w:sz="4" w:space="0" w:color="auto"/>
              <w:right w:val="nil"/>
            </w:tcBorders>
          </w:tcPr>
          <w:p w14:paraId="4A3A291B" w14:textId="3B56A12C" w:rsidR="00B45D86" w:rsidRDefault="00B45D86" w:rsidP="00265A5A">
            <w:pPr>
              <w:pStyle w:val="TableText"/>
              <w:spacing w:before="50" w:after="50"/>
            </w:pPr>
            <w:r w:rsidRPr="00045A29">
              <w:t>6</w:t>
            </w:r>
          </w:p>
        </w:tc>
        <w:tc>
          <w:tcPr>
            <w:tcW w:w="741" w:type="dxa"/>
            <w:tcBorders>
              <w:top w:val="single" w:sz="4" w:space="0" w:color="auto"/>
              <w:left w:val="nil"/>
              <w:bottom w:val="single" w:sz="4" w:space="0" w:color="auto"/>
              <w:right w:val="nil"/>
            </w:tcBorders>
          </w:tcPr>
          <w:p w14:paraId="3447CF72" w14:textId="0571F246" w:rsidR="00B45D86" w:rsidRDefault="00B45D86" w:rsidP="00265A5A">
            <w:pPr>
              <w:pStyle w:val="TableText"/>
              <w:spacing w:before="50" w:after="50"/>
            </w:pPr>
            <w:r w:rsidRPr="00045A29">
              <w:t>NR</w:t>
            </w:r>
          </w:p>
        </w:tc>
        <w:tc>
          <w:tcPr>
            <w:tcW w:w="992" w:type="dxa"/>
            <w:tcBorders>
              <w:top w:val="single" w:sz="4" w:space="0" w:color="auto"/>
              <w:left w:val="nil"/>
              <w:bottom w:val="single" w:sz="4" w:space="0" w:color="auto"/>
              <w:right w:val="nil"/>
            </w:tcBorders>
          </w:tcPr>
          <w:p w14:paraId="41EE0BB3" w14:textId="7F68205F" w:rsidR="00B45D86" w:rsidRDefault="00B45D86" w:rsidP="00265A5A">
            <w:pPr>
              <w:pStyle w:val="TableText"/>
              <w:spacing w:before="50" w:after="50"/>
            </w:pPr>
            <w:r w:rsidRPr="00045A29">
              <w:t>2</w:t>
            </w:r>
            <w:r>
              <w:t>,</w:t>
            </w:r>
            <w:r w:rsidRPr="00045A29">
              <w:t>000</w:t>
            </w:r>
          </w:p>
        </w:tc>
        <w:tc>
          <w:tcPr>
            <w:tcW w:w="1922" w:type="dxa"/>
            <w:tcBorders>
              <w:top w:val="single" w:sz="4" w:space="0" w:color="auto"/>
              <w:left w:val="nil"/>
              <w:bottom w:val="single" w:sz="4" w:space="0" w:color="auto"/>
              <w:right w:val="nil"/>
            </w:tcBorders>
          </w:tcPr>
          <w:p w14:paraId="6443B036" w14:textId="58AEDE83" w:rsidR="00B45D86" w:rsidRDefault="00B45D86" w:rsidP="00B65E15">
            <w:pPr>
              <w:pStyle w:val="TableText"/>
              <w:spacing w:before="50" w:after="50"/>
            </w:pPr>
            <w:r w:rsidRPr="00045A29">
              <w:t xml:space="preserve">Batty </w:t>
            </w:r>
            <w:r>
              <w:t>and</w:t>
            </w:r>
            <w:r w:rsidRPr="00045A29">
              <w:t xml:space="preserve"> Younger (2002)</w:t>
            </w:r>
          </w:p>
        </w:tc>
      </w:tr>
      <w:tr w:rsidR="008B0BC5" w:rsidRPr="00045A29" w14:paraId="20215E48" w14:textId="77777777" w:rsidTr="008B0BC5">
        <w:trPr>
          <w:cantSplit/>
          <w:jc w:val="center"/>
        </w:trPr>
        <w:tc>
          <w:tcPr>
            <w:tcW w:w="1537" w:type="dxa"/>
            <w:tcBorders>
              <w:top w:val="single" w:sz="4" w:space="0" w:color="auto"/>
              <w:left w:val="nil"/>
              <w:bottom w:val="single" w:sz="4" w:space="0" w:color="auto"/>
              <w:right w:val="nil"/>
            </w:tcBorders>
          </w:tcPr>
          <w:p w14:paraId="246D4F0C" w14:textId="35982BDC" w:rsidR="00B45D86" w:rsidRDefault="00B45D86" w:rsidP="00B65E15">
            <w:pPr>
              <w:pStyle w:val="TableText"/>
              <w:spacing w:before="50" w:after="50"/>
            </w:pPr>
            <w:r>
              <w:t>Macrophyte (</w:t>
            </w:r>
            <w:r w:rsidRPr="00045A29">
              <w:t>Tracheophyta</w:t>
            </w:r>
            <w:r>
              <w:t>)</w:t>
            </w:r>
          </w:p>
        </w:tc>
        <w:tc>
          <w:tcPr>
            <w:tcW w:w="1417" w:type="dxa"/>
            <w:tcBorders>
              <w:top w:val="single" w:sz="4" w:space="0" w:color="auto"/>
              <w:left w:val="nil"/>
              <w:bottom w:val="single" w:sz="4" w:space="0" w:color="auto"/>
              <w:right w:val="nil"/>
            </w:tcBorders>
          </w:tcPr>
          <w:p w14:paraId="107E5827" w14:textId="311B718C" w:rsidR="00B45D86" w:rsidRPr="00FE6B34" w:rsidRDefault="00B45D86" w:rsidP="00B65E15">
            <w:pPr>
              <w:pStyle w:val="TableText"/>
              <w:spacing w:before="50" w:after="50"/>
              <w:rPr>
                <w:rStyle w:val="Emphasis"/>
              </w:rPr>
            </w:pPr>
            <w:r w:rsidRPr="00FE6B34">
              <w:rPr>
                <w:rStyle w:val="Emphasis"/>
              </w:rPr>
              <w:t>Phragmites australis</w:t>
            </w:r>
          </w:p>
        </w:tc>
        <w:tc>
          <w:tcPr>
            <w:tcW w:w="849" w:type="dxa"/>
            <w:tcBorders>
              <w:top w:val="single" w:sz="4" w:space="0" w:color="auto"/>
              <w:left w:val="nil"/>
              <w:bottom w:val="single" w:sz="4" w:space="0" w:color="auto"/>
              <w:right w:val="nil"/>
            </w:tcBorders>
          </w:tcPr>
          <w:p w14:paraId="5A088D02" w14:textId="479B2720" w:rsidR="00B45D86" w:rsidRPr="00045A29" w:rsidRDefault="00B45D86" w:rsidP="00265A5A">
            <w:pPr>
              <w:pStyle w:val="TableText"/>
              <w:spacing w:before="50" w:after="50"/>
            </w:pPr>
            <w:r w:rsidRPr="00045A29">
              <w:t>Seedling</w:t>
            </w:r>
          </w:p>
        </w:tc>
        <w:tc>
          <w:tcPr>
            <w:tcW w:w="989" w:type="dxa"/>
            <w:tcBorders>
              <w:top w:val="single" w:sz="4" w:space="0" w:color="auto"/>
              <w:left w:val="nil"/>
              <w:bottom w:val="single" w:sz="4" w:space="0" w:color="auto"/>
              <w:right w:val="nil"/>
            </w:tcBorders>
          </w:tcPr>
          <w:p w14:paraId="15167273" w14:textId="2638C0CE" w:rsidR="00B45D86" w:rsidRPr="00045A29" w:rsidRDefault="00B45D86" w:rsidP="00386786">
            <w:pPr>
              <w:pStyle w:val="TableText"/>
              <w:spacing w:before="50" w:after="50"/>
              <w:ind w:right="284"/>
              <w:jc w:val="right"/>
            </w:pPr>
            <w:r w:rsidRPr="00045A29">
              <w:t>64</w:t>
            </w:r>
          </w:p>
        </w:tc>
        <w:tc>
          <w:tcPr>
            <w:tcW w:w="1559" w:type="dxa"/>
            <w:tcBorders>
              <w:top w:val="single" w:sz="4" w:space="0" w:color="auto"/>
              <w:left w:val="nil"/>
              <w:bottom w:val="single" w:sz="4" w:space="0" w:color="auto"/>
              <w:right w:val="nil"/>
            </w:tcBorders>
          </w:tcPr>
          <w:p w14:paraId="19316EC3" w14:textId="6A4971EE" w:rsidR="00B45D86" w:rsidRPr="00045A29" w:rsidRDefault="00B45D86" w:rsidP="00265A5A">
            <w:pPr>
              <w:pStyle w:val="TableText"/>
              <w:spacing w:before="50" w:after="50"/>
            </w:pPr>
            <w:r w:rsidRPr="00045A29">
              <w:t>NOEC (</w:t>
            </w:r>
            <w:r>
              <w:t>g</w:t>
            </w:r>
            <w:r w:rsidRPr="00045A29">
              <w:t>rowth, shoot biomass)</w:t>
            </w:r>
          </w:p>
        </w:tc>
        <w:tc>
          <w:tcPr>
            <w:tcW w:w="1277" w:type="dxa"/>
            <w:tcBorders>
              <w:top w:val="single" w:sz="4" w:space="0" w:color="auto"/>
              <w:left w:val="nil"/>
              <w:bottom w:val="single" w:sz="4" w:space="0" w:color="auto"/>
              <w:right w:val="nil"/>
            </w:tcBorders>
          </w:tcPr>
          <w:p w14:paraId="1872DF2C" w14:textId="1EA4A229" w:rsidR="00B45D86" w:rsidRDefault="00B45D86" w:rsidP="00265A5A">
            <w:pPr>
              <w:pStyle w:val="TableText"/>
              <w:spacing w:before="50" w:after="50"/>
            </w:pPr>
            <w:r w:rsidRPr="00045A29">
              <w:t>10% Rorison</w:t>
            </w:r>
            <w:r>
              <w:t>’</w:t>
            </w:r>
            <w:r w:rsidRPr="00045A29">
              <w:t>s solution</w:t>
            </w:r>
          </w:p>
        </w:tc>
        <w:tc>
          <w:tcPr>
            <w:tcW w:w="989" w:type="dxa"/>
            <w:tcBorders>
              <w:top w:val="single" w:sz="4" w:space="0" w:color="auto"/>
              <w:left w:val="nil"/>
              <w:bottom w:val="single" w:sz="4" w:space="0" w:color="auto"/>
              <w:right w:val="nil"/>
            </w:tcBorders>
          </w:tcPr>
          <w:p w14:paraId="09E85488" w14:textId="2CEDCB8C" w:rsidR="00B45D86" w:rsidRDefault="00B45D86" w:rsidP="00265A5A">
            <w:pPr>
              <w:pStyle w:val="TableText"/>
              <w:spacing w:before="50" w:after="50"/>
            </w:pPr>
            <w:r>
              <w:t>14–20</w:t>
            </w:r>
          </w:p>
        </w:tc>
        <w:tc>
          <w:tcPr>
            <w:tcW w:w="989" w:type="dxa"/>
            <w:tcBorders>
              <w:top w:val="single" w:sz="4" w:space="0" w:color="auto"/>
              <w:left w:val="nil"/>
              <w:bottom w:val="single" w:sz="4" w:space="0" w:color="auto"/>
              <w:right w:val="nil"/>
            </w:tcBorders>
          </w:tcPr>
          <w:p w14:paraId="30FFAC11" w14:textId="39A68CBB" w:rsidR="00B45D86" w:rsidRDefault="00B45D86" w:rsidP="00265A5A">
            <w:pPr>
              <w:pStyle w:val="TableText"/>
              <w:spacing w:before="50" w:after="50"/>
            </w:pPr>
            <w:r w:rsidRPr="00045A29">
              <w:t>NR</w:t>
            </w:r>
          </w:p>
        </w:tc>
        <w:tc>
          <w:tcPr>
            <w:tcW w:w="710" w:type="dxa"/>
            <w:tcBorders>
              <w:top w:val="single" w:sz="4" w:space="0" w:color="auto"/>
              <w:left w:val="nil"/>
              <w:bottom w:val="single" w:sz="4" w:space="0" w:color="auto"/>
              <w:right w:val="nil"/>
            </w:tcBorders>
          </w:tcPr>
          <w:p w14:paraId="5B78C6AA" w14:textId="4571B7BA" w:rsidR="00B45D86" w:rsidRDefault="00B45D86" w:rsidP="00265A5A">
            <w:pPr>
              <w:pStyle w:val="TableText"/>
              <w:spacing w:before="50" w:after="50"/>
            </w:pPr>
            <w:r w:rsidRPr="00045A29">
              <w:t>6</w:t>
            </w:r>
          </w:p>
        </w:tc>
        <w:tc>
          <w:tcPr>
            <w:tcW w:w="741" w:type="dxa"/>
            <w:tcBorders>
              <w:top w:val="single" w:sz="4" w:space="0" w:color="auto"/>
              <w:left w:val="nil"/>
              <w:bottom w:val="single" w:sz="4" w:space="0" w:color="auto"/>
              <w:right w:val="nil"/>
            </w:tcBorders>
          </w:tcPr>
          <w:p w14:paraId="436A5454" w14:textId="36A23396" w:rsidR="00B45D86" w:rsidRDefault="00B45D86" w:rsidP="00265A5A">
            <w:pPr>
              <w:pStyle w:val="TableText"/>
              <w:spacing w:before="50" w:after="50"/>
            </w:pPr>
            <w:r w:rsidRPr="00045A29">
              <w:t>NR</w:t>
            </w:r>
          </w:p>
        </w:tc>
        <w:tc>
          <w:tcPr>
            <w:tcW w:w="992" w:type="dxa"/>
            <w:tcBorders>
              <w:top w:val="single" w:sz="4" w:space="0" w:color="auto"/>
              <w:left w:val="nil"/>
              <w:bottom w:val="single" w:sz="4" w:space="0" w:color="auto"/>
              <w:right w:val="nil"/>
            </w:tcBorders>
          </w:tcPr>
          <w:p w14:paraId="6131FBEC" w14:textId="07A1D33E" w:rsidR="00B45D86" w:rsidRDefault="00B45D86" w:rsidP="00265A5A">
            <w:pPr>
              <w:pStyle w:val="TableText"/>
              <w:spacing w:before="50" w:after="50"/>
            </w:pPr>
            <w:r w:rsidRPr="00045A29">
              <w:t>2</w:t>
            </w:r>
            <w:r>
              <w:t>,</w:t>
            </w:r>
            <w:r w:rsidRPr="00045A29">
              <w:t>000</w:t>
            </w:r>
          </w:p>
        </w:tc>
        <w:tc>
          <w:tcPr>
            <w:tcW w:w="1922" w:type="dxa"/>
            <w:tcBorders>
              <w:top w:val="single" w:sz="4" w:space="0" w:color="auto"/>
              <w:left w:val="nil"/>
              <w:bottom w:val="single" w:sz="4" w:space="0" w:color="auto"/>
              <w:right w:val="nil"/>
            </w:tcBorders>
          </w:tcPr>
          <w:p w14:paraId="559A6BAB" w14:textId="6631AB84" w:rsidR="00B45D86" w:rsidRDefault="00B45D86" w:rsidP="00B65E15">
            <w:pPr>
              <w:pStyle w:val="TableText"/>
              <w:spacing w:before="50" w:after="50"/>
            </w:pPr>
            <w:r w:rsidRPr="00045A29">
              <w:t xml:space="preserve">Batty </w:t>
            </w:r>
            <w:r>
              <w:t>and</w:t>
            </w:r>
            <w:r w:rsidRPr="00045A29">
              <w:t xml:space="preserve"> Younger (2002)</w:t>
            </w:r>
          </w:p>
        </w:tc>
      </w:tr>
      <w:tr w:rsidR="008B0BC5" w:rsidRPr="00045A29" w14:paraId="75710194" w14:textId="77777777" w:rsidTr="008B0BC5">
        <w:trPr>
          <w:cantSplit/>
          <w:jc w:val="center"/>
        </w:trPr>
        <w:tc>
          <w:tcPr>
            <w:tcW w:w="1537" w:type="dxa"/>
            <w:tcBorders>
              <w:top w:val="single" w:sz="4" w:space="0" w:color="auto"/>
              <w:left w:val="nil"/>
              <w:bottom w:val="single" w:sz="4" w:space="0" w:color="auto"/>
              <w:right w:val="nil"/>
            </w:tcBorders>
          </w:tcPr>
          <w:p w14:paraId="6DDE889E" w14:textId="4D1D1CC6" w:rsidR="00B45D86" w:rsidRDefault="00B45D86" w:rsidP="00B65E15">
            <w:pPr>
              <w:pStyle w:val="TableText"/>
              <w:spacing w:before="50" w:after="50"/>
            </w:pPr>
            <w:r>
              <w:t>Macrophyte (</w:t>
            </w:r>
            <w:r w:rsidRPr="00045A29">
              <w:t>Tracheophyta</w:t>
            </w:r>
            <w:r>
              <w:t>)</w:t>
            </w:r>
          </w:p>
        </w:tc>
        <w:tc>
          <w:tcPr>
            <w:tcW w:w="1417" w:type="dxa"/>
            <w:tcBorders>
              <w:top w:val="single" w:sz="4" w:space="0" w:color="auto"/>
              <w:left w:val="nil"/>
              <w:bottom w:val="single" w:sz="4" w:space="0" w:color="auto"/>
              <w:right w:val="nil"/>
            </w:tcBorders>
          </w:tcPr>
          <w:p w14:paraId="0D2C0951" w14:textId="6512B666" w:rsidR="00B45D86" w:rsidRPr="00FE6B34" w:rsidRDefault="00B45D86" w:rsidP="00B65E15">
            <w:pPr>
              <w:pStyle w:val="TableText"/>
              <w:spacing w:before="50" w:after="50"/>
              <w:rPr>
                <w:rStyle w:val="Emphasis"/>
              </w:rPr>
            </w:pPr>
            <w:r w:rsidRPr="00FE6B34">
              <w:rPr>
                <w:rStyle w:val="Emphasis"/>
              </w:rPr>
              <w:t>Phragmites australis</w:t>
            </w:r>
          </w:p>
        </w:tc>
        <w:tc>
          <w:tcPr>
            <w:tcW w:w="849" w:type="dxa"/>
            <w:tcBorders>
              <w:top w:val="single" w:sz="4" w:space="0" w:color="auto"/>
              <w:left w:val="nil"/>
              <w:bottom w:val="single" w:sz="4" w:space="0" w:color="auto"/>
              <w:right w:val="nil"/>
            </w:tcBorders>
          </w:tcPr>
          <w:p w14:paraId="6D6E1BE6" w14:textId="1A8DD76C" w:rsidR="00B45D86" w:rsidRPr="00045A29" w:rsidRDefault="00B45D86" w:rsidP="00265A5A">
            <w:pPr>
              <w:pStyle w:val="TableText"/>
              <w:spacing w:before="50" w:after="50"/>
            </w:pPr>
            <w:r w:rsidRPr="00045A29">
              <w:t>Seedling</w:t>
            </w:r>
          </w:p>
        </w:tc>
        <w:tc>
          <w:tcPr>
            <w:tcW w:w="989" w:type="dxa"/>
            <w:tcBorders>
              <w:top w:val="single" w:sz="4" w:space="0" w:color="auto"/>
              <w:left w:val="nil"/>
              <w:bottom w:val="single" w:sz="4" w:space="0" w:color="auto"/>
              <w:right w:val="nil"/>
            </w:tcBorders>
          </w:tcPr>
          <w:p w14:paraId="34313E97" w14:textId="4E8E165C" w:rsidR="00B45D86" w:rsidRPr="00045A29" w:rsidRDefault="00B45D86" w:rsidP="00386786">
            <w:pPr>
              <w:pStyle w:val="TableText"/>
              <w:spacing w:before="50" w:after="50"/>
              <w:ind w:right="284"/>
              <w:jc w:val="right"/>
            </w:pPr>
            <w:r w:rsidRPr="00045A29">
              <w:t>64</w:t>
            </w:r>
          </w:p>
        </w:tc>
        <w:tc>
          <w:tcPr>
            <w:tcW w:w="1559" w:type="dxa"/>
            <w:tcBorders>
              <w:top w:val="single" w:sz="4" w:space="0" w:color="auto"/>
              <w:left w:val="nil"/>
              <w:bottom w:val="single" w:sz="4" w:space="0" w:color="auto"/>
              <w:right w:val="nil"/>
            </w:tcBorders>
          </w:tcPr>
          <w:p w14:paraId="603B003E" w14:textId="3BFCB63E" w:rsidR="00B45D86" w:rsidRPr="00045A29" w:rsidRDefault="00B45D86" w:rsidP="00265A5A">
            <w:pPr>
              <w:pStyle w:val="TableText"/>
              <w:spacing w:before="50" w:after="50"/>
            </w:pPr>
            <w:r w:rsidRPr="00045A29">
              <w:t>NOEC (</w:t>
            </w:r>
            <w:r>
              <w:t>g</w:t>
            </w:r>
            <w:r w:rsidRPr="00045A29">
              <w:t>rowth, root length)</w:t>
            </w:r>
          </w:p>
        </w:tc>
        <w:tc>
          <w:tcPr>
            <w:tcW w:w="1277" w:type="dxa"/>
            <w:tcBorders>
              <w:top w:val="single" w:sz="4" w:space="0" w:color="auto"/>
              <w:left w:val="nil"/>
              <w:bottom w:val="single" w:sz="4" w:space="0" w:color="auto"/>
              <w:right w:val="nil"/>
            </w:tcBorders>
          </w:tcPr>
          <w:p w14:paraId="52853F1C" w14:textId="68E834CC" w:rsidR="00B45D86" w:rsidRDefault="00B45D86" w:rsidP="00265A5A">
            <w:pPr>
              <w:pStyle w:val="TableText"/>
              <w:spacing w:before="50" w:after="50"/>
            </w:pPr>
            <w:r w:rsidRPr="00045A29">
              <w:t>10% Rorison</w:t>
            </w:r>
            <w:r>
              <w:t>’</w:t>
            </w:r>
            <w:r w:rsidRPr="00045A29">
              <w:t>s solution</w:t>
            </w:r>
          </w:p>
        </w:tc>
        <w:tc>
          <w:tcPr>
            <w:tcW w:w="989" w:type="dxa"/>
            <w:tcBorders>
              <w:top w:val="single" w:sz="4" w:space="0" w:color="auto"/>
              <w:left w:val="nil"/>
              <w:bottom w:val="single" w:sz="4" w:space="0" w:color="auto"/>
              <w:right w:val="nil"/>
            </w:tcBorders>
          </w:tcPr>
          <w:p w14:paraId="5CD30749" w14:textId="2F3E72DE" w:rsidR="00B45D86" w:rsidRDefault="00B45D86" w:rsidP="00265A5A">
            <w:pPr>
              <w:pStyle w:val="TableText"/>
              <w:spacing w:before="50" w:after="50"/>
            </w:pPr>
            <w:r>
              <w:t>14–20</w:t>
            </w:r>
          </w:p>
        </w:tc>
        <w:tc>
          <w:tcPr>
            <w:tcW w:w="989" w:type="dxa"/>
            <w:tcBorders>
              <w:top w:val="single" w:sz="4" w:space="0" w:color="auto"/>
              <w:left w:val="nil"/>
              <w:bottom w:val="single" w:sz="4" w:space="0" w:color="auto"/>
              <w:right w:val="nil"/>
            </w:tcBorders>
          </w:tcPr>
          <w:p w14:paraId="26CB6DDD" w14:textId="09C972B0" w:rsidR="00B45D86" w:rsidRDefault="00B45D86" w:rsidP="00265A5A">
            <w:pPr>
              <w:pStyle w:val="TableText"/>
              <w:spacing w:before="50" w:after="50"/>
            </w:pPr>
            <w:r w:rsidRPr="00045A29">
              <w:t>NR</w:t>
            </w:r>
          </w:p>
        </w:tc>
        <w:tc>
          <w:tcPr>
            <w:tcW w:w="710" w:type="dxa"/>
            <w:tcBorders>
              <w:top w:val="single" w:sz="4" w:space="0" w:color="auto"/>
              <w:left w:val="nil"/>
              <w:bottom w:val="single" w:sz="4" w:space="0" w:color="auto"/>
              <w:right w:val="nil"/>
            </w:tcBorders>
          </w:tcPr>
          <w:p w14:paraId="654271CD" w14:textId="10417AB8" w:rsidR="00B45D86" w:rsidRDefault="00B45D86" w:rsidP="00265A5A">
            <w:pPr>
              <w:pStyle w:val="TableText"/>
              <w:spacing w:before="50" w:after="50"/>
            </w:pPr>
            <w:r w:rsidRPr="00045A29">
              <w:t>6</w:t>
            </w:r>
          </w:p>
        </w:tc>
        <w:tc>
          <w:tcPr>
            <w:tcW w:w="741" w:type="dxa"/>
            <w:tcBorders>
              <w:top w:val="single" w:sz="4" w:space="0" w:color="auto"/>
              <w:left w:val="nil"/>
              <w:bottom w:val="single" w:sz="4" w:space="0" w:color="auto"/>
              <w:right w:val="nil"/>
            </w:tcBorders>
          </w:tcPr>
          <w:p w14:paraId="4114C05B" w14:textId="3B0DA1D6" w:rsidR="00B45D86" w:rsidRDefault="00B45D86" w:rsidP="00265A5A">
            <w:pPr>
              <w:pStyle w:val="TableText"/>
              <w:spacing w:before="50" w:after="50"/>
            </w:pPr>
            <w:r w:rsidRPr="00045A29">
              <w:t>NR</w:t>
            </w:r>
          </w:p>
        </w:tc>
        <w:tc>
          <w:tcPr>
            <w:tcW w:w="992" w:type="dxa"/>
            <w:tcBorders>
              <w:top w:val="single" w:sz="4" w:space="0" w:color="auto"/>
              <w:left w:val="nil"/>
              <w:bottom w:val="single" w:sz="4" w:space="0" w:color="auto"/>
              <w:right w:val="nil"/>
            </w:tcBorders>
          </w:tcPr>
          <w:p w14:paraId="542438B3" w14:textId="1506630A" w:rsidR="00B45D86" w:rsidRDefault="00B45D86" w:rsidP="00265A5A">
            <w:pPr>
              <w:pStyle w:val="TableText"/>
              <w:spacing w:before="50" w:after="50"/>
            </w:pPr>
            <w:r w:rsidRPr="00045A29">
              <w:t>1</w:t>
            </w:r>
            <w:r>
              <w:t>,</w:t>
            </w:r>
            <w:r w:rsidRPr="00045A29">
              <w:t>000</w:t>
            </w:r>
          </w:p>
        </w:tc>
        <w:tc>
          <w:tcPr>
            <w:tcW w:w="1922" w:type="dxa"/>
            <w:tcBorders>
              <w:top w:val="single" w:sz="4" w:space="0" w:color="auto"/>
              <w:left w:val="nil"/>
              <w:bottom w:val="single" w:sz="4" w:space="0" w:color="auto"/>
              <w:right w:val="nil"/>
            </w:tcBorders>
          </w:tcPr>
          <w:p w14:paraId="0CA01C79" w14:textId="3112375F" w:rsidR="00B45D86" w:rsidRDefault="00B45D86" w:rsidP="00B65E15">
            <w:pPr>
              <w:pStyle w:val="TableText"/>
              <w:spacing w:before="50" w:after="50"/>
            </w:pPr>
            <w:r w:rsidRPr="00045A29">
              <w:t xml:space="preserve">Batty </w:t>
            </w:r>
            <w:r>
              <w:t>and</w:t>
            </w:r>
            <w:r w:rsidRPr="00045A29">
              <w:t xml:space="preserve"> Younger (2002)</w:t>
            </w:r>
          </w:p>
        </w:tc>
      </w:tr>
      <w:tr w:rsidR="008B0BC5" w:rsidRPr="00045A29" w14:paraId="605AEA9E" w14:textId="77777777" w:rsidTr="008B0BC5">
        <w:trPr>
          <w:cantSplit/>
          <w:jc w:val="center"/>
        </w:trPr>
        <w:tc>
          <w:tcPr>
            <w:tcW w:w="1537" w:type="dxa"/>
            <w:tcBorders>
              <w:top w:val="single" w:sz="4" w:space="0" w:color="auto"/>
              <w:left w:val="nil"/>
              <w:bottom w:val="single" w:sz="4" w:space="0" w:color="auto"/>
              <w:right w:val="nil"/>
            </w:tcBorders>
          </w:tcPr>
          <w:p w14:paraId="471ADF63" w14:textId="4D03129F" w:rsidR="00B45D86" w:rsidRDefault="00B45D86" w:rsidP="00B65E15">
            <w:pPr>
              <w:pStyle w:val="TableText"/>
              <w:spacing w:before="50" w:after="50"/>
            </w:pPr>
            <w:r>
              <w:t>Macrophyte (</w:t>
            </w:r>
            <w:r w:rsidRPr="00045A29">
              <w:t>Tracheophyta</w:t>
            </w:r>
            <w:r>
              <w:t>)</w:t>
            </w:r>
          </w:p>
        </w:tc>
        <w:tc>
          <w:tcPr>
            <w:tcW w:w="1417" w:type="dxa"/>
            <w:tcBorders>
              <w:top w:val="single" w:sz="4" w:space="0" w:color="auto"/>
              <w:left w:val="nil"/>
              <w:bottom w:val="single" w:sz="4" w:space="0" w:color="auto"/>
              <w:right w:val="nil"/>
            </w:tcBorders>
          </w:tcPr>
          <w:p w14:paraId="6CF8BCC4" w14:textId="38775A4F" w:rsidR="00B45D86" w:rsidRPr="00FE6B34" w:rsidRDefault="00B45D86" w:rsidP="00B65E15">
            <w:pPr>
              <w:pStyle w:val="TableText"/>
              <w:spacing w:before="50" w:after="50"/>
              <w:rPr>
                <w:rStyle w:val="Emphasis"/>
              </w:rPr>
            </w:pPr>
            <w:r w:rsidRPr="00FE6B34">
              <w:rPr>
                <w:rStyle w:val="Emphasis"/>
              </w:rPr>
              <w:t>Phragmites australis</w:t>
            </w:r>
          </w:p>
        </w:tc>
        <w:tc>
          <w:tcPr>
            <w:tcW w:w="849" w:type="dxa"/>
            <w:tcBorders>
              <w:top w:val="single" w:sz="4" w:space="0" w:color="auto"/>
              <w:left w:val="nil"/>
              <w:bottom w:val="single" w:sz="4" w:space="0" w:color="auto"/>
              <w:right w:val="nil"/>
            </w:tcBorders>
          </w:tcPr>
          <w:p w14:paraId="1D6EA94F" w14:textId="22E30EF5" w:rsidR="00B45D86" w:rsidRPr="00045A29" w:rsidRDefault="00B45D86" w:rsidP="00265A5A">
            <w:pPr>
              <w:pStyle w:val="TableText"/>
              <w:spacing w:before="50" w:after="50"/>
            </w:pPr>
            <w:r w:rsidRPr="00045A29">
              <w:t>Seedling</w:t>
            </w:r>
          </w:p>
        </w:tc>
        <w:tc>
          <w:tcPr>
            <w:tcW w:w="989" w:type="dxa"/>
            <w:tcBorders>
              <w:top w:val="single" w:sz="4" w:space="0" w:color="auto"/>
              <w:left w:val="nil"/>
              <w:bottom w:val="single" w:sz="4" w:space="0" w:color="auto"/>
              <w:right w:val="nil"/>
            </w:tcBorders>
          </w:tcPr>
          <w:p w14:paraId="39620A26" w14:textId="7BC17F81" w:rsidR="00B45D86" w:rsidRPr="00045A29" w:rsidRDefault="00B45D86" w:rsidP="00386786">
            <w:pPr>
              <w:pStyle w:val="TableText"/>
              <w:spacing w:before="50" w:after="50"/>
              <w:ind w:right="284"/>
              <w:jc w:val="right"/>
            </w:pPr>
            <w:r w:rsidRPr="00045A29">
              <w:t>64</w:t>
            </w:r>
          </w:p>
        </w:tc>
        <w:tc>
          <w:tcPr>
            <w:tcW w:w="1559" w:type="dxa"/>
            <w:tcBorders>
              <w:top w:val="single" w:sz="4" w:space="0" w:color="auto"/>
              <w:left w:val="nil"/>
              <w:bottom w:val="single" w:sz="4" w:space="0" w:color="auto"/>
              <w:right w:val="nil"/>
            </w:tcBorders>
          </w:tcPr>
          <w:p w14:paraId="012C3477" w14:textId="49456209" w:rsidR="00B45D86" w:rsidRPr="00045A29" w:rsidRDefault="00B45D86" w:rsidP="00265A5A">
            <w:pPr>
              <w:pStyle w:val="TableText"/>
              <w:spacing w:before="50" w:after="50"/>
            </w:pPr>
            <w:r w:rsidRPr="00045A29">
              <w:t>NOEC (</w:t>
            </w:r>
            <w:r>
              <w:t>g</w:t>
            </w:r>
            <w:r w:rsidRPr="00045A29">
              <w:t>rowth, (root:shoot ratio)</w:t>
            </w:r>
          </w:p>
        </w:tc>
        <w:tc>
          <w:tcPr>
            <w:tcW w:w="1277" w:type="dxa"/>
            <w:tcBorders>
              <w:top w:val="single" w:sz="4" w:space="0" w:color="auto"/>
              <w:left w:val="nil"/>
              <w:bottom w:val="single" w:sz="4" w:space="0" w:color="auto"/>
              <w:right w:val="nil"/>
            </w:tcBorders>
          </w:tcPr>
          <w:p w14:paraId="17E578D9" w14:textId="05CEDBF3" w:rsidR="00B45D86" w:rsidRDefault="00B45D86" w:rsidP="00265A5A">
            <w:pPr>
              <w:pStyle w:val="TableText"/>
              <w:spacing w:before="50" w:after="50"/>
            </w:pPr>
            <w:r w:rsidRPr="00045A29">
              <w:t>10% Rorison</w:t>
            </w:r>
            <w:r>
              <w:t>’</w:t>
            </w:r>
            <w:r w:rsidRPr="00045A29">
              <w:t>s solution</w:t>
            </w:r>
          </w:p>
        </w:tc>
        <w:tc>
          <w:tcPr>
            <w:tcW w:w="989" w:type="dxa"/>
            <w:tcBorders>
              <w:top w:val="single" w:sz="4" w:space="0" w:color="auto"/>
              <w:left w:val="nil"/>
              <w:bottom w:val="single" w:sz="4" w:space="0" w:color="auto"/>
              <w:right w:val="nil"/>
            </w:tcBorders>
          </w:tcPr>
          <w:p w14:paraId="5959D87A" w14:textId="6BD8A33C" w:rsidR="00B45D86" w:rsidRDefault="00B45D86" w:rsidP="00265A5A">
            <w:pPr>
              <w:pStyle w:val="TableText"/>
              <w:spacing w:before="50" w:after="50"/>
            </w:pPr>
            <w:r>
              <w:t>14–20</w:t>
            </w:r>
          </w:p>
        </w:tc>
        <w:tc>
          <w:tcPr>
            <w:tcW w:w="989" w:type="dxa"/>
            <w:tcBorders>
              <w:top w:val="single" w:sz="4" w:space="0" w:color="auto"/>
              <w:left w:val="nil"/>
              <w:bottom w:val="single" w:sz="4" w:space="0" w:color="auto"/>
              <w:right w:val="nil"/>
            </w:tcBorders>
          </w:tcPr>
          <w:p w14:paraId="66D295C6" w14:textId="70FB2A35" w:rsidR="00B45D86" w:rsidRDefault="00B45D86" w:rsidP="00265A5A">
            <w:pPr>
              <w:pStyle w:val="TableText"/>
              <w:spacing w:before="50" w:after="50"/>
            </w:pPr>
            <w:r w:rsidRPr="00045A29">
              <w:t>NR</w:t>
            </w:r>
          </w:p>
        </w:tc>
        <w:tc>
          <w:tcPr>
            <w:tcW w:w="710" w:type="dxa"/>
            <w:tcBorders>
              <w:top w:val="single" w:sz="4" w:space="0" w:color="auto"/>
              <w:left w:val="nil"/>
              <w:bottom w:val="single" w:sz="4" w:space="0" w:color="auto"/>
              <w:right w:val="nil"/>
            </w:tcBorders>
          </w:tcPr>
          <w:p w14:paraId="37C8C02C" w14:textId="6E8F255E" w:rsidR="00B45D86" w:rsidRDefault="00B45D86" w:rsidP="00265A5A">
            <w:pPr>
              <w:pStyle w:val="TableText"/>
              <w:spacing w:before="50" w:after="50"/>
            </w:pPr>
            <w:r w:rsidRPr="00045A29">
              <w:t>6</w:t>
            </w:r>
          </w:p>
        </w:tc>
        <w:tc>
          <w:tcPr>
            <w:tcW w:w="741" w:type="dxa"/>
            <w:tcBorders>
              <w:top w:val="single" w:sz="4" w:space="0" w:color="auto"/>
              <w:left w:val="nil"/>
              <w:bottom w:val="single" w:sz="4" w:space="0" w:color="auto"/>
              <w:right w:val="nil"/>
            </w:tcBorders>
          </w:tcPr>
          <w:p w14:paraId="2B811966" w14:textId="04997991" w:rsidR="00B45D86" w:rsidRDefault="00B45D86" w:rsidP="00265A5A">
            <w:pPr>
              <w:pStyle w:val="TableText"/>
              <w:spacing w:before="50" w:after="50"/>
            </w:pPr>
            <w:r w:rsidRPr="00045A29">
              <w:t>NR</w:t>
            </w:r>
          </w:p>
        </w:tc>
        <w:tc>
          <w:tcPr>
            <w:tcW w:w="992" w:type="dxa"/>
            <w:tcBorders>
              <w:top w:val="single" w:sz="4" w:space="0" w:color="auto"/>
              <w:left w:val="nil"/>
              <w:bottom w:val="single" w:sz="4" w:space="0" w:color="auto"/>
              <w:right w:val="nil"/>
            </w:tcBorders>
          </w:tcPr>
          <w:p w14:paraId="12B8277D" w14:textId="0ED9713E" w:rsidR="00B45D86" w:rsidRDefault="00B45D86" w:rsidP="00265A5A">
            <w:pPr>
              <w:pStyle w:val="TableText"/>
              <w:spacing w:before="50" w:after="50"/>
            </w:pPr>
            <w:r w:rsidRPr="00045A29">
              <w:t>1</w:t>
            </w:r>
            <w:r>
              <w:t>,</w:t>
            </w:r>
            <w:r w:rsidRPr="00045A29">
              <w:t>000</w:t>
            </w:r>
          </w:p>
        </w:tc>
        <w:tc>
          <w:tcPr>
            <w:tcW w:w="1922" w:type="dxa"/>
            <w:tcBorders>
              <w:top w:val="single" w:sz="4" w:space="0" w:color="auto"/>
              <w:left w:val="nil"/>
              <w:bottom w:val="single" w:sz="4" w:space="0" w:color="auto"/>
              <w:right w:val="nil"/>
            </w:tcBorders>
          </w:tcPr>
          <w:p w14:paraId="3DCF9A30" w14:textId="46DA0887" w:rsidR="00B45D86" w:rsidRDefault="00B45D86" w:rsidP="00B65E15">
            <w:pPr>
              <w:pStyle w:val="TableText"/>
              <w:spacing w:before="50" w:after="50"/>
            </w:pPr>
            <w:r w:rsidRPr="00045A29">
              <w:t xml:space="preserve">Batty </w:t>
            </w:r>
            <w:r>
              <w:t>and</w:t>
            </w:r>
            <w:r w:rsidRPr="00045A29">
              <w:t xml:space="preserve"> Younger (2002)</w:t>
            </w:r>
          </w:p>
        </w:tc>
      </w:tr>
      <w:tr w:rsidR="008B0BC5" w:rsidRPr="00045A29" w14:paraId="0E352DF8" w14:textId="77777777" w:rsidTr="008B0BC5">
        <w:trPr>
          <w:cantSplit/>
          <w:jc w:val="center"/>
        </w:trPr>
        <w:tc>
          <w:tcPr>
            <w:tcW w:w="1537" w:type="dxa"/>
            <w:tcBorders>
              <w:top w:val="single" w:sz="4" w:space="0" w:color="auto"/>
              <w:left w:val="nil"/>
              <w:bottom w:val="single" w:sz="4" w:space="0" w:color="auto"/>
              <w:right w:val="nil"/>
            </w:tcBorders>
          </w:tcPr>
          <w:p w14:paraId="38253AD0" w14:textId="3EED4D5B" w:rsidR="00B45D86" w:rsidRDefault="00B45D86" w:rsidP="00B65E15">
            <w:pPr>
              <w:pStyle w:val="TableText"/>
              <w:spacing w:before="50" w:after="50"/>
            </w:pPr>
            <w:r>
              <w:t>Rotifer</w:t>
            </w:r>
          </w:p>
        </w:tc>
        <w:tc>
          <w:tcPr>
            <w:tcW w:w="1417" w:type="dxa"/>
            <w:tcBorders>
              <w:top w:val="single" w:sz="4" w:space="0" w:color="auto"/>
              <w:left w:val="nil"/>
              <w:bottom w:val="single" w:sz="4" w:space="0" w:color="auto"/>
              <w:right w:val="nil"/>
            </w:tcBorders>
          </w:tcPr>
          <w:p w14:paraId="074E1EE6" w14:textId="27168065" w:rsidR="00B45D86" w:rsidRPr="00FE6B34" w:rsidRDefault="00B45D86" w:rsidP="00B65E15">
            <w:pPr>
              <w:pStyle w:val="TableText"/>
              <w:spacing w:before="50" w:after="50"/>
              <w:rPr>
                <w:rStyle w:val="Emphasis"/>
              </w:rPr>
            </w:pPr>
            <w:r>
              <w:rPr>
                <w:i/>
                <w:iCs/>
              </w:rPr>
              <w:t>Euchlanis dilitata</w:t>
            </w:r>
          </w:p>
        </w:tc>
        <w:tc>
          <w:tcPr>
            <w:tcW w:w="849" w:type="dxa"/>
            <w:tcBorders>
              <w:top w:val="single" w:sz="4" w:space="0" w:color="auto"/>
              <w:left w:val="nil"/>
              <w:bottom w:val="single" w:sz="4" w:space="0" w:color="auto"/>
              <w:right w:val="nil"/>
            </w:tcBorders>
          </w:tcPr>
          <w:p w14:paraId="5B040F28" w14:textId="25486A06" w:rsidR="00B45D86" w:rsidRPr="00045A29" w:rsidRDefault="00B45D86" w:rsidP="00265A5A">
            <w:pPr>
              <w:pStyle w:val="TableText"/>
              <w:spacing w:before="50" w:after="50"/>
            </w:pPr>
            <w:r>
              <w:t>Neonate</w:t>
            </w:r>
          </w:p>
        </w:tc>
        <w:tc>
          <w:tcPr>
            <w:tcW w:w="989" w:type="dxa"/>
            <w:tcBorders>
              <w:top w:val="single" w:sz="4" w:space="0" w:color="auto"/>
              <w:left w:val="nil"/>
              <w:bottom w:val="single" w:sz="4" w:space="0" w:color="auto"/>
              <w:right w:val="nil"/>
            </w:tcBorders>
          </w:tcPr>
          <w:p w14:paraId="45C654D0" w14:textId="66183F05" w:rsidR="00B45D86" w:rsidRPr="00045A29" w:rsidRDefault="00B45D86" w:rsidP="00386786">
            <w:pPr>
              <w:pStyle w:val="TableText"/>
              <w:spacing w:before="50" w:after="50"/>
              <w:ind w:right="284"/>
              <w:jc w:val="right"/>
            </w:pPr>
            <w:r>
              <w:t>5</w:t>
            </w:r>
          </w:p>
        </w:tc>
        <w:tc>
          <w:tcPr>
            <w:tcW w:w="1559" w:type="dxa"/>
            <w:tcBorders>
              <w:top w:val="single" w:sz="4" w:space="0" w:color="auto"/>
              <w:left w:val="nil"/>
              <w:bottom w:val="single" w:sz="4" w:space="0" w:color="auto"/>
              <w:right w:val="nil"/>
            </w:tcBorders>
          </w:tcPr>
          <w:p w14:paraId="64B07CE3" w14:textId="4B3690A9" w:rsidR="00B45D86" w:rsidRPr="00045A29" w:rsidRDefault="00B45D86" w:rsidP="00265A5A">
            <w:pPr>
              <w:pStyle w:val="TableText"/>
              <w:spacing w:before="50" w:after="50"/>
            </w:pPr>
            <w:r>
              <w:t>LC10 (reproduction</w:t>
            </w:r>
          </w:p>
        </w:tc>
        <w:tc>
          <w:tcPr>
            <w:tcW w:w="1277" w:type="dxa"/>
            <w:tcBorders>
              <w:top w:val="single" w:sz="4" w:space="0" w:color="auto"/>
              <w:left w:val="nil"/>
              <w:bottom w:val="single" w:sz="4" w:space="0" w:color="auto"/>
              <w:right w:val="nil"/>
            </w:tcBorders>
          </w:tcPr>
          <w:p w14:paraId="61B3FBAF" w14:textId="0758882D" w:rsidR="00B45D86" w:rsidRDefault="00B45D86" w:rsidP="00265A5A">
            <w:pPr>
              <w:pStyle w:val="TableText"/>
              <w:spacing w:before="50" w:after="50"/>
            </w:pPr>
            <w:r>
              <w:t>Moderately hard water</w:t>
            </w:r>
          </w:p>
        </w:tc>
        <w:tc>
          <w:tcPr>
            <w:tcW w:w="989" w:type="dxa"/>
            <w:tcBorders>
              <w:top w:val="single" w:sz="4" w:space="0" w:color="auto"/>
              <w:left w:val="nil"/>
              <w:bottom w:val="single" w:sz="4" w:space="0" w:color="auto"/>
              <w:right w:val="nil"/>
            </w:tcBorders>
          </w:tcPr>
          <w:p w14:paraId="50CB6601" w14:textId="6A6CE596" w:rsidR="00B45D86"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261510C0" w14:textId="6EB09104" w:rsidR="00B45D86" w:rsidRDefault="00B45D86" w:rsidP="00265A5A">
            <w:pPr>
              <w:pStyle w:val="TableText"/>
              <w:spacing w:before="50" w:after="50"/>
            </w:pPr>
            <w:r>
              <w:t>80-100</w:t>
            </w:r>
          </w:p>
        </w:tc>
        <w:tc>
          <w:tcPr>
            <w:tcW w:w="710" w:type="dxa"/>
            <w:tcBorders>
              <w:top w:val="single" w:sz="4" w:space="0" w:color="auto"/>
              <w:left w:val="nil"/>
              <w:bottom w:val="single" w:sz="4" w:space="0" w:color="auto"/>
              <w:right w:val="nil"/>
            </w:tcBorders>
          </w:tcPr>
          <w:p w14:paraId="11306E2B" w14:textId="06B84B61" w:rsidR="00B45D86" w:rsidRDefault="00B45D86" w:rsidP="00265A5A">
            <w:pPr>
              <w:pStyle w:val="TableText"/>
              <w:spacing w:before="50" w:after="50"/>
            </w:pPr>
            <w:r>
              <w:t>7.5</w:t>
            </w:r>
          </w:p>
        </w:tc>
        <w:tc>
          <w:tcPr>
            <w:tcW w:w="741" w:type="dxa"/>
            <w:tcBorders>
              <w:top w:val="single" w:sz="4" w:space="0" w:color="auto"/>
              <w:left w:val="nil"/>
              <w:bottom w:val="single" w:sz="4" w:space="0" w:color="auto"/>
              <w:right w:val="nil"/>
            </w:tcBorders>
          </w:tcPr>
          <w:p w14:paraId="09FF27FD" w14:textId="0A0BFECB" w:rsidR="00B45D86" w:rsidRDefault="00E75A0E" w:rsidP="00265A5A">
            <w:pPr>
              <w:pStyle w:val="TableText"/>
              <w:spacing w:before="50" w:after="50"/>
            </w:pPr>
            <w:r>
              <w:t>—</w:t>
            </w:r>
          </w:p>
        </w:tc>
        <w:tc>
          <w:tcPr>
            <w:tcW w:w="992" w:type="dxa"/>
            <w:tcBorders>
              <w:top w:val="single" w:sz="4" w:space="0" w:color="auto"/>
              <w:left w:val="nil"/>
              <w:bottom w:val="single" w:sz="4" w:space="0" w:color="auto"/>
              <w:right w:val="nil"/>
            </w:tcBorders>
          </w:tcPr>
          <w:p w14:paraId="1CADC983" w14:textId="6730848E" w:rsidR="00B45D86" w:rsidRDefault="00B45D86" w:rsidP="00265A5A">
            <w:pPr>
              <w:pStyle w:val="TableText"/>
              <w:spacing w:before="50" w:after="50"/>
            </w:pPr>
            <w:r>
              <w:t>957</w:t>
            </w:r>
          </w:p>
        </w:tc>
        <w:tc>
          <w:tcPr>
            <w:tcW w:w="1922" w:type="dxa"/>
            <w:tcBorders>
              <w:top w:val="single" w:sz="4" w:space="0" w:color="auto"/>
              <w:left w:val="nil"/>
              <w:bottom w:val="single" w:sz="4" w:space="0" w:color="auto"/>
              <w:right w:val="nil"/>
            </w:tcBorders>
          </w:tcPr>
          <w:p w14:paraId="52186DB2" w14:textId="4B5A1DE4" w:rsidR="00B45D86" w:rsidRDefault="00B45D86" w:rsidP="00B65E15">
            <w:pPr>
              <w:pStyle w:val="TableText"/>
              <w:spacing w:before="50" w:after="50"/>
            </w:pPr>
            <w:r>
              <w:t>Hernandez-Flores et al. (2020)</w:t>
            </w:r>
          </w:p>
        </w:tc>
      </w:tr>
      <w:tr w:rsidR="008B0BC5" w:rsidRPr="00045A29" w14:paraId="311347EC" w14:textId="77777777" w:rsidTr="008B0BC5">
        <w:trPr>
          <w:cantSplit/>
          <w:jc w:val="center"/>
        </w:trPr>
        <w:tc>
          <w:tcPr>
            <w:tcW w:w="1537" w:type="dxa"/>
            <w:tcBorders>
              <w:top w:val="single" w:sz="4" w:space="0" w:color="auto"/>
              <w:left w:val="nil"/>
              <w:bottom w:val="single" w:sz="4" w:space="0" w:color="auto"/>
              <w:right w:val="nil"/>
            </w:tcBorders>
          </w:tcPr>
          <w:p w14:paraId="62FC83AC" w14:textId="29FE0CE2" w:rsidR="00B45D86" w:rsidRDefault="00B45D86" w:rsidP="00B65E15">
            <w:pPr>
              <w:pStyle w:val="TableText"/>
              <w:spacing w:before="50" w:after="50"/>
            </w:pPr>
            <w:r>
              <w:t>Annelid (Annelida)</w:t>
            </w:r>
          </w:p>
        </w:tc>
        <w:tc>
          <w:tcPr>
            <w:tcW w:w="1417" w:type="dxa"/>
            <w:tcBorders>
              <w:top w:val="single" w:sz="4" w:space="0" w:color="auto"/>
              <w:left w:val="nil"/>
              <w:bottom w:val="single" w:sz="4" w:space="0" w:color="auto"/>
              <w:right w:val="nil"/>
            </w:tcBorders>
          </w:tcPr>
          <w:p w14:paraId="0C54420B" w14:textId="25E5DE55" w:rsidR="00B45D86" w:rsidRPr="00FE6B34" w:rsidRDefault="00B45D86" w:rsidP="00B65E15">
            <w:pPr>
              <w:pStyle w:val="TableText"/>
              <w:spacing w:before="50" w:after="50"/>
              <w:rPr>
                <w:rStyle w:val="Emphasis"/>
              </w:rPr>
            </w:pPr>
            <w:r>
              <w:rPr>
                <w:rStyle w:val="Emphasis"/>
              </w:rPr>
              <w:t>Lumbriculus variegatis</w:t>
            </w:r>
          </w:p>
        </w:tc>
        <w:tc>
          <w:tcPr>
            <w:tcW w:w="849" w:type="dxa"/>
            <w:tcBorders>
              <w:top w:val="single" w:sz="4" w:space="0" w:color="auto"/>
              <w:left w:val="nil"/>
              <w:bottom w:val="single" w:sz="4" w:space="0" w:color="auto"/>
              <w:right w:val="nil"/>
            </w:tcBorders>
          </w:tcPr>
          <w:p w14:paraId="17764A55" w14:textId="7E8F26C3" w:rsidR="00B45D86" w:rsidRPr="00045A29" w:rsidRDefault="00B45D86" w:rsidP="00265A5A">
            <w:pPr>
              <w:pStyle w:val="TableText"/>
              <w:spacing w:before="50" w:after="50"/>
            </w:pPr>
            <w:r>
              <w:t>Adult</w:t>
            </w:r>
          </w:p>
        </w:tc>
        <w:tc>
          <w:tcPr>
            <w:tcW w:w="989" w:type="dxa"/>
            <w:tcBorders>
              <w:top w:val="single" w:sz="4" w:space="0" w:color="auto"/>
              <w:left w:val="nil"/>
              <w:bottom w:val="single" w:sz="4" w:space="0" w:color="auto"/>
              <w:right w:val="nil"/>
            </w:tcBorders>
          </w:tcPr>
          <w:p w14:paraId="300E6A68" w14:textId="54CEF668" w:rsidR="00B45D86" w:rsidRPr="00045A29" w:rsidRDefault="00B45D86" w:rsidP="00386786">
            <w:pPr>
              <w:pStyle w:val="TableText"/>
              <w:spacing w:before="50" w:after="50"/>
              <w:ind w:right="284"/>
              <w:jc w:val="right"/>
            </w:pPr>
            <w:r>
              <w:t>35</w:t>
            </w:r>
          </w:p>
        </w:tc>
        <w:tc>
          <w:tcPr>
            <w:tcW w:w="1559" w:type="dxa"/>
            <w:tcBorders>
              <w:top w:val="single" w:sz="4" w:space="0" w:color="auto"/>
              <w:left w:val="nil"/>
              <w:bottom w:val="single" w:sz="4" w:space="0" w:color="auto"/>
              <w:right w:val="nil"/>
            </w:tcBorders>
          </w:tcPr>
          <w:p w14:paraId="3414F538" w14:textId="22CFDF75" w:rsidR="00B45D86" w:rsidRPr="00045A29" w:rsidRDefault="00B45D86" w:rsidP="00265A5A">
            <w:pPr>
              <w:pStyle w:val="TableText"/>
              <w:spacing w:before="50" w:after="50"/>
            </w:pPr>
            <w:r>
              <w:t>EC10 (reproduction)</w:t>
            </w:r>
          </w:p>
        </w:tc>
        <w:tc>
          <w:tcPr>
            <w:tcW w:w="1277" w:type="dxa"/>
            <w:tcBorders>
              <w:top w:val="single" w:sz="4" w:space="0" w:color="auto"/>
              <w:left w:val="nil"/>
              <w:bottom w:val="single" w:sz="4" w:space="0" w:color="auto"/>
              <w:right w:val="nil"/>
            </w:tcBorders>
          </w:tcPr>
          <w:p w14:paraId="23102C3A" w14:textId="1BBC3FA8" w:rsidR="00B45D86" w:rsidRDefault="00B45D86" w:rsidP="00265A5A">
            <w:pPr>
              <w:pStyle w:val="TableText"/>
              <w:spacing w:before="50" w:after="50"/>
            </w:pPr>
            <w:r>
              <w:t>Dechlorinated tap water</w:t>
            </w:r>
          </w:p>
        </w:tc>
        <w:tc>
          <w:tcPr>
            <w:tcW w:w="989" w:type="dxa"/>
            <w:tcBorders>
              <w:top w:val="single" w:sz="4" w:space="0" w:color="auto"/>
              <w:left w:val="nil"/>
              <w:bottom w:val="single" w:sz="4" w:space="0" w:color="auto"/>
              <w:right w:val="nil"/>
            </w:tcBorders>
          </w:tcPr>
          <w:p w14:paraId="3E7D8077" w14:textId="1FE2D3B2" w:rsidR="00B45D86" w:rsidRDefault="00B45D86" w:rsidP="00265A5A">
            <w:pPr>
              <w:pStyle w:val="TableText"/>
              <w:spacing w:before="50" w:after="50"/>
            </w:pPr>
            <w:r>
              <w:t>22</w:t>
            </w:r>
          </w:p>
        </w:tc>
        <w:tc>
          <w:tcPr>
            <w:tcW w:w="989" w:type="dxa"/>
            <w:tcBorders>
              <w:top w:val="single" w:sz="4" w:space="0" w:color="auto"/>
              <w:left w:val="nil"/>
              <w:bottom w:val="single" w:sz="4" w:space="0" w:color="auto"/>
              <w:right w:val="nil"/>
            </w:tcBorders>
          </w:tcPr>
          <w:p w14:paraId="6FB63570" w14:textId="5BE007F6" w:rsidR="00B45D86" w:rsidRDefault="00B45D86" w:rsidP="00265A5A">
            <w:pPr>
              <w:pStyle w:val="TableText"/>
              <w:spacing w:before="50" w:after="50"/>
            </w:pPr>
            <w:r>
              <w:t>44</w:t>
            </w:r>
          </w:p>
        </w:tc>
        <w:tc>
          <w:tcPr>
            <w:tcW w:w="710" w:type="dxa"/>
            <w:tcBorders>
              <w:top w:val="single" w:sz="4" w:space="0" w:color="auto"/>
              <w:left w:val="nil"/>
              <w:bottom w:val="single" w:sz="4" w:space="0" w:color="auto"/>
              <w:right w:val="nil"/>
            </w:tcBorders>
          </w:tcPr>
          <w:p w14:paraId="3C2CEC38" w14:textId="3C9E6054" w:rsidR="00B45D86" w:rsidRDefault="00B45D86" w:rsidP="00265A5A">
            <w:pPr>
              <w:pStyle w:val="TableText"/>
              <w:spacing w:before="50" w:after="50"/>
            </w:pPr>
            <w:r>
              <w:t>7.9</w:t>
            </w:r>
          </w:p>
        </w:tc>
        <w:tc>
          <w:tcPr>
            <w:tcW w:w="741" w:type="dxa"/>
            <w:tcBorders>
              <w:top w:val="single" w:sz="4" w:space="0" w:color="auto"/>
              <w:left w:val="nil"/>
              <w:bottom w:val="single" w:sz="4" w:space="0" w:color="auto"/>
              <w:right w:val="nil"/>
            </w:tcBorders>
          </w:tcPr>
          <w:p w14:paraId="226EF4CA" w14:textId="22E248F0" w:rsidR="00B45D86" w:rsidRDefault="00B45D86" w:rsidP="00265A5A">
            <w:pPr>
              <w:pStyle w:val="TableText"/>
              <w:spacing w:before="50" w:after="50"/>
            </w:pPr>
            <w:r>
              <w:t>—</w:t>
            </w:r>
          </w:p>
        </w:tc>
        <w:tc>
          <w:tcPr>
            <w:tcW w:w="992" w:type="dxa"/>
            <w:tcBorders>
              <w:top w:val="single" w:sz="4" w:space="0" w:color="auto"/>
              <w:left w:val="nil"/>
              <w:bottom w:val="single" w:sz="4" w:space="0" w:color="auto"/>
              <w:right w:val="nil"/>
            </w:tcBorders>
          </w:tcPr>
          <w:p w14:paraId="15B1B80F" w14:textId="5E14F188" w:rsidR="00B45D86" w:rsidRDefault="00B45D86" w:rsidP="00265A5A">
            <w:pPr>
              <w:pStyle w:val="TableText"/>
              <w:spacing w:before="50" w:after="50"/>
            </w:pPr>
            <w:r>
              <w:t>470</w:t>
            </w:r>
          </w:p>
        </w:tc>
        <w:tc>
          <w:tcPr>
            <w:tcW w:w="1922" w:type="dxa"/>
            <w:tcBorders>
              <w:top w:val="single" w:sz="4" w:space="0" w:color="auto"/>
              <w:left w:val="nil"/>
              <w:bottom w:val="single" w:sz="4" w:space="0" w:color="auto"/>
              <w:right w:val="nil"/>
            </w:tcBorders>
          </w:tcPr>
          <w:p w14:paraId="5DEEE6A6" w14:textId="6482E025" w:rsidR="00B45D86" w:rsidRDefault="00B45D86" w:rsidP="00B65E15">
            <w:pPr>
              <w:pStyle w:val="TableText"/>
              <w:spacing w:before="50" w:after="50"/>
            </w:pPr>
            <w:r>
              <w:t>Cadmus et al. (2018a)</w:t>
            </w:r>
          </w:p>
        </w:tc>
      </w:tr>
      <w:tr w:rsidR="008B0BC5" w:rsidRPr="00045A29" w14:paraId="4F58E1CD" w14:textId="77777777" w:rsidTr="008B0BC5">
        <w:trPr>
          <w:cantSplit/>
          <w:jc w:val="center"/>
        </w:trPr>
        <w:tc>
          <w:tcPr>
            <w:tcW w:w="1537" w:type="dxa"/>
            <w:tcBorders>
              <w:top w:val="single" w:sz="4" w:space="0" w:color="auto"/>
              <w:left w:val="nil"/>
              <w:bottom w:val="single" w:sz="4" w:space="0" w:color="auto"/>
              <w:right w:val="nil"/>
            </w:tcBorders>
          </w:tcPr>
          <w:p w14:paraId="7EAD8E55" w14:textId="5707A1F4" w:rsidR="00B45D86" w:rsidRDefault="00B45D86" w:rsidP="00B65E15">
            <w:pPr>
              <w:pStyle w:val="TableText"/>
              <w:spacing w:before="50" w:after="50"/>
            </w:pPr>
            <w:r>
              <w:t>Planarian (Platyhelminthes)</w:t>
            </w:r>
          </w:p>
        </w:tc>
        <w:tc>
          <w:tcPr>
            <w:tcW w:w="1417" w:type="dxa"/>
            <w:tcBorders>
              <w:top w:val="single" w:sz="4" w:space="0" w:color="auto"/>
              <w:left w:val="nil"/>
              <w:bottom w:val="single" w:sz="4" w:space="0" w:color="auto"/>
              <w:right w:val="nil"/>
            </w:tcBorders>
          </w:tcPr>
          <w:p w14:paraId="633A5AA6" w14:textId="129FAD52" w:rsidR="00B45D86" w:rsidRPr="00FE6B34" w:rsidRDefault="00B45D86" w:rsidP="00B65E15">
            <w:pPr>
              <w:pStyle w:val="TableText"/>
              <w:spacing w:before="50" w:after="50"/>
              <w:rPr>
                <w:rStyle w:val="Emphasis"/>
              </w:rPr>
            </w:pPr>
            <w:r>
              <w:rPr>
                <w:i/>
                <w:iCs/>
              </w:rPr>
              <w:t>Dugesia dorotocephala</w:t>
            </w:r>
          </w:p>
        </w:tc>
        <w:tc>
          <w:tcPr>
            <w:tcW w:w="849" w:type="dxa"/>
            <w:tcBorders>
              <w:top w:val="single" w:sz="4" w:space="0" w:color="auto"/>
              <w:left w:val="nil"/>
              <w:bottom w:val="single" w:sz="4" w:space="0" w:color="auto"/>
              <w:right w:val="nil"/>
            </w:tcBorders>
          </w:tcPr>
          <w:p w14:paraId="50B4713D" w14:textId="77777777" w:rsidR="00B45D86" w:rsidRPr="00045A29" w:rsidRDefault="00B45D86" w:rsidP="00265A5A">
            <w:pPr>
              <w:pStyle w:val="TableText"/>
              <w:spacing w:before="50" w:after="50"/>
            </w:pPr>
          </w:p>
        </w:tc>
        <w:tc>
          <w:tcPr>
            <w:tcW w:w="989" w:type="dxa"/>
            <w:tcBorders>
              <w:top w:val="single" w:sz="4" w:space="0" w:color="auto"/>
              <w:left w:val="nil"/>
              <w:bottom w:val="single" w:sz="4" w:space="0" w:color="auto"/>
              <w:right w:val="nil"/>
            </w:tcBorders>
          </w:tcPr>
          <w:p w14:paraId="35691052" w14:textId="12C8D452" w:rsidR="00B45D86" w:rsidRPr="00045A29" w:rsidRDefault="00B45D86" w:rsidP="00386786">
            <w:pPr>
              <w:pStyle w:val="TableText"/>
              <w:spacing w:before="50" w:after="50"/>
              <w:ind w:right="284"/>
              <w:jc w:val="right"/>
            </w:pPr>
            <w:r>
              <w:t>30</w:t>
            </w:r>
          </w:p>
        </w:tc>
        <w:tc>
          <w:tcPr>
            <w:tcW w:w="1559" w:type="dxa"/>
            <w:tcBorders>
              <w:top w:val="single" w:sz="4" w:space="0" w:color="auto"/>
              <w:left w:val="nil"/>
              <w:bottom w:val="single" w:sz="4" w:space="0" w:color="auto"/>
              <w:right w:val="nil"/>
            </w:tcBorders>
          </w:tcPr>
          <w:p w14:paraId="3D861ABE" w14:textId="77777777" w:rsidR="00B45D86" w:rsidRDefault="00B45D86" w:rsidP="00265A5A">
            <w:pPr>
              <w:pStyle w:val="TableText"/>
              <w:spacing w:before="50" w:after="50"/>
            </w:pPr>
            <w:r>
              <w:t>EC10</w:t>
            </w:r>
          </w:p>
          <w:p w14:paraId="1AA3E77E" w14:textId="5CBCB367" w:rsidR="00B45D86" w:rsidRPr="00045A29" w:rsidRDefault="00B45D86" w:rsidP="00265A5A">
            <w:pPr>
              <w:pStyle w:val="TableText"/>
              <w:spacing w:before="50" w:after="50"/>
            </w:pPr>
            <w:r>
              <w:t>(growth)</w:t>
            </w:r>
          </w:p>
        </w:tc>
        <w:tc>
          <w:tcPr>
            <w:tcW w:w="1277" w:type="dxa"/>
            <w:tcBorders>
              <w:top w:val="single" w:sz="4" w:space="0" w:color="auto"/>
              <w:left w:val="nil"/>
              <w:bottom w:val="single" w:sz="4" w:space="0" w:color="auto"/>
              <w:right w:val="nil"/>
            </w:tcBorders>
          </w:tcPr>
          <w:p w14:paraId="1CF48E1D" w14:textId="4E3B6217" w:rsidR="00B45D86" w:rsidRDefault="00B45D86" w:rsidP="00265A5A">
            <w:pPr>
              <w:pStyle w:val="TableText"/>
              <w:spacing w:before="50" w:after="50"/>
            </w:pPr>
            <w:r>
              <w:t>Dechlorinated tap water</w:t>
            </w:r>
          </w:p>
        </w:tc>
        <w:tc>
          <w:tcPr>
            <w:tcW w:w="989" w:type="dxa"/>
            <w:tcBorders>
              <w:top w:val="single" w:sz="4" w:space="0" w:color="auto"/>
              <w:left w:val="nil"/>
              <w:bottom w:val="single" w:sz="4" w:space="0" w:color="auto"/>
              <w:right w:val="nil"/>
            </w:tcBorders>
          </w:tcPr>
          <w:p w14:paraId="6CFCB0FE" w14:textId="572EE6DE" w:rsidR="00B45D86" w:rsidRDefault="00B45D86" w:rsidP="00265A5A">
            <w:pPr>
              <w:pStyle w:val="TableText"/>
              <w:spacing w:before="50" w:after="50"/>
            </w:pPr>
            <w:r>
              <w:t>22.6</w:t>
            </w:r>
          </w:p>
        </w:tc>
        <w:tc>
          <w:tcPr>
            <w:tcW w:w="989" w:type="dxa"/>
            <w:tcBorders>
              <w:top w:val="single" w:sz="4" w:space="0" w:color="auto"/>
              <w:left w:val="nil"/>
              <w:bottom w:val="single" w:sz="4" w:space="0" w:color="auto"/>
              <w:right w:val="nil"/>
            </w:tcBorders>
          </w:tcPr>
          <w:p w14:paraId="351F04E6" w14:textId="3D5BBCAC" w:rsidR="00B45D86" w:rsidRDefault="00B45D86" w:rsidP="00265A5A">
            <w:pPr>
              <w:pStyle w:val="TableText"/>
              <w:spacing w:before="50" w:after="50"/>
            </w:pPr>
            <w:r>
              <w:t>44</w:t>
            </w:r>
          </w:p>
        </w:tc>
        <w:tc>
          <w:tcPr>
            <w:tcW w:w="710" w:type="dxa"/>
            <w:tcBorders>
              <w:top w:val="single" w:sz="4" w:space="0" w:color="auto"/>
              <w:left w:val="nil"/>
              <w:bottom w:val="single" w:sz="4" w:space="0" w:color="auto"/>
              <w:right w:val="nil"/>
            </w:tcBorders>
          </w:tcPr>
          <w:p w14:paraId="020BB25E" w14:textId="0361ED27" w:rsidR="00B45D86" w:rsidRDefault="00B45D86" w:rsidP="00265A5A">
            <w:pPr>
              <w:pStyle w:val="TableText"/>
              <w:spacing w:before="50" w:after="50"/>
            </w:pPr>
            <w:r>
              <w:t>7.2</w:t>
            </w:r>
          </w:p>
        </w:tc>
        <w:tc>
          <w:tcPr>
            <w:tcW w:w="741" w:type="dxa"/>
            <w:tcBorders>
              <w:top w:val="single" w:sz="4" w:space="0" w:color="auto"/>
              <w:left w:val="nil"/>
              <w:bottom w:val="single" w:sz="4" w:space="0" w:color="auto"/>
              <w:right w:val="nil"/>
            </w:tcBorders>
          </w:tcPr>
          <w:p w14:paraId="15C66637" w14:textId="5ED39C66" w:rsidR="00B45D86" w:rsidRDefault="00B45D86" w:rsidP="00265A5A">
            <w:pPr>
              <w:pStyle w:val="TableText"/>
              <w:spacing w:before="50" w:after="50"/>
            </w:pPr>
            <w:r>
              <w:t>1.9</w:t>
            </w:r>
          </w:p>
        </w:tc>
        <w:tc>
          <w:tcPr>
            <w:tcW w:w="992" w:type="dxa"/>
            <w:tcBorders>
              <w:top w:val="single" w:sz="4" w:space="0" w:color="auto"/>
              <w:left w:val="nil"/>
              <w:bottom w:val="single" w:sz="4" w:space="0" w:color="auto"/>
              <w:right w:val="nil"/>
            </w:tcBorders>
          </w:tcPr>
          <w:p w14:paraId="774C09F2" w14:textId="7723EDD6" w:rsidR="00B45D86" w:rsidRDefault="00B45D86" w:rsidP="00265A5A">
            <w:pPr>
              <w:pStyle w:val="TableText"/>
              <w:spacing w:before="50" w:after="50"/>
            </w:pPr>
            <w:r>
              <w:t>&gt; 40,000</w:t>
            </w:r>
          </w:p>
        </w:tc>
        <w:tc>
          <w:tcPr>
            <w:tcW w:w="1922" w:type="dxa"/>
            <w:tcBorders>
              <w:top w:val="single" w:sz="4" w:space="0" w:color="auto"/>
              <w:left w:val="nil"/>
              <w:bottom w:val="single" w:sz="4" w:space="0" w:color="auto"/>
              <w:right w:val="nil"/>
            </w:tcBorders>
          </w:tcPr>
          <w:p w14:paraId="3B268213" w14:textId="38682374" w:rsidR="00B45D86" w:rsidRDefault="00B45D86" w:rsidP="00B65E15">
            <w:pPr>
              <w:pStyle w:val="TableText"/>
              <w:spacing w:before="50" w:after="50"/>
            </w:pPr>
            <w:r>
              <w:t>Cadmus et al. (2018a)</w:t>
            </w:r>
          </w:p>
        </w:tc>
      </w:tr>
      <w:tr w:rsidR="008B0BC5" w:rsidRPr="00045A29" w14:paraId="5E32820E" w14:textId="77777777" w:rsidTr="008B0BC5">
        <w:trPr>
          <w:cantSplit/>
          <w:jc w:val="center"/>
        </w:trPr>
        <w:tc>
          <w:tcPr>
            <w:tcW w:w="1537" w:type="dxa"/>
            <w:tcBorders>
              <w:top w:val="single" w:sz="4" w:space="0" w:color="auto"/>
              <w:left w:val="nil"/>
              <w:bottom w:val="single" w:sz="4" w:space="0" w:color="auto"/>
              <w:right w:val="nil"/>
            </w:tcBorders>
          </w:tcPr>
          <w:p w14:paraId="0FD5ED79" w14:textId="5F95CE63" w:rsidR="00B45D86" w:rsidRDefault="00B45D86" w:rsidP="00B65E15">
            <w:pPr>
              <w:pStyle w:val="TableText"/>
              <w:spacing w:before="50" w:after="50"/>
            </w:pPr>
            <w:r>
              <w:t>Insect (Arthropod)</w:t>
            </w:r>
          </w:p>
        </w:tc>
        <w:tc>
          <w:tcPr>
            <w:tcW w:w="1417" w:type="dxa"/>
            <w:tcBorders>
              <w:top w:val="single" w:sz="4" w:space="0" w:color="auto"/>
              <w:left w:val="nil"/>
              <w:bottom w:val="single" w:sz="4" w:space="0" w:color="auto"/>
              <w:right w:val="nil"/>
            </w:tcBorders>
          </w:tcPr>
          <w:p w14:paraId="1D03F002" w14:textId="55901B50" w:rsidR="00B45D86" w:rsidRPr="00FE6B34" w:rsidRDefault="00B45D86" w:rsidP="00B65E15">
            <w:pPr>
              <w:pStyle w:val="TableText"/>
              <w:spacing w:before="50" w:after="50"/>
              <w:rPr>
                <w:rStyle w:val="Emphasis"/>
              </w:rPr>
            </w:pPr>
            <w:r>
              <w:rPr>
                <w:i/>
                <w:iCs/>
              </w:rPr>
              <w:t>Hexagenia limbata</w:t>
            </w:r>
          </w:p>
        </w:tc>
        <w:tc>
          <w:tcPr>
            <w:tcW w:w="849" w:type="dxa"/>
            <w:tcBorders>
              <w:top w:val="single" w:sz="4" w:space="0" w:color="auto"/>
              <w:left w:val="nil"/>
              <w:bottom w:val="single" w:sz="4" w:space="0" w:color="auto"/>
              <w:right w:val="nil"/>
            </w:tcBorders>
          </w:tcPr>
          <w:p w14:paraId="3B1B4748" w14:textId="1474C021" w:rsidR="00B45D86" w:rsidRPr="00045A29" w:rsidRDefault="00B45D86" w:rsidP="00265A5A">
            <w:pPr>
              <w:pStyle w:val="TableText"/>
              <w:spacing w:before="50" w:after="50"/>
            </w:pPr>
            <w:r>
              <w:t>Nymph</w:t>
            </w:r>
          </w:p>
        </w:tc>
        <w:tc>
          <w:tcPr>
            <w:tcW w:w="989" w:type="dxa"/>
            <w:tcBorders>
              <w:top w:val="single" w:sz="4" w:space="0" w:color="auto"/>
              <w:left w:val="nil"/>
              <w:bottom w:val="single" w:sz="4" w:space="0" w:color="auto"/>
              <w:right w:val="nil"/>
            </w:tcBorders>
          </w:tcPr>
          <w:p w14:paraId="208A64BB" w14:textId="5DFB7353" w:rsidR="00B45D86" w:rsidRPr="00045A29" w:rsidRDefault="00B45D86" w:rsidP="00386786">
            <w:pPr>
              <w:pStyle w:val="TableText"/>
              <w:spacing w:before="50" w:after="50"/>
              <w:ind w:right="284"/>
              <w:jc w:val="right"/>
            </w:pPr>
            <w:r>
              <w:t>30</w:t>
            </w:r>
          </w:p>
        </w:tc>
        <w:tc>
          <w:tcPr>
            <w:tcW w:w="1559" w:type="dxa"/>
            <w:tcBorders>
              <w:top w:val="single" w:sz="4" w:space="0" w:color="auto"/>
              <w:left w:val="nil"/>
              <w:bottom w:val="single" w:sz="4" w:space="0" w:color="auto"/>
              <w:right w:val="nil"/>
            </w:tcBorders>
          </w:tcPr>
          <w:p w14:paraId="12841FFB" w14:textId="77777777" w:rsidR="00B45D86" w:rsidRDefault="00B45D86" w:rsidP="00265A5A">
            <w:pPr>
              <w:pStyle w:val="TableText"/>
              <w:spacing w:before="50" w:after="50"/>
            </w:pPr>
            <w:r>
              <w:t>EC10</w:t>
            </w:r>
          </w:p>
          <w:p w14:paraId="78473006" w14:textId="71CB9814" w:rsidR="00B45D86" w:rsidRPr="00045A29" w:rsidRDefault="00B45D86" w:rsidP="00265A5A">
            <w:pPr>
              <w:pStyle w:val="TableText"/>
              <w:spacing w:before="50" w:after="50"/>
            </w:pPr>
            <w:r>
              <w:t>(survival)</w:t>
            </w:r>
          </w:p>
        </w:tc>
        <w:tc>
          <w:tcPr>
            <w:tcW w:w="1277" w:type="dxa"/>
            <w:tcBorders>
              <w:top w:val="single" w:sz="4" w:space="0" w:color="auto"/>
              <w:left w:val="nil"/>
              <w:bottom w:val="single" w:sz="4" w:space="0" w:color="auto"/>
              <w:right w:val="nil"/>
            </w:tcBorders>
          </w:tcPr>
          <w:p w14:paraId="5E0A4B11" w14:textId="2A962470" w:rsidR="00B45D86" w:rsidRDefault="00B45D86" w:rsidP="00265A5A">
            <w:pPr>
              <w:pStyle w:val="TableText"/>
              <w:spacing w:before="50" w:after="50"/>
            </w:pPr>
            <w:r>
              <w:t>Dechlorinated tap water</w:t>
            </w:r>
          </w:p>
        </w:tc>
        <w:tc>
          <w:tcPr>
            <w:tcW w:w="989" w:type="dxa"/>
            <w:tcBorders>
              <w:top w:val="single" w:sz="4" w:space="0" w:color="auto"/>
              <w:left w:val="nil"/>
              <w:bottom w:val="single" w:sz="4" w:space="0" w:color="auto"/>
              <w:right w:val="nil"/>
            </w:tcBorders>
          </w:tcPr>
          <w:p w14:paraId="4BEEB2CD" w14:textId="5D00A930" w:rsidR="00B45D86" w:rsidRDefault="00B45D86" w:rsidP="00265A5A">
            <w:pPr>
              <w:pStyle w:val="TableText"/>
              <w:spacing w:before="50" w:after="50"/>
            </w:pPr>
            <w:r>
              <w:t>17</w:t>
            </w:r>
          </w:p>
        </w:tc>
        <w:tc>
          <w:tcPr>
            <w:tcW w:w="989" w:type="dxa"/>
            <w:tcBorders>
              <w:top w:val="single" w:sz="4" w:space="0" w:color="auto"/>
              <w:left w:val="nil"/>
              <w:bottom w:val="single" w:sz="4" w:space="0" w:color="auto"/>
              <w:right w:val="nil"/>
            </w:tcBorders>
          </w:tcPr>
          <w:p w14:paraId="1F4E4455" w14:textId="7D6781BB" w:rsidR="00B45D86" w:rsidRDefault="00B45D86" w:rsidP="00265A5A">
            <w:pPr>
              <w:pStyle w:val="TableText"/>
              <w:spacing w:before="50" w:after="50"/>
            </w:pPr>
            <w:r>
              <w:t>44</w:t>
            </w:r>
          </w:p>
        </w:tc>
        <w:tc>
          <w:tcPr>
            <w:tcW w:w="710" w:type="dxa"/>
            <w:tcBorders>
              <w:top w:val="single" w:sz="4" w:space="0" w:color="auto"/>
              <w:left w:val="nil"/>
              <w:bottom w:val="single" w:sz="4" w:space="0" w:color="auto"/>
              <w:right w:val="nil"/>
            </w:tcBorders>
          </w:tcPr>
          <w:p w14:paraId="18A02CE6" w14:textId="06E8E756" w:rsidR="00B45D86" w:rsidRDefault="00B45D86" w:rsidP="00265A5A">
            <w:pPr>
              <w:pStyle w:val="TableText"/>
              <w:spacing w:before="50" w:after="50"/>
            </w:pPr>
            <w:r>
              <w:t>7.9</w:t>
            </w:r>
          </w:p>
        </w:tc>
        <w:tc>
          <w:tcPr>
            <w:tcW w:w="741" w:type="dxa"/>
            <w:tcBorders>
              <w:top w:val="single" w:sz="4" w:space="0" w:color="auto"/>
              <w:left w:val="nil"/>
              <w:bottom w:val="single" w:sz="4" w:space="0" w:color="auto"/>
              <w:right w:val="nil"/>
            </w:tcBorders>
          </w:tcPr>
          <w:p w14:paraId="53E739FD" w14:textId="2FFF8038" w:rsidR="00B45D86" w:rsidRDefault="00B45D86" w:rsidP="00265A5A">
            <w:pPr>
              <w:pStyle w:val="TableText"/>
              <w:spacing w:before="50" w:after="50"/>
            </w:pPr>
            <w:r>
              <w:t>1.9</w:t>
            </w:r>
          </w:p>
        </w:tc>
        <w:tc>
          <w:tcPr>
            <w:tcW w:w="992" w:type="dxa"/>
            <w:tcBorders>
              <w:top w:val="single" w:sz="4" w:space="0" w:color="auto"/>
              <w:left w:val="nil"/>
              <w:bottom w:val="single" w:sz="4" w:space="0" w:color="auto"/>
              <w:right w:val="nil"/>
            </w:tcBorders>
          </w:tcPr>
          <w:p w14:paraId="68A86EDB" w14:textId="77E6C419" w:rsidR="00B45D86" w:rsidRDefault="00B45D86" w:rsidP="00265A5A">
            <w:pPr>
              <w:pStyle w:val="TableText"/>
              <w:spacing w:before="50" w:after="50"/>
            </w:pPr>
            <w:r>
              <w:t>&gt; 7,683</w:t>
            </w:r>
          </w:p>
        </w:tc>
        <w:tc>
          <w:tcPr>
            <w:tcW w:w="1922" w:type="dxa"/>
            <w:tcBorders>
              <w:top w:val="single" w:sz="4" w:space="0" w:color="auto"/>
              <w:left w:val="nil"/>
              <w:bottom w:val="single" w:sz="4" w:space="0" w:color="auto"/>
              <w:right w:val="nil"/>
            </w:tcBorders>
          </w:tcPr>
          <w:p w14:paraId="20B1C07F" w14:textId="6AFDF887" w:rsidR="00B45D86" w:rsidRDefault="00B45D86" w:rsidP="00B65E15">
            <w:pPr>
              <w:pStyle w:val="TableText"/>
              <w:spacing w:before="50" w:after="50"/>
            </w:pPr>
            <w:r>
              <w:t>Cadmus et al. (2018a)</w:t>
            </w:r>
          </w:p>
        </w:tc>
      </w:tr>
      <w:tr w:rsidR="008B0BC5" w:rsidRPr="00045A29" w14:paraId="5831E49A" w14:textId="77777777" w:rsidTr="008B0BC5">
        <w:trPr>
          <w:cantSplit/>
          <w:jc w:val="center"/>
        </w:trPr>
        <w:tc>
          <w:tcPr>
            <w:tcW w:w="1537" w:type="dxa"/>
            <w:tcBorders>
              <w:top w:val="single" w:sz="4" w:space="0" w:color="auto"/>
              <w:left w:val="nil"/>
              <w:bottom w:val="single" w:sz="4" w:space="0" w:color="auto"/>
              <w:right w:val="nil"/>
            </w:tcBorders>
          </w:tcPr>
          <w:p w14:paraId="4895DE70" w14:textId="19863BFC" w:rsidR="00B45D86" w:rsidRDefault="00B45D86" w:rsidP="00B65E15">
            <w:pPr>
              <w:pStyle w:val="TableText"/>
              <w:spacing w:before="50" w:after="50"/>
            </w:pPr>
            <w:r>
              <w:t>Insect (</w:t>
            </w:r>
            <w:r w:rsidRPr="00045A29">
              <w:t>Arthropod</w:t>
            </w:r>
            <w:r>
              <w:t>)</w:t>
            </w:r>
          </w:p>
        </w:tc>
        <w:tc>
          <w:tcPr>
            <w:tcW w:w="1417" w:type="dxa"/>
            <w:tcBorders>
              <w:top w:val="single" w:sz="4" w:space="0" w:color="auto"/>
              <w:left w:val="nil"/>
              <w:bottom w:val="single" w:sz="4" w:space="0" w:color="auto"/>
              <w:right w:val="nil"/>
            </w:tcBorders>
          </w:tcPr>
          <w:p w14:paraId="38834B4D" w14:textId="4DB7EA38" w:rsidR="00B45D86" w:rsidRPr="00FE6B34" w:rsidRDefault="00B45D86" w:rsidP="00B65E15">
            <w:pPr>
              <w:pStyle w:val="TableText"/>
              <w:spacing w:before="50" w:after="50"/>
              <w:rPr>
                <w:rStyle w:val="Emphasis"/>
              </w:rPr>
            </w:pPr>
            <w:r w:rsidRPr="00FE6B34">
              <w:rPr>
                <w:rStyle w:val="Emphasis"/>
              </w:rPr>
              <w:t>Leptophlebia marginata</w:t>
            </w:r>
          </w:p>
        </w:tc>
        <w:tc>
          <w:tcPr>
            <w:tcW w:w="849" w:type="dxa"/>
            <w:tcBorders>
              <w:top w:val="single" w:sz="4" w:space="0" w:color="auto"/>
              <w:left w:val="nil"/>
              <w:bottom w:val="single" w:sz="4" w:space="0" w:color="auto"/>
              <w:right w:val="nil"/>
            </w:tcBorders>
          </w:tcPr>
          <w:p w14:paraId="1FEC8FEF" w14:textId="23A13E9D" w:rsidR="00B45D86" w:rsidRPr="00045A29" w:rsidRDefault="00B45D86" w:rsidP="00265A5A">
            <w:pPr>
              <w:pStyle w:val="TableText"/>
              <w:spacing w:before="50" w:after="50"/>
            </w:pPr>
            <w:r>
              <w:t>Nymph</w:t>
            </w:r>
          </w:p>
        </w:tc>
        <w:tc>
          <w:tcPr>
            <w:tcW w:w="989" w:type="dxa"/>
            <w:tcBorders>
              <w:top w:val="single" w:sz="4" w:space="0" w:color="auto"/>
              <w:left w:val="nil"/>
              <w:bottom w:val="single" w:sz="4" w:space="0" w:color="auto"/>
              <w:right w:val="nil"/>
            </w:tcBorders>
          </w:tcPr>
          <w:p w14:paraId="515A77D3" w14:textId="7BEBBF75" w:rsidR="00B45D86" w:rsidRPr="00045A29" w:rsidRDefault="00B45D86" w:rsidP="00386786">
            <w:pPr>
              <w:pStyle w:val="TableText"/>
              <w:spacing w:before="50" w:after="50"/>
              <w:ind w:right="284"/>
              <w:jc w:val="right"/>
            </w:pPr>
            <w:r>
              <w:t>30</w:t>
            </w:r>
          </w:p>
        </w:tc>
        <w:tc>
          <w:tcPr>
            <w:tcW w:w="1559" w:type="dxa"/>
            <w:tcBorders>
              <w:top w:val="single" w:sz="4" w:space="0" w:color="auto"/>
              <w:left w:val="nil"/>
              <w:bottom w:val="single" w:sz="4" w:space="0" w:color="auto"/>
              <w:right w:val="nil"/>
            </w:tcBorders>
          </w:tcPr>
          <w:p w14:paraId="16B3B5BE" w14:textId="1E1CF513" w:rsidR="00B45D86" w:rsidRPr="00045A29" w:rsidRDefault="00B45D86" w:rsidP="00265A5A">
            <w:pPr>
              <w:pStyle w:val="TableText"/>
              <w:spacing w:before="50" w:after="50"/>
            </w:pPr>
            <w:r>
              <w:t>NOEC (immobility)</w:t>
            </w:r>
          </w:p>
        </w:tc>
        <w:tc>
          <w:tcPr>
            <w:tcW w:w="1277" w:type="dxa"/>
            <w:tcBorders>
              <w:top w:val="single" w:sz="4" w:space="0" w:color="auto"/>
              <w:left w:val="nil"/>
              <w:bottom w:val="single" w:sz="4" w:space="0" w:color="auto"/>
              <w:right w:val="nil"/>
            </w:tcBorders>
          </w:tcPr>
          <w:p w14:paraId="074FF692" w14:textId="57F2A042" w:rsidR="00B45D86" w:rsidRDefault="00B45D86" w:rsidP="00265A5A">
            <w:pPr>
              <w:pStyle w:val="TableText"/>
              <w:spacing w:before="50" w:after="50"/>
            </w:pPr>
            <w:r>
              <w:t>Stream water</w:t>
            </w:r>
          </w:p>
        </w:tc>
        <w:tc>
          <w:tcPr>
            <w:tcW w:w="989" w:type="dxa"/>
            <w:tcBorders>
              <w:top w:val="single" w:sz="4" w:space="0" w:color="auto"/>
              <w:left w:val="nil"/>
              <w:bottom w:val="single" w:sz="4" w:space="0" w:color="auto"/>
              <w:right w:val="nil"/>
            </w:tcBorders>
          </w:tcPr>
          <w:p w14:paraId="21B2E987" w14:textId="11FAF353" w:rsidR="00B45D86" w:rsidRDefault="00B45D86" w:rsidP="00265A5A">
            <w:pPr>
              <w:pStyle w:val="TableText"/>
              <w:spacing w:before="50" w:after="50"/>
            </w:pPr>
            <w:r>
              <w:t>11</w:t>
            </w:r>
          </w:p>
        </w:tc>
        <w:tc>
          <w:tcPr>
            <w:tcW w:w="989" w:type="dxa"/>
            <w:tcBorders>
              <w:top w:val="single" w:sz="4" w:space="0" w:color="auto"/>
              <w:left w:val="nil"/>
              <w:bottom w:val="single" w:sz="4" w:space="0" w:color="auto"/>
              <w:right w:val="nil"/>
            </w:tcBorders>
          </w:tcPr>
          <w:p w14:paraId="67B59324" w14:textId="6355677B" w:rsidR="00B45D86" w:rsidRDefault="00B45D86" w:rsidP="00265A5A">
            <w:pPr>
              <w:pStyle w:val="TableText"/>
              <w:spacing w:before="50" w:after="50"/>
            </w:pPr>
            <w:r>
              <w:t>NR</w:t>
            </w:r>
          </w:p>
        </w:tc>
        <w:tc>
          <w:tcPr>
            <w:tcW w:w="710" w:type="dxa"/>
            <w:tcBorders>
              <w:top w:val="single" w:sz="4" w:space="0" w:color="auto"/>
              <w:left w:val="nil"/>
              <w:bottom w:val="single" w:sz="4" w:space="0" w:color="auto"/>
              <w:right w:val="nil"/>
            </w:tcBorders>
          </w:tcPr>
          <w:p w14:paraId="3BDAC7A3" w14:textId="5E6FB997" w:rsidR="00B45D86" w:rsidRDefault="00B45D86" w:rsidP="00265A5A">
            <w:pPr>
              <w:pStyle w:val="TableText"/>
              <w:spacing w:before="50" w:after="50"/>
            </w:pPr>
            <w:r>
              <w:t>7.5</w:t>
            </w:r>
          </w:p>
        </w:tc>
        <w:tc>
          <w:tcPr>
            <w:tcW w:w="741" w:type="dxa"/>
            <w:tcBorders>
              <w:top w:val="single" w:sz="4" w:space="0" w:color="auto"/>
              <w:left w:val="nil"/>
              <w:bottom w:val="single" w:sz="4" w:space="0" w:color="auto"/>
              <w:right w:val="nil"/>
            </w:tcBorders>
          </w:tcPr>
          <w:p w14:paraId="53297FD8" w14:textId="6D24AF10" w:rsidR="00B45D86" w:rsidRDefault="00B45D86" w:rsidP="00265A5A">
            <w:pPr>
              <w:pStyle w:val="TableText"/>
              <w:spacing w:before="50" w:after="50"/>
            </w:pPr>
            <w:r>
              <w:t>0</w:t>
            </w:r>
            <w:r w:rsidR="004052B7">
              <w:rPr>
                <w:vertAlign w:val="superscript"/>
              </w:rPr>
              <w:t>b</w:t>
            </w:r>
          </w:p>
        </w:tc>
        <w:tc>
          <w:tcPr>
            <w:tcW w:w="992" w:type="dxa"/>
            <w:tcBorders>
              <w:top w:val="single" w:sz="4" w:space="0" w:color="auto"/>
              <w:left w:val="nil"/>
              <w:bottom w:val="single" w:sz="4" w:space="0" w:color="auto"/>
              <w:right w:val="nil"/>
            </w:tcBorders>
          </w:tcPr>
          <w:p w14:paraId="7A1A742E" w14:textId="6653F03A" w:rsidR="00B45D86" w:rsidRDefault="00B45D86" w:rsidP="00265A5A">
            <w:pPr>
              <w:pStyle w:val="TableText"/>
              <w:spacing w:before="50" w:after="50"/>
            </w:pPr>
            <w:r>
              <w:t>50,000</w:t>
            </w:r>
          </w:p>
        </w:tc>
        <w:tc>
          <w:tcPr>
            <w:tcW w:w="1922" w:type="dxa"/>
            <w:tcBorders>
              <w:top w:val="single" w:sz="4" w:space="0" w:color="auto"/>
              <w:left w:val="nil"/>
              <w:bottom w:val="single" w:sz="4" w:space="0" w:color="auto"/>
              <w:right w:val="nil"/>
            </w:tcBorders>
          </w:tcPr>
          <w:p w14:paraId="63E80C6F" w14:textId="3D33CDA4" w:rsidR="00B45D86" w:rsidRDefault="00B45D86" w:rsidP="00B65E15">
            <w:pPr>
              <w:pStyle w:val="TableText"/>
              <w:spacing w:before="50" w:after="50"/>
            </w:pPr>
            <w:r>
              <w:t>Gerhardt (1992)</w:t>
            </w:r>
          </w:p>
        </w:tc>
      </w:tr>
      <w:tr w:rsidR="00F5513E" w:rsidRPr="00045A29" w14:paraId="3846CC12" w14:textId="77777777" w:rsidTr="00B65E15">
        <w:trPr>
          <w:cantSplit/>
          <w:jc w:val="center"/>
        </w:trPr>
        <w:tc>
          <w:tcPr>
            <w:tcW w:w="1537" w:type="dxa"/>
            <w:tcBorders>
              <w:top w:val="single" w:sz="4" w:space="0" w:color="auto"/>
              <w:left w:val="nil"/>
              <w:bottom w:val="single" w:sz="4" w:space="0" w:color="auto"/>
              <w:right w:val="nil"/>
            </w:tcBorders>
          </w:tcPr>
          <w:p w14:paraId="7840350A" w14:textId="32D54E3E" w:rsidR="00B45D86" w:rsidRDefault="00B45D86" w:rsidP="00B65E15">
            <w:pPr>
              <w:pStyle w:val="TableText"/>
              <w:spacing w:before="50" w:after="50"/>
            </w:pPr>
            <w:r>
              <w:t>Crustacean (</w:t>
            </w:r>
            <w:r w:rsidRPr="00045A29">
              <w:t>Arthropod</w:t>
            </w:r>
            <w:r>
              <w:t>)</w:t>
            </w:r>
          </w:p>
        </w:tc>
        <w:tc>
          <w:tcPr>
            <w:tcW w:w="1417" w:type="dxa"/>
            <w:tcBorders>
              <w:top w:val="single" w:sz="4" w:space="0" w:color="auto"/>
              <w:left w:val="nil"/>
              <w:bottom w:val="single" w:sz="4" w:space="0" w:color="auto"/>
              <w:right w:val="nil"/>
            </w:tcBorders>
          </w:tcPr>
          <w:p w14:paraId="523FC029" w14:textId="70AE2BF4" w:rsidR="00B45D86" w:rsidRPr="00FE6B34" w:rsidRDefault="00B45D86" w:rsidP="00B65E15">
            <w:pPr>
              <w:pStyle w:val="TableText"/>
              <w:spacing w:before="50" w:after="50"/>
              <w:rPr>
                <w:rStyle w:val="Emphasis"/>
              </w:rPr>
            </w:pPr>
            <w:r w:rsidRPr="00FE6B34">
              <w:rPr>
                <w:rStyle w:val="Emphasis"/>
              </w:rPr>
              <w:t>Ceriodaphnia dubia</w:t>
            </w:r>
          </w:p>
        </w:tc>
        <w:tc>
          <w:tcPr>
            <w:tcW w:w="849" w:type="dxa"/>
            <w:tcBorders>
              <w:top w:val="single" w:sz="4" w:space="0" w:color="auto"/>
              <w:left w:val="nil"/>
              <w:bottom w:val="single" w:sz="4" w:space="0" w:color="auto"/>
              <w:right w:val="nil"/>
            </w:tcBorders>
          </w:tcPr>
          <w:p w14:paraId="72BBC4BA" w14:textId="64D92EB8" w:rsidR="00B45D86" w:rsidRPr="00045A29" w:rsidRDefault="00B45D86" w:rsidP="00265A5A">
            <w:pPr>
              <w:pStyle w:val="TableText"/>
              <w:spacing w:before="50" w:after="50"/>
            </w:pPr>
            <w:r w:rsidRPr="00045A29">
              <w:t>Neonate</w:t>
            </w:r>
          </w:p>
        </w:tc>
        <w:tc>
          <w:tcPr>
            <w:tcW w:w="989" w:type="dxa"/>
            <w:tcBorders>
              <w:top w:val="single" w:sz="4" w:space="0" w:color="auto"/>
              <w:left w:val="nil"/>
              <w:bottom w:val="single" w:sz="4" w:space="0" w:color="auto"/>
              <w:right w:val="nil"/>
            </w:tcBorders>
          </w:tcPr>
          <w:p w14:paraId="2876F9A0" w14:textId="121A0FBF" w:rsidR="00B45D86" w:rsidRPr="00045A29" w:rsidRDefault="00B45D86"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4DADA53C" w14:textId="3C275CEB" w:rsidR="00B45D86" w:rsidRPr="00045A29" w:rsidRDefault="00B45D86" w:rsidP="00265A5A">
            <w:pPr>
              <w:pStyle w:val="TableText"/>
              <w:spacing w:before="50" w:after="50"/>
            </w:pPr>
            <w:r w:rsidRPr="00045A29">
              <w:t>EC10 (</w:t>
            </w:r>
            <w:r>
              <w:t>r</w:t>
            </w:r>
            <w:r w:rsidRPr="00045A29">
              <w:t>eproduction)</w:t>
            </w:r>
          </w:p>
        </w:tc>
        <w:tc>
          <w:tcPr>
            <w:tcW w:w="1277" w:type="dxa"/>
            <w:tcBorders>
              <w:top w:val="single" w:sz="4" w:space="0" w:color="auto"/>
              <w:left w:val="nil"/>
              <w:bottom w:val="single" w:sz="4" w:space="0" w:color="auto"/>
              <w:right w:val="nil"/>
            </w:tcBorders>
          </w:tcPr>
          <w:p w14:paraId="19A8CBA3" w14:textId="5B6CB87B" w:rsidR="00B45D86" w:rsidRPr="00045A29" w:rsidRDefault="00B45D86"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7B98E1B6" w14:textId="2156EF58" w:rsidR="00B45D86"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3317F77B" w14:textId="7B1A0521" w:rsidR="00B45D86" w:rsidRDefault="00B45D86" w:rsidP="00265A5A">
            <w:pPr>
              <w:pStyle w:val="TableText"/>
              <w:spacing w:before="50" w:after="50"/>
            </w:pPr>
            <w:r>
              <w:t>10.6</w:t>
            </w:r>
          </w:p>
        </w:tc>
        <w:tc>
          <w:tcPr>
            <w:tcW w:w="710" w:type="dxa"/>
            <w:tcBorders>
              <w:top w:val="single" w:sz="4" w:space="0" w:color="auto"/>
              <w:left w:val="nil"/>
              <w:bottom w:val="single" w:sz="4" w:space="0" w:color="auto"/>
              <w:right w:val="nil"/>
            </w:tcBorders>
          </w:tcPr>
          <w:p w14:paraId="397E06F8" w14:textId="0CBA3517" w:rsidR="00B45D86" w:rsidRDefault="00B45D86" w:rsidP="00265A5A">
            <w:pPr>
              <w:pStyle w:val="TableText"/>
              <w:spacing w:before="50" w:after="50"/>
            </w:pPr>
            <w:r>
              <w:t>8.0</w:t>
            </w:r>
          </w:p>
        </w:tc>
        <w:tc>
          <w:tcPr>
            <w:tcW w:w="741" w:type="dxa"/>
            <w:tcBorders>
              <w:top w:val="single" w:sz="4" w:space="0" w:color="auto"/>
              <w:left w:val="nil"/>
              <w:bottom w:val="single" w:sz="4" w:space="0" w:color="auto"/>
              <w:right w:val="nil"/>
            </w:tcBorders>
          </w:tcPr>
          <w:p w14:paraId="32DE3767" w14:textId="02A90831" w:rsidR="00B45D86" w:rsidRDefault="00B45D86" w:rsidP="00265A5A">
            <w:pPr>
              <w:pStyle w:val="TableText"/>
              <w:spacing w:before="50" w:after="50"/>
            </w:pPr>
            <w:r>
              <w:t>0.3</w:t>
            </w:r>
          </w:p>
        </w:tc>
        <w:tc>
          <w:tcPr>
            <w:tcW w:w="992" w:type="dxa"/>
            <w:tcBorders>
              <w:top w:val="single" w:sz="4" w:space="0" w:color="auto"/>
              <w:left w:val="nil"/>
              <w:bottom w:val="single" w:sz="4" w:space="0" w:color="auto"/>
              <w:right w:val="nil"/>
            </w:tcBorders>
          </w:tcPr>
          <w:p w14:paraId="1200460F" w14:textId="0585985E" w:rsidR="00B45D86" w:rsidRDefault="00B45D86" w:rsidP="00265A5A">
            <w:pPr>
              <w:pStyle w:val="TableText"/>
              <w:spacing w:before="50" w:after="50"/>
            </w:pPr>
            <w:r>
              <w:t>383</w:t>
            </w:r>
          </w:p>
        </w:tc>
        <w:tc>
          <w:tcPr>
            <w:tcW w:w="1922" w:type="dxa"/>
            <w:tcBorders>
              <w:top w:val="single" w:sz="4" w:space="0" w:color="auto"/>
              <w:left w:val="nil"/>
              <w:bottom w:val="single" w:sz="4" w:space="0" w:color="auto"/>
              <w:right w:val="nil"/>
            </w:tcBorders>
          </w:tcPr>
          <w:p w14:paraId="2F8C668C" w14:textId="276FE6A1" w:rsidR="00B45D86" w:rsidRDefault="00B45D86" w:rsidP="00B65E15">
            <w:pPr>
              <w:pStyle w:val="TableText"/>
              <w:spacing w:before="50" w:after="50"/>
            </w:pPr>
            <w:r>
              <w:t>Cardwell et al. (2023)</w:t>
            </w:r>
          </w:p>
        </w:tc>
      </w:tr>
      <w:tr w:rsidR="008B0BC5" w:rsidRPr="00045A29" w14:paraId="41D7102F" w14:textId="77777777" w:rsidTr="008B0BC5">
        <w:trPr>
          <w:cantSplit/>
          <w:jc w:val="center"/>
        </w:trPr>
        <w:tc>
          <w:tcPr>
            <w:tcW w:w="1537" w:type="dxa"/>
            <w:tcBorders>
              <w:top w:val="single" w:sz="4" w:space="0" w:color="auto"/>
              <w:left w:val="nil"/>
              <w:bottom w:val="single" w:sz="4" w:space="0" w:color="auto"/>
              <w:right w:val="nil"/>
            </w:tcBorders>
          </w:tcPr>
          <w:p w14:paraId="2251632D" w14:textId="170374F8" w:rsidR="00B45D86" w:rsidRDefault="00B45D86" w:rsidP="00B65E15">
            <w:pPr>
              <w:pStyle w:val="TableText"/>
              <w:spacing w:before="50" w:after="50"/>
            </w:pPr>
            <w:r>
              <w:t>Crustacean (</w:t>
            </w:r>
            <w:r w:rsidRPr="00045A29">
              <w:t>Arthropod</w:t>
            </w:r>
            <w:r>
              <w:t>)</w:t>
            </w:r>
          </w:p>
        </w:tc>
        <w:tc>
          <w:tcPr>
            <w:tcW w:w="1417" w:type="dxa"/>
            <w:tcBorders>
              <w:top w:val="single" w:sz="4" w:space="0" w:color="auto"/>
              <w:left w:val="nil"/>
              <w:bottom w:val="single" w:sz="4" w:space="0" w:color="auto"/>
              <w:right w:val="nil"/>
            </w:tcBorders>
          </w:tcPr>
          <w:p w14:paraId="275668D3" w14:textId="57BC4934" w:rsidR="00B45D86" w:rsidRPr="00FE6B34" w:rsidRDefault="00B45D86" w:rsidP="00B65E15">
            <w:pPr>
              <w:pStyle w:val="TableText"/>
              <w:spacing w:before="50" w:after="50"/>
            </w:pPr>
            <w:r w:rsidRPr="00FE6B34">
              <w:rPr>
                <w:rStyle w:val="Emphasis"/>
              </w:rPr>
              <w:t>Ceriodaphnia dubia</w:t>
            </w:r>
          </w:p>
        </w:tc>
        <w:tc>
          <w:tcPr>
            <w:tcW w:w="849" w:type="dxa"/>
            <w:tcBorders>
              <w:top w:val="single" w:sz="4" w:space="0" w:color="auto"/>
              <w:left w:val="nil"/>
              <w:bottom w:val="single" w:sz="4" w:space="0" w:color="auto"/>
              <w:right w:val="nil"/>
            </w:tcBorders>
          </w:tcPr>
          <w:p w14:paraId="39003853" w14:textId="0358F569" w:rsidR="00B45D86" w:rsidRPr="00045A29" w:rsidRDefault="00B45D86" w:rsidP="00265A5A">
            <w:pPr>
              <w:pStyle w:val="TableText"/>
              <w:spacing w:before="50" w:after="50"/>
            </w:pPr>
            <w:r>
              <w:t>Neonate</w:t>
            </w:r>
          </w:p>
        </w:tc>
        <w:tc>
          <w:tcPr>
            <w:tcW w:w="989" w:type="dxa"/>
            <w:tcBorders>
              <w:top w:val="single" w:sz="4" w:space="0" w:color="auto"/>
              <w:left w:val="nil"/>
              <w:bottom w:val="single" w:sz="4" w:space="0" w:color="auto"/>
              <w:right w:val="nil"/>
            </w:tcBorders>
          </w:tcPr>
          <w:p w14:paraId="587DA18A" w14:textId="5946A24D" w:rsidR="00B45D86" w:rsidRPr="00045A29" w:rsidRDefault="00B45D86"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4DECC7F6" w14:textId="4D2474AB" w:rsidR="00B45D86" w:rsidRPr="00045A29" w:rsidRDefault="00B45D86" w:rsidP="00265A5A">
            <w:pPr>
              <w:pStyle w:val="TableText"/>
              <w:spacing w:before="50" w:after="50"/>
            </w:pPr>
            <w:r w:rsidRPr="00045A29">
              <w:t>EC10 (</w:t>
            </w:r>
            <w:r>
              <w:t>r</w:t>
            </w:r>
            <w:r w:rsidRPr="00045A29">
              <w:t>eproduction)</w:t>
            </w:r>
          </w:p>
        </w:tc>
        <w:tc>
          <w:tcPr>
            <w:tcW w:w="1277" w:type="dxa"/>
            <w:tcBorders>
              <w:top w:val="single" w:sz="4" w:space="0" w:color="auto"/>
              <w:left w:val="nil"/>
              <w:bottom w:val="single" w:sz="4" w:space="0" w:color="auto"/>
              <w:right w:val="nil"/>
            </w:tcBorders>
          </w:tcPr>
          <w:p w14:paraId="0FBFF459" w14:textId="4C113CA5" w:rsidR="00B45D86" w:rsidRPr="00045A29" w:rsidRDefault="00B45D86"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520DB4DA" w14:textId="38AE5EFA" w:rsidR="00B45D86"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72DFE3B6" w14:textId="44EC005E" w:rsidR="00B45D86" w:rsidRPr="00045A29" w:rsidRDefault="00B45D86" w:rsidP="00265A5A">
            <w:pPr>
              <w:pStyle w:val="TableText"/>
              <w:spacing w:before="50" w:after="50"/>
            </w:pPr>
            <w:r>
              <w:t>25</w:t>
            </w:r>
          </w:p>
        </w:tc>
        <w:tc>
          <w:tcPr>
            <w:tcW w:w="710" w:type="dxa"/>
            <w:tcBorders>
              <w:top w:val="single" w:sz="4" w:space="0" w:color="auto"/>
              <w:left w:val="nil"/>
              <w:bottom w:val="single" w:sz="4" w:space="0" w:color="auto"/>
              <w:right w:val="nil"/>
            </w:tcBorders>
          </w:tcPr>
          <w:p w14:paraId="122FB920" w14:textId="22867279" w:rsidR="00B45D86" w:rsidRPr="00045A29" w:rsidRDefault="00B45D86" w:rsidP="00265A5A">
            <w:pPr>
              <w:pStyle w:val="TableText"/>
              <w:spacing w:before="50" w:after="50"/>
            </w:pPr>
            <w:r>
              <w:t>6.3</w:t>
            </w:r>
          </w:p>
        </w:tc>
        <w:tc>
          <w:tcPr>
            <w:tcW w:w="741" w:type="dxa"/>
            <w:tcBorders>
              <w:top w:val="single" w:sz="4" w:space="0" w:color="auto"/>
              <w:left w:val="nil"/>
              <w:bottom w:val="single" w:sz="4" w:space="0" w:color="auto"/>
              <w:right w:val="nil"/>
            </w:tcBorders>
          </w:tcPr>
          <w:p w14:paraId="4BDDCBC7" w14:textId="39114F93" w:rsidR="00B45D86" w:rsidRDefault="00B45D86" w:rsidP="00265A5A">
            <w:pPr>
              <w:pStyle w:val="TableText"/>
              <w:spacing w:before="50" w:after="50"/>
            </w:pPr>
            <w:r>
              <w:t>0.3</w:t>
            </w:r>
          </w:p>
        </w:tc>
        <w:tc>
          <w:tcPr>
            <w:tcW w:w="992" w:type="dxa"/>
            <w:tcBorders>
              <w:top w:val="single" w:sz="4" w:space="0" w:color="auto"/>
              <w:left w:val="nil"/>
              <w:bottom w:val="single" w:sz="4" w:space="0" w:color="auto"/>
              <w:right w:val="nil"/>
            </w:tcBorders>
          </w:tcPr>
          <w:p w14:paraId="16DF7241" w14:textId="118DF31B" w:rsidR="00B45D86" w:rsidRDefault="00B45D86" w:rsidP="00265A5A">
            <w:pPr>
              <w:pStyle w:val="TableText"/>
              <w:spacing w:before="50" w:after="50"/>
            </w:pPr>
            <w:r>
              <w:t>1,223</w:t>
            </w:r>
          </w:p>
        </w:tc>
        <w:tc>
          <w:tcPr>
            <w:tcW w:w="1922" w:type="dxa"/>
            <w:tcBorders>
              <w:top w:val="single" w:sz="4" w:space="0" w:color="auto"/>
              <w:left w:val="nil"/>
              <w:bottom w:val="single" w:sz="4" w:space="0" w:color="auto"/>
              <w:right w:val="nil"/>
            </w:tcBorders>
          </w:tcPr>
          <w:p w14:paraId="152EDCBE" w14:textId="7D2A1C11" w:rsidR="00B45D86" w:rsidRDefault="00B45D86" w:rsidP="00B65E15">
            <w:pPr>
              <w:pStyle w:val="TableText"/>
              <w:spacing w:before="50" w:after="50"/>
            </w:pPr>
            <w:r>
              <w:t>Cardwell et al. (2023)</w:t>
            </w:r>
          </w:p>
        </w:tc>
      </w:tr>
      <w:tr w:rsidR="008B0BC5" w:rsidRPr="00045A29" w14:paraId="0A31EB98" w14:textId="77777777" w:rsidTr="008B0BC5">
        <w:trPr>
          <w:cantSplit/>
          <w:jc w:val="center"/>
        </w:trPr>
        <w:tc>
          <w:tcPr>
            <w:tcW w:w="1537" w:type="dxa"/>
            <w:tcBorders>
              <w:top w:val="single" w:sz="4" w:space="0" w:color="auto"/>
              <w:left w:val="nil"/>
              <w:bottom w:val="single" w:sz="4" w:space="0" w:color="auto"/>
              <w:right w:val="nil"/>
            </w:tcBorders>
          </w:tcPr>
          <w:p w14:paraId="7883609D" w14:textId="22B349DE" w:rsidR="00B45D86" w:rsidRDefault="00B45D86" w:rsidP="00B65E15">
            <w:pPr>
              <w:pStyle w:val="TableText"/>
              <w:spacing w:before="50" w:after="50"/>
            </w:pPr>
            <w:r>
              <w:t>Crustacean (</w:t>
            </w:r>
            <w:r w:rsidRPr="00045A29">
              <w:t>Arthropod</w:t>
            </w:r>
            <w:r>
              <w:t>)</w:t>
            </w:r>
          </w:p>
        </w:tc>
        <w:tc>
          <w:tcPr>
            <w:tcW w:w="1417" w:type="dxa"/>
            <w:tcBorders>
              <w:top w:val="single" w:sz="4" w:space="0" w:color="auto"/>
              <w:left w:val="nil"/>
              <w:bottom w:val="single" w:sz="4" w:space="0" w:color="auto"/>
              <w:right w:val="nil"/>
            </w:tcBorders>
          </w:tcPr>
          <w:p w14:paraId="631E68CF" w14:textId="7FF8EEDD" w:rsidR="00B45D86" w:rsidRPr="00FE6B34" w:rsidRDefault="00B45D86" w:rsidP="00B65E15">
            <w:pPr>
              <w:pStyle w:val="TableText"/>
              <w:spacing w:before="50" w:after="50"/>
            </w:pPr>
            <w:r w:rsidRPr="00FE6B34">
              <w:rPr>
                <w:rStyle w:val="Emphasis"/>
              </w:rPr>
              <w:t>Ceriodaphnia dubia</w:t>
            </w:r>
          </w:p>
        </w:tc>
        <w:tc>
          <w:tcPr>
            <w:tcW w:w="849" w:type="dxa"/>
            <w:tcBorders>
              <w:top w:val="single" w:sz="4" w:space="0" w:color="auto"/>
              <w:left w:val="nil"/>
              <w:bottom w:val="single" w:sz="4" w:space="0" w:color="auto"/>
              <w:right w:val="nil"/>
            </w:tcBorders>
          </w:tcPr>
          <w:p w14:paraId="20A7BE1E" w14:textId="39C0249F" w:rsidR="00B45D86" w:rsidRPr="00045A29" w:rsidRDefault="00B45D86" w:rsidP="00265A5A">
            <w:pPr>
              <w:pStyle w:val="TableText"/>
              <w:spacing w:before="50" w:after="50"/>
            </w:pPr>
            <w:r>
              <w:t>Neonate</w:t>
            </w:r>
          </w:p>
        </w:tc>
        <w:tc>
          <w:tcPr>
            <w:tcW w:w="989" w:type="dxa"/>
            <w:tcBorders>
              <w:top w:val="single" w:sz="4" w:space="0" w:color="auto"/>
              <w:left w:val="nil"/>
              <w:bottom w:val="single" w:sz="4" w:space="0" w:color="auto"/>
              <w:right w:val="nil"/>
            </w:tcBorders>
          </w:tcPr>
          <w:p w14:paraId="5E355479" w14:textId="520179BB" w:rsidR="00B45D86" w:rsidRPr="00045A29" w:rsidRDefault="00B45D86"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1101CD40" w14:textId="0A9CA109" w:rsidR="00B45D86" w:rsidRPr="00045A29" w:rsidRDefault="00B45D86" w:rsidP="00265A5A">
            <w:pPr>
              <w:pStyle w:val="TableText"/>
              <w:spacing w:before="50" w:after="50"/>
            </w:pPr>
            <w:r w:rsidRPr="00045A29">
              <w:t>EC10 (</w:t>
            </w:r>
            <w:r>
              <w:t>r</w:t>
            </w:r>
            <w:r w:rsidRPr="00045A29">
              <w:t>eproduction)</w:t>
            </w:r>
          </w:p>
        </w:tc>
        <w:tc>
          <w:tcPr>
            <w:tcW w:w="1277" w:type="dxa"/>
            <w:tcBorders>
              <w:top w:val="single" w:sz="4" w:space="0" w:color="auto"/>
              <w:left w:val="nil"/>
              <w:bottom w:val="single" w:sz="4" w:space="0" w:color="auto"/>
              <w:right w:val="nil"/>
            </w:tcBorders>
          </w:tcPr>
          <w:p w14:paraId="0D2BD184" w14:textId="2BC82061" w:rsidR="00B45D86" w:rsidRDefault="00B45D86"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65117072" w14:textId="378EEB07" w:rsidR="00B45D86"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6913A7CB" w14:textId="0AF661B6" w:rsidR="00B45D86" w:rsidRDefault="00B45D86" w:rsidP="00265A5A">
            <w:pPr>
              <w:pStyle w:val="TableText"/>
              <w:spacing w:before="50" w:after="50"/>
            </w:pPr>
            <w:r>
              <w:t>84</w:t>
            </w:r>
          </w:p>
        </w:tc>
        <w:tc>
          <w:tcPr>
            <w:tcW w:w="710" w:type="dxa"/>
            <w:tcBorders>
              <w:top w:val="single" w:sz="4" w:space="0" w:color="auto"/>
              <w:left w:val="nil"/>
              <w:bottom w:val="single" w:sz="4" w:space="0" w:color="auto"/>
              <w:right w:val="nil"/>
            </w:tcBorders>
          </w:tcPr>
          <w:p w14:paraId="3219038B" w14:textId="7404F4AC" w:rsidR="00B45D86" w:rsidRDefault="00B45D86" w:rsidP="00265A5A">
            <w:pPr>
              <w:pStyle w:val="TableText"/>
              <w:spacing w:before="50" w:after="50"/>
            </w:pPr>
            <w:r>
              <w:t>6.3</w:t>
            </w:r>
          </w:p>
        </w:tc>
        <w:tc>
          <w:tcPr>
            <w:tcW w:w="741" w:type="dxa"/>
            <w:tcBorders>
              <w:top w:val="single" w:sz="4" w:space="0" w:color="auto"/>
              <w:left w:val="nil"/>
              <w:bottom w:val="single" w:sz="4" w:space="0" w:color="auto"/>
              <w:right w:val="nil"/>
            </w:tcBorders>
          </w:tcPr>
          <w:p w14:paraId="04A9BB73" w14:textId="7D2B59E7" w:rsidR="00B45D86" w:rsidRDefault="00B45D86" w:rsidP="00265A5A">
            <w:pPr>
              <w:pStyle w:val="TableText"/>
              <w:spacing w:before="50" w:after="50"/>
            </w:pPr>
            <w:r>
              <w:t>0.3</w:t>
            </w:r>
          </w:p>
        </w:tc>
        <w:tc>
          <w:tcPr>
            <w:tcW w:w="992" w:type="dxa"/>
            <w:tcBorders>
              <w:top w:val="single" w:sz="4" w:space="0" w:color="auto"/>
              <w:left w:val="nil"/>
              <w:bottom w:val="single" w:sz="4" w:space="0" w:color="auto"/>
              <w:right w:val="nil"/>
            </w:tcBorders>
          </w:tcPr>
          <w:p w14:paraId="7E88D6FB" w14:textId="2E3710D8" w:rsidR="00B45D86" w:rsidRDefault="00B45D86" w:rsidP="00265A5A">
            <w:pPr>
              <w:pStyle w:val="TableText"/>
              <w:spacing w:before="50" w:after="50"/>
            </w:pPr>
            <w:r>
              <w:t>1,369</w:t>
            </w:r>
          </w:p>
        </w:tc>
        <w:tc>
          <w:tcPr>
            <w:tcW w:w="1922" w:type="dxa"/>
            <w:tcBorders>
              <w:top w:val="single" w:sz="4" w:space="0" w:color="auto"/>
              <w:left w:val="nil"/>
              <w:bottom w:val="single" w:sz="4" w:space="0" w:color="auto"/>
              <w:right w:val="nil"/>
            </w:tcBorders>
          </w:tcPr>
          <w:p w14:paraId="62AC61D4" w14:textId="38202595" w:rsidR="00B45D86" w:rsidRDefault="00B45D86" w:rsidP="00B65E15">
            <w:pPr>
              <w:pStyle w:val="TableText"/>
              <w:spacing w:before="50" w:after="50"/>
            </w:pPr>
            <w:r>
              <w:t>Cardwell et al. (2023)</w:t>
            </w:r>
          </w:p>
        </w:tc>
      </w:tr>
      <w:tr w:rsidR="008B0BC5" w:rsidRPr="00045A29" w14:paraId="1E0A9A2A" w14:textId="77777777" w:rsidTr="008B0BC5">
        <w:trPr>
          <w:cantSplit/>
          <w:jc w:val="center"/>
        </w:trPr>
        <w:tc>
          <w:tcPr>
            <w:tcW w:w="1537" w:type="dxa"/>
            <w:tcBorders>
              <w:top w:val="single" w:sz="4" w:space="0" w:color="auto"/>
              <w:left w:val="nil"/>
              <w:bottom w:val="single" w:sz="4" w:space="0" w:color="auto"/>
              <w:right w:val="nil"/>
            </w:tcBorders>
          </w:tcPr>
          <w:p w14:paraId="7294A686" w14:textId="64E6D0E4" w:rsidR="00B45D86" w:rsidRDefault="00B45D86" w:rsidP="00B65E15">
            <w:pPr>
              <w:pStyle w:val="TableText"/>
              <w:spacing w:before="50" w:after="50"/>
            </w:pPr>
            <w:r>
              <w:lastRenderedPageBreak/>
              <w:t>Crustacean (</w:t>
            </w:r>
            <w:r w:rsidRPr="00045A29">
              <w:t>Arthropod</w:t>
            </w:r>
            <w:r>
              <w:t>)</w:t>
            </w:r>
          </w:p>
        </w:tc>
        <w:tc>
          <w:tcPr>
            <w:tcW w:w="1417" w:type="dxa"/>
            <w:tcBorders>
              <w:top w:val="single" w:sz="4" w:space="0" w:color="auto"/>
              <w:left w:val="nil"/>
              <w:bottom w:val="single" w:sz="4" w:space="0" w:color="auto"/>
              <w:right w:val="nil"/>
            </w:tcBorders>
          </w:tcPr>
          <w:p w14:paraId="4BC55F83" w14:textId="570A4CC8" w:rsidR="00B45D86" w:rsidRPr="00FE6B34" w:rsidRDefault="00B45D86" w:rsidP="00B65E15">
            <w:pPr>
              <w:pStyle w:val="TableText"/>
              <w:spacing w:before="50" w:after="50"/>
            </w:pPr>
            <w:r w:rsidRPr="00FE6B34">
              <w:rPr>
                <w:rStyle w:val="Emphasis"/>
              </w:rPr>
              <w:t>Ceriodaphnia dubia</w:t>
            </w:r>
          </w:p>
        </w:tc>
        <w:tc>
          <w:tcPr>
            <w:tcW w:w="849" w:type="dxa"/>
            <w:tcBorders>
              <w:top w:val="single" w:sz="4" w:space="0" w:color="auto"/>
              <w:left w:val="nil"/>
              <w:bottom w:val="single" w:sz="4" w:space="0" w:color="auto"/>
              <w:right w:val="nil"/>
            </w:tcBorders>
          </w:tcPr>
          <w:p w14:paraId="6DEDEFBE" w14:textId="055EEE26" w:rsidR="00B45D86" w:rsidRPr="00045A29" w:rsidRDefault="00B45D86" w:rsidP="00265A5A">
            <w:pPr>
              <w:pStyle w:val="TableText"/>
              <w:spacing w:before="50" w:after="50"/>
            </w:pPr>
            <w:r w:rsidRPr="00045A29">
              <w:t>Neonate</w:t>
            </w:r>
          </w:p>
        </w:tc>
        <w:tc>
          <w:tcPr>
            <w:tcW w:w="989" w:type="dxa"/>
            <w:tcBorders>
              <w:top w:val="single" w:sz="4" w:space="0" w:color="auto"/>
              <w:left w:val="nil"/>
              <w:bottom w:val="single" w:sz="4" w:space="0" w:color="auto"/>
              <w:right w:val="nil"/>
            </w:tcBorders>
          </w:tcPr>
          <w:p w14:paraId="5C132CFB" w14:textId="25E2D73C" w:rsidR="00B45D86" w:rsidRPr="00045A29" w:rsidRDefault="00B45D86"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40DB7BBF" w14:textId="35DA92BD" w:rsidR="00B45D86" w:rsidRPr="00045A29" w:rsidRDefault="00B45D86" w:rsidP="00265A5A">
            <w:pPr>
              <w:pStyle w:val="TableText"/>
              <w:spacing w:before="50" w:after="50"/>
            </w:pPr>
            <w:r w:rsidRPr="00045A29">
              <w:t>EC10 (</w:t>
            </w:r>
            <w:r>
              <w:t>r</w:t>
            </w:r>
            <w:r w:rsidRPr="00045A29">
              <w:t>eproduction)</w:t>
            </w:r>
          </w:p>
        </w:tc>
        <w:tc>
          <w:tcPr>
            <w:tcW w:w="1277" w:type="dxa"/>
            <w:tcBorders>
              <w:top w:val="single" w:sz="4" w:space="0" w:color="auto"/>
              <w:left w:val="nil"/>
              <w:bottom w:val="single" w:sz="4" w:space="0" w:color="auto"/>
              <w:right w:val="nil"/>
            </w:tcBorders>
          </w:tcPr>
          <w:p w14:paraId="3F2737F6" w14:textId="4C5057EA" w:rsidR="00B45D86" w:rsidRPr="00045A29" w:rsidRDefault="00B45D86"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5E9AAF95" w14:textId="11A0AAC7" w:rsidR="00B45D86"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6F4ED173" w14:textId="42879B2E" w:rsidR="00B45D86" w:rsidRPr="00045A29" w:rsidRDefault="00B45D86" w:rsidP="00265A5A">
            <w:pPr>
              <w:pStyle w:val="TableText"/>
              <w:spacing w:before="50" w:after="50"/>
            </w:pPr>
            <w:r>
              <w:t>84</w:t>
            </w:r>
          </w:p>
        </w:tc>
        <w:tc>
          <w:tcPr>
            <w:tcW w:w="710" w:type="dxa"/>
            <w:tcBorders>
              <w:top w:val="single" w:sz="4" w:space="0" w:color="auto"/>
              <w:left w:val="nil"/>
              <w:bottom w:val="single" w:sz="4" w:space="0" w:color="auto"/>
              <w:right w:val="nil"/>
            </w:tcBorders>
          </w:tcPr>
          <w:p w14:paraId="3DC61F50" w14:textId="687AD924" w:rsidR="00B45D86" w:rsidRPr="00045A29" w:rsidRDefault="00B45D86" w:rsidP="00265A5A">
            <w:pPr>
              <w:pStyle w:val="TableText"/>
              <w:spacing w:before="50" w:after="50"/>
            </w:pPr>
            <w:r>
              <w:t>8.0</w:t>
            </w:r>
          </w:p>
        </w:tc>
        <w:tc>
          <w:tcPr>
            <w:tcW w:w="741" w:type="dxa"/>
            <w:tcBorders>
              <w:top w:val="single" w:sz="4" w:space="0" w:color="auto"/>
              <w:left w:val="nil"/>
              <w:bottom w:val="single" w:sz="4" w:space="0" w:color="auto"/>
              <w:right w:val="nil"/>
            </w:tcBorders>
          </w:tcPr>
          <w:p w14:paraId="74AC27AF" w14:textId="0A495536" w:rsidR="00B45D86" w:rsidRDefault="00B45D86" w:rsidP="00265A5A">
            <w:pPr>
              <w:pStyle w:val="TableText"/>
              <w:spacing w:before="50" w:after="50"/>
            </w:pPr>
            <w:r>
              <w:t>0.3</w:t>
            </w:r>
          </w:p>
        </w:tc>
        <w:tc>
          <w:tcPr>
            <w:tcW w:w="992" w:type="dxa"/>
            <w:tcBorders>
              <w:top w:val="single" w:sz="4" w:space="0" w:color="auto"/>
              <w:left w:val="nil"/>
              <w:bottom w:val="single" w:sz="4" w:space="0" w:color="auto"/>
              <w:right w:val="nil"/>
            </w:tcBorders>
          </w:tcPr>
          <w:p w14:paraId="0B7B6CCC" w14:textId="60825514" w:rsidR="00B45D86" w:rsidRDefault="00B45D86" w:rsidP="00265A5A">
            <w:pPr>
              <w:pStyle w:val="TableText"/>
              <w:spacing w:before="50" w:after="50"/>
            </w:pPr>
            <w:r>
              <w:t>2,233</w:t>
            </w:r>
          </w:p>
        </w:tc>
        <w:tc>
          <w:tcPr>
            <w:tcW w:w="1922" w:type="dxa"/>
            <w:tcBorders>
              <w:top w:val="single" w:sz="4" w:space="0" w:color="auto"/>
              <w:left w:val="nil"/>
              <w:bottom w:val="single" w:sz="4" w:space="0" w:color="auto"/>
              <w:right w:val="nil"/>
            </w:tcBorders>
          </w:tcPr>
          <w:p w14:paraId="19098A48" w14:textId="1B520AD2" w:rsidR="00B45D86" w:rsidRDefault="00B45D86" w:rsidP="00B65E15">
            <w:pPr>
              <w:pStyle w:val="TableText"/>
              <w:spacing w:before="50" w:after="50"/>
            </w:pPr>
            <w:r>
              <w:t>Cardwell et al. (2023)</w:t>
            </w:r>
          </w:p>
        </w:tc>
      </w:tr>
      <w:tr w:rsidR="008B0BC5" w:rsidRPr="00045A29" w14:paraId="5BC2D04C" w14:textId="77777777" w:rsidTr="008B0BC5">
        <w:trPr>
          <w:cantSplit/>
          <w:jc w:val="center"/>
        </w:trPr>
        <w:tc>
          <w:tcPr>
            <w:tcW w:w="1537" w:type="dxa"/>
            <w:tcBorders>
              <w:top w:val="single" w:sz="4" w:space="0" w:color="auto"/>
              <w:left w:val="nil"/>
              <w:bottom w:val="single" w:sz="4" w:space="0" w:color="auto"/>
              <w:right w:val="nil"/>
            </w:tcBorders>
          </w:tcPr>
          <w:p w14:paraId="17C904F8" w14:textId="6024DDE2" w:rsidR="00B45D86" w:rsidRDefault="00B45D86" w:rsidP="00B65E15">
            <w:pPr>
              <w:pStyle w:val="TableText"/>
              <w:spacing w:before="50" w:after="50"/>
            </w:pPr>
            <w:r>
              <w:t>Crustacean (</w:t>
            </w:r>
            <w:r w:rsidRPr="00045A29">
              <w:t>Arthropod</w:t>
            </w:r>
            <w:r>
              <w:t>)</w:t>
            </w:r>
          </w:p>
        </w:tc>
        <w:tc>
          <w:tcPr>
            <w:tcW w:w="1417" w:type="dxa"/>
            <w:tcBorders>
              <w:top w:val="single" w:sz="4" w:space="0" w:color="auto"/>
              <w:left w:val="nil"/>
              <w:bottom w:val="single" w:sz="4" w:space="0" w:color="auto"/>
              <w:right w:val="nil"/>
            </w:tcBorders>
          </w:tcPr>
          <w:p w14:paraId="15D04B0E" w14:textId="694A0EF0" w:rsidR="00B45D86" w:rsidRPr="00FE6B34" w:rsidRDefault="00B45D86" w:rsidP="00B65E15">
            <w:pPr>
              <w:pStyle w:val="TableText"/>
              <w:spacing w:before="50" w:after="50"/>
            </w:pPr>
            <w:r w:rsidRPr="00FE6B34">
              <w:rPr>
                <w:rStyle w:val="Emphasis"/>
              </w:rPr>
              <w:t>Ceriodaphnia dubia</w:t>
            </w:r>
          </w:p>
        </w:tc>
        <w:tc>
          <w:tcPr>
            <w:tcW w:w="849" w:type="dxa"/>
            <w:tcBorders>
              <w:top w:val="single" w:sz="4" w:space="0" w:color="auto"/>
              <w:left w:val="nil"/>
              <w:bottom w:val="single" w:sz="4" w:space="0" w:color="auto"/>
              <w:right w:val="nil"/>
            </w:tcBorders>
          </w:tcPr>
          <w:p w14:paraId="72DC0AF6" w14:textId="6AC7F691" w:rsidR="00B45D86" w:rsidRPr="00045A29" w:rsidRDefault="00B45D86" w:rsidP="00265A5A">
            <w:pPr>
              <w:pStyle w:val="TableText"/>
              <w:spacing w:before="50" w:after="50"/>
            </w:pPr>
            <w:r w:rsidRPr="00045A29">
              <w:t>Neonate</w:t>
            </w:r>
          </w:p>
        </w:tc>
        <w:tc>
          <w:tcPr>
            <w:tcW w:w="989" w:type="dxa"/>
            <w:tcBorders>
              <w:top w:val="single" w:sz="4" w:space="0" w:color="auto"/>
              <w:left w:val="nil"/>
              <w:bottom w:val="single" w:sz="4" w:space="0" w:color="auto"/>
              <w:right w:val="nil"/>
            </w:tcBorders>
          </w:tcPr>
          <w:p w14:paraId="7E9D6604" w14:textId="144AF66A" w:rsidR="00B45D86" w:rsidRPr="00045A29" w:rsidRDefault="00B45D86"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2AD5339C" w14:textId="1D3C268B" w:rsidR="00B45D86" w:rsidRPr="00045A29" w:rsidRDefault="00B45D86" w:rsidP="00265A5A">
            <w:pPr>
              <w:pStyle w:val="TableText"/>
              <w:spacing w:before="50" w:after="50"/>
            </w:pPr>
            <w:r w:rsidRPr="00045A29">
              <w:t>EC10 (</w:t>
            </w:r>
            <w:r>
              <w:t>r</w:t>
            </w:r>
            <w:r w:rsidRPr="00045A29">
              <w:t>eproduction)</w:t>
            </w:r>
          </w:p>
        </w:tc>
        <w:tc>
          <w:tcPr>
            <w:tcW w:w="1277" w:type="dxa"/>
            <w:tcBorders>
              <w:top w:val="single" w:sz="4" w:space="0" w:color="auto"/>
              <w:left w:val="nil"/>
              <w:bottom w:val="single" w:sz="4" w:space="0" w:color="auto"/>
              <w:right w:val="nil"/>
            </w:tcBorders>
          </w:tcPr>
          <w:p w14:paraId="5029A809" w14:textId="41497AE8" w:rsidR="00B45D86" w:rsidRPr="00045A29" w:rsidRDefault="00B45D86"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69203C3B" w14:textId="3F9E7927" w:rsidR="00B45D86"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14B390E8" w14:textId="208BE1AB" w:rsidR="00B45D86" w:rsidRPr="00045A29" w:rsidRDefault="00B45D86" w:rsidP="00265A5A">
            <w:pPr>
              <w:pStyle w:val="TableText"/>
              <w:spacing w:before="50" w:after="50"/>
            </w:pPr>
            <w:r>
              <w:t>84</w:t>
            </w:r>
          </w:p>
        </w:tc>
        <w:tc>
          <w:tcPr>
            <w:tcW w:w="710" w:type="dxa"/>
            <w:tcBorders>
              <w:top w:val="single" w:sz="4" w:space="0" w:color="auto"/>
              <w:left w:val="nil"/>
              <w:bottom w:val="single" w:sz="4" w:space="0" w:color="auto"/>
              <w:right w:val="nil"/>
            </w:tcBorders>
          </w:tcPr>
          <w:p w14:paraId="47CAD638" w14:textId="5343BCBC" w:rsidR="00B45D86" w:rsidRPr="00045A29" w:rsidRDefault="00B45D86" w:rsidP="00265A5A">
            <w:pPr>
              <w:pStyle w:val="TableText"/>
              <w:spacing w:before="50" w:after="50"/>
            </w:pPr>
            <w:r>
              <w:t>6.3</w:t>
            </w:r>
          </w:p>
        </w:tc>
        <w:tc>
          <w:tcPr>
            <w:tcW w:w="741" w:type="dxa"/>
            <w:tcBorders>
              <w:top w:val="single" w:sz="4" w:space="0" w:color="auto"/>
              <w:left w:val="nil"/>
              <w:bottom w:val="single" w:sz="4" w:space="0" w:color="auto"/>
              <w:right w:val="nil"/>
            </w:tcBorders>
          </w:tcPr>
          <w:p w14:paraId="4B88F630" w14:textId="2217B83B" w:rsidR="00B45D86" w:rsidRPr="00510C93" w:rsidRDefault="00B45D86" w:rsidP="00265A5A">
            <w:pPr>
              <w:pStyle w:val="TableText"/>
              <w:spacing w:before="50" w:after="50"/>
            </w:pPr>
            <w:r w:rsidRPr="00510C93">
              <w:t>0.3</w:t>
            </w:r>
          </w:p>
        </w:tc>
        <w:tc>
          <w:tcPr>
            <w:tcW w:w="992" w:type="dxa"/>
            <w:tcBorders>
              <w:top w:val="single" w:sz="4" w:space="0" w:color="auto"/>
              <w:left w:val="nil"/>
              <w:bottom w:val="single" w:sz="4" w:space="0" w:color="auto"/>
              <w:right w:val="nil"/>
            </w:tcBorders>
          </w:tcPr>
          <w:p w14:paraId="60597317" w14:textId="3D1F0449" w:rsidR="00B45D86" w:rsidRPr="00510C93" w:rsidRDefault="00B45D86" w:rsidP="00265A5A">
            <w:pPr>
              <w:pStyle w:val="TableText"/>
              <w:spacing w:before="50" w:after="50"/>
            </w:pPr>
            <w:r w:rsidRPr="00510C93">
              <w:t>596</w:t>
            </w:r>
          </w:p>
        </w:tc>
        <w:tc>
          <w:tcPr>
            <w:tcW w:w="1922" w:type="dxa"/>
            <w:tcBorders>
              <w:top w:val="single" w:sz="4" w:space="0" w:color="auto"/>
              <w:left w:val="nil"/>
              <w:bottom w:val="single" w:sz="4" w:space="0" w:color="auto"/>
              <w:right w:val="nil"/>
            </w:tcBorders>
          </w:tcPr>
          <w:p w14:paraId="62A12985" w14:textId="2A4DA756" w:rsidR="00B45D86" w:rsidRDefault="00B45D86" w:rsidP="00B65E15">
            <w:pPr>
              <w:pStyle w:val="TableText"/>
              <w:spacing w:before="50" w:after="50"/>
            </w:pPr>
            <w:r>
              <w:t>Cardwell et al. (2023)</w:t>
            </w:r>
          </w:p>
        </w:tc>
      </w:tr>
      <w:tr w:rsidR="008B0BC5" w:rsidRPr="00045A29" w14:paraId="13145F69" w14:textId="77777777" w:rsidTr="008B0BC5">
        <w:trPr>
          <w:cantSplit/>
          <w:jc w:val="center"/>
        </w:trPr>
        <w:tc>
          <w:tcPr>
            <w:tcW w:w="1537" w:type="dxa"/>
            <w:tcBorders>
              <w:top w:val="single" w:sz="4" w:space="0" w:color="auto"/>
              <w:left w:val="nil"/>
              <w:bottom w:val="single" w:sz="4" w:space="0" w:color="auto"/>
              <w:right w:val="nil"/>
            </w:tcBorders>
          </w:tcPr>
          <w:p w14:paraId="5BBDCC8C" w14:textId="295E57A8" w:rsidR="00B45D86" w:rsidRDefault="00B45D86" w:rsidP="00B65E15">
            <w:pPr>
              <w:pStyle w:val="TableText"/>
              <w:spacing w:before="50" w:after="50"/>
            </w:pPr>
            <w:r>
              <w:t>Crustacean (</w:t>
            </w:r>
            <w:r w:rsidRPr="00045A29">
              <w:t>Arthropod</w:t>
            </w:r>
            <w:r>
              <w:t>)</w:t>
            </w:r>
          </w:p>
        </w:tc>
        <w:tc>
          <w:tcPr>
            <w:tcW w:w="1417" w:type="dxa"/>
            <w:tcBorders>
              <w:top w:val="single" w:sz="4" w:space="0" w:color="auto"/>
              <w:left w:val="nil"/>
              <w:bottom w:val="single" w:sz="4" w:space="0" w:color="auto"/>
              <w:right w:val="nil"/>
            </w:tcBorders>
          </w:tcPr>
          <w:p w14:paraId="1B5D0801" w14:textId="12CAD9B2" w:rsidR="00B45D86" w:rsidRPr="00FE6B34" w:rsidRDefault="00B45D86" w:rsidP="00B65E15">
            <w:pPr>
              <w:pStyle w:val="TableText"/>
              <w:spacing w:before="50" w:after="50"/>
            </w:pPr>
            <w:r w:rsidRPr="00FE6B34">
              <w:rPr>
                <w:rStyle w:val="Emphasis"/>
              </w:rPr>
              <w:t>Ceriodaphnia dubia</w:t>
            </w:r>
          </w:p>
        </w:tc>
        <w:tc>
          <w:tcPr>
            <w:tcW w:w="849" w:type="dxa"/>
            <w:tcBorders>
              <w:top w:val="single" w:sz="4" w:space="0" w:color="auto"/>
              <w:left w:val="nil"/>
              <w:bottom w:val="single" w:sz="4" w:space="0" w:color="auto"/>
              <w:right w:val="nil"/>
            </w:tcBorders>
          </w:tcPr>
          <w:p w14:paraId="5B08CC7A" w14:textId="66EAD11A" w:rsidR="00B45D86" w:rsidRPr="00045A29" w:rsidRDefault="00B45D86" w:rsidP="00265A5A">
            <w:pPr>
              <w:pStyle w:val="TableText"/>
              <w:spacing w:before="50" w:after="50"/>
            </w:pPr>
            <w:r w:rsidRPr="00045A29">
              <w:t>Neonate</w:t>
            </w:r>
          </w:p>
        </w:tc>
        <w:tc>
          <w:tcPr>
            <w:tcW w:w="989" w:type="dxa"/>
            <w:tcBorders>
              <w:top w:val="single" w:sz="4" w:space="0" w:color="auto"/>
              <w:left w:val="nil"/>
              <w:bottom w:val="single" w:sz="4" w:space="0" w:color="auto"/>
              <w:right w:val="nil"/>
            </w:tcBorders>
          </w:tcPr>
          <w:p w14:paraId="7B995469" w14:textId="5964CDC7" w:rsidR="00B45D86" w:rsidRPr="00045A29" w:rsidRDefault="00B45D86"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215279AB" w14:textId="279F59B8" w:rsidR="00B45D86" w:rsidRPr="00045A29" w:rsidRDefault="00B45D86" w:rsidP="00265A5A">
            <w:pPr>
              <w:pStyle w:val="TableText"/>
              <w:spacing w:before="50" w:after="50"/>
            </w:pPr>
            <w:r w:rsidRPr="00045A29">
              <w:t>EC10 (</w:t>
            </w:r>
            <w:r>
              <w:t>r</w:t>
            </w:r>
            <w:r w:rsidRPr="00045A29">
              <w:t>eproduction)</w:t>
            </w:r>
          </w:p>
        </w:tc>
        <w:tc>
          <w:tcPr>
            <w:tcW w:w="1277" w:type="dxa"/>
            <w:tcBorders>
              <w:top w:val="single" w:sz="4" w:space="0" w:color="auto"/>
              <w:left w:val="nil"/>
              <w:bottom w:val="single" w:sz="4" w:space="0" w:color="auto"/>
              <w:right w:val="nil"/>
            </w:tcBorders>
          </w:tcPr>
          <w:p w14:paraId="7412667E" w14:textId="3AFCFA63" w:rsidR="00B45D86" w:rsidRPr="00045A29" w:rsidRDefault="00B45D86"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00F2D3A8" w14:textId="25ECF87D" w:rsidR="00B45D86"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7EAE8C73" w14:textId="4DA73C06" w:rsidR="00B45D86" w:rsidRPr="00045A29" w:rsidRDefault="00B45D86" w:rsidP="00265A5A">
            <w:pPr>
              <w:pStyle w:val="TableText"/>
              <w:spacing w:before="50" w:after="50"/>
            </w:pPr>
            <w:r>
              <w:t>84</w:t>
            </w:r>
          </w:p>
        </w:tc>
        <w:tc>
          <w:tcPr>
            <w:tcW w:w="710" w:type="dxa"/>
            <w:tcBorders>
              <w:top w:val="single" w:sz="4" w:space="0" w:color="auto"/>
              <w:left w:val="nil"/>
              <w:bottom w:val="single" w:sz="4" w:space="0" w:color="auto"/>
              <w:right w:val="nil"/>
            </w:tcBorders>
          </w:tcPr>
          <w:p w14:paraId="094F0F5E" w14:textId="4C3D026D" w:rsidR="00B45D86" w:rsidRPr="00045A29" w:rsidRDefault="00B45D86" w:rsidP="00265A5A">
            <w:pPr>
              <w:pStyle w:val="TableText"/>
              <w:spacing w:before="50" w:after="50"/>
            </w:pPr>
            <w:r>
              <w:t>7.9</w:t>
            </w:r>
          </w:p>
        </w:tc>
        <w:tc>
          <w:tcPr>
            <w:tcW w:w="741" w:type="dxa"/>
            <w:tcBorders>
              <w:top w:val="single" w:sz="4" w:space="0" w:color="auto"/>
              <w:left w:val="nil"/>
              <w:bottom w:val="single" w:sz="4" w:space="0" w:color="auto"/>
              <w:right w:val="nil"/>
            </w:tcBorders>
          </w:tcPr>
          <w:p w14:paraId="390D4445" w14:textId="4D79B9F1" w:rsidR="00B45D86" w:rsidRDefault="00B45D86" w:rsidP="00265A5A">
            <w:pPr>
              <w:pStyle w:val="TableText"/>
              <w:spacing w:before="50" w:after="50"/>
            </w:pPr>
            <w:r>
              <w:t>2</w:t>
            </w:r>
          </w:p>
        </w:tc>
        <w:tc>
          <w:tcPr>
            <w:tcW w:w="992" w:type="dxa"/>
            <w:tcBorders>
              <w:top w:val="single" w:sz="4" w:space="0" w:color="auto"/>
              <w:left w:val="nil"/>
              <w:bottom w:val="single" w:sz="4" w:space="0" w:color="auto"/>
              <w:right w:val="nil"/>
            </w:tcBorders>
          </w:tcPr>
          <w:p w14:paraId="4D00CA9B" w14:textId="18D44138" w:rsidR="00B45D86" w:rsidRDefault="00B45D86" w:rsidP="00265A5A">
            <w:pPr>
              <w:pStyle w:val="TableText"/>
              <w:spacing w:before="50" w:after="50"/>
            </w:pPr>
            <w:r>
              <w:t>961</w:t>
            </w:r>
          </w:p>
        </w:tc>
        <w:tc>
          <w:tcPr>
            <w:tcW w:w="1922" w:type="dxa"/>
            <w:tcBorders>
              <w:top w:val="single" w:sz="4" w:space="0" w:color="auto"/>
              <w:left w:val="nil"/>
              <w:bottom w:val="single" w:sz="4" w:space="0" w:color="auto"/>
              <w:right w:val="nil"/>
            </w:tcBorders>
          </w:tcPr>
          <w:p w14:paraId="32697759" w14:textId="5890F5A9" w:rsidR="00B45D86" w:rsidRDefault="00B45D86" w:rsidP="00B65E15">
            <w:pPr>
              <w:pStyle w:val="TableText"/>
              <w:spacing w:before="50" w:after="50"/>
            </w:pPr>
            <w:r>
              <w:t>Cardwell et al. (2023)</w:t>
            </w:r>
          </w:p>
        </w:tc>
      </w:tr>
      <w:tr w:rsidR="008B0BC5" w:rsidRPr="00045A29" w14:paraId="7F0A4CEB" w14:textId="77777777" w:rsidTr="008B0BC5">
        <w:trPr>
          <w:cantSplit/>
          <w:jc w:val="center"/>
        </w:trPr>
        <w:tc>
          <w:tcPr>
            <w:tcW w:w="1537" w:type="dxa"/>
            <w:tcBorders>
              <w:top w:val="single" w:sz="4" w:space="0" w:color="auto"/>
              <w:left w:val="nil"/>
              <w:bottom w:val="single" w:sz="4" w:space="0" w:color="auto"/>
              <w:right w:val="nil"/>
            </w:tcBorders>
          </w:tcPr>
          <w:p w14:paraId="623D9AC5" w14:textId="7ACB624E" w:rsidR="00B45D86" w:rsidRDefault="00B45D86" w:rsidP="00B65E15">
            <w:pPr>
              <w:pStyle w:val="TableText"/>
              <w:spacing w:before="50" w:after="50"/>
            </w:pPr>
            <w:r>
              <w:t>Crustacean (</w:t>
            </w:r>
            <w:r w:rsidRPr="00045A29">
              <w:t>Arthropod</w:t>
            </w:r>
            <w:r>
              <w:t>)</w:t>
            </w:r>
          </w:p>
        </w:tc>
        <w:tc>
          <w:tcPr>
            <w:tcW w:w="1417" w:type="dxa"/>
            <w:tcBorders>
              <w:top w:val="single" w:sz="4" w:space="0" w:color="auto"/>
              <w:left w:val="nil"/>
              <w:bottom w:val="single" w:sz="4" w:space="0" w:color="auto"/>
              <w:right w:val="nil"/>
            </w:tcBorders>
          </w:tcPr>
          <w:p w14:paraId="706757B2" w14:textId="03F7D511" w:rsidR="00B45D86" w:rsidRPr="00FE6B34" w:rsidRDefault="00B45D86" w:rsidP="00B65E15">
            <w:pPr>
              <w:pStyle w:val="TableText"/>
              <w:spacing w:before="50" w:after="50"/>
            </w:pPr>
            <w:r w:rsidRPr="00FE6B34">
              <w:rPr>
                <w:rStyle w:val="Emphasis"/>
              </w:rPr>
              <w:t>Ceriodaphnia dubia</w:t>
            </w:r>
          </w:p>
        </w:tc>
        <w:tc>
          <w:tcPr>
            <w:tcW w:w="849" w:type="dxa"/>
            <w:tcBorders>
              <w:top w:val="single" w:sz="4" w:space="0" w:color="auto"/>
              <w:left w:val="nil"/>
              <w:bottom w:val="single" w:sz="4" w:space="0" w:color="auto"/>
              <w:right w:val="nil"/>
            </w:tcBorders>
          </w:tcPr>
          <w:p w14:paraId="479C4997" w14:textId="07A8C2D7" w:rsidR="00B45D86" w:rsidRPr="00045A29" w:rsidRDefault="00B45D86" w:rsidP="00265A5A">
            <w:pPr>
              <w:pStyle w:val="TableText"/>
              <w:spacing w:before="50" w:after="50"/>
            </w:pPr>
            <w:r w:rsidRPr="00045A29">
              <w:t>Neonate</w:t>
            </w:r>
          </w:p>
        </w:tc>
        <w:tc>
          <w:tcPr>
            <w:tcW w:w="989" w:type="dxa"/>
            <w:tcBorders>
              <w:top w:val="single" w:sz="4" w:space="0" w:color="auto"/>
              <w:left w:val="nil"/>
              <w:bottom w:val="single" w:sz="4" w:space="0" w:color="auto"/>
              <w:right w:val="nil"/>
            </w:tcBorders>
          </w:tcPr>
          <w:p w14:paraId="51BFFE7F" w14:textId="704768A7" w:rsidR="00B45D86" w:rsidRPr="00045A29" w:rsidRDefault="00B45D86"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20C21B62" w14:textId="2741BCAA" w:rsidR="00B45D86" w:rsidRPr="00045A29" w:rsidRDefault="00B45D86" w:rsidP="00265A5A">
            <w:pPr>
              <w:pStyle w:val="TableText"/>
              <w:spacing w:before="50" w:after="50"/>
            </w:pPr>
            <w:r w:rsidRPr="00045A29">
              <w:t>EC10 (</w:t>
            </w:r>
            <w:r>
              <w:t>r</w:t>
            </w:r>
            <w:r w:rsidRPr="00045A29">
              <w:t>eproduction)</w:t>
            </w:r>
          </w:p>
        </w:tc>
        <w:tc>
          <w:tcPr>
            <w:tcW w:w="1277" w:type="dxa"/>
            <w:tcBorders>
              <w:top w:val="single" w:sz="4" w:space="0" w:color="auto"/>
              <w:left w:val="nil"/>
              <w:bottom w:val="single" w:sz="4" w:space="0" w:color="auto"/>
              <w:right w:val="nil"/>
            </w:tcBorders>
          </w:tcPr>
          <w:p w14:paraId="51A146D5" w14:textId="0BF957C6" w:rsidR="00B45D86" w:rsidRDefault="00B45D86"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3327371E" w14:textId="77A8F83B" w:rsidR="00B45D86"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027A364B" w14:textId="2847DD35" w:rsidR="00B45D86" w:rsidRDefault="00B45D86" w:rsidP="00265A5A">
            <w:pPr>
              <w:pStyle w:val="TableText"/>
              <w:spacing w:before="50" w:after="50"/>
            </w:pPr>
            <w:r>
              <w:t>252</w:t>
            </w:r>
          </w:p>
        </w:tc>
        <w:tc>
          <w:tcPr>
            <w:tcW w:w="710" w:type="dxa"/>
            <w:tcBorders>
              <w:top w:val="single" w:sz="4" w:space="0" w:color="auto"/>
              <w:left w:val="nil"/>
              <w:bottom w:val="single" w:sz="4" w:space="0" w:color="auto"/>
              <w:right w:val="nil"/>
            </w:tcBorders>
          </w:tcPr>
          <w:p w14:paraId="25819E29" w14:textId="5DB9F9BA" w:rsidR="00B45D86" w:rsidRDefault="00B45D86" w:rsidP="00265A5A">
            <w:pPr>
              <w:pStyle w:val="TableText"/>
              <w:spacing w:before="50" w:after="50"/>
            </w:pPr>
            <w:r>
              <w:t>6.3</w:t>
            </w:r>
          </w:p>
        </w:tc>
        <w:tc>
          <w:tcPr>
            <w:tcW w:w="741" w:type="dxa"/>
            <w:tcBorders>
              <w:top w:val="single" w:sz="4" w:space="0" w:color="auto"/>
              <w:left w:val="nil"/>
              <w:bottom w:val="single" w:sz="4" w:space="0" w:color="auto"/>
              <w:right w:val="nil"/>
            </w:tcBorders>
          </w:tcPr>
          <w:p w14:paraId="789D463D" w14:textId="6673983B" w:rsidR="00B45D86" w:rsidRDefault="00B45D86" w:rsidP="00265A5A">
            <w:pPr>
              <w:pStyle w:val="TableText"/>
              <w:spacing w:before="50" w:after="50"/>
            </w:pPr>
            <w:r>
              <w:t>0.3</w:t>
            </w:r>
          </w:p>
        </w:tc>
        <w:tc>
          <w:tcPr>
            <w:tcW w:w="992" w:type="dxa"/>
            <w:tcBorders>
              <w:top w:val="single" w:sz="4" w:space="0" w:color="auto"/>
              <w:left w:val="nil"/>
              <w:bottom w:val="single" w:sz="4" w:space="0" w:color="auto"/>
              <w:right w:val="nil"/>
            </w:tcBorders>
          </w:tcPr>
          <w:p w14:paraId="449C7D9B" w14:textId="4B722969" w:rsidR="00B45D86" w:rsidRDefault="00B45D86" w:rsidP="00265A5A">
            <w:pPr>
              <w:pStyle w:val="TableText"/>
              <w:spacing w:before="50" w:after="50"/>
            </w:pPr>
            <w:r>
              <w:t>776</w:t>
            </w:r>
          </w:p>
        </w:tc>
        <w:tc>
          <w:tcPr>
            <w:tcW w:w="1922" w:type="dxa"/>
            <w:tcBorders>
              <w:top w:val="single" w:sz="4" w:space="0" w:color="auto"/>
              <w:left w:val="nil"/>
              <w:bottom w:val="single" w:sz="4" w:space="0" w:color="auto"/>
              <w:right w:val="nil"/>
            </w:tcBorders>
          </w:tcPr>
          <w:p w14:paraId="428B8F6E" w14:textId="2716E334" w:rsidR="00B45D86" w:rsidRDefault="00B45D86" w:rsidP="00B65E15">
            <w:pPr>
              <w:pStyle w:val="TableText"/>
              <w:spacing w:before="50" w:after="50"/>
            </w:pPr>
            <w:r>
              <w:t>Cardwell et al. (2023)</w:t>
            </w:r>
          </w:p>
        </w:tc>
      </w:tr>
      <w:tr w:rsidR="008B0BC5" w:rsidRPr="00045A29" w14:paraId="0BF23C6C" w14:textId="77777777" w:rsidTr="008B0BC5">
        <w:trPr>
          <w:cantSplit/>
          <w:jc w:val="center"/>
        </w:trPr>
        <w:tc>
          <w:tcPr>
            <w:tcW w:w="1537" w:type="dxa"/>
            <w:tcBorders>
              <w:top w:val="single" w:sz="4" w:space="0" w:color="auto"/>
              <w:left w:val="nil"/>
              <w:bottom w:val="single" w:sz="4" w:space="0" w:color="auto"/>
              <w:right w:val="nil"/>
            </w:tcBorders>
          </w:tcPr>
          <w:p w14:paraId="3A588B9B" w14:textId="2B8BDE31" w:rsidR="00B45D86" w:rsidRDefault="00B45D86" w:rsidP="00B65E15">
            <w:pPr>
              <w:pStyle w:val="TableText"/>
              <w:spacing w:before="50" w:after="50"/>
            </w:pPr>
            <w:r>
              <w:t>Crustacean (</w:t>
            </w:r>
            <w:r w:rsidRPr="00045A29">
              <w:t>Arthropod</w:t>
            </w:r>
            <w:r>
              <w:t>)</w:t>
            </w:r>
          </w:p>
        </w:tc>
        <w:tc>
          <w:tcPr>
            <w:tcW w:w="1417" w:type="dxa"/>
            <w:tcBorders>
              <w:top w:val="single" w:sz="4" w:space="0" w:color="auto"/>
              <w:left w:val="nil"/>
              <w:bottom w:val="single" w:sz="4" w:space="0" w:color="auto"/>
              <w:right w:val="nil"/>
            </w:tcBorders>
          </w:tcPr>
          <w:p w14:paraId="71F09E76" w14:textId="30C3A932" w:rsidR="00B45D86" w:rsidRPr="00FE6B34" w:rsidRDefault="00B45D86" w:rsidP="00B65E15">
            <w:pPr>
              <w:pStyle w:val="TableText"/>
              <w:spacing w:before="50" w:after="50"/>
            </w:pPr>
            <w:r w:rsidRPr="00FE6B34">
              <w:rPr>
                <w:rStyle w:val="Emphasis"/>
              </w:rPr>
              <w:t>Ceriodaphnia dubia</w:t>
            </w:r>
          </w:p>
        </w:tc>
        <w:tc>
          <w:tcPr>
            <w:tcW w:w="849" w:type="dxa"/>
            <w:tcBorders>
              <w:top w:val="single" w:sz="4" w:space="0" w:color="auto"/>
              <w:left w:val="nil"/>
              <w:bottom w:val="single" w:sz="4" w:space="0" w:color="auto"/>
              <w:right w:val="nil"/>
            </w:tcBorders>
          </w:tcPr>
          <w:p w14:paraId="36FBF6F3" w14:textId="14EA802B" w:rsidR="00B45D86" w:rsidRPr="00045A29" w:rsidRDefault="00B45D86" w:rsidP="00265A5A">
            <w:pPr>
              <w:pStyle w:val="TableText"/>
              <w:spacing w:before="50" w:after="50"/>
            </w:pPr>
            <w:r w:rsidRPr="00045A29">
              <w:t>Neonate</w:t>
            </w:r>
          </w:p>
        </w:tc>
        <w:tc>
          <w:tcPr>
            <w:tcW w:w="989" w:type="dxa"/>
            <w:tcBorders>
              <w:top w:val="single" w:sz="4" w:space="0" w:color="auto"/>
              <w:left w:val="nil"/>
              <w:bottom w:val="single" w:sz="4" w:space="0" w:color="auto"/>
              <w:right w:val="nil"/>
            </w:tcBorders>
          </w:tcPr>
          <w:p w14:paraId="7B3D9946" w14:textId="03439D9C" w:rsidR="00B45D86" w:rsidRPr="00045A29" w:rsidRDefault="00B45D86"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4FD62D54" w14:textId="1FEF90EA" w:rsidR="00B45D86" w:rsidRPr="00045A29" w:rsidRDefault="00B45D86" w:rsidP="00265A5A">
            <w:pPr>
              <w:pStyle w:val="TableText"/>
              <w:spacing w:before="50" w:after="50"/>
            </w:pPr>
            <w:r w:rsidRPr="00045A29">
              <w:t>EC10 (</w:t>
            </w:r>
            <w:r>
              <w:t>r</w:t>
            </w:r>
            <w:r w:rsidRPr="00045A29">
              <w:t>eproduction)</w:t>
            </w:r>
          </w:p>
        </w:tc>
        <w:tc>
          <w:tcPr>
            <w:tcW w:w="1277" w:type="dxa"/>
            <w:tcBorders>
              <w:top w:val="single" w:sz="4" w:space="0" w:color="auto"/>
              <w:left w:val="nil"/>
              <w:bottom w:val="single" w:sz="4" w:space="0" w:color="auto"/>
              <w:right w:val="nil"/>
            </w:tcBorders>
          </w:tcPr>
          <w:p w14:paraId="6695DE42" w14:textId="161E7538" w:rsidR="00B45D86" w:rsidRPr="00045A29" w:rsidRDefault="00B45D86"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1E7C75A7" w14:textId="7926B869" w:rsidR="00B45D86"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27BA3BD2" w14:textId="5CA5696C" w:rsidR="00B45D86" w:rsidRPr="00045A29" w:rsidRDefault="00B45D86" w:rsidP="00265A5A">
            <w:pPr>
              <w:pStyle w:val="TableText"/>
              <w:spacing w:before="50" w:after="50"/>
            </w:pPr>
            <w:r>
              <w:t>252</w:t>
            </w:r>
          </w:p>
        </w:tc>
        <w:tc>
          <w:tcPr>
            <w:tcW w:w="710" w:type="dxa"/>
            <w:tcBorders>
              <w:top w:val="single" w:sz="4" w:space="0" w:color="auto"/>
              <w:left w:val="nil"/>
              <w:bottom w:val="single" w:sz="4" w:space="0" w:color="auto"/>
              <w:right w:val="nil"/>
            </w:tcBorders>
          </w:tcPr>
          <w:p w14:paraId="2E95AAF3" w14:textId="2983A33C" w:rsidR="00B45D86" w:rsidRPr="00045A29" w:rsidRDefault="00B45D86" w:rsidP="00265A5A">
            <w:pPr>
              <w:pStyle w:val="TableText"/>
              <w:spacing w:before="50" w:after="50"/>
            </w:pPr>
            <w:r>
              <w:t>8.4</w:t>
            </w:r>
          </w:p>
        </w:tc>
        <w:tc>
          <w:tcPr>
            <w:tcW w:w="741" w:type="dxa"/>
            <w:tcBorders>
              <w:top w:val="single" w:sz="4" w:space="0" w:color="auto"/>
              <w:left w:val="nil"/>
              <w:bottom w:val="single" w:sz="4" w:space="0" w:color="auto"/>
              <w:right w:val="nil"/>
            </w:tcBorders>
          </w:tcPr>
          <w:p w14:paraId="3ECC06F1" w14:textId="3A1A0FFC" w:rsidR="00B45D86" w:rsidRDefault="00B45D86" w:rsidP="00265A5A">
            <w:pPr>
              <w:pStyle w:val="TableText"/>
              <w:spacing w:before="50" w:after="50"/>
            </w:pPr>
            <w:r>
              <w:t>7.0</w:t>
            </w:r>
          </w:p>
        </w:tc>
        <w:tc>
          <w:tcPr>
            <w:tcW w:w="992" w:type="dxa"/>
            <w:tcBorders>
              <w:top w:val="single" w:sz="4" w:space="0" w:color="auto"/>
              <w:left w:val="nil"/>
              <w:bottom w:val="single" w:sz="4" w:space="0" w:color="auto"/>
              <w:right w:val="nil"/>
            </w:tcBorders>
          </w:tcPr>
          <w:p w14:paraId="34331D26" w14:textId="14277729" w:rsidR="00B45D86" w:rsidRDefault="00B45D86" w:rsidP="00265A5A">
            <w:pPr>
              <w:pStyle w:val="TableText"/>
              <w:spacing w:before="50" w:after="50"/>
            </w:pPr>
            <w:r>
              <w:t>4,476</w:t>
            </w:r>
          </w:p>
        </w:tc>
        <w:tc>
          <w:tcPr>
            <w:tcW w:w="1922" w:type="dxa"/>
            <w:tcBorders>
              <w:top w:val="single" w:sz="4" w:space="0" w:color="auto"/>
              <w:left w:val="nil"/>
              <w:bottom w:val="single" w:sz="4" w:space="0" w:color="auto"/>
              <w:right w:val="nil"/>
            </w:tcBorders>
          </w:tcPr>
          <w:p w14:paraId="27F20D3A" w14:textId="6CE5C326" w:rsidR="00B45D86" w:rsidRDefault="00B45D86" w:rsidP="00B65E15">
            <w:pPr>
              <w:pStyle w:val="TableText"/>
              <w:spacing w:before="50" w:after="50"/>
            </w:pPr>
            <w:r>
              <w:t>Cardwell et al. (2023)</w:t>
            </w:r>
          </w:p>
        </w:tc>
      </w:tr>
      <w:tr w:rsidR="00F5513E" w:rsidRPr="00045A29" w14:paraId="60F838F3" w14:textId="77777777" w:rsidTr="00B65E15">
        <w:trPr>
          <w:cantSplit/>
          <w:jc w:val="center"/>
        </w:trPr>
        <w:tc>
          <w:tcPr>
            <w:tcW w:w="1537" w:type="dxa"/>
            <w:tcBorders>
              <w:top w:val="single" w:sz="4" w:space="0" w:color="auto"/>
              <w:left w:val="nil"/>
              <w:bottom w:val="single" w:sz="4" w:space="0" w:color="auto"/>
              <w:right w:val="nil"/>
            </w:tcBorders>
          </w:tcPr>
          <w:p w14:paraId="68125613" w14:textId="20A74549" w:rsidR="00B45D86" w:rsidRDefault="00B45D86" w:rsidP="00B65E15">
            <w:pPr>
              <w:pStyle w:val="TableText"/>
              <w:spacing w:before="50" w:after="50"/>
            </w:pPr>
            <w:r>
              <w:t>Crustacean (</w:t>
            </w:r>
            <w:r w:rsidRPr="00045A29">
              <w:t>Arthropod</w:t>
            </w:r>
            <w:r>
              <w:t>)</w:t>
            </w:r>
          </w:p>
        </w:tc>
        <w:tc>
          <w:tcPr>
            <w:tcW w:w="1417" w:type="dxa"/>
            <w:tcBorders>
              <w:top w:val="single" w:sz="4" w:space="0" w:color="auto"/>
              <w:left w:val="nil"/>
              <w:bottom w:val="single" w:sz="4" w:space="0" w:color="auto"/>
              <w:right w:val="nil"/>
            </w:tcBorders>
          </w:tcPr>
          <w:p w14:paraId="227D01E7" w14:textId="77777777" w:rsidR="00B45D86" w:rsidRPr="00FE6B34" w:rsidRDefault="00B45D86" w:rsidP="00B65E15">
            <w:pPr>
              <w:pStyle w:val="TableText"/>
              <w:spacing w:before="50" w:after="50"/>
              <w:rPr>
                <w:rStyle w:val="Emphasis"/>
              </w:rPr>
            </w:pPr>
            <w:r w:rsidRPr="00FE6B34">
              <w:rPr>
                <w:rStyle w:val="Emphasis"/>
              </w:rPr>
              <w:t>Daphnia magna</w:t>
            </w:r>
          </w:p>
        </w:tc>
        <w:tc>
          <w:tcPr>
            <w:tcW w:w="849" w:type="dxa"/>
            <w:tcBorders>
              <w:top w:val="single" w:sz="4" w:space="0" w:color="auto"/>
              <w:left w:val="nil"/>
              <w:bottom w:val="single" w:sz="4" w:space="0" w:color="auto"/>
              <w:right w:val="nil"/>
            </w:tcBorders>
          </w:tcPr>
          <w:p w14:paraId="30BEBD15" w14:textId="77777777" w:rsidR="00B45D86" w:rsidRPr="00045A29" w:rsidRDefault="00B45D86" w:rsidP="00265A5A">
            <w:pPr>
              <w:pStyle w:val="TableText"/>
              <w:spacing w:before="50" w:after="50"/>
            </w:pPr>
            <w:r>
              <w:t>Neonate</w:t>
            </w:r>
          </w:p>
        </w:tc>
        <w:tc>
          <w:tcPr>
            <w:tcW w:w="989" w:type="dxa"/>
            <w:tcBorders>
              <w:top w:val="single" w:sz="4" w:space="0" w:color="auto"/>
              <w:left w:val="nil"/>
              <w:bottom w:val="single" w:sz="4" w:space="0" w:color="auto"/>
              <w:right w:val="nil"/>
            </w:tcBorders>
          </w:tcPr>
          <w:p w14:paraId="20689105" w14:textId="77777777" w:rsidR="00B45D86" w:rsidRPr="00045A29" w:rsidRDefault="00B45D86" w:rsidP="00386786">
            <w:pPr>
              <w:pStyle w:val="TableText"/>
              <w:spacing w:before="50" w:after="50"/>
              <w:ind w:right="284"/>
              <w:jc w:val="right"/>
            </w:pPr>
            <w:r>
              <w:t>21</w:t>
            </w:r>
          </w:p>
        </w:tc>
        <w:tc>
          <w:tcPr>
            <w:tcW w:w="1559" w:type="dxa"/>
            <w:tcBorders>
              <w:top w:val="single" w:sz="4" w:space="0" w:color="auto"/>
              <w:left w:val="nil"/>
              <w:bottom w:val="single" w:sz="4" w:space="0" w:color="auto"/>
              <w:right w:val="nil"/>
            </w:tcBorders>
          </w:tcPr>
          <w:p w14:paraId="41D1F351" w14:textId="4C19D7FD" w:rsidR="00B45D86" w:rsidRPr="00045A29" w:rsidRDefault="00B45D86" w:rsidP="00265A5A">
            <w:pPr>
              <w:pStyle w:val="TableText"/>
              <w:spacing w:before="50" w:after="50"/>
            </w:pPr>
            <w:r>
              <w:t>EC16</w:t>
            </w:r>
            <w:r w:rsidRPr="00045A29">
              <w:t xml:space="preserve"> (</w:t>
            </w:r>
            <w:r>
              <w:t>r</w:t>
            </w:r>
            <w:r w:rsidRPr="00045A29">
              <w:t>eproduction)</w:t>
            </w:r>
          </w:p>
        </w:tc>
        <w:tc>
          <w:tcPr>
            <w:tcW w:w="1277" w:type="dxa"/>
            <w:tcBorders>
              <w:top w:val="single" w:sz="4" w:space="0" w:color="auto"/>
              <w:left w:val="nil"/>
              <w:bottom w:val="single" w:sz="4" w:space="0" w:color="auto"/>
              <w:right w:val="nil"/>
            </w:tcBorders>
          </w:tcPr>
          <w:p w14:paraId="2E70367B" w14:textId="77777777" w:rsidR="00B45D86" w:rsidRPr="00045A29" w:rsidRDefault="00B45D86" w:rsidP="00265A5A">
            <w:pPr>
              <w:pStyle w:val="TableText"/>
              <w:spacing w:before="50" w:after="50"/>
            </w:pPr>
            <w:r>
              <w:t>Unfiltered Lake Superior water</w:t>
            </w:r>
          </w:p>
        </w:tc>
        <w:tc>
          <w:tcPr>
            <w:tcW w:w="989" w:type="dxa"/>
            <w:tcBorders>
              <w:top w:val="single" w:sz="4" w:space="0" w:color="auto"/>
              <w:left w:val="nil"/>
              <w:bottom w:val="single" w:sz="4" w:space="0" w:color="auto"/>
              <w:right w:val="nil"/>
            </w:tcBorders>
          </w:tcPr>
          <w:p w14:paraId="21E6CE2C" w14:textId="77777777" w:rsidR="00B45D86" w:rsidRDefault="00B45D86" w:rsidP="00265A5A">
            <w:pPr>
              <w:pStyle w:val="TableText"/>
              <w:spacing w:before="50" w:after="50"/>
            </w:pPr>
            <w:r>
              <w:t>18</w:t>
            </w:r>
          </w:p>
        </w:tc>
        <w:tc>
          <w:tcPr>
            <w:tcW w:w="989" w:type="dxa"/>
            <w:tcBorders>
              <w:top w:val="single" w:sz="4" w:space="0" w:color="auto"/>
              <w:left w:val="nil"/>
              <w:bottom w:val="single" w:sz="4" w:space="0" w:color="auto"/>
              <w:right w:val="nil"/>
            </w:tcBorders>
          </w:tcPr>
          <w:p w14:paraId="2E803E62" w14:textId="77777777" w:rsidR="00B45D86" w:rsidRPr="00045A29" w:rsidRDefault="00B45D86" w:rsidP="00265A5A">
            <w:pPr>
              <w:pStyle w:val="TableText"/>
              <w:spacing w:before="50" w:after="50"/>
            </w:pPr>
            <w:r>
              <w:t>45.3</w:t>
            </w:r>
          </w:p>
        </w:tc>
        <w:tc>
          <w:tcPr>
            <w:tcW w:w="710" w:type="dxa"/>
            <w:tcBorders>
              <w:top w:val="single" w:sz="4" w:space="0" w:color="auto"/>
              <w:left w:val="nil"/>
              <w:bottom w:val="single" w:sz="4" w:space="0" w:color="auto"/>
              <w:right w:val="nil"/>
            </w:tcBorders>
          </w:tcPr>
          <w:p w14:paraId="08E60B9F" w14:textId="77777777" w:rsidR="00B45D86" w:rsidRPr="00045A29" w:rsidRDefault="00B45D86" w:rsidP="00265A5A">
            <w:pPr>
              <w:pStyle w:val="TableText"/>
              <w:spacing w:before="50" w:after="50"/>
            </w:pPr>
            <w:r>
              <w:t>7.7</w:t>
            </w:r>
          </w:p>
        </w:tc>
        <w:tc>
          <w:tcPr>
            <w:tcW w:w="741" w:type="dxa"/>
            <w:tcBorders>
              <w:top w:val="single" w:sz="4" w:space="0" w:color="auto"/>
              <w:left w:val="nil"/>
              <w:bottom w:val="single" w:sz="4" w:space="0" w:color="auto"/>
              <w:right w:val="nil"/>
            </w:tcBorders>
          </w:tcPr>
          <w:p w14:paraId="7C589A51" w14:textId="77777777" w:rsidR="00B45D86" w:rsidRPr="00045A29" w:rsidRDefault="00B45D86" w:rsidP="00265A5A">
            <w:pPr>
              <w:pStyle w:val="TableText"/>
              <w:spacing w:before="50" w:after="50"/>
            </w:pPr>
            <w:r>
              <w:t>NR</w:t>
            </w:r>
          </w:p>
        </w:tc>
        <w:tc>
          <w:tcPr>
            <w:tcW w:w="992" w:type="dxa"/>
            <w:tcBorders>
              <w:top w:val="single" w:sz="4" w:space="0" w:color="auto"/>
              <w:left w:val="nil"/>
              <w:bottom w:val="single" w:sz="4" w:space="0" w:color="auto"/>
              <w:right w:val="nil"/>
            </w:tcBorders>
          </w:tcPr>
          <w:p w14:paraId="6E25012C" w14:textId="7E6A28A0" w:rsidR="00B45D86" w:rsidRPr="00045A29" w:rsidRDefault="00B45D86" w:rsidP="00265A5A">
            <w:pPr>
              <w:pStyle w:val="TableText"/>
              <w:spacing w:before="50" w:after="50"/>
            </w:pPr>
            <w:r>
              <w:t>4,380</w:t>
            </w:r>
          </w:p>
        </w:tc>
        <w:tc>
          <w:tcPr>
            <w:tcW w:w="1922" w:type="dxa"/>
            <w:tcBorders>
              <w:top w:val="single" w:sz="4" w:space="0" w:color="auto"/>
              <w:left w:val="nil"/>
              <w:bottom w:val="single" w:sz="4" w:space="0" w:color="auto"/>
              <w:right w:val="nil"/>
            </w:tcBorders>
          </w:tcPr>
          <w:p w14:paraId="1CAAD69E" w14:textId="167FCFEB" w:rsidR="00B45D86" w:rsidRDefault="00B45D86" w:rsidP="00B65E15">
            <w:pPr>
              <w:pStyle w:val="TableText"/>
              <w:spacing w:before="50" w:after="50"/>
            </w:pPr>
            <w:r w:rsidRPr="0069155E">
              <w:t>Biesinger</w:t>
            </w:r>
            <w:r>
              <w:t xml:space="preserve"> and</w:t>
            </w:r>
            <w:r w:rsidRPr="0069155E">
              <w:t xml:space="preserve"> Christensen</w:t>
            </w:r>
            <w:r>
              <w:t xml:space="preserve"> </w:t>
            </w:r>
            <w:r w:rsidRPr="0069155E">
              <w:t>(1972</w:t>
            </w:r>
            <w:r>
              <w:t>)</w:t>
            </w:r>
          </w:p>
        </w:tc>
      </w:tr>
      <w:tr w:rsidR="00F5513E" w:rsidRPr="00045A29" w14:paraId="1822D97D" w14:textId="77777777" w:rsidTr="00B65E15">
        <w:trPr>
          <w:cantSplit/>
          <w:jc w:val="center"/>
        </w:trPr>
        <w:tc>
          <w:tcPr>
            <w:tcW w:w="1537" w:type="dxa"/>
            <w:tcBorders>
              <w:top w:val="single" w:sz="4" w:space="0" w:color="auto"/>
              <w:left w:val="nil"/>
              <w:bottom w:val="single" w:sz="4" w:space="0" w:color="auto"/>
              <w:right w:val="nil"/>
            </w:tcBorders>
          </w:tcPr>
          <w:p w14:paraId="17B94D6A" w14:textId="08F1D664" w:rsidR="00B45D86" w:rsidRDefault="00B45D86" w:rsidP="00B65E15">
            <w:pPr>
              <w:pStyle w:val="TableText"/>
              <w:spacing w:before="50" w:after="50"/>
            </w:pPr>
            <w:r>
              <w:t>Crustacean (</w:t>
            </w:r>
            <w:r w:rsidRPr="00045A29">
              <w:t>Arthropod</w:t>
            </w:r>
            <w:r>
              <w:t>)</w:t>
            </w:r>
          </w:p>
        </w:tc>
        <w:tc>
          <w:tcPr>
            <w:tcW w:w="1417" w:type="dxa"/>
            <w:tcBorders>
              <w:top w:val="single" w:sz="4" w:space="0" w:color="auto"/>
              <w:left w:val="nil"/>
              <w:bottom w:val="single" w:sz="4" w:space="0" w:color="auto"/>
              <w:right w:val="nil"/>
            </w:tcBorders>
          </w:tcPr>
          <w:p w14:paraId="3ADB931B" w14:textId="77777777" w:rsidR="00B45D86" w:rsidRPr="00FE6B34" w:rsidRDefault="00B45D86" w:rsidP="00B65E15">
            <w:pPr>
              <w:pStyle w:val="TableText"/>
              <w:spacing w:before="50" w:after="50"/>
              <w:rPr>
                <w:rStyle w:val="Emphasis"/>
              </w:rPr>
            </w:pPr>
            <w:r w:rsidRPr="00FE6B34">
              <w:rPr>
                <w:rStyle w:val="Emphasis"/>
              </w:rPr>
              <w:t>Daphnia pulex</w:t>
            </w:r>
          </w:p>
        </w:tc>
        <w:tc>
          <w:tcPr>
            <w:tcW w:w="849" w:type="dxa"/>
            <w:tcBorders>
              <w:top w:val="single" w:sz="4" w:space="0" w:color="auto"/>
              <w:left w:val="nil"/>
              <w:bottom w:val="single" w:sz="4" w:space="0" w:color="auto"/>
              <w:right w:val="nil"/>
            </w:tcBorders>
          </w:tcPr>
          <w:p w14:paraId="14A7441C" w14:textId="77777777" w:rsidR="00B45D86" w:rsidRPr="00045A29" w:rsidRDefault="00B45D86" w:rsidP="00265A5A">
            <w:pPr>
              <w:pStyle w:val="TableText"/>
              <w:spacing w:before="50" w:after="50"/>
            </w:pPr>
            <w:r>
              <w:t>Neonate</w:t>
            </w:r>
          </w:p>
        </w:tc>
        <w:tc>
          <w:tcPr>
            <w:tcW w:w="989" w:type="dxa"/>
            <w:tcBorders>
              <w:top w:val="single" w:sz="4" w:space="0" w:color="auto"/>
              <w:left w:val="nil"/>
              <w:bottom w:val="single" w:sz="4" w:space="0" w:color="auto"/>
              <w:right w:val="nil"/>
            </w:tcBorders>
          </w:tcPr>
          <w:p w14:paraId="6FEC9CB8" w14:textId="77777777" w:rsidR="00B45D86" w:rsidRPr="00045A29" w:rsidRDefault="00B45D86" w:rsidP="00386786">
            <w:pPr>
              <w:pStyle w:val="TableText"/>
              <w:spacing w:before="50" w:after="50"/>
              <w:ind w:right="284"/>
              <w:jc w:val="right"/>
            </w:pPr>
            <w:r>
              <w:t>21</w:t>
            </w:r>
          </w:p>
        </w:tc>
        <w:tc>
          <w:tcPr>
            <w:tcW w:w="1559" w:type="dxa"/>
            <w:tcBorders>
              <w:top w:val="single" w:sz="4" w:space="0" w:color="auto"/>
              <w:left w:val="nil"/>
              <w:bottom w:val="single" w:sz="4" w:space="0" w:color="auto"/>
              <w:right w:val="nil"/>
            </w:tcBorders>
          </w:tcPr>
          <w:p w14:paraId="6E29B3CD" w14:textId="40BA6D48" w:rsidR="00B45D86" w:rsidRPr="00045A29" w:rsidRDefault="00B45D86" w:rsidP="00265A5A">
            <w:pPr>
              <w:pStyle w:val="TableText"/>
              <w:spacing w:before="50" w:after="50"/>
            </w:pPr>
            <w:r>
              <w:t>EC10 (reproduction)</w:t>
            </w:r>
          </w:p>
        </w:tc>
        <w:tc>
          <w:tcPr>
            <w:tcW w:w="1277" w:type="dxa"/>
            <w:tcBorders>
              <w:top w:val="single" w:sz="4" w:space="0" w:color="auto"/>
              <w:left w:val="nil"/>
              <w:bottom w:val="single" w:sz="4" w:space="0" w:color="auto"/>
              <w:right w:val="nil"/>
            </w:tcBorders>
          </w:tcPr>
          <w:p w14:paraId="50E3A407" w14:textId="77777777" w:rsidR="00B45D86" w:rsidRPr="00045A29" w:rsidRDefault="00B45D86" w:rsidP="00265A5A">
            <w:pPr>
              <w:pStyle w:val="TableText"/>
              <w:spacing w:before="50" w:after="50"/>
            </w:pPr>
            <w:r>
              <w:t>ASTM synthetic water</w:t>
            </w:r>
          </w:p>
        </w:tc>
        <w:tc>
          <w:tcPr>
            <w:tcW w:w="989" w:type="dxa"/>
            <w:tcBorders>
              <w:top w:val="single" w:sz="4" w:space="0" w:color="auto"/>
              <w:left w:val="nil"/>
              <w:bottom w:val="single" w:sz="4" w:space="0" w:color="auto"/>
              <w:right w:val="nil"/>
            </w:tcBorders>
          </w:tcPr>
          <w:p w14:paraId="48187164" w14:textId="77777777" w:rsidR="00B45D86" w:rsidRDefault="00B45D86" w:rsidP="00265A5A">
            <w:pPr>
              <w:pStyle w:val="TableText"/>
              <w:spacing w:before="50" w:after="50"/>
            </w:pPr>
            <w:r>
              <w:t>20</w:t>
            </w:r>
          </w:p>
        </w:tc>
        <w:tc>
          <w:tcPr>
            <w:tcW w:w="989" w:type="dxa"/>
            <w:tcBorders>
              <w:top w:val="single" w:sz="4" w:space="0" w:color="auto"/>
              <w:left w:val="nil"/>
              <w:bottom w:val="single" w:sz="4" w:space="0" w:color="auto"/>
              <w:right w:val="nil"/>
            </w:tcBorders>
          </w:tcPr>
          <w:p w14:paraId="6CC2E2CA" w14:textId="77777777" w:rsidR="00B45D86" w:rsidRPr="00045A29" w:rsidRDefault="00B45D86" w:rsidP="00265A5A">
            <w:pPr>
              <w:pStyle w:val="TableText"/>
              <w:spacing w:before="50" w:after="50"/>
            </w:pPr>
            <w:r>
              <w:t>93.6</w:t>
            </w:r>
          </w:p>
        </w:tc>
        <w:tc>
          <w:tcPr>
            <w:tcW w:w="710" w:type="dxa"/>
            <w:tcBorders>
              <w:top w:val="single" w:sz="4" w:space="0" w:color="auto"/>
              <w:left w:val="nil"/>
              <w:bottom w:val="single" w:sz="4" w:space="0" w:color="auto"/>
              <w:right w:val="nil"/>
            </w:tcBorders>
          </w:tcPr>
          <w:p w14:paraId="0B835AF1" w14:textId="77777777" w:rsidR="00B45D86" w:rsidRPr="00045A29" w:rsidRDefault="00B45D86" w:rsidP="00265A5A">
            <w:pPr>
              <w:pStyle w:val="TableText"/>
              <w:spacing w:before="50" w:after="50"/>
            </w:pPr>
            <w:r>
              <w:t>7.6</w:t>
            </w:r>
          </w:p>
        </w:tc>
        <w:tc>
          <w:tcPr>
            <w:tcW w:w="741" w:type="dxa"/>
            <w:tcBorders>
              <w:top w:val="single" w:sz="4" w:space="0" w:color="auto"/>
              <w:left w:val="nil"/>
              <w:bottom w:val="single" w:sz="4" w:space="0" w:color="auto"/>
              <w:right w:val="nil"/>
            </w:tcBorders>
          </w:tcPr>
          <w:p w14:paraId="49449742" w14:textId="79A1C8D3" w:rsidR="00B45D86" w:rsidRPr="00045A29" w:rsidRDefault="00B45D86" w:rsidP="00265A5A">
            <w:pPr>
              <w:pStyle w:val="TableText"/>
              <w:spacing w:before="50" w:after="50"/>
            </w:pPr>
            <w:r>
              <w:t>0</w:t>
            </w:r>
            <w:r w:rsidR="004052B7">
              <w:rPr>
                <w:vertAlign w:val="superscript"/>
              </w:rPr>
              <w:t>b</w:t>
            </w:r>
          </w:p>
        </w:tc>
        <w:tc>
          <w:tcPr>
            <w:tcW w:w="992" w:type="dxa"/>
            <w:tcBorders>
              <w:top w:val="single" w:sz="4" w:space="0" w:color="auto"/>
              <w:left w:val="nil"/>
              <w:bottom w:val="single" w:sz="4" w:space="0" w:color="auto"/>
              <w:right w:val="nil"/>
            </w:tcBorders>
          </w:tcPr>
          <w:p w14:paraId="676B924B" w14:textId="525AAFA9" w:rsidR="00B45D86" w:rsidRPr="00045A29" w:rsidRDefault="00B45D86" w:rsidP="00265A5A">
            <w:pPr>
              <w:pStyle w:val="TableText"/>
              <w:spacing w:before="50" w:after="50"/>
            </w:pPr>
            <w:r>
              <w:t>852</w:t>
            </w:r>
          </w:p>
        </w:tc>
        <w:tc>
          <w:tcPr>
            <w:tcW w:w="1922" w:type="dxa"/>
            <w:tcBorders>
              <w:top w:val="single" w:sz="4" w:space="0" w:color="auto"/>
              <w:left w:val="nil"/>
              <w:bottom w:val="single" w:sz="4" w:space="0" w:color="auto"/>
              <w:right w:val="nil"/>
            </w:tcBorders>
          </w:tcPr>
          <w:p w14:paraId="24D846DA" w14:textId="77777777" w:rsidR="00B45D86" w:rsidRDefault="00B45D86" w:rsidP="00B65E15">
            <w:pPr>
              <w:pStyle w:val="TableText"/>
              <w:spacing w:before="50" w:after="50"/>
            </w:pPr>
            <w:r>
              <w:t>Birge et al. (1985)</w:t>
            </w:r>
          </w:p>
        </w:tc>
      </w:tr>
      <w:tr w:rsidR="008B0BC5" w:rsidRPr="00045A29" w14:paraId="6C306060" w14:textId="77777777" w:rsidTr="008B0BC5">
        <w:trPr>
          <w:cantSplit/>
          <w:jc w:val="center"/>
        </w:trPr>
        <w:tc>
          <w:tcPr>
            <w:tcW w:w="1537" w:type="dxa"/>
            <w:tcBorders>
              <w:top w:val="single" w:sz="4" w:space="0" w:color="auto"/>
              <w:left w:val="nil"/>
              <w:bottom w:val="single" w:sz="4" w:space="0" w:color="auto"/>
              <w:right w:val="nil"/>
            </w:tcBorders>
          </w:tcPr>
          <w:p w14:paraId="1541342B" w14:textId="6EA815DB" w:rsidR="00B45D86" w:rsidRDefault="00B45D86" w:rsidP="00B65E15">
            <w:pPr>
              <w:pStyle w:val="TableText"/>
              <w:spacing w:before="50" w:after="50"/>
            </w:pPr>
            <w:r>
              <w:t>Amphibian (</w:t>
            </w:r>
            <w:r w:rsidRPr="00045A29">
              <w:t>Chordata</w:t>
            </w:r>
            <w:r>
              <w:t>)</w:t>
            </w:r>
          </w:p>
        </w:tc>
        <w:tc>
          <w:tcPr>
            <w:tcW w:w="1417" w:type="dxa"/>
            <w:tcBorders>
              <w:top w:val="single" w:sz="4" w:space="0" w:color="auto"/>
              <w:left w:val="nil"/>
              <w:bottom w:val="single" w:sz="4" w:space="0" w:color="auto"/>
              <w:right w:val="nil"/>
            </w:tcBorders>
          </w:tcPr>
          <w:p w14:paraId="017B207B" w14:textId="365960C4" w:rsidR="00B45D86" w:rsidRDefault="00B45D86" w:rsidP="00B65E15">
            <w:pPr>
              <w:pStyle w:val="TableText"/>
              <w:spacing w:before="50" w:after="50"/>
              <w:rPr>
                <w:rStyle w:val="Emphasis"/>
              </w:rPr>
            </w:pPr>
            <w:r>
              <w:rPr>
                <w:rStyle w:val="Emphasis"/>
              </w:rPr>
              <w:t>Bufo boreas</w:t>
            </w:r>
          </w:p>
        </w:tc>
        <w:tc>
          <w:tcPr>
            <w:tcW w:w="849" w:type="dxa"/>
            <w:tcBorders>
              <w:top w:val="single" w:sz="4" w:space="0" w:color="auto"/>
              <w:left w:val="nil"/>
              <w:bottom w:val="single" w:sz="4" w:space="0" w:color="auto"/>
              <w:right w:val="nil"/>
            </w:tcBorders>
          </w:tcPr>
          <w:p w14:paraId="6B99AD67" w14:textId="1DE2027E" w:rsidR="00B45D86" w:rsidRDefault="00B45D86" w:rsidP="00265A5A">
            <w:pPr>
              <w:pStyle w:val="TableText"/>
              <w:spacing w:before="50" w:after="50"/>
            </w:pPr>
            <w:r>
              <w:t>Tadpole</w:t>
            </w:r>
          </w:p>
        </w:tc>
        <w:tc>
          <w:tcPr>
            <w:tcW w:w="989" w:type="dxa"/>
            <w:tcBorders>
              <w:top w:val="single" w:sz="4" w:space="0" w:color="auto"/>
              <w:left w:val="nil"/>
              <w:bottom w:val="single" w:sz="4" w:space="0" w:color="auto"/>
              <w:right w:val="nil"/>
            </w:tcBorders>
          </w:tcPr>
          <w:p w14:paraId="019E3465" w14:textId="02865399" w:rsidR="00B45D86" w:rsidRDefault="00B45D86" w:rsidP="00386786">
            <w:pPr>
              <w:pStyle w:val="TableText"/>
              <w:spacing w:before="50" w:after="50"/>
              <w:ind w:right="284"/>
              <w:jc w:val="right"/>
            </w:pPr>
            <w:r>
              <w:t>35</w:t>
            </w:r>
          </w:p>
        </w:tc>
        <w:tc>
          <w:tcPr>
            <w:tcW w:w="1559" w:type="dxa"/>
            <w:tcBorders>
              <w:top w:val="single" w:sz="4" w:space="0" w:color="auto"/>
              <w:left w:val="nil"/>
              <w:bottom w:val="single" w:sz="4" w:space="0" w:color="auto"/>
              <w:right w:val="nil"/>
            </w:tcBorders>
          </w:tcPr>
          <w:p w14:paraId="2D4CBBD1" w14:textId="7641D46B" w:rsidR="00B45D86" w:rsidRDefault="00B45D86" w:rsidP="00265A5A">
            <w:pPr>
              <w:pStyle w:val="TableText"/>
              <w:spacing w:before="50" w:after="50"/>
            </w:pPr>
            <w:r>
              <w:t>EC10 (biomass)</w:t>
            </w:r>
          </w:p>
        </w:tc>
        <w:tc>
          <w:tcPr>
            <w:tcW w:w="1277" w:type="dxa"/>
            <w:tcBorders>
              <w:top w:val="single" w:sz="4" w:space="0" w:color="auto"/>
              <w:left w:val="nil"/>
              <w:bottom w:val="single" w:sz="4" w:space="0" w:color="auto"/>
              <w:right w:val="nil"/>
            </w:tcBorders>
          </w:tcPr>
          <w:p w14:paraId="73CE1272" w14:textId="567F03C9" w:rsidR="00B45D86" w:rsidRDefault="00B45D86" w:rsidP="00265A5A">
            <w:pPr>
              <w:pStyle w:val="TableText"/>
              <w:spacing w:before="50" w:after="50"/>
            </w:pPr>
            <w:r>
              <w:t>Dechlorinated tap water</w:t>
            </w:r>
          </w:p>
        </w:tc>
        <w:tc>
          <w:tcPr>
            <w:tcW w:w="989" w:type="dxa"/>
            <w:tcBorders>
              <w:top w:val="single" w:sz="4" w:space="0" w:color="auto"/>
              <w:left w:val="nil"/>
              <w:bottom w:val="single" w:sz="4" w:space="0" w:color="auto"/>
              <w:right w:val="nil"/>
            </w:tcBorders>
          </w:tcPr>
          <w:p w14:paraId="43A69CBB" w14:textId="61C10A9D" w:rsidR="00B45D86" w:rsidRDefault="00B45D86" w:rsidP="00265A5A">
            <w:pPr>
              <w:pStyle w:val="TableText"/>
              <w:spacing w:before="50" w:after="50"/>
            </w:pPr>
            <w:r>
              <w:t>20</w:t>
            </w:r>
          </w:p>
        </w:tc>
        <w:tc>
          <w:tcPr>
            <w:tcW w:w="989" w:type="dxa"/>
            <w:tcBorders>
              <w:top w:val="single" w:sz="4" w:space="0" w:color="auto"/>
              <w:left w:val="nil"/>
              <w:bottom w:val="single" w:sz="4" w:space="0" w:color="auto"/>
              <w:right w:val="nil"/>
            </w:tcBorders>
          </w:tcPr>
          <w:p w14:paraId="69D79702" w14:textId="45C105A6" w:rsidR="00B45D86" w:rsidRDefault="00B45D86" w:rsidP="00265A5A">
            <w:pPr>
              <w:pStyle w:val="TableText"/>
              <w:spacing w:before="50" w:after="50"/>
            </w:pPr>
            <w:r>
              <w:t>44</w:t>
            </w:r>
          </w:p>
        </w:tc>
        <w:tc>
          <w:tcPr>
            <w:tcW w:w="710" w:type="dxa"/>
            <w:tcBorders>
              <w:top w:val="single" w:sz="4" w:space="0" w:color="auto"/>
              <w:left w:val="nil"/>
              <w:bottom w:val="single" w:sz="4" w:space="0" w:color="auto"/>
              <w:right w:val="nil"/>
            </w:tcBorders>
          </w:tcPr>
          <w:p w14:paraId="0EC92935" w14:textId="19027844" w:rsidR="00B45D86" w:rsidRDefault="00B45D86" w:rsidP="00265A5A">
            <w:pPr>
              <w:pStyle w:val="TableText"/>
              <w:spacing w:before="50" w:after="50"/>
            </w:pPr>
            <w:r>
              <w:t>7.1</w:t>
            </w:r>
          </w:p>
        </w:tc>
        <w:tc>
          <w:tcPr>
            <w:tcW w:w="741" w:type="dxa"/>
            <w:tcBorders>
              <w:top w:val="single" w:sz="4" w:space="0" w:color="auto"/>
              <w:left w:val="nil"/>
              <w:bottom w:val="single" w:sz="4" w:space="0" w:color="auto"/>
              <w:right w:val="nil"/>
            </w:tcBorders>
          </w:tcPr>
          <w:p w14:paraId="563E84EF" w14:textId="0ECC7CB5" w:rsidR="00B45D86" w:rsidRDefault="00B45D86" w:rsidP="00265A5A">
            <w:pPr>
              <w:pStyle w:val="TableText"/>
              <w:spacing w:before="50" w:after="50"/>
            </w:pPr>
            <w:r>
              <w:t>1.9</w:t>
            </w:r>
          </w:p>
        </w:tc>
        <w:tc>
          <w:tcPr>
            <w:tcW w:w="992" w:type="dxa"/>
            <w:tcBorders>
              <w:top w:val="single" w:sz="4" w:space="0" w:color="auto"/>
              <w:left w:val="nil"/>
              <w:bottom w:val="single" w:sz="4" w:space="0" w:color="auto"/>
              <w:right w:val="nil"/>
            </w:tcBorders>
          </w:tcPr>
          <w:p w14:paraId="377EA4E2" w14:textId="55D8E17A" w:rsidR="00B45D86" w:rsidRDefault="00B45D86" w:rsidP="00265A5A">
            <w:pPr>
              <w:pStyle w:val="TableText"/>
              <w:spacing w:before="50" w:after="50"/>
            </w:pPr>
            <w:r>
              <w:t>2,607</w:t>
            </w:r>
          </w:p>
        </w:tc>
        <w:tc>
          <w:tcPr>
            <w:tcW w:w="1922" w:type="dxa"/>
            <w:tcBorders>
              <w:top w:val="single" w:sz="4" w:space="0" w:color="auto"/>
              <w:left w:val="nil"/>
              <w:bottom w:val="single" w:sz="4" w:space="0" w:color="auto"/>
              <w:right w:val="nil"/>
            </w:tcBorders>
          </w:tcPr>
          <w:p w14:paraId="108846B3" w14:textId="7C4EE839" w:rsidR="00B45D86" w:rsidRDefault="00B45D86" w:rsidP="00B65E15">
            <w:pPr>
              <w:pStyle w:val="TableText"/>
              <w:spacing w:before="50" w:after="50"/>
            </w:pPr>
            <w:r>
              <w:t>Cadmus et al. (2018a)</w:t>
            </w:r>
          </w:p>
        </w:tc>
      </w:tr>
      <w:tr w:rsidR="00F5513E" w:rsidRPr="00045A29" w14:paraId="3E8A84AA" w14:textId="77777777" w:rsidTr="00B65E15">
        <w:trPr>
          <w:cantSplit/>
          <w:jc w:val="center"/>
        </w:trPr>
        <w:tc>
          <w:tcPr>
            <w:tcW w:w="1537" w:type="dxa"/>
            <w:tcBorders>
              <w:top w:val="single" w:sz="4" w:space="0" w:color="auto"/>
              <w:left w:val="nil"/>
              <w:bottom w:val="single" w:sz="4" w:space="0" w:color="auto"/>
              <w:right w:val="nil"/>
            </w:tcBorders>
          </w:tcPr>
          <w:p w14:paraId="63D24B46" w14:textId="3A8F0BED" w:rsidR="00B45D86" w:rsidRDefault="00B45D86"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159EAD33" w14:textId="38CAE2AB" w:rsidR="00B45D86" w:rsidRPr="00FE6B34" w:rsidRDefault="00B45D86" w:rsidP="00B65E15">
            <w:pPr>
              <w:pStyle w:val="TableText"/>
              <w:spacing w:before="50" w:after="50"/>
              <w:rPr>
                <w:rStyle w:val="Emphasis"/>
              </w:rPr>
            </w:pPr>
            <w:r>
              <w:rPr>
                <w:rStyle w:val="Emphasis"/>
              </w:rPr>
              <w:t>Oncorhynchus kisutch</w:t>
            </w:r>
          </w:p>
        </w:tc>
        <w:tc>
          <w:tcPr>
            <w:tcW w:w="849" w:type="dxa"/>
            <w:tcBorders>
              <w:top w:val="single" w:sz="4" w:space="0" w:color="auto"/>
              <w:left w:val="nil"/>
              <w:bottom w:val="single" w:sz="4" w:space="0" w:color="auto"/>
              <w:right w:val="nil"/>
            </w:tcBorders>
          </w:tcPr>
          <w:p w14:paraId="03673F2B" w14:textId="1EF84C8D" w:rsidR="00B45D86" w:rsidRPr="00045A29" w:rsidRDefault="00B45D86" w:rsidP="00265A5A">
            <w:pPr>
              <w:pStyle w:val="TableText"/>
              <w:spacing w:before="50" w:after="50"/>
            </w:pPr>
            <w:r>
              <w:t>Eggs and post hatch</w:t>
            </w:r>
          </w:p>
        </w:tc>
        <w:tc>
          <w:tcPr>
            <w:tcW w:w="989" w:type="dxa"/>
            <w:tcBorders>
              <w:top w:val="single" w:sz="4" w:space="0" w:color="auto"/>
              <w:left w:val="nil"/>
              <w:bottom w:val="single" w:sz="4" w:space="0" w:color="auto"/>
              <w:right w:val="nil"/>
            </w:tcBorders>
          </w:tcPr>
          <w:p w14:paraId="2AEF0C98" w14:textId="369D8FDF" w:rsidR="00B45D86" w:rsidRPr="00045A29" w:rsidRDefault="00B45D86" w:rsidP="00386786">
            <w:pPr>
              <w:pStyle w:val="TableText"/>
              <w:spacing w:before="50" w:after="50"/>
              <w:ind w:right="284"/>
              <w:jc w:val="right"/>
            </w:pPr>
            <w:r>
              <w:t>90</w:t>
            </w:r>
          </w:p>
        </w:tc>
        <w:tc>
          <w:tcPr>
            <w:tcW w:w="1559" w:type="dxa"/>
            <w:tcBorders>
              <w:top w:val="single" w:sz="4" w:space="0" w:color="auto"/>
              <w:left w:val="nil"/>
              <w:bottom w:val="single" w:sz="4" w:space="0" w:color="auto"/>
              <w:right w:val="nil"/>
            </w:tcBorders>
          </w:tcPr>
          <w:p w14:paraId="64A42EF1" w14:textId="5C8DF99D" w:rsidR="00B45D86" w:rsidRPr="00045A29" w:rsidRDefault="00B45D86" w:rsidP="00265A5A">
            <w:pPr>
              <w:pStyle w:val="TableText"/>
              <w:spacing w:before="50" w:after="50"/>
            </w:pPr>
            <w:r>
              <w:t>NOEC converted to EC10 (survival)</w:t>
            </w:r>
          </w:p>
        </w:tc>
        <w:tc>
          <w:tcPr>
            <w:tcW w:w="1277" w:type="dxa"/>
            <w:tcBorders>
              <w:top w:val="single" w:sz="4" w:space="0" w:color="auto"/>
              <w:left w:val="nil"/>
              <w:bottom w:val="single" w:sz="4" w:space="0" w:color="auto"/>
              <w:right w:val="nil"/>
            </w:tcBorders>
          </w:tcPr>
          <w:p w14:paraId="09A9B842" w14:textId="29CB745A" w:rsidR="00B45D86" w:rsidRPr="00045A29" w:rsidRDefault="00B45D86" w:rsidP="00265A5A">
            <w:pPr>
              <w:pStyle w:val="TableText"/>
              <w:spacing w:before="50" w:after="50"/>
            </w:pPr>
            <w:r>
              <w:t>Well water</w:t>
            </w:r>
          </w:p>
        </w:tc>
        <w:tc>
          <w:tcPr>
            <w:tcW w:w="989" w:type="dxa"/>
            <w:tcBorders>
              <w:top w:val="single" w:sz="4" w:space="0" w:color="auto"/>
              <w:left w:val="nil"/>
              <w:bottom w:val="single" w:sz="4" w:space="0" w:color="auto"/>
              <w:right w:val="nil"/>
            </w:tcBorders>
          </w:tcPr>
          <w:p w14:paraId="4F0E743F" w14:textId="31930F90" w:rsidR="00B45D86" w:rsidRDefault="00B45D86" w:rsidP="00265A5A">
            <w:pPr>
              <w:pStyle w:val="TableText"/>
              <w:spacing w:before="50" w:after="50"/>
            </w:pPr>
            <w:r>
              <w:t>11.6</w:t>
            </w:r>
          </w:p>
        </w:tc>
        <w:tc>
          <w:tcPr>
            <w:tcW w:w="989" w:type="dxa"/>
            <w:tcBorders>
              <w:top w:val="single" w:sz="4" w:space="0" w:color="auto"/>
              <w:left w:val="nil"/>
              <w:bottom w:val="single" w:sz="4" w:space="0" w:color="auto"/>
              <w:right w:val="nil"/>
            </w:tcBorders>
          </w:tcPr>
          <w:p w14:paraId="788E7E88" w14:textId="2F15459C" w:rsidR="00B45D86" w:rsidRPr="00045A29" w:rsidRDefault="00B45D86" w:rsidP="00265A5A">
            <w:pPr>
              <w:pStyle w:val="TableText"/>
              <w:spacing w:before="50" w:after="50"/>
            </w:pPr>
            <w:r>
              <w:t>170</w:t>
            </w:r>
          </w:p>
        </w:tc>
        <w:tc>
          <w:tcPr>
            <w:tcW w:w="710" w:type="dxa"/>
            <w:tcBorders>
              <w:top w:val="single" w:sz="4" w:space="0" w:color="auto"/>
              <w:left w:val="nil"/>
              <w:bottom w:val="single" w:sz="4" w:space="0" w:color="auto"/>
              <w:right w:val="nil"/>
            </w:tcBorders>
          </w:tcPr>
          <w:p w14:paraId="0D992BF5" w14:textId="271741B3" w:rsidR="00B45D86" w:rsidRPr="00045A29" w:rsidRDefault="00B45D86" w:rsidP="00265A5A">
            <w:pPr>
              <w:pStyle w:val="TableText"/>
              <w:spacing w:before="50" w:after="50"/>
            </w:pPr>
            <w:r>
              <w:t>7.9</w:t>
            </w:r>
          </w:p>
        </w:tc>
        <w:tc>
          <w:tcPr>
            <w:tcW w:w="741" w:type="dxa"/>
            <w:tcBorders>
              <w:top w:val="single" w:sz="4" w:space="0" w:color="auto"/>
              <w:left w:val="nil"/>
              <w:bottom w:val="single" w:sz="4" w:space="0" w:color="auto"/>
              <w:right w:val="nil"/>
            </w:tcBorders>
          </w:tcPr>
          <w:p w14:paraId="483815EB" w14:textId="2184AAED" w:rsidR="00B45D86" w:rsidRPr="00045A29" w:rsidRDefault="00B45D86" w:rsidP="00265A5A">
            <w:pPr>
              <w:pStyle w:val="TableText"/>
              <w:spacing w:before="50" w:after="50"/>
            </w:pPr>
            <w:r>
              <w:t>1.6</w:t>
            </w:r>
          </w:p>
        </w:tc>
        <w:tc>
          <w:tcPr>
            <w:tcW w:w="992" w:type="dxa"/>
            <w:tcBorders>
              <w:top w:val="single" w:sz="4" w:space="0" w:color="auto"/>
              <w:left w:val="nil"/>
              <w:bottom w:val="single" w:sz="4" w:space="0" w:color="auto"/>
              <w:right w:val="nil"/>
            </w:tcBorders>
          </w:tcPr>
          <w:p w14:paraId="2AADAFE4" w14:textId="49A934E0" w:rsidR="00B45D86" w:rsidRPr="00045A29" w:rsidRDefault="00B45D86" w:rsidP="00265A5A">
            <w:pPr>
              <w:pStyle w:val="TableText"/>
              <w:spacing w:before="50" w:after="50"/>
            </w:pPr>
            <w:r>
              <w:t>3,040</w:t>
            </w:r>
          </w:p>
        </w:tc>
        <w:tc>
          <w:tcPr>
            <w:tcW w:w="1922" w:type="dxa"/>
            <w:tcBorders>
              <w:top w:val="single" w:sz="4" w:space="0" w:color="auto"/>
              <w:left w:val="nil"/>
              <w:bottom w:val="single" w:sz="4" w:space="0" w:color="auto"/>
              <w:right w:val="nil"/>
            </w:tcBorders>
          </w:tcPr>
          <w:p w14:paraId="6441774C" w14:textId="77777777" w:rsidR="00B45D86" w:rsidRPr="00045A29" w:rsidRDefault="00B45D86" w:rsidP="00B65E15">
            <w:pPr>
              <w:pStyle w:val="TableText"/>
              <w:spacing w:before="50" w:after="50"/>
            </w:pPr>
            <w:r>
              <w:t>Smith and Sykora (1976)</w:t>
            </w:r>
          </w:p>
        </w:tc>
      </w:tr>
      <w:tr w:rsidR="00F5513E" w:rsidRPr="00045A29" w14:paraId="07213E5A" w14:textId="77777777" w:rsidTr="00B65E15">
        <w:trPr>
          <w:cantSplit/>
          <w:jc w:val="center"/>
        </w:trPr>
        <w:tc>
          <w:tcPr>
            <w:tcW w:w="1537" w:type="dxa"/>
            <w:tcBorders>
              <w:top w:val="single" w:sz="4" w:space="0" w:color="auto"/>
              <w:left w:val="nil"/>
              <w:bottom w:val="single" w:sz="4" w:space="0" w:color="auto"/>
              <w:right w:val="nil"/>
            </w:tcBorders>
          </w:tcPr>
          <w:p w14:paraId="70DA66F9" w14:textId="0F1C0F4E" w:rsidR="00B45D86" w:rsidRPr="00045A29" w:rsidRDefault="00B45D86"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05AD4B42" w14:textId="77777777" w:rsidR="00B45D86" w:rsidRPr="00FE6B34" w:rsidRDefault="00B45D86" w:rsidP="00B65E15">
            <w:pPr>
              <w:pStyle w:val="TableText"/>
              <w:spacing w:before="50" w:after="50"/>
              <w:rPr>
                <w:rStyle w:val="Emphasis"/>
              </w:rPr>
            </w:pPr>
            <w:r w:rsidRPr="00FE6B34">
              <w:rPr>
                <w:rStyle w:val="Emphasis"/>
              </w:rPr>
              <w:t>Oryzias latipes</w:t>
            </w:r>
          </w:p>
        </w:tc>
        <w:tc>
          <w:tcPr>
            <w:tcW w:w="849" w:type="dxa"/>
            <w:tcBorders>
              <w:top w:val="single" w:sz="4" w:space="0" w:color="auto"/>
              <w:left w:val="nil"/>
              <w:bottom w:val="single" w:sz="4" w:space="0" w:color="auto"/>
              <w:right w:val="nil"/>
            </w:tcBorders>
          </w:tcPr>
          <w:p w14:paraId="642CCC8F" w14:textId="760281A0" w:rsidR="00B45D86" w:rsidRPr="00045A29" w:rsidRDefault="00B45D86"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25B082E3" w14:textId="77777777" w:rsidR="00B45D86" w:rsidRPr="00045A29" w:rsidRDefault="00B45D86" w:rsidP="00386786">
            <w:pPr>
              <w:pStyle w:val="TableText"/>
              <w:spacing w:before="50" w:after="50"/>
              <w:ind w:right="284"/>
              <w:jc w:val="right"/>
            </w:pPr>
            <w:r w:rsidRPr="00045A29">
              <w:t>14</w:t>
            </w:r>
          </w:p>
        </w:tc>
        <w:tc>
          <w:tcPr>
            <w:tcW w:w="1559" w:type="dxa"/>
            <w:tcBorders>
              <w:top w:val="single" w:sz="4" w:space="0" w:color="auto"/>
              <w:left w:val="nil"/>
              <w:bottom w:val="single" w:sz="4" w:space="0" w:color="auto"/>
              <w:right w:val="nil"/>
            </w:tcBorders>
          </w:tcPr>
          <w:p w14:paraId="50DAB11A" w14:textId="4283E37A" w:rsidR="00B45D86" w:rsidRPr="00045A29" w:rsidRDefault="00B45D86" w:rsidP="00265A5A">
            <w:pPr>
              <w:pStyle w:val="TableText"/>
              <w:spacing w:before="50" w:after="50"/>
            </w:pPr>
            <w:r w:rsidRPr="00045A29">
              <w:t>NOEC (</w:t>
            </w:r>
            <w:r>
              <w:t>m</w:t>
            </w:r>
            <w:r w:rsidRPr="00045A29">
              <w:t>ortality</w:t>
            </w:r>
            <w:r>
              <w:t>)</w:t>
            </w:r>
          </w:p>
        </w:tc>
        <w:tc>
          <w:tcPr>
            <w:tcW w:w="1277" w:type="dxa"/>
            <w:tcBorders>
              <w:top w:val="single" w:sz="4" w:space="0" w:color="auto"/>
              <w:left w:val="nil"/>
              <w:bottom w:val="single" w:sz="4" w:space="0" w:color="auto"/>
              <w:right w:val="nil"/>
            </w:tcBorders>
          </w:tcPr>
          <w:p w14:paraId="70C902B1" w14:textId="58BA8561" w:rsidR="00B45D86" w:rsidRPr="00045A29" w:rsidRDefault="00B45D86" w:rsidP="00265A5A">
            <w:pPr>
              <w:pStyle w:val="TableText"/>
              <w:spacing w:before="50" w:after="50"/>
            </w:pPr>
            <w:r w:rsidRPr="00045A29">
              <w:t>Embryo</w:t>
            </w:r>
            <w:r>
              <w:t>-</w:t>
            </w:r>
            <w:r w:rsidRPr="00045A29">
              <w:t>rearing media</w:t>
            </w:r>
          </w:p>
        </w:tc>
        <w:tc>
          <w:tcPr>
            <w:tcW w:w="989" w:type="dxa"/>
            <w:tcBorders>
              <w:top w:val="single" w:sz="4" w:space="0" w:color="auto"/>
              <w:left w:val="nil"/>
              <w:bottom w:val="single" w:sz="4" w:space="0" w:color="auto"/>
              <w:right w:val="nil"/>
            </w:tcBorders>
          </w:tcPr>
          <w:p w14:paraId="6A792EBE" w14:textId="77777777" w:rsidR="00B45D86" w:rsidRPr="00045A29" w:rsidRDefault="00B45D86" w:rsidP="00265A5A">
            <w:pPr>
              <w:pStyle w:val="TableText"/>
              <w:spacing w:before="50" w:after="50"/>
            </w:pPr>
            <w:r>
              <w:t>26</w:t>
            </w:r>
          </w:p>
        </w:tc>
        <w:tc>
          <w:tcPr>
            <w:tcW w:w="989" w:type="dxa"/>
            <w:tcBorders>
              <w:top w:val="single" w:sz="4" w:space="0" w:color="auto"/>
              <w:left w:val="nil"/>
              <w:bottom w:val="single" w:sz="4" w:space="0" w:color="auto"/>
              <w:right w:val="nil"/>
            </w:tcBorders>
          </w:tcPr>
          <w:p w14:paraId="46032556" w14:textId="77777777" w:rsidR="00B45D86" w:rsidRPr="00045A29" w:rsidRDefault="00B45D86" w:rsidP="00265A5A">
            <w:pPr>
              <w:pStyle w:val="TableText"/>
              <w:spacing w:before="50" w:after="50"/>
            </w:pPr>
            <w:r w:rsidRPr="00045A29">
              <w:t>NR</w:t>
            </w:r>
          </w:p>
        </w:tc>
        <w:tc>
          <w:tcPr>
            <w:tcW w:w="710" w:type="dxa"/>
            <w:tcBorders>
              <w:top w:val="single" w:sz="4" w:space="0" w:color="auto"/>
              <w:left w:val="nil"/>
              <w:bottom w:val="single" w:sz="4" w:space="0" w:color="auto"/>
              <w:right w:val="nil"/>
            </w:tcBorders>
          </w:tcPr>
          <w:p w14:paraId="01BC26D1" w14:textId="77777777" w:rsidR="00B45D86" w:rsidRPr="00045A29" w:rsidRDefault="00B45D86" w:rsidP="00265A5A">
            <w:pPr>
              <w:pStyle w:val="TableText"/>
              <w:spacing w:before="50" w:after="50"/>
            </w:pPr>
            <w:r w:rsidRPr="00045A29">
              <w:t>7.2</w:t>
            </w:r>
          </w:p>
        </w:tc>
        <w:tc>
          <w:tcPr>
            <w:tcW w:w="741" w:type="dxa"/>
            <w:tcBorders>
              <w:top w:val="single" w:sz="4" w:space="0" w:color="auto"/>
              <w:left w:val="nil"/>
              <w:bottom w:val="single" w:sz="4" w:space="0" w:color="auto"/>
              <w:right w:val="nil"/>
            </w:tcBorders>
          </w:tcPr>
          <w:p w14:paraId="2A29D9D9" w14:textId="77777777" w:rsidR="00B45D86" w:rsidRPr="00045A29" w:rsidRDefault="00B45D86" w:rsidP="00265A5A">
            <w:pPr>
              <w:pStyle w:val="TableText"/>
              <w:spacing w:before="50" w:after="50"/>
            </w:pPr>
            <w:r w:rsidRPr="00045A29">
              <w:t>NR</w:t>
            </w:r>
          </w:p>
        </w:tc>
        <w:tc>
          <w:tcPr>
            <w:tcW w:w="992" w:type="dxa"/>
            <w:tcBorders>
              <w:top w:val="single" w:sz="4" w:space="0" w:color="auto"/>
              <w:left w:val="nil"/>
              <w:bottom w:val="single" w:sz="4" w:space="0" w:color="auto"/>
              <w:right w:val="nil"/>
            </w:tcBorders>
          </w:tcPr>
          <w:p w14:paraId="22971CF9" w14:textId="2E6E40A6" w:rsidR="00B45D86" w:rsidRPr="00045A29" w:rsidRDefault="00B45D86" w:rsidP="00265A5A">
            <w:pPr>
              <w:pStyle w:val="TableText"/>
              <w:spacing w:before="50" w:after="50"/>
            </w:pPr>
            <w:r w:rsidRPr="00045A29">
              <w:t>25</w:t>
            </w:r>
            <w:r>
              <w:t>,</w:t>
            </w:r>
            <w:r w:rsidRPr="00045A29">
              <w:t>000</w:t>
            </w:r>
          </w:p>
        </w:tc>
        <w:tc>
          <w:tcPr>
            <w:tcW w:w="1922" w:type="dxa"/>
            <w:tcBorders>
              <w:top w:val="single" w:sz="4" w:space="0" w:color="auto"/>
              <w:left w:val="nil"/>
              <w:bottom w:val="single" w:sz="4" w:space="0" w:color="auto"/>
              <w:right w:val="nil"/>
            </w:tcBorders>
          </w:tcPr>
          <w:p w14:paraId="1A3F3D59" w14:textId="77777777" w:rsidR="00B45D86" w:rsidRPr="00045A29" w:rsidRDefault="00B45D86" w:rsidP="00B65E15">
            <w:pPr>
              <w:pStyle w:val="TableText"/>
              <w:spacing w:before="50" w:after="50"/>
            </w:pPr>
            <w:r w:rsidRPr="00045A29">
              <w:t>Chen et al. (2011)</w:t>
            </w:r>
          </w:p>
        </w:tc>
      </w:tr>
      <w:tr w:rsidR="001C64A7" w:rsidRPr="00045A29" w14:paraId="4B8B3848" w14:textId="77777777" w:rsidTr="00B65E15">
        <w:trPr>
          <w:cantSplit/>
          <w:jc w:val="center"/>
        </w:trPr>
        <w:tc>
          <w:tcPr>
            <w:tcW w:w="1537" w:type="dxa"/>
            <w:tcBorders>
              <w:top w:val="single" w:sz="4" w:space="0" w:color="auto"/>
              <w:left w:val="nil"/>
              <w:bottom w:val="single" w:sz="4" w:space="0" w:color="auto"/>
              <w:right w:val="nil"/>
            </w:tcBorders>
          </w:tcPr>
          <w:p w14:paraId="3B62A631" w14:textId="600CBEC1" w:rsidR="00B45D86" w:rsidRPr="00045A29" w:rsidRDefault="00B45D86"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528E8961" w14:textId="77777777" w:rsidR="00B45D86" w:rsidRPr="00FE6B34" w:rsidRDefault="00B45D86" w:rsidP="00B65E15">
            <w:pPr>
              <w:pStyle w:val="TableText"/>
              <w:spacing w:before="50" w:after="50"/>
              <w:rPr>
                <w:rStyle w:val="Emphasis"/>
              </w:rPr>
            </w:pPr>
            <w:r w:rsidRPr="00FE6B34">
              <w:rPr>
                <w:rStyle w:val="Emphasis"/>
              </w:rPr>
              <w:t>Pimephales promelas</w:t>
            </w:r>
          </w:p>
        </w:tc>
        <w:tc>
          <w:tcPr>
            <w:tcW w:w="849" w:type="dxa"/>
            <w:tcBorders>
              <w:top w:val="single" w:sz="4" w:space="0" w:color="auto"/>
              <w:left w:val="nil"/>
              <w:bottom w:val="single" w:sz="4" w:space="0" w:color="auto"/>
              <w:right w:val="nil"/>
            </w:tcBorders>
          </w:tcPr>
          <w:p w14:paraId="41393770" w14:textId="2D2B6D07" w:rsidR="00B45D86" w:rsidRPr="00045A29" w:rsidRDefault="00B45D86"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4B109E6D" w14:textId="77777777" w:rsidR="00B45D86" w:rsidRPr="00045A29" w:rsidRDefault="00B45D86"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6032DD8E" w14:textId="63FEDCA9" w:rsidR="00B45D86" w:rsidRPr="00045A29" w:rsidRDefault="00B45D86" w:rsidP="00265A5A">
            <w:pPr>
              <w:pStyle w:val="TableText"/>
              <w:spacing w:before="50" w:after="50"/>
            </w:pPr>
            <w:r w:rsidRPr="00045A29">
              <w:t>EC10 (</w:t>
            </w:r>
            <w:r>
              <w:t>g</w:t>
            </w:r>
            <w:r w:rsidRPr="00045A29">
              <w:t>rowth, biomass)</w:t>
            </w:r>
          </w:p>
        </w:tc>
        <w:tc>
          <w:tcPr>
            <w:tcW w:w="1277" w:type="dxa"/>
            <w:tcBorders>
              <w:top w:val="single" w:sz="4" w:space="0" w:color="auto"/>
              <w:left w:val="nil"/>
              <w:bottom w:val="single" w:sz="4" w:space="0" w:color="auto"/>
              <w:right w:val="nil"/>
            </w:tcBorders>
          </w:tcPr>
          <w:p w14:paraId="1A6A89AC" w14:textId="356EDE71" w:rsidR="00B45D86" w:rsidRPr="00045A29" w:rsidRDefault="00B45D86"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04305358" w14:textId="77777777" w:rsidR="00B45D86" w:rsidRPr="00045A29" w:rsidRDefault="00B45D86" w:rsidP="00265A5A">
            <w:pPr>
              <w:pStyle w:val="TableText"/>
              <w:spacing w:before="50" w:after="50"/>
            </w:pPr>
            <w:r>
              <w:t>25</w:t>
            </w:r>
          </w:p>
        </w:tc>
        <w:tc>
          <w:tcPr>
            <w:tcW w:w="989" w:type="dxa"/>
            <w:tcBorders>
              <w:top w:val="single" w:sz="4" w:space="0" w:color="auto"/>
              <w:left w:val="nil"/>
              <w:bottom w:val="single" w:sz="4" w:space="0" w:color="auto"/>
              <w:right w:val="nil"/>
            </w:tcBorders>
          </w:tcPr>
          <w:p w14:paraId="4CFA11DD" w14:textId="19BD7497" w:rsidR="00B45D86" w:rsidRPr="00045A29" w:rsidRDefault="00B45D86" w:rsidP="00265A5A">
            <w:pPr>
              <w:pStyle w:val="TableText"/>
              <w:spacing w:before="50" w:after="50"/>
            </w:pPr>
            <w:r>
              <w:t>10.3</w:t>
            </w:r>
          </w:p>
        </w:tc>
        <w:tc>
          <w:tcPr>
            <w:tcW w:w="710" w:type="dxa"/>
            <w:tcBorders>
              <w:top w:val="single" w:sz="4" w:space="0" w:color="auto"/>
              <w:left w:val="nil"/>
              <w:bottom w:val="single" w:sz="4" w:space="0" w:color="auto"/>
              <w:right w:val="nil"/>
            </w:tcBorders>
          </w:tcPr>
          <w:p w14:paraId="308C1C49" w14:textId="37F9678B" w:rsidR="00B45D86" w:rsidRPr="00045A29" w:rsidRDefault="00B45D86" w:rsidP="00265A5A">
            <w:pPr>
              <w:pStyle w:val="TableText"/>
              <w:spacing w:before="50" w:after="50"/>
            </w:pPr>
            <w:r>
              <w:t>6.0</w:t>
            </w:r>
          </w:p>
        </w:tc>
        <w:tc>
          <w:tcPr>
            <w:tcW w:w="741" w:type="dxa"/>
            <w:tcBorders>
              <w:top w:val="single" w:sz="4" w:space="0" w:color="auto"/>
              <w:left w:val="nil"/>
              <w:bottom w:val="single" w:sz="4" w:space="0" w:color="auto"/>
              <w:right w:val="nil"/>
            </w:tcBorders>
          </w:tcPr>
          <w:p w14:paraId="0A25DD90" w14:textId="22149ECE" w:rsidR="00B45D86" w:rsidRPr="00045A29" w:rsidRDefault="00B45D86" w:rsidP="00265A5A">
            <w:pPr>
              <w:pStyle w:val="TableText"/>
              <w:spacing w:before="50" w:after="50"/>
            </w:pPr>
            <w:r>
              <w:t>0.3</w:t>
            </w:r>
          </w:p>
        </w:tc>
        <w:tc>
          <w:tcPr>
            <w:tcW w:w="992" w:type="dxa"/>
            <w:tcBorders>
              <w:top w:val="single" w:sz="4" w:space="0" w:color="auto"/>
              <w:left w:val="nil"/>
              <w:bottom w:val="single" w:sz="4" w:space="0" w:color="auto"/>
              <w:right w:val="nil"/>
            </w:tcBorders>
          </w:tcPr>
          <w:p w14:paraId="69B183E6" w14:textId="37921BEB" w:rsidR="00B45D86" w:rsidRPr="00045A29" w:rsidRDefault="00B45D86" w:rsidP="00265A5A">
            <w:pPr>
              <w:pStyle w:val="TableText"/>
              <w:spacing w:before="50" w:after="50"/>
            </w:pPr>
            <w:r>
              <w:t>192</w:t>
            </w:r>
          </w:p>
        </w:tc>
        <w:tc>
          <w:tcPr>
            <w:tcW w:w="1922" w:type="dxa"/>
            <w:tcBorders>
              <w:top w:val="single" w:sz="4" w:space="0" w:color="auto"/>
              <w:left w:val="nil"/>
              <w:bottom w:val="single" w:sz="4" w:space="0" w:color="auto"/>
              <w:right w:val="nil"/>
            </w:tcBorders>
          </w:tcPr>
          <w:p w14:paraId="5A1DFD4C" w14:textId="3F3FAE26" w:rsidR="00B45D86" w:rsidRPr="00045A29" w:rsidRDefault="00B45D86" w:rsidP="00B65E15">
            <w:pPr>
              <w:pStyle w:val="TableText"/>
              <w:spacing w:before="50" w:after="50"/>
            </w:pPr>
            <w:r>
              <w:t>Cardwell et al. (2023)</w:t>
            </w:r>
          </w:p>
        </w:tc>
      </w:tr>
      <w:tr w:rsidR="001C64A7" w:rsidRPr="00045A29" w14:paraId="03DD2332" w14:textId="77777777" w:rsidTr="00B65E15">
        <w:trPr>
          <w:cantSplit/>
          <w:jc w:val="center"/>
        </w:trPr>
        <w:tc>
          <w:tcPr>
            <w:tcW w:w="1537" w:type="dxa"/>
            <w:tcBorders>
              <w:top w:val="single" w:sz="4" w:space="0" w:color="auto"/>
              <w:left w:val="nil"/>
              <w:bottom w:val="single" w:sz="4" w:space="0" w:color="auto"/>
              <w:right w:val="nil"/>
            </w:tcBorders>
          </w:tcPr>
          <w:p w14:paraId="36FAFCAC" w14:textId="1F8DFFD5" w:rsidR="009300F5" w:rsidRPr="00045A29"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55BC1625" w14:textId="4E3D36DE" w:rsidR="009300F5" w:rsidRPr="00045A29" w:rsidRDefault="009300F5" w:rsidP="00B65E15">
            <w:pPr>
              <w:pStyle w:val="TableText"/>
              <w:spacing w:before="50" w:after="50"/>
            </w:pPr>
            <w:r w:rsidRPr="00FE6B34">
              <w:rPr>
                <w:rStyle w:val="Emphasis"/>
              </w:rPr>
              <w:t>Pimephales promelas</w:t>
            </w:r>
          </w:p>
        </w:tc>
        <w:tc>
          <w:tcPr>
            <w:tcW w:w="849" w:type="dxa"/>
            <w:tcBorders>
              <w:top w:val="single" w:sz="4" w:space="0" w:color="auto"/>
              <w:left w:val="nil"/>
              <w:bottom w:val="single" w:sz="4" w:space="0" w:color="auto"/>
              <w:right w:val="nil"/>
            </w:tcBorders>
          </w:tcPr>
          <w:p w14:paraId="2BAA641B" w14:textId="41491EB2" w:rsidR="009300F5" w:rsidRPr="00045A29" w:rsidRDefault="009300F5"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42CF3168" w14:textId="77777777" w:rsidR="009300F5" w:rsidRPr="00045A29" w:rsidRDefault="009300F5"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26B0DE3D" w14:textId="43642479" w:rsidR="009300F5" w:rsidRPr="00045A29" w:rsidRDefault="009300F5" w:rsidP="00265A5A">
            <w:pPr>
              <w:pStyle w:val="TableText"/>
              <w:spacing w:before="50" w:after="50"/>
            </w:pPr>
            <w:r w:rsidRPr="00045A29">
              <w:t>EC10 (</w:t>
            </w:r>
            <w:r>
              <w:t>g</w:t>
            </w:r>
            <w:r w:rsidRPr="00045A29">
              <w:t>rowth, biomass)</w:t>
            </w:r>
          </w:p>
        </w:tc>
        <w:tc>
          <w:tcPr>
            <w:tcW w:w="1277" w:type="dxa"/>
            <w:tcBorders>
              <w:top w:val="single" w:sz="4" w:space="0" w:color="auto"/>
              <w:left w:val="nil"/>
              <w:bottom w:val="single" w:sz="4" w:space="0" w:color="auto"/>
              <w:right w:val="nil"/>
            </w:tcBorders>
          </w:tcPr>
          <w:p w14:paraId="6A4A9589" w14:textId="795863CC" w:rsidR="009300F5" w:rsidRPr="00045A29" w:rsidRDefault="009300F5"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4A579EA2" w14:textId="77777777" w:rsidR="009300F5" w:rsidRPr="00045A29" w:rsidRDefault="009300F5" w:rsidP="00265A5A">
            <w:pPr>
              <w:pStyle w:val="TableText"/>
              <w:spacing w:before="50" w:after="50"/>
            </w:pPr>
            <w:r>
              <w:t>25</w:t>
            </w:r>
          </w:p>
        </w:tc>
        <w:tc>
          <w:tcPr>
            <w:tcW w:w="989" w:type="dxa"/>
            <w:tcBorders>
              <w:top w:val="single" w:sz="4" w:space="0" w:color="auto"/>
              <w:left w:val="nil"/>
              <w:bottom w:val="single" w:sz="4" w:space="0" w:color="auto"/>
              <w:right w:val="nil"/>
            </w:tcBorders>
          </w:tcPr>
          <w:p w14:paraId="1E6D7BFA" w14:textId="142E8778" w:rsidR="009300F5" w:rsidRPr="00045A29" w:rsidRDefault="009300F5" w:rsidP="00265A5A">
            <w:pPr>
              <w:pStyle w:val="TableText"/>
              <w:spacing w:before="50" w:after="50"/>
            </w:pPr>
            <w:r>
              <w:t>11.5</w:t>
            </w:r>
          </w:p>
        </w:tc>
        <w:tc>
          <w:tcPr>
            <w:tcW w:w="710" w:type="dxa"/>
            <w:tcBorders>
              <w:top w:val="single" w:sz="4" w:space="0" w:color="auto"/>
              <w:left w:val="nil"/>
              <w:bottom w:val="single" w:sz="4" w:space="0" w:color="auto"/>
              <w:right w:val="nil"/>
            </w:tcBorders>
          </w:tcPr>
          <w:p w14:paraId="6939F877" w14:textId="2051D57A" w:rsidR="009300F5" w:rsidRPr="00045A29" w:rsidRDefault="009300F5" w:rsidP="00265A5A">
            <w:pPr>
              <w:pStyle w:val="TableText"/>
              <w:spacing w:before="50" w:after="50"/>
            </w:pPr>
            <w:r>
              <w:t>6.0</w:t>
            </w:r>
          </w:p>
        </w:tc>
        <w:tc>
          <w:tcPr>
            <w:tcW w:w="741" w:type="dxa"/>
            <w:tcBorders>
              <w:top w:val="single" w:sz="4" w:space="0" w:color="auto"/>
              <w:left w:val="nil"/>
              <w:bottom w:val="single" w:sz="4" w:space="0" w:color="auto"/>
              <w:right w:val="nil"/>
            </w:tcBorders>
          </w:tcPr>
          <w:p w14:paraId="6FFDD47B" w14:textId="5E69EB23" w:rsidR="009300F5" w:rsidRPr="00045A29" w:rsidRDefault="009300F5" w:rsidP="00265A5A">
            <w:pPr>
              <w:pStyle w:val="TableText"/>
              <w:spacing w:before="50" w:after="50"/>
            </w:pPr>
            <w:r>
              <w:t>2.0</w:t>
            </w:r>
          </w:p>
        </w:tc>
        <w:tc>
          <w:tcPr>
            <w:tcW w:w="992" w:type="dxa"/>
            <w:tcBorders>
              <w:top w:val="single" w:sz="4" w:space="0" w:color="auto"/>
              <w:left w:val="nil"/>
              <w:bottom w:val="single" w:sz="4" w:space="0" w:color="auto"/>
              <w:right w:val="nil"/>
            </w:tcBorders>
          </w:tcPr>
          <w:p w14:paraId="77CD580F" w14:textId="580FCC6D" w:rsidR="009300F5" w:rsidRPr="00045A29" w:rsidRDefault="009300F5" w:rsidP="00265A5A">
            <w:pPr>
              <w:pStyle w:val="TableText"/>
              <w:spacing w:before="50" w:after="50"/>
            </w:pPr>
            <w:r>
              <w:t>266</w:t>
            </w:r>
          </w:p>
        </w:tc>
        <w:tc>
          <w:tcPr>
            <w:tcW w:w="1922" w:type="dxa"/>
            <w:tcBorders>
              <w:top w:val="single" w:sz="4" w:space="0" w:color="auto"/>
              <w:left w:val="nil"/>
              <w:bottom w:val="single" w:sz="4" w:space="0" w:color="auto"/>
              <w:right w:val="nil"/>
            </w:tcBorders>
          </w:tcPr>
          <w:p w14:paraId="1BB82E83" w14:textId="1D9A31BA" w:rsidR="009300F5" w:rsidRPr="00045A29" w:rsidRDefault="009300F5" w:rsidP="00B65E15">
            <w:pPr>
              <w:pStyle w:val="TableText"/>
              <w:spacing w:before="50" w:after="50"/>
            </w:pPr>
            <w:r>
              <w:t>Cardwell et al. (2023)</w:t>
            </w:r>
          </w:p>
        </w:tc>
      </w:tr>
      <w:tr w:rsidR="001C64A7" w:rsidRPr="00045A29" w14:paraId="01E53E84" w14:textId="77777777" w:rsidTr="00B65E15">
        <w:trPr>
          <w:cantSplit/>
          <w:jc w:val="center"/>
        </w:trPr>
        <w:tc>
          <w:tcPr>
            <w:tcW w:w="1537" w:type="dxa"/>
            <w:tcBorders>
              <w:top w:val="single" w:sz="4" w:space="0" w:color="auto"/>
              <w:left w:val="nil"/>
              <w:bottom w:val="single" w:sz="4" w:space="0" w:color="auto"/>
              <w:right w:val="nil"/>
            </w:tcBorders>
          </w:tcPr>
          <w:p w14:paraId="559BF334" w14:textId="716FA8D7"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5ACDFB04" w14:textId="47C31575" w:rsidR="009300F5" w:rsidRPr="00045A29" w:rsidRDefault="009300F5" w:rsidP="00B65E15">
            <w:pPr>
              <w:pStyle w:val="TableText"/>
              <w:spacing w:before="50" w:after="50"/>
            </w:pPr>
            <w:r w:rsidRPr="00FE6B34">
              <w:rPr>
                <w:rStyle w:val="Emphasis"/>
              </w:rPr>
              <w:t>Pimephales promelas</w:t>
            </w:r>
          </w:p>
        </w:tc>
        <w:tc>
          <w:tcPr>
            <w:tcW w:w="849" w:type="dxa"/>
            <w:tcBorders>
              <w:top w:val="single" w:sz="4" w:space="0" w:color="auto"/>
              <w:left w:val="nil"/>
              <w:bottom w:val="single" w:sz="4" w:space="0" w:color="auto"/>
              <w:right w:val="nil"/>
            </w:tcBorders>
          </w:tcPr>
          <w:p w14:paraId="2B239C39" w14:textId="139B20E1" w:rsidR="009300F5" w:rsidRPr="00045A29" w:rsidRDefault="009300F5"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102D1366" w14:textId="77777777" w:rsidR="009300F5" w:rsidRPr="00045A29" w:rsidRDefault="009300F5"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41559EA4" w14:textId="73D81111" w:rsidR="009300F5" w:rsidRDefault="009300F5" w:rsidP="00265A5A">
            <w:pPr>
              <w:pStyle w:val="TableText"/>
              <w:spacing w:before="50" w:after="50"/>
            </w:pPr>
            <w:r w:rsidRPr="00A9415D">
              <w:t>EC10 (</w:t>
            </w:r>
            <w:r>
              <w:t>g</w:t>
            </w:r>
            <w:r w:rsidRPr="00A9415D">
              <w:t>rowth, biomass)</w:t>
            </w:r>
          </w:p>
        </w:tc>
        <w:tc>
          <w:tcPr>
            <w:tcW w:w="1277" w:type="dxa"/>
            <w:tcBorders>
              <w:top w:val="single" w:sz="4" w:space="0" w:color="auto"/>
              <w:left w:val="nil"/>
              <w:bottom w:val="single" w:sz="4" w:space="0" w:color="auto"/>
              <w:right w:val="nil"/>
            </w:tcBorders>
          </w:tcPr>
          <w:p w14:paraId="0CB3D60B" w14:textId="4EF985A4" w:rsidR="009300F5" w:rsidRDefault="009300F5"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6A271D04" w14:textId="77777777" w:rsidR="009300F5" w:rsidRDefault="009300F5" w:rsidP="00265A5A">
            <w:pPr>
              <w:pStyle w:val="TableText"/>
              <w:spacing w:before="50" w:after="50"/>
            </w:pPr>
            <w:r w:rsidRPr="00E170FF">
              <w:t>25</w:t>
            </w:r>
          </w:p>
        </w:tc>
        <w:tc>
          <w:tcPr>
            <w:tcW w:w="989" w:type="dxa"/>
            <w:tcBorders>
              <w:top w:val="single" w:sz="4" w:space="0" w:color="auto"/>
              <w:left w:val="nil"/>
              <w:bottom w:val="single" w:sz="4" w:space="0" w:color="auto"/>
              <w:right w:val="nil"/>
            </w:tcBorders>
          </w:tcPr>
          <w:p w14:paraId="7991050E" w14:textId="71225686" w:rsidR="009300F5" w:rsidRPr="00045A29" w:rsidRDefault="009300F5" w:rsidP="00265A5A">
            <w:pPr>
              <w:pStyle w:val="TableText"/>
              <w:spacing w:before="50" w:after="50"/>
            </w:pPr>
            <w:r>
              <w:t>77.2</w:t>
            </w:r>
          </w:p>
        </w:tc>
        <w:tc>
          <w:tcPr>
            <w:tcW w:w="710" w:type="dxa"/>
            <w:tcBorders>
              <w:top w:val="single" w:sz="4" w:space="0" w:color="auto"/>
              <w:left w:val="nil"/>
              <w:bottom w:val="single" w:sz="4" w:space="0" w:color="auto"/>
              <w:right w:val="nil"/>
            </w:tcBorders>
          </w:tcPr>
          <w:p w14:paraId="4B7BEBC9" w14:textId="4A95D0EF" w:rsidR="009300F5" w:rsidRPr="00045A29" w:rsidRDefault="009300F5" w:rsidP="00265A5A">
            <w:pPr>
              <w:pStyle w:val="TableText"/>
              <w:spacing w:before="50" w:after="50"/>
            </w:pPr>
            <w:r>
              <w:t>6.0</w:t>
            </w:r>
          </w:p>
        </w:tc>
        <w:tc>
          <w:tcPr>
            <w:tcW w:w="741" w:type="dxa"/>
            <w:tcBorders>
              <w:top w:val="single" w:sz="4" w:space="0" w:color="auto"/>
              <w:left w:val="nil"/>
              <w:bottom w:val="single" w:sz="4" w:space="0" w:color="auto"/>
              <w:right w:val="nil"/>
            </w:tcBorders>
          </w:tcPr>
          <w:p w14:paraId="6C11680A" w14:textId="4D5E4638" w:rsidR="009300F5" w:rsidRPr="00045A29" w:rsidRDefault="009300F5" w:rsidP="00265A5A">
            <w:pPr>
              <w:pStyle w:val="TableText"/>
              <w:spacing w:before="50" w:after="50"/>
            </w:pPr>
            <w:r>
              <w:t>0.3</w:t>
            </w:r>
          </w:p>
        </w:tc>
        <w:tc>
          <w:tcPr>
            <w:tcW w:w="992" w:type="dxa"/>
            <w:tcBorders>
              <w:top w:val="single" w:sz="4" w:space="0" w:color="auto"/>
              <w:left w:val="nil"/>
              <w:bottom w:val="single" w:sz="4" w:space="0" w:color="auto"/>
              <w:right w:val="nil"/>
            </w:tcBorders>
          </w:tcPr>
          <w:p w14:paraId="72D148A8" w14:textId="77777777" w:rsidR="009300F5" w:rsidRPr="00045A29" w:rsidRDefault="009300F5" w:rsidP="00265A5A">
            <w:pPr>
              <w:pStyle w:val="TableText"/>
              <w:spacing w:before="50" w:after="50"/>
            </w:pPr>
            <w:r>
              <w:t>316</w:t>
            </w:r>
          </w:p>
        </w:tc>
        <w:tc>
          <w:tcPr>
            <w:tcW w:w="1922" w:type="dxa"/>
            <w:tcBorders>
              <w:top w:val="single" w:sz="4" w:space="0" w:color="auto"/>
              <w:left w:val="nil"/>
              <w:bottom w:val="single" w:sz="4" w:space="0" w:color="auto"/>
              <w:right w:val="nil"/>
            </w:tcBorders>
          </w:tcPr>
          <w:p w14:paraId="61DD4D24" w14:textId="54FFA3BC" w:rsidR="009300F5" w:rsidRPr="00045A29" w:rsidRDefault="009300F5" w:rsidP="00B65E15">
            <w:pPr>
              <w:pStyle w:val="TableText"/>
              <w:spacing w:before="50" w:after="50"/>
            </w:pPr>
            <w:r>
              <w:t>Cardwell et al. (2023)</w:t>
            </w:r>
          </w:p>
        </w:tc>
      </w:tr>
      <w:tr w:rsidR="001C64A7" w:rsidRPr="00045A29" w14:paraId="6ECBE552" w14:textId="77777777" w:rsidTr="00B65E15">
        <w:trPr>
          <w:cantSplit/>
          <w:jc w:val="center"/>
        </w:trPr>
        <w:tc>
          <w:tcPr>
            <w:tcW w:w="1537" w:type="dxa"/>
            <w:tcBorders>
              <w:top w:val="single" w:sz="4" w:space="0" w:color="auto"/>
              <w:left w:val="nil"/>
              <w:bottom w:val="single" w:sz="4" w:space="0" w:color="auto"/>
              <w:right w:val="nil"/>
            </w:tcBorders>
          </w:tcPr>
          <w:p w14:paraId="529BF8A9" w14:textId="3BE278CE" w:rsidR="009300F5" w:rsidRDefault="009300F5" w:rsidP="00B65E15">
            <w:pPr>
              <w:pStyle w:val="TableText"/>
              <w:spacing w:before="50" w:after="50"/>
            </w:pPr>
            <w:r>
              <w:lastRenderedPageBreak/>
              <w:t>Fish (</w:t>
            </w:r>
            <w:r w:rsidRPr="00045A29">
              <w:t>Chordata</w:t>
            </w:r>
            <w:r>
              <w:t>)</w:t>
            </w:r>
          </w:p>
        </w:tc>
        <w:tc>
          <w:tcPr>
            <w:tcW w:w="1417" w:type="dxa"/>
            <w:tcBorders>
              <w:top w:val="single" w:sz="4" w:space="0" w:color="auto"/>
              <w:left w:val="nil"/>
              <w:bottom w:val="single" w:sz="4" w:space="0" w:color="auto"/>
              <w:right w:val="nil"/>
            </w:tcBorders>
          </w:tcPr>
          <w:p w14:paraId="449F59C4" w14:textId="56B34F7E" w:rsidR="009300F5" w:rsidRPr="00045A29" w:rsidRDefault="009300F5" w:rsidP="00B65E15">
            <w:pPr>
              <w:pStyle w:val="TableText"/>
              <w:spacing w:before="50" w:after="50"/>
            </w:pPr>
            <w:r w:rsidRPr="00FE6B34">
              <w:rPr>
                <w:rStyle w:val="Emphasis"/>
              </w:rPr>
              <w:t>Pimephales promelas</w:t>
            </w:r>
          </w:p>
        </w:tc>
        <w:tc>
          <w:tcPr>
            <w:tcW w:w="849" w:type="dxa"/>
            <w:tcBorders>
              <w:top w:val="single" w:sz="4" w:space="0" w:color="auto"/>
              <w:left w:val="nil"/>
              <w:bottom w:val="single" w:sz="4" w:space="0" w:color="auto"/>
              <w:right w:val="nil"/>
            </w:tcBorders>
          </w:tcPr>
          <w:p w14:paraId="3043940A" w14:textId="3CDA0914" w:rsidR="009300F5" w:rsidRPr="00045A29" w:rsidRDefault="009300F5"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2B930353" w14:textId="77777777" w:rsidR="009300F5" w:rsidRPr="00045A29" w:rsidRDefault="009300F5"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2D61AA0A" w14:textId="4313B495" w:rsidR="009300F5" w:rsidRDefault="009300F5" w:rsidP="00265A5A">
            <w:pPr>
              <w:pStyle w:val="TableText"/>
              <w:spacing w:before="50" w:after="50"/>
            </w:pPr>
            <w:r w:rsidRPr="00A9415D">
              <w:t>EC10 (</w:t>
            </w:r>
            <w:r>
              <w:t>g</w:t>
            </w:r>
            <w:r w:rsidRPr="00A9415D">
              <w:t>rowth, biomass)</w:t>
            </w:r>
          </w:p>
        </w:tc>
        <w:tc>
          <w:tcPr>
            <w:tcW w:w="1277" w:type="dxa"/>
            <w:tcBorders>
              <w:top w:val="single" w:sz="4" w:space="0" w:color="auto"/>
              <w:left w:val="nil"/>
              <w:bottom w:val="single" w:sz="4" w:space="0" w:color="auto"/>
              <w:right w:val="nil"/>
            </w:tcBorders>
          </w:tcPr>
          <w:p w14:paraId="16C50033" w14:textId="5588BA38" w:rsidR="009300F5" w:rsidRDefault="009300F5"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1EA571B5" w14:textId="77777777" w:rsidR="009300F5" w:rsidRDefault="009300F5" w:rsidP="00265A5A">
            <w:pPr>
              <w:pStyle w:val="TableText"/>
              <w:spacing w:before="50" w:after="50"/>
            </w:pPr>
            <w:r w:rsidRPr="00E170FF">
              <w:t>25</w:t>
            </w:r>
          </w:p>
        </w:tc>
        <w:tc>
          <w:tcPr>
            <w:tcW w:w="989" w:type="dxa"/>
            <w:tcBorders>
              <w:top w:val="single" w:sz="4" w:space="0" w:color="auto"/>
              <w:left w:val="nil"/>
              <w:bottom w:val="single" w:sz="4" w:space="0" w:color="auto"/>
              <w:right w:val="nil"/>
            </w:tcBorders>
          </w:tcPr>
          <w:p w14:paraId="4C07E3AD" w14:textId="34B8AFC8" w:rsidR="009300F5" w:rsidRPr="00045A29" w:rsidRDefault="009300F5" w:rsidP="00265A5A">
            <w:pPr>
              <w:pStyle w:val="TableText"/>
              <w:spacing w:before="50" w:after="50"/>
            </w:pPr>
            <w:r>
              <w:t>231</w:t>
            </w:r>
          </w:p>
        </w:tc>
        <w:tc>
          <w:tcPr>
            <w:tcW w:w="710" w:type="dxa"/>
            <w:tcBorders>
              <w:top w:val="single" w:sz="4" w:space="0" w:color="auto"/>
              <w:left w:val="nil"/>
              <w:bottom w:val="single" w:sz="4" w:space="0" w:color="auto"/>
              <w:right w:val="nil"/>
            </w:tcBorders>
          </w:tcPr>
          <w:p w14:paraId="65B64328" w14:textId="5C2E9C2A" w:rsidR="009300F5" w:rsidRPr="00045A29" w:rsidRDefault="009300F5" w:rsidP="00265A5A">
            <w:pPr>
              <w:pStyle w:val="TableText"/>
              <w:spacing w:before="50" w:after="50"/>
            </w:pPr>
            <w:r>
              <w:t>6.0</w:t>
            </w:r>
          </w:p>
        </w:tc>
        <w:tc>
          <w:tcPr>
            <w:tcW w:w="741" w:type="dxa"/>
            <w:tcBorders>
              <w:top w:val="single" w:sz="4" w:space="0" w:color="auto"/>
              <w:left w:val="nil"/>
              <w:bottom w:val="single" w:sz="4" w:space="0" w:color="auto"/>
              <w:right w:val="nil"/>
            </w:tcBorders>
          </w:tcPr>
          <w:p w14:paraId="1C3B312C" w14:textId="593CC1E7" w:rsidR="009300F5" w:rsidRPr="00045A29" w:rsidRDefault="009300F5" w:rsidP="00265A5A">
            <w:pPr>
              <w:pStyle w:val="TableText"/>
              <w:spacing w:before="50" w:after="50"/>
            </w:pPr>
            <w:r>
              <w:t>0.3</w:t>
            </w:r>
          </w:p>
        </w:tc>
        <w:tc>
          <w:tcPr>
            <w:tcW w:w="992" w:type="dxa"/>
            <w:tcBorders>
              <w:top w:val="single" w:sz="4" w:space="0" w:color="auto"/>
              <w:left w:val="nil"/>
              <w:bottom w:val="single" w:sz="4" w:space="0" w:color="auto"/>
              <w:right w:val="nil"/>
            </w:tcBorders>
          </w:tcPr>
          <w:p w14:paraId="25DA1E15" w14:textId="77777777" w:rsidR="009300F5" w:rsidRPr="00045A29" w:rsidRDefault="009300F5" w:rsidP="00265A5A">
            <w:pPr>
              <w:pStyle w:val="TableText"/>
              <w:spacing w:before="50" w:after="50"/>
            </w:pPr>
            <w:r>
              <w:t>332</w:t>
            </w:r>
          </w:p>
        </w:tc>
        <w:tc>
          <w:tcPr>
            <w:tcW w:w="1922" w:type="dxa"/>
            <w:tcBorders>
              <w:top w:val="single" w:sz="4" w:space="0" w:color="auto"/>
              <w:left w:val="nil"/>
              <w:bottom w:val="single" w:sz="4" w:space="0" w:color="auto"/>
              <w:right w:val="nil"/>
            </w:tcBorders>
          </w:tcPr>
          <w:p w14:paraId="3BC0CED7" w14:textId="64E75E93" w:rsidR="009300F5" w:rsidRPr="00045A29" w:rsidRDefault="009300F5" w:rsidP="00B65E15">
            <w:pPr>
              <w:pStyle w:val="TableText"/>
              <w:spacing w:before="50" w:after="50"/>
            </w:pPr>
            <w:r>
              <w:t>Cardwell et al. (2023)</w:t>
            </w:r>
          </w:p>
        </w:tc>
      </w:tr>
      <w:tr w:rsidR="001C64A7" w:rsidRPr="00045A29" w14:paraId="2DBD9FF5" w14:textId="77777777" w:rsidTr="00B65E15">
        <w:trPr>
          <w:cantSplit/>
          <w:jc w:val="center"/>
        </w:trPr>
        <w:tc>
          <w:tcPr>
            <w:tcW w:w="1537" w:type="dxa"/>
            <w:tcBorders>
              <w:top w:val="single" w:sz="4" w:space="0" w:color="auto"/>
              <w:left w:val="nil"/>
              <w:bottom w:val="single" w:sz="4" w:space="0" w:color="auto"/>
              <w:right w:val="nil"/>
            </w:tcBorders>
          </w:tcPr>
          <w:p w14:paraId="1F29651D" w14:textId="09F634EB"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1218D9C9" w14:textId="12899BAB" w:rsidR="009300F5" w:rsidRPr="00045A29" w:rsidRDefault="009300F5" w:rsidP="00B65E15">
            <w:pPr>
              <w:pStyle w:val="TableText"/>
              <w:spacing w:before="50" w:after="50"/>
            </w:pPr>
            <w:r w:rsidRPr="00FE6B34">
              <w:rPr>
                <w:rStyle w:val="Emphasis"/>
              </w:rPr>
              <w:t>Pimephales promelas</w:t>
            </w:r>
          </w:p>
        </w:tc>
        <w:tc>
          <w:tcPr>
            <w:tcW w:w="849" w:type="dxa"/>
            <w:tcBorders>
              <w:top w:val="single" w:sz="4" w:space="0" w:color="auto"/>
              <w:left w:val="nil"/>
              <w:bottom w:val="single" w:sz="4" w:space="0" w:color="auto"/>
              <w:right w:val="nil"/>
            </w:tcBorders>
          </w:tcPr>
          <w:p w14:paraId="5E67BC19" w14:textId="54AE46AC" w:rsidR="009300F5" w:rsidRPr="00045A29" w:rsidRDefault="009300F5"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4CA8013E" w14:textId="77777777" w:rsidR="009300F5" w:rsidRPr="00045A29" w:rsidRDefault="009300F5"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35B5E0D8" w14:textId="66039843" w:rsidR="009300F5" w:rsidRDefault="009300F5" w:rsidP="00265A5A">
            <w:pPr>
              <w:pStyle w:val="TableText"/>
              <w:spacing w:before="50" w:after="50"/>
            </w:pPr>
            <w:r w:rsidRPr="00A9415D">
              <w:t>EC10 (</w:t>
            </w:r>
            <w:r>
              <w:t>g</w:t>
            </w:r>
            <w:r w:rsidRPr="00A9415D">
              <w:t>rowth, biomass)</w:t>
            </w:r>
          </w:p>
        </w:tc>
        <w:tc>
          <w:tcPr>
            <w:tcW w:w="1277" w:type="dxa"/>
            <w:tcBorders>
              <w:top w:val="single" w:sz="4" w:space="0" w:color="auto"/>
              <w:left w:val="nil"/>
              <w:bottom w:val="single" w:sz="4" w:space="0" w:color="auto"/>
              <w:right w:val="nil"/>
            </w:tcBorders>
          </w:tcPr>
          <w:p w14:paraId="1D7F80DC" w14:textId="795CE7C8" w:rsidR="009300F5" w:rsidRDefault="009300F5"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3F7F28DA" w14:textId="77777777" w:rsidR="009300F5" w:rsidRDefault="009300F5" w:rsidP="00265A5A">
            <w:pPr>
              <w:pStyle w:val="TableText"/>
              <w:spacing w:before="50" w:after="50"/>
            </w:pPr>
            <w:r w:rsidRPr="00E170FF">
              <w:t>25</w:t>
            </w:r>
          </w:p>
        </w:tc>
        <w:tc>
          <w:tcPr>
            <w:tcW w:w="989" w:type="dxa"/>
            <w:tcBorders>
              <w:top w:val="single" w:sz="4" w:space="0" w:color="auto"/>
              <w:left w:val="nil"/>
              <w:bottom w:val="single" w:sz="4" w:space="0" w:color="auto"/>
              <w:right w:val="nil"/>
            </w:tcBorders>
          </w:tcPr>
          <w:p w14:paraId="0C4EFE21" w14:textId="2C3C528A" w:rsidR="009300F5" w:rsidRPr="00045A29" w:rsidRDefault="009300F5" w:rsidP="00265A5A">
            <w:pPr>
              <w:pStyle w:val="TableText"/>
              <w:spacing w:before="50" w:after="50"/>
            </w:pPr>
            <w:r>
              <w:t>244</w:t>
            </w:r>
          </w:p>
        </w:tc>
        <w:tc>
          <w:tcPr>
            <w:tcW w:w="710" w:type="dxa"/>
            <w:tcBorders>
              <w:top w:val="single" w:sz="4" w:space="0" w:color="auto"/>
              <w:left w:val="nil"/>
              <w:bottom w:val="single" w:sz="4" w:space="0" w:color="auto"/>
              <w:right w:val="nil"/>
            </w:tcBorders>
          </w:tcPr>
          <w:p w14:paraId="4D77DDAD" w14:textId="502EDDFF" w:rsidR="009300F5" w:rsidRPr="00045A29" w:rsidRDefault="009300F5" w:rsidP="00265A5A">
            <w:pPr>
              <w:pStyle w:val="TableText"/>
              <w:spacing w:before="50" w:after="50"/>
            </w:pPr>
            <w:r>
              <w:t>6.0</w:t>
            </w:r>
          </w:p>
        </w:tc>
        <w:tc>
          <w:tcPr>
            <w:tcW w:w="741" w:type="dxa"/>
            <w:tcBorders>
              <w:top w:val="single" w:sz="4" w:space="0" w:color="auto"/>
              <w:left w:val="nil"/>
              <w:bottom w:val="single" w:sz="4" w:space="0" w:color="auto"/>
              <w:right w:val="nil"/>
            </w:tcBorders>
          </w:tcPr>
          <w:p w14:paraId="0A801DB4" w14:textId="400CD11C" w:rsidR="009300F5" w:rsidRPr="00045A29" w:rsidRDefault="009300F5" w:rsidP="00265A5A">
            <w:pPr>
              <w:pStyle w:val="TableText"/>
              <w:spacing w:before="50" w:after="50"/>
            </w:pPr>
            <w:r>
              <w:t>2.0</w:t>
            </w:r>
          </w:p>
        </w:tc>
        <w:tc>
          <w:tcPr>
            <w:tcW w:w="992" w:type="dxa"/>
            <w:tcBorders>
              <w:top w:val="single" w:sz="4" w:space="0" w:color="auto"/>
              <w:left w:val="nil"/>
              <w:bottom w:val="single" w:sz="4" w:space="0" w:color="auto"/>
              <w:right w:val="nil"/>
            </w:tcBorders>
          </w:tcPr>
          <w:p w14:paraId="70002C6C" w14:textId="3BD499BB" w:rsidR="009300F5" w:rsidRPr="00045A29" w:rsidRDefault="009300F5" w:rsidP="00265A5A">
            <w:pPr>
              <w:pStyle w:val="TableText"/>
              <w:spacing w:before="50" w:after="50"/>
            </w:pPr>
            <w:r>
              <w:t>2,781</w:t>
            </w:r>
          </w:p>
        </w:tc>
        <w:tc>
          <w:tcPr>
            <w:tcW w:w="1922" w:type="dxa"/>
            <w:tcBorders>
              <w:top w:val="single" w:sz="4" w:space="0" w:color="auto"/>
              <w:left w:val="nil"/>
              <w:bottom w:val="single" w:sz="4" w:space="0" w:color="auto"/>
              <w:right w:val="nil"/>
            </w:tcBorders>
          </w:tcPr>
          <w:p w14:paraId="51B5279D" w14:textId="6741780B" w:rsidR="009300F5" w:rsidRPr="00045A29" w:rsidRDefault="009300F5" w:rsidP="00B65E15">
            <w:pPr>
              <w:pStyle w:val="TableText"/>
              <w:spacing w:before="50" w:after="50"/>
            </w:pPr>
            <w:r>
              <w:t>Cardwell et al. (2023)</w:t>
            </w:r>
          </w:p>
        </w:tc>
      </w:tr>
      <w:tr w:rsidR="001C64A7" w:rsidRPr="00045A29" w14:paraId="31E6CBBC" w14:textId="77777777" w:rsidTr="00B65E15">
        <w:trPr>
          <w:cantSplit/>
          <w:jc w:val="center"/>
        </w:trPr>
        <w:tc>
          <w:tcPr>
            <w:tcW w:w="1537" w:type="dxa"/>
            <w:tcBorders>
              <w:top w:val="single" w:sz="4" w:space="0" w:color="auto"/>
              <w:left w:val="nil"/>
              <w:bottom w:val="single" w:sz="4" w:space="0" w:color="auto"/>
              <w:right w:val="nil"/>
            </w:tcBorders>
          </w:tcPr>
          <w:p w14:paraId="5EAE3F63" w14:textId="28ECE030"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5DC29A72" w14:textId="2E9C313E" w:rsidR="009300F5" w:rsidRPr="00045A29" w:rsidRDefault="009300F5" w:rsidP="00B65E15">
            <w:pPr>
              <w:pStyle w:val="TableText"/>
              <w:spacing w:before="50" w:after="50"/>
            </w:pPr>
            <w:r w:rsidRPr="00FE6B34">
              <w:rPr>
                <w:rStyle w:val="Emphasis"/>
              </w:rPr>
              <w:t>Pimephales promelas</w:t>
            </w:r>
          </w:p>
        </w:tc>
        <w:tc>
          <w:tcPr>
            <w:tcW w:w="849" w:type="dxa"/>
            <w:tcBorders>
              <w:top w:val="single" w:sz="4" w:space="0" w:color="auto"/>
              <w:left w:val="nil"/>
              <w:bottom w:val="single" w:sz="4" w:space="0" w:color="auto"/>
              <w:right w:val="nil"/>
            </w:tcBorders>
          </w:tcPr>
          <w:p w14:paraId="0DABED52" w14:textId="70DFCC52" w:rsidR="009300F5" w:rsidRPr="00045A29" w:rsidRDefault="009300F5"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17BC1777" w14:textId="77777777" w:rsidR="009300F5" w:rsidRPr="00045A29" w:rsidRDefault="009300F5"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2A14DA84" w14:textId="32F51DE7" w:rsidR="009300F5" w:rsidRDefault="009300F5" w:rsidP="00265A5A">
            <w:pPr>
              <w:pStyle w:val="TableText"/>
              <w:spacing w:before="50" w:after="50"/>
            </w:pPr>
            <w:r w:rsidRPr="00A9415D">
              <w:t>EC10 (</w:t>
            </w:r>
            <w:r>
              <w:t>g</w:t>
            </w:r>
            <w:r w:rsidRPr="00A9415D">
              <w:t>rowth, biomass)</w:t>
            </w:r>
          </w:p>
        </w:tc>
        <w:tc>
          <w:tcPr>
            <w:tcW w:w="1277" w:type="dxa"/>
            <w:tcBorders>
              <w:top w:val="single" w:sz="4" w:space="0" w:color="auto"/>
              <w:left w:val="nil"/>
              <w:bottom w:val="single" w:sz="4" w:space="0" w:color="auto"/>
              <w:right w:val="nil"/>
            </w:tcBorders>
          </w:tcPr>
          <w:p w14:paraId="7D0FCE2B" w14:textId="7C34E401" w:rsidR="009300F5" w:rsidRDefault="009300F5"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62654E1E" w14:textId="77777777" w:rsidR="009300F5" w:rsidRDefault="009300F5" w:rsidP="00265A5A">
            <w:pPr>
              <w:pStyle w:val="TableText"/>
              <w:spacing w:before="50" w:after="50"/>
            </w:pPr>
            <w:r w:rsidRPr="00E170FF">
              <w:t>25</w:t>
            </w:r>
          </w:p>
        </w:tc>
        <w:tc>
          <w:tcPr>
            <w:tcW w:w="989" w:type="dxa"/>
            <w:tcBorders>
              <w:top w:val="single" w:sz="4" w:space="0" w:color="auto"/>
              <w:left w:val="nil"/>
              <w:bottom w:val="single" w:sz="4" w:space="0" w:color="auto"/>
              <w:right w:val="nil"/>
            </w:tcBorders>
          </w:tcPr>
          <w:p w14:paraId="6372B089" w14:textId="61595A40" w:rsidR="009300F5" w:rsidRPr="00045A29" w:rsidRDefault="009300F5" w:rsidP="00265A5A">
            <w:pPr>
              <w:pStyle w:val="TableText"/>
              <w:spacing w:before="50" w:after="50"/>
            </w:pPr>
            <w:r>
              <w:t>16.4</w:t>
            </w:r>
          </w:p>
        </w:tc>
        <w:tc>
          <w:tcPr>
            <w:tcW w:w="710" w:type="dxa"/>
            <w:tcBorders>
              <w:top w:val="single" w:sz="4" w:space="0" w:color="auto"/>
              <w:left w:val="nil"/>
              <w:bottom w:val="single" w:sz="4" w:space="0" w:color="auto"/>
              <w:right w:val="nil"/>
            </w:tcBorders>
          </w:tcPr>
          <w:p w14:paraId="41EB573A" w14:textId="3BE82BC8" w:rsidR="009300F5" w:rsidRPr="00045A29" w:rsidRDefault="009300F5" w:rsidP="00265A5A">
            <w:pPr>
              <w:pStyle w:val="TableText"/>
              <w:spacing w:before="50" w:after="50"/>
            </w:pPr>
            <w:r>
              <w:t>7.9</w:t>
            </w:r>
          </w:p>
        </w:tc>
        <w:tc>
          <w:tcPr>
            <w:tcW w:w="741" w:type="dxa"/>
            <w:tcBorders>
              <w:top w:val="single" w:sz="4" w:space="0" w:color="auto"/>
              <w:left w:val="nil"/>
              <w:bottom w:val="single" w:sz="4" w:space="0" w:color="auto"/>
              <w:right w:val="nil"/>
            </w:tcBorders>
          </w:tcPr>
          <w:p w14:paraId="7C7E35A4" w14:textId="260DF75C" w:rsidR="009300F5" w:rsidRPr="00045A29" w:rsidRDefault="009300F5" w:rsidP="00265A5A">
            <w:pPr>
              <w:pStyle w:val="TableText"/>
              <w:spacing w:before="50" w:after="50"/>
            </w:pPr>
            <w:r>
              <w:t>0.3</w:t>
            </w:r>
          </w:p>
        </w:tc>
        <w:tc>
          <w:tcPr>
            <w:tcW w:w="992" w:type="dxa"/>
            <w:tcBorders>
              <w:top w:val="single" w:sz="4" w:space="0" w:color="auto"/>
              <w:left w:val="nil"/>
              <w:bottom w:val="single" w:sz="4" w:space="0" w:color="auto"/>
              <w:right w:val="nil"/>
            </w:tcBorders>
          </w:tcPr>
          <w:p w14:paraId="10DCD229" w14:textId="77777777" w:rsidR="009300F5" w:rsidRPr="00045A29" w:rsidRDefault="009300F5" w:rsidP="00265A5A">
            <w:pPr>
              <w:pStyle w:val="TableText"/>
              <w:spacing w:before="50" w:after="50"/>
            </w:pPr>
            <w:r>
              <w:t>533</w:t>
            </w:r>
          </w:p>
        </w:tc>
        <w:tc>
          <w:tcPr>
            <w:tcW w:w="1922" w:type="dxa"/>
            <w:tcBorders>
              <w:top w:val="single" w:sz="4" w:space="0" w:color="auto"/>
              <w:left w:val="nil"/>
              <w:bottom w:val="single" w:sz="4" w:space="0" w:color="auto"/>
              <w:right w:val="nil"/>
            </w:tcBorders>
          </w:tcPr>
          <w:p w14:paraId="027732DC" w14:textId="517DA846" w:rsidR="009300F5" w:rsidRPr="00045A29" w:rsidRDefault="009300F5" w:rsidP="00B65E15">
            <w:pPr>
              <w:pStyle w:val="TableText"/>
              <w:spacing w:before="50" w:after="50"/>
            </w:pPr>
            <w:r>
              <w:t>Cardwell et al. (2023)</w:t>
            </w:r>
          </w:p>
        </w:tc>
      </w:tr>
      <w:tr w:rsidR="001C64A7" w:rsidRPr="00045A29" w14:paraId="2BD419ED" w14:textId="77777777" w:rsidTr="00B65E15">
        <w:trPr>
          <w:cantSplit/>
          <w:jc w:val="center"/>
        </w:trPr>
        <w:tc>
          <w:tcPr>
            <w:tcW w:w="1537" w:type="dxa"/>
            <w:tcBorders>
              <w:top w:val="single" w:sz="4" w:space="0" w:color="auto"/>
              <w:left w:val="nil"/>
              <w:bottom w:val="single" w:sz="4" w:space="0" w:color="auto"/>
              <w:right w:val="nil"/>
            </w:tcBorders>
          </w:tcPr>
          <w:p w14:paraId="7E22AC69" w14:textId="100D11A1"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133D2312" w14:textId="0CDCAAA9" w:rsidR="009300F5" w:rsidRPr="00045A29" w:rsidRDefault="009300F5" w:rsidP="00B65E15">
            <w:pPr>
              <w:pStyle w:val="TableText"/>
              <w:spacing w:before="50" w:after="50"/>
            </w:pPr>
            <w:r w:rsidRPr="00FE6B34">
              <w:rPr>
                <w:rStyle w:val="Emphasis"/>
              </w:rPr>
              <w:t>Pimephales promelas</w:t>
            </w:r>
          </w:p>
        </w:tc>
        <w:tc>
          <w:tcPr>
            <w:tcW w:w="849" w:type="dxa"/>
            <w:tcBorders>
              <w:top w:val="single" w:sz="4" w:space="0" w:color="auto"/>
              <w:left w:val="nil"/>
              <w:bottom w:val="single" w:sz="4" w:space="0" w:color="auto"/>
              <w:right w:val="nil"/>
            </w:tcBorders>
          </w:tcPr>
          <w:p w14:paraId="2B7724CF" w14:textId="7C981162" w:rsidR="009300F5" w:rsidRPr="00045A29" w:rsidRDefault="009300F5"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14CBE6AE" w14:textId="77777777" w:rsidR="009300F5" w:rsidRPr="00045A29" w:rsidRDefault="009300F5"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2F7881C4" w14:textId="0088FF6A" w:rsidR="009300F5" w:rsidRDefault="009300F5" w:rsidP="00265A5A">
            <w:pPr>
              <w:pStyle w:val="TableText"/>
              <w:spacing w:before="50" w:after="50"/>
            </w:pPr>
            <w:r w:rsidRPr="00A9415D">
              <w:t>EC10 (</w:t>
            </w:r>
            <w:r>
              <w:t>g</w:t>
            </w:r>
            <w:r w:rsidRPr="00A9415D">
              <w:t>rowth, biomass)</w:t>
            </w:r>
          </w:p>
        </w:tc>
        <w:tc>
          <w:tcPr>
            <w:tcW w:w="1277" w:type="dxa"/>
            <w:tcBorders>
              <w:top w:val="single" w:sz="4" w:space="0" w:color="auto"/>
              <w:left w:val="nil"/>
              <w:bottom w:val="single" w:sz="4" w:space="0" w:color="auto"/>
              <w:right w:val="nil"/>
            </w:tcBorders>
          </w:tcPr>
          <w:p w14:paraId="3D171957" w14:textId="141C006A" w:rsidR="009300F5" w:rsidRDefault="009300F5"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3A33EFFA" w14:textId="77777777" w:rsidR="009300F5" w:rsidRDefault="009300F5" w:rsidP="00265A5A">
            <w:pPr>
              <w:pStyle w:val="TableText"/>
              <w:spacing w:before="50" w:after="50"/>
            </w:pPr>
            <w:r w:rsidRPr="00E170FF">
              <w:t>25</w:t>
            </w:r>
          </w:p>
        </w:tc>
        <w:tc>
          <w:tcPr>
            <w:tcW w:w="989" w:type="dxa"/>
            <w:tcBorders>
              <w:top w:val="single" w:sz="4" w:space="0" w:color="auto"/>
              <w:left w:val="nil"/>
              <w:bottom w:val="single" w:sz="4" w:space="0" w:color="auto"/>
              <w:right w:val="nil"/>
            </w:tcBorders>
          </w:tcPr>
          <w:p w14:paraId="758A2DB2" w14:textId="4BF62B4A" w:rsidR="009300F5" w:rsidRPr="00045A29" w:rsidRDefault="009300F5" w:rsidP="00265A5A">
            <w:pPr>
              <w:pStyle w:val="TableText"/>
              <w:spacing w:before="50" w:after="50"/>
            </w:pPr>
            <w:r>
              <w:t>12.2</w:t>
            </w:r>
          </w:p>
        </w:tc>
        <w:tc>
          <w:tcPr>
            <w:tcW w:w="710" w:type="dxa"/>
            <w:tcBorders>
              <w:top w:val="single" w:sz="4" w:space="0" w:color="auto"/>
              <w:left w:val="nil"/>
              <w:bottom w:val="single" w:sz="4" w:space="0" w:color="auto"/>
              <w:right w:val="nil"/>
            </w:tcBorders>
          </w:tcPr>
          <w:p w14:paraId="51080ABC" w14:textId="54E46C06" w:rsidR="009300F5" w:rsidRPr="00045A29" w:rsidRDefault="009300F5" w:rsidP="00265A5A">
            <w:pPr>
              <w:pStyle w:val="TableText"/>
              <w:spacing w:before="50" w:after="50"/>
            </w:pPr>
            <w:r>
              <w:t>7.9</w:t>
            </w:r>
          </w:p>
        </w:tc>
        <w:tc>
          <w:tcPr>
            <w:tcW w:w="741" w:type="dxa"/>
            <w:tcBorders>
              <w:top w:val="single" w:sz="4" w:space="0" w:color="auto"/>
              <w:left w:val="nil"/>
              <w:bottom w:val="single" w:sz="4" w:space="0" w:color="auto"/>
              <w:right w:val="nil"/>
            </w:tcBorders>
          </w:tcPr>
          <w:p w14:paraId="3C90BEEA" w14:textId="6E7B72FE" w:rsidR="009300F5" w:rsidRPr="00045A29" w:rsidRDefault="009300F5" w:rsidP="00265A5A">
            <w:pPr>
              <w:pStyle w:val="TableText"/>
              <w:spacing w:before="50" w:after="50"/>
            </w:pPr>
            <w:r>
              <w:t>4.0</w:t>
            </w:r>
          </w:p>
        </w:tc>
        <w:tc>
          <w:tcPr>
            <w:tcW w:w="992" w:type="dxa"/>
            <w:tcBorders>
              <w:top w:val="single" w:sz="4" w:space="0" w:color="auto"/>
              <w:left w:val="nil"/>
              <w:bottom w:val="single" w:sz="4" w:space="0" w:color="auto"/>
              <w:right w:val="nil"/>
            </w:tcBorders>
          </w:tcPr>
          <w:p w14:paraId="17F8F113" w14:textId="6E7867A2" w:rsidR="009300F5" w:rsidRPr="00045A29" w:rsidRDefault="009300F5" w:rsidP="00265A5A">
            <w:pPr>
              <w:pStyle w:val="TableText"/>
              <w:spacing w:before="50" w:after="50"/>
            </w:pPr>
            <w:r>
              <w:t>27,086</w:t>
            </w:r>
          </w:p>
        </w:tc>
        <w:tc>
          <w:tcPr>
            <w:tcW w:w="1922" w:type="dxa"/>
            <w:tcBorders>
              <w:top w:val="single" w:sz="4" w:space="0" w:color="auto"/>
              <w:left w:val="nil"/>
              <w:bottom w:val="single" w:sz="4" w:space="0" w:color="auto"/>
              <w:right w:val="nil"/>
            </w:tcBorders>
          </w:tcPr>
          <w:p w14:paraId="4445261E" w14:textId="4B292DE3" w:rsidR="009300F5" w:rsidRPr="00045A29" w:rsidRDefault="009300F5" w:rsidP="00B65E15">
            <w:pPr>
              <w:pStyle w:val="TableText"/>
              <w:spacing w:before="50" w:after="50"/>
            </w:pPr>
            <w:r>
              <w:t>Cardwell et al. (2023)</w:t>
            </w:r>
          </w:p>
        </w:tc>
      </w:tr>
      <w:tr w:rsidR="001C64A7" w:rsidRPr="00045A29" w14:paraId="6A36C2C7" w14:textId="77777777" w:rsidTr="00B65E15">
        <w:trPr>
          <w:cantSplit/>
          <w:jc w:val="center"/>
        </w:trPr>
        <w:tc>
          <w:tcPr>
            <w:tcW w:w="1537" w:type="dxa"/>
            <w:tcBorders>
              <w:top w:val="single" w:sz="4" w:space="0" w:color="auto"/>
              <w:left w:val="nil"/>
              <w:bottom w:val="single" w:sz="4" w:space="0" w:color="auto"/>
              <w:right w:val="nil"/>
            </w:tcBorders>
          </w:tcPr>
          <w:p w14:paraId="02F36873" w14:textId="3A58416E"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4EFAC4F7" w14:textId="6D58F1D7" w:rsidR="009300F5" w:rsidRPr="00045A29" w:rsidRDefault="009300F5" w:rsidP="00B65E15">
            <w:pPr>
              <w:pStyle w:val="TableText"/>
              <w:spacing w:before="50" w:after="50"/>
            </w:pPr>
            <w:r w:rsidRPr="00FE6B34">
              <w:rPr>
                <w:rStyle w:val="Emphasis"/>
              </w:rPr>
              <w:t>Pimephales promelas</w:t>
            </w:r>
          </w:p>
        </w:tc>
        <w:tc>
          <w:tcPr>
            <w:tcW w:w="849" w:type="dxa"/>
            <w:tcBorders>
              <w:top w:val="single" w:sz="4" w:space="0" w:color="auto"/>
              <w:left w:val="nil"/>
              <w:bottom w:val="single" w:sz="4" w:space="0" w:color="auto"/>
              <w:right w:val="nil"/>
            </w:tcBorders>
          </w:tcPr>
          <w:p w14:paraId="056312A0" w14:textId="000C8D5E" w:rsidR="009300F5" w:rsidRPr="00045A29" w:rsidRDefault="009300F5"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44CE34E7" w14:textId="77777777" w:rsidR="009300F5" w:rsidRPr="00045A29" w:rsidRDefault="009300F5"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16CA02BA" w14:textId="22BB267A" w:rsidR="009300F5" w:rsidRDefault="009300F5" w:rsidP="00265A5A">
            <w:pPr>
              <w:pStyle w:val="TableText"/>
              <w:spacing w:before="50" w:after="50"/>
            </w:pPr>
            <w:r w:rsidRPr="00A9415D">
              <w:t>EC10 (</w:t>
            </w:r>
            <w:r>
              <w:t>g</w:t>
            </w:r>
            <w:r w:rsidRPr="00A9415D">
              <w:t>rowth, biomass)</w:t>
            </w:r>
          </w:p>
        </w:tc>
        <w:tc>
          <w:tcPr>
            <w:tcW w:w="1277" w:type="dxa"/>
            <w:tcBorders>
              <w:top w:val="single" w:sz="4" w:space="0" w:color="auto"/>
              <w:left w:val="nil"/>
              <w:bottom w:val="single" w:sz="4" w:space="0" w:color="auto"/>
              <w:right w:val="nil"/>
            </w:tcBorders>
          </w:tcPr>
          <w:p w14:paraId="5ED75A4F" w14:textId="11489457" w:rsidR="009300F5" w:rsidRDefault="009300F5"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06B06025" w14:textId="77777777" w:rsidR="009300F5" w:rsidRDefault="009300F5" w:rsidP="00265A5A">
            <w:pPr>
              <w:pStyle w:val="TableText"/>
              <w:spacing w:before="50" w:after="50"/>
            </w:pPr>
            <w:r w:rsidRPr="00E170FF">
              <w:t>25</w:t>
            </w:r>
          </w:p>
        </w:tc>
        <w:tc>
          <w:tcPr>
            <w:tcW w:w="989" w:type="dxa"/>
            <w:tcBorders>
              <w:top w:val="single" w:sz="4" w:space="0" w:color="auto"/>
              <w:left w:val="nil"/>
              <w:bottom w:val="single" w:sz="4" w:space="0" w:color="auto"/>
              <w:right w:val="nil"/>
            </w:tcBorders>
          </w:tcPr>
          <w:p w14:paraId="37651DF2" w14:textId="286F7911" w:rsidR="009300F5" w:rsidRPr="00045A29" w:rsidRDefault="009300F5" w:rsidP="00265A5A">
            <w:pPr>
              <w:pStyle w:val="TableText"/>
              <w:spacing w:before="50" w:after="50"/>
            </w:pPr>
            <w:r>
              <w:t>74.6</w:t>
            </w:r>
          </w:p>
        </w:tc>
        <w:tc>
          <w:tcPr>
            <w:tcW w:w="710" w:type="dxa"/>
            <w:tcBorders>
              <w:top w:val="single" w:sz="4" w:space="0" w:color="auto"/>
              <w:left w:val="nil"/>
              <w:bottom w:val="single" w:sz="4" w:space="0" w:color="auto"/>
              <w:right w:val="nil"/>
            </w:tcBorders>
          </w:tcPr>
          <w:p w14:paraId="3D3A90BA" w14:textId="57DB1B6C" w:rsidR="009300F5" w:rsidRPr="00045A29" w:rsidRDefault="009300F5" w:rsidP="00265A5A">
            <w:pPr>
              <w:pStyle w:val="TableText"/>
              <w:spacing w:before="50" w:after="50"/>
            </w:pPr>
            <w:r>
              <w:t>8.0</w:t>
            </w:r>
          </w:p>
        </w:tc>
        <w:tc>
          <w:tcPr>
            <w:tcW w:w="741" w:type="dxa"/>
            <w:tcBorders>
              <w:top w:val="single" w:sz="4" w:space="0" w:color="auto"/>
              <w:left w:val="nil"/>
              <w:bottom w:val="single" w:sz="4" w:space="0" w:color="auto"/>
              <w:right w:val="nil"/>
            </w:tcBorders>
          </w:tcPr>
          <w:p w14:paraId="0ACEF1CF" w14:textId="0B92B2D2" w:rsidR="009300F5" w:rsidRPr="00045A29" w:rsidRDefault="009300F5" w:rsidP="00265A5A">
            <w:pPr>
              <w:pStyle w:val="TableText"/>
              <w:spacing w:before="50" w:after="50"/>
            </w:pPr>
            <w:r>
              <w:t>0.4</w:t>
            </w:r>
          </w:p>
        </w:tc>
        <w:tc>
          <w:tcPr>
            <w:tcW w:w="992" w:type="dxa"/>
            <w:tcBorders>
              <w:top w:val="single" w:sz="4" w:space="0" w:color="auto"/>
              <w:left w:val="nil"/>
              <w:bottom w:val="single" w:sz="4" w:space="0" w:color="auto"/>
              <w:right w:val="nil"/>
            </w:tcBorders>
          </w:tcPr>
          <w:p w14:paraId="401F5B8E" w14:textId="0D70FDC7" w:rsidR="009300F5" w:rsidRPr="00045A29" w:rsidRDefault="009300F5" w:rsidP="00265A5A">
            <w:pPr>
              <w:pStyle w:val="TableText"/>
              <w:spacing w:before="50" w:after="50"/>
            </w:pPr>
            <w:r>
              <w:t>1,704</w:t>
            </w:r>
          </w:p>
        </w:tc>
        <w:tc>
          <w:tcPr>
            <w:tcW w:w="1922" w:type="dxa"/>
            <w:tcBorders>
              <w:top w:val="single" w:sz="4" w:space="0" w:color="auto"/>
              <w:left w:val="nil"/>
              <w:bottom w:val="single" w:sz="4" w:space="0" w:color="auto"/>
              <w:right w:val="nil"/>
            </w:tcBorders>
          </w:tcPr>
          <w:p w14:paraId="0E0829C2" w14:textId="5B925038" w:rsidR="009300F5" w:rsidRPr="00045A29" w:rsidRDefault="009300F5" w:rsidP="00B65E15">
            <w:pPr>
              <w:pStyle w:val="TableText"/>
              <w:spacing w:before="50" w:after="50"/>
            </w:pPr>
            <w:r>
              <w:t>Cardwell et al. (2023)</w:t>
            </w:r>
          </w:p>
        </w:tc>
      </w:tr>
      <w:tr w:rsidR="001C64A7" w:rsidRPr="00045A29" w14:paraId="6DD0444F" w14:textId="77777777" w:rsidTr="00B65E15">
        <w:trPr>
          <w:cantSplit/>
          <w:jc w:val="center"/>
        </w:trPr>
        <w:tc>
          <w:tcPr>
            <w:tcW w:w="1537" w:type="dxa"/>
            <w:tcBorders>
              <w:top w:val="single" w:sz="4" w:space="0" w:color="auto"/>
              <w:left w:val="nil"/>
              <w:bottom w:val="single" w:sz="4" w:space="0" w:color="auto"/>
              <w:right w:val="nil"/>
            </w:tcBorders>
          </w:tcPr>
          <w:p w14:paraId="51DB3B30" w14:textId="5841188E"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627A73AE" w14:textId="575738A5" w:rsidR="009300F5" w:rsidRPr="00045A29" w:rsidRDefault="009300F5" w:rsidP="00B65E15">
            <w:pPr>
              <w:pStyle w:val="TableText"/>
              <w:spacing w:before="50" w:after="50"/>
            </w:pPr>
            <w:r w:rsidRPr="00FE6B34">
              <w:rPr>
                <w:rStyle w:val="Emphasis"/>
              </w:rPr>
              <w:t>Pimephales promelas</w:t>
            </w:r>
          </w:p>
        </w:tc>
        <w:tc>
          <w:tcPr>
            <w:tcW w:w="849" w:type="dxa"/>
            <w:tcBorders>
              <w:top w:val="single" w:sz="4" w:space="0" w:color="auto"/>
              <w:left w:val="nil"/>
              <w:bottom w:val="single" w:sz="4" w:space="0" w:color="auto"/>
              <w:right w:val="nil"/>
            </w:tcBorders>
          </w:tcPr>
          <w:p w14:paraId="0EB4D2D9" w14:textId="29997AE6" w:rsidR="009300F5" w:rsidRPr="00045A29" w:rsidRDefault="009300F5"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4A09933E" w14:textId="77777777" w:rsidR="009300F5" w:rsidRPr="00045A29" w:rsidRDefault="009300F5"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1A9AAB32" w14:textId="00BFED2B" w:rsidR="009300F5" w:rsidRDefault="009300F5" w:rsidP="00265A5A">
            <w:pPr>
              <w:pStyle w:val="TableText"/>
              <w:spacing w:before="50" w:after="50"/>
            </w:pPr>
            <w:r w:rsidRPr="00A9415D">
              <w:t>EC10 (</w:t>
            </w:r>
            <w:r>
              <w:t>g</w:t>
            </w:r>
            <w:r w:rsidRPr="00A9415D">
              <w:t>rowth, biomass)</w:t>
            </w:r>
          </w:p>
        </w:tc>
        <w:tc>
          <w:tcPr>
            <w:tcW w:w="1277" w:type="dxa"/>
            <w:tcBorders>
              <w:top w:val="single" w:sz="4" w:space="0" w:color="auto"/>
              <w:left w:val="nil"/>
              <w:bottom w:val="single" w:sz="4" w:space="0" w:color="auto"/>
              <w:right w:val="nil"/>
            </w:tcBorders>
          </w:tcPr>
          <w:p w14:paraId="3AA64D0B" w14:textId="57844223" w:rsidR="009300F5" w:rsidRDefault="009300F5"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18E67B76" w14:textId="77777777" w:rsidR="009300F5" w:rsidRDefault="009300F5" w:rsidP="00265A5A">
            <w:pPr>
              <w:pStyle w:val="TableText"/>
              <w:spacing w:before="50" w:after="50"/>
            </w:pPr>
            <w:r w:rsidRPr="00E170FF">
              <w:t>25</w:t>
            </w:r>
          </w:p>
        </w:tc>
        <w:tc>
          <w:tcPr>
            <w:tcW w:w="989" w:type="dxa"/>
            <w:tcBorders>
              <w:top w:val="single" w:sz="4" w:space="0" w:color="auto"/>
              <w:left w:val="nil"/>
              <w:bottom w:val="single" w:sz="4" w:space="0" w:color="auto"/>
              <w:right w:val="nil"/>
            </w:tcBorders>
          </w:tcPr>
          <w:p w14:paraId="5D1B16E3" w14:textId="3E292F7B" w:rsidR="009300F5" w:rsidRPr="00045A29" w:rsidRDefault="009300F5" w:rsidP="00265A5A">
            <w:pPr>
              <w:pStyle w:val="TableText"/>
              <w:spacing w:before="50" w:after="50"/>
            </w:pPr>
            <w:r>
              <w:t>74.6</w:t>
            </w:r>
          </w:p>
        </w:tc>
        <w:tc>
          <w:tcPr>
            <w:tcW w:w="710" w:type="dxa"/>
            <w:tcBorders>
              <w:top w:val="single" w:sz="4" w:space="0" w:color="auto"/>
              <w:left w:val="nil"/>
              <w:bottom w:val="single" w:sz="4" w:space="0" w:color="auto"/>
              <w:right w:val="nil"/>
            </w:tcBorders>
          </w:tcPr>
          <w:p w14:paraId="7349E511" w14:textId="79B63AF1" w:rsidR="009300F5" w:rsidRPr="00045A29" w:rsidRDefault="009300F5" w:rsidP="00265A5A">
            <w:pPr>
              <w:pStyle w:val="TableText"/>
              <w:spacing w:before="50" w:after="50"/>
            </w:pPr>
            <w:r>
              <w:t>8.0</w:t>
            </w:r>
          </w:p>
        </w:tc>
        <w:tc>
          <w:tcPr>
            <w:tcW w:w="741" w:type="dxa"/>
            <w:tcBorders>
              <w:top w:val="single" w:sz="4" w:space="0" w:color="auto"/>
              <w:left w:val="nil"/>
              <w:bottom w:val="single" w:sz="4" w:space="0" w:color="auto"/>
              <w:right w:val="nil"/>
            </w:tcBorders>
          </w:tcPr>
          <w:p w14:paraId="74E5BEE0" w14:textId="45DDA13F" w:rsidR="009300F5" w:rsidRPr="00045A29" w:rsidRDefault="009300F5" w:rsidP="00265A5A">
            <w:pPr>
              <w:pStyle w:val="TableText"/>
              <w:spacing w:before="50" w:after="50"/>
            </w:pPr>
            <w:r>
              <w:t>4.0</w:t>
            </w:r>
          </w:p>
        </w:tc>
        <w:tc>
          <w:tcPr>
            <w:tcW w:w="992" w:type="dxa"/>
            <w:tcBorders>
              <w:top w:val="single" w:sz="4" w:space="0" w:color="auto"/>
              <w:left w:val="nil"/>
              <w:bottom w:val="single" w:sz="4" w:space="0" w:color="auto"/>
              <w:right w:val="nil"/>
            </w:tcBorders>
          </w:tcPr>
          <w:p w14:paraId="2CD88166" w14:textId="4CDF0BC1" w:rsidR="009300F5" w:rsidRPr="00045A29" w:rsidRDefault="009300F5" w:rsidP="00265A5A">
            <w:pPr>
              <w:pStyle w:val="TableText"/>
              <w:spacing w:before="50" w:after="50"/>
            </w:pPr>
            <w:r>
              <w:t>15,474</w:t>
            </w:r>
          </w:p>
        </w:tc>
        <w:tc>
          <w:tcPr>
            <w:tcW w:w="1922" w:type="dxa"/>
            <w:tcBorders>
              <w:top w:val="single" w:sz="4" w:space="0" w:color="auto"/>
              <w:left w:val="nil"/>
              <w:bottom w:val="single" w:sz="4" w:space="0" w:color="auto"/>
              <w:right w:val="nil"/>
            </w:tcBorders>
          </w:tcPr>
          <w:p w14:paraId="08E900CC" w14:textId="206037F8" w:rsidR="009300F5" w:rsidRPr="00045A29" w:rsidRDefault="009300F5" w:rsidP="00B65E15">
            <w:pPr>
              <w:pStyle w:val="TableText"/>
              <w:spacing w:before="50" w:after="50"/>
            </w:pPr>
            <w:r>
              <w:t>Cardwell et al. (2023)</w:t>
            </w:r>
          </w:p>
        </w:tc>
      </w:tr>
      <w:tr w:rsidR="001C64A7" w:rsidRPr="00045A29" w14:paraId="7639C23C" w14:textId="77777777" w:rsidTr="00B65E15">
        <w:trPr>
          <w:cantSplit/>
          <w:jc w:val="center"/>
        </w:trPr>
        <w:tc>
          <w:tcPr>
            <w:tcW w:w="1537" w:type="dxa"/>
            <w:tcBorders>
              <w:top w:val="single" w:sz="4" w:space="0" w:color="auto"/>
              <w:left w:val="nil"/>
              <w:bottom w:val="single" w:sz="4" w:space="0" w:color="auto"/>
              <w:right w:val="nil"/>
            </w:tcBorders>
          </w:tcPr>
          <w:p w14:paraId="69D97F5C" w14:textId="431E215C"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57F7E594" w14:textId="3087F1F6" w:rsidR="009300F5" w:rsidRPr="00045A29" w:rsidRDefault="009300F5" w:rsidP="00B65E15">
            <w:pPr>
              <w:pStyle w:val="TableText"/>
              <w:spacing w:before="50" w:after="50"/>
            </w:pPr>
            <w:r w:rsidRPr="00FE6B34">
              <w:rPr>
                <w:rStyle w:val="Emphasis"/>
              </w:rPr>
              <w:t>Pimephales promelas</w:t>
            </w:r>
          </w:p>
        </w:tc>
        <w:tc>
          <w:tcPr>
            <w:tcW w:w="849" w:type="dxa"/>
            <w:tcBorders>
              <w:top w:val="single" w:sz="4" w:space="0" w:color="auto"/>
              <w:left w:val="nil"/>
              <w:bottom w:val="single" w:sz="4" w:space="0" w:color="auto"/>
              <w:right w:val="nil"/>
            </w:tcBorders>
          </w:tcPr>
          <w:p w14:paraId="5C2F53F4" w14:textId="557FF9A8" w:rsidR="009300F5" w:rsidRPr="00045A29" w:rsidRDefault="009300F5" w:rsidP="00265A5A">
            <w:pPr>
              <w:pStyle w:val="TableText"/>
              <w:spacing w:before="50" w:after="50"/>
            </w:pPr>
            <w:r w:rsidRPr="00045A29">
              <w:t>Larva</w:t>
            </w:r>
          </w:p>
        </w:tc>
        <w:tc>
          <w:tcPr>
            <w:tcW w:w="989" w:type="dxa"/>
            <w:tcBorders>
              <w:top w:val="single" w:sz="4" w:space="0" w:color="auto"/>
              <w:left w:val="nil"/>
              <w:bottom w:val="single" w:sz="4" w:space="0" w:color="auto"/>
              <w:right w:val="nil"/>
            </w:tcBorders>
          </w:tcPr>
          <w:p w14:paraId="1EB494C7" w14:textId="77777777" w:rsidR="009300F5" w:rsidRPr="00045A29" w:rsidRDefault="009300F5" w:rsidP="00386786">
            <w:pPr>
              <w:pStyle w:val="TableText"/>
              <w:spacing w:before="50" w:after="50"/>
              <w:ind w:right="284"/>
              <w:jc w:val="right"/>
            </w:pPr>
            <w:r w:rsidRPr="00045A29">
              <w:t>7</w:t>
            </w:r>
          </w:p>
        </w:tc>
        <w:tc>
          <w:tcPr>
            <w:tcW w:w="1559" w:type="dxa"/>
            <w:tcBorders>
              <w:top w:val="single" w:sz="4" w:space="0" w:color="auto"/>
              <w:left w:val="nil"/>
              <w:bottom w:val="single" w:sz="4" w:space="0" w:color="auto"/>
              <w:right w:val="nil"/>
            </w:tcBorders>
          </w:tcPr>
          <w:p w14:paraId="26E1C8A4" w14:textId="5DFA373D" w:rsidR="009300F5" w:rsidRDefault="009300F5" w:rsidP="00265A5A">
            <w:pPr>
              <w:pStyle w:val="TableText"/>
              <w:spacing w:before="50" w:after="50"/>
            </w:pPr>
            <w:r w:rsidRPr="00A9415D">
              <w:t>EC10 (</w:t>
            </w:r>
            <w:r>
              <w:t>g</w:t>
            </w:r>
            <w:r w:rsidRPr="00A9415D">
              <w:t>rowth, biomass)</w:t>
            </w:r>
          </w:p>
        </w:tc>
        <w:tc>
          <w:tcPr>
            <w:tcW w:w="1277" w:type="dxa"/>
            <w:tcBorders>
              <w:top w:val="single" w:sz="4" w:space="0" w:color="auto"/>
              <w:left w:val="nil"/>
              <w:bottom w:val="single" w:sz="4" w:space="0" w:color="auto"/>
              <w:right w:val="nil"/>
            </w:tcBorders>
          </w:tcPr>
          <w:p w14:paraId="3EDAF3ED" w14:textId="07EA2511" w:rsidR="009300F5" w:rsidRDefault="009300F5" w:rsidP="00265A5A">
            <w:pPr>
              <w:pStyle w:val="TableText"/>
              <w:spacing w:before="50" w:after="50"/>
            </w:pPr>
            <w:r>
              <w:t>Reconstituted water</w:t>
            </w:r>
          </w:p>
        </w:tc>
        <w:tc>
          <w:tcPr>
            <w:tcW w:w="989" w:type="dxa"/>
            <w:tcBorders>
              <w:top w:val="single" w:sz="4" w:space="0" w:color="auto"/>
              <w:left w:val="nil"/>
              <w:bottom w:val="single" w:sz="4" w:space="0" w:color="auto"/>
              <w:right w:val="nil"/>
            </w:tcBorders>
          </w:tcPr>
          <w:p w14:paraId="70CC9559" w14:textId="77777777" w:rsidR="009300F5" w:rsidRDefault="009300F5" w:rsidP="00265A5A">
            <w:pPr>
              <w:pStyle w:val="TableText"/>
              <w:spacing w:before="50" w:after="50"/>
            </w:pPr>
            <w:r w:rsidRPr="00E170FF">
              <w:t>25</w:t>
            </w:r>
          </w:p>
        </w:tc>
        <w:tc>
          <w:tcPr>
            <w:tcW w:w="989" w:type="dxa"/>
            <w:tcBorders>
              <w:top w:val="single" w:sz="4" w:space="0" w:color="auto"/>
              <w:left w:val="nil"/>
              <w:bottom w:val="single" w:sz="4" w:space="0" w:color="auto"/>
              <w:right w:val="nil"/>
            </w:tcBorders>
          </w:tcPr>
          <w:p w14:paraId="738A77C2" w14:textId="3C9CA351" w:rsidR="009300F5" w:rsidRPr="00045A29" w:rsidRDefault="009300F5" w:rsidP="00265A5A">
            <w:pPr>
              <w:pStyle w:val="TableText"/>
              <w:spacing w:before="50" w:after="50"/>
            </w:pPr>
            <w:r>
              <w:t>245</w:t>
            </w:r>
          </w:p>
        </w:tc>
        <w:tc>
          <w:tcPr>
            <w:tcW w:w="710" w:type="dxa"/>
            <w:tcBorders>
              <w:top w:val="single" w:sz="4" w:space="0" w:color="auto"/>
              <w:left w:val="nil"/>
              <w:bottom w:val="single" w:sz="4" w:space="0" w:color="auto"/>
              <w:right w:val="nil"/>
            </w:tcBorders>
          </w:tcPr>
          <w:p w14:paraId="22213435" w14:textId="60321F5C" w:rsidR="009300F5" w:rsidRPr="00045A29" w:rsidRDefault="009300F5" w:rsidP="00265A5A">
            <w:pPr>
              <w:pStyle w:val="TableText"/>
              <w:spacing w:before="50" w:after="50"/>
            </w:pPr>
            <w:r>
              <w:t>7.9</w:t>
            </w:r>
          </w:p>
        </w:tc>
        <w:tc>
          <w:tcPr>
            <w:tcW w:w="741" w:type="dxa"/>
            <w:tcBorders>
              <w:top w:val="single" w:sz="4" w:space="0" w:color="auto"/>
              <w:left w:val="nil"/>
              <w:bottom w:val="single" w:sz="4" w:space="0" w:color="auto"/>
              <w:right w:val="nil"/>
            </w:tcBorders>
          </w:tcPr>
          <w:p w14:paraId="6EDC89ED" w14:textId="625072E9" w:rsidR="009300F5" w:rsidRPr="00045A29" w:rsidRDefault="009300F5" w:rsidP="00265A5A">
            <w:pPr>
              <w:pStyle w:val="TableText"/>
              <w:spacing w:before="50" w:after="50"/>
            </w:pPr>
            <w:r>
              <w:t>0.3</w:t>
            </w:r>
          </w:p>
        </w:tc>
        <w:tc>
          <w:tcPr>
            <w:tcW w:w="992" w:type="dxa"/>
            <w:tcBorders>
              <w:top w:val="single" w:sz="4" w:space="0" w:color="auto"/>
              <w:left w:val="nil"/>
              <w:bottom w:val="single" w:sz="4" w:space="0" w:color="auto"/>
              <w:right w:val="nil"/>
            </w:tcBorders>
          </w:tcPr>
          <w:p w14:paraId="1DA43D8A" w14:textId="77777777" w:rsidR="009300F5" w:rsidRPr="00045A29" w:rsidRDefault="009300F5" w:rsidP="00265A5A">
            <w:pPr>
              <w:pStyle w:val="TableText"/>
              <w:spacing w:before="50" w:after="50"/>
            </w:pPr>
            <w:r>
              <w:t>973</w:t>
            </w:r>
          </w:p>
        </w:tc>
        <w:tc>
          <w:tcPr>
            <w:tcW w:w="1922" w:type="dxa"/>
            <w:tcBorders>
              <w:top w:val="single" w:sz="4" w:space="0" w:color="auto"/>
              <w:left w:val="nil"/>
              <w:bottom w:val="single" w:sz="4" w:space="0" w:color="auto"/>
              <w:right w:val="nil"/>
            </w:tcBorders>
          </w:tcPr>
          <w:p w14:paraId="40D99519" w14:textId="264FD99F" w:rsidR="009300F5" w:rsidRPr="00045A29" w:rsidRDefault="009300F5" w:rsidP="00B65E15">
            <w:pPr>
              <w:pStyle w:val="TableText"/>
              <w:spacing w:before="50" w:after="50"/>
            </w:pPr>
            <w:r>
              <w:t>Cardwell et al. (2023)</w:t>
            </w:r>
          </w:p>
        </w:tc>
      </w:tr>
      <w:tr w:rsidR="00F5513E" w:rsidRPr="00045A29" w14:paraId="14303649" w14:textId="77777777" w:rsidTr="00B65E15">
        <w:trPr>
          <w:cantSplit/>
          <w:jc w:val="center"/>
        </w:trPr>
        <w:tc>
          <w:tcPr>
            <w:tcW w:w="1537" w:type="dxa"/>
            <w:tcBorders>
              <w:top w:val="single" w:sz="4" w:space="0" w:color="auto"/>
              <w:left w:val="nil"/>
              <w:bottom w:val="single" w:sz="4" w:space="0" w:color="auto"/>
              <w:right w:val="nil"/>
            </w:tcBorders>
          </w:tcPr>
          <w:p w14:paraId="6D1F8FD0" w14:textId="46A3F602"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6EDD20DD" w14:textId="4B44F740" w:rsidR="009300F5" w:rsidRPr="00FE6B34" w:rsidRDefault="009300F5" w:rsidP="00B65E15">
            <w:pPr>
              <w:pStyle w:val="TableText"/>
              <w:spacing w:before="50" w:after="50"/>
              <w:rPr>
                <w:rStyle w:val="Emphasis"/>
              </w:rPr>
            </w:pPr>
            <w:r>
              <w:rPr>
                <w:rStyle w:val="Emphasis"/>
              </w:rPr>
              <w:t>Prospium williamsoni</w:t>
            </w:r>
          </w:p>
        </w:tc>
        <w:tc>
          <w:tcPr>
            <w:tcW w:w="849" w:type="dxa"/>
            <w:tcBorders>
              <w:top w:val="single" w:sz="4" w:space="0" w:color="auto"/>
              <w:left w:val="nil"/>
              <w:bottom w:val="single" w:sz="4" w:space="0" w:color="auto"/>
              <w:right w:val="nil"/>
            </w:tcBorders>
          </w:tcPr>
          <w:p w14:paraId="3442AA42" w14:textId="751C7BCB" w:rsidR="009300F5" w:rsidRDefault="009300F5" w:rsidP="00265A5A">
            <w:pPr>
              <w:pStyle w:val="TableText"/>
              <w:spacing w:before="50" w:after="50"/>
            </w:pPr>
            <w:r>
              <w:t>Egg</w:t>
            </w:r>
          </w:p>
        </w:tc>
        <w:tc>
          <w:tcPr>
            <w:tcW w:w="989" w:type="dxa"/>
            <w:tcBorders>
              <w:top w:val="single" w:sz="4" w:space="0" w:color="auto"/>
              <w:left w:val="nil"/>
              <w:bottom w:val="single" w:sz="4" w:space="0" w:color="auto"/>
              <w:right w:val="nil"/>
            </w:tcBorders>
          </w:tcPr>
          <w:p w14:paraId="7C8A7612" w14:textId="1E00CFFA" w:rsidR="009300F5" w:rsidRDefault="009300F5" w:rsidP="00386786">
            <w:pPr>
              <w:pStyle w:val="TableText"/>
              <w:spacing w:before="50" w:after="50"/>
              <w:ind w:right="284"/>
              <w:jc w:val="right"/>
            </w:pPr>
            <w:r>
              <w:t>78</w:t>
            </w:r>
          </w:p>
        </w:tc>
        <w:tc>
          <w:tcPr>
            <w:tcW w:w="1559" w:type="dxa"/>
            <w:tcBorders>
              <w:top w:val="single" w:sz="4" w:space="0" w:color="auto"/>
              <w:left w:val="nil"/>
              <w:bottom w:val="single" w:sz="4" w:space="0" w:color="auto"/>
              <w:right w:val="nil"/>
            </w:tcBorders>
          </w:tcPr>
          <w:p w14:paraId="511D6F2F" w14:textId="1B218BB0" w:rsidR="009300F5" w:rsidRDefault="009300F5" w:rsidP="00265A5A">
            <w:pPr>
              <w:pStyle w:val="TableText"/>
              <w:spacing w:before="50" w:after="50"/>
            </w:pPr>
            <w:r>
              <w:t>EC10 (biomass)</w:t>
            </w:r>
          </w:p>
        </w:tc>
        <w:tc>
          <w:tcPr>
            <w:tcW w:w="1277" w:type="dxa"/>
            <w:tcBorders>
              <w:top w:val="single" w:sz="4" w:space="0" w:color="auto"/>
              <w:left w:val="nil"/>
              <w:bottom w:val="single" w:sz="4" w:space="0" w:color="auto"/>
              <w:right w:val="nil"/>
            </w:tcBorders>
          </w:tcPr>
          <w:p w14:paraId="713F4852" w14:textId="383ABB62" w:rsidR="009300F5" w:rsidRDefault="009300F5" w:rsidP="00265A5A">
            <w:pPr>
              <w:pStyle w:val="TableText"/>
              <w:spacing w:before="50" w:after="50"/>
            </w:pPr>
            <w:r>
              <w:t>Dechlorinated tap water</w:t>
            </w:r>
          </w:p>
        </w:tc>
        <w:tc>
          <w:tcPr>
            <w:tcW w:w="989" w:type="dxa"/>
            <w:tcBorders>
              <w:top w:val="single" w:sz="4" w:space="0" w:color="auto"/>
              <w:left w:val="nil"/>
              <w:bottom w:val="single" w:sz="4" w:space="0" w:color="auto"/>
              <w:right w:val="nil"/>
            </w:tcBorders>
          </w:tcPr>
          <w:p w14:paraId="23C6615C" w14:textId="72125E04" w:rsidR="009300F5" w:rsidRDefault="009300F5" w:rsidP="00265A5A">
            <w:pPr>
              <w:pStyle w:val="TableText"/>
              <w:spacing w:before="50" w:after="50"/>
            </w:pPr>
            <w:r>
              <w:t>7</w:t>
            </w:r>
            <w:r w:rsidR="00DE3147">
              <w:t>–</w:t>
            </w:r>
            <w:r>
              <w:t>10</w:t>
            </w:r>
          </w:p>
        </w:tc>
        <w:tc>
          <w:tcPr>
            <w:tcW w:w="989" w:type="dxa"/>
            <w:tcBorders>
              <w:top w:val="single" w:sz="4" w:space="0" w:color="auto"/>
              <w:left w:val="nil"/>
              <w:bottom w:val="single" w:sz="4" w:space="0" w:color="auto"/>
              <w:right w:val="nil"/>
            </w:tcBorders>
          </w:tcPr>
          <w:p w14:paraId="0C91CBBC" w14:textId="02496F21" w:rsidR="009300F5" w:rsidRDefault="009300F5" w:rsidP="00265A5A">
            <w:pPr>
              <w:pStyle w:val="TableText"/>
              <w:spacing w:before="50" w:after="50"/>
            </w:pPr>
            <w:r>
              <w:t>44</w:t>
            </w:r>
          </w:p>
        </w:tc>
        <w:tc>
          <w:tcPr>
            <w:tcW w:w="710" w:type="dxa"/>
            <w:tcBorders>
              <w:top w:val="single" w:sz="4" w:space="0" w:color="auto"/>
              <w:left w:val="nil"/>
              <w:bottom w:val="single" w:sz="4" w:space="0" w:color="auto"/>
              <w:right w:val="nil"/>
            </w:tcBorders>
          </w:tcPr>
          <w:p w14:paraId="50419F72" w14:textId="61675C7F" w:rsidR="009300F5" w:rsidRDefault="009300F5" w:rsidP="00265A5A">
            <w:pPr>
              <w:pStyle w:val="TableText"/>
              <w:spacing w:before="50" w:after="50"/>
            </w:pPr>
            <w:r>
              <w:t>7.5</w:t>
            </w:r>
          </w:p>
        </w:tc>
        <w:tc>
          <w:tcPr>
            <w:tcW w:w="741" w:type="dxa"/>
            <w:tcBorders>
              <w:top w:val="single" w:sz="4" w:space="0" w:color="auto"/>
              <w:left w:val="nil"/>
              <w:bottom w:val="single" w:sz="4" w:space="0" w:color="auto"/>
              <w:right w:val="nil"/>
            </w:tcBorders>
          </w:tcPr>
          <w:p w14:paraId="008EC271" w14:textId="70F8940F" w:rsidR="009300F5" w:rsidRDefault="009300F5" w:rsidP="00265A5A">
            <w:pPr>
              <w:pStyle w:val="TableText"/>
              <w:spacing w:before="50" w:after="50"/>
            </w:pPr>
            <w:r>
              <w:t>—</w:t>
            </w:r>
          </w:p>
        </w:tc>
        <w:tc>
          <w:tcPr>
            <w:tcW w:w="992" w:type="dxa"/>
            <w:tcBorders>
              <w:top w:val="single" w:sz="4" w:space="0" w:color="auto"/>
              <w:left w:val="nil"/>
              <w:bottom w:val="single" w:sz="4" w:space="0" w:color="auto"/>
              <w:right w:val="nil"/>
            </w:tcBorders>
          </w:tcPr>
          <w:p w14:paraId="7FC61D59" w14:textId="0E0D3F35" w:rsidR="009300F5" w:rsidRDefault="009300F5" w:rsidP="00265A5A">
            <w:pPr>
              <w:pStyle w:val="TableText"/>
              <w:spacing w:before="50" w:after="50"/>
            </w:pPr>
            <w:r>
              <w:t>868</w:t>
            </w:r>
          </w:p>
        </w:tc>
        <w:tc>
          <w:tcPr>
            <w:tcW w:w="1922" w:type="dxa"/>
            <w:tcBorders>
              <w:top w:val="single" w:sz="4" w:space="0" w:color="auto"/>
              <w:left w:val="nil"/>
              <w:bottom w:val="single" w:sz="4" w:space="0" w:color="auto"/>
              <w:right w:val="nil"/>
            </w:tcBorders>
          </w:tcPr>
          <w:p w14:paraId="6E60D74A" w14:textId="017FA94C" w:rsidR="009300F5" w:rsidRDefault="009300F5" w:rsidP="00B65E15">
            <w:pPr>
              <w:pStyle w:val="TableText"/>
              <w:spacing w:before="50" w:after="50"/>
            </w:pPr>
            <w:r>
              <w:t>Cadmus et al. (2018a)</w:t>
            </w:r>
          </w:p>
        </w:tc>
      </w:tr>
      <w:tr w:rsidR="00F5513E" w:rsidRPr="00045A29" w14:paraId="66732079" w14:textId="77777777" w:rsidTr="00B65E15">
        <w:trPr>
          <w:cantSplit/>
          <w:jc w:val="center"/>
        </w:trPr>
        <w:tc>
          <w:tcPr>
            <w:tcW w:w="1537" w:type="dxa"/>
            <w:tcBorders>
              <w:top w:val="single" w:sz="4" w:space="0" w:color="auto"/>
              <w:left w:val="nil"/>
              <w:bottom w:val="single" w:sz="4" w:space="0" w:color="auto"/>
              <w:right w:val="nil"/>
            </w:tcBorders>
          </w:tcPr>
          <w:p w14:paraId="4C5E70AE" w14:textId="2B57CC22"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4" w:space="0" w:color="auto"/>
              <w:right w:val="nil"/>
            </w:tcBorders>
          </w:tcPr>
          <w:p w14:paraId="5E15A0A5" w14:textId="7829FE32" w:rsidR="009300F5" w:rsidRPr="00FE6B34" w:rsidRDefault="009300F5" w:rsidP="00B65E15">
            <w:pPr>
              <w:pStyle w:val="TableText"/>
              <w:spacing w:before="50" w:after="50"/>
              <w:rPr>
                <w:rStyle w:val="Emphasis"/>
              </w:rPr>
            </w:pPr>
            <w:r>
              <w:rPr>
                <w:rStyle w:val="Emphasis"/>
              </w:rPr>
              <w:t>Salmo trutta</w:t>
            </w:r>
          </w:p>
        </w:tc>
        <w:tc>
          <w:tcPr>
            <w:tcW w:w="849" w:type="dxa"/>
            <w:tcBorders>
              <w:top w:val="single" w:sz="4" w:space="0" w:color="auto"/>
              <w:left w:val="nil"/>
              <w:bottom w:val="single" w:sz="4" w:space="0" w:color="auto"/>
              <w:right w:val="nil"/>
            </w:tcBorders>
          </w:tcPr>
          <w:p w14:paraId="7EC0C72F" w14:textId="22C44496" w:rsidR="009300F5" w:rsidRDefault="009300F5" w:rsidP="00265A5A">
            <w:pPr>
              <w:pStyle w:val="TableText"/>
              <w:spacing w:before="50" w:after="50"/>
            </w:pPr>
            <w:r>
              <w:t>Egg</w:t>
            </w:r>
          </w:p>
        </w:tc>
        <w:tc>
          <w:tcPr>
            <w:tcW w:w="989" w:type="dxa"/>
            <w:tcBorders>
              <w:top w:val="single" w:sz="4" w:space="0" w:color="auto"/>
              <w:left w:val="nil"/>
              <w:bottom w:val="single" w:sz="4" w:space="0" w:color="auto"/>
              <w:right w:val="nil"/>
            </w:tcBorders>
          </w:tcPr>
          <w:p w14:paraId="44A64FD5" w14:textId="32BE0955" w:rsidR="009300F5" w:rsidRDefault="009300F5" w:rsidP="00386786">
            <w:pPr>
              <w:pStyle w:val="TableText"/>
              <w:spacing w:before="50" w:after="50"/>
              <w:ind w:right="284"/>
              <w:jc w:val="right"/>
            </w:pPr>
            <w:r>
              <w:t>79</w:t>
            </w:r>
          </w:p>
        </w:tc>
        <w:tc>
          <w:tcPr>
            <w:tcW w:w="1559" w:type="dxa"/>
            <w:tcBorders>
              <w:top w:val="single" w:sz="4" w:space="0" w:color="auto"/>
              <w:left w:val="nil"/>
              <w:bottom w:val="single" w:sz="4" w:space="0" w:color="auto"/>
              <w:right w:val="nil"/>
            </w:tcBorders>
          </w:tcPr>
          <w:p w14:paraId="407502E5" w14:textId="623EFF5A" w:rsidR="009300F5" w:rsidRDefault="009300F5" w:rsidP="00265A5A">
            <w:pPr>
              <w:pStyle w:val="TableText"/>
              <w:spacing w:before="50" w:after="50"/>
            </w:pPr>
            <w:r>
              <w:t>EC20 (biomass)</w:t>
            </w:r>
          </w:p>
        </w:tc>
        <w:tc>
          <w:tcPr>
            <w:tcW w:w="1277" w:type="dxa"/>
            <w:tcBorders>
              <w:top w:val="single" w:sz="4" w:space="0" w:color="auto"/>
              <w:left w:val="nil"/>
              <w:bottom w:val="single" w:sz="4" w:space="0" w:color="auto"/>
              <w:right w:val="nil"/>
            </w:tcBorders>
          </w:tcPr>
          <w:p w14:paraId="63FCDB70" w14:textId="7F65CBAA" w:rsidR="009300F5" w:rsidRDefault="009300F5" w:rsidP="00265A5A">
            <w:pPr>
              <w:pStyle w:val="TableText"/>
              <w:spacing w:before="50" w:after="50"/>
            </w:pPr>
            <w:r>
              <w:t>Dechlorinated tap water</w:t>
            </w:r>
          </w:p>
        </w:tc>
        <w:tc>
          <w:tcPr>
            <w:tcW w:w="989" w:type="dxa"/>
            <w:tcBorders>
              <w:top w:val="single" w:sz="4" w:space="0" w:color="auto"/>
              <w:left w:val="nil"/>
              <w:bottom w:val="single" w:sz="4" w:space="0" w:color="auto"/>
              <w:right w:val="nil"/>
            </w:tcBorders>
          </w:tcPr>
          <w:p w14:paraId="767B4621" w14:textId="329084F5" w:rsidR="009300F5" w:rsidRDefault="009300F5" w:rsidP="00265A5A">
            <w:pPr>
              <w:pStyle w:val="TableText"/>
              <w:spacing w:before="50" w:after="50"/>
            </w:pPr>
            <w:r>
              <w:t>7</w:t>
            </w:r>
            <w:r w:rsidR="00DE3147">
              <w:t>–</w:t>
            </w:r>
            <w:r>
              <w:t>10</w:t>
            </w:r>
          </w:p>
        </w:tc>
        <w:tc>
          <w:tcPr>
            <w:tcW w:w="989" w:type="dxa"/>
            <w:tcBorders>
              <w:top w:val="single" w:sz="4" w:space="0" w:color="auto"/>
              <w:left w:val="nil"/>
              <w:bottom w:val="single" w:sz="4" w:space="0" w:color="auto"/>
              <w:right w:val="nil"/>
            </w:tcBorders>
          </w:tcPr>
          <w:p w14:paraId="723E5626" w14:textId="563908A6" w:rsidR="009300F5" w:rsidRDefault="009300F5" w:rsidP="00265A5A">
            <w:pPr>
              <w:pStyle w:val="TableText"/>
              <w:spacing w:before="50" w:after="50"/>
            </w:pPr>
            <w:r>
              <w:t>44</w:t>
            </w:r>
          </w:p>
        </w:tc>
        <w:tc>
          <w:tcPr>
            <w:tcW w:w="710" w:type="dxa"/>
            <w:tcBorders>
              <w:top w:val="single" w:sz="4" w:space="0" w:color="auto"/>
              <w:left w:val="nil"/>
              <w:bottom w:val="single" w:sz="4" w:space="0" w:color="auto"/>
              <w:right w:val="nil"/>
            </w:tcBorders>
          </w:tcPr>
          <w:p w14:paraId="5C7BDAE0" w14:textId="35A8414F" w:rsidR="009300F5" w:rsidRDefault="009300F5" w:rsidP="00265A5A">
            <w:pPr>
              <w:pStyle w:val="TableText"/>
              <w:spacing w:before="50" w:after="50"/>
            </w:pPr>
            <w:r>
              <w:t>7.5</w:t>
            </w:r>
          </w:p>
        </w:tc>
        <w:tc>
          <w:tcPr>
            <w:tcW w:w="741" w:type="dxa"/>
            <w:tcBorders>
              <w:top w:val="single" w:sz="4" w:space="0" w:color="auto"/>
              <w:left w:val="nil"/>
              <w:bottom w:val="single" w:sz="4" w:space="0" w:color="auto"/>
              <w:right w:val="nil"/>
            </w:tcBorders>
          </w:tcPr>
          <w:p w14:paraId="1688B2F2" w14:textId="093A62FA" w:rsidR="009300F5" w:rsidRDefault="00E75A0E" w:rsidP="00265A5A">
            <w:pPr>
              <w:pStyle w:val="TableText"/>
              <w:spacing w:before="50" w:after="50"/>
            </w:pPr>
            <w:r>
              <w:t>—</w:t>
            </w:r>
          </w:p>
        </w:tc>
        <w:tc>
          <w:tcPr>
            <w:tcW w:w="992" w:type="dxa"/>
            <w:tcBorders>
              <w:top w:val="single" w:sz="4" w:space="0" w:color="auto"/>
              <w:left w:val="nil"/>
              <w:bottom w:val="single" w:sz="4" w:space="0" w:color="auto"/>
              <w:right w:val="nil"/>
            </w:tcBorders>
          </w:tcPr>
          <w:p w14:paraId="1545B327" w14:textId="25D71915" w:rsidR="009300F5" w:rsidRDefault="009300F5" w:rsidP="00265A5A">
            <w:pPr>
              <w:pStyle w:val="TableText"/>
              <w:spacing w:before="50" w:after="50"/>
            </w:pPr>
            <w:r>
              <w:t>&gt; 5,000</w:t>
            </w:r>
            <w:r>
              <w:rPr>
                <w:vertAlign w:val="superscript"/>
              </w:rPr>
              <w:t>a</w:t>
            </w:r>
          </w:p>
        </w:tc>
        <w:tc>
          <w:tcPr>
            <w:tcW w:w="1922" w:type="dxa"/>
            <w:tcBorders>
              <w:top w:val="single" w:sz="4" w:space="0" w:color="auto"/>
              <w:left w:val="nil"/>
              <w:bottom w:val="single" w:sz="4" w:space="0" w:color="auto"/>
              <w:right w:val="nil"/>
            </w:tcBorders>
          </w:tcPr>
          <w:p w14:paraId="2DF68C5A" w14:textId="0E65DD21" w:rsidR="009300F5" w:rsidRDefault="009300F5" w:rsidP="00B65E15">
            <w:pPr>
              <w:pStyle w:val="TableText"/>
              <w:spacing w:before="50" w:after="50"/>
            </w:pPr>
            <w:r>
              <w:t>Cadmus et al. (2018a)</w:t>
            </w:r>
          </w:p>
        </w:tc>
      </w:tr>
      <w:tr w:rsidR="00F5513E" w:rsidRPr="00045A29" w14:paraId="6F120566" w14:textId="77777777" w:rsidTr="00B65E15">
        <w:trPr>
          <w:cantSplit/>
          <w:jc w:val="center"/>
        </w:trPr>
        <w:tc>
          <w:tcPr>
            <w:tcW w:w="1537" w:type="dxa"/>
            <w:tcBorders>
              <w:top w:val="single" w:sz="4" w:space="0" w:color="auto"/>
              <w:left w:val="nil"/>
              <w:bottom w:val="single" w:sz="12" w:space="0" w:color="auto"/>
              <w:right w:val="nil"/>
            </w:tcBorders>
          </w:tcPr>
          <w:p w14:paraId="33B19E8D" w14:textId="75DBC268" w:rsidR="009300F5" w:rsidRDefault="009300F5" w:rsidP="00B65E15">
            <w:pPr>
              <w:pStyle w:val="TableText"/>
              <w:spacing w:before="50" w:after="50"/>
            </w:pPr>
            <w:r>
              <w:t>Fish (</w:t>
            </w:r>
            <w:r w:rsidRPr="00045A29">
              <w:t>Chordata</w:t>
            </w:r>
            <w:r>
              <w:t>)</w:t>
            </w:r>
          </w:p>
        </w:tc>
        <w:tc>
          <w:tcPr>
            <w:tcW w:w="1417" w:type="dxa"/>
            <w:tcBorders>
              <w:top w:val="single" w:sz="4" w:space="0" w:color="auto"/>
              <w:left w:val="nil"/>
              <w:bottom w:val="single" w:sz="12" w:space="0" w:color="auto"/>
              <w:right w:val="nil"/>
            </w:tcBorders>
          </w:tcPr>
          <w:p w14:paraId="401C63E9" w14:textId="247EACF5" w:rsidR="009300F5" w:rsidRDefault="009300F5" w:rsidP="00B65E15">
            <w:pPr>
              <w:pStyle w:val="TableText"/>
              <w:spacing w:before="50" w:after="50"/>
              <w:rPr>
                <w:rStyle w:val="Emphasis"/>
              </w:rPr>
            </w:pPr>
            <w:r>
              <w:rPr>
                <w:rStyle w:val="Emphasis"/>
              </w:rPr>
              <w:t>Salvelinus fontinalis</w:t>
            </w:r>
          </w:p>
        </w:tc>
        <w:tc>
          <w:tcPr>
            <w:tcW w:w="849" w:type="dxa"/>
            <w:tcBorders>
              <w:top w:val="single" w:sz="4" w:space="0" w:color="auto"/>
              <w:left w:val="nil"/>
              <w:bottom w:val="single" w:sz="12" w:space="0" w:color="auto"/>
              <w:right w:val="nil"/>
            </w:tcBorders>
          </w:tcPr>
          <w:p w14:paraId="1C31AF93" w14:textId="2ABE0C18" w:rsidR="009300F5" w:rsidRDefault="009300F5" w:rsidP="00265A5A">
            <w:pPr>
              <w:pStyle w:val="TableText"/>
              <w:spacing w:before="50" w:after="50"/>
            </w:pPr>
            <w:r>
              <w:t>Eggs and post hatch</w:t>
            </w:r>
          </w:p>
        </w:tc>
        <w:tc>
          <w:tcPr>
            <w:tcW w:w="989" w:type="dxa"/>
            <w:tcBorders>
              <w:top w:val="single" w:sz="4" w:space="0" w:color="auto"/>
              <w:left w:val="nil"/>
              <w:bottom w:val="single" w:sz="12" w:space="0" w:color="auto"/>
              <w:right w:val="nil"/>
            </w:tcBorders>
          </w:tcPr>
          <w:p w14:paraId="39294A48" w14:textId="57E2CD6F" w:rsidR="009300F5" w:rsidRDefault="009300F5" w:rsidP="00386786">
            <w:pPr>
              <w:pStyle w:val="TableText"/>
              <w:spacing w:before="50" w:after="50"/>
              <w:ind w:right="284"/>
              <w:jc w:val="right"/>
            </w:pPr>
            <w:r>
              <w:t>90</w:t>
            </w:r>
          </w:p>
        </w:tc>
        <w:tc>
          <w:tcPr>
            <w:tcW w:w="1559" w:type="dxa"/>
            <w:tcBorders>
              <w:top w:val="single" w:sz="4" w:space="0" w:color="auto"/>
              <w:left w:val="nil"/>
              <w:bottom w:val="single" w:sz="12" w:space="0" w:color="auto"/>
              <w:right w:val="nil"/>
            </w:tcBorders>
          </w:tcPr>
          <w:p w14:paraId="086CF4C9" w14:textId="3107D2C9" w:rsidR="009300F5" w:rsidRDefault="009300F5" w:rsidP="00265A5A">
            <w:pPr>
              <w:pStyle w:val="TableText"/>
              <w:spacing w:before="50" w:after="50"/>
            </w:pPr>
            <w:r>
              <w:t>NOEC (survival)</w:t>
            </w:r>
          </w:p>
        </w:tc>
        <w:tc>
          <w:tcPr>
            <w:tcW w:w="1277" w:type="dxa"/>
            <w:tcBorders>
              <w:top w:val="single" w:sz="4" w:space="0" w:color="auto"/>
              <w:left w:val="nil"/>
              <w:bottom w:val="single" w:sz="12" w:space="0" w:color="auto"/>
              <w:right w:val="nil"/>
            </w:tcBorders>
          </w:tcPr>
          <w:p w14:paraId="56F77F43" w14:textId="015F495B" w:rsidR="009300F5" w:rsidRDefault="009300F5" w:rsidP="00265A5A">
            <w:pPr>
              <w:pStyle w:val="TableText"/>
              <w:spacing w:before="50" w:after="50"/>
            </w:pPr>
            <w:r>
              <w:t>Well water</w:t>
            </w:r>
          </w:p>
        </w:tc>
        <w:tc>
          <w:tcPr>
            <w:tcW w:w="989" w:type="dxa"/>
            <w:tcBorders>
              <w:top w:val="single" w:sz="4" w:space="0" w:color="auto"/>
              <w:left w:val="nil"/>
              <w:bottom w:val="single" w:sz="12" w:space="0" w:color="auto"/>
              <w:right w:val="nil"/>
            </w:tcBorders>
          </w:tcPr>
          <w:p w14:paraId="6FDA1655" w14:textId="3F8DDBE9" w:rsidR="009300F5" w:rsidRDefault="009300F5" w:rsidP="00265A5A">
            <w:pPr>
              <w:pStyle w:val="TableText"/>
              <w:spacing w:before="50" w:after="50"/>
            </w:pPr>
            <w:r>
              <w:t>11.6</w:t>
            </w:r>
          </w:p>
        </w:tc>
        <w:tc>
          <w:tcPr>
            <w:tcW w:w="989" w:type="dxa"/>
            <w:tcBorders>
              <w:top w:val="single" w:sz="4" w:space="0" w:color="auto"/>
              <w:left w:val="nil"/>
              <w:bottom w:val="single" w:sz="12" w:space="0" w:color="auto"/>
              <w:right w:val="nil"/>
            </w:tcBorders>
          </w:tcPr>
          <w:p w14:paraId="1C979F36" w14:textId="403A47CC" w:rsidR="009300F5" w:rsidRDefault="009300F5" w:rsidP="00265A5A">
            <w:pPr>
              <w:pStyle w:val="TableText"/>
              <w:spacing w:before="50" w:after="50"/>
            </w:pPr>
            <w:r>
              <w:t>170</w:t>
            </w:r>
          </w:p>
        </w:tc>
        <w:tc>
          <w:tcPr>
            <w:tcW w:w="710" w:type="dxa"/>
            <w:tcBorders>
              <w:top w:val="single" w:sz="4" w:space="0" w:color="auto"/>
              <w:left w:val="nil"/>
              <w:bottom w:val="single" w:sz="12" w:space="0" w:color="auto"/>
              <w:right w:val="nil"/>
            </w:tcBorders>
          </w:tcPr>
          <w:p w14:paraId="7FC3967B" w14:textId="16E12D5C" w:rsidR="009300F5" w:rsidRDefault="009300F5" w:rsidP="00265A5A">
            <w:pPr>
              <w:pStyle w:val="TableText"/>
              <w:spacing w:before="50" w:after="50"/>
            </w:pPr>
            <w:r>
              <w:t>7.9</w:t>
            </w:r>
          </w:p>
        </w:tc>
        <w:tc>
          <w:tcPr>
            <w:tcW w:w="741" w:type="dxa"/>
            <w:tcBorders>
              <w:top w:val="single" w:sz="4" w:space="0" w:color="auto"/>
              <w:left w:val="nil"/>
              <w:bottom w:val="single" w:sz="12" w:space="0" w:color="auto"/>
              <w:right w:val="nil"/>
            </w:tcBorders>
          </w:tcPr>
          <w:p w14:paraId="0D70F1E9" w14:textId="5795EA80" w:rsidR="009300F5" w:rsidRDefault="009300F5" w:rsidP="00265A5A">
            <w:pPr>
              <w:pStyle w:val="TableText"/>
              <w:spacing w:before="50" w:after="50"/>
            </w:pPr>
            <w:r>
              <w:t>1.6</w:t>
            </w:r>
          </w:p>
        </w:tc>
        <w:tc>
          <w:tcPr>
            <w:tcW w:w="992" w:type="dxa"/>
            <w:tcBorders>
              <w:top w:val="single" w:sz="4" w:space="0" w:color="auto"/>
              <w:left w:val="nil"/>
              <w:bottom w:val="single" w:sz="12" w:space="0" w:color="auto"/>
              <w:right w:val="nil"/>
            </w:tcBorders>
          </w:tcPr>
          <w:p w14:paraId="40FD299F" w14:textId="0ABE08A5" w:rsidR="009300F5" w:rsidRDefault="009300F5" w:rsidP="00265A5A">
            <w:pPr>
              <w:pStyle w:val="TableText"/>
              <w:spacing w:before="50" w:after="50"/>
            </w:pPr>
            <w:r>
              <w:t>&gt; 10,280</w:t>
            </w:r>
            <w:r>
              <w:rPr>
                <w:vertAlign w:val="superscript"/>
              </w:rPr>
              <w:t>a</w:t>
            </w:r>
          </w:p>
        </w:tc>
        <w:tc>
          <w:tcPr>
            <w:tcW w:w="1922" w:type="dxa"/>
            <w:tcBorders>
              <w:top w:val="single" w:sz="4" w:space="0" w:color="auto"/>
              <w:left w:val="nil"/>
              <w:bottom w:val="single" w:sz="12" w:space="0" w:color="auto"/>
              <w:right w:val="nil"/>
            </w:tcBorders>
          </w:tcPr>
          <w:p w14:paraId="4B329885" w14:textId="43A20C64" w:rsidR="009300F5" w:rsidRDefault="009300F5" w:rsidP="00B65E15">
            <w:pPr>
              <w:pStyle w:val="TableText"/>
              <w:spacing w:before="50" w:after="50"/>
            </w:pPr>
            <w:r>
              <w:t>Smith and Sykora (1976)</w:t>
            </w:r>
          </w:p>
        </w:tc>
      </w:tr>
    </w:tbl>
    <w:p w14:paraId="1046102E" w14:textId="52A726C6" w:rsidR="00606A7B" w:rsidRPr="00396EEE" w:rsidRDefault="00606A7B" w:rsidP="00B65E15">
      <w:pPr>
        <w:pStyle w:val="FigureTableNoteSource"/>
        <w:spacing w:before="50" w:after="50" w:line="240" w:lineRule="auto"/>
      </w:pPr>
      <w:r>
        <w:t>Toxicity values represented total measured or nominal iron at pH 6–9.</w:t>
      </w:r>
      <w:r w:rsidR="00CD699A">
        <w:t xml:space="preserve"> </w:t>
      </w:r>
      <w:r w:rsidRPr="00396EEE">
        <w:t xml:space="preserve">NR </w:t>
      </w:r>
      <w:r w:rsidR="00CD699A">
        <w:t xml:space="preserve">= </w:t>
      </w:r>
      <w:r w:rsidRPr="00396EEE">
        <w:t>not reported</w:t>
      </w:r>
      <w:r w:rsidR="00CD699A">
        <w:t>.</w:t>
      </w:r>
    </w:p>
    <w:p w14:paraId="65A7928C" w14:textId="4C757355" w:rsidR="00606A7B" w:rsidRDefault="005744C0" w:rsidP="00F6551F">
      <w:pPr>
        <w:pStyle w:val="FigureTableNoteSource"/>
      </w:pPr>
      <w:r>
        <w:rPr>
          <w:rStyle w:val="Strong"/>
          <w:b w:val="0"/>
          <w:bCs w:val="0"/>
          <w:vertAlign w:val="superscript"/>
        </w:rPr>
        <w:t>a</w:t>
      </w:r>
      <w:r w:rsidR="00606A7B" w:rsidRPr="00396EEE">
        <w:rPr>
          <w:rStyle w:val="Strong"/>
        </w:rPr>
        <w:t xml:space="preserve"> </w:t>
      </w:r>
      <w:r w:rsidR="00606A7B" w:rsidRPr="00396EEE">
        <w:t>Toxic concentrations expressed as greater than (&gt;) were used as the actual valu</w:t>
      </w:r>
      <w:r w:rsidR="00D31DDE">
        <w:t>e</w:t>
      </w:r>
      <w:r w:rsidR="00CD699A">
        <w:t>.</w:t>
      </w:r>
    </w:p>
    <w:p w14:paraId="3AC87666" w14:textId="4B121FF6" w:rsidR="005744C0" w:rsidRDefault="004052B7" w:rsidP="005744C0">
      <w:pPr>
        <w:pStyle w:val="FigureTableNoteSource"/>
      </w:pPr>
      <w:r>
        <w:rPr>
          <w:rStyle w:val="Strong"/>
          <w:b w:val="0"/>
          <w:bCs w:val="0"/>
          <w:vertAlign w:val="superscript"/>
        </w:rPr>
        <w:t>b</w:t>
      </w:r>
      <w:r w:rsidR="005744C0" w:rsidRPr="00396EEE">
        <w:rPr>
          <w:rStyle w:val="Strong"/>
        </w:rPr>
        <w:t xml:space="preserve"> </w:t>
      </w:r>
      <w:r w:rsidR="005744C0" w:rsidRPr="00396EEE">
        <w:t>Dissolved organic carbon (DOC) was not added</w:t>
      </w:r>
      <w:r w:rsidR="005744C0">
        <w:t>,</w:t>
      </w:r>
      <w:r w:rsidR="005744C0" w:rsidRPr="00396EEE">
        <w:t xml:space="preserve"> therefore the treatment was nominal 0 mg/L</w:t>
      </w:r>
      <w:r w:rsidR="005744C0">
        <w:t xml:space="preserve"> DOC.</w:t>
      </w:r>
    </w:p>
    <w:p w14:paraId="2AFF3830" w14:textId="3F63E4D4" w:rsidR="00CD699A" w:rsidRDefault="00CD699A">
      <w:pPr>
        <w:spacing w:after="0" w:line="240" w:lineRule="auto"/>
      </w:pPr>
      <w:r>
        <w:br w:type="page"/>
      </w:r>
    </w:p>
    <w:p w14:paraId="675E79EA" w14:textId="04725025" w:rsidR="00050652" w:rsidRPr="003413B2" w:rsidRDefault="00050652" w:rsidP="00515B5D">
      <w:pPr>
        <w:pStyle w:val="AppendixTablecaption"/>
      </w:pPr>
      <w:bookmarkStart w:id="88" w:name="TableC2"/>
      <w:bookmarkStart w:id="89" w:name="_Toc199424882"/>
      <w:r>
        <w:lastRenderedPageBreak/>
        <w:t>Table</w:t>
      </w:r>
      <w:r w:rsidR="00615C91">
        <w:t> </w:t>
      </w:r>
      <w:r w:rsidR="00B745CA">
        <w:t>C</w:t>
      </w:r>
      <w:r>
        <w:rPr>
          <w:noProof/>
        </w:rPr>
        <w:t>2</w:t>
      </w:r>
      <w:bookmarkEnd w:id="88"/>
      <w:r>
        <w:rPr>
          <w:noProof/>
        </w:rPr>
        <w:t>.</w:t>
      </w:r>
      <w:r>
        <w:t xml:space="preserve"> Summary</w:t>
      </w:r>
      <w:r w:rsidR="00FE76B8">
        <w:t xml:space="preserve"> of</w:t>
      </w:r>
      <w:r>
        <w:t xml:space="preserve"> mesocosm </w:t>
      </w:r>
      <w:r w:rsidR="00750BC3">
        <w:t xml:space="preserve">chronic </w:t>
      </w:r>
      <w:r>
        <w:t xml:space="preserve">toxicity data </w:t>
      </w:r>
      <w:r w:rsidR="00FE76B8">
        <w:t xml:space="preserve">from Cadmus et al. (2018a, </w:t>
      </w:r>
      <w:r w:rsidR="0024579F">
        <w:t>2018</w:t>
      </w:r>
      <w:r w:rsidR="00FE76B8">
        <w:t xml:space="preserve">b) </w:t>
      </w:r>
      <w:r w:rsidR="00750BC3">
        <w:t xml:space="preserve">and Kotalik et al. (2019) </w:t>
      </w:r>
      <w:r>
        <w:t xml:space="preserve">that were used to validate the </w:t>
      </w:r>
      <w:r w:rsidR="0024579F">
        <w:t xml:space="preserve">default guideline values for </w:t>
      </w:r>
      <w:r>
        <w:t>iron in freshwater</w:t>
      </w:r>
      <w:bookmarkEnd w:id="89"/>
    </w:p>
    <w:tbl>
      <w:tblPr>
        <w:tblW w:w="14034" w:type="dxa"/>
        <w:tblBorders>
          <w:top w:val="single" w:sz="4" w:space="0" w:color="auto"/>
          <w:bottom w:val="single" w:sz="4" w:space="0" w:color="auto"/>
          <w:insideH w:val="single" w:sz="4" w:space="0" w:color="auto"/>
        </w:tblBorders>
        <w:tblLayout w:type="fixed"/>
        <w:tblLook w:val="0000" w:firstRow="0" w:lastRow="0" w:firstColumn="0" w:lastColumn="0" w:noHBand="0" w:noVBand="0"/>
        <w:tblCaption w:val="Summary of the key characteristics of the freshwater iron chronic toxicity data that passed the screening and quality assurance processes (i.e. scored &gt;50% quality)"/>
        <w:tblDescription w:val="Table lists 11 species with their taxonomic group and species name. The different life stages for each species are provided with the following test information (exposure duration, test type, toxicity measure, test medium, temperature, water hardness, pH, DOC, concentration and reference)."/>
      </w:tblPr>
      <w:tblGrid>
        <w:gridCol w:w="1429"/>
        <w:gridCol w:w="1553"/>
        <w:gridCol w:w="850"/>
        <w:gridCol w:w="992"/>
        <w:gridCol w:w="1559"/>
        <w:gridCol w:w="1276"/>
        <w:gridCol w:w="992"/>
        <w:gridCol w:w="1276"/>
        <w:gridCol w:w="567"/>
        <w:gridCol w:w="850"/>
        <w:gridCol w:w="1417"/>
        <w:gridCol w:w="1273"/>
      </w:tblGrid>
      <w:tr w:rsidR="00CF62E4" w:rsidRPr="00045A29" w14:paraId="0CC411F2" w14:textId="5B09C7AC" w:rsidTr="00C14C27">
        <w:trPr>
          <w:cantSplit/>
          <w:tblHeader/>
        </w:trPr>
        <w:tc>
          <w:tcPr>
            <w:tcW w:w="1429" w:type="dxa"/>
            <w:tcBorders>
              <w:top w:val="single" w:sz="12" w:space="0" w:color="auto"/>
              <w:bottom w:val="single" w:sz="12" w:space="0" w:color="auto"/>
            </w:tcBorders>
          </w:tcPr>
          <w:p w14:paraId="2E77EB89" w14:textId="61D0CC49" w:rsidR="00750BC3" w:rsidRPr="00045A29" w:rsidRDefault="00750BC3" w:rsidP="00894464">
            <w:pPr>
              <w:pStyle w:val="TableHeading"/>
            </w:pPr>
            <w:r w:rsidRPr="00045A29">
              <w:t>Taxonomic group (</w:t>
            </w:r>
            <w:r w:rsidR="00102AEE">
              <w:t>p</w:t>
            </w:r>
            <w:r w:rsidRPr="00045A29">
              <w:t>hylum)</w:t>
            </w:r>
          </w:p>
        </w:tc>
        <w:tc>
          <w:tcPr>
            <w:tcW w:w="1553" w:type="dxa"/>
            <w:tcBorders>
              <w:top w:val="single" w:sz="12" w:space="0" w:color="auto"/>
              <w:bottom w:val="single" w:sz="12" w:space="0" w:color="auto"/>
            </w:tcBorders>
          </w:tcPr>
          <w:p w14:paraId="4993C554" w14:textId="77777777" w:rsidR="00750BC3" w:rsidRPr="00045A29" w:rsidRDefault="00750BC3" w:rsidP="00894464">
            <w:pPr>
              <w:pStyle w:val="TableHeading"/>
            </w:pPr>
            <w:r>
              <w:t>Genus, sub-family or tribe</w:t>
            </w:r>
          </w:p>
        </w:tc>
        <w:tc>
          <w:tcPr>
            <w:tcW w:w="850" w:type="dxa"/>
            <w:tcBorders>
              <w:top w:val="single" w:sz="12" w:space="0" w:color="auto"/>
              <w:bottom w:val="single" w:sz="12" w:space="0" w:color="auto"/>
            </w:tcBorders>
          </w:tcPr>
          <w:p w14:paraId="45060A32" w14:textId="77777777" w:rsidR="00750BC3" w:rsidRPr="00045A29" w:rsidRDefault="00750BC3" w:rsidP="00894464">
            <w:pPr>
              <w:pStyle w:val="TableHeading"/>
            </w:pPr>
            <w:r w:rsidRPr="00045A29">
              <w:t>Life stage</w:t>
            </w:r>
          </w:p>
        </w:tc>
        <w:tc>
          <w:tcPr>
            <w:tcW w:w="992" w:type="dxa"/>
            <w:tcBorders>
              <w:top w:val="single" w:sz="12" w:space="0" w:color="auto"/>
              <w:bottom w:val="single" w:sz="12" w:space="0" w:color="auto"/>
            </w:tcBorders>
          </w:tcPr>
          <w:p w14:paraId="13C20279" w14:textId="77777777" w:rsidR="00750BC3" w:rsidRPr="00045A29" w:rsidRDefault="00750BC3" w:rsidP="00894464">
            <w:pPr>
              <w:pStyle w:val="TableHeading"/>
            </w:pPr>
            <w:r w:rsidRPr="00045A29">
              <w:t>Exposure duration (d)</w:t>
            </w:r>
          </w:p>
        </w:tc>
        <w:tc>
          <w:tcPr>
            <w:tcW w:w="1559" w:type="dxa"/>
            <w:tcBorders>
              <w:top w:val="single" w:sz="12" w:space="0" w:color="auto"/>
              <w:bottom w:val="single" w:sz="12" w:space="0" w:color="auto"/>
            </w:tcBorders>
          </w:tcPr>
          <w:p w14:paraId="4788524E" w14:textId="223A0A54" w:rsidR="00750BC3" w:rsidRPr="00045A29" w:rsidRDefault="00750BC3" w:rsidP="00894464">
            <w:pPr>
              <w:pStyle w:val="TableHeading"/>
            </w:pPr>
            <w:r w:rsidRPr="00045A29">
              <w:t>Toxicity measure (</w:t>
            </w:r>
            <w:r w:rsidR="00102AEE">
              <w:t>t</w:t>
            </w:r>
            <w:r w:rsidRPr="00045A29">
              <w:t xml:space="preserve">est </w:t>
            </w:r>
            <w:r>
              <w:t>e</w:t>
            </w:r>
            <w:r w:rsidRPr="00045A29">
              <w:t>ndpoint)</w:t>
            </w:r>
          </w:p>
        </w:tc>
        <w:tc>
          <w:tcPr>
            <w:tcW w:w="1276" w:type="dxa"/>
            <w:tcBorders>
              <w:top w:val="single" w:sz="12" w:space="0" w:color="auto"/>
              <w:bottom w:val="single" w:sz="12" w:space="0" w:color="auto"/>
            </w:tcBorders>
          </w:tcPr>
          <w:p w14:paraId="53CA4C88" w14:textId="77777777" w:rsidR="00750BC3" w:rsidRPr="00045A29" w:rsidRDefault="00750BC3" w:rsidP="00894464">
            <w:pPr>
              <w:pStyle w:val="TableHeading"/>
            </w:pPr>
            <w:r w:rsidRPr="00045A29">
              <w:t>Test medium</w:t>
            </w:r>
          </w:p>
        </w:tc>
        <w:tc>
          <w:tcPr>
            <w:tcW w:w="992" w:type="dxa"/>
            <w:tcBorders>
              <w:top w:val="single" w:sz="12" w:space="0" w:color="auto"/>
              <w:bottom w:val="single" w:sz="12" w:space="0" w:color="auto"/>
            </w:tcBorders>
          </w:tcPr>
          <w:p w14:paraId="12E6E137" w14:textId="54C90A22" w:rsidR="00750BC3" w:rsidRPr="00045A29" w:rsidRDefault="00750BC3" w:rsidP="00894464">
            <w:pPr>
              <w:pStyle w:val="TableHeading"/>
            </w:pPr>
            <w:r>
              <w:t xml:space="preserve">Temper-ature </w:t>
            </w:r>
            <w:r w:rsidRPr="00045A29">
              <w:t>(</w:t>
            </w:r>
            <w:r w:rsidRPr="00045A29">
              <w:sym w:font="Symbol" w:char="F0B0"/>
            </w:r>
            <w:r w:rsidRPr="00045A29">
              <w:t>C)</w:t>
            </w:r>
          </w:p>
        </w:tc>
        <w:tc>
          <w:tcPr>
            <w:tcW w:w="1276" w:type="dxa"/>
            <w:tcBorders>
              <w:top w:val="single" w:sz="12" w:space="0" w:color="auto"/>
              <w:bottom w:val="single" w:sz="12" w:space="0" w:color="auto"/>
            </w:tcBorders>
          </w:tcPr>
          <w:p w14:paraId="3E5AAC5C" w14:textId="6306E2A0" w:rsidR="00750BC3" w:rsidRPr="00045A29" w:rsidRDefault="00750BC3" w:rsidP="00894464">
            <w:pPr>
              <w:pStyle w:val="TableHeading"/>
            </w:pPr>
            <w:r w:rsidRPr="00045A29">
              <w:t>Water hardness (mg/L</w:t>
            </w:r>
            <w:r w:rsidR="0072642B" w:rsidRPr="00045A29">
              <w:t xml:space="preserve"> CaCO</w:t>
            </w:r>
            <w:r w:rsidR="0072642B" w:rsidRPr="00045A29">
              <w:rPr>
                <w:vertAlign w:val="subscript"/>
              </w:rPr>
              <w:t>3</w:t>
            </w:r>
            <w:r w:rsidRPr="00045A29">
              <w:t>)</w:t>
            </w:r>
          </w:p>
        </w:tc>
        <w:tc>
          <w:tcPr>
            <w:tcW w:w="567" w:type="dxa"/>
            <w:tcBorders>
              <w:top w:val="single" w:sz="12" w:space="0" w:color="auto"/>
              <w:bottom w:val="single" w:sz="12" w:space="0" w:color="auto"/>
            </w:tcBorders>
          </w:tcPr>
          <w:p w14:paraId="379313CC" w14:textId="77777777" w:rsidR="00750BC3" w:rsidRPr="00045A29" w:rsidRDefault="00750BC3" w:rsidP="00894464">
            <w:pPr>
              <w:pStyle w:val="TableHeading"/>
            </w:pPr>
            <w:r w:rsidRPr="00045A29">
              <w:t>pH</w:t>
            </w:r>
          </w:p>
        </w:tc>
        <w:tc>
          <w:tcPr>
            <w:tcW w:w="850" w:type="dxa"/>
            <w:tcBorders>
              <w:top w:val="single" w:sz="12" w:space="0" w:color="auto"/>
              <w:bottom w:val="single" w:sz="12" w:space="0" w:color="auto"/>
            </w:tcBorders>
          </w:tcPr>
          <w:p w14:paraId="206B52CD" w14:textId="77777777" w:rsidR="00750BC3" w:rsidRPr="00045A29" w:rsidRDefault="00750BC3" w:rsidP="00894464">
            <w:pPr>
              <w:pStyle w:val="TableHeading"/>
            </w:pPr>
            <w:r w:rsidRPr="00045A29">
              <w:t>DOC (mg/L)</w:t>
            </w:r>
          </w:p>
        </w:tc>
        <w:tc>
          <w:tcPr>
            <w:tcW w:w="1417" w:type="dxa"/>
            <w:tcBorders>
              <w:top w:val="single" w:sz="12" w:space="0" w:color="auto"/>
              <w:bottom w:val="single" w:sz="12" w:space="0" w:color="auto"/>
            </w:tcBorders>
          </w:tcPr>
          <w:p w14:paraId="50544635" w14:textId="429FF9F4" w:rsidR="00750BC3" w:rsidRPr="00045A29" w:rsidRDefault="00750BC3" w:rsidP="00894464">
            <w:pPr>
              <w:pStyle w:val="TableHeading"/>
            </w:pPr>
            <w:r w:rsidRPr="00045A29">
              <w:t>Concentration (µg/L)</w:t>
            </w:r>
          </w:p>
        </w:tc>
        <w:tc>
          <w:tcPr>
            <w:tcW w:w="1273" w:type="dxa"/>
            <w:tcBorders>
              <w:top w:val="single" w:sz="12" w:space="0" w:color="auto"/>
              <w:bottom w:val="single" w:sz="12" w:space="0" w:color="auto"/>
            </w:tcBorders>
          </w:tcPr>
          <w:p w14:paraId="213DF5E4" w14:textId="3CE78248" w:rsidR="00750BC3" w:rsidRPr="00045A29" w:rsidRDefault="00750BC3" w:rsidP="00894464">
            <w:pPr>
              <w:pStyle w:val="TableHeading"/>
            </w:pPr>
            <w:r>
              <w:t>Reference</w:t>
            </w:r>
          </w:p>
        </w:tc>
      </w:tr>
      <w:tr w:rsidR="00CF62E4" w:rsidRPr="00045A29" w14:paraId="4220C212" w14:textId="610EEE96" w:rsidTr="00C14C27">
        <w:trPr>
          <w:cantSplit/>
        </w:trPr>
        <w:tc>
          <w:tcPr>
            <w:tcW w:w="1429" w:type="dxa"/>
            <w:tcBorders>
              <w:bottom w:val="nil"/>
            </w:tcBorders>
          </w:tcPr>
          <w:p w14:paraId="04B27044" w14:textId="40673B45" w:rsidR="00750BC3" w:rsidRDefault="00750BC3" w:rsidP="00CD699A">
            <w:pPr>
              <w:pStyle w:val="TableText"/>
            </w:pPr>
            <w:r>
              <w:t>Insect</w:t>
            </w:r>
            <w:r w:rsidR="00CD699A">
              <w:t xml:space="preserve"> </w:t>
            </w:r>
            <w:r>
              <w:t>(Arthropod)</w:t>
            </w:r>
          </w:p>
        </w:tc>
        <w:tc>
          <w:tcPr>
            <w:tcW w:w="1553" w:type="dxa"/>
            <w:tcBorders>
              <w:bottom w:val="nil"/>
            </w:tcBorders>
          </w:tcPr>
          <w:p w14:paraId="4C89A02B" w14:textId="376BD60A" w:rsidR="00750BC3" w:rsidRDefault="00750BC3" w:rsidP="00F43E4D">
            <w:pPr>
              <w:pStyle w:val="TableText"/>
              <w:rPr>
                <w:i/>
                <w:iCs/>
              </w:rPr>
            </w:pPr>
            <w:r>
              <w:rPr>
                <w:i/>
                <w:iCs/>
              </w:rPr>
              <w:t xml:space="preserve">Baetis </w:t>
            </w:r>
            <w:r w:rsidRPr="005B016B">
              <w:t>sp</w:t>
            </w:r>
            <w:r>
              <w:t>p</w:t>
            </w:r>
            <w:r w:rsidRPr="005B016B">
              <w:t>.</w:t>
            </w:r>
          </w:p>
        </w:tc>
        <w:tc>
          <w:tcPr>
            <w:tcW w:w="850" w:type="dxa"/>
            <w:tcBorders>
              <w:bottom w:val="nil"/>
            </w:tcBorders>
          </w:tcPr>
          <w:p w14:paraId="56D265B1" w14:textId="77777777" w:rsidR="00750BC3" w:rsidRDefault="00750BC3" w:rsidP="00F43E4D">
            <w:pPr>
              <w:pStyle w:val="TableText"/>
            </w:pPr>
            <w:r>
              <w:t>Nymph</w:t>
            </w:r>
          </w:p>
        </w:tc>
        <w:tc>
          <w:tcPr>
            <w:tcW w:w="992" w:type="dxa"/>
            <w:tcBorders>
              <w:bottom w:val="nil"/>
            </w:tcBorders>
          </w:tcPr>
          <w:p w14:paraId="6094097F" w14:textId="77777777" w:rsidR="00750BC3" w:rsidRDefault="00750BC3" w:rsidP="00F43E4D">
            <w:pPr>
              <w:pStyle w:val="TableText"/>
            </w:pPr>
            <w:r>
              <w:t>10</w:t>
            </w:r>
          </w:p>
        </w:tc>
        <w:tc>
          <w:tcPr>
            <w:tcW w:w="1559" w:type="dxa"/>
            <w:tcBorders>
              <w:bottom w:val="nil"/>
            </w:tcBorders>
          </w:tcPr>
          <w:p w14:paraId="088B654C" w14:textId="5359915E" w:rsidR="00750BC3" w:rsidRDefault="00750BC3" w:rsidP="00F43E4D">
            <w:pPr>
              <w:pStyle w:val="TableText"/>
            </w:pPr>
            <w:r>
              <w:t>EC10 (</w:t>
            </w:r>
            <w:r w:rsidR="00846260">
              <w:t>a</w:t>
            </w:r>
            <w:r>
              <w:t>bundance)</w:t>
            </w:r>
          </w:p>
        </w:tc>
        <w:tc>
          <w:tcPr>
            <w:tcW w:w="1276" w:type="dxa"/>
            <w:tcBorders>
              <w:bottom w:val="nil"/>
            </w:tcBorders>
          </w:tcPr>
          <w:p w14:paraId="66B9BC9E" w14:textId="77777777" w:rsidR="00750BC3" w:rsidRDefault="00750BC3" w:rsidP="00F43E4D">
            <w:pPr>
              <w:pStyle w:val="TableText"/>
            </w:pPr>
            <w:r>
              <w:t>Dechlorinated tap water</w:t>
            </w:r>
          </w:p>
        </w:tc>
        <w:tc>
          <w:tcPr>
            <w:tcW w:w="992" w:type="dxa"/>
            <w:tcBorders>
              <w:bottom w:val="nil"/>
            </w:tcBorders>
          </w:tcPr>
          <w:p w14:paraId="7E85F973" w14:textId="77777777" w:rsidR="00750BC3" w:rsidRDefault="00750BC3" w:rsidP="00F43E4D">
            <w:pPr>
              <w:pStyle w:val="TableText"/>
            </w:pPr>
            <w:r>
              <w:t>11.8</w:t>
            </w:r>
          </w:p>
        </w:tc>
        <w:tc>
          <w:tcPr>
            <w:tcW w:w="1276" w:type="dxa"/>
            <w:tcBorders>
              <w:bottom w:val="nil"/>
            </w:tcBorders>
          </w:tcPr>
          <w:p w14:paraId="74BF9ADF" w14:textId="77777777" w:rsidR="00750BC3" w:rsidRDefault="00750BC3" w:rsidP="00F43E4D">
            <w:pPr>
              <w:pStyle w:val="TableText"/>
            </w:pPr>
            <w:r>
              <w:t>34</w:t>
            </w:r>
          </w:p>
        </w:tc>
        <w:tc>
          <w:tcPr>
            <w:tcW w:w="567" w:type="dxa"/>
            <w:tcBorders>
              <w:bottom w:val="nil"/>
            </w:tcBorders>
          </w:tcPr>
          <w:p w14:paraId="75A56501" w14:textId="77777777" w:rsidR="00750BC3" w:rsidDel="0014427E" w:rsidRDefault="00750BC3" w:rsidP="00F43E4D">
            <w:pPr>
              <w:pStyle w:val="TableText"/>
            </w:pPr>
            <w:r>
              <w:t>7.2</w:t>
            </w:r>
          </w:p>
        </w:tc>
        <w:tc>
          <w:tcPr>
            <w:tcW w:w="850" w:type="dxa"/>
            <w:tcBorders>
              <w:bottom w:val="nil"/>
            </w:tcBorders>
          </w:tcPr>
          <w:p w14:paraId="6520CB47" w14:textId="77777777" w:rsidR="00750BC3" w:rsidDel="00102BC7" w:rsidRDefault="00750BC3" w:rsidP="00F43E4D">
            <w:pPr>
              <w:pStyle w:val="TableText"/>
            </w:pPr>
            <w:r>
              <w:t>2.5</w:t>
            </w:r>
          </w:p>
        </w:tc>
        <w:tc>
          <w:tcPr>
            <w:tcW w:w="1417" w:type="dxa"/>
            <w:tcBorders>
              <w:bottom w:val="nil"/>
            </w:tcBorders>
          </w:tcPr>
          <w:p w14:paraId="36233CA2" w14:textId="538A5FF2" w:rsidR="00750BC3" w:rsidRDefault="00750BC3" w:rsidP="00F43E4D">
            <w:pPr>
              <w:pStyle w:val="TableText"/>
            </w:pPr>
            <w:r>
              <w:t>3</w:t>
            </w:r>
            <w:r w:rsidR="00BB24D9">
              <w:t>,</w:t>
            </w:r>
            <w:r>
              <w:t>905</w:t>
            </w:r>
            <w:r>
              <w:rPr>
                <w:vertAlign w:val="superscript"/>
              </w:rPr>
              <w:t>a</w:t>
            </w:r>
          </w:p>
        </w:tc>
        <w:tc>
          <w:tcPr>
            <w:tcW w:w="1273" w:type="dxa"/>
            <w:tcBorders>
              <w:bottom w:val="nil"/>
            </w:tcBorders>
          </w:tcPr>
          <w:p w14:paraId="14E3EAA1" w14:textId="676EBBEF" w:rsidR="00750BC3" w:rsidRDefault="00750BC3" w:rsidP="00894464">
            <w:pPr>
              <w:pStyle w:val="TableText"/>
            </w:pPr>
            <w:r>
              <w:t>Cadmus et al. (2018a, b)</w:t>
            </w:r>
          </w:p>
        </w:tc>
      </w:tr>
      <w:tr w:rsidR="00CF62E4" w:rsidRPr="00045A29" w14:paraId="789A7E7D" w14:textId="06ACD8D1" w:rsidTr="00C14C27">
        <w:trPr>
          <w:cantSplit/>
        </w:trPr>
        <w:tc>
          <w:tcPr>
            <w:tcW w:w="1429" w:type="dxa"/>
            <w:tcBorders>
              <w:bottom w:val="nil"/>
            </w:tcBorders>
          </w:tcPr>
          <w:p w14:paraId="532B4321" w14:textId="66F2FD84" w:rsidR="00750BC3" w:rsidRDefault="00750BC3" w:rsidP="00CD699A">
            <w:pPr>
              <w:pStyle w:val="TableText"/>
            </w:pPr>
            <w:r>
              <w:t>Insect</w:t>
            </w:r>
            <w:r w:rsidR="00CD699A">
              <w:t xml:space="preserve"> </w:t>
            </w:r>
            <w:r>
              <w:t>(Arthropod)</w:t>
            </w:r>
          </w:p>
        </w:tc>
        <w:tc>
          <w:tcPr>
            <w:tcW w:w="1553" w:type="dxa"/>
            <w:tcBorders>
              <w:bottom w:val="nil"/>
            </w:tcBorders>
          </w:tcPr>
          <w:p w14:paraId="3DBB2094" w14:textId="14F0CCCB" w:rsidR="00750BC3" w:rsidDel="0046325A" w:rsidRDefault="00750BC3" w:rsidP="00F43E4D">
            <w:pPr>
              <w:pStyle w:val="TableText"/>
              <w:rPr>
                <w:i/>
                <w:iCs/>
              </w:rPr>
            </w:pPr>
            <w:r>
              <w:rPr>
                <w:i/>
                <w:iCs/>
              </w:rPr>
              <w:t xml:space="preserve">Brachycentrus </w:t>
            </w:r>
            <w:r w:rsidRPr="005B016B">
              <w:t>sp</w:t>
            </w:r>
            <w:r>
              <w:t>p</w:t>
            </w:r>
            <w:r w:rsidRPr="005B016B">
              <w:t>.</w:t>
            </w:r>
          </w:p>
        </w:tc>
        <w:tc>
          <w:tcPr>
            <w:tcW w:w="850" w:type="dxa"/>
            <w:tcBorders>
              <w:bottom w:val="nil"/>
            </w:tcBorders>
          </w:tcPr>
          <w:p w14:paraId="4EDDB491" w14:textId="77777777" w:rsidR="00750BC3" w:rsidRDefault="00750BC3" w:rsidP="00F43E4D">
            <w:pPr>
              <w:pStyle w:val="TableText"/>
            </w:pPr>
            <w:r>
              <w:t>Nymph</w:t>
            </w:r>
          </w:p>
        </w:tc>
        <w:tc>
          <w:tcPr>
            <w:tcW w:w="992" w:type="dxa"/>
            <w:tcBorders>
              <w:bottom w:val="nil"/>
            </w:tcBorders>
          </w:tcPr>
          <w:p w14:paraId="2A65009C" w14:textId="77777777" w:rsidR="00750BC3" w:rsidRDefault="00750BC3" w:rsidP="00F43E4D">
            <w:pPr>
              <w:pStyle w:val="TableText"/>
            </w:pPr>
            <w:r>
              <w:t>10</w:t>
            </w:r>
          </w:p>
        </w:tc>
        <w:tc>
          <w:tcPr>
            <w:tcW w:w="1559" w:type="dxa"/>
            <w:tcBorders>
              <w:bottom w:val="nil"/>
            </w:tcBorders>
          </w:tcPr>
          <w:p w14:paraId="2EC5CCB5" w14:textId="12F4AAF1" w:rsidR="00750BC3" w:rsidRDefault="00750BC3" w:rsidP="00F43E4D">
            <w:pPr>
              <w:pStyle w:val="TableText"/>
            </w:pPr>
            <w:r>
              <w:t>EC10 (</w:t>
            </w:r>
            <w:r w:rsidR="00846260">
              <w:t>a</w:t>
            </w:r>
            <w:r>
              <w:t>bundance)</w:t>
            </w:r>
          </w:p>
        </w:tc>
        <w:tc>
          <w:tcPr>
            <w:tcW w:w="1276" w:type="dxa"/>
            <w:tcBorders>
              <w:bottom w:val="nil"/>
            </w:tcBorders>
          </w:tcPr>
          <w:p w14:paraId="754B0C26" w14:textId="77777777" w:rsidR="00750BC3" w:rsidRDefault="00750BC3" w:rsidP="00F43E4D">
            <w:pPr>
              <w:pStyle w:val="TableText"/>
            </w:pPr>
            <w:r>
              <w:t>River water</w:t>
            </w:r>
          </w:p>
        </w:tc>
        <w:tc>
          <w:tcPr>
            <w:tcW w:w="992" w:type="dxa"/>
            <w:tcBorders>
              <w:top w:val="single" w:sz="4" w:space="0" w:color="auto"/>
              <w:bottom w:val="nil"/>
            </w:tcBorders>
          </w:tcPr>
          <w:p w14:paraId="5B1E0A2F" w14:textId="77777777" w:rsidR="00750BC3" w:rsidRDefault="00750BC3" w:rsidP="00F43E4D">
            <w:pPr>
              <w:pStyle w:val="TableText"/>
            </w:pPr>
            <w:r>
              <w:t>11.8</w:t>
            </w:r>
          </w:p>
        </w:tc>
        <w:tc>
          <w:tcPr>
            <w:tcW w:w="1276" w:type="dxa"/>
            <w:tcBorders>
              <w:top w:val="single" w:sz="4" w:space="0" w:color="auto"/>
              <w:bottom w:val="nil"/>
            </w:tcBorders>
          </w:tcPr>
          <w:p w14:paraId="2A799AFF" w14:textId="77777777" w:rsidR="00750BC3" w:rsidRDefault="00750BC3" w:rsidP="00F43E4D">
            <w:pPr>
              <w:pStyle w:val="TableText"/>
            </w:pPr>
            <w:r>
              <w:t>35</w:t>
            </w:r>
          </w:p>
        </w:tc>
        <w:tc>
          <w:tcPr>
            <w:tcW w:w="567" w:type="dxa"/>
            <w:tcBorders>
              <w:top w:val="single" w:sz="4" w:space="0" w:color="auto"/>
              <w:bottom w:val="nil"/>
            </w:tcBorders>
          </w:tcPr>
          <w:p w14:paraId="163BEE06" w14:textId="77777777" w:rsidR="00750BC3" w:rsidDel="0014427E" w:rsidRDefault="00750BC3" w:rsidP="00F43E4D">
            <w:pPr>
              <w:pStyle w:val="TableText"/>
            </w:pPr>
            <w:r>
              <w:t>7.2</w:t>
            </w:r>
          </w:p>
        </w:tc>
        <w:tc>
          <w:tcPr>
            <w:tcW w:w="850" w:type="dxa"/>
            <w:tcBorders>
              <w:top w:val="single" w:sz="4" w:space="0" w:color="auto"/>
              <w:bottom w:val="nil"/>
            </w:tcBorders>
          </w:tcPr>
          <w:p w14:paraId="1427174D" w14:textId="77777777" w:rsidR="00750BC3" w:rsidDel="00102BC7" w:rsidRDefault="00750BC3" w:rsidP="00F43E4D">
            <w:pPr>
              <w:pStyle w:val="TableText"/>
            </w:pPr>
            <w:r>
              <w:t>2.5</w:t>
            </w:r>
          </w:p>
        </w:tc>
        <w:tc>
          <w:tcPr>
            <w:tcW w:w="1417" w:type="dxa"/>
            <w:tcBorders>
              <w:bottom w:val="nil"/>
            </w:tcBorders>
          </w:tcPr>
          <w:p w14:paraId="657510A0" w14:textId="603A34BA" w:rsidR="00750BC3" w:rsidRDefault="00750BC3" w:rsidP="00F43E4D">
            <w:pPr>
              <w:pStyle w:val="TableText"/>
            </w:pPr>
            <w:r>
              <w:t>5</w:t>
            </w:r>
            <w:r w:rsidR="00846260">
              <w:t>,</w:t>
            </w:r>
            <w:r>
              <w:t>690</w:t>
            </w:r>
            <w:r>
              <w:rPr>
                <w:vertAlign w:val="superscript"/>
              </w:rPr>
              <w:t>a</w:t>
            </w:r>
          </w:p>
        </w:tc>
        <w:tc>
          <w:tcPr>
            <w:tcW w:w="1273" w:type="dxa"/>
            <w:tcBorders>
              <w:bottom w:val="nil"/>
            </w:tcBorders>
          </w:tcPr>
          <w:p w14:paraId="3006717D" w14:textId="1FBF5D8B" w:rsidR="00750BC3" w:rsidRDefault="00750BC3" w:rsidP="00750BC3">
            <w:pPr>
              <w:pStyle w:val="TableText"/>
            </w:pPr>
            <w:r w:rsidRPr="00A20FFB">
              <w:t>Cadmus et al. (2018a, b)</w:t>
            </w:r>
          </w:p>
        </w:tc>
      </w:tr>
      <w:tr w:rsidR="00CF62E4" w:rsidRPr="00045A29" w14:paraId="1F86DCDE" w14:textId="023C9EA8" w:rsidTr="00C14C27">
        <w:trPr>
          <w:cantSplit/>
        </w:trPr>
        <w:tc>
          <w:tcPr>
            <w:tcW w:w="1429" w:type="dxa"/>
            <w:tcBorders>
              <w:top w:val="single" w:sz="4" w:space="0" w:color="auto"/>
              <w:bottom w:val="nil"/>
            </w:tcBorders>
          </w:tcPr>
          <w:p w14:paraId="06D08B18" w14:textId="5DAF8501" w:rsidR="00750BC3" w:rsidRDefault="00750BC3" w:rsidP="00CD699A">
            <w:pPr>
              <w:pStyle w:val="TableText"/>
            </w:pPr>
            <w:r>
              <w:t>Insect</w:t>
            </w:r>
            <w:r w:rsidR="00CD699A">
              <w:t xml:space="preserve"> </w:t>
            </w:r>
            <w:r>
              <w:t>(Arthropod)</w:t>
            </w:r>
          </w:p>
        </w:tc>
        <w:tc>
          <w:tcPr>
            <w:tcW w:w="1553" w:type="dxa"/>
            <w:tcBorders>
              <w:top w:val="single" w:sz="4" w:space="0" w:color="auto"/>
              <w:bottom w:val="nil"/>
            </w:tcBorders>
          </w:tcPr>
          <w:p w14:paraId="0974D803" w14:textId="0E71554E" w:rsidR="00750BC3" w:rsidRDefault="00750BC3" w:rsidP="00F43E4D">
            <w:pPr>
              <w:pStyle w:val="TableText"/>
              <w:rPr>
                <w:i/>
                <w:iCs/>
              </w:rPr>
            </w:pPr>
            <w:r>
              <w:rPr>
                <w:i/>
                <w:iCs/>
              </w:rPr>
              <w:t xml:space="preserve">Capnia </w:t>
            </w:r>
            <w:r w:rsidRPr="005B016B">
              <w:t>sp</w:t>
            </w:r>
            <w:r>
              <w:t>p</w:t>
            </w:r>
            <w:r w:rsidRPr="005B016B">
              <w:t>.</w:t>
            </w:r>
          </w:p>
        </w:tc>
        <w:tc>
          <w:tcPr>
            <w:tcW w:w="850" w:type="dxa"/>
            <w:tcBorders>
              <w:top w:val="single" w:sz="4" w:space="0" w:color="auto"/>
              <w:bottom w:val="nil"/>
            </w:tcBorders>
          </w:tcPr>
          <w:p w14:paraId="628F98B8" w14:textId="77777777" w:rsidR="00750BC3" w:rsidRDefault="00750BC3" w:rsidP="00F43E4D">
            <w:pPr>
              <w:pStyle w:val="TableText"/>
            </w:pPr>
            <w:r>
              <w:t>Nymph</w:t>
            </w:r>
          </w:p>
        </w:tc>
        <w:tc>
          <w:tcPr>
            <w:tcW w:w="992" w:type="dxa"/>
            <w:tcBorders>
              <w:top w:val="single" w:sz="4" w:space="0" w:color="auto"/>
              <w:bottom w:val="nil"/>
            </w:tcBorders>
          </w:tcPr>
          <w:p w14:paraId="39E2BC70" w14:textId="77777777" w:rsidR="00750BC3" w:rsidRDefault="00750BC3" w:rsidP="00F43E4D">
            <w:pPr>
              <w:pStyle w:val="TableText"/>
            </w:pPr>
            <w:r>
              <w:t>10</w:t>
            </w:r>
          </w:p>
        </w:tc>
        <w:tc>
          <w:tcPr>
            <w:tcW w:w="1559" w:type="dxa"/>
            <w:tcBorders>
              <w:top w:val="single" w:sz="4" w:space="0" w:color="auto"/>
              <w:bottom w:val="nil"/>
            </w:tcBorders>
          </w:tcPr>
          <w:p w14:paraId="731F2C9D" w14:textId="318E5B78" w:rsidR="00750BC3" w:rsidRDefault="00750BC3" w:rsidP="00F43E4D">
            <w:pPr>
              <w:pStyle w:val="TableText"/>
            </w:pPr>
            <w:r>
              <w:t>EC10 (</w:t>
            </w:r>
            <w:r w:rsidR="00846260">
              <w:t>a</w:t>
            </w:r>
            <w:r>
              <w:t>bundance)</w:t>
            </w:r>
          </w:p>
        </w:tc>
        <w:tc>
          <w:tcPr>
            <w:tcW w:w="1276" w:type="dxa"/>
            <w:tcBorders>
              <w:top w:val="single" w:sz="4" w:space="0" w:color="auto"/>
              <w:bottom w:val="nil"/>
            </w:tcBorders>
          </w:tcPr>
          <w:p w14:paraId="0DFF7B4C" w14:textId="77777777" w:rsidR="00750BC3" w:rsidRDefault="00750BC3" w:rsidP="00F43E4D">
            <w:pPr>
              <w:pStyle w:val="TableText"/>
            </w:pPr>
            <w:r>
              <w:t>River water</w:t>
            </w:r>
          </w:p>
        </w:tc>
        <w:tc>
          <w:tcPr>
            <w:tcW w:w="992" w:type="dxa"/>
            <w:tcBorders>
              <w:top w:val="single" w:sz="4" w:space="0" w:color="auto"/>
              <w:bottom w:val="nil"/>
            </w:tcBorders>
          </w:tcPr>
          <w:p w14:paraId="1D29DA9E" w14:textId="77777777" w:rsidR="00750BC3" w:rsidRDefault="00750BC3" w:rsidP="00F43E4D">
            <w:pPr>
              <w:pStyle w:val="TableText"/>
            </w:pPr>
            <w:r>
              <w:t>11.8</w:t>
            </w:r>
          </w:p>
        </w:tc>
        <w:tc>
          <w:tcPr>
            <w:tcW w:w="1276" w:type="dxa"/>
            <w:tcBorders>
              <w:top w:val="single" w:sz="4" w:space="0" w:color="auto"/>
              <w:bottom w:val="nil"/>
            </w:tcBorders>
          </w:tcPr>
          <w:p w14:paraId="69B4A83A" w14:textId="77777777" w:rsidR="00750BC3" w:rsidRDefault="00750BC3" w:rsidP="00F43E4D">
            <w:pPr>
              <w:pStyle w:val="TableText"/>
            </w:pPr>
            <w:r>
              <w:t>34</w:t>
            </w:r>
          </w:p>
        </w:tc>
        <w:tc>
          <w:tcPr>
            <w:tcW w:w="567" w:type="dxa"/>
            <w:tcBorders>
              <w:top w:val="single" w:sz="4" w:space="0" w:color="auto"/>
              <w:bottom w:val="nil"/>
            </w:tcBorders>
          </w:tcPr>
          <w:p w14:paraId="52A6A830" w14:textId="77777777" w:rsidR="00750BC3" w:rsidRDefault="00750BC3" w:rsidP="00F43E4D">
            <w:pPr>
              <w:pStyle w:val="TableText"/>
            </w:pPr>
            <w:r>
              <w:t>7.2</w:t>
            </w:r>
          </w:p>
        </w:tc>
        <w:tc>
          <w:tcPr>
            <w:tcW w:w="850" w:type="dxa"/>
            <w:tcBorders>
              <w:top w:val="single" w:sz="4" w:space="0" w:color="auto"/>
              <w:bottom w:val="nil"/>
            </w:tcBorders>
          </w:tcPr>
          <w:p w14:paraId="5E8F2196" w14:textId="77777777" w:rsidR="00750BC3" w:rsidRDefault="00750BC3" w:rsidP="00F43E4D">
            <w:pPr>
              <w:pStyle w:val="TableText"/>
            </w:pPr>
            <w:r>
              <w:t>2.5</w:t>
            </w:r>
          </w:p>
        </w:tc>
        <w:tc>
          <w:tcPr>
            <w:tcW w:w="1417" w:type="dxa"/>
            <w:tcBorders>
              <w:top w:val="single" w:sz="4" w:space="0" w:color="auto"/>
              <w:bottom w:val="nil"/>
            </w:tcBorders>
          </w:tcPr>
          <w:p w14:paraId="237CEAB8" w14:textId="04C3C7C8" w:rsidR="00750BC3" w:rsidRDefault="00750BC3" w:rsidP="00F43E4D">
            <w:pPr>
              <w:pStyle w:val="TableText"/>
            </w:pPr>
            <w:r>
              <w:t>2</w:t>
            </w:r>
            <w:r w:rsidR="00846260">
              <w:t>,</w:t>
            </w:r>
            <w:r>
              <w:t>200</w:t>
            </w:r>
            <w:r>
              <w:rPr>
                <w:vertAlign w:val="superscript"/>
              </w:rPr>
              <w:t>a</w:t>
            </w:r>
          </w:p>
        </w:tc>
        <w:tc>
          <w:tcPr>
            <w:tcW w:w="1273" w:type="dxa"/>
            <w:tcBorders>
              <w:top w:val="single" w:sz="4" w:space="0" w:color="auto"/>
              <w:bottom w:val="nil"/>
            </w:tcBorders>
          </w:tcPr>
          <w:p w14:paraId="6A9F4921" w14:textId="451075BC" w:rsidR="00750BC3" w:rsidRDefault="00750BC3" w:rsidP="00750BC3">
            <w:pPr>
              <w:pStyle w:val="TableText"/>
            </w:pPr>
            <w:r w:rsidRPr="00A20FFB">
              <w:t>Cadmus et al. (2018a, b)</w:t>
            </w:r>
          </w:p>
        </w:tc>
      </w:tr>
      <w:tr w:rsidR="00CF62E4" w:rsidRPr="00045A29" w14:paraId="6CBCABBD" w14:textId="7BC5565F" w:rsidTr="00C14C27">
        <w:trPr>
          <w:cantSplit/>
        </w:trPr>
        <w:tc>
          <w:tcPr>
            <w:tcW w:w="1429" w:type="dxa"/>
            <w:tcBorders>
              <w:bottom w:val="nil"/>
            </w:tcBorders>
          </w:tcPr>
          <w:p w14:paraId="1C00CA38" w14:textId="725BBD56" w:rsidR="00750BC3" w:rsidRDefault="00750BC3" w:rsidP="00CD699A">
            <w:pPr>
              <w:pStyle w:val="TableText"/>
            </w:pPr>
            <w:r>
              <w:t>Insect</w:t>
            </w:r>
            <w:r w:rsidR="00CD699A">
              <w:t xml:space="preserve"> </w:t>
            </w:r>
            <w:r>
              <w:t>(Arthropod)</w:t>
            </w:r>
          </w:p>
        </w:tc>
        <w:tc>
          <w:tcPr>
            <w:tcW w:w="1553" w:type="dxa"/>
            <w:tcBorders>
              <w:bottom w:val="nil"/>
            </w:tcBorders>
          </w:tcPr>
          <w:p w14:paraId="655A76AC" w14:textId="3125CABB" w:rsidR="00750BC3" w:rsidRPr="0020267C" w:rsidRDefault="00750BC3" w:rsidP="00F43E4D">
            <w:pPr>
              <w:pStyle w:val="TableText"/>
            </w:pPr>
            <w:r>
              <w:rPr>
                <w:i/>
                <w:iCs/>
              </w:rPr>
              <w:t xml:space="preserve">Cinygmula </w:t>
            </w:r>
            <w:r>
              <w:t>spp.</w:t>
            </w:r>
          </w:p>
        </w:tc>
        <w:tc>
          <w:tcPr>
            <w:tcW w:w="850" w:type="dxa"/>
            <w:tcBorders>
              <w:bottom w:val="nil"/>
            </w:tcBorders>
          </w:tcPr>
          <w:p w14:paraId="5A878464" w14:textId="77777777" w:rsidR="00750BC3" w:rsidRDefault="00750BC3" w:rsidP="00F43E4D">
            <w:pPr>
              <w:pStyle w:val="TableText"/>
            </w:pPr>
            <w:r>
              <w:t>Nymph</w:t>
            </w:r>
          </w:p>
        </w:tc>
        <w:tc>
          <w:tcPr>
            <w:tcW w:w="992" w:type="dxa"/>
            <w:tcBorders>
              <w:bottom w:val="nil"/>
            </w:tcBorders>
          </w:tcPr>
          <w:p w14:paraId="1BEEDD5A" w14:textId="77777777" w:rsidR="00750BC3" w:rsidRDefault="00750BC3" w:rsidP="00F43E4D">
            <w:pPr>
              <w:pStyle w:val="TableText"/>
            </w:pPr>
            <w:r>
              <w:t>10</w:t>
            </w:r>
          </w:p>
        </w:tc>
        <w:tc>
          <w:tcPr>
            <w:tcW w:w="1559" w:type="dxa"/>
            <w:tcBorders>
              <w:bottom w:val="nil"/>
            </w:tcBorders>
          </w:tcPr>
          <w:p w14:paraId="0311EBA6" w14:textId="447B87CD" w:rsidR="00750BC3" w:rsidRDefault="00750BC3" w:rsidP="00F43E4D">
            <w:pPr>
              <w:pStyle w:val="TableText"/>
            </w:pPr>
            <w:r>
              <w:t>EC10 (</w:t>
            </w:r>
            <w:r w:rsidR="00846260">
              <w:t>a</w:t>
            </w:r>
            <w:r>
              <w:t>bundance)</w:t>
            </w:r>
          </w:p>
        </w:tc>
        <w:tc>
          <w:tcPr>
            <w:tcW w:w="1276" w:type="dxa"/>
            <w:tcBorders>
              <w:bottom w:val="nil"/>
            </w:tcBorders>
          </w:tcPr>
          <w:p w14:paraId="6189FA59" w14:textId="77777777" w:rsidR="00750BC3" w:rsidRDefault="00750BC3" w:rsidP="00F43E4D">
            <w:pPr>
              <w:pStyle w:val="TableText"/>
            </w:pPr>
            <w:r>
              <w:t>River water</w:t>
            </w:r>
          </w:p>
        </w:tc>
        <w:tc>
          <w:tcPr>
            <w:tcW w:w="992" w:type="dxa"/>
            <w:tcBorders>
              <w:bottom w:val="nil"/>
            </w:tcBorders>
          </w:tcPr>
          <w:p w14:paraId="05560746" w14:textId="77777777" w:rsidR="00750BC3" w:rsidRDefault="00750BC3" w:rsidP="00F43E4D">
            <w:pPr>
              <w:pStyle w:val="TableText"/>
            </w:pPr>
            <w:r>
              <w:t>11.8</w:t>
            </w:r>
          </w:p>
        </w:tc>
        <w:tc>
          <w:tcPr>
            <w:tcW w:w="1276" w:type="dxa"/>
            <w:tcBorders>
              <w:bottom w:val="nil"/>
            </w:tcBorders>
          </w:tcPr>
          <w:p w14:paraId="5061B1DD" w14:textId="77777777" w:rsidR="00750BC3" w:rsidRDefault="00750BC3" w:rsidP="00F43E4D">
            <w:pPr>
              <w:pStyle w:val="TableText"/>
            </w:pPr>
            <w:r>
              <w:t>35</w:t>
            </w:r>
          </w:p>
        </w:tc>
        <w:tc>
          <w:tcPr>
            <w:tcW w:w="567" w:type="dxa"/>
            <w:tcBorders>
              <w:bottom w:val="nil"/>
            </w:tcBorders>
          </w:tcPr>
          <w:p w14:paraId="4EF15648" w14:textId="77777777" w:rsidR="00750BC3" w:rsidRDefault="00750BC3" w:rsidP="00F43E4D">
            <w:pPr>
              <w:pStyle w:val="TableText"/>
            </w:pPr>
            <w:r>
              <w:t>7.2</w:t>
            </w:r>
          </w:p>
        </w:tc>
        <w:tc>
          <w:tcPr>
            <w:tcW w:w="850" w:type="dxa"/>
            <w:tcBorders>
              <w:bottom w:val="nil"/>
            </w:tcBorders>
          </w:tcPr>
          <w:p w14:paraId="1B87F0AF" w14:textId="77777777" w:rsidR="00750BC3" w:rsidRDefault="00750BC3" w:rsidP="00F43E4D">
            <w:pPr>
              <w:pStyle w:val="TableText"/>
            </w:pPr>
            <w:r>
              <w:t>2.5</w:t>
            </w:r>
          </w:p>
        </w:tc>
        <w:tc>
          <w:tcPr>
            <w:tcW w:w="1417" w:type="dxa"/>
            <w:tcBorders>
              <w:bottom w:val="nil"/>
            </w:tcBorders>
          </w:tcPr>
          <w:p w14:paraId="47FE4553" w14:textId="1E4BFD18" w:rsidR="00750BC3" w:rsidRDefault="00750BC3" w:rsidP="00F43E4D">
            <w:pPr>
              <w:pStyle w:val="TableText"/>
            </w:pPr>
            <w:r>
              <w:t>930</w:t>
            </w:r>
            <w:r>
              <w:rPr>
                <w:vertAlign w:val="superscript"/>
              </w:rPr>
              <w:t>a</w:t>
            </w:r>
          </w:p>
        </w:tc>
        <w:tc>
          <w:tcPr>
            <w:tcW w:w="1273" w:type="dxa"/>
            <w:tcBorders>
              <w:bottom w:val="nil"/>
            </w:tcBorders>
          </w:tcPr>
          <w:p w14:paraId="5C8F741E" w14:textId="3D80007D" w:rsidR="00750BC3" w:rsidRDefault="00750BC3" w:rsidP="00750BC3">
            <w:pPr>
              <w:pStyle w:val="TableText"/>
            </w:pPr>
            <w:r w:rsidRPr="00A20FFB">
              <w:t>Cadmus et al. (2018a, b)</w:t>
            </w:r>
          </w:p>
        </w:tc>
      </w:tr>
      <w:tr w:rsidR="00CF62E4" w:rsidRPr="00045A29" w14:paraId="75B1060D" w14:textId="06669B9D" w:rsidTr="00C14C27">
        <w:trPr>
          <w:cantSplit/>
        </w:trPr>
        <w:tc>
          <w:tcPr>
            <w:tcW w:w="1429" w:type="dxa"/>
            <w:tcBorders>
              <w:top w:val="single" w:sz="4" w:space="0" w:color="auto"/>
              <w:bottom w:val="nil"/>
            </w:tcBorders>
          </w:tcPr>
          <w:p w14:paraId="0B11435A" w14:textId="60B2BFAE" w:rsidR="00750BC3" w:rsidRDefault="00750BC3" w:rsidP="00CD699A">
            <w:pPr>
              <w:pStyle w:val="TableText"/>
            </w:pPr>
            <w:r>
              <w:t>Insect</w:t>
            </w:r>
            <w:r w:rsidR="00CD699A">
              <w:t xml:space="preserve"> </w:t>
            </w:r>
            <w:r>
              <w:t>(Arthropod)</w:t>
            </w:r>
          </w:p>
        </w:tc>
        <w:tc>
          <w:tcPr>
            <w:tcW w:w="1553" w:type="dxa"/>
            <w:tcBorders>
              <w:top w:val="single" w:sz="4" w:space="0" w:color="auto"/>
              <w:bottom w:val="nil"/>
            </w:tcBorders>
          </w:tcPr>
          <w:p w14:paraId="3051775D" w14:textId="0BF60E0F" w:rsidR="00750BC3" w:rsidRDefault="00750BC3" w:rsidP="00F43E4D">
            <w:pPr>
              <w:pStyle w:val="TableText"/>
              <w:rPr>
                <w:i/>
                <w:iCs/>
              </w:rPr>
            </w:pPr>
            <w:r>
              <w:rPr>
                <w:i/>
                <w:iCs/>
              </w:rPr>
              <w:t xml:space="preserve">Epeorus </w:t>
            </w:r>
            <w:r w:rsidRPr="005B016B">
              <w:t>sp</w:t>
            </w:r>
            <w:r>
              <w:t>p</w:t>
            </w:r>
            <w:r w:rsidRPr="005B016B">
              <w:t>.</w:t>
            </w:r>
          </w:p>
        </w:tc>
        <w:tc>
          <w:tcPr>
            <w:tcW w:w="850" w:type="dxa"/>
            <w:tcBorders>
              <w:top w:val="single" w:sz="4" w:space="0" w:color="auto"/>
              <w:bottom w:val="nil"/>
            </w:tcBorders>
          </w:tcPr>
          <w:p w14:paraId="405CEFF2" w14:textId="77777777" w:rsidR="00750BC3" w:rsidRDefault="00750BC3" w:rsidP="00F43E4D">
            <w:pPr>
              <w:pStyle w:val="TableText"/>
            </w:pPr>
            <w:r>
              <w:t>Nymph</w:t>
            </w:r>
          </w:p>
        </w:tc>
        <w:tc>
          <w:tcPr>
            <w:tcW w:w="992" w:type="dxa"/>
            <w:tcBorders>
              <w:top w:val="single" w:sz="4" w:space="0" w:color="auto"/>
              <w:bottom w:val="nil"/>
            </w:tcBorders>
          </w:tcPr>
          <w:p w14:paraId="486DE37E" w14:textId="77777777" w:rsidR="00750BC3" w:rsidRDefault="00750BC3" w:rsidP="00F43E4D">
            <w:pPr>
              <w:pStyle w:val="TableText"/>
            </w:pPr>
            <w:r>
              <w:t>10</w:t>
            </w:r>
          </w:p>
        </w:tc>
        <w:tc>
          <w:tcPr>
            <w:tcW w:w="1559" w:type="dxa"/>
            <w:tcBorders>
              <w:top w:val="single" w:sz="4" w:space="0" w:color="auto"/>
              <w:bottom w:val="nil"/>
            </w:tcBorders>
          </w:tcPr>
          <w:p w14:paraId="0534DAC4" w14:textId="44704D94" w:rsidR="00750BC3" w:rsidRDefault="00750BC3" w:rsidP="00F43E4D">
            <w:pPr>
              <w:pStyle w:val="TableText"/>
            </w:pPr>
            <w:r>
              <w:t>EC20 (</w:t>
            </w:r>
            <w:r w:rsidR="00846260">
              <w:t>a</w:t>
            </w:r>
            <w:r>
              <w:t>bundance)</w:t>
            </w:r>
          </w:p>
        </w:tc>
        <w:tc>
          <w:tcPr>
            <w:tcW w:w="1276" w:type="dxa"/>
            <w:tcBorders>
              <w:top w:val="single" w:sz="4" w:space="0" w:color="auto"/>
              <w:bottom w:val="nil"/>
            </w:tcBorders>
          </w:tcPr>
          <w:p w14:paraId="57B9437B" w14:textId="77777777" w:rsidR="00750BC3" w:rsidRDefault="00750BC3" w:rsidP="00F43E4D">
            <w:pPr>
              <w:pStyle w:val="TableText"/>
            </w:pPr>
            <w:r>
              <w:t>River water</w:t>
            </w:r>
          </w:p>
        </w:tc>
        <w:tc>
          <w:tcPr>
            <w:tcW w:w="992" w:type="dxa"/>
            <w:tcBorders>
              <w:top w:val="single" w:sz="4" w:space="0" w:color="auto"/>
              <w:bottom w:val="nil"/>
            </w:tcBorders>
          </w:tcPr>
          <w:p w14:paraId="795E9AF3" w14:textId="77777777" w:rsidR="00750BC3" w:rsidRDefault="00750BC3" w:rsidP="00F43E4D">
            <w:pPr>
              <w:pStyle w:val="TableText"/>
            </w:pPr>
            <w:r>
              <w:t>11.8</w:t>
            </w:r>
          </w:p>
        </w:tc>
        <w:tc>
          <w:tcPr>
            <w:tcW w:w="1276" w:type="dxa"/>
            <w:tcBorders>
              <w:top w:val="single" w:sz="4" w:space="0" w:color="auto"/>
              <w:bottom w:val="nil"/>
            </w:tcBorders>
          </w:tcPr>
          <w:p w14:paraId="3D6B513E" w14:textId="77777777" w:rsidR="00750BC3" w:rsidRDefault="00750BC3" w:rsidP="00F43E4D">
            <w:pPr>
              <w:pStyle w:val="TableText"/>
            </w:pPr>
            <w:r>
              <w:t>35</w:t>
            </w:r>
          </w:p>
        </w:tc>
        <w:tc>
          <w:tcPr>
            <w:tcW w:w="567" w:type="dxa"/>
            <w:tcBorders>
              <w:top w:val="single" w:sz="4" w:space="0" w:color="auto"/>
              <w:bottom w:val="nil"/>
            </w:tcBorders>
          </w:tcPr>
          <w:p w14:paraId="59187FD4" w14:textId="77777777" w:rsidR="00750BC3" w:rsidRDefault="00750BC3" w:rsidP="00F43E4D">
            <w:pPr>
              <w:pStyle w:val="TableText"/>
            </w:pPr>
            <w:r>
              <w:t>7.2</w:t>
            </w:r>
          </w:p>
        </w:tc>
        <w:tc>
          <w:tcPr>
            <w:tcW w:w="850" w:type="dxa"/>
            <w:tcBorders>
              <w:top w:val="single" w:sz="4" w:space="0" w:color="auto"/>
              <w:bottom w:val="nil"/>
            </w:tcBorders>
          </w:tcPr>
          <w:p w14:paraId="1BECCCB9" w14:textId="77777777" w:rsidR="00750BC3" w:rsidRDefault="00750BC3" w:rsidP="00F43E4D">
            <w:pPr>
              <w:pStyle w:val="TableText"/>
            </w:pPr>
            <w:r>
              <w:t>2.5</w:t>
            </w:r>
          </w:p>
        </w:tc>
        <w:tc>
          <w:tcPr>
            <w:tcW w:w="1417" w:type="dxa"/>
            <w:tcBorders>
              <w:bottom w:val="nil"/>
            </w:tcBorders>
          </w:tcPr>
          <w:p w14:paraId="42FA8A47" w14:textId="14C99D2A" w:rsidR="00750BC3" w:rsidRDefault="00750BC3" w:rsidP="00F43E4D">
            <w:pPr>
              <w:pStyle w:val="TableText"/>
            </w:pPr>
            <w:r>
              <w:t>335</w:t>
            </w:r>
          </w:p>
        </w:tc>
        <w:tc>
          <w:tcPr>
            <w:tcW w:w="1273" w:type="dxa"/>
            <w:tcBorders>
              <w:bottom w:val="nil"/>
            </w:tcBorders>
          </w:tcPr>
          <w:p w14:paraId="296C7B0D" w14:textId="6D226175" w:rsidR="00750BC3" w:rsidRDefault="00750BC3" w:rsidP="00750BC3">
            <w:pPr>
              <w:pStyle w:val="TableText"/>
            </w:pPr>
            <w:r w:rsidRPr="00A20FFB">
              <w:t>Cadmus et al. (2018a, b)</w:t>
            </w:r>
          </w:p>
        </w:tc>
      </w:tr>
      <w:tr w:rsidR="00CF62E4" w:rsidRPr="00045A29" w14:paraId="63343514" w14:textId="41B97139" w:rsidTr="00C14C27">
        <w:trPr>
          <w:cantSplit/>
        </w:trPr>
        <w:tc>
          <w:tcPr>
            <w:tcW w:w="1429" w:type="dxa"/>
            <w:tcBorders>
              <w:top w:val="single" w:sz="4" w:space="0" w:color="auto"/>
              <w:bottom w:val="nil"/>
            </w:tcBorders>
          </w:tcPr>
          <w:p w14:paraId="49A4D5C3" w14:textId="30E9A46B" w:rsidR="00750BC3" w:rsidRDefault="00750BC3" w:rsidP="00CD699A">
            <w:pPr>
              <w:pStyle w:val="TableText"/>
            </w:pPr>
            <w:r>
              <w:t>Insect</w:t>
            </w:r>
            <w:r w:rsidR="00CD699A">
              <w:t xml:space="preserve"> </w:t>
            </w:r>
            <w:r>
              <w:t>(Arthropod)</w:t>
            </w:r>
          </w:p>
        </w:tc>
        <w:tc>
          <w:tcPr>
            <w:tcW w:w="1553" w:type="dxa"/>
            <w:tcBorders>
              <w:top w:val="single" w:sz="4" w:space="0" w:color="auto"/>
              <w:bottom w:val="nil"/>
            </w:tcBorders>
          </w:tcPr>
          <w:p w14:paraId="53A97181" w14:textId="36513381" w:rsidR="00750BC3" w:rsidRDefault="00750BC3" w:rsidP="00F43E4D">
            <w:pPr>
              <w:pStyle w:val="TableText"/>
              <w:rPr>
                <w:i/>
                <w:iCs/>
              </w:rPr>
            </w:pPr>
            <w:r>
              <w:rPr>
                <w:i/>
                <w:iCs/>
              </w:rPr>
              <w:t xml:space="preserve">Ephemerella </w:t>
            </w:r>
            <w:r w:rsidRPr="005B016B">
              <w:t>sp</w:t>
            </w:r>
            <w:r>
              <w:t>p</w:t>
            </w:r>
            <w:r w:rsidRPr="005B016B">
              <w:t>.</w:t>
            </w:r>
          </w:p>
        </w:tc>
        <w:tc>
          <w:tcPr>
            <w:tcW w:w="850" w:type="dxa"/>
            <w:tcBorders>
              <w:top w:val="single" w:sz="4" w:space="0" w:color="auto"/>
              <w:bottom w:val="nil"/>
            </w:tcBorders>
          </w:tcPr>
          <w:p w14:paraId="26744FA3" w14:textId="77777777" w:rsidR="00750BC3" w:rsidRDefault="00750BC3" w:rsidP="00F43E4D">
            <w:pPr>
              <w:pStyle w:val="TableText"/>
            </w:pPr>
            <w:r>
              <w:t>Nymph</w:t>
            </w:r>
          </w:p>
        </w:tc>
        <w:tc>
          <w:tcPr>
            <w:tcW w:w="992" w:type="dxa"/>
            <w:tcBorders>
              <w:top w:val="single" w:sz="4" w:space="0" w:color="auto"/>
              <w:bottom w:val="nil"/>
            </w:tcBorders>
          </w:tcPr>
          <w:p w14:paraId="571FD7A9" w14:textId="77777777" w:rsidR="00750BC3" w:rsidRDefault="00750BC3" w:rsidP="00F43E4D">
            <w:pPr>
              <w:pStyle w:val="TableText"/>
            </w:pPr>
            <w:r>
              <w:t>10</w:t>
            </w:r>
          </w:p>
        </w:tc>
        <w:tc>
          <w:tcPr>
            <w:tcW w:w="1559" w:type="dxa"/>
            <w:tcBorders>
              <w:top w:val="single" w:sz="4" w:space="0" w:color="auto"/>
              <w:bottom w:val="nil"/>
            </w:tcBorders>
          </w:tcPr>
          <w:p w14:paraId="77BE5C0C" w14:textId="0E557703" w:rsidR="00750BC3" w:rsidRDefault="00750BC3" w:rsidP="00F43E4D">
            <w:pPr>
              <w:pStyle w:val="TableText"/>
            </w:pPr>
            <w:r>
              <w:t>E10 (</w:t>
            </w:r>
            <w:r w:rsidR="00846260">
              <w:t>a</w:t>
            </w:r>
            <w:r>
              <w:t>bundance)</w:t>
            </w:r>
          </w:p>
        </w:tc>
        <w:tc>
          <w:tcPr>
            <w:tcW w:w="1276" w:type="dxa"/>
            <w:tcBorders>
              <w:top w:val="single" w:sz="4" w:space="0" w:color="auto"/>
              <w:bottom w:val="nil"/>
            </w:tcBorders>
          </w:tcPr>
          <w:p w14:paraId="5CDE40CD" w14:textId="77777777" w:rsidR="00750BC3" w:rsidRDefault="00750BC3" w:rsidP="00F43E4D">
            <w:pPr>
              <w:pStyle w:val="TableText"/>
            </w:pPr>
            <w:r>
              <w:t>River water</w:t>
            </w:r>
          </w:p>
        </w:tc>
        <w:tc>
          <w:tcPr>
            <w:tcW w:w="992" w:type="dxa"/>
            <w:tcBorders>
              <w:top w:val="single" w:sz="4" w:space="0" w:color="auto"/>
              <w:bottom w:val="nil"/>
            </w:tcBorders>
          </w:tcPr>
          <w:p w14:paraId="5568EFD5" w14:textId="77777777" w:rsidR="00750BC3" w:rsidRDefault="00750BC3" w:rsidP="00F43E4D">
            <w:pPr>
              <w:pStyle w:val="TableText"/>
            </w:pPr>
            <w:r>
              <w:t>11.8</w:t>
            </w:r>
          </w:p>
        </w:tc>
        <w:tc>
          <w:tcPr>
            <w:tcW w:w="1276" w:type="dxa"/>
            <w:tcBorders>
              <w:bottom w:val="nil"/>
            </w:tcBorders>
          </w:tcPr>
          <w:p w14:paraId="35C5A5C8" w14:textId="77777777" w:rsidR="00750BC3" w:rsidRDefault="00750BC3" w:rsidP="00F43E4D">
            <w:pPr>
              <w:pStyle w:val="TableText"/>
            </w:pPr>
            <w:r>
              <w:t>35</w:t>
            </w:r>
          </w:p>
        </w:tc>
        <w:tc>
          <w:tcPr>
            <w:tcW w:w="567" w:type="dxa"/>
            <w:tcBorders>
              <w:bottom w:val="nil"/>
            </w:tcBorders>
          </w:tcPr>
          <w:p w14:paraId="7A75B69B" w14:textId="77777777" w:rsidR="00750BC3" w:rsidRDefault="00750BC3" w:rsidP="00F43E4D">
            <w:pPr>
              <w:pStyle w:val="TableText"/>
            </w:pPr>
            <w:r>
              <w:t>7.2</w:t>
            </w:r>
          </w:p>
        </w:tc>
        <w:tc>
          <w:tcPr>
            <w:tcW w:w="850" w:type="dxa"/>
            <w:tcBorders>
              <w:bottom w:val="nil"/>
            </w:tcBorders>
          </w:tcPr>
          <w:p w14:paraId="10EB470E" w14:textId="77777777" w:rsidR="00750BC3" w:rsidRDefault="00750BC3" w:rsidP="00F43E4D">
            <w:pPr>
              <w:pStyle w:val="TableText"/>
            </w:pPr>
            <w:r>
              <w:t>2.5</w:t>
            </w:r>
          </w:p>
        </w:tc>
        <w:tc>
          <w:tcPr>
            <w:tcW w:w="1417" w:type="dxa"/>
            <w:tcBorders>
              <w:bottom w:val="nil"/>
            </w:tcBorders>
          </w:tcPr>
          <w:p w14:paraId="1F704EEB" w14:textId="7FC37545" w:rsidR="00750BC3" w:rsidRDefault="00750BC3" w:rsidP="00F43E4D">
            <w:pPr>
              <w:pStyle w:val="TableText"/>
            </w:pPr>
            <w:r>
              <w:t>&gt;</w:t>
            </w:r>
            <w:r w:rsidR="00846260">
              <w:t> </w:t>
            </w:r>
            <w:r>
              <w:t>14</w:t>
            </w:r>
            <w:r w:rsidR="00846260">
              <w:t>,</w:t>
            </w:r>
            <w:r>
              <w:t>073</w:t>
            </w:r>
            <w:r>
              <w:rPr>
                <w:vertAlign w:val="superscript"/>
              </w:rPr>
              <w:t>a</w:t>
            </w:r>
          </w:p>
        </w:tc>
        <w:tc>
          <w:tcPr>
            <w:tcW w:w="1273" w:type="dxa"/>
            <w:tcBorders>
              <w:bottom w:val="nil"/>
            </w:tcBorders>
          </w:tcPr>
          <w:p w14:paraId="023966D6" w14:textId="6B642105" w:rsidR="00750BC3" w:rsidRDefault="00750BC3" w:rsidP="00750BC3">
            <w:pPr>
              <w:pStyle w:val="TableText"/>
            </w:pPr>
            <w:r w:rsidRPr="00A20FFB">
              <w:t>Cadmus et al. (2018a, b)</w:t>
            </w:r>
          </w:p>
        </w:tc>
      </w:tr>
      <w:tr w:rsidR="00CF62E4" w:rsidRPr="00045A29" w14:paraId="65DE17EE" w14:textId="6F2ACC06" w:rsidTr="00C14C27">
        <w:trPr>
          <w:cantSplit/>
        </w:trPr>
        <w:tc>
          <w:tcPr>
            <w:tcW w:w="1429" w:type="dxa"/>
            <w:tcBorders>
              <w:top w:val="single" w:sz="4" w:space="0" w:color="auto"/>
              <w:bottom w:val="nil"/>
            </w:tcBorders>
          </w:tcPr>
          <w:p w14:paraId="61BE517D" w14:textId="1323B0A2" w:rsidR="00750BC3" w:rsidRDefault="00750BC3" w:rsidP="00CD699A">
            <w:pPr>
              <w:pStyle w:val="TableText"/>
            </w:pPr>
            <w:r>
              <w:t>Insect</w:t>
            </w:r>
            <w:r w:rsidR="00CD699A">
              <w:t xml:space="preserve"> </w:t>
            </w:r>
            <w:r>
              <w:t>(Arthropod)</w:t>
            </w:r>
          </w:p>
        </w:tc>
        <w:tc>
          <w:tcPr>
            <w:tcW w:w="1553" w:type="dxa"/>
            <w:tcBorders>
              <w:top w:val="single" w:sz="4" w:space="0" w:color="auto"/>
              <w:bottom w:val="nil"/>
            </w:tcBorders>
          </w:tcPr>
          <w:p w14:paraId="5D490A6A" w14:textId="4C9A316C" w:rsidR="00750BC3" w:rsidRDefault="00750BC3" w:rsidP="00F43E4D">
            <w:pPr>
              <w:pStyle w:val="TableText"/>
              <w:rPr>
                <w:i/>
                <w:iCs/>
              </w:rPr>
            </w:pPr>
            <w:r>
              <w:rPr>
                <w:i/>
                <w:iCs/>
              </w:rPr>
              <w:t xml:space="preserve">Heterlimnius </w:t>
            </w:r>
            <w:r>
              <w:t>spp.</w:t>
            </w:r>
          </w:p>
        </w:tc>
        <w:tc>
          <w:tcPr>
            <w:tcW w:w="850" w:type="dxa"/>
            <w:tcBorders>
              <w:top w:val="single" w:sz="4" w:space="0" w:color="auto"/>
              <w:bottom w:val="nil"/>
            </w:tcBorders>
          </w:tcPr>
          <w:p w14:paraId="562174D3" w14:textId="77777777" w:rsidR="00750BC3" w:rsidRDefault="00750BC3" w:rsidP="00F43E4D">
            <w:pPr>
              <w:pStyle w:val="TableText"/>
            </w:pPr>
            <w:r>
              <w:t>Nymph</w:t>
            </w:r>
          </w:p>
        </w:tc>
        <w:tc>
          <w:tcPr>
            <w:tcW w:w="992" w:type="dxa"/>
            <w:tcBorders>
              <w:top w:val="single" w:sz="4" w:space="0" w:color="auto"/>
              <w:bottom w:val="nil"/>
            </w:tcBorders>
          </w:tcPr>
          <w:p w14:paraId="5C8BA734" w14:textId="77777777" w:rsidR="00750BC3" w:rsidRDefault="00750BC3" w:rsidP="00F43E4D">
            <w:pPr>
              <w:pStyle w:val="TableText"/>
            </w:pPr>
            <w:r>
              <w:t>10</w:t>
            </w:r>
          </w:p>
        </w:tc>
        <w:tc>
          <w:tcPr>
            <w:tcW w:w="1559" w:type="dxa"/>
            <w:tcBorders>
              <w:top w:val="single" w:sz="4" w:space="0" w:color="auto"/>
              <w:bottom w:val="nil"/>
            </w:tcBorders>
          </w:tcPr>
          <w:p w14:paraId="72A4870E" w14:textId="0713D6FD" w:rsidR="00750BC3" w:rsidDel="00030937" w:rsidRDefault="00750BC3" w:rsidP="00F43E4D">
            <w:pPr>
              <w:pStyle w:val="TableText"/>
            </w:pPr>
            <w:r>
              <w:t>EC10</w:t>
            </w:r>
            <w:r w:rsidR="00846260">
              <w:t xml:space="preserve"> </w:t>
            </w:r>
            <w:r>
              <w:t>(</w:t>
            </w:r>
            <w:r w:rsidR="00846260">
              <w:t>a</w:t>
            </w:r>
            <w:r>
              <w:t>bundance)</w:t>
            </w:r>
          </w:p>
        </w:tc>
        <w:tc>
          <w:tcPr>
            <w:tcW w:w="1276" w:type="dxa"/>
            <w:tcBorders>
              <w:top w:val="single" w:sz="4" w:space="0" w:color="auto"/>
              <w:bottom w:val="nil"/>
            </w:tcBorders>
          </w:tcPr>
          <w:p w14:paraId="2CDE1155" w14:textId="77777777" w:rsidR="00750BC3" w:rsidRDefault="00750BC3" w:rsidP="00F43E4D">
            <w:pPr>
              <w:pStyle w:val="TableText"/>
            </w:pPr>
            <w:r>
              <w:t>Dechlorinated tap water</w:t>
            </w:r>
          </w:p>
        </w:tc>
        <w:tc>
          <w:tcPr>
            <w:tcW w:w="992" w:type="dxa"/>
            <w:tcBorders>
              <w:top w:val="single" w:sz="4" w:space="0" w:color="auto"/>
              <w:bottom w:val="nil"/>
            </w:tcBorders>
          </w:tcPr>
          <w:p w14:paraId="5E4BBD46" w14:textId="77777777" w:rsidR="00750BC3" w:rsidRDefault="00750BC3" w:rsidP="00F43E4D">
            <w:pPr>
              <w:pStyle w:val="TableText"/>
            </w:pPr>
            <w:r>
              <w:t>11.8</w:t>
            </w:r>
          </w:p>
        </w:tc>
        <w:tc>
          <w:tcPr>
            <w:tcW w:w="1276" w:type="dxa"/>
            <w:tcBorders>
              <w:top w:val="single" w:sz="4" w:space="0" w:color="auto"/>
              <w:bottom w:val="nil"/>
            </w:tcBorders>
          </w:tcPr>
          <w:p w14:paraId="1AA906A4" w14:textId="77777777" w:rsidR="00750BC3" w:rsidRDefault="00750BC3" w:rsidP="00F43E4D">
            <w:pPr>
              <w:pStyle w:val="TableText"/>
            </w:pPr>
            <w:r>
              <w:t>44</w:t>
            </w:r>
          </w:p>
        </w:tc>
        <w:tc>
          <w:tcPr>
            <w:tcW w:w="567" w:type="dxa"/>
            <w:tcBorders>
              <w:top w:val="single" w:sz="4" w:space="0" w:color="auto"/>
              <w:bottom w:val="nil"/>
            </w:tcBorders>
          </w:tcPr>
          <w:p w14:paraId="61707DBE" w14:textId="77777777" w:rsidR="00750BC3" w:rsidRDefault="00750BC3" w:rsidP="00F43E4D">
            <w:pPr>
              <w:pStyle w:val="TableText"/>
            </w:pPr>
            <w:r>
              <w:t>7.2</w:t>
            </w:r>
          </w:p>
        </w:tc>
        <w:tc>
          <w:tcPr>
            <w:tcW w:w="850" w:type="dxa"/>
            <w:tcBorders>
              <w:top w:val="single" w:sz="4" w:space="0" w:color="auto"/>
              <w:bottom w:val="nil"/>
            </w:tcBorders>
          </w:tcPr>
          <w:p w14:paraId="3394DCC2" w14:textId="77777777" w:rsidR="00750BC3" w:rsidDel="00D1468E" w:rsidRDefault="00750BC3" w:rsidP="00F43E4D">
            <w:pPr>
              <w:pStyle w:val="TableText"/>
            </w:pPr>
            <w:r>
              <w:t>2.5</w:t>
            </w:r>
          </w:p>
        </w:tc>
        <w:tc>
          <w:tcPr>
            <w:tcW w:w="1417" w:type="dxa"/>
            <w:tcBorders>
              <w:top w:val="single" w:sz="4" w:space="0" w:color="auto"/>
              <w:bottom w:val="nil"/>
            </w:tcBorders>
          </w:tcPr>
          <w:p w14:paraId="70E5C62E" w14:textId="1F2B4D9A" w:rsidR="00750BC3" w:rsidRDefault="00750BC3" w:rsidP="00F43E4D">
            <w:pPr>
              <w:pStyle w:val="TableText"/>
            </w:pPr>
            <w:r>
              <w:t>747</w:t>
            </w:r>
            <w:r>
              <w:rPr>
                <w:vertAlign w:val="superscript"/>
              </w:rPr>
              <w:t>a</w:t>
            </w:r>
          </w:p>
        </w:tc>
        <w:tc>
          <w:tcPr>
            <w:tcW w:w="1273" w:type="dxa"/>
            <w:tcBorders>
              <w:top w:val="single" w:sz="4" w:space="0" w:color="auto"/>
              <w:bottom w:val="nil"/>
            </w:tcBorders>
          </w:tcPr>
          <w:p w14:paraId="57E1E96F" w14:textId="53C6FA2C" w:rsidR="00750BC3" w:rsidRDefault="00750BC3" w:rsidP="00750BC3">
            <w:pPr>
              <w:pStyle w:val="TableText"/>
            </w:pPr>
            <w:r w:rsidRPr="00A20FFB">
              <w:t>Cadmus et al. (2018a, b)</w:t>
            </w:r>
          </w:p>
        </w:tc>
      </w:tr>
      <w:tr w:rsidR="00CF62E4" w:rsidRPr="00045A29" w14:paraId="7BE55377" w14:textId="10C51D45" w:rsidTr="00C14C27">
        <w:trPr>
          <w:cantSplit/>
        </w:trPr>
        <w:tc>
          <w:tcPr>
            <w:tcW w:w="1429" w:type="dxa"/>
            <w:tcBorders>
              <w:top w:val="single" w:sz="4" w:space="0" w:color="auto"/>
              <w:bottom w:val="nil"/>
            </w:tcBorders>
          </w:tcPr>
          <w:p w14:paraId="605BE978" w14:textId="692AB739" w:rsidR="00750BC3" w:rsidRDefault="00750BC3" w:rsidP="00CD699A">
            <w:pPr>
              <w:pStyle w:val="TableText"/>
            </w:pPr>
            <w:r>
              <w:t>Insect</w:t>
            </w:r>
            <w:r w:rsidR="00CD699A">
              <w:t xml:space="preserve"> </w:t>
            </w:r>
            <w:r>
              <w:t>(</w:t>
            </w:r>
            <w:r w:rsidRPr="00045A29">
              <w:t>Arthropod</w:t>
            </w:r>
            <w:r>
              <w:t>)</w:t>
            </w:r>
          </w:p>
        </w:tc>
        <w:tc>
          <w:tcPr>
            <w:tcW w:w="1553" w:type="dxa"/>
            <w:tcBorders>
              <w:top w:val="single" w:sz="4" w:space="0" w:color="auto"/>
              <w:bottom w:val="nil"/>
            </w:tcBorders>
          </w:tcPr>
          <w:p w14:paraId="41188047" w14:textId="0C97823E" w:rsidR="00750BC3" w:rsidRPr="00FE6B34" w:rsidRDefault="00750BC3" w:rsidP="00F43E4D">
            <w:pPr>
              <w:pStyle w:val="TableText"/>
              <w:rPr>
                <w:rStyle w:val="Emphasis"/>
              </w:rPr>
            </w:pPr>
            <w:r>
              <w:rPr>
                <w:i/>
                <w:iCs/>
              </w:rPr>
              <w:t xml:space="preserve">Micrasema </w:t>
            </w:r>
            <w:r w:rsidRPr="00AB564B">
              <w:t>s</w:t>
            </w:r>
            <w:r>
              <w:t>p</w:t>
            </w:r>
            <w:r w:rsidRPr="00AB564B">
              <w:t>p.</w:t>
            </w:r>
          </w:p>
        </w:tc>
        <w:tc>
          <w:tcPr>
            <w:tcW w:w="850" w:type="dxa"/>
            <w:tcBorders>
              <w:top w:val="single" w:sz="4" w:space="0" w:color="auto"/>
              <w:bottom w:val="nil"/>
            </w:tcBorders>
          </w:tcPr>
          <w:p w14:paraId="63FDFBE8" w14:textId="77777777" w:rsidR="00750BC3" w:rsidRPr="00045A29" w:rsidRDefault="00750BC3" w:rsidP="00F43E4D">
            <w:pPr>
              <w:pStyle w:val="TableText"/>
            </w:pPr>
            <w:r>
              <w:t>Nymph</w:t>
            </w:r>
          </w:p>
        </w:tc>
        <w:tc>
          <w:tcPr>
            <w:tcW w:w="992" w:type="dxa"/>
            <w:tcBorders>
              <w:top w:val="single" w:sz="4" w:space="0" w:color="auto"/>
              <w:bottom w:val="nil"/>
            </w:tcBorders>
          </w:tcPr>
          <w:p w14:paraId="21B5E480" w14:textId="77777777" w:rsidR="00750BC3" w:rsidRPr="00045A29" w:rsidRDefault="00750BC3" w:rsidP="00F43E4D">
            <w:pPr>
              <w:pStyle w:val="TableText"/>
            </w:pPr>
            <w:r>
              <w:t>10</w:t>
            </w:r>
          </w:p>
        </w:tc>
        <w:tc>
          <w:tcPr>
            <w:tcW w:w="1559" w:type="dxa"/>
            <w:tcBorders>
              <w:top w:val="single" w:sz="4" w:space="0" w:color="auto"/>
              <w:bottom w:val="nil"/>
            </w:tcBorders>
          </w:tcPr>
          <w:p w14:paraId="10F48B1B" w14:textId="26C3F3A1" w:rsidR="00750BC3" w:rsidRPr="00045A29" w:rsidRDefault="00750BC3" w:rsidP="00F43E4D">
            <w:pPr>
              <w:pStyle w:val="TableText"/>
            </w:pPr>
            <w:r>
              <w:t>EC20 (</w:t>
            </w:r>
            <w:r w:rsidR="00846260">
              <w:t>a</w:t>
            </w:r>
            <w:r>
              <w:t>bundance)</w:t>
            </w:r>
          </w:p>
        </w:tc>
        <w:tc>
          <w:tcPr>
            <w:tcW w:w="1276" w:type="dxa"/>
            <w:tcBorders>
              <w:top w:val="single" w:sz="4" w:space="0" w:color="auto"/>
              <w:bottom w:val="nil"/>
            </w:tcBorders>
          </w:tcPr>
          <w:p w14:paraId="10893479" w14:textId="77777777" w:rsidR="00750BC3" w:rsidRPr="00045A29" w:rsidRDefault="00750BC3" w:rsidP="00F43E4D">
            <w:pPr>
              <w:pStyle w:val="TableText"/>
            </w:pPr>
            <w:r>
              <w:t>River water</w:t>
            </w:r>
          </w:p>
        </w:tc>
        <w:tc>
          <w:tcPr>
            <w:tcW w:w="992" w:type="dxa"/>
            <w:tcBorders>
              <w:top w:val="single" w:sz="4" w:space="0" w:color="auto"/>
              <w:bottom w:val="nil"/>
            </w:tcBorders>
          </w:tcPr>
          <w:p w14:paraId="7AAEB921" w14:textId="77777777" w:rsidR="00750BC3" w:rsidRDefault="00750BC3" w:rsidP="00F43E4D">
            <w:pPr>
              <w:pStyle w:val="TableText"/>
            </w:pPr>
            <w:r>
              <w:t>11.8</w:t>
            </w:r>
          </w:p>
        </w:tc>
        <w:tc>
          <w:tcPr>
            <w:tcW w:w="1276" w:type="dxa"/>
            <w:tcBorders>
              <w:top w:val="single" w:sz="4" w:space="0" w:color="auto"/>
              <w:bottom w:val="nil"/>
            </w:tcBorders>
          </w:tcPr>
          <w:p w14:paraId="1C012984" w14:textId="77777777" w:rsidR="00750BC3" w:rsidRPr="00045A29" w:rsidRDefault="00750BC3" w:rsidP="00F43E4D">
            <w:pPr>
              <w:pStyle w:val="TableText"/>
            </w:pPr>
            <w:r>
              <w:t>35</w:t>
            </w:r>
          </w:p>
        </w:tc>
        <w:tc>
          <w:tcPr>
            <w:tcW w:w="567" w:type="dxa"/>
            <w:tcBorders>
              <w:top w:val="single" w:sz="4" w:space="0" w:color="auto"/>
              <w:bottom w:val="nil"/>
            </w:tcBorders>
          </w:tcPr>
          <w:p w14:paraId="73A27076" w14:textId="77777777" w:rsidR="00750BC3" w:rsidRPr="00045A29" w:rsidRDefault="00750BC3" w:rsidP="00F43E4D">
            <w:pPr>
              <w:pStyle w:val="TableText"/>
            </w:pPr>
            <w:r>
              <w:t>7.2</w:t>
            </w:r>
          </w:p>
        </w:tc>
        <w:tc>
          <w:tcPr>
            <w:tcW w:w="850" w:type="dxa"/>
            <w:tcBorders>
              <w:top w:val="single" w:sz="4" w:space="0" w:color="auto"/>
              <w:bottom w:val="nil"/>
            </w:tcBorders>
          </w:tcPr>
          <w:p w14:paraId="39C151F5" w14:textId="77777777" w:rsidR="00750BC3" w:rsidRPr="00045A29" w:rsidRDefault="00750BC3" w:rsidP="00F43E4D">
            <w:pPr>
              <w:pStyle w:val="TableText"/>
            </w:pPr>
            <w:r>
              <w:t>2.5</w:t>
            </w:r>
          </w:p>
        </w:tc>
        <w:tc>
          <w:tcPr>
            <w:tcW w:w="1417" w:type="dxa"/>
            <w:tcBorders>
              <w:top w:val="single" w:sz="4" w:space="0" w:color="auto"/>
              <w:bottom w:val="nil"/>
            </w:tcBorders>
          </w:tcPr>
          <w:p w14:paraId="4871FDD8" w14:textId="77777777" w:rsidR="00750BC3" w:rsidRDefault="00750BC3" w:rsidP="00F43E4D">
            <w:pPr>
              <w:pStyle w:val="TableText"/>
            </w:pPr>
            <w:r>
              <w:t>356</w:t>
            </w:r>
          </w:p>
        </w:tc>
        <w:tc>
          <w:tcPr>
            <w:tcW w:w="1273" w:type="dxa"/>
            <w:tcBorders>
              <w:top w:val="single" w:sz="4" w:space="0" w:color="auto"/>
              <w:bottom w:val="nil"/>
            </w:tcBorders>
          </w:tcPr>
          <w:p w14:paraId="7500A0A7" w14:textId="0994F2E5" w:rsidR="00750BC3" w:rsidRDefault="00750BC3" w:rsidP="00750BC3">
            <w:pPr>
              <w:pStyle w:val="TableText"/>
            </w:pPr>
            <w:r w:rsidRPr="00A20FFB">
              <w:t>Cadmus et al. (2018a, b)</w:t>
            </w:r>
          </w:p>
        </w:tc>
      </w:tr>
      <w:tr w:rsidR="00CF62E4" w:rsidRPr="00045A29" w14:paraId="31950DB9" w14:textId="34201689" w:rsidTr="00C14C27">
        <w:trPr>
          <w:cantSplit/>
        </w:trPr>
        <w:tc>
          <w:tcPr>
            <w:tcW w:w="1429" w:type="dxa"/>
            <w:tcBorders>
              <w:top w:val="single" w:sz="4" w:space="0" w:color="auto"/>
              <w:bottom w:val="nil"/>
            </w:tcBorders>
          </w:tcPr>
          <w:p w14:paraId="4943B9C7" w14:textId="62EDEFAD" w:rsidR="00750BC3" w:rsidRDefault="00750BC3" w:rsidP="00CD699A">
            <w:pPr>
              <w:pStyle w:val="TableText"/>
            </w:pPr>
            <w:r>
              <w:t>Insect</w:t>
            </w:r>
            <w:r w:rsidR="00CD699A">
              <w:t xml:space="preserve"> </w:t>
            </w:r>
            <w:r>
              <w:t>(</w:t>
            </w:r>
            <w:r w:rsidRPr="00045A29">
              <w:t>Arthropod</w:t>
            </w:r>
            <w:r>
              <w:t>)</w:t>
            </w:r>
          </w:p>
        </w:tc>
        <w:tc>
          <w:tcPr>
            <w:tcW w:w="1553" w:type="dxa"/>
            <w:tcBorders>
              <w:top w:val="single" w:sz="4" w:space="0" w:color="auto"/>
              <w:bottom w:val="nil"/>
            </w:tcBorders>
          </w:tcPr>
          <w:p w14:paraId="463AD9CA" w14:textId="4489D2BA" w:rsidR="00750BC3" w:rsidRPr="0020267C" w:rsidRDefault="00750BC3" w:rsidP="00F43E4D">
            <w:pPr>
              <w:pStyle w:val="TableText"/>
            </w:pPr>
            <w:r>
              <w:t>Orthocladiinae (sub-family)</w:t>
            </w:r>
          </w:p>
        </w:tc>
        <w:tc>
          <w:tcPr>
            <w:tcW w:w="850" w:type="dxa"/>
            <w:tcBorders>
              <w:top w:val="single" w:sz="4" w:space="0" w:color="auto"/>
              <w:bottom w:val="nil"/>
            </w:tcBorders>
          </w:tcPr>
          <w:p w14:paraId="5AC1F3B2" w14:textId="77777777" w:rsidR="00750BC3" w:rsidRPr="00045A29" w:rsidRDefault="00750BC3" w:rsidP="00F43E4D">
            <w:pPr>
              <w:pStyle w:val="TableText"/>
            </w:pPr>
            <w:r>
              <w:t>Nymph</w:t>
            </w:r>
          </w:p>
        </w:tc>
        <w:tc>
          <w:tcPr>
            <w:tcW w:w="992" w:type="dxa"/>
            <w:tcBorders>
              <w:top w:val="single" w:sz="4" w:space="0" w:color="auto"/>
              <w:bottom w:val="nil"/>
            </w:tcBorders>
          </w:tcPr>
          <w:p w14:paraId="5DAEE148" w14:textId="77777777" w:rsidR="00750BC3" w:rsidRDefault="00750BC3" w:rsidP="00F43E4D">
            <w:pPr>
              <w:pStyle w:val="TableText"/>
            </w:pPr>
            <w:r>
              <w:t>10</w:t>
            </w:r>
          </w:p>
        </w:tc>
        <w:tc>
          <w:tcPr>
            <w:tcW w:w="1559" w:type="dxa"/>
            <w:tcBorders>
              <w:top w:val="single" w:sz="4" w:space="0" w:color="auto"/>
              <w:bottom w:val="nil"/>
            </w:tcBorders>
          </w:tcPr>
          <w:p w14:paraId="02A8574C" w14:textId="5D109AE2" w:rsidR="00750BC3" w:rsidRDefault="00750BC3" w:rsidP="00F43E4D">
            <w:pPr>
              <w:pStyle w:val="TableText"/>
            </w:pPr>
            <w:r>
              <w:t>EC10 (</w:t>
            </w:r>
            <w:r w:rsidR="00846260">
              <w:t>a</w:t>
            </w:r>
            <w:r>
              <w:t>bundance)</w:t>
            </w:r>
          </w:p>
        </w:tc>
        <w:tc>
          <w:tcPr>
            <w:tcW w:w="1276" w:type="dxa"/>
            <w:tcBorders>
              <w:top w:val="single" w:sz="4" w:space="0" w:color="auto"/>
              <w:bottom w:val="nil"/>
            </w:tcBorders>
          </w:tcPr>
          <w:p w14:paraId="0F29BCA7" w14:textId="77777777" w:rsidR="00750BC3" w:rsidRDefault="00750BC3" w:rsidP="00F43E4D">
            <w:pPr>
              <w:pStyle w:val="TableText"/>
            </w:pPr>
            <w:r>
              <w:t>River water</w:t>
            </w:r>
          </w:p>
        </w:tc>
        <w:tc>
          <w:tcPr>
            <w:tcW w:w="992" w:type="dxa"/>
            <w:tcBorders>
              <w:top w:val="single" w:sz="4" w:space="0" w:color="auto"/>
              <w:bottom w:val="nil"/>
            </w:tcBorders>
          </w:tcPr>
          <w:p w14:paraId="4F37156E" w14:textId="77777777" w:rsidR="00750BC3" w:rsidRDefault="00750BC3" w:rsidP="00F43E4D">
            <w:pPr>
              <w:pStyle w:val="TableText"/>
            </w:pPr>
            <w:r>
              <w:t>11.8</w:t>
            </w:r>
          </w:p>
        </w:tc>
        <w:tc>
          <w:tcPr>
            <w:tcW w:w="1276" w:type="dxa"/>
            <w:tcBorders>
              <w:top w:val="single" w:sz="4" w:space="0" w:color="auto"/>
              <w:bottom w:val="nil"/>
            </w:tcBorders>
          </w:tcPr>
          <w:p w14:paraId="0F3E07BD" w14:textId="77777777" w:rsidR="00750BC3" w:rsidRDefault="00750BC3" w:rsidP="00F43E4D">
            <w:pPr>
              <w:pStyle w:val="TableText"/>
            </w:pPr>
            <w:r>
              <w:t>35</w:t>
            </w:r>
          </w:p>
        </w:tc>
        <w:tc>
          <w:tcPr>
            <w:tcW w:w="567" w:type="dxa"/>
            <w:tcBorders>
              <w:top w:val="single" w:sz="4" w:space="0" w:color="auto"/>
              <w:bottom w:val="nil"/>
            </w:tcBorders>
          </w:tcPr>
          <w:p w14:paraId="59BB8AEA" w14:textId="77777777" w:rsidR="00750BC3" w:rsidRDefault="00750BC3" w:rsidP="00F43E4D">
            <w:pPr>
              <w:pStyle w:val="TableText"/>
            </w:pPr>
            <w:r>
              <w:t>7.2</w:t>
            </w:r>
          </w:p>
        </w:tc>
        <w:tc>
          <w:tcPr>
            <w:tcW w:w="850" w:type="dxa"/>
            <w:tcBorders>
              <w:top w:val="single" w:sz="4" w:space="0" w:color="auto"/>
              <w:bottom w:val="nil"/>
            </w:tcBorders>
          </w:tcPr>
          <w:p w14:paraId="0ACD2820" w14:textId="77777777" w:rsidR="00750BC3" w:rsidRDefault="00750BC3" w:rsidP="00F43E4D">
            <w:pPr>
              <w:pStyle w:val="TableText"/>
            </w:pPr>
            <w:r>
              <w:t>2.5</w:t>
            </w:r>
          </w:p>
        </w:tc>
        <w:tc>
          <w:tcPr>
            <w:tcW w:w="1417" w:type="dxa"/>
            <w:tcBorders>
              <w:top w:val="single" w:sz="4" w:space="0" w:color="auto"/>
              <w:bottom w:val="nil"/>
            </w:tcBorders>
          </w:tcPr>
          <w:p w14:paraId="7B89036D" w14:textId="4066BF48" w:rsidR="00750BC3" w:rsidRDefault="00750BC3" w:rsidP="00F43E4D">
            <w:pPr>
              <w:pStyle w:val="TableText"/>
            </w:pPr>
            <w:r>
              <w:t>776</w:t>
            </w:r>
            <w:r>
              <w:rPr>
                <w:vertAlign w:val="superscript"/>
              </w:rPr>
              <w:t>a</w:t>
            </w:r>
          </w:p>
        </w:tc>
        <w:tc>
          <w:tcPr>
            <w:tcW w:w="1273" w:type="dxa"/>
            <w:tcBorders>
              <w:top w:val="single" w:sz="4" w:space="0" w:color="auto"/>
              <w:bottom w:val="nil"/>
            </w:tcBorders>
          </w:tcPr>
          <w:p w14:paraId="4E0D66F3" w14:textId="0085E6C3" w:rsidR="00750BC3" w:rsidRDefault="00750BC3" w:rsidP="00750BC3">
            <w:pPr>
              <w:pStyle w:val="TableText"/>
            </w:pPr>
            <w:r w:rsidRPr="00A20FFB">
              <w:t>Cadmus et al. (2018a, b)</w:t>
            </w:r>
          </w:p>
        </w:tc>
      </w:tr>
      <w:tr w:rsidR="00CF62E4" w:rsidRPr="00045A29" w14:paraId="47AE9949" w14:textId="733368AB" w:rsidTr="00C14C27">
        <w:trPr>
          <w:cantSplit/>
        </w:trPr>
        <w:tc>
          <w:tcPr>
            <w:tcW w:w="1429" w:type="dxa"/>
            <w:tcBorders>
              <w:top w:val="single" w:sz="4" w:space="0" w:color="auto"/>
              <w:bottom w:val="nil"/>
            </w:tcBorders>
          </w:tcPr>
          <w:p w14:paraId="71D0D8D1" w14:textId="090D0CE8" w:rsidR="00750BC3" w:rsidRDefault="00750BC3" w:rsidP="00CD699A">
            <w:pPr>
              <w:pStyle w:val="TableText"/>
            </w:pPr>
            <w:r>
              <w:t>Insect</w:t>
            </w:r>
            <w:r w:rsidR="00CD699A">
              <w:t xml:space="preserve"> </w:t>
            </w:r>
            <w:r>
              <w:t>(</w:t>
            </w:r>
            <w:r w:rsidRPr="00045A29">
              <w:t>Arthropod</w:t>
            </w:r>
            <w:r>
              <w:t>)</w:t>
            </w:r>
          </w:p>
        </w:tc>
        <w:tc>
          <w:tcPr>
            <w:tcW w:w="1553" w:type="dxa"/>
            <w:tcBorders>
              <w:top w:val="single" w:sz="4" w:space="0" w:color="auto"/>
              <w:bottom w:val="nil"/>
            </w:tcBorders>
          </w:tcPr>
          <w:p w14:paraId="741ABAC4" w14:textId="1BAE9FCF" w:rsidR="00750BC3" w:rsidRPr="000A0E1F" w:rsidRDefault="00750BC3" w:rsidP="00F43E4D">
            <w:pPr>
              <w:pStyle w:val="TableText"/>
            </w:pPr>
            <w:r>
              <w:rPr>
                <w:i/>
                <w:iCs/>
              </w:rPr>
              <w:t xml:space="preserve">Prostoia </w:t>
            </w:r>
            <w:r>
              <w:t>spp.</w:t>
            </w:r>
          </w:p>
        </w:tc>
        <w:tc>
          <w:tcPr>
            <w:tcW w:w="850" w:type="dxa"/>
            <w:tcBorders>
              <w:top w:val="single" w:sz="4" w:space="0" w:color="auto"/>
              <w:bottom w:val="nil"/>
            </w:tcBorders>
          </w:tcPr>
          <w:p w14:paraId="407BE02C" w14:textId="77777777" w:rsidR="00750BC3" w:rsidRPr="00045A29" w:rsidRDefault="00750BC3" w:rsidP="00F43E4D">
            <w:pPr>
              <w:pStyle w:val="TableText"/>
            </w:pPr>
            <w:r>
              <w:t>Nymph</w:t>
            </w:r>
          </w:p>
        </w:tc>
        <w:tc>
          <w:tcPr>
            <w:tcW w:w="992" w:type="dxa"/>
            <w:tcBorders>
              <w:top w:val="single" w:sz="4" w:space="0" w:color="auto"/>
              <w:bottom w:val="nil"/>
            </w:tcBorders>
          </w:tcPr>
          <w:p w14:paraId="6B53D245" w14:textId="77777777" w:rsidR="00750BC3" w:rsidRDefault="00750BC3" w:rsidP="00F43E4D">
            <w:pPr>
              <w:pStyle w:val="TableText"/>
            </w:pPr>
            <w:r>
              <w:t>10</w:t>
            </w:r>
          </w:p>
        </w:tc>
        <w:tc>
          <w:tcPr>
            <w:tcW w:w="1559" w:type="dxa"/>
            <w:tcBorders>
              <w:top w:val="single" w:sz="4" w:space="0" w:color="auto"/>
              <w:bottom w:val="nil"/>
            </w:tcBorders>
          </w:tcPr>
          <w:p w14:paraId="3DA08DE3" w14:textId="54B4E79D" w:rsidR="00750BC3" w:rsidRDefault="00750BC3" w:rsidP="00F43E4D">
            <w:pPr>
              <w:pStyle w:val="TableText"/>
            </w:pPr>
            <w:r>
              <w:t>EC10 (</w:t>
            </w:r>
            <w:r w:rsidR="00846260">
              <w:t>a</w:t>
            </w:r>
            <w:r>
              <w:t>bundance)</w:t>
            </w:r>
          </w:p>
        </w:tc>
        <w:tc>
          <w:tcPr>
            <w:tcW w:w="1276" w:type="dxa"/>
            <w:tcBorders>
              <w:top w:val="single" w:sz="4" w:space="0" w:color="auto"/>
              <w:bottom w:val="nil"/>
            </w:tcBorders>
          </w:tcPr>
          <w:p w14:paraId="53700DF0" w14:textId="77777777" w:rsidR="00750BC3" w:rsidRDefault="00750BC3" w:rsidP="00F43E4D">
            <w:pPr>
              <w:pStyle w:val="TableText"/>
            </w:pPr>
            <w:r>
              <w:t>River water</w:t>
            </w:r>
          </w:p>
        </w:tc>
        <w:tc>
          <w:tcPr>
            <w:tcW w:w="992" w:type="dxa"/>
            <w:tcBorders>
              <w:top w:val="single" w:sz="4" w:space="0" w:color="auto"/>
              <w:bottom w:val="nil"/>
            </w:tcBorders>
          </w:tcPr>
          <w:p w14:paraId="0CD38D2D" w14:textId="77777777" w:rsidR="00750BC3" w:rsidRDefault="00750BC3" w:rsidP="00F43E4D">
            <w:pPr>
              <w:pStyle w:val="TableText"/>
            </w:pPr>
            <w:r>
              <w:t>11.8</w:t>
            </w:r>
          </w:p>
        </w:tc>
        <w:tc>
          <w:tcPr>
            <w:tcW w:w="1276" w:type="dxa"/>
            <w:tcBorders>
              <w:top w:val="single" w:sz="4" w:space="0" w:color="auto"/>
              <w:bottom w:val="nil"/>
            </w:tcBorders>
          </w:tcPr>
          <w:p w14:paraId="2ADBBAC9" w14:textId="77777777" w:rsidR="00750BC3" w:rsidRDefault="00750BC3" w:rsidP="00F43E4D">
            <w:pPr>
              <w:pStyle w:val="TableText"/>
            </w:pPr>
            <w:r>
              <w:t>35</w:t>
            </w:r>
          </w:p>
        </w:tc>
        <w:tc>
          <w:tcPr>
            <w:tcW w:w="567" w:type="dxa"/>
            <w:tcBorders>
              <w:top w:val="single" w:sz="4" w:space="0" w:color="auto"/>
              <w:bottom w:val="nil"/>
            </w:tcBorders>
          </w:tcPr>
          <w:p w14:paraId="4A9976C7" w14:textId="77777777" w:rsidR="00750BC3" w:rsidRDefault="00750BC3" w:rsidP="00F43E4D">
            <w:pPr>
              <w:pStyle w:val="TableText"/>
            </w:pPr>
            <w:r>
              <w:t>7.2</w:t>
            </w:r>
          </w:p>
        </w:tc>
        <w:tc>
          <w:tcPr>
            <w:tcW w:w="850" w:type="dxa"/>
            <w:tcBorders>
              <w:top w:val="single" w:sz="4" w:space="0" w:color="auto"/>
              <w:bottom w:val="nil"/>
            </w:tcBorders>
          </w:tcPr>
          <w:p w14:paraId="7C6E8E40" w14:textId="77777777" w:rsidR="00750BC3" w:rsidRDefault="00750BC3" w:rsidP="00F43E4D">
            <w:pPr>
              <w:pStyle w:val="TableText"/>
            </w:pPr>
            <w:r>
              <w:t>2.5</w:t>
            </w:r>
          </w:p>
        </w:tc>
        <w:tc>
          <w:tcPr>
            <w:tcW w:w="1417" w:type="dxa"/>
            <w:tcBorders>
              <w:top w:val="single" w:sz="4" w:space="0" w:color="auto"/>
              <w:bottom w:val="nil"/>
            </w:tcBorders>
          </w:tcPr>
          <w:p w14:paraId="385424E9" w14:textId="3B2648E1" w:rsidR="00750BC3" w:rsidRDefault="00750BC3" w:rsidP="00F43E4D">
            <w:pPr>
              <w:pStyle w:val="TableText"/>
            </w:pPr>
            <w:r>
              <w:t>1</w:t>
            </w:r>
            <w:r w:rsidR="00846260">
              <w:t>,</w:t>
            </w:r>
            <w:r>
              <w:t>176</w:t>
            </w:r>
            <w:r>
              <w:rPr>
                <w:vertAlign w:val="superscript"/>
              </w:rPr>
              <w:t>a</w:t>
            </w:r>
          </w:p>
        </w:tc>
        <w:tc>
          <w:tcPr>
            <w:tcW w:w="1273" w:type="dxa"/>
            <w:tcBorders>
              <w:top w:val="single" w:sz="4" w:space="0" w:color="auto"/>
              <w:bottom w:val="nil"/>
            </w:tcBorders>
          </w:tcPr>
          <w:p w14:paraId="164353A5" w14:textId="1108FE91" w:rsidR="00750BC3" w:rsidRDefault="00750BC3" w:rsidP="00750BC3">
            <w:pPr>
              <w:pStyle w:val="TableText"/>
            </w:pPr>
            <w:r w:rsidRPr="00A20FFB">
              <w:t>Cadmus et al. (2018a, b)</w:t>
            </w:r>
          </w:p>
        </w:tc>
      </w:tr>
      <w:tr w:rsidR="00CF62E4" w:rsidRPr="00045A29" w14:paraId="6E2A2FB6" w14:textId="2FECAD98" w:rsidTr="00C14C27">
        <w:trPr>
          <w:cantSplit/>
        </w:trPr>
        <w:tc>
          <w:tcPr>
            <w:tcW w:w="1429" w:type="dxa"/>
            <w:tcBorders>
              <w:top w:val="single" w:sz="4" w:space="0" w:color="auto"/>
              <w:bottom w:val="nil"/>
            </w:tcBorders>
          </w:tcPr>
          <w:p w14:paraId="4B248C16" w14:textId="6EE72EDD" w:rsidR="00750BC3" w:rsidRDefault="00750BC3" w:rsidP="00CD699A">
            <w:pPr>
              <w:pStyle w:val="TableText"/>
            </w:pPr>
            <w:r>
              <w:t>Insect</w:t>
            </w:r>
            <w:r w:rsidR="00CD699A">
              <w:t xml:space="preserve"> </w:t>
            </w:r>
            <w:r>
              <w:t>(</w:t>
            </w:r>
            <w:r w:rsidRPr="00045A29">
              <w:t>Arthropod</w:t>
            </w:r>
            <w:r>
              <w:t>)</w:t>
            </w:r>
          </w:p>
        </w:tc>
        <w:tc>
          <w:tcPr>
            <w:tcW w:w="1553" w:type="dxa"/>
            <w:tcBorders>
              <w:top w:val="single" w:sz="4" w:space="0" w:color="auto"/>
              <w:bottom w:val="nil"/>
            </w:tcBorders>
          </w:tcPr>
          <w:p w14:paraId="541EFA1D" w14:textId="188B7A08" w:rsidR="00750BC3" w:rsidRDefault="00750BC3" w:rsidP="00F43E4D">
            <w:pPr>
              <w:pStyle w:val="TableText"/>
              <w:rPr>
                <w:i/>
                <w:iCs/>
              </w:rPr>
            </w:pPr>
            <w:r>
              <w:rPr>
                <w:i/>
                <w:iCs/>
              </w:rPr>
              <w:t xml:space="preserve">Rhithrogena </w:t>
            </w:r>
            <w:r>
              <w:t>spp.</w:t>
            </w:r>
          </w:p>
        </w:tc>
        <w:tc>
          <w:tcPr>
            <w:tcW w:w="850" w:type="dxa"/>
            <w:tcBorders>
              <w:top w:val="single" w:sz="4" w:space="0" w:color="auto"/>
              <w:bottom w:val="nil"/>
            </w:tcBorders>
          </w:tcPr>
          <w:p w14:paraId="436E075F" w14:textId="77777777" w:rsidR="00750BC3" w:rsidRPr="00045A29" w:rsidRDefault="00750BC3" w:rsidP="00F43E4D">
            <w:pPr>
              <w:pStyle w:val="TableText"/>
            </w:pPr>
            <w:r>
              <w:t>Nymph</w:t>
            </w:r>
          </w:p>
        </w:tc>
        <w:tc>
          <w:tcPr>
            <w:tcW w:w="992" w:type="dxa"/>
            <w:tcBorders>
              <w:top w:val="single" w:sz="4" w:space="0" w:color="auto"/>
              <w:bottom w:val="nil"/>
            </w:tcBorders>
          </w:tcPr>
          <w:p w14:paraId="6F1DA35F" w14:textId="77777777" w:rsidR="00750BC3" w:rsidRDefault="00750BC3" w:rsidP="00F43E4D">
            <w:pPr>
              <w:pStyle w:val="TableText"/>
            </w:pPr>
            <w:r>
              <w:t>10</w:t>
            </w:r>
          </w:p>
        </w:tc>
        <w:tc>
          <w:tcPr>
            <w:tcW w:w="1559" w:type="dxa"/>
            <w:tcBorders>
              <w:top w:val="single" w:sz="4" w:space="0" w:color="auto"/>
              <w:bottom w:val="nil"/>
            </w:tcBorders>
          </w:tcPr>
          <w:p w14:paraId="39CAD9A9" w14:textId="35FDB9D0" w:rsidR="00750BC3" w:rsidRDefault="00750BC3" w:rsidP="00F43E4D">
            <w:pPr>
              <w:pStyle w:val="TableText"/>
            </w:pPr>
            <w:r>
              <w:t>EC10 (</w:t>
            </w:r>
            <w:r w:rsidR="00846260">
              <w:t>a</w:t>
            </w:r>
            <w:r>
              <w:t>bundance)</w:t>
            </w:r>
          </w:p>
        </w:tc>
        <w:tc>
          <w:tcPr>
            <w:tcW w:w="1276" w:type="dxa"/>
            <w:tcBorders>
              <w:top w:val="single" w:sz="4" w:space="0" w:color="auto"/>
              <w:bottom w:val="nil"/>
            </w:tcBorders>
          </w:tcPr>
          <w:p w14:paraId="360D07B4" w14:textId="77777777" w:rsidR="00750BC3" w:rsidRDefault="00750BC3" w:rsidP="00F43E4D">
            <w:pPr>
              <w:pStyle w:val="TableText"/>
            </w:pPr>
            <w:r>
              <w:t>River water</w:t>
            </w:r>
          </w:p>
        </w:tc>
        <w:tc>
          <w:tcPr>
            <w:tcW w:w="992" w:type="dxa"/>
            <w:tcBorders>
              <w:top w:val="single" w:sz="4" w:space="0" w:color="auto"/>
              <w:bottom w:val="nil"/>
            </w:tcBorders>
          </w:tcPr>
          <w:p w14:paraId="2CED6008" w14:textId="77777777" w:rsidR="00750BC3" w:rsidRDefault="00750BC3" w:rsidP="00F43E4D">
            <w:pPr>
              <w:pStyle w:val="TableText"/>
            </w:pPr>
            <w:r>
              <w:t>11.8</w:t>
            </w:r>
          </w:p>
        </w:tc>
        <w:tc>
          <w:tcPr>
            <w:tcW w:w="1276" w:type="dxa"/>
            <w:tcBorders>
              <w:top w:val="single" w:sz="4" w:space="0" w:color="auto"/>
              <w:bottom w:val="nil"/>
            </w:tcBorders>
          </w:tcPr>
          <w:p w14:paraId="2989CC01" w14:textId="77777777" w:rsidR="00750BC3" w:rsidRDefault="00750BC3" w:rsidP="00F43E4D">
            <w:pPr>
              <w:pStyle w:val="TableText"/>
            </w:pPr>
            <w:r>
              <w:t>35</w:t>
            </w:r>
          </w:p>
        </w:tc>
        <w:tc>
          <w:tcPr>
            <w:tcW w:w="567" w:type="dxa"/>
            <w:tcBorders>
              <w:top w:val="single" w:sz="4" w:space="0" w:color="auto"/>
              <w:bottom w:val="nil"/>
            </w:tcBorders>
          </w:tcPr>
          <w:p w14:paraId="26640593" w14:textId="77777777" w:rsidR="00750BC3" w:rsidRDefault="00750BC3" w:rsidP="00F43E4D">
            <w:pPr>
              <w:pStyle w:val="TableText"/>
            </w:pPr>
            <w:r>
              <w:t>7.2</w:t>
            </w:r>
          </w:p>
        </w:tc>
        <w:tc>
          <w:tcPr>
            <w:tcW w:w="850" w:type="dxa"/>
            <w:tcBorders>
              <w:top w:val="single" w:sz="4" w:space="0" w:color="auto"/>
              <w:bottom w:val="nil"/>
            </w:tcBorders>
          </w:tcPr>
          <w:p w14:paraId="6636AF9E" w14:textId="77777777" w:rsidR="00750BC3" w:rsidRDefault="00750BC3" w:rsidP="00F43E4D">
            <w:pPr>
              <w:pStyle w:val="TableText"/>
            </w:pPr>
            <w:r>
              <w:t>2.5</w:t>
            </w:r>
          </w:p>
        </w:tc>
        <w:tc>
          <w:tcPr>
            <w:tcW w:w="1417" w:type="dxa"/>
            <w:tcBorders>
              <w:top w:val="single" w:sz="4" w:space="0" w:color="auto"/>
              <w:bottom w:val="nil"/>
            </w:tcBorders>
          </w:tcPr>
          <w:p w14:paraId="5AFC2AB8" w14:textId="61CE3F32" w:rsidR="00750BC3" w:rsidRDefault="00750BC3" w:rsidP="00F43E4D">
            <w:pPr>
              <w:pStyle w:val="TableText"/>
            </w:pPr>
            <w:r>
              <w:t>&gt;</w:t>
            </w:r>
            <w:r w:rsidR="00846260">
              <w:t> </w:t>
            </w:r>
            <w:r>
              <w:t>14</w:t>
            </w:r>
            <w:r w:rsidR="00846260">
              <w:t>,</w:t>
            </w:r>
            <w:r>
              <w:t>073</w:t>
            </w:r>
            <w:r>
              <w:rPr>
                <w:vertAlign w:val="superscript"/>
              </w:rPr>
              <w:t>a</w:t>
            </w:r>
          </w:p>
        </w:tc>
        <w:tc>
          <w:tcPr>
            <w:tcW w:w="1273" w:type="dxa"/>
            <w:tcBorders>
              <w:top w:val="single" w:sz="4" w:space="0" w:color="auto"/>
              <w:bottom w:val="nil"/>
            </w:tcBorders>
          </w:tcPr>
          <w:p w14:paraId="25CC7317" w14:textId="19A1D0B7" w:rsidR="00750BC3" w:rsidRDefault="00750BC3" w:rsidP="00750BC3">
            <w:pPr>
              <w:pStyle w:val="TableText"/>
            </w:pPr>
            <w:r w:rsidRPr="00A20FFB">
              <w:t>Cadmus et al. (2018a, b)</w:t>
            </w:r>
          </w:p>
        </w:tc>
      </w:tr>
      <w:tr w:rsidR="00CF62E4" w:rsidRPr="00045A29" w14:paraId="1A1BA0FF" w14:textId="2F680F26" w:rsidTr="00C14C27">
        <w:trPr>
          <w:cantSplit/>
        </w:trPr>
        <w:tc>
          <w:tcPr>
            <w:tcW w:w="1429" w:type="dxa"/>
            <w:tcBorders>
              <w:top w:val="single" w:sz="4" w:space="0" w:color="auto"/>
              <w:bottom w:val="nil"/>
            </w:tcBorders>
          </w:tcPr>
          <w:p w14:paraId="28426763" w14:textId="26CDE497" w:rsidR="00750BC3" w:rsidRDefault="00750BC3" w:rsidP="00CD699A">
            <w:pPr>
              <w:pStyle w:val="TableText"/>
            </w:pPr>
            <w:r>
              <w:t>Insect</w:t>
            </w:r>
            <w:r w:rsidR="00CD699A">
              <w:t xml:space="preserve"> </w:t>
            </w:r>
            <w:r>
              <w:t>(</w:t>
            </w:r>
            <w:r w:rsidRPr="00045A29">
              <w:t>Arthropod</w:t>
            </w:r>
            <w:r>
              <w:t>)</w:t>
            </w:r>
          </w:p>
        </w:tc>
        <w:tc>
          <w:tcPr>
            <w:tcW w:w="1553" w:type="dxa"/>
            <w:tcBorders>
              <w:top w:val="single" w:sz="4" w:space="0" w:color="auto"/>
              <w:bottom w:val="nil"/>
            </w:tcBorders>
          </w:tcPr>
          <w:p w14:paraId="16850F6B" w14:textId="75B13117" w:rsidR="00750BC3" w:rsidRDefault="00750BC3" w:rsidP="00F43E4D">
            <w:pPr>
              <w:pStyle w:val="TableText"/>
              <w:rPr>
                <w:i/>
                <w:iCs/>
              </w:rPr>
            </w:pPr>
            <w:r>
              <w:rPr>
                <w:i/>
                <w:iCs/>
              </w:rPr>
              <w:t xml:space="preserve">Sweltsa </w:t>
            </w:r>
            <w:r>
              <w:t>spp.</w:t>
            </w:r>
          </w:p>
        </w:tc>
        <w:tc>
          <w:tcPr>
            <w:tcW w:w="850" w:type="dxa"/>
            <w:tcBorders>
              <w:top w:val="single" w:sz="4" w:space="0" w:color="auto"/>
              <w:bottom w:val="nil"/>
            </w:tcBorders>
          </w:tcPr>
          <w:p w14:paraId="09AD362B" w14:textId="77777777" w:rsidR="00750BC3" w:rsidRPr="00045A29" w:rsidRDefault="00750BC3" w:rsidP="00F43E4D">
            <w:pPr>
              <w:pStyle w:val="TableText"/>
            </w:pPr>
            <w:r>
              <w:t>Nymph</w:t>
            </w:r>
          </w:p>
        </w:tc>
        <w:tc>
          <w:tcPr>
            <w:tcW w:w="992" w:type="dxa"/>
            <w:tcBorders>
              <w:top w:val="single" w:sz="4" w:space="0" w:color="auto"/>
              <w:bottom w:val="nil"/>
            </w:tcBorders>
          </w:tcPr>
          <w:p w14:paraId="5503CF3C" w14:textId="77777777" w:rsidR="00750BC3" w:rsidRDefault="00750BC3" w:rsidP="00F43E4D">
            <w:pPr>
              <w:pStyle w:val="TableText"/>
            </w:pPr>
            <w:r>
              <w:t>10</w:t>
            </w:r>
          </w:p>
        </w:tc>
        <w:tc>
          <w:tcPr>
            <w:tcW w:w="1559" w:type="dxa"/>
            <w:tcBorders>
              <w:top w:val="single" w:sz="4" w:space="0" w:color="auto"/>
              <w:bottom w:val="nil"/>
            </w:tcBorders>
          </w:tcPr>
          <w:p w14:paraId="320832CB" w14:textId="43C74567" w:rsidR="00750BC3" w:rsidRDefault="00750BC3" w:rsidP="00F43E4D">
            <w:pPr>
              <w:pStyle w:val="TableText"/>
            </w:pPr>
            <w:r>
              <w:t>EC10 (</w:t>
            </w:r>
            <w:r w:rsidR="00846260">
              <w:t>a</w:t>
            </w:r>
            <w:r>
              <w:t>bundance)</w:t>
            </w:r>
          </w:p>
        </w:tc>
        <w:tc>
          <w:tcPr>
            <w:tcW w:w="1276" w:type="dxa"/>
            <w:tcBorders>
              <w:top w:val="single" w:sz="4" w:space="0" w:color="auto"/>
              <w:bottom w:val="nil"/>
            </w:tcBorders>
          </w:tcPr>
          <w:p w14:paraId="7F9153EF" w14:textId="77777777" w:rsidR="00750BC3" w:rsidRDefault="00750BC3" w:rsidP="00F43E4D">
            <w:pPr>
              <w:pStyle w:val="TableText"/>
            </w:pPr>
            <w:r>
              <w:t>River water</w:t>
            </w:r>
          </w:p>
        </w:tc>
        <w:tc>
          <w:tcPr>
            <w:tcW w:w="992" w:type="dxa"/>
            <w:tcBorders>
              <w:top w:val="single" w:sz="4" w:space="0" w:color="auto"/>
              <w:bottom w:val="nil"/>
            </w:tcBorders>
          </w:tcPr>
          <w:p w14:paraId="054DEEE4" w14:textId="77777777" w:rsidR="00750BC3" w:rsidRDefault="00750BC3" w:rsidP="00F43E4D">
            <w:pPr>
              <w:pStyle w:val="TableText"/>
            </w:pPr>
            <w:r>
              <w:t>11.8</w:t>
            </w:r>
          </w:p>
        </w:tc>
        <w:tc>
          <w:tcPr>
            <w:tcW w:w="1276" w:type="dxa"/>
            <w:tcBorders>
              <w:top w:val="single" w:sz="4" w:space="0" w:color="auto"/>
              <w:bottom w:val="nil"/>
            </w:tcBorders>
          </w:tcPr>
          <w:p w14:paraId="19D24612" w14:textId="77777777" w:rsidR="00750BC3" w:rsidRDefault="00750BC3" w:rsidP="00F43E4D">
            <w:pPr>
              <w:pStyle w:val="TableText"/>
            </w:pPr>
            <w:r>
              <w:t>35</w:t>
            </w:r>
          </w:p>
        </w:tc>
        <w:tc>
          <w:tcPr>
            <w:tcW w:w="567" w:type="dxa"/>
            <w:tcBorders>
              <w:top w:val="single" w:sz="4" w:space="0" w:color="auto"/>
              <w:bottom w:val="nil"/>
            </w:tcBorders>
          </w:tcPr>
          <w:p w14:paraId="32D6DE95" w14:textId="77777777" w:rsidR="00750BC3" w:rsidRDefault="00750BC3" w:rsidP="00F43E4D">
            <w:pPr>
              <w:pStyle w:val="TableText"/>
            </w:pPr>
            <w:r>
              <w:t>7.2</w:t>
            </w:r>
          </w:p>
        </w:tc>
        <w:tc>
          <w:tcPr>
            <w:tcW w:w="850" w:type="dxa"/>
            <w:tcBorders>
              <w:top w:val="single" w:sz="4" w:space="0" w:color="auto"/>
              <w:bottom w:val="nil"/>
            </w:tcBorders>
          </w:tcPr>
          <w:p w14:paraId="7825BCE3" w14:textId="77777777" w:rsidR="00750BC3" w:rsidRDefault="00750BC3" w:rsidP="00F43E4D">
            <w:pPr>
              <w:pStyle w:val="TableText"/>
            </w:pPr>
            <w:r>
              <w:t>2.5</w:t>
            </w:r>
          </w:p>
        </w:tc>
        <w:tc>
          <w:tcPr>
            <w:tcW w:w="1417" w:type="dxa"/>
            <w:tcBorders>
              <w:top w:val="single" w:sz="4" w:space="0" w:color="auto"/>
              <w:bottom w:val="nil"/>
            </w:tcBorders>
          </w:tcPr>
          <w:p w14:paraId="5ACC4A99" w14:textId="4EBE645F" w:rsidR="00750BC3" w:rsidRDefault="00750BC3" w:rsidP="00F43E4D">
            <w:pPr>
              <w:pStyle w:val="TableText"/>
            </w:pPr>
            <w:r>
              <w:t>&gt;</w:t>
            </w:r>
            <w:r w:rsidR="00846260">
              <w:t> </w:t>
            </w:r>
            <w:r>
              <w:t>14</w:t>
            </w:r>
            <w:r w:rsidR="00846260">
              <w:t>,</w:t>
            </w:r>
            <w:r>
              <w:t>073</w:t>
            </w:r>
            <w:r>
              <w:rPr>
                <w:vertAlign w:val="superscript"/>
              </w:rPr>
              <w:t>a</w:t>
            </w:r>
          </w:p>
        </w:tc>
        <w:tc>
          <w:tcPr>
            <w:tcW w:w="1273" w:type="dxa"/>
            <w:tcBorders>
              <w:top w:val="single" w:sz="4" w:space="0" w:color="auto"/>
              <w:bottom w:val="nil"/>
            </w:tcBorders>
          </w:tcPr>
          <w:p w14:paraId="4619FDD2" w14:textId="375804F2" w:rsidR="00750BC3" w:rsidRDefault="00750BC3" w:rsidP="00750BC3">
            <w:pPr>
              <w:pStyle w:val="TableText"/>
            </w:pPr>
            <w:r w:rsidRPr="00A20FFB">
              <w:t>Cadmus et al. (2018a, b)</w:t>
            </w:r>
          </w:p>
        </w:tc>
      </w:tr>
      <w:tr w:rsidR="00CF62E4" w:rsidRPr="00045A29" w14:paraId="2E7B0257" w14:textId="6E2B3309" w:rsidTr="00C14C27">
        <w:trPr>
          <w:cantSplit/>
        </w:trPr>
        <w:tc>
          <w:tcPr>
            <w:tcW w:w="1429" w:type="dxa"/>
            <w:tcBorders>
              <w:top w:val="single" w:sz="4" w:space="0" w:color="auto"/>
              <w:bottom w:val="single" w:sz="4" w:space="0" w:color="auto"/>
            </w:tcBorders>
          </w:tcPr>
          <w:p w14:paraId="26C7CF91" w14:textId="500CDA43" w:rsidR="00750BC3" w:rsidRDefault="00750BC3" w:rsidP="009B681A">
            <w:pPr>
              <w:pStyle w:val="TableText"/>
            </w:pPr>
            <w:r>
              <w:t>Insect</w:t>
            </w:r>
            <w:r w:rsidR="009B681A">
              <w:t xml:space="preserve"> </w:t>
            </w:r>
            <w:r>
              <w:t>(</w:t>
            </w:r>
            <w:r w:rsidRPr="00045A29">
              <w:t>Arthropod</w:t>
            </w:r>
            <w:r>
              <w:t>)</w:t>
            </w:r>
          </w:p>
        </w:tc>
        <w:tc>
          <w:tcPr>
            <w:tcW w:w="1553" w:type="dxa"/>
            <w:tcBorders>
              <w:top w:val="single" w:sz="4" w:space="0" w:color="auto"/>
              <w:bottom w:val="single" w:sz="4" w:space="0" w:color="auto"/>
            </w:tcBorders>
          </w:tcPr>
          <w:p w14:paraId="5A72B1B6" w14:textId="63FDA435" w:rsidR="00750BC3" w:rsidRPr="000223A8" w:rsidRDefault="00750BC3" w:rsidP="00F43E4D">
            <w:pPr>
              <w:pStyle w:val="TableText"/>
            </w:pPr>
            <w:r>
              <w:rPr>
                <w:i/>
                <w:iCs/>
              </w:rPr>
              <w:t xml:space="preserve">Taenionema </w:t>
            </w:r>
            <w:r>
              <w:t>spp.</w:t>
            </w:r>
          </w:p>
        </w:tc>
        <w:tc>
          <w:tcPr>
            <w:tcW w:w="850" w:type="dxa"/>
            <w:tcBorders>
              <w:top w:val="single" w:sz="4" w:space="0" w:color="auto"/>
              <w:bottom w:val="single" w:sz="4" w:space="0" w:color="auto"/>
            </w:tcBorders>
          </w:tcPr>
          <w:p w14:paraId="7D186A41" w14:textId="77777777" w:rsidR="00750BC3" w:rsidRPr="00045A29" w:rsidRDefault="00750BC3" w:rsidP="00F43E4D">
            <w:pPr>
              <w:pStyle w:val="TableText"/>
            </w:pPr>
            <w:r>
              <w:t>Nymph</w:t>
            </w:r>
          </w:p>
        </w:tc>
        <w:tc>
          <w:tcPr>
            <w:tcW w:w="992" w:type="dxa"/>
            <w:tcBorders>
              <w:top w:val="single" w:sz="4" w:space="0" w:color="auto"/>
              <w:bottom w:val="single" w:sz="4" w:space="0" w:color="auto"/>
            </w:tcBorders>
          </w:tcPr>
          <w:p w14:paraId="2CB14955" w14:textId="77777777" w:rsidR="00750BC3" w:rsidRDefault="00750BC3" w:rsidP="00F43E4D">
            <w:pPr>
              <w:pStyle w:val="TableText"/>
            </w:pPr>
            <w:r>
              <w:t>10</w:t>
            </w:r>
          </w:p>
        </w:tc>
        <w:tc>
          <w:tcPr>
            <w:tcW w:w="1559" w:type="dxa"/>
            <w:tcBorders>
              <w:top w:val="single" w:sz="4" w:space="0" w:color="auto"/>
              <w:bottom w:val="single" w:sz="4" w:space="0" w:color="auto"/>
            </w:tcBorders>
          </w:tcPr>
          <w:p w14:paraId="2FFA7D16" w14:textId="181E1F79" w:rsidR="00750BC3" w:rsidRDefault="00750BC3" w:rsidP="00F43E4D">
            <w:pPr>
              <w:pStyle w:val="TableText"/>
            </w:pPr>
            <w:r>
              <w:t>EC10 (</w:t>
            </w:r>
            <w:r w:rsidR="009B681A">
              <w:t>a</w:t>
            </w:r>
            <w:r>
              <w:t>bundance)</w:t>
            </w:r>
          </w:p>
        </w:tc>
        <w:tc>
          <w:tcPr>
            <w:tcW w:w="1276" w:type="dxa"/>
            <w:tcBorders>
              <w:top w:val="single" w:sz="4" w:space="0" w:color="auto"/>
              <w:bottom w:val="single" w:sz="4" w:space="0" w:color="auto"/>
            </w:tcBorders>
          </w:tcPr>
          <w:p w14:paraId="379D8C6F" w14:textId="77777777" w:rsidR="00750BC3" w:rsidRDefault="00750BC3" w:rsidP="00F43E4D">
            <w:pPr>
              <w:pStyle w:val="TableText"/>
            </w:pPr>
            <w:r>
              <w:t>River water</w:t>
            </w:r>
          </w:p>
        </w:tc>
        <w:tc>
          <w:tcPr>
            <w:tcW w:w="992" w:type="dxa"/>
            <w:tcBorders>
              <w:top w:val="single" w:sz="4" w:space="0" w:color="auto"/>
              <w:bottom w:val="single" w:sz="4" w:space="0" w:color="auto"/>
            </w:tcBorders>
          </w:tcPr>
          <w:p w14:paraId="32215731" w14:textId="77777777" w:rsidR="00750BC3" w:rsidRDefault="00750BC3" w:rsidP="00F43E4D">
            <w:pPr>
              <w:pStyle w:val="TableText"/>
            </w:pPr>
            <w:r>
              <w:t>11.8</w:t>
            </w:r>
          </w:p>
        </w:tc>
        <w:tc>
          <w:tcPr>
            <w:tcW w:w="1276" w:type="dxa"/>
            <w:tcBorders>
              <w:top w:val="single" w:sz="4" w:space="0" w:color="auto"/>
              <w:bottom w:val="single" w:sz="4" w:space="0" w:color="auto"/>
            </w:tcBorders>
          </w:tcPr>
          <w:p w14:paraId="441AB69C" w14:textId="77777777" w:rsidR="00750BC3" w:rsidRDefault="00750BC3" w:rsidP="00F43E4D">
            <w:pPr>
              <w:pStyle w:val="TableText"/>
            </w:pPr>
            <w:r>
              <w:t>35</w:t>
            </w:r>
          </w:p>
        </w:tc>
        <w:tc>
          <w:tcPr>
            <w:tcW w:w="567" w:type="dxa"/>
            <w:tcBorders>
              <w:top w:val="single" w:sz="4" w:space="0" w:color="auto"/>
              <w:bottom w:val="single" w:sz="4" w:space="0" w:color="auto"/>
            </w:tcBorders>
          </w:tcPr>
          <w:p w14:paraId="4FDC6745" w14:textId="77777777" w:rsidR="00750BC3" w:rsidRDefault="00750BC3" w:rsidP="00F43E4D">
            <w:pPr>
              <w:pStyle w:val="TableText"/>
            </w:pPr>
            <w:r>
              <w:t>7.2</w:t>
            </w:r>
          </w:p>
        </w:tc>
        <w:tc>
          <w:tcPr>
            <w:tcW w:w="850" w:type="dxa"/>
            <w:tcBorders>
              <w:top w:val="single" w:sz="4" w:space="0" w:color="auto"/>
              <w:bottom w:val="single" w:sz="4" w:space="0" w:color="auto"/>
            </w:tcBorders>
          </w:tcPr>
          <w:p w14:paraId="5572B1C9" w14:textId="77777777" w:rsidR="00750BC3" w:rsidRDefault="00750BC3" w:rsidP="00F43E4D">
            <w:pPr>
              <w:pStyle w:val="TableText"/>
            </w:pPr>
            <w:r>
              <w:t>2.5</w:t>
            </w:r>
          </w:p>
        </w:tc>
        <w:tc>
          <w:tcPr>
            <w:tcW w:w="1417" w:type="dxa"/>
            <w:tcBorders>
              <w:top w:val="single" w:sz="4" w:space="0" w:color="auto"/>
              <w:bottom w:val="single" w:sz="4" w:space="0" w:color="auto"/>
            </w:tcBorders>
          </w:tcPr>
          <w:p w14:paraId="2C1B3F31" w14:textId="56AA2458" w:rsidR="00750BC3" w:rsidRDefault="00750BC3" w:rsidP="00F43E4D">
            <w:pPr>
              <w:pStyle w:val="TableText"/>
            </w:pPr>
            <w:r>
              <w:t>1</w:t>
            </w:r>
            <w:r w:rsidR="00846260">
              <w:t>,</w:t>
            </w:r>
            <w:r>
              <w:t>626</w:t>
            </w:r>
            <w:r>
              <w:rPr>
                <w:vertAlign w:val="superscript"/>
              </w:rPr>
              <w:t>a</w:t>
            </w:r>
          </w:p>
        </w:tc>
        <w:tc>
          <w:tcPr>
            <w:tcW w:w="1273" w:type="dxa"/>
            <w:tcBorders>
              <w:top w:val="single" w:sz="4" w:space="0" w:color="auto"/>
              <w:bottom w:val="single" w:sz="4" w:space="0" w:color="auto"/>
            </w:tcBorders>
          </w:tcPr>
          <w:p w14:paraId="0A51C0A2" w14:textId="2D70580D" w:rsidR="00750BC3" w:rsidRDefault="00750BC3" w:rsidP="00750BC3">
            <w:pPr>
              <w:pStyle w:val="TableText"/>
            </w:pPr>
            <w:r w:rsidRPr="00A20FFB">
              <w:t>Cadmus et al. (2018a, b)</w:t>
            </w:r>
          </w:p>
        </w:tc>
      </w:tr>
      <w:tr w:rsidR="00CF62E4" w:rsidRPr="00045A29" w14:paraId="67BD0595" w14:textId="7D57AA97" w:rsidTr="00C14C27">
        <w:trPr>
          <w:cantSplit/>
        </w:trPr>
        <w:tc>
          <w:tcPr>
            <w:tcW w:w="1429" w:type="dxa"/>
            <w:tcBorders>
              <w:top w:val="single" w:sz="4" w:space="0" w:color="auto"/>
              <w:bottom w:val="single" w:sz="4" w:space="0" w:color="auto"/>
            </w:tcBorders>
          </w:tcPr>
          <w:p w14:paraId="1BF6EA30" w14:textId="4E793E02" w:rsidR="00750BC3" w:rsidRDefault="00750BC3" w:rsidP="009B681A">
            <w:pPr>
              <w:pStyle w:val="TableText"/>
            </w:pPr>
            <w:r>
              <w:lastRenderedPageBreak/>
              <w:t>Insect</w:t>
            </w:r>
            <w:r w:rsidR="009B681A">
              <w:t xml:space="preserve"> </w:t>
            </w:r>
            <w:r>
              <w:t>(</w:t>
            </w:r>
            <w:r w:rsidRPr="00045A29">
              <w:t>Arthropod</w:t>
            </w:r>
            <w:r>
              <w:t>)</w:t>
            </w:r>
          </w:p>
        </w:tc>
        <w:tc>
          <w:tcPr>
            <w:tcW w:w="1553" w:type="dxa"/>
            <w:tcBorders>
              <w:top w:val="single" w:sz="4" w:space="0" w:color="auto"/>
              <w:bottom w:val="single" w:sz="4" w:space="0" w:color="auto"/>
            </w:tcBorders>
          </w:tcPr>
          <w:p w14:paraId="6A82F5BF" w14:textId="0A6F91CE" w:rsidR="00750BC3" w:rsidRPr="00845FD5" w:rsidRDefault="00750BC3" w:rsidP="00F43E4D">
            <w:pPr>
              <w:pStyle w:val="TableText"/>
              <w:rPr>
                <w:rStyle w:val="Emphasis"/>
                <w:iCs w:val="0"/>
              </w:rPr>
            </w:pPr>
            <w:r w:rsidRPr="000A0E1F">
              <w:t>Tanytarsini</w:t>
            </w:r>
            <w:r w:rsidRPr="00845FD5">
              <w:t xml:space="preserve"> </w:t>
            </w:r>
            <w:r>
              <w:t>(tribe)</w:t>
            </w:r>
          </w:p>
        </w:tc>
        <w:tc>
          <w:tcPr>
            <w:tcW w:w="850" w:type="dxa"/>
            <w:tcBorders>
              <w:top w:val="single" w:sz="4" w:space="0" w:color="auto"/>
              <w:bottom w:val="single" w:sz="4" w:space="0" w:color="auto"/>
            </w:tcBorders>
          </w:tcPr>
          <w:p w14:paraId="3D1AA293" w14:textId="77777777" w:rsidR="00750BC3" w:rsidRPr="00045A29" w:rsidRDefault="00750BC3" w:rsidP="00F43E4D">
            <w:pPr>
              <w:pStyle w:val="TableText"/>
            </w:pPr>
            <w:r>
              <w:t>Nymph</w:t>
            </w:r>
          </w:p>
        </w:tc>
        <w:tc>
          <w:tcPr>
            <w:tcW w:w="992" w:type="dxa"/>
            <w:tcBorders>
              <w:top w:val="single" w:sz="4" w:space="0" w:color="auto"/>
              <w:bottom w:val="single" w:sz="4" w:space="0" w:color="auto"/>
            </w:tcBorders>
          </w:tcPr>
          <w:p w14:paraId="41DBBF23" w14:textId="77777777" w:rsidR="00750BC3" w:rsidRPr="00045A29" w:rsidRDefault="00750BC3" w:rsidP="00F43E4D">
            <w:pPr>
              <w:pStyle w:val="TableText"/>
            </w:pPr>
            <w:r>
              <w:t>10</w:t>
            </w:r>
          </w:p>
        </w:tc>
        <w:tc>
          <w:tcPr>
            <w:tcW w:w="1559" w:type="dxa"/>
            <w:tcBorders>
              <w:top w:val="single" w:sz="4" w:space="0" w:color="auto"/>
              <w:bottom w:val="single" w:sz="4" w:space="0" w:color="auto"/>
            </w:tcBorders>
          </w:tcPr>
          <w:p w14:paraId="1426D8DF" w14:textId="1C4CADFE" w:rsidR="00750BC3" w:rsidRPr="00045A29" w:rsidRDefault="00750BC3" w:rsidP="00F43E4D">
            <w:pPr>
              <w:pStyle w:val="TableText"/>
            </w:pPr>
            <w:r>
              <w:t>EC20 (</w:t>
            </w:r>
            <w:r w:rsidR="009B681A">
              <w:t>a</w:t>
            </w:r>
            <w:r>
              <w:t>bundance)</w:t>
            </w:r>
          </w:p>
        </w:tc>
        <w:tc>
          <w:tcPr>
            <w:tcW w:w="1276" w:type="dxa"/>
            <w:tcBorders>
              <w:top w:val="single" w:sz="4" w:space="0" w:color="auto"/>
              <w:bottom w:val="single" w:sz="4" w:space="0" w:color="auto"/>
            </w:tcBorders>
          </w:tcPr>
          <w:p w14:paraId="315A9E5B" w14:textId="77777777" w:rsidR="00750BC3" w:rsidRPr="00045A29" w:rsidRDefault="00750BC3" w:rsidP="00F43E4D">
            <w:pPr>
              <w:pStyle w:val="TableText"/>
            </w:pPr>
            <w:r>
              <w:t>River water</w:t>
            </w:r>
          </w:p>
        </w:tc>
        <w:tc>
          <w:tcPr>
            <w:tcW w:w="992" w:type="dxa"/>
            <w:tcBorders>
              <w:top w:val="single" w:sz="4" w:space="0" w:color="auto"/>
              <w:bottom w:val="single" w:sz="4" w:space="0" w:color="auto"/>
            </w:tcBorders>
          </w:tcPr>
          <w:p w14:paraId="7C79DD80" w14:textId="77777777" w:rsidR="00750BC3" w:rsidRDefault="00750BC3" w:rsidP="00F43E4D">
            <w:pPr>
              <w:pStyle w:val="TableText"/>
            </w:pPr>
            <w:r>
              <w:t>11.8</w:t>
            </w:r>
          </w:p>
        </w:tc>
        <w:tc>
          <w:tcPr>
            <w:tcW w:w="1276" w:type="dxa"/>
            <w:tcBorders>
              <w:top w:val="single" w:sz="4" w:space="0" w:color="auto"/>
              <w:bottom w:val="single" w:sz="4" w:space="0" w:color="auto"/>
            </w:tcBorders>
          </w:tcPr>
          <w:p w14:paraId="6A336C89" w14:textId="77777777" w:rsidR="00750BC3" w:rsidRPr="00045A29" w:rsidRDefault="00750BC3" w:rsidP="00F43E4D">
            <w:pPr>
              <w:pStyle w:val="TableText"/>
            </w:pPr>
            <w:r>
              <w:t>34</w:t>
            </w:r>
          </w:p>
        </w:tc>
        <w:tc>
          <w:tcPr>
            <w:tcW w:w="567" w:type="dxa"/>
            <w:tcBorders>
              <w:top w:val="single" w:sz="4" w:space="0" w:color="auto"/>
              <w:bottom w:val="single" w:sz="4" w:space="0" w:color="auto"/>
            </w:tcBorders>
          </w:tcPr>
          <w:p w14:paraId="51D7B955" w14:textId="77777777" w:rsidR="00750BC3" w:rsidRPr="00045A29" w:rsidRDefault="00750BC3" w:rsidP="00F43E4D">
            <w:pPr>
              <w:pStyle w:val="TableText"/>
            </w:pPr>
            <w:r>
              <w:t>7.2</w:t>
            </w:r>
          </w:p>
        </w:tc>
        <w:tc>
          <w:tcPr>
            <w:tcW w:w="850" w:type="dxa"/>
            <w:tcBorders>
              <w:top w:val="single" w:sz="4" w:space="0" w:color="auto"/>
              <w:bottom w:val="single" w:sz="4" w:space="0" w:color="auto"/>
            </w:tcBorders>
          </w:tcPr>
          <w:p w14:paraId="5BEDCB7E" w14:textId="77777777" w:rsidR="00750BC3" w:rsidRPr="00045A29" w:rsidRDefault="00750BC3" w:rsidP="00F43E4D">
            <w:pPr>
              <w:pStyle w:val="TableText"/>
            </w:pPr>
            <w:r>
              <w:t>2.5</w:t>
            </w:r>
          </w:p>
        </w:tc>
        <w:tc>
          <w:tcPr>
            <w:tcW w:w="1417" w:type="dxa"/>
            <w:tcBorders>
              <w:top w:val="single" w:sz="4" w:space="0" w:color="auto"/>
              <w:bottom w:val="single" w:sz="4" w:space="0" w:color="auto"/>
            </w:tcBorders>
          </w:tcPr>
          <w:p w14:paraId="4CA483E7" w14:textId="77777777" w:rsidR="00750BC3" w:rsidRDefault="00750BC3" w:rsidP="00F43E4D">
            <w:pPr>
              <w:pStyle w:val="TableText"/>
            </w:pPr>
            <w:r>
              <w:t>234</w:t>
            </w:r>
          </w:p>
        </w:tc>
        <w:tc>
          <w:tcPr>
            <w:tcW w:w="1273" w:type="dxa"/>
            <w:tcBorders>
              <w:top w:val="single" w:sz="4" w:space="0" w:color="auto"/>
              <w:bottom w:val="single" w:sz="4" w:space="0" w:color="auto"/>
            </w:tcBorders>
          </w:tcPr>
          <w:p w14:paraId="27385559" w14:textId="1D1919F8" w:rsidR="00750BC3" w:rsidRDefault="00750BC3" w:rsidP="00894464">
            <w:pPr>
              <w:pStyle w:val="TableText"/>
            </w:pPr>
            <w:r>
              <w:t>Cadmus et al. (2018a, b)</w:t>
            </w:r>
          </w:p>
        </w:tc>
      </w:tr>
      <w:tr w:rsidR="00CF62E4" w:rsidRPr="00045A29" w14:paraId="5DCC6944" w14:textId="77777777" w:rsidTr="00C14C27">
        <w:trPr>
          <w:cantSplit/>
        </w:trPr>
        <w:tc>
          <w:tcPr>
            <w:tcW w:w="1429" w:type="dxa"/>
            <w:tcBorders>
              <w:top w:val="single" w:sz="4" w:space="0" w:color="auto"/>
              <w:bottom w:val="single" w:sz="4" w:space="0" w:color="auto"/>
            </w:tcBorders>
          </w:tcPr>
          <w:p w14:paraId="5BD7CB01" w14:textId="408BF3AF" w:rsidR="00750BC3" w:rsidRDefault="00C13EC9" w:rsidP="00894464">
            <w:pPr>
              <w:pStyle w:val="TableText"/>
            </w:pPr>
            <w:r>
              <w:t>Phytoplankton</w:t>
            </w:r>
          </w:p>
        </w:tc>
        <w:tc>
          <w:tcPr>
            <w:tcW w:w="1553" w:type="dxa"/>
            <w:tcBorders>
              <w:top w:val="single" w:sz="4" w:space="0" w:color="auto"/>
              <w:bottom w:val="single" w:sz="4" w:space="0" w:color="auto"/>
            </w:tcBorders>
          </w:tcPr>
          <w:p w14:paraId="0093CB0C" w14:textId="44BBA5E4" w:rsidR="00750BC3" w:rsidRPr="000A0E1F" w:rsidRDefault="009B681A" w:rsidP="00F43E4D">
            <w:pPr>
              <w:pStyle w:val="TableText"/>
            </w:pPr>
            <w:r>
              <w:t>—</w:t>
            </w:r>
          </w:p>
        </w:tc>
        <w:tc>
          <w:tcPr>
            <w:tcW w:w="850" w:type="dxa"/>
            <w:tcBorders>
              <w:top w:val="single" w:sz="4" w:space="0" w:color="auto"/>
              <w:bottom w:val="single" w:sz="4" w:space="0" w:color="auto"/>
            </w:tcBorders>
          </w:tcPr>
          <w:p w14:paraId="40E12B21" w14:textId="54F50C17" w:rsidR="00750BC3" w:rsidRDefault="00570FA7" w:rsidP="00F43E4D">
            <w:pPr>
              <w:pStyle w:val="TableText"/>
            </w:pPr>
            <w:r>
              <w:t>—</w:t>
            </w:r>
          </w:p>
        </w:tc>
        <w:tc>
          <w:tcPr>
            <w:tcW w:w="992" w:type="dxa"/>
            <w:tcBorders>
              <w:top w:val="single" w:sz="4" w:space="0" w:color="auto"/>
              <w:bottom w:val="single" w:sz="4" w:space="0" w:color="auto"/>
            </w:tcBorders>
          </w:tcPr>
          <w:p w14:paraId="19406B6E" w14:textId="160FAEE5" w:rsidR="00750BC3" w:rsidRDefault="00C13EC9" w:rsidP="00F43E4D">
            <w:pPr>
              <w:pStyle w:val="TableText"/>
            </w:pPr>
            <w:r>
              <w:t>14</w:t>
            </w:r>
          </w:p>
        </w:tc>
        <w:tc>
          <w:tcPr>
            <w:tcW w:w="1559" w:type="dxa"/>
            <w:tcBorders>
              <w:top w:val="single" w:sz="4" w:space="0" w:color="auto"/>
              <w:bottom w:val="single" w:sz="4" w:space="0" w:color="auto"/>
            </w:tcBorders>
          </w:tcPr>
          <w:p w14:paraId="5766231E" w14:textId="362C274F" w:rsidR="00750BC3" w:rsidRDefault="00C13EC9" w:rsidP="00F43E4D">
            <w:pPr>
              <w:pStyle w:val="TableText"/>
            </w:pPr>
            <w:r>
              <w:t>EC20 (chlorophyll-</w:t>
            </w:r>
            <w:r w:rsidRPr="00515B5D">
              <w:rPr>
                <w:i/>
                <w:iCs/>
              </w:rPr>
              <w:t>a</w:t>
            </w:r>
            <w:r>
              <w:t xml:space="preserve"> biomass)</w:t>
            </w:r>
          </w:p>
        </w:tc>
        <w:tc>
          <w:tcPr>
            <w:tcW w:w="1276" w:type="dxa"/>
            <w:tcBorders>
              <w:top w:val="single" w:sz="4" w:space="0" w:color="auto"/>
              <w:bottom w:val="single" w:sz="4" w:space="0" w:color="auto"/>
            </w:tcBorders>
          </w:tcPr>
          <w:p w14:paraId="045E0CAB" w14:textId="3CEC4101" w:rsidR="00750BC3" w:rsidRDefault="00C13EC9" w:rsidP="00F43E4D">
            <w:pPr>
              <w:pStyle w:val="TableText"/>
            </w:pPr>
            <w:r>
              <w:t>River water</w:t>
            </w:r>
          </w:p>
        </w:tc>
        <w:tc>
          <w:tcPr>
            <w:tcW w:w="992" w:type="dxa"/>
            <w:tcBorders>
              <w:top w:val="single" w:sz="4" w:space="0" w:color="auto"/>
              <w:bottom w:val="single" w:sz="4" w:space="0" w:color="auto"/>
            </w:tcBorders>
          </w:tcPr>
          <w:p w14:paraId="2718BCA3" w14:textId="6DD7F3A4" w:rsidR="00750BC3" w:rsidRDefault="00C13EC9" w:rsidP="00F43E4D">
            <w:pPr>
              <w:pStyle w:val="TableText"/>
            </w:pPr>
            <w:r>
              <w:t>14.3</w:t>
            </w:r>
            <w:r w:rsidR="009B681A">
              <w:t>–</w:t>
            </w:r>
            <w:r>
              <w:t>14.9</w:t>
            </w:r>
          </w:p>
        </w:tc>
        <w:tc>
          <w:tcPr>
            <w:tcW w:w="1276" w:type="dxa"/>
            <w:tcBorders>
              <w:top w:val="single" w:sz="4" w:space="0" w:color="auto"/>
              <w:bottom w:val="single" w:sz="4" w:space="0" w:color="auto"/>
            </w:tcBorders>
          </w:tcPr>
          <w:p w14:paraId="7B097BBF" w14:textId="3A6C01B2" w:rsidR="00750BC3" w:rsidRDefault="00C13EC9" w:rsidP="00F43E4D">
            <w:pPr>
              <w:pStyle w:val="TableText"/>
            </w:pPr>
            <w:r>
              <w:t>31</w:t>
            </w:r>
          </w:p>
        </w:tc>
        <w:tc>
          <w:tcPr>
            <w:tcW w:w="567" w:type="dxa"/>
            <w:tcBorders>
              <w:top w:val="single" w:sz="4" w:space="0" w:color="auto"/>
              <w:bottom w:val="single" w:sz="4" w:space="0" w:color="auto"/>
            </w:tcBorders>
          </w:tcPr>
          <w:p w14:paraId="35DD59FB" w14:textId="1C35DA9B" w:rsidR="00750BC3" w:rsidRDefault="00C13EC9" w:rsidP="00F43E4D">
            <w:pPr>
              <w:pStyle w:val="TableText"/>
            </w:pPr>
            <w:r>
              <w:t>7.4</w:t>
            </w:r>
          </w:p>
        </w:tc>
        <w:tc>
          <w:tcPr>
            <w:tcW w:w="850" w:type="dxa"/>
            <w:tcBorders>
              <w:top w:val="single" w:sz="4" w:space="0" w:color="auto"/>
              <w:bottom w:val="single" w:sz="4" w:space="0" w:color="auto"/>
            </w:tcBorders>
          </w:tcPr>
          <w:p w14:paraId="07D1B4F3" w14:textId="10AAD64A" w:rsidR="00750BC3" w:rsidRDefault="00C13EC9" w:rsidP="00F43E4D">
            <w:pPr>
              <w:pStyle w:val="TableText"/>
            </w:pPr>
            <w:r>
              <w:t>2.5</w:t>
            </w:r>
            <w:r w:rsidR="009B681A">
              <w:t>–</w:t>
            </w:r>
            <w:r>
              <w:t>3.0</w:t>
            </w:r>
          </w:p>
        </w:tc>
        <w:tc>
          <w:tcPr>
            <w:tcW w:w="1417" w:type="dxa"/>
            <w:tcBorders>
              <w:top w:val="single" w:sz="4" w:space="0" w:color="auto"/>
              <w:bottom w:val="single" w:sz="4" w:space="0" w:color="auto"/>
            </w:tcBorders>
          </w:tcPr>
          <w:p w14:paraId="13177BB0" w14:textId="7385300D" w:rsidR="00750BC3" w:rsidRDefault="00943E43" w:rsidP="00F43E4D">
            <w:pPr>
              <w:pStyle w:val="TableText"/>
            </w:pPr>
            <w:r>
              <w:t>0.4</w:t>
            </w:r>
          </w:p>
        </w:tc>
        <w:tc>
          <w:tcPr>
            <w:tcW w:w="1273" w:type="dxa"/>
            <w:tcBorders>
              <w:top w:val="single" w:sz="4" w:space="0" w:color="auto"/>
              <w:bottom w:val="single" w:sz="4" w:space="0" w:color="auto"/>
            </w:tcBorders>
          </w:tcPr>
          <w:p w14:paraId="06F0C544" w14:textId="62C176A6" w:rsidR="00750BC3" w:rsidRDefault="00C13EC9" w:rsidP="00894464">
            <w:pPr>
              <w:pStyle w:val="TableText"/>
            </w:pPr>
            <w:r>
              <w:t>Kotalik et al. (2019)</w:t>
            </w:r>
          </w:p>
        </w:tc>
      </w:tr>
      <w:tr w:rsidR="00CF62E4" w:rsidRPr="00045A29" w14:paraId="7D35B249" w14:textId="77777777" w:rsidTr="00C14C27">
        <w:trPr>
          <w:cantSplit/>
        </w:trPr>
        <w:tc>
          <w:tcPr>
            <w:tcW w:w="1429" w:type="dxa"/>
            <w:tcBorders>
              <w:top w:val="single" w:sz="4" w:space="0" w:color="auto"/>
              <w:bottom w:val="single" w:sz="4" w:space="0" w:color="auto"/>
            </w:tcBorders>
          </w:tcPr>
          <w:p w14:paraId="014F9F44" w14:textId="05CDCBBC" w:rsidR="00C13EC9" w:rsidRPr="00C13EC9" w:rsidRDefault="00C13EC9" w:rsidP="00C13EC9">
            <w:pPr>
              <w:pStyle w:val="TableText"/>
            </w:pPr>
            <w:r w:rsidRPr="00C13EC9">
              <w:t>Heterokonto</w:t>
            </w:r>
            <w:r>
              <w:t>-</w:t>
            </w:r>
            <w:r w:rsidRPr="00C13EC9">
              <w:t>phyta</w:t>
            </w:r>
          </w:p>
        </w:tc>
        <w:tc>
          <w:tcPr>
            <w:tcW w:w="1553" w:type="dxa"/>
            <w:tcBorders>
              <w:top w:val="single" w:sz="4" w:space="0" w:color="auto"/>
              <w:bottom w:val="single" w:sz="4" w:space="0" w:color="auto"/>
            </w:tcBorders>
          </w:tcPr>
          <w:p w14:paraId="669D9472" w14:textId="2401E771" w:rsidR="00C13EC9" w:rsidRPr="000A0E1F" w:rsidRDefault="00C13EC9" w:rsidP="00F43E4D">
            <w:pPr>
              <w:pStyle w:val="TableText"/>
            </w:pPr>
            <w:r>
              <w:t>Diatom</w:t>
            </w:r>
            <w:r w:rsidR="00943E43">
              <w:t>s</w:t>
            </w:r>
          </w:p>
        </w:tc>
        <w:tc>
          <w:tcPr>
            <w:tcW w:w="850" w:type="dxa"/>
            <w:tcBorders>
              <w:top w:val="single" w:sz="4" w:space="0" w:color="auto"/>
              <w:bottom w:val="single" w:sz="4" w:space="0" w:color="auto"/>
            </w:tcBorders>
          </w:tcPr>
          <w:p w14:paraId="4654C1B7" w14:textId="54207B47" w:rsidR="00C13EC9" w:rsidRDefault="00570FA7" w:rsidP="00F43E4D">
            <w:pPr>
              <w:pStyle w:val="TableText"/>
            </w:pPr>
            <w:r>
              <w:t>—</w:t>
            </w:r>
          </w:p>
        </w:tc>
        <w:tc>
          <w:tcPr>
            <w:tcW w:w="992" w:type="dxa"/>
            <w:tcBorders>
              <w:top w:val="single" w:sz="4" w:space="0" w:color="auto"/>
              <w:bottom w:val="single" w:sz="4" w:space="0" w:color="auto"/>
            </w:tcBorders>
          </w:tcPr>
          <w:p w14:paraId="3C9868CA" w14:textId="22FAB96E" w:rsidR="00C13EC9" w:rsidRDefault="00C13EC9" w:rsidP="00F43E4D">
            <w:pPr>
              <w:pStyle w:val="TableText"/>
            </w:pPr>
            <w:r>
              <w:t>14</w:t>
            </w:r>
          </w:p>
        </w:tc>
        <w:tc>
          <w:tcPr>
            <w:tcW w:w="1559" w:type="dxa"/>
            <w:tcBorders>
              <w:top w:val="single" w:sz="4" w:space="0" w:color="auto"/>
              <w:bottom w:val="single" w:sz="4" w:space="0" w:color="auto"/>
            </w:tcBorders>
          </w:tcPr>
          <w:p w14:paraId="3DF8E905" w14:textId="4114EA06" w:rsidR="00C13EC9" w:rsidRDefault="00943E43" w:rsidP="00F43E4D">
            <w:pPr>
              <w:pStyle w:val="TableText"/>
            </w:pPr>
            <w:r>
              <w:t>EC20 (colonisation biomass)</w:t>
            </w:r>
          </w:p>
        </w:tc>
        <w:tc>
          <w:tcPr>
            <w:tcW w:w="1276" w:type="dxa"/>
            <w:tcBorders>
              <w:top w:val="single" w:sz="4" w:space="0" w:color="auto"/>
              <w:bottom w:val="single" w:sz="4" w:space="0" w:color="auto"/>
            </w:tcBorders>
          </w:tcPr>
          <w:p w14:paraId="11104447" w14:textId="023245FD" w:rsidR="00C13EC9" w:rsidRDefault="00C13EC9" w:rsidP="00F43E4D">
            <w:pPr>
              <w:pStyle w:val="TableText"/>
            </w:pPr>
            <w:r w:rsidRPr="00686862">
              <w:t>River water</w:t>
            </w:r>
          </w:p>
        </w:tc>
        <w:tc>
          <w:tcPr>
            <w:tcW w:w="992" w:type="dxa"/>
            <w:tcBorders>
              <w:top w:val="single" w:sz="4" w:space="0" w:color="auto"/>
              <w:bottom w:val="single" w:sz="4" w:space="0" w:color="auto"/>
            </w:tcBorders>
          </w:tcPr>
          <w:p w14:paraId="38181B01" w14:textId="04EB842B" w:rsidR="00C13EC9" w:rsidRDefault="00C13EC9" w:rsidP="00F43E4D">
            <w:pPr>
              <w:pStyle w:val="TableText"/>
            </w:pPr>
            <w:r>
              <w:t>14.3</w:t>
            </w:r>
            <w:r w:rsidR="009B681A">
              <w:t>–</w:t>
            </w:r>
            <w:r>
              <w:t>14.9</w:t>
            </w:r>
          </w:p>
        </w:tc>
        <w:tc>
          <w:tcPr>
            <w:tcW w:w="1276" w:type="dxa"/>
            <w:tcBorders>
              <w:top w:val="single" w:sz="4" w:space="0" w:color="auto"/>
              <w:bottom w:val="single" w:sz="4" w:space="0" w:color="auto"/>
            </w:tcBorders>
          </w:tcPr>
          <w:p w14:paraId="0FD0CC95" w14:textId="453DCE82" w:rsidR="00C13EC9" w:rsidRDefault="00C13EC9" w:rsidP="00F43E4D">
            <w:pPr>
              <w:pStyle w:val="TableText"/>
            </w:pPr>
            <w:r>
              <w:t>31</w:t>
            </w:r>
          </w:p>
        </w:tc>
        <w:tc>
          <w:tcPr>
            <w:tcW w:w="567" w:type="dxa"/>
            <w:tcBorders>
              <w:top w:val="single" w:sz="4" w:space="0" w:color="auto"/>
              <w:bottom w:val="single" w:sz="4" w:space="0" w:color="auto"/>
            </w:tcBorders>
          </w:tcPr>
          <w:p w14:paraId="58453416" w14:textId="6F282811" w:rsidR="00C13EC9" w:rsidRDefault="00C13EC9" w:rsidP="00F43E4D">
            <w:pPr>
              <w:pStyle w:val="TableText"/>
            </w:pPr>
            <w:r>
              <w:t>7.4</w:t>
            </w:r>
          </w:p>
        </w:tc>
        <w:tc>
          <w:tcPr>
            <w:tcW w:w="850" w:type="dxa"/>
            <w:tcBorders>
              <w:top w:val="single" w:sz="4" w:space="0" w:color="auto"/>
              <w:bottom w:val="single" w:sz="4" w:space="0" w:color="auto"/>
            </w:tcBorders>
          </w:tcPr>
          <w:p w14:paraId="71EC2687" w14:textId="5A3A0A56" w:rsidR="00C13EC9" w:rsidRDefault="00C13EC9" w:rsidP="00F43E4D">
            <w:pPr>
              <w:pStyle w:val="TableText"/>
            </w:pPr>
            <w:r>
              <w:t>2.5</w:t>
            </w:r>
            <w:r w:rsidR="009B681A">
              <w:t>–</w:t>
            </w:r>
            <w:r>
              <w:t>3.0</w:t>
            </w:r>
          </w:p>
        </w:tc>
        <w:tc>
          <w:tcPr>
            <w:tcW w:w="1417" w:type="dxa"/>
            <w:tcBorders>
              <w:top w:val="single" w:sz="4" w:space="0" w:color="auto"/>
              <w:bottom w:val="single" w:sz="4" w:space="0" w:color="auto"/>
            </w:tcBorders>
          </w:tcPr>
          <w:p w14:paraId="0B8EF086" w14:textId="3B0BDE6B" w:rsidR="00C13EC9" w:rsidRDefault="00943E43" w:rsidP="00F43E4D">
            <w:pPr>
              <w:pStyle w:val="TableText"/>
            </w:pPr>
            <w:r>
              <w:t>40</w:t>
            </w:r>
          </w:p>
        </w:tc>
        <w:tc>
          <w:tcPr>
            <w:tcW w:w="1273" w:type="dxa"/>
            <w:tcBorders>
              <w:top w:val="single" w:sz="4" w:space="0" w:color="auto"/>
              <w:bottom w:val="single" w:sz="4" w:space="0" w:color="auto"/>
            </w:tcBorders>
          </w:tcPr>
          <w:p w14:paraId="05ADF251" w14:textId="37ABA024" w:rsidR="00C13EC9" w:rsidRDefault="00C13EC9" w:rsidP="00C13EC9">
            <w:pPr>
              <w:pStyle w:val="TableText"/>
            </w:pPr>
            <w:r w:rsidRPr="00FB4B94">
              <w:t>Kotalik et al. (2019)</w:t>
            </w:r>
          </w:p>
        </w:tc>
      </w:tr>
      <w:tr w:rsidR="00CF62E4" w:rsidRPr="00045A29" w14:paraId="37C03F82" w14:textId="77777777" w:rsidTr="00C14C27">
        <w:trPr>
          <w:cantSplit/>
        </w:trPr>
        <w:tc>
          <w:tcPr>
            <w:tcW w:w="1429" w:type="dxa"/>
            <w:tcBorders>
              <w:top w:val="single" w:sz="4" w:space="0" w:color="auto"/>
              <w:bottom w:val="single" w:sz="4" w:space="0" w:color="auto"/>
            </w:tcBorders>
          </w:tcPr>
          <w:p w14:paraId="4B138B97" w14:textId="3175B15F" w:rsidR="00C13EC9" w:rsidRDefault="00C13EC9" w:rsidP="00C13EC9">
            <w:pPr>
              <w:pStyle w:val="TableText"/>
            </w:pPr>
            <w:r>
              <w:t>Chlorophyta</w:t>
            </w:r>
          </w:p>
        </w:tc>
        <w:tc>
          <w:tcPr>
            <w:tcW w:w="1553" w:type="dxa"/>
            <w:tcBorders>
              <w:top w:val="single" w:sz="4" w:space="0" w:color="auto"/>
              <w:bottom w:val="single" w:sz="4" w:space="0" w:color="auto"/>
            </w:tcBorders>
          </w:tcPr>
          <w:p w14:paraId="47DF08C1" w14:textId="67F58C5A" w:rsidR="00C13EC9" w:rsidRPr="000A0E1F" w:rsidRDefault="00943E43" w:rsidP="00F43E4D">
            <w:pPr>
              <w:pStyle w:val="TableText"/>
            </w:pPr>
            <w:r>
              <w:t>Green algae</w:t>
            </w:r>
          </w:p>
        </w:tc>
        <w:tc>
          <w:tcPr>
            <w:tcW w:w="850" w:type="dxa"/>
            <w:tcBorders>
              <w:top w:val="single" w:sz="4" w:space="0" w:color="auto"/>
              <w:bottom w:val="single" w:sz="4" w:space="0" w:color="auto"/>
            </w:tcBorders>
          </w:tcPr>
          <w:p w14:paraId="525FB957" w14:textId="66A9D9BA" w:rsidR="00C13EC9" w:rsidRDefault="00570FA7" w:rsidP="00F43E4D">
            <w:pPr>
              <w:pStyle w:val="TableText"/>
            </w:pPr>
            <w:r>
              <w:t>—</w:t>
            </w:r>
          </w:p>
        </w:tc>
        <w:tc>
          <w:tcPr>
            <w:tcW w:w="992" w:type="dxa"/>
            <w:tcBorders>
              <w:top w:val="single" w:sz="4" w:space="0" w:color="auto"/>
              <w:bottom w:val="single" w:sz="4" w:space="0" w:color="auto"/>
            </w:tcBorders>
          </w:tcPr>
          <w:p w14:paraId="3D5627A8" w14:textId="6F6C3ECD" w:rsidR="00C13EC9" w:rsidRDefault="00C13EC9" w:rsidP="00F43E4D">
            <w:pPr>
              <w:pStyle w:val="TableText"/>
            </w:pPr>
            <w:r>
              <w:t>14</w:t>
            </w:r>
          </w:p>
        </w:tc>
        <w:tc>
          <w:tcPr>
            <w:tcW w:w="1559" w:type="dxa"/>
            <w:tcBorders>
              <w:top w:val="single" w:sz="4" w:space="0" w:color="auto"/>
              <w:bottom w:val="single" w:sz="4" w:space="0" w:color="auto"/>
            </w:tcBorders>
          </w:tcPr>
          <w:p w14:paraId="2D3C24D6" w14:textId="311F63B4" w:rsidR="00C13EC9" w:rsidRDefault="00943E43" w:rsidP="00F43E4D">
            <w:pPr>
              <w:pStyle w:val="TableText"/>
            </w:pPr>
            <w:r>
              <w:t>EC20 (colonisation biomass)</w:t>
            </w:r>
          </w:p>
        </w:tc>
        <w:tc>
          <w:tcPr>
            <w:tcW w:w="1276" w:type="dxa"/>
            <w:tcBorders>
              <w:top w:val="single" w:sz="4" w:space="0" w:color="auto"/>
              <w:bottom w:val="single" w:sz="4" w:space="0" w:color="auto"/>
            </w:tcBorders>
          </w:tcPr>
          <w:p w14:paraId="775DE02F" w14:textId="0BD27E53" w:rsidR="00C13EC9" w:rsidRDefault="00C13EC9" w:rsidP="00F43E4D">
            <w:pPr>
              <w:pStyle w:val="TableText"/>
            </w:pPr>
            <w:r w:rsidRPr="00686862">
              <w:t>River water</w:t>
            </w:r>
          </w:p>
        </w:tc>
        <w:tc>
          <w:tcPr>
            <w:tcW w:w="992" w:type="dxa"/>
            <w:tcBorders>
              <w:top w:val="single" w:sz="4" w:space="0" w:color="auto"/>
              <w:bottom w:val="single" w:sz="4" w:space="0" w:color="auto"/>
            </w:tcBorders>
          </w:tcPr>
          <w:p w14:paraId="676E5EFC" w14:textId="7FAB5F3A" w:rsidR="00C13EC9" w:rsidRDefault="00C13EC9" w:rsidP="00F43E4D">
            <w:pPr>
              <w:pStyle w:val="TableText"/>
            </w:pPr>
            <w:r>
              <w:t>14.3</w:t>
            </w:r>
            <w:r w:rsidR="009B681A">
              <w:t>–</w:t>
            </w:r>
            <w:r>
              <w:t>14.9</w:t>
            </w:r>
          </w:p>
        </w:tc>
        <w:tc>
          <w:tcPr>
            <w:tcW w:w="1276" w:type="dxa"/>
            <w:tcBorders>
              <w:top w:val="single" w:sz="4" w:space="0" w:color="auto"/>
              <w:bottom w:val="single" w:sz="4" w:space="0" w:color="auto"/>
            </w:tcBorders>
          </w:tcPr>
          <w:p w14:paraId="103EE9C1" w14:textId="02F487C4" w:rsidR="00C13EC9" w:rsidRDefault="00C13EC9" w:rsidP="00F43E4D">
            <w:pPr>
              <w:pStyle w:val="TableText"/>
            </w:pPr>
            <w:r>
              <w:t>31</w:t>
            </w:r>
          </w:p>
        </w:tc>
        <w:tc>
          <w:tcPr>
            <w:tcW w:w="567" w:type="dxa"/>
            <w:tcBorders>
              <w:top w:val="single" w:sz="4" w:space="0" w:color="auto"/>
              <w:bottom w:val="single" w:sz="4" w:space="0" w:color="auto"/>
            </w:tcBorders>
          </w:tcPr>
          <w:p w14:paraId="589A3C6C" w14:textId="7A09253E" w:rsidR="00C13EC9" w:rsidRDefault="00C13EC9" w:rsidP="00F43E4D">
            <w:pPr>
              <w:pStyle w:val="TableText"/>
            </w:pPr>
            <w:r>
              <w:t>7.4</w:t>
            </w:r>
          </w:p>
        </w:tc>
        <w:tc>
          <w:tcPr>
            <w:tcW w:w="850" w:type="dxa"/>
            <w:tcBorders>
              <w:top w:val="single" w:sz="4" w:space="0" w:color="auto"/>
              <w:bottom w:val="single" w:sz="4" w:space="0" w:color="auto"/>
            </w:tcBorders>
          </w:tcPr>
          <w:p w14:paraId="300CD4A0" w14:textId="6C713A0A" w:rsidR="00C13EC9" w:rsidRDefault="00C13EC9" w:rsidP="00F43E4D">
            <w:pPr>
              <w:pStyle w:val="TableText"/>
            </w:pPr>
            <w:r>
              <w:t>2.5</w:t>
            </w:r>
            <w:r w:rsidR="009B681A">
              <w:t>–</w:t>
            </w:r>
            <w:r>
              <w:t>3.0</w:t>
            </w:r>
          </w:p>
        </w:tc>
        <w:tc>
          <w:tcPr>
            <w:tcW w:w="1417" w:type="dxa"/>
            <w:tcBorders>
              <w:top w:val="single" w:sz="4" w:space="0" w:color="auto"/>
              <w:bottom w:val="single" w:sz="4" w:space="0" w:color="auto"/>
            </w:tcBorders>
          </w:tcPr>
          <w:p w14:paraId="7745CC59" w14:textId="324FD23A" w:rsidR="00C13EC9" w:rsidRDefault="00943E43" w:rsidP="00F43E4D">
            <w:pPr>
              <w:pStyle w:val="TableText"/>
            </w:pPr>
            <w:r>
              <w:t>261</w:t>
            </w:r>
          </w:p>
        </w:tc>
        <w:tc>
          <w:tcPr>
            <w:tcW w:w="1273" w:type="dxa"/>
            <w:tcBorders>
              <w:top w:val="single" w:sz="4" w:space="0" w:color="auto"/>
              <w:bottom w:val="single" w:sz="4" w:space="0" w:color="auto"/>
            </w:tcBorders>
          </w:tcPr>
          <w:p w14:paraId="4BBD6473" w14:textId="33A3B183" w:rsidR="00C13EC9" w:rsidRDefault="00C13EC9" w:rsidP="00C13EC9">
            <w:pPr>
              <w:pStyle w:val="TableText"/>
            </w:pPr>
            <w:r w:rsidRPr="00FB4B94">
              <w:t>Kotalik et al. (2019)</w:t>
            </w:r>
          </w:p>
        </w:tc>
      </w:tr>
      <w:tr w:rsidR="00CF62E4" w:rsidRPr="00045A29" w14:paraId="2ECE4B29" w14:textId="77777777" w:rsidTr="00C14C27">
        <w:trPr>
          <w:cantSplit/>
        </w:trPr>
        <w:tc>
          <w:tcPr>
            <w:tcW w:w="1429" w:type="dxa"/>
            <w:tcBorders>
              <w:top w:val="single" w:sz="4" w:space="0" w:color="auto"/>
              <w:bottom w:val="single" w:sz="4" w:space="0" w:color="auto"/>
            </w:tcBorders>
          </w:tcPr>
          <w:p w14:paraId="50A6BBDE" w14:textId="5EAF79BA" w:rsidR="00C13EC9" w:rsidRDefault="00943E43" w:rsidP="00C13EC9">
            <w:pPr>
              <w:pStyle w:val="TableText"/>
            </w:pPr>
            <w:r>
              <w:t>Insecta</w:t>
            </w:r>
          </w:p>
        </w:tc>
        <w:tc>
          <w:tcPr>
            <w:tcW w:w="1553" w:type="dxa"/>
            <w:tcBorders>
              <w:top w:val="single" w:sz="4" w:space="0" w:color="auto"/>
              <w:bottom w:val="single" w:sz="4" w:space="0" w:color="auto"/>
            </w:tcBorders>
          </w:tcPr>
          <w:p w14:paraId="2782040C" w14:textId="27730D7F" w:rsidR="00C13EC9" w:rsidRPr="000A0E1F" w:rsidRDefault="00943E43" w:rsidP="00F43E4D">
            <w:pPr>
              <w:pStyle w:val="TableText"/>
            </w:pPr>
            <w:r>
              <w:t>Baetidae</w:t>
            </w:r>
          </w:p>
        </w:tc>
        <w:tc>
          <w:tcPr>
            <w:tcW w:w="850" w:type="dxa"/>
            <w:tcBorders>
              <w:top w:val="single" w:sz="4" w:space="0" w:color="auto"/>
              <w:bottom w:val="single" w:sz="4" w:space="0" w:color="auto"/>
            </w:tcBorders>
          </w:tcPr>
          <w:p w14:paraId="41E21661" w14:textId="5C3F1065" w:rsidR="00C13EC9" w:rsidRDefault="00943E43" w:rsidP="00F43E4D">
            <w:pPr>
              <w:pStyle w:val="TableText"/>
            </w:pPr>
            <w:r>
              <w:t>Larva</w:t>
            </w:r>
          </w:p>
        </w:tc>
        <w:tc>
          <w:tcPr>
            <w:tcW w:w="992" w:type="dxa"/>
            <w:tcBorders>
              <w:top w:val="single" w:sz="4" w:space="0" w:color="auto"/>
              <w:bottom w:val="single" w:sz="4" w:space="0" w:color="auto"/>
            </w:tcBorders>
          </w:tcPr>
          <w:p w14:paraId="19814ECC" w14:textId="1AD13600" w:rsidR="00C13EC9" w:rsidRDefault="00C13EC9" w:rsidP="00F43E4D">
            <w:pPr>
              <w:pStyle w:val="TableText"/>
            </w:pPr>
            <w:r>
              <w:t>14</w:t>
            </w:r>
          </w:p>
        </w:tc>
        <w:tc>
          <w:tcPr>
            <w:tcW w:w="1559" w:type="dxa"/>
            <w:tcBorders>
              <w:top w:val="single" w:sz="4" w:space="0" w:color="auto"/>
              <w:bottom w:val="single" w:sz="4" w:space="0" w:color="auto"/>
            </w:tcBorders>
          </w:tcPr>
          <w:p w14:paraId="10B8AD7F" w14:textId="0D99579C" w:rsidR="00C13EC9" w:rsidRDefault="00943E43" w:rsidP="00F43E4D">
            <w:pPr>
              <w:pStyle w:val="TableText"/>
            </w:pPr>
            <w:r>
              <w:t>EC20 (biomass)</w:t>
            </w:r>
          </w:p>
        </w:tc>
        <w:tc>
          <w:tcPr>
            <w:tcW w:w="1276" w:type="dxa"/>
            <w:tcBorders>
              <w:top w:val="single" w:sz="4" w:space="0" w:color="auto"/>
              <w:bottom w:val="single" w:sz="4" w:space="0" w:color="auto"/>
            </w:tcBorders>
          </w:tcPr>
          <w:p w14:paraId="17E49C42" w14:textId="5DACEF37" w:rsidR="00C13EC9" w:rsidRDefault="00C13EC9" w:rsidP="00F43E4D">
            <w:pPr>
              <w:pStyle w:val="TableText"/>
            </w:pPr>
            <w:r w:rsidRPr="00686862">
              <w:t>River water</w:t>
            </w:r>
          </w:p>
        </w:tc>
        <w:tc>
          <w:tcPr>
            <w:tcW w:w="992" w:type="dxa"/>
            <w:tcBorders>
              <w:top w:val="single" w:sz="4" w:space="0" w:color="auto"/>
              <w:bottom w:val="single" w:sz="4" w:space="0" w:color="auto"/>
            </w:tcBorders>
          </w:tcPr>
          <w:p w14:paraId="384B4F84" w14:textId="4ECC8925" w:rsidR="00C13EC9" w:rsidRDefault="00C13EC9" w:rsidP="00F43E4D">
            <w:pPr>
              <w:pStyle w:val="TableText"/>
            </w:pPr>
            <w:r>
              <w:t>14.3</w:t>
            </w:r>
            <w:r w:rsidR="009B681A">
              <w:t>–</w:t>
            </w:r>
            <w:r>
              <w:t>14.9</w:t>
            </w:r>
          </w:p>
        </w:tc>
        <w:tc>
          <w:tcPr>
            <w:tcW w:w="1276" w:type="dxa"/>
            <w:tcBorders>
              <w:top w:val="single" w:sz="4" w:space="0" w:color="auto"/>
              <w:bottom w:val="single" w:sz="4" w:space="0" w:color="auto"/>
            </w:tcBorders>
          </w:tcPr>
          <w:p w14:paraId="3C3655FE" w14:textId="255C8075" w:rsidR="00C13EC9" w:rsidRDefault="00C13EC9" w:rsidP="00F43E4D">
            <w:pPr>
              <w:pStyle w:val="TableText"/>
            </w:pPr>
            <w:r>
              <w:t>31</w:t>
            </w:r>
          </w:p>
        </w:tc>
        <w:tc>
          <w:tcPr>
            <w:tcW w:w="567" w:type="dxa"/>
            <w:tcBorders>
              <w:top w:val="single" w:sz="4" w:space="0" w:color="auto"/>
              <w:bottom w:val="single" w:sz="4" w:space="0" w:color="auto"/>
            </w:tcBorders>
          </w:tcPr>
          <w:p w14:paraId="0B8DBF5A" w14:textId="68B8CAE3" w:rsidR="00C13EC9" w:rsidRDefault="00C13EC9" w:rsidP="00F43E4D">
            <w:pPr>
              <w:pStyle w:val="TableText"/>
            </w:pPr>
            <w:r>
              <w:t>7.4</w:t>
            </w:r>
          </w:p>
        </w:tc>
        <w:tc>
          <w:tcPr>
            <w:tcW w:w="850" w:type="dxa"/>
            <w:tcBorders>
              <w:top w:val="single" w:sz="4" w:space="0" w:color="auto"/>
              <w:bottom w:val="single" w:sz="4" w:space="0" w:color="auto"/>
            </w:tcBorders>
          </w:tcPr>
          <w:p w14:paraId="57F29D83" w14:textId="17B61F7E" w:rsidR="00C13EC9" w:rsidRDefault="00C13EC9" w:rsidP="00F43E4D">
            <w:pPr>
              <w:pStyle w:val="TableText"/>
            </w:pPr>
            <w:r>
              <w:t>2.5</w:t>
            </w:r>
            <w:r w:rsidR="009B681A">
              <w:t>–</w:t>
            </w:r>
            <w:r>
              <w:t>3.0</w:t>
            </w:r>
          </w:p>
        </w:tc>
        <w:tc>
          <w:tcPr>
            <w:tcW w:w="1417" w:type="dxa"/>
            <w:tcBorders>
              <w:top w:val="single" w:sz="4" w:space="0" w:color="auto"/>
              <w:bottom w:val="single" w:sz="4" w:space="0" w:color="auto"/>
            </w:tcBorders>
          </w:tcPr>
          <w:p w14:paraId="11917ED0" w14:textId="211F7122" w:rsidR="00C13EC9" w:rsidRDefault="00943E43" w:rsidP="00F43E4D">
            <w:pPr>
              <w:pStyle w:val="TableText"/>
            </w:pPr>
            <w:r>
              <w:t>312</w:t>
            </w:r>
          </w:p>
        </w:tc>
        <w:tc>
          <w:tcPr>
            <w:tcW w:w="1273" w:type="dxa"/>
            <w:tcBorders>
              <w:top w:val="single" w:sz="4" w:space="0" w:color="auto"/>
              <w:bottom w:val="single" w:sz="4" w:space="0" w:color="auto"/>
            </w:tcBorders>
          </w:tcPr>
          <w:p w14:paraId="15BAAB56" w14:textId="389C00F5" w:rsidR="00C13EC9" w:rsidRDefault="00C13EC9" w:rsidP="00C13EC9">
            <w:pPr>
              <w:pStyle w:val="TableText"/>
            </w:pPr>
            <w:r w:rsidRPr="00FB4B94">
              <w:t>Kotalik et al. (2019)</w:t>
            </w:r>
          </w:p>
        </w:tc>
      </w:tr>
      <w:tr w:rsidR="00CF62E4" w:rsidRPr="00045A29" w14:paraId="75C449F6" w14:textId="77777777" w:rsidTr="00C14C27">
        <w:trPr>
          <w:cantSplit/>
        </w:trPr>
        <w:tc>
          <w:tcPr>
            <w:tcW w:w="1429" w:type="dxa"/>
            <w:tcBorders>
              <w:top w:val="single" w:sz="4" w:space="0" w:color="auto"/>
              <w:bottom w:val="single" w:sz="4" w:space="0" w:color="auto"/>
            </w:tcBorders>
          </w:tcPr>
          <w:p w14:paraId="7B41484B" w14:textId="1F587317" w:rsidR="00C13EC9" w:rsidRDefault="00943E43" w:rsidP="00C13EC9">
            <w:pPr>
              <w:pStyle w:val="TableText"/>
            </w:pPr>
            <w:r>
              <w:t>Insecta</w:t>
            </w:r>
          </w:p>
        </w:tc>
        <w:tc>
          <w:tcPr>
            <w:tcW w:w="1553" w:type="dxa"/>
            <w:tcBorders>
              <w:top w:val="single" w:sz="4" w:space="0" w:color="auto"/>
              <w:bottom w:val="single" w:sz="4" w:space="0" w:color="auto"/>
            </w:tcBorders>
          </w:tcPr>
          <w:p w14:paraId="127F52F2" w14:textId="322D3A15" w:rsidR="00C13EC9" w:rsidRPr="000A0E1F" w:rsidRDefault="00943E43" w:rsidP="00F43E4D">
            <w:pPr>
              <w:pStyle w:val="TableText"/>
            </w:pPr>
            <w:r>
              <w:t>Baetidae</w:t>
            </w:r>
          </w:p>
        </w:tc>
        <w:tc>
          <w:tcPr>
            <w:tcW w:w="850" w:type="dxa"/>
            <w:tcBorders>
              <w:top w:val="single" w:sz="4" w:space="0" w:color="auto"/>
              <w:bottom w:val="single" w:sz="4" w:space="0" w:color="auto"/>
            </w:tcBorders>
          </w:tcPr>
          <w:p w14:paraId="399DBE65" w14:textId="66CBDB88" w:rsidR="00C13EC9" w:rsidRDefault="00943E43" w:rsidP="00F43E4D">
            <w:pPr>
              <w:pStyle w:val="TableText"/>
            </w:pPr>
            <w:r>
              <w:t>Larva</w:t>
            </w:r>
          </w:p>
        </w:tc>
        <w:tc>
          <w:tcPr>
            <w:tcW w:w="992" w:type="dxa"/>
            <w:tcBorders>
              <w:top w:val="single" w:sz="4" w:space="0" w:color="auto"/>
              <w:bottom w:val="single" w:sz="4" w:space="0" w:color="auto"/>
            </w:tcBorders>
          </w:tcPr>
          <w:p w14:paraId="739DF02C" w14:textId="1F9D596A" w:rsidR="00C13EC9" w:rsidRDefault="00C13EC9" w:rsidP="00F43E4D">
            <w:pPr>
              <w:pStyle w:val="TableText"/>
            </w:pPr>
            <w:r>
              <w:t>14</w:t>
            </w:r>
          </w:p>
        </w:tc>
        <w:tc>
          <w:tcPr>
            <w:tcW w:w="1559" w:type="dxa"/>
            <w:tcBorders>
              <w:top w:val="single" w:sz="4" w:space="0" w:color="auto"/>
              <w:bottom w:val="single" w:sz="4" w:space="0" w:color="auto"/>
            </w:tcBorders>
          </w:tcPr>
          <w:p w14:paraId="0D13ACC4" w14:textId="6EC8147D" w:rsidR="00C13EC9" w:rsidRDefault="00943E43" w:rsidP="00F43E4D">
            <w:pPr>
              <w:pStyle w:val="TableText"/>
            </w:pPr>
            <w:r>
              <w:t>EC20 (abundance)</w:t>
            </w:r>
          </w:p>
        </w:tc>
        <w:tc>
          <w:tcPr>
            <w:tcW w:w="1276" w:type="dxa"/>
            <w:tcBorders>
              <w:top w:val="single" w:sz="4" w:space="0" w:color="auto"/>
              <w:bottom w:val="single" w:sz="4" w:space="0" w:color="auto"/>
            </w:tcBorders>
          </w:tcPr>
          <w:p w14:paraId="46D79A84" w14:textId="1D4C4E08" w:rsidR="00C13EC9" w:rsidRDefault="00C13EC9" w:rsidP="00F43E4D">
            <w:pPr>
              <w:pStyle w:val="TableText"/>
            </w:pPr>
            <w:r w:rsidRPr="00686862">
              <w:t>River water</w:t>
            </w:r>
          </w:p>
        </w:tc>
        <w:tc>
          <w:tcPr>
            <w:tcW w:w="992" w:type="dxa"/>
            <w:tcBorders>
              <w:top w:val="single" w:sz="4" w:space="0" w:color="auto"/>
              <w:bottom w:val="single" w:sz="4" w:space="0" w:color="auto"/>
            </w:tcBorders>
          </w:tcPr>
          <w:p w14:paraId="584FA673" w14:textId="40E2F074" w:rsidR="00C13EC9" w:rsidRDefault="00C13EC9" w:rsidP="00F43E4D">
            <w:pPr>
              <w:pStyle w:val="TableText"/>
            </w:pPr>
            <w:r>
              <w:t>14.3</w:t>
            </w:r>
            <w:r w:rsidR="009B681A">
              <w:t>–</w:t>
            </w:r>
            <w:r>
              <w:t>14.9</w:t>
            </w:r>
          </w:p>
        </w:tc>
        <w:tc>
          <w:tcPr>
            <w:tcW w:w="1276" w:type="dxa"/>
            <w:tcBorders>
              <w:top w:val="single" w:sz="4" w:space="0" w:color="auto"/>
              <w:bottom w:val="single" w:sz="4" w:space="0" w:color="auto"/>
            </w:tcBorders>
          </w:tcPr>
          <w:p w14:paraId="02B16438" w14:textId="1EAF2E0C" w:rsidR="00C13EC9" w:rsidRDefault="00C13EC9" w:rsidP="00F43E4D">
            <w:pPr>
              <w:pStyle w:val="TableText"/>
            </w:pPr>
            <w:r>
              <w:t>31</w:t>
            </w:r>
          </w:p>
        </w:tc>
        <w:tc>
          <w:tcPr>
            <w:tcW w:w="567" w:type="dxa"/>
            <w:tcBorders>
              <w:top w:val="single" w:sz="4" w:space="0" w:color="auto"/>
              <w:bottom w:val="single" w:sz="4" w:space="0" w:color="auto"/>
            </w:tcBorders>
          </w:tcPr>
          <w:p w14:paraId="6A5E7509" w14:textId="418652C2" w:rsidR="00C13EC9" w:rsidRDefault="00C13EC9" w:rsidP="00F43E4D">
            <w:pPr>
              <w:pStyle w:val="TableText"/>
            </w:pPr>
            <w:r>
              <w:t>7.4</w:t>
            </w:r>
          </w:p>
        </w:tc>
        <w:tc>
          <w:tcPr>
            <w:tcW w:w="850" w:type="dxa"/>
            <w:tcBorders>
              <w:top w:val="single" w:sz="4" w:space="0" w:color="auto"/>
              <w:bottom w:val="single" w:sz="4" w:space="0" w:color="auto"/>
            </w:tcBorders>
          </w:tcPr>
          <w:p w14:paraId="44BCB90E" w14:textId="5D2F5726" w:rsidR="00C13EC9" w:rsidRDefault="00C13EC9" w:rsidP="00F43E4D">
            <w:pPr>
              <w:pStyle w:val="TableText"/>
            </w:pPr>
            <w:r>
              <w:t>2.5</w:t>
            </w:r>
            <w:r w:rsidR="009B681A">
              <w:t>–</w:t>
            </w:r>
            <w:r>
              <w:t>3.0</w:t>
            </w:r>
          </w:p>
        </w:tc>
        <w:tc>
          <w:tcPr>
            <w:tcW w:w="1417" w:type="dxa"/>
            <w:tcBorders>
              <w:top w:val="single" w:sz="4" w:space="0" w:color="auto"/>
              <w:bottom w:val="single" w:sz="4" w:space="0" w:color="auto"/>
            </w:tcBorders>
          </w:tcPr>
          <w:p w14:paraId="17143650" w14:textId="4EF2F708" w:rsidR="00C13EC9" w:rsidRDefault="00943E43" w:rsidP="00F43E4D">
            <w:pPr>
              <w:pStyle w:val="TableText"/>
            </w:pPr>
            <w:r>
              <w:t>422</w:t>
            </w:r>
          </w:p>
        </w:tc>
        <w:tc>
          <w:tcPr>
            <w:tcW w:w="1273" w:type="dxa"/>
            <w:tcBorders>
              <w:top w:val="single" w:sz="4" w:space="0" w:color="auto"/>
              <w:bottom w:val="single" w:sz="4" w:space="0" w:color="auto"/>
            </w:tcBorders>
          </w:tcPr>
          <w:p w14:paraId="7D7467EF" w14:textId="75E521D2" w:rsidR="00C13EC9" w:rsidRDefault="00C13EC9" w:rsidP="00C13EC9">
            <w:pPr>
              <w:pStyle w:val="TableText"/>
            </w:pPr>
            <w:r w:rsidRPr="00FB4B94">
              <w:t>Kotalik et al. (2019)</w:t>
            </w:r>
          </w:p>
        </w:tc>
      </w:tr>
      <w:tr w:rsidR="001A76D8" w:rsidRPr="00045A29" w14:paraId="61EBA906" w14:textId="77777777" w:rsidTr="00C14C27">
        <w:trPr>
          <w:cantSplit/>
        </w:trPr>
        <w:tc>
          <w:tcPr>
            <w:tcW w:w="1429" w:type="dxa"/>
            <w:tcBorders>
              <w:top w:val="single" w:sz="4" w:space="0" w:color="auto"/>
              <w:bottom w:val="single" w:sz="4" w:space="0" w:color="auto"/>
            </w:tcBorders>
          </w:tcPr>
          <w:p w14:paraId="0656523D" w14:textId="2127E433" w:rsidR="00C13EC9" w:rsidRDefault="00943E43" w:rsidP="00C13EC9">
            <w:pPr>
              <w:pStyle w:val="TableText"/>
            </w:pPr>
            <w:r>
              <w:t>Insecta</w:t>
            </w:r>
          </w:p>
        </w:tc>
        <w:tc>
          <w:tcPr>
            <w:tcW w:w="1553" w:type="dxa"/>
            <w:tcBorders>
              <w:top w:val="single" w:sz="4" w:space="0" w:color="auto"/>
              <w:bottom w:val="single" w:sz="4" w:space="0" w:color="auto"/>
            </w:tcBorders>
          </w:tcPr>
          <w:p w14:paraId="389DA8FB" w14:textId="602B700E" w:rsidR="00C13EC9" w:rsidRPr="000A0E1F" w:rsidRDefault="00943E43" w:rsidP="00F43E4D">
            <w:pPr>
              <w:pStyle w:val="TableText"/>
            </w:pPr>
            <w:r>
              <w:t>Chironomidae</w:t>
            </w:r>
          </w:p>
        </w:tc>
        <w:tc>
          <w:tcPr>
            <w:tcW w:w="850" w:type="dxa"/>
            <w:tcBorders>
              <w:top w:val="single" w:sz="4" w:space="0" w:color="auto"/>
              <w:bottom w:val="single" w:sz="4" w:space="0" w:color="auto"/>
            </w:tcBorders>
          </w:tcPr>
          <w:p w14:paraId="13686F37" w14:textId="3AEC60E0" w:rsidR="00C13EC9" w:rsidRDefault="00943E43" w:rsidP="00F43E4D">
            <w:pPr>
              <w:pStyle w:val="TableText"/>
            </w:pPr>
            <w:r>
              <w:t>Larva</w:t>
            </w:r>
          </w:p>
        </w:tc>
        <w:tc>
          <w:tcPr>
            <w:tcW w:w="992" w:type="dxa"/>
            <w:tcBorders>
              <w:top w:val="single" w:sz="4" w:space="0" w:color="auto"/>
              <w:bottom w:val="single" w:sz="4" w:space="0" w:color="auto"/>
            </w:tcBorders>
          </w:tcPr>
          <w:p w14:paraId="287F5624" w14:textId="1B060847" w:rsidR="00C13EC9" w:rsidRDefault="00C13EC9" w:rsidP="00F43E4D">
            <w:pPr>
              <w:pStyle w:val="TableText"/>
            </w:pPr>
            <w:r>
              <w:t>14</w:t>
            </w:r>
          </w:p>
        </w:tc>
        <w:tc>
          <w:tcPr>
            <w:tcW w:w="1559" w:type="dxa"/>
            <w:tcBorders>
              <w:top w:val="single" w:sz="4" w:space="0" w:color="auto"/>
              <w:bottom w:val="single" w:sz="4" w:space="0" w:color="auto"/>
            </w:tcBorders>
          </w:tcPr>
          <w:p w14:paraId="38186FA8" w14:textId="2C488F29" w:rsidR="00C13EC9" w:rsidRDefault="00943E43" w:rsidP="00F43E4D">
            <w:pPr>
              <w:pStyle w:val="TableText"/>
            </w:pPr>
            <w:r>
              <w:t>EC20 (biomass)</w:t>
            </w:r>
          </w:p>
        </w:tc>
        <w:tc>
          <w:tcPr>
            <w:tcW w:w="1276" w:type="dxa"/>
            <w:tcBorders>
              <w:top w:val="single" w:sz="4" w:space="0" w:color="auto"/>
              <w:bottom w:val="single" w:sz="4" w:space="0" w:color="auto"/>
            </w:tcBorders>
          </w:tcPr>
          <w:p w14:paraId="1C804BF0" w14:textId="0BDBDE76" w:rsidR="00C13EC9" w:rsidRDefault="00C13EC9" w:rsidP="00F43E4D">
            <w:pPr>
              <w:pStyle w:val="TableText"/>
            </w:pPr>
            <w:r w:rsidRPr="00686862">
              <w:t>River water</w:t>
            </w:r>
          </w:p>
        </w:tc>
        <w:tc>
          <w:tcPr>
            <w:tcW w:w="992" w:type="dxa"/>
            <w:tcBorders>
              <w:top w:val="single" w:sz="4" w:space="0" w:color="auto"/>
              <w:bottom w:val="single" w:sz="4" w:space="0" w:color="auto"/>
            </w:tcBorders>
          </w:tcPr>
          <w:p w14:paraId="00EDE9BE" w14:textId="7C2F31CE" w:rsidR="00C13EC9" w:rsidRDefault="00C13EC9" w:rsidP="00F43E4D">
            <w:pPr>
              <w:pStyle w:val="TableText"/>
            </w:pPr>
            <w:r>
              <w:t>14.3</w:t>
            </w:r>
            <w:r w:rsidR="009B681A">
              <w:t>–</w:t>
            </w:r>
            <w:r>
              <w:t>14.9</w:t>
            </w:r>
          </w:p>
        </w:tc>
        <w:tc>
          <w:tcPr>
            <w:tcW w:w="1276" w:type="dxa"/>
            <w:tcBorders>
              <w:top w:val="single" w:sz="4" w:space="0" w:color="auto"/>
              <w:bottom w:val="single" w:sz="4" w:space="0" w:color="auto"/>
            </w:tcBorders>
          </w:tcPr>
          <w:p w14:paraId="422CD04D" w14:textId="52D418D7" w:rsidR="00C13EC9" w:rsidRDefault="00C13EC9" w:rsidP="00F43E4D">
            <w:pPr>
              <w:pStyle w:val="TableText"/>
            </w:pPr>
            <w:r>
              <w:t>31</w:t>
            </w:r>
          </w:p>
        </w:tc>
        <w:tc>
          <w:tcPr>
            <w:tcW w:w="567" w:type="dxa"/>
            <w:tcBorders>
              <w:top w:val="single" w:sz="4" w:space="0" w:color="auto"/>
              <w:bottom w:val="single" w:sz="4" w:space="0" w:color="auto"/>
            </w:tcBorders>
          </w:tcPr>
          <w:p w14:paraId="4C3FEF3E" w14:textId="2DC9D602" w:rsidR="00C13EC9" w:rsidRDefault="00C13EC9" w:rsidP="00F43E4D">
            <w:pPr>
              <w:pStyle w:val="TableText"/>
            </w:pPr>
            <w:r>
              <w:t>7.4</w:t>
            </w:r>
          </w:p>
        </w:tc>
        <w:tc>
          <w:tcPr>
            <w:tcW w:w="850" w:type="dxa"/>
            <w:tcBorders>
              <w:top w:val="single" w:sz="4" w:space="0" w:color="auto"/>
              <w:bottom w:val="single" w:sz="4" w:space="0" w:color="auto"/>
            </w:tcBorders>
          </w:tcPr>
          <w:p w14:paraId="4BC9F796" w14:textId="3996A658" w:rsidR="00C13EC9" w:rsidRDefault="00C13EC9" w:rsidP="00F43E4D">
            <w:pPr>
              <w:pStyle w:val="TableText"/>
            </w:pPr>
            <w:r>
              <w:t>2.5</w:t>
            </w:r>
            <w:r w:rsidR="009B681A">
              <w:t>–</w:t>
            </w:r>
            <w:r>
              <w:t>3.0</w:t>
            </w:r>
          </w:p>
        </w:tc>
        <w:tc>
          <w:tcPr>
            <w:tcW w:w="1417" w:type="dxa"/>
            <w:tcBorders>
              <w:top w:val="single" w:sz="4" w:space="0" w:color="auto"/>
              <w:bottom w:val="single" w:sz="4" w:space="0" w:color="auto"/>
            </w:tcBorders>
          </w:tcPr>
          <w:p w14:paraId="1E2C1C12" w14:textId="0045E045" w:rsidR="00C13EC9" w:rsidRDefault="00943E43" w:rsidP="00F43E4D">
            <w:pPr>
              <w:pStyle w:val="TableText"/>
            </w:pPr>
            <w:r>
              <w:t>15</w:t>
            </w:r>
          </w:p>
        </w:tc>
        <w:tc>
          <w:tcPr>
            <w:tcW w:w="1273" w:type="dxa"/>
            <w:tcBorders>
              <w:top w:val="single" w:sz="4" w:space="0" w:color="auto"/>
              <w:bottom w:val="single" w:sz="4" w:space="0" w:color="auto"/>
            </w:tcBorders>
          </w:tcPr>
          <w:p w14:paraId="1D3DAB91" w14:textId="69D1BD2E" w:rsidR="00C13EC9" w:rsidRDefault="00C13EC9" w:rsidP="00C13EC9">
            <w:pPr>
              <w:pStyle w:val="TableText"/>
            </w:pPr>
            <w:r w:rsidRPr="00FB4B94">
              <w:t>Kotalik et al. (2019)</w:t>
            </w:r>
          </w:p>
        </w:tc>
      </w:tr>
      <w:tr w:rsidR="001A76D8" w:rsidRPr="00045A29" w14:paraId="10D2C5A4" w14:textId="77777777" w:rsidTr="00C14C27">
        <w:trPr>
          <w:cantSplit/>
        </w:trPr>
        <w:tc>
          <w:tcPr>
            <w:tcW w:w="1429" w:type="dxa"/>
            <w:tcBorders>
              <w:top w:val="single" w:sz="4" w:space="0" w:color="auto"/>
              <w:bottom w:val="single" w:sz="4" w:space="0" w:color="auto"/>
            </w:tcBorders>
          </w:tcPr>
          <w:p w14:paraId="4DD65373" w14:textId="55903550" w:rsidR="00C13EC9" w:rsidRDefault="00943E43" w:rsidP="00C13EC9">
            <w:pPr>
              <w:pStyle w:val="TableText"/>
            </w:pPr>
            <w:r>
              <w:t>Insecta</w:t>
            </w:r>
          </w:p>
        </w:tc>
        <w:tc>
          <w:tcPr>
            <w:tcW w:w="1553" w:type="dxa"/>
            <w:tcBorders>
              <w:top w:val="single" w:sz="4" w:space="0" w:color="auto"/>
              <w:bottom w:val="single" w:sz="4" w:space="0" w:color="auto"/>
            </w:tcBorders>
          </w:tcPr>
          <w:p w14:paraId="324C3786" w14:textId="524222B2" w:rsidR="00C13EC9" w:rsidRPr="000A0E1F" w:rsidRDefault="00943E43" w:rsidP="00F43E4D">
            <w:pPr>
              <w:pStyle w:val="TableText"/>
            </w:pPr>
            <w:r>
              <w:t>Simuliidae</w:t>
            </w:r>
          </w:p>
        </w:tc>
        <w:tc>
          <w:tcPr>
            <w:tcW w:w="850" w:type="dxa"/>
            <w:tcBorders>
              <w:top w:val="single" w:sz="4" w:space="0" w:color="auto"/>
              <w:bottom w:val="single" w:sz="4" w:space="0" w:color="auto"/>
            </w:tcBorders>
          </w:tcPr>
          <w:p w14:paraId="30FAD3DE" w14:textId="6D7CB589" w:rsidR="00C13EC9" w:rsidRDefault="00943E43" w:rsidP="00F43E4D">
            <w:pPr>
              <w:pStyle w:val="TableText"/>
            </w:pPr>
            <w:r>
              <w:t>Larva</w:t>
            </w:r>
          </w:p>
        </w:tc>
        <w:tc>
          <w:tcPr>
            <w:tcW w:w="992" w:type="dxa"/>
            <w:tcBorders>
              <w:top w:val="single" w:sz="4" w:space="0" w:color="auto"/>
              <w:bottom w:val="single" w:sz="4" w:space="0" w:color="auto"/>
            </w:tcBorders>
          </w:tcPr>
          <w:p w14:paraId="219EAA5E" w14:textId="0D1A4C00" w:rsidR="00C13EC9" w:rsidRDefault="00C13EC9" w:rsidP="00F43E4D">
            <w:pPr>
              <w:pStyle w:val="TableText"/>
            </w:pPr>
            <w:r>
              <w:t>14</w:t>
            </w:r>
          </w:p>
        </w:tc>
        <w:tc>
          <w:tcPr>
            <w:tcW w:w="1559" w:type="dxa"/>
            <w:tcBorders>
              <w:top w:val="single" w:sz="4" w:space="0" w:color="auto"/>
              <w:bottom w:val="single" w:sz="4" w:space="0" w:color="auto"/>
            </w:tcBorders>
          </w:tcPr>
          <w:p w14:paraId="5EFA8CE5" w14:textId="7FBAA5F7" w:rsidR="00C13EC9" w:rsidRDefault="00943E43" w:rsidP="00F43E4D">
            <w:pPr>
              <w:pStyle w:val="TableText"/>
            </w:pPr>
            <w:r>
              <w:t>EC20 (biomass)</w:t>
            </w:r>
          </w:p>
        </w:tc>
        <w:tc>
          <w:tcPr>
            <w:tcW w:w="1276" w:type="dxa"/>
            <w:tcBorders>
              <w:top w:val="single" w:sz="4" w:space="0" w:color="auto"/>
              <w:bottom w:val="single" w:sz="4" w:space="0" w:color="auto"/>
            </w:tcBorders>
          </w:tcPr>
          <w:p w14:paraId="4CFC2899" w14:textId="3CCC62EB" w:rsidR="00C13EC9" w:rsidRDefault="00C13EC9" w:rsidP="00F43E4D">
            <w:pPr>
              <w:pStyle w:val="TableText"/>
            </w:pPr>
            <w:r w:rsidRPr="00686862">
              <w:t>River water</w:t>
            </w:r>
          </w:p>
        </w:tc>
        <w:tc>
          <w:tcPr>
            <w:tcW w:w="992" w:type="dxa"/>
            <w:tcBorders>
              <w:top w:val="single" w:sz="4" w:space="0" w:color="auto"/>
              <w:bottom w:val="single" w:sz="4" w:space="0" w:color="auto"/>
            </w:tcBorders>
          </w:tcPr>
          <w:p w14:paraId="00AE55A5" w14:textId="63785735" w:rsidR="00C13EC9" w:rsidRDefault="00C13EC9" w:rsidP="00F43E4D">
            <w:pPr>
              <w:pStyle w:val="TableText"/>
            </w:pPr>
            <w:r>
              <w:t>14.3</w:t>
            </w:r>
            <w:r w:rsidR="009B681A">
              <w:t>–</w:t>
            </w:r>
            <w:r>
              <w:t>14.9</w:t>
            </w:r>
          </w:p>
        </w:tc>
        <w:tc>
          <w:tcPr>
            <w:tcW w:w="1276" w:type="dxa"/>
            <w:tcBorders>
              <w:top w:val="single" w:sz="4" w:space="0" w:color="auto"/>
              <w:bottom w:val="single" w:sz="4" w:space="0" w:color="auto"/>
            </w:tcBorders>
          </w:tcPr>
          <w:p w14:paraId="3B18492C" w14:textId="44B9FDAE" w:rsidR="00C13EC9" w:rsidRDefault="00C13EC9" w:rsidP="00F43E4D">
            <w:pPr>
              <w:pStyle w:val="TableText"/>
            </w:pPr>
            <w:r>
              <w:t>31</w:t>
            </w:r>
          </w:p>
        </w:tc>
        <w:tc>
          <w:tcPr>
            <w:tcW w:w="567" w:type="dxa"/>
            <w:tcBorders>
              <w:top w:val="single" w:sz="4" w:space="0" w:color="auto"/>
              <w:bottom w:val="single" w:sz="4" w:space="0" w:color="auto"/>
            </w:tcBorders>
          </w:tcPr>
          <w:p w14:paraId="2DBBF999" w14:textId="2E45CCFC" w:rsidR="00C13EC9" w:rsidRDefault="00C13EC9" w:rsidP="00F43E4D">
            <w:pPr>
              <w:pStyle w:val="TableText"/>
            </w:pPr>
            <w:r>
              <w:t>7.4</w:t>
            </w:r>
          </w:p>
        </w:tc>
        <w:tc>
          <w:tcPr>
            <w:tcW w:w="850" w:type="dxa"/>
            <w:tcBorders>
              <w:top w:val="single" w:sz="4" w:space="0" w:color="auto"/>
              <w:bottom w:val="single" w:sz="4" w:space="0" w:color="auto"/>
            </w:tcBorders>
          </w:tcPr>
          <w:p w14:paraId="1F633501" w14:textId="1AB672E9" w:rsidR="00C13EC9" w:rsidRDefault="00C13EC9" w:rsidP="00F43E4D">
            <w:pPr>
              <w:pStyle w:val="TableText"/>
            </w:pPr>
            <w:r>
              <w:t>2.5</w:t>
            </w:r>
            <w:r w:rsidR="009B681A">
              <w:t>–</w:t>
            </w:r>
            <w:r>
              <w:t>3.0</w:t>
            </w:r>
          </w:p>
        </w:tc>
        <w:tc>
          <w:tcPr>
            <w:tcW w:w="1417" w:type="dxa"/>
            <w:tcBorders>
              <w:top w:val="single" w:sz="4" w:space="0" w:color="auto"/>
              <w:bottom w:val="single" w:sz="4" w:space="0" w:color="auto"/>
            </w:tcBorders>
          </w:tcPr>
          <w:p w14:paraId="3BF539B6" w14:textId="70D0CE90" w:rsidR="00C13EC9" w:rsidRDefault="00943E43" w:rsidP="00F43E4D">
            <w:pPr>
              <w:pStyle w:val="TableText"/>
            </w:pPr>
            <w:r>
              <w:t>16</w:t>
            </w:r>
          </w:p>
        </w:tc>
        <w:tc>
          <w:tcPr>
            <w:tcW w:w="1273" w:type="dxa"/>
            <w:tcBorders>
              <w:top w:val="single" w:sz="4" w:space="0" w:color="auto"/>
              <w:bottom w:val="single" w:sz="4" w:space="0" w:color="auto"/>
            </w:tcBorders>
          </w:tcPr>
          <w:p w14:paraId="49B3C67F" w14:textId="557B270F" w:rsidR="00C13EC9" w:rsidRDefault="00C13EC9" w:rsidP="00C13EC9">
            <w:pPr>
              <w:pStyle w:val="TableText"/>
            </w:pPr>
            <w:r w:rsidRPr="00FB4B94">
              <w:t>Kotalik et al. (2019)</w:t>
            </w:r>
          </w:p>
        </w:tc>
      </w:tr>
      <w:tr w:rsidR="001A76D8" w:rsidRPr="00045A29" w14:paraId="3C9C7F17" w14:textId="77777777" w:rsidTr="00C14C27">
        <w:trPr>
          <w:cantSplit/>
        </w:trPr>
        <w:tc>
          <w:tcPr>
            <w:tcW w:w="1429" w:type="dxa"/>
            <w:tcBorders>
              <w:top w:val="single" w:sz="4" w:space="0" w:color="auto"/>
              <w:bottom w:val="single" w:sz="4" w:space="0" w:color="auto"/>
            </w:tcBorders>
          </w:tcPr>
          <w:p w14:paraId="00F4CD58" w14:textId="630DC232" w:rsidR="00C13EC9" w:rsidRDefault="00943E43" w:rsidP="00C13EC9">
            <w:pPr>
              <w:pStyle w:val="TableText"/>
            </w:pPr>
            <w:r>
              <w:t>Insecta</w:t>
            </w:r>
          </w:p>
        </w:tc>
        <w:tc>
          <w:tcPr>
            <w:tcW w:w="1553" w:type="dxa"/>
            <w:tcBorders>
              <w:top w:val="single" w:sz="4" w:space="0" w:color="auto"/>
              <w:bottom w:val="single" w:sz="4" w:space="0" w:color="auto"/>
            </w:tcBorders>
          </w:tcPr>
          <w:p w14:paraId="4A765540" w14:textId="79FEBD5A" w:rsidR="00C13EC9" w:rsidRPr="000A0E1F" w:rsidRDefault="00943E43" w:rsidP="00F43E4D">
            <w:pPr>
              <w:pStyle w:val="TableText"/>
            </w:pPr>
            <w:r>
              <w:t>Chironomidae</w:t>
            </w:r>
          </w:p>
        </w:tc>
        <w:tc>
          <w:tcPr>
            <w:tcW w:w="850" w:type="dxa"/>
            <w:tcBorders>
              <w:top w:val="single" w:sz="4" w:space="0" w:color="auto"/>
              <w:bottom w:val="single" w:sz="4" w:space="0" w:color="auto"/>
            </w:tcBorders>
          </w:tcPr>
          <w:p w14:paraId="38B15F81" w14:textId="18FC8DFC" w:rsidR="00C13EC9" w:rsidRDefault="00943E43" w:rsidP="00F43E4D">
            <w:pPr>
              <w:pStyle w:val="TableText"/>
            </w:pPr>
            <w:r>
              <w:t>Adult</w:t>
            </w:r>
          </w:p>
        </w:tc>
        <w:tc>
          <w:tcPr>
            <w:tcW w:w="992" w:type="dxa"/>
            <w:tcBorders>
              <w:top w:val="single" w:sz="4" w:space="0" w:color="auto"/>
              <w:bottom w:val="single" w:sz="4" w:space="0" w:color="auto"/>
            </w:tcBorders>
          </w:tcPr>
          <w:p w14:paraId="07A9A259" w14:textId="3A3ABF8B" w:rsidR="00C13EC9" w:rsidRDefault="00C13EC9" w:rsidP="00F43E4D">
            <w:pPr>
              <w:pStyle w:val="TableText"/>
            </w:pPr>
            <w:r>
              <w:t>14</w:t>
            </w:r>
          </w:p>
        </w:tc>
        <w:tc>
          <w:tcPr>
            <w:tcW w:w="1559" w:type="dxa"/>
            <w:tcBorders>
              <w:top w:val="single" w:sz="4" w:space="0" w:color="auto"/>
              <w:bottom w:val="single" w:sz="4" w:space="0" w:color="auto"/>
            </w:tcBorders>
          </w:tcPr>
          <w:p w14:paraId="11C5D294" w14:textId="72895379" w:rsidR="00C13EC9" w:rsidRDefault="00943E43" w:rsidP="00F43E4D">
            <w:pPr>
              <w:pStyle w:val="TableText"/>
            </w:pPr>
            <w:r>
              <w:t>EC20 (biomass)</w:t>
            </w:r>
          </w:p>
        </w:tc>
        <w:tc>
          <w:tcPr>
            <w:tcW w:w="1276" w:type="dxa"/>
            <w:tcBorders>
              <w:top w:val="single" w:sz="4" w:space="0" w:color="auto"/>
              <w:bottom w:val="single" w:sz="4" w:space="0" w:color="auto"/>
            </w:tcBorders>
          </w:tcPr>
          <w:p w14:paraId="6D2C2B9D" w14:textId="59746FDD" w:rsidR="00C13EC9" w:rsidRDefault="00C13EC9" w:rsidP="00F43E4D">
            <w:pPr>
              <w:pStyle w:val="TableText"/>
            </w:pPr>
            <w:r w:rsidRPr="00686862">
              <w:t>River water</w:t>
            </w:r>
          </w:p>
        </w:tc>
        <w:tc>
          <w:tcPr>
            <w:tcW w:w="992" w:type="dxa"/>
            <w:tcBorders>
              <w:top w:val="single" w:sz="4" w:space="0" w:color="auto"/>
              <w:bottom w:val="single" w:sz="4" w:space="0" w:color="auto"/>
            </w:tcBorders>
          </w:tcPr>
          <w:p w14:paraId="52921A8C" w14:textId="64630246" w:rsidR="00C13EC9" w:rsidRDefault="00C13EC9" w:rsidP="00F43E4D">
            <w:pPr>
              <w:pStyle w:val="TableText"/>
            </w:pPr>
            <w:r>
              <w:t>14.3</w:t>
            </w:r>
            <w:r w:rsidR="009B681A">
              <w:t>–</w:t>
            </w:r>
            <w:r>
              <w:t>14.9</w:t>
            </w:r>
          </w:p>
        </w:tc>
        <w:tc>
          <w:tcPr>
            <w:tcW w:w="1276" w:type="dxa"/>
            <w:tcBorders>
              <w:top w:val="single" w:sz="4" w:space="0" w:color="auto"/>
              <w:bottom w:val="single" w:sz="4" w:space="0" w:color="auto"/>
            </w:tcBorders>
          </w:tcPr>
          <w:p w14:paraId="4A115815" w14:textId="5E917EA9" w:rsidR="00C13EC9" w:rsidRDefault="00C13EC9" w:rsidP="00F43E4D">
            <w:pPr>
              <w:pStyle w:val="TableText"/>
            </w:pPr>
            <w:r>
              <w:t>31</w:t>
            </w:r>
          </w:p>
        </w:tc>
        <w:tc>
          <w:tcPr>
            <w:tcW w:w="567" w:type="dxa"/>
            <w:tcBorders>
              <w:top w:val="single" w:sz="4" w:space="0" w:color="auto"/>
              <w:bottom w:val="single" w:sz="4" w:space="0" w:color="auto"/>
            </w:tcBorders>
          </w:tcPr>
          <w:p w14:paraId="166CF4B3" w14:textId="0EB50B5D" w:rsidR="00C13EC9" w:rsidRDefault="00C13EC9" w:rsidP="00F43E4D">
            <w:pPr>
              <w:pStyle w:val="TableText"/>
            </w:pPr>
            <w:r>
              <w:t>7.4</w:t>
            </w:r>
          </w:p>
        </w:tc>
        <w:tc>
          <w:tcPr>
            <w:tcW w:w="850" w:type="dxa"/>
            <w:tcBorders>
              <w:top w:val="single" w:sz="4" w:space="0" w:color="auto"/>
              <w:bottom w:val="single" w:sz="4" w:space="0" w:color="auto"/>
            </w:tcBorders>
          </w:tcPr>
          <w:p w14:paraId="6CF42D0C" w14:textId="455B2905" w:rsidR="00C13EC9" w:rsidRDefault="00C13EC9" w:rsidP="00F43E4D">
            <w:pPr>
              <w:pStyle w:val="TableText"/>
            </w:pPr>
            <w:r>
              <w:t>2.5</w:t>
            </w:r>
            <w:r w:rsidR="009B681A">
              <w:t>–</w:t>
            </w:r>
            <w:r>
              <w:t>3.0</w:t>
            </w:r>
          </w:p>
        </w:tc>
        <w:tc>
          <w:tcPr>
            <w:tcW w:w="1417" w:type="dxa"/>
            <w:tcBorders>
              <w:top w:val="single" w:sz="4" w:space="0" w:color="auto"/>
              <w:bottom w:val="single" w:sz="4" w:space="0" w:color="auto"/>
            </w:tcBorders>
          </w:tcPr>
          <w:p w14:paraId="6E712423" w14:textId="151E0F47" w:rsidR="00C13EC9" w:rsidRDefault="00943E43" w:rsidP="00F43E4D">
            <w:pPr>
              <w:pStyle w:val="TableText"/>
            </w:pPr>
            <w:r>
              <w:t>795</w:t>
            </w:r>
          </w:p>
        </w:tc>
        <w:tc>
          <w:tcPr>
            <w:tcW w:w="1273" w:type="dxa"/>
            <w:tcBorders>
              <w:top w:val="single" w:sz="4" w:space="0" w:color="auto"/>
              <w:bottom w:val="single" w:sz="4" w:space="0" w:color="auto"/>
            </w:tcBorders>
          </w:tcPr>
          <w:p w14:paraId="05843972" w14:textId="52503F54" w:rsidR="00C13EC9" w:rsidRDefault="00C13EC9" w:rsidP="00C13EC9">
            <w:pPr>
              <w:pStyle w:val="TableText"/>
            </w:pPr>
            <w:r w:rsidRPr="00FB4B94">
              <w:t>Kotalik et al. (2019)</w:t>
            </w:r>
          </w:p>
        </w:tc>
      </w:tr>
      <w:tr w:rsidR="001A76D8" w:rsidRPr="00045A29" w14:paraId="0E3A87D9" w14:textId="77777777" w:rsidTr="00C14C27">
        <w:trPr>
          <w:cantSplit/>
        </w:trPr>
        <w:tc>
          <w:tcPr>
            <w:tcW w:w="1429" w:type="dxa"/>
            <w:tcBorders>
              <w:top w:val="single" w:sz="4" w:space="0" w:color="auto"/>
              <w:bottom w:val="single" w:sz="4" w:space="0" w:color="auto"/>
            </w:tcBorders>
          </w:tcPr>
          <w:p w14:paraId="219E270F" w14:textId="40DB1560" w:rsidR="00943E43" w:rsidRDefault="00943E43" w:rsidP="00943E43">
            <w:pPr>
              <w:pStyle w:val="TableText"/>
            </w:pPr>
            <w:r>
              <w:t>Insecta</w:t>
            </w:r>
          </w:p>
        </w:tc>
        <w:tc>
          <w:tcPr>
            <w:tcW w:w="1553" w:type="dxa"/>
            <w:tcBorders>
              <w:top w:val="single" w:sz="4" w:space="0" w:color="auto"/>
              <w:bottom w:val="single" w:sz="4" w:space="0" w:color="auto"/>
            </w:tcBorders>
          </w:tcPr>
          <w:p w14:paraId="4B4D3959" w14:textId="68FACFED" w:rsidR="00943E43" w:rsidRPr="000A0E1F" w:rsidRDefault="00943E43" w:rsidP="00F43E4D">
            <w:pPr>
              <w:pStyle w:val="TableText"/>
            </w:pPr>
            <w:r>
              <w:t>Baetidae</w:t>
            </w:r>
          </w:p>
        </w:tc>
        <w:tc>
          <w:tcPr>
            <w:tcW w:w="850" w:type="dxa"/>
            <w:tcBorders>
              <w:top w:val="single" w:sz="4" w:space="0" w:color="auto"/>
              <w:bottom w:val="single" w:sz="4" w:space="0" w:color="auto"/>
            </w:tcBorders>
          </w:tcPr>
          <w:p w14:paraId="6C9DEF6F" w14:textId="5E669CB1" w:rsidR="00943E43" w:rsidRDefault="00943E43" w:rsidP="00F43E4D">
            <w:pPr>
              <w:pStyle w:val="TableText"/>
            </w:pPr>
            <w:r>
              <w:t>Adult</w:t>
            </w:r>
          </w:p>
        </w:tc>
        <w:tc>
          <w:tcPr>
            <w:tcW w:w="992" w:type="dxa"/>
            <w:tcBorders>
              <w:top w:val="single" w:sz="4" w:space="0" w:color="auto"/>
              <w:bottom w:val="single" w:sz="4" w:space="0" w:color="auto"/>
            </w:tcBorders>
          </w:tcPr>
          <w:p w14:paraId="01F768F1" w14:textId="178FD140" w:rsidR="00943E43" w:rsidRDefault="00943E43" w:rsidP="00F43E4D">
            <w:pPr>
              <w:pStyle w:val="TableText"/>
            </w:pPr>
            <w:r>
              <w:t>14</w:t>
            </w:r>
          </w:p>
        </w:tc>
        <w:tc>
          <w:tcPr>
            <w:tcW w:w="1559" w:type="dxa"/>
            <w:tcBorders>
              <w:top w:val="single" w:sz="4" w:space="0" w:color="auto"/>
              <w:bottom w:val="single" w:sz="4" w:space="0" w:color="auto"/>
            </w:tcBorders>
          </w:tcPr>
          <w:p w14:paraId="0B81A385" w14:textId="035B334F" w:rsidR="00943E43" w:rsidRDefault="00943E43" w:rsidP="00F43E4D">
            <w:pPr>
              <w:pStyle w:val="TableText"/>
            </w:pPr>
            <w:r>
              <w:t>EC20 (biomass)</w:t>
            </w:r>
          </w:p>
        </w:tc>
        <w:tc>
          <w:tcPr>
            <w:tcW w:w="1276" w:type="dxa"/>
            <w:tcBorders>
              <w:top w:val="single" w:sz="4" w:space="0" w:color="auto"/>
              <w:bottom w:val="single" w:sz="4" w:space="0" w:color="auto"/>
            </w:tcBorders>
          </w:tcPr>
          <w:p w14:paraId="076AE11E" w14:textId="5023E59C" w:rsidR="00943E43" w:rsidRDefault="00943E43" w:rsidP="00F43E4D">
            <w:pPr>
              <w:pStyle w:val="TableText"/>
            </w:pPr>
            <w:r w:rsidRPr="00686862">
              <w:t>River water</w:t>
            </w:r>
          </w:p>
        </w:tc>
        <w:tc>
          <w:tcPr>
            <w:tcW w:w="992" w:type="dxa"/>
            <w:tcBorders>
              <w:top w:val="single" w:sz="4" w:space="0" w:color="auto"/>
              <w:bottom w:val="single" w:sz="4" w:space="0" w:color="auto"/>
            </w:tcBorders>
          </w:tcPr>
          <w:p w14:paraId="2A4ADE0F" w14:textId="55418CBE" w:rsidR="00943E43" w:rsidRDefault="00943E43" w:rsidP="00F43E4D">
            <w:pPr>
              <w:pStyle w:val="TableText"/>
            </w:pPr>
            <w:r>
              <w:t>14.3</w:t>
            </w:r>
            <w:r w:rsidR="009B681A">
              <w:t>–</w:t>
            </w:r>
            <w:r>
              <w:t>14.9</w:t>
            </w:r>
          </w:p>
        </w:tc>
        <w:tc>
          <w:tcPr>
            <w:tcW w:w="1276" w:type="dxa"/>
            <w:tcBorders>
              <w:top w:val="single" w:sz="4" w:space="0" w:color="auto"/>
              <w:bottom w:val="single" w:sz="4" w:space="0" w:color="auto"/>
            </w:tcBorders>
          </w:tcPr>
          <w:p w14:paraId="1535A971" w14:textId="6BBAEB7F" w:rsidR="00943E43" w:rsidRDefault="00943E43" w:rsidP="00F43E4D">
            <w:pPr>
              <w:pStyle w:val="TableText"/>
            </w:pPr>
            <w:r>
              <w:t>31</w:t>
            </w:r>
          </w:p>
        </w:tc>
        <w:tc>
          <w:tcPr>
            <w:tcW w:w="567" w:type="dxa"/>
            <w:tcBorders>
              <w:top w:val="single" w:sz="4" w:space="0" w:color="auto"/>
              <w:bottom w:val="single" w:sz="4" w:space="0" w:color="auto"/>
            </w:tcBorders>
          </w:tcPr>
          <w:p w14:paraId="46B20547" w14:textId="7CE95B7F" w:rsidR="00943E43" w:rsidRDefault="00943E43" w:rsidP="00F43E4D">
            <w:pPr>
              <w:pStyle w:val="TableText"/>
            </w:pPr>
            <w:r>
              <w:t>7.4</w:t>
            </w:r>
          </w:p>
        </w:tc>
        <w:tc>
          <w:tcPr>
            <w:tcW w:w="850" w:type="dxa"/>
            <w:tcBorders>
              <w:top w:val="single" w:sz="4" w:space="0" w:color="auto"/>
              <w:bottom w:val="single" w:sz="4" w:space="0" w:color="auto"/>
            </w:tcBorders>
          </w:tcPr>
          <w:p w14:paraId="36815B98" w14:textId="4EC12C64" w:rsidR="00943E43" w:rsidRDefault="00943E43" w:rsidP="00F43E4D">
            <w:pPr>
              <w:pStyle w:val="TableText"/>
            </w:pPr>
            <w:r>
              <w:t>2.5</w:t>
            </w:r>
            <w:r w:rsidR="009B681A">
              <w:t>–</w:t>
            </w:r>
            <w:r>
              <w:t>3.0</w:t>
            </w:r>
          </w:p>
        </w:tc>
        <w:tc>
          <w:tcPr>
            <w:tcW w:w="1417" w:type="dxa"/>
            <w:tcBorders>
              <w:top w:val="single" w:sz="4" w:space="0" w:color="auto"/>
              <w:bottom w:val="single" w:sz="4" w:space="0" w:color="auto"/>
            </w:tcBorders>
          </w:tcPr>
          <w:p w14:paraId="1BA3B827" w14:textId="22163D00" w:rsidR="00943E43" w:rsidRDefault="00943E43" w:rsidP="00F43E4D">
            <w:pPr>
              <w:pStyle w:val="TableText"/>
            </w:pPr>
            <w:r>
              <w:t>1</w:t>
            </w:r>
          </w:p>
        </w:tc>
        <w:tc>
          <w:tcPr>
            <w:tcW w:w="1273" w:type="dxa"/>
            <w:tcBorders>
              <w:top w:val="single" w:sz="4" w:space="0" w:color="auto"/>
              <w:bottom w:val="single" w:sz="4" w:space="0" w:color="auto"/>
            </w:tcBorders>
          </w:tcPr>
          <w:p w14:paraId="72DC7327" w14:textId="18D32EE0" w:rsidR="00943E43" w:rsidRDefault="00943E43" w:rsidP="00943E43">
            <w:pPr>
              <w:pStyle w:val="TableText"/>
            </w:pPr>
            <w:r w:rsidRPr="00FB4B94">
              <w:t>Kotalik et al. (2019)</w:t>
            </w:r>
          </w:p>
        </w:tc>
      </w:tr>
      <w:tr w:rsidR="001A76D8" w:rsidRPr="00045A29" w14:paraId="1A903719" w14:textId="77777777" w:rsidTr="00C14C27">
        <w:trPr>
          <w:cantSplit/>
        </w:trPr>
        <w:tc>
          <w:tcPr>
            <w:tcW w:w="1429" w:type="dxa"/>
            <w:tcBorders>
              <w:top w:val="single" w:sz="4" w:space="0" w:color="auto"/>
              <w:bottom w:val="single" w:sz="4" w:space="0" w:color="auto"/>
            </w:tcBorders>
          </w:tcPr>
          <w:p w14:paraId="767A39DD" w14:textId="6FEC1D33" w:rsidR="00943E43" w:rsidRDefault="00943E43" w:rsidP="00943E43">
            <w:pPr>
              <w:pStyle w:val="TableText"/>
            </w:pPr>
            <w:r>
              <w:t>Insecta</w:t>
            </w:r>
          </w:p>
        </w:tc>
        <w:tc>
          <w:tcPr>
            <w:tcW w:w="1553" w:type="dxa"/>
            <w:tcBorders>
              <w:top w:val="single" w:sz="4" w:space="0" w:color="auto"/>
              <w:bottom w:val="single" w:sz="4" w:space="0" w:color="auto"/>
            </w:tcBorders>
          </w:tcPr>
          <w:p w14:paraId="4A0ACFAA" w14:textId="29A13593" w:rsidR="00943E43" w:rsidRPr="000A0E1F" w:rsidRDefault="00943E43" w:rsidP="00F43E4D">
            <w:pPr>
              <w:pStyle w:val="TableText"/>
            </w:pPr>
            <w:r>
              <w:t>Chironomidae</w:t>
            </w:r>
          </w:p>
        </w:tc>
        <w:tc>
          <w:tcPr>
            <w:tcW w:w="850" w:type="dxa"/>
            <w:tcBorders>
              <w:top w:val="single" w:sz="4" w:space="0" w:color="auto"/>
              <w:bottom w:val="single" w:sz="4" w:space="0" w:color="auto"/>
            </w:tcBorders>
          </w:tcPr>
          <w:p w14:paraId="1BCD9AAE" w14:textId="289108B1" w:rsidR="00943E43" w:rsidRDefault="00943E43" w:rsidP="00F43E4D">
            <w:pPr>
              <w:pStyle w:val="TableText"/>
            </w:pPr>
            <w:r>
              <w:t>Larva</w:t>
            </w:r>
          </w:p>
        </w:tc>
        <w:tc>
          <w:tcPr>
            <w:tcW w:w="992" w:type="dxa"/>
            <w:tcBorders>
              <w:top w:val="single" w:sz="4" w:space="0" w:color="auto"/>
              <w:bottom w:val="single" w:sz="4" w:space="0" w:color="auto"/>
            </w:tcBorders>
          </w:tcPr>
          <w:p w14:paraId="39B3CA98" w14:textId="348728D7" w:rsidR="00943E43" w:rsidRDefault="00943E43" w:rsidP="00F43E4D">
            <w:pPr>
              <w:pStyle w:val="TableText"/>
            </w:pPr>
            <w:r>
              <w:t>14</w:t>
            </w:r>
          </w:p>
        </w:tc>
        <w:tc>
          <w:tcPr>
            <w:tcW w:w="1559" w:type="dxa"/>
            <w:tcBorders>
              <w:top w:val="single" w:sz="4" w:space="0" w:color="auto"/>
              <w:bottom w:val="single" w:sz="4" w:space="0" w:color="auto"/>
            </w:tcBorders>
          </w:tcPr>
          <w:p w14:paraId="41700AB3" w14:textId="352B81D9" w:rsidR="00943E43" w:rsidRDefault="00943E43" w:rsidP="00F43E4D">
            <w:pPr>
              <w:pStyle w:val="TableText"/>
            </w:pPr>
            <w:r>
              <w:t>EC20 (abundance)</w:t>
            </w:r>
          </w:p>
        </w:tc>
        <w:tc>
          <w:tcPr>
            <w:tcW w:w="1276" w:type="dxa"/>
            <w:tcBorders>
              <w:top w:val="single" w:sz="4" w:space="0" w:color="auto"/>
              <w:bottom w:val="single" w:sz="4" w:space="0" w:color="auto"/>
            </w:tcBorders>
          </w:tcPr>
          <w:p w14:paraId="02575AEF" w14:textId="1D8D24A1" w:rsidR="00943E43" w:rsidRDefault="00943E43" w:rsidP="00F43E4D">
            <w:pPr>
              <w:pStyle w:val="TableText"/>
            </w:pPr>
            <w:r w:rsidRPr="00686862">
              <w:t>River water</w:t>
            </w:r>
          </w:p>
        </w:tc>
        <w:tc>
          <w:tcPr>
            <w:tcW w:w="992" w:type="dxa"/>
            <w:tcBorders>
              <w:top w:val="single" w:sz="4" w:space="0" w:color="auto"/>
              <w:bottom w:val="single" w:sz="4" w:space="0" w:color="auto"/>
            </w:tcBorders>
          </w:tcPr>
          <w:p w14:paraId="6C48377F" w14:textId="63D0CA39" w:rsidR="00943E43" w:rsidRDefault="00943E43" w:rsidP="00F43E4D">
            <w:pPr>
              <w:pStyle w:val="TableText"/>
            </w:pPr>
            <w:r>
              <w:t>14.3</w:t>
            </w:r>
            <w:r w:rsidR="009B681A">
              <w:t>–</w:t>
            </w:r>
            <w:r>
              <w:t>14.9</w:t>
            </w:r>
          </w:p>
        </w:tc>
        <w:tc>
          <w:tcPr>
            <w:tcW w:w="1276" w:type="dxa"/>
            <w:tcBorders>
              <w:top w:val="single" w:sz="4" w:space="0" w:color="auto"/>
              <w:bottom w:val="single" w:sz="4" w:space="0" w:color="auto"/>
            </w:tcBorders>
          </w:tcPr>
          <w:p w14:paraId="2985F794" w14:textId="1C237B85" w:rsidR="00943E43" w:rsidRDefault="00943E43" w:rsidP="00F43E4D">
            <w:pPr>
              <w:pStyle w:val="TableText"/>
            </w:pPr>
            <w:r>
              <w:t>31</w:t>
            </w:r>
          </w:p>
        </w:tc>
        <w:tc>
          <w:tcPr>
            <w:tcW w:w="567" w:type="dxa"/>
            <w:tcBorders>
              <w:top w:val="single" w:sz="4" w:space="0" w:color="auto"/>
              <w:bottom w:val="single" w:sz="4" w:space="0" w:color="auto"/>
            </w:tcBorders>
          </w:tcPr>
          <w:p w14:paraId="1377BD83" w14:textId="184660E8" w:rsidR="00943E43" w:rsidRDefault="00943E43" w:rsidP="00F43E4D">
            <w:pPr>
              <w:pStyle w:val="TableText"/>
            </w:pPr>
            <w:r>
              <w:t>7.4</w:t>
            </w:r>
          </w:p>
        </w:tc>
        <w:tc>
          <w:tcPr>
            <w:tcW w:w="850" w:type="dxa"/>
            <w:tcBorders>
              <w:top w:val="single" w:sz="4" w:space="0" w:color="auto"/>
              <w:bottom w:val="single" w:sz="4" w:space="0" w:color="auto"/>
            </w:tcBorders>
          </w:tcPr>
          <w:p w14:paraId="73AE0EC6" w14:textId="5BEADB00" w:rsidR="00943E43" w:rsidRDefault="00943E43" w:rsidP="00F43E4D">
            <w:pPr>
              <w:pStyle w:val="TableText"/>
            </w:pPr>
            <w:r>
              <w:t>2.5</w:t>
            </w:r>
            <w:r w:rsidR="009B681A">
              <w:t>–</w:t>
            </w:r>
            <w:r>
              <w:t>3.0</w:t>
            </w:r>
          </w:p>
        </w:tc>
        <w:tc>
          <w:tcPr>
            <w:tcW w:w="1417" w:type="dxa"/>
            <w:tcBorders>
              <w:top w:val="single" w:sz="4" w:space="0" w:color="auto"/>
              <w:bottom w:val="single" w:sz="4" w:space="0" w:color="auto"/>
            </w:tcBorders>
          </w:tcPr>
          <w:p w14:paraId="7779A701" w14:textId="41FDCB3A" w:rsidR="00943E43" w:rsidRDefault="00943E43" w:rsidP="00F43E4D">
            <w:pPr>
              <w:pStyle w:val="TableText"/>
            </w:pPr>
            <w:r>
              <w:t>298</w:t>
            </w:r>
          </w:p>
        </w:tc>
        <w:tc>
          <w:tcPr>
            <w:tcW w:w="1273" w:type="dxa"/>
            <w:tcBorders>
              <w:top w:val="single" w:sz="4" w:space="0" w:color="auto"/>
              <w:bottom w:val="single" w:sz="4" w:space="0" w:color="auto"/>
            </w:tcBorders>
          </w:tcPr>
          <w:p w14:paraId="1108D2EB" w14:textId="1132965F" w:rsidR="00943E43" w:rsidRDefault="00943E43" w:rsidP="00943E43">
            <w:pPr>
              <w:pStyle w:val="TableText"/>
            </w:pPr>
            <w:r w:rsidRPr="00FB4B94">
              <w:t>Kotalik et al. (2019)</w:t>
            </w:r>
          </w:p>
        </w:tc>
      </w:tr>
      <w:tr w:rsidR="001A76D8" w:rsidRPr="00045A29" w14:paraId="68654200" w14:textId="77777777" w:rsidTr="00C14C27">
        <w:trPr>
          <w:cantSplit/>
        </w:trPr>
        <w:tc>
          <w:tcPr>
            <w:tcW w:w="1429" w:type="dxa"/>
            <w:tcBorders>
              <w:top w:val="single" w:sz="4" w:space="0" w:color="auto"/>
              <w:bottom w:val="single" w:sz="4" w:space="0" w:color="auto"/>
            </w:tcBorders>
          </w:tcPr>
          <w:p w14:paraId="299E76A0" w14:textId="5C0913DA" w:rsidR="00943E43" w:rsidRDefault="00943E43" w:rsidP="00943E43">
            <w:pPr>
              <w:pStyle w:val="TableText"/>
            </w:pPr>
            <w:r>
              <w:t>Insecta</w:t>
            </w:r>
          </w:p>
        </w:tc>
        <w:tc>
          <w:tcPr>
            <w:tcW w:w="1553" w:type="dxa"/>
            <w:tcBorders>
              <w:top w:val="single" w:sz="4" w:space="0" w:color="auto"/>
              <w:bottom w:val="single" w:sz="4" w:space="0" w:color="auto"/>
            </w:tcBorders>
          </w:tcPr>
          <w:p w14:paraId="3F39A8F9" w14:textId="2CF93F69" w:rsidR="00943E43" w:rsidRPr="000A0E1F" w:rsidRDefault="00943E43" w:rsidP="00F43E4D">
            <w:pPr>
              <w:pStyle w:val="TableText"/>
            </w:pPr>
            <w:r>
              <w:t>Simuliidae</w:t>
            </w:r>
          </w:p>
        </w:tc>
        <w:tc>
          <w:tcPr>
            <w:tcW w:w="850" w:type="dxa"/>
            <w:tcBorders>
              <w:top w:val="single" w:sz="4" w:space="0" w:color="auto"/>
              <w:bottom w:val="single" w:sz="4" w:space="0" w:color="auto"/>
            </w:tcBorders>
          </w:tcPr>
          <w:p w14:paraId="221431EC" w14:textId="3F100BAD" w:rsidR="00943E43" w:rsidRDefault="00943E43" w:rsidP="00F43E4D">
            <w:pPr>
              <w:pStyle w:val="TableText"/>
            </w:pPr>
            <w:r>
              <w:t>Adult</w:t>
            </w:r>
          </w:p>
        </w:tc>
        <w:tc>
          <w:tcPr>
            <w:tcW w:w="992" w:type="dxa"/>
            <w:tcBorders>
              <w:top w:val="single" w:sz="4" w:space="0" w:color="auto"/>
              <w:bottom w:val="single" w:sz="4" w:space="0" w:color="auto"/>
            </w:tcBorders>
          </w:tcPr>
          <w:p w14:paraId="7BCBFFED" w14:textId="1C65986B" w:rsidR="00943E43" w:rsidRDefault="00943E43" w:rsidP="00F43E4D">
            <w:pPr>
              <w:pStyle w:val="TableText"/>
            </w:pPr>
            <w:r>
              <w:t>14</w:t>
            </w:r>
          </w:p>
        </w:tc>
        <w:tc>
          <w:tcPr>
            <w:tcW w:w="1559" w:type="dxa"/>
            <w:tcBorders>
              <w:top w:val="single" w:sz="4" w:space="0" w:color="auto"/>
              <w:bottom w:val="single" w:sz="4" w:space="0" w:color="auto"/>
            </w:tcBorders>
          </w:tcPr>
          <w:p w14:paraId="5C261517" w14:textId="3931BA00" w:rsidR="00943E43" w:rsidRDefault="00943E43" w:rsidP="00F43E4D">
            <w:pPr>
              <w:pStyle w:val="TableText"/>
            </w:pPr>
            <w:r>
              <w:t>EC20 (abundance)</w:t>
            </w:r>
          </w:p>
        </w:tc>
        <w:tc>
          <w:tcPr>
            <w:tcW w:w="1276" w:type="dxa"/>
            <w:tcBorders>
              <w:top w:val="single" w:sz="4" w:space="0" w:color="auto"/>
              <w:bottom w:val="single" w:sz="4" w:space="0" w:color="auto"/>
            </w:tcBorders>
          </w:tcPr>
          <w:p w14:paraId="3C040612" w14:textId="77777777" w:rsidR="00943E43" w:rsidRDefault="00943E43" w:rsidP="00F43E4D">
            <w:pPr>
              <w:pStyle w:val="TableText"/>
            </w:pPr>
            <w:r w:rsidRPr="00686862">
              <w:t>River water</w:t>
            </w:r>
          </w:p>
        </w:tc>
        <w:tc>
          <w:tcPr>
            <w:tcW w:w="992" w:type="dxa"/>
            <w:tcBorders>
              <w:top w:val="single" w:sz="4" w:space="0" w:color="auto"/>
              <w:bottom w:val="single" w:sz="4" w:space="0" w:color="auto"/>
            </w:tcBorders>
          </w:tcPr>
          <w:p w14:paraId="0169BDE7" w14:textId="77777777" w:rsidR="00943E43" w:rsidRDefault="00943E43" w:rsidP="00F43E4D">
            <w:pPr>
              <w:pStyle w:val="TableText"/>
            </w:pPr>
            <w:r>
              <w:t>14.3</w:t>
            </w:r>
            <w:r w:rsidR="009B681A">
              <w:t>–</w:t>
            </w:r>
            <w:r>
              <w:t>14.9</w:t>
            </w:r>
          </w:p>
        </w:tc>
        <w:tc>
          <w:tcPr>
            <w:tcW w:w="1276" w:type="dxa"/>
            <w:tcBorders>
              <w:top w:val="single" w:sz="4" w:space="0" w:color="auto"/>
              <w:bottom w:val="single" w:sz="4" w:space="0" w:color="auto"/>
            </w:tcBorders>
          </w:tcPr>
          <w:p w14:paraId="50A706D5" w14:textId="5432D1C3" w:rsidR="00943E43" w:rsidRDefault="00943E43" w:rsidP="00F43E4D">
            <w:pPr>
              <w:pStyle w:val="TableText"/>
            </w:pPr>
            <w:r>
              <w:t>31</w:t>
            </w:r>
          </w:p>
        </w:tc>
        <w:tc>
          <w:tcPr>
            <w:tcW w:w="567" w:type="dxa"/>
            <w:tcBorders>
              <w:top w:val="single" w:sz="4" w:space="0" w:color="auto"/>
              <w:bottom w:val="single" w:sz="4" w:space="0" w:color="auto"/>
            </w:tcBorders>
          </w:tcPr>
          <w:p w14:paraId="32BDF0E6" w14:textId="3CA605D3" w:rsidR="00943E43" w:rsidRDefault="00943E43" w:rsidP="00F43E4D">
            <w:pPr>
              <w:pStyle w:val="TableText"/>
            </w:pPr>
            <w:r>
              <w:t>7.4</w:t>
            </w:r>
          </w:p>
        </w:tc>
        <w:tc>
          <w:tcPr>
            <w:tcW w:w="850" w:type="dxa"/>
            <w:tcBorders>
              <w:top w:val="single" w:sz="4" w:space="0" w:color="auto"/>
              <w:bottom w:val="single" w:sz="4" w:space="0" w:color="auto"/>
            </w:tcBorders>
          </w:tcPr>
          <w:p w14:paraId="3BCF6C7D" w14:textId="77777777" w:rsidR="00943E43" w:rsidRDefault="00943E43" w:rsidP="00F43E4D">
            <w:pPr>
              <w:pStyle w:val="TableText"/>
            </w:pPr>
            <w:r>
              <w:t>2.5</w:t>
            </w:r>
            <w:r w:rsidR="009B681A">
              <w:t>–</w:t>
            </w:r>
            <w:r>
              <w:t>3.0</w:t>
            </w:r>
          </w:p>
        </w:tc>
        <w:tc>
          <w:tcPr>
            <w:tcW w:w="1417" w:type="dxa"/>
            <w:tcBorders>
              <w:top w:val="single" w:sz="4" w:space="0" w:color="auto"/>
              <w:bottom w:val="single" w:sz="4" w:space="0" w:color="auto"/>
            </w:tcBorders>
          </w:tcPr>
          <w:p w14:paraId="1F81D573" w14:textId="77777777" w:rsidR="00943E43" w:rsidRDefault="00943E43" w:rsidP="00F43E4D">
            <w:pPr>
              <w:pStyle w:val="TableText"/>
            </w:pPr>
            <w:r>
              <w:t>393</w:t>
            </w:r>
          </w:p>
        </w:tc>
        <w:tc>
          <w:tcPr>
            <w:tcW w:w="1273" w:type="dxa"/>
            <w:tcBorders>
              <w:top w:val="single" w:sz="4" w:space="0" w:color="auto"/>
              <w:bottom w:val="single" w:sz="4" w:space="0" w:color="auto"/>
            </w:tcBorders>
          </w:tcPr>
          <w:p w14:paraId="52E64EAE" w14:textId="382D4619" w:rsidR="00943E43" w:rsidRDefault="00943E43" w:rsidP="00943E43">
            <w:pPr>
              <w:pStyle w:val="TableText"/>
            </w:pPr>
            <w:r w:rsidRPr="00FB4B94">
              <w:t>Kotalik et al. (2019)</w:t>
            </w:r>
          </w:p>
        </w:tc>
      </w:tr>
      <w:tr w:rsidR="001A76D8" w:rsidRPr="00045A29" w14:paraId="20E6F798" w14:textId="77777777" w:rsidTr="00C14C27">
        <w:trPr>
          <w:cantSplit/>
        </w:trPr>
        <w:tc>
          <w:tcPr>
            <w:tcW w:w="1429" w:type="dxa"/>
            <w:tcBorders>
              <w:top w:val="single" w:sz="4" w:space="0" w:color="auto"/>
              <w:bottom w:val="single" w:sz="4" w:space="0" w:color="auto"/>
            </w:tcBorders>
          </w:tcPr>
          <w:p w14:paraId="720D058D" w14:textId="11978E93" w:rsidR="00943E43" w:rsidRDefault="00943E43" w:rsidP="00943E43">
            <w:pPr>
              <w:pStyle w:val="TableText"/>
            </w:pPr>
            <w:r>
              <w:t>Insecta</w:t>
            </w:r>
          </w:p>
        </w:tc>
        <w:tc>
          <w:tcPr>
            <w:tcW w:w="1553" w:type="dxa"/>
            <w:tcBorders>
              <w:top w:val="single" w:sz="4" w:space="0" w:color="auto"/>
              <w:bottom w:val="single" w:sz="4" w:space="0" w:color="auto"/>
            </w:tcBorders>
          </w:tcPr>
          <w:p w14:paraId="789AE2D6" w14:textId="7E0CF569" w:rsidR="00943E43" w:rsidRPr="000A0E1F" w:rsidRDefault="00943E43" w:rsidP="00F43E4D">
            <w:pPr>
              <w:pStyle w:val="TableText"/>
            </w:pPr>
            <w:r>
              <w:t>Simuliidae</w:t>
            </w:r>
          </w:p>
        </w:tc>
        <w:tc>
          <w:tcPr>
            <w:tcW w:w="850" w:type="dxa"/>
            <w:tcBorders>
              <w:top w:val="single" w:sz="4" w:space="0" w:color="auto"/>
              <w:bottom w:val="single" w:sz="4" w:space="0" w:color="auto"/>
            </w:tcBorders>
          </w:tcPr>
          <w:p w14:paraId="68FD2C3E" w14:textId="77777777" w:rsidR="00943E43" w:rsidRDefault="00943E43" w:rsidP="00F43E4D">
            <w:pPr>
              <w:pStyle w:val="TableText"/>
            </w:pPr>
            <w:r>
              <w:t>Adult</w:t>
            </w:r>
          </w:p>
        </w:tc>
        <w:tc>
          <w:tcPr>
            <w:tcW w:w="992" w:type="dxa"/>
            <w:tcBorders>
              <w:top w:val="single" w:sz="4" w:space="0" w:color="auto"/>
              <w:bottom w:val="single" w:sz="4" w:space="0" w:color="auto"/>
            </w:tcBorders>
          </w:tcPr>
          <w:p w14:paraId="53973425" w14:textId="69772766" w:rsidR="00943E43" w:rsidRDefault="00943E43" w:rsidP="00F43E4D">
            <w:pPr>
              <w:pStyle w:val="TableText"/>
            </w:pPr>
            <w:r>
              <w:t>14</w:t>
            </w:r>
          </w:p>
        </w:tc>
        <w:tc>
          <w:tcPr>
            <w:tcW w:w="1559" w:type="dxa"/>
            <w:tcBorders>
              <w:top w:val="single" w:sz="4" w:space="0" w:color="auto"/>
              <w:bottom w:val="single" w:sz="4" w:space="0" w:color="auto"/>
            </w:tcBorders>
          </w:tcPr>
          <w:p w14:paraId="6AB83F50" w14:textId="0B18332D" w:rsidR="00943E43" w:rsidRDefault="00943E43" w:rsidP="00F43E4D">
            <w:pPr>
              <w:pStyle w:val="TableText"/>
            </w:pPr>
            <w:r>
              <w:t>EC20 (biomass)</w:t>
            </w:r>
          </w:p>
        </w:tc>
        <w:tc>
          <w:tcPr>
            <w:tcW w:w="1276" w:type="dxa"/>
            <w:tcBorders>
              <w:top w:val="single" w:sz="4" w:space="0" w:color="auto"/>
              <w:bottom w:val="single" w:sz="4" w:space="0" w:color="auto"/>
            </w:tcBorders>
          </w:tcPr>
          <w:p w14:paraId="3961D207" w14:textId="28908126" w:rsidR="00943E43" w:rsidRDefault="00943E43" w:rsidP="00F43E4D">
            <w:pPr>
              <w:pStyle w:val="TableText"/>
            </w:pPr>
            <w:r w:rsidRPr="00686862">
              <w:t>River water</w:t>
            </w:r>
          </w:p>
        </w:tc>
        <w:tc>
          <w:tcPr>
            <w:tcW w:w="992" w:type="dxa"/>
            <w:tcBorders>
              <w:top w:val="single" w:sz="4" w:space="0" w:color="auto"/>
              <w:bottom w:val="single" w:sz="4" w:space="0" w:color="auto"/>
            </w:tcBorders>
          </w:tcPr>
          <w:p w14:paraId="78C33AF2" w14:textId="13B9EE13" w:rsidR="00943E43" w:rsidRDefault="00943E43" w:rsidP="00F43E4D">
            <w:pPr>
              <w:pStyle w:val="TableText"/>
            </w:pPr>
            <w:r>
              <w:t>14.3</w:t>
            </w:r>
            <w:r w:rsidR="00E75DE9">
              <w:t>–</w:t>
            </w:r>
            <w:r>
              <w:t>14.9</w:t>
            </w:r>
          </w:p>
        </w:tc>
        <w:tc>
          <w:tcPr>
            <w:tcW w:w="1276" w:type="dxa"/>
            <w:tcBorders>
              <w:top w:val="single" w:sz="4" w:space="0" w:color="auto"/>
              <w:bottom w:val="single" w:sz="4" w:space="0" w:color="auto"/>
            </w:tcBorders>
          </w:tcPr>
          <w:p w14:paraId="74B93F09" w14:textId="545CFB9F" w:rsidR="00943E43" w:rsidRDefault="00943E43" w:rsidP="00F43E4D">
            <w:pPr>
              <w:pStyle w:val="TableText"/>
            </w:pPr>
            <w:r>
              <w:t>31</w:t>
            </w:r>
          </w:p>
        </w:tc>
        <w:tc>
          <w:tcPr>
            <w:tcW w:w="567" w:type="dxa"/>
            <w:tcBorders>
              <w:top w:val="single" w:sz="4" w:space="0" w:color="auto"/>
              <w:bottom w:val="single" w:sz="4" w:space="0" w:color="auto"/>
            </w:tcBorders>
          </w:tcPr>
          <w:p w14:paraId="01B4367B" w14:textId="0E2DD5B6" w:rsidR="00943E43" w:rsidRDefault="00943E43" w:rsidP="00F43E4D">
            <w:pPr>
              <w:pStyle w:val="TableText"/>
            </w:pPr>
            <w:r>
              <w:t>7.4</w:t>
            </w:r>
          </w:p>
        </w:tc>
        <w:tc>
          <w:tcPr>
            <w:tcW w:w="850" w:type="dxa"/>
            <w:tcBorders>
              <w:top w:val="single" w:sz="4" w:space="0" w:color="auto"/>
              <w:bottom w:val="single" w:sz="4" w:space="0" w:color="auto"/>
            </w:tcBorders>
          </w:tcPr>
          <w:p w14:paraId="799ACA0C" w14:textId="5EEF1615" w:rsidR="00943E43" w:rsidRDefault="00943E43" w:rsidP="00F43E4D">
            <w:pPr>
              <w:pStyle w:val="TableText"/>
            </w:pPr>
            <w:r>
              <w:t>2.5</w:t>
            </w:r>
            <w:r w:rsidR="00544C46">
              <w:t>–</w:t>
            </w:r>
            <w:r>
              <w:t>3.0</w:t>
            </w:r>
          </w:p>
        </w:tc>
        <w:tc>
          <w:tcPr>
            <w:tcW w:w="1417" w:type="dxa"/>
            <w:tcBorders>
              <w:top w:val="single" w:sz="4" w:space="0" w:color="auto"/>
              <w:bottom w:val="single" w:sz="4" w:space="0" w:color="auto"/>
            </w:tcBorders>
          </w:tcPr>
          <w:p w14:paraId="4246257F" w14:textId="7AAB134E" w:rsidR="00943E43" w:rsidRDefault="00943E43" w:rsidP="00F43E4D">
            <w:pPr>
              <w:pStyle w:val="TableText"/>
            </w:pPr>
            <w:r>
              <w:t>414</w:t>
            </w:r>
          </w:p>
        </w:tc>
        <w:tc>
          <w:tcPr>
            <w:tcW w:w="1273" w:type="dxa"/>
            <w:tcBorders>
              <w:top w:val="single" w:sz="4" w:space="0" w:color="auto"/>
              <w:bottom w:val="single" w:sz="4" w:space="0" w:color="auto"/>
            </w:tcBorders>
          </w:tcPr>
          <w:p w14:paraId="18196290" w14:textId="7B0DD9BF" w:rsidR="00943E43" w:rsidRDefault="00943E43" w:rsidP="00943E43">
            <w:pPr>
              <w:pStyle w:val="TableText"/>
            </w:pPr>
            <w:r w:rsidRPr="00FB4B94">
              <w:t>Kotalik et al. (2019)</w:t>
            </w:r>
          </w:p>
        </w:tc>
      </w:tr>
      <w:tr w:rsidR="001A76D8" w:rsidRPr="00045A29" w14:paraId="09A94C83" w14:textId="77777777" w:rsidTr="00C14C27">
        <w:trPr>
          <w:cantSplit/>
        </w:trPr>
        <w:tc>
          <w:tcPr>
            <w:tcW w:w="1429" w:type="dxa"/>
            <w:tcBorders>
              <w:top w:val="single" w:sz="4" w:space="0" w:color="auto"/>
              <w:bottom w:val="single" w:sz="4" w:space="0" w:color="auto"/>
            </w:tcBorders>
          </w:tcPr>
          <w:p w14:paraId="57B54E6B" w14:textId="77777777" w:rsidR="00943E43" w:rsidRDefault="00943E43" w:rsidP="00943E43">
            <w:pPr>
              <w:pStyle w:val="TableText"/>
            </w:pPr>
            <w:r>
              <w:lastRenderedPageBreak/>
              <w:t>Insecta</w:t>
            </w:r>
          </w:p>
        </w:tc>
        <w:tc>
          <w:tcPr>
            <w:tcW w:w="1553" w:type="dxa"/>
            <w:tcBorders>
              <w:top w:val="single" w:sz="4" w:space="0" w:color="auto"/>
              <w:bottom w:val="single" w:sz="4" w:space="0" w:color="auto"/>
            </w:tcBorders>
          </w:tcPr>
          <w:p w14:paraId="618E54A8" w14:textId="77777777" w:rsidR="00943E43" w:rsidRPr="000A0E1F" w:rsidRDefault="00943E43" w:rsidP="00F43E4D">
            <w:pPr>
              <w:pStyle w:val="TableText"/>
            </w:pPr>
            <w:r>
              <w:t>Baetidae</w:t>
            </w:r>
          </w:p>
        </w:tc>
        <w:tc>
          <w:tcPr>
            <w:tcW w:w="850" w:type="dxa"/>
            <w:tcBorders>
              <w:top w:val="single" w:sz="4" w:space="0" w:color="auto"/>
              <w:bottom w:val="single" w:sz="4" w:space="0" w:color="auto"/>
            </w:tcBorders>
          </w:tcPr>
          <w:p w14:paraId="2C529F8D" w14:textId="10C3643E" w:rsidR="00943E43" w:rsidRDefault="00943E43" w:rsidP="00F43E4D">
            <w:pPr>
              <w:pStyle w:val="TableText"/>
            </w:pPr>
            <w:r>
              <w:t>Adult</w:t>
            </w:r>
          </w:p>
        </w:tc>
        <w:tc>
          <w:tcPr>
            <w:tcW w:w="992" w:type="dxa"/>
            <w:tcBorders>
              <w:top w:val="single" w:sz="4" w:space="0" w:color="auto"/>
              <w:bottom w:val="single" w:sz="4" w:space="0" w:color="auto"/>
            </w:tcBorders>
          </w:tcPr>
          <w:p w14:paraId="78BFBAFD" w14:textId="3B7A417E" w:rsidR="00943E43" w:rsidRDefault="00943E43" w:rsidP="00F43E4D">
            <w:pPr>
              <w:pStyle w:val="TableText"/>
            </w:pPr>
            <w:r>
              <w:t>14</w:t>
            </w:r>
          </w:p>
        </w:tc>
        <w:tc>
          <w:tcPr>
            <w:tcW w:w="1559" w:type="dxa"/>
            <w:tcBorders>
              <w:top w:val="single" w:sz="4" w:space="0" w:color="auto"/>
              <w:bottom w:val="single" w:sz="4" w:space="0" w:color="auto"/>
            </w:tcBorders>
          </w:tcPr>
          <w:p w14:paraId="6E7562C9" w14:textId="3E9DB95B" w:rsidR="00943E43" w:rsidRDefault="00943E43" w:rsidP="00F43E4D">
            <w:pPr>
              <w:pStyle w:val="TableText"/>
            </w:pPr>
            <w:r>
              <w:t>EC20 (abundance)</w:t>
            </w:r>
          </w:p>
        </w:tc>
        <w:tc>
          <w:tcPr>
            <w:tcW w:w="1276" w:type="dxa"/>
            <w:tcBorders>
              <w:top w:val="single" w:sz="4" w:space="0" w:color="auto"/>
              <w:bottom w:val="single" w:sz="4" w:space="0" w:color="auto"/>
            </w:tcBorders>
          </w:tcPr>
          <w:p w14:paraId="285BA1FF" w14:textId="75E379E4" w:rsidR="00943E43" w:rsidRDefault="00943E43" w:rsidP="00F43E4D">
            <w:pPr>
              <w:pStyle w:val="TableText"/>
            </w:pPr>
            <w:r w:rsidRPr="00686862">
              <w:t>River water</w:t>
            </w:r>
          </w:p>
        </w:tc>
        <w:tc>
          <w:tcPr>
            <w:tcW w:w="992" w:type="dxa"/>
            <w:tcBorders>
              <w:top w:val="single" w:sz="4" w:space="0" w:color="auto"/>
              <w:bottom w:val="single" w:sz="4" w:space="0" w:color="auto"/>
            </w:tcBorders>
          </w:tcPr>
          <w:p w14:paraId="5E62798B" w14:textId="152F12E6" w:rsidR="00943E43" w:rsidRDefault="00943E43" w:rsidP="00F43E4D">
            <w:pPr>
              <w:pStyle w:val="TableText"/>
            </w:pPr>
            <w:r>
              <w:t>14.3</w:t>
            </w:r>
            <w:r w:rsidR="00E75DE9">
              <w:t>–</w:t>
            </w:r>
            <w:r>
              <w:t>14.9</w:t>
            </w:r>
          </w:p>
        </w:tc>
        <w:tc>
          <w:tcPr>
            <w:tcW w:w="1276" w:type="dxa"/>
            <w:tcBorders>
              <w:top w:val="single" w:sz="4" w:space="0" w:color="auto"/>
              <w:bottom w:val="single" w:sz="4" w:space="0" w:color="auto"/>
            </w:tcBorders>
          </w:tcPr>
          <w:p w14:paraId="02DDB566" w14:textId="15F9F87B" w:rsidR="00943E43" w:rsidRDefault="00943E43" w:rsidP="00F43E4D">
            <w:pPr>
              <w:pStyle w:val="TableText"/>
            </w:pPr>
            <w:r>
              <w:t>31</w:t>
            </w:r>
          </w:p>
        </w:tc>
        <w:tc>
          <w:tcPr>
            <w:tcW w:w="567" w:type="dxa"/>
            <w:tcBorders>
              <w:top w:val="single" w:sz="4" w:space="0" w:color="auto"/>
              <w:bottom w:val="single" w:sz="4" w:space="0" w:color="auto"/>
            </w:tcBorders>
          </w:tcPr>
          <w:p w14:paraId="0E84ACC0" w14:textId="31BE3C2F" w:rsidR="00943E43" w:rsidRDefault="00943E43" w:rsidP="00F43E4D">
            <w:pPr>
              <w:pStyle w:val="TableText"/>
            </w:pPr>
            <w:r>
              <w:t>7.4</w:t>
            </w:r>
          </w:p>
        </w:tc>
        <w:tc>
          <w:tcPr>
            <w:tcW w:w="850" w:type="dxa"/>
            <w:tcBorders>
              <w:top w:val="single" w:sz="4" w:space="0" w:color="auto"/>
              <w:bottom w:val="single" w:sz="4" w:space="0" w:color="auto"/>
            </w:tcBorders>
          </w:tcPr>
          <w:p w14:paraId="12E3F90D" w14:textId="49F4D147" w:rsidR="00943E43" w:rsidRDefault="00943E43" w:rsidP="00F43E4D">
            <w:pPr>
              <w:pStyle w:val="TableText"/>
            </w:pPr>
            <w:r>
              <w:t>2.5</w:t>
            </w:r>
            <w:r w:rsidR="00544C46">
              <w:t>–</w:t>
            </w:r>
            <w:r>
              <w:t>3.0</w:t>
            </w:r>
          </w:p>
        </w:tc>
        <w:tc>
          <w:tcPr>
            <w:tcW w:w="1417" w:type="dxa"/>
            <w:tcBorders>
              <w:top w:val="single" w:sz="4" w:space="0" w:color="auto"/>
              <w:bottom w:val="single" w:sz="4" w:space="0" w:color="auto"/>
            </w:tcBorders>
          </w:tcPr>
          <w:p w14:paraId="4ED63426" w14:textId="68108F6F" w:rsidR="00943E43" w:rsidRDefault="00943E43" w:rsidP="00F43E4D">
            <w:pPr>
              <w:pStyle w:val="TableText"/>
            </w:pPr>
            <w:r>
              <w:t>11</w:t>
            </w:r>
          </w:p>
        </w:tc>
        <w:tc>
          <w:tcPr>
            <w:tcW w:w="1273" w:type="dxa"/>
            <w:tcBorders>
              <w:top w:val="single" w:sz="4" w:space="0" w:color="auto"/>
              <w:bottom w:val="single" w:sz="4" w:space="0" w:color="auto"/>
            </w:tcBorders>
          </w:tcPr>
          <w:p w14:paraId="0A9B7A23" w14:textId="62F0ED9F" w:rsidR="00943E43" w:rsidRDefault="00943E43" w:rsidP="00943E43">
            <w:pPr>
              <w:pStyle w:val="TableText"/>
            </w:pPr>
            <w:r w:rsidRPr="00FB4B94">
              <w:t>Kotalik et al. (2019)</w:t>
            </w:r>
          </w:p>
        </w:tc>
      </w:tr>
      <w:tr w:rsidR="00570FA7" w:rsidRPr="00045A29" w14:paraId="5EA1E7DA" w14:textId="77777777" w:rsidTr="00C14C27">
        <w:trPr>
          <w:cantSplit/>
        </w:trPr>
        <w:tc>
          <w:tcPr>
            <w:tcW w:w="1429" w:type="dxa"/>
            <w:tcBorders>
              <w:top w:val="single" w:sz="4" w:space="0" w:color="auto"/>
              <w:bottom w:val="single" w:sz="4" w:space="0" w:color="auto"/>
            </w:tcBorders>
          </w:tcPr>
          <w:p w14:paraId="1166A7FF" w14:textId="2A5D0911" w:rsidR="00570FA7" w:rsidRPr="000A0E1F" w:rsidRDefault="00570FA7" w:rsidP="00570FA7">
            <w:pPr>
              <w:pStyle w:val="TableText"/>
            </w:pPr>
            <w:r>
              <w:t>Total macroin</w:t>
            </w:r>
            <w:r>
              <w:softHyphen/>
              <w:t>vertebrate</w:t>
            </w:r>
          </w:p>
        </w:tc>
        <w:tc>
          <w:tcPr>
            <w:tcW w:w="1553" w:type="dxa"/>
            <w:tcBorders>
              <w:top w:val="single" w:sz="4" w:space="0" w:color="auto"/>
              <w:bottom w:val="single" w:sz="4" w:space="0" w:color="auto"/>
            </w:tcBorders>
          </w:tcPr>
          <w:p w14:paraId="60F2161B" w14:textId="2881AA15" w:rsidR="00570FA7" w:rsidRPr="000A0E1F" w:rsidRDefault="00570FA7" w:rsidP="00570FA7">
            <w:pPr>
              <w:pStyle w:val="TableText"/>
            </w:pPr>
          </w:p>
        </w:tc>
        <w:tc>
          <w:tcPr>
            <w:tcW w:w="850" w:type="dxa"/>
            <w:tcBorders>
              <w:top w:val="single" w:sz="4" w:space="0" w:color="auto"/>
              <w:bottom w:val="single" w:sz="4" w:space="0" w:color="auto"/>
            </w:tcBorders>
          </w:tcPr>
          <w:p w14:paraId="4247067D" w14:textId="49B9CA8B" w:rsidR="00570FA7" w:rsidRDefault="00570FA7" w:rsidP="00570FA7">
            <w:pPr>
              <w:pStyle w:val="TableText"/>
            </w:pPr>
            <w:r>
              <w:t>Larva</w:t>
            </w:r>
          </w:p>
        </w:tc>
        <w:tc>
          <w:tcPr>
            <w:tcW w:w="992" w:type="dxa"/>
            <w:tcBorders>
              <w:top w:val="single" w:sz="4" w:space="0" w:color="auto"/>
              <w:bottom w:val="single" w:sz="4" w:space="0" w:color="auto"/>
            </w:tcBorders>
          </w:tcPr>
          <w:p w14:paraId="39D0CCD7" w14:textId="36B8E11C" w:rsidR="00570FA7" w:rsidRDefault="00570FA7" w:rsidP="00570FA7">
            <w:pPr>
              <w:pStyle w:val="TableText"/>
            </w:pPr>
            <w:r>
              <w:t>14</w:t>
            </w:r>
          </w:p>
        </w:tc>
        <w:tc>
          <w:tcPr>
            <w:tcW w:w="1559" w:type="dxa"/>
            <w:tcBorders>
              <w:top w:val="single" w:sz="4" w:space="0" w:color="auto"/>
              <w:bottom w:val="single" w:sz="4" w:space="0" w:color="auto"/>
            </w:tcBorders>
          </w:tcPr>
          <w:p w14:paraId="1A4F2F5F" w14:textId="32D43E79" w:rsidR="00570FA7" w:rsidRDefault="00570FA7" w:rsidP="00570FA7">
            <w:pPr>
              <w:pStyle w:val="TableText"/>
            </w:pPr>
            <w:r>
              <w:t>EC20 (biomass)</w:t>
            </w:r>
          </w:p>
        </w:tc>
        <w:tc>
          <w:tcPr>
            <w:tcW w:w="1276" w:type="dxa"/>
            <w:tcBorders>
              <w:top w:val="single" w:sz="4" w:space="0" w:color="auto"/>
              <w:bottom w:val="single" w:sz="4" w:space="0" w:color="auto"/>
            </w:tcBorders>
          </w:tcPr>
          <w:p w14:paraId="6AD90C20" w14:textId="414572E1" w:rsidR="00570FA7" w:rsidRDefault="00570FA7" w:rsidP="00570FA7">
            <w:pPr>
              <w:pStyle w:val="TableText"/>
            </w:pPr>
            <w:r w:rsidRPr="00686862">
              <w:t>River water</w:t>
            </w:r>
          </w:p>
        </w:tc>
        <w:tc>
          <w:tcPr>
            <w:tcW w:w="992" w:type="dxa"/>
            <w:tcBorders>
              <w:top w:val="single" w:sz="4" w:space="0" w:color="auto"/>
              <w:bottom w:val="single" w:sz="4" w:space="0" w:color="auto"/>
            </w:tcBorders>
          </w:tcPr>
          <w:p w14:paraId="23B325CE" w14:textId="500D74D2" w:rsidR="00570FA7" w:rsidRDefault="00570FA7" w:rsidP="00570FA7">
            <w:pPr>
              <w:pStyle w:val="TableText"/>
            </w:pPr>
            <w:r>
              <w:t>14.3–14.9</w:t>
            </w:r>
          </w:p>
        </w:tc>
        <w:tc>
          <w:tcPr>
            <w:tcW w:w="1276" w:type="dxa"/>
            <w:tcBorders>
              <w:top w:val="single" w:sz="4" w:space="0" w:color="auto"/>
              <w:bottom w:val="single" w:sz="4" w:space="0" w:color="auto"/>
            </w:tcBorders>
          </w:tcPr>
          <w:p w14:paraId="2ABE252E" w14:textId="2A9F0023" w:rsidR="00570FA7" w:rsidRDefault="00570FA7" w:rsidP="00570FA7">
            <w:pPr>
              <w:pStyle w:val="TableText"/>
            </w:pPr>
            <w:r>
              <w:t>31</w:t>
            </w:r>
          </w:p>
        </w:tc>
        <w:tc>
          <w:tcPr>
            <w:tcW w:w="567" w:type="dxa"/>
            <w:tcBorders>
              <w:top w:val="single" w:sz="4" w:space="0" w:color="auto"/>
              <w:bottom w:val="single" w:sz="4" w:space="0" w:color="auto"/>
            </w:tcBorders>
          </w:tcPr>
          <w:p w14:paraId="5BA52B47" w14:textId="30D4F770" w:rsidR="00570FA7" w:rsidRDefault="00570FA7" w:rsidP="00570FA7">
            <w:pPr>
              <w:pStyle w:val="TableText"/>
            </w:pPr>
            <w:r>
              <w:t>7.4</w:t>
            </w:r>
          </w:p>
        </w:tc>
        <w:tc>
          <w:tcPr>
            <w:tcW w:w="850" w:type="dxa"/>
            <w:tcBorders>
              <w:top w:val="single" w:sz="4" w:space="0" w:color="auto"/>
              <w:bottom w:val="single" w:sz="4" w:space="0" w:color="auto"/>
            </w:tcBorders>
          </w:tcPr>
          <w:p w14:paraId="6A7A2D44" w14:textId="2F4788F0" w:rsidR="00570FA7" w:rsidRDefault="00570FA7" w:rsidP="00570FA7">
            <w:pPr>
              <w:pStyle w:val="TableText"/>
            </w:pPr>
            <w:r>
              <w:t>2.5–3.0</w:t>
            </w:r>
          </w:p>
        </w:tc>
        <w:tc>
          <w:tcPr>
            <w:tcW w:w="1417" w:type="dxa"/>
            <w:tcBorders>
              <w:top w:val="single" w:sz="4" w:space="0" w:color="auto"/>
              <w:bottom w:val="single" w:sz="4" w:space="0" w:color="auto"/>
            </w:tcBorders>
          </w:tcPr>
          <w:p w14:paraId="6C2767D0" w14:textId="17B0FEFE" w:rsidR="00570FA7" w:rsidRDefault="00570FA7" w:rsidP="00570FA7">
            <w:pPr>
              <w:pStyle w:val="TableText"/>
            </w:pPr>
            <w:r>
              <w:t>368</w:t>
            </w:r>
          </w:p>
        </w:tc>
        <w:tc>
          <w:tcPr>
            <w:tcW w:w="1273" w:type="dxa"/>
            <w:tcBorders>
              <w:top w:val="single" w:sz="4" w:space="0" w:color="auto"/>
              <w:bottom w:val="single" w:sz="4" w:space="0" w:color="auto"/>
            </w:tcBorders>
          </w:tcPr>
          <w:p w14:paraId="3EC675CC" w14:textId="4BF42059" w:rsidR="00570FA7" w:rsidRDefault="00570FA7" w:rsidP="00570FA7">
            <w:pPr>
              <w:pStyle w:val="TableText"/>
            </w:pPr>
            <w:r w:rsidRPr="00FB4B94">
              <w:t>Kotalik et al. (2019)</w:t>
            </w:r>
          </w:p>
        </w:tc>
      </w:tr>
      <w:tr w:rsidR="00D40099" w:rsidRPr="00045A29" w14:paraId="64D25751" w14:textId="77777777" w:rsidTr="00C14C27">
        <w:trPr>
          <w:cantSplit/>
        </w:trPr>
        <w:tc>
          <w:tcPr>
            <w:tcW w:w="1429" w:type="dxa"/>
            <w:tcBorders>
              <w:top w:val="single" w:sz="4" w:space="0" w:color="auto"/>
              <w:bottom w:val="single" w:sz="4" w:space="0" w:color="auto"/>
            </w:tcBorders>
          </w:tcPr>
          <w:p w14:paraId="29FE7056" w14:textId="7A872D0E" w:rsidR="00D40099" w:rsidRDefault="00D40099" w:rsidP="00D40099">
            <w:pPr>
              <w:pStyle w:val="TableText"/>
            </w:pPr>
            <w:r>
              <w:t>Total macroin</w:t>
            </w:r>
            <w:r>
              <w:softHyphen/>
              <w:t>vertebrate</w:t>
            </w:r>
          </w:p>
        </w:tc>
        <w:tc>
          <w:tcPr>
            <w:tcW w:w="1553" w:type="dxa"/>
            <w:tcBorders>
              <w:top w:val="single" w:sz="4" w:space="0" w:color="auto"/>
              <w:bottom w:val="single" w:sz="4" w:space="0" w:color="auto"/>
            </w:tcBorders>
          </w:tcPr>
          <w:p w14:paraId="212849A4" w14:textId="77777777" w:rsidR="00D40099" w:rsidRPr="000A0E1F" w:rsidRDefault="00D40099" w:rsidP="00D40099">
            <w:pPr>
              <w:pStyle w:val="TableText"/>
            </w:pPr>
          </w:p>
        </w:tc>
        <w:tc>
          <w:tcPr>
            <w:tcW w:w="850" w:type="dxa"/>
            <w:tcBorders>
              <w:top w:val="single" w:sz="4" w:space="0" w:color="auto"/>
              <w:bottom w:val="single" w:sz="4" w:space="0" w:color="auto"/>
            </w:tcBorders>
          </w:tcPr>
          <w:p w14:paraId="219DED79" w14:textId="476DCA4F" w:rsidR="00D40099" w:rsidRDefault="00D40099" w:rsidP="00D40099">
            <w:pPr>
              <w:pStyle w:val="TableText"/>
            </w:pPr>
            <w:r>
              <w:t>Larva</w:t>
            </w:r>
          </w:p>
        </w:tc>
        <w:tc>
          <w:tcPr>
            <w:tcW w:w="992" w:type="dxa"/>
            <w:tcBorders>
              <w:top w:val="single" w:sz="4" w:space="0" w:color="auto"/>
              <w:bottom w:val="single" w:sz="4" w:space="0" w:color="auto"/>
            </w:tcBorders>
          </w:tcPr>
          <w:p w14:paraId="42AC0D14" w14:textId="59F70B6B" w:rsidR="00D40099" w:rsidRDefault="00D40099" w:rsidP="00D40099">
            <w:pPr>
              <w:pStyle w:val="TableText"/>
            </w:pPr>
            <w:r>
              <w:t>14</w:t>
            </w:r>
          </w:p>
        </w:tc>
        <w:tc>
          <w:tcPr>
            <w:tcW w:w="1559" w:type="dxa"/>
            <w:tcBorders>
              <w:top w:val="single" w:sz="4" w:space="0" w:color="auto"/>
              <w:bottom w:val="single" w:sz="4" w:space="0" w:color="auto"/>
            </w:tcBorders>
          </w:tcPr>
          <w:p w14:paraId="5D7E951A" w14:textId="757DF616" w:rsidR="00D40099" w:rsidRDefault="00D40099" w:rsidP="00D40099">
            <w:pPr>
              <w:pStyle w:val="TableText"/>
            </w:pPr>
            <w:r>
              <w:t>EC20 (abundance)</w:t>
            </w:r>
          </w:p>
        </w:tc>
        <w:tc>
          <w:tcPr>
            <w:tcW w:w="1276" w:type="dxa"/>
            <w:tcBorders>
              <w:top w:val="single" w:sz="4" w:space="0" w:color="auto"/>
              <w:bottom w:val="single" w:sz="4" w:space="0" w:color="auto"/>
            </w:tcBorders>
          </w:tcPr>
          <w:p w14:paraId="5C2AE24E" w14:textId="7C56B19C" w:rsidR="00D40099" w:rsidRPr="00686862" w:rsidRDefault="00D40099" w:rsidP="00D40099">
            <w:pPr>
              <w:pStyle w:val="TableText"/>
            </w:pPr>
            <w:r w:rsidRPr="00686862">
              <w:t>River water</w:t>
            </w:r>
          </w:p>
        </w:tc>
        <w:tc>
          <w:tcPr>
            <w:tcW w:w="992" w:type="dxa"/>
            <w:tcBorders>
              <w:top w:val="single" w:sz="4" w:space="0" w:color="auto"/>
              <w:bottom w:val="single" w:sz="4" w:space="0" w:color="auto"/>
            </w:tcBorders>
          </w:tcPr>
          <w:p w14:paraId="7438BEB2" w14:textId="24E8A509" w:rsidR="00D40099" w:rsidRDefault="00D40099" w:rsidP="00D40099">
            <w:pPr>
              <w:pStyle w:val="TableText"/>
            </w:pPr>
            <w:r>
              <w:t>14.3–14.9</w:t>
            </w:r>
          </w:p>
        </w:tc>
        <w:tc>
          <w:tcPr>
            <w:tcW w:w="1276" w:type="dxa"/>
            <w:tcBorders>
              <w:top w:val="single" w:sz="4" w:space="0" w:color="auto"/>
              <w:bottom w:val="single" w:sz="4" w:space="0" w:color="auto"/>
            </w:tcBorders>
          </w:tcPr>
          <w:p w14:paraId="3FF8B63D" w14:textId="0C100B63" w:rsidR="00D40099" w:rsidRDefault="00D40099" w:rsidP="00D40099">
            <w:pPr>
              <w:pStyle w:val="TableText"/>
            </w:pPr>
            <w:r>
              <w:t>31</w:t>
            </w:r>
          </w:p>
        </w:tc>
        <w:tc>
          <w:tcPr>
            <w:tcW w:w="567" w:type="dxa"/>
            <w:tcBorders>
              <w:top w:val="single" w:sz="4" w:space="0" w:color="auto"/>
              <w:bottom w:val="single" w:sz="4" w:space="0" w:color="auto"/>
            </w:tcBorders>
          </w:tcPr>
          <w:p w14:paraId="43741A80" w14:textId="5E918285" w:rsidR="00D40099" w:rsidRDefault="00D40099" w:rsidP="00D40099">
            <w:pPr>
              <w:pStyle w:val="TableText"/>
            </w:pPr>
            <w:r>
              <w:t>7.4</w:t>
            </w:r>
          </w:p>
        </w:tc>
        <w:tc>
          <w:tcPr>
            <w:tcW w:w="850" w:type="dxa"/>
            <w:tcBorders>
              <w:top w:val="single" w:sz="4" w:space="0" w:color="auto"/>
              <w:bottom w:val="single" w:sz="4" w:space="0" w:color="auto"/>
            </w:tcBorders>
          </w:tcPr>
          <w:p w14:paraId="58298042" w14:textId="0F4912F1" w:rsidR="00D40099" w:rsidRDefault="00D40099" w:rsidP="00D40099">
            <w:pPr>
              <w:pStyle w:val="TableText"/>
            </w:pPr>
            <w:r>
              <w:t>2.5–3.0</w:t>
            </w:r>
          </w:p>
        </w:tc>
        <w:tc>
          <w:tcPr>
            <w:tcW w:w="1417" w:type="dxa"/>
            <w:tcBorders>
              <w:top w:val="single" w:sz="4" w:space="0" w:color="auto"/>
              <w:bottom w:val="single" w:sz="4" w:space="0" w:color="auto"/>
            </w:tcBorders>
          </w:tcPr>
          <w:p w14:paraId="4B2A430F" w14:textId="01686D3D" w:rsidR="00D40099" w:rsidRDefault="00D40099" w:rsidP="00D40099">
            <w:pPr>
              <w:pStyle w:val="TableText"/>
            </w:pPr>
            <w:r>
              <w:t>824</w:t>
            </w:r>
          </w:p>
        </w:tc>
        <w:tc>
          <w:tcPr>
            <w:tcW w:w="1273" w:type="dxa"/>
            <w:tcBorders>
              <w:top w:val="single" w:sz="4" w:space="0" w:color="auto"/>
              <w:bottom w:val="single" w:sz="4" w:space="0" w:color="auto"/>
            </w:tcBorders>
          </w:tcPr>
          <w:p w14:paraId="2F5B838C" w14:textId="1E336DCA" w:rsidR="00D40099" w:rsidRPr="00FB4B94" w:rsidRDefault="00D40099" w:rsidP="00D40099">
            <w:pPr>
              <w:pStyle w:val="TableText"/>
            </w:pPr>
            <w:r w:rsidRPr="00FB4B94">
              <w:t>Kotalik et al. (2019)</w:t>
            </w:r>
          </w:p>
        </w:tc>
      </w:tr>
      <w:tr w:rsidR="00D40099" w:rsidRPr="00045A29" w14:paraId="192F6DA4" w14:textId="77777777" w:rsidTr="00C14C27">
        <w:trPr>
          <w:cantSplit/>
        </w:trPr>
        <w:tc>
          <w:tcPr>
            <w:tcW w:w="1429" w:type="dxa"/>
            <w:tcBorders>
              <w:top w:val="single" w:sz="4" w:space="0" w:color="auto"/>
              <w:bottom w:val="single" w:sz="4" w:space="0" w:color="auto"/>
            </w:tcBorders>
          </w:tcPr>
          <w:p w14:paraId="35A24E1A" w14:textId="30D3EC23" w:rsidR="00D40099" w:rsidRPr="000A0E1F" w:rsidRDefault="00D40099" w:rsidP="00D40099">
            <w:pPr>
              <w:pStyle w:val="TableText"/>
            </w:pPr>
            <w:r>
              <w:t>Total macroin</w:t>
            </w:r>
            <w:r>
              <w:softHyphen/>
              <w:t>vertebrate</w:t>
            </w:r>
          </w:p>
        </w:tc>
        <w:tc>
          <w:tcPr>
            <w:tcW w:w="1553" w:type="dxa"/>
            <w:tcBorders>
              <w:top w:val="single" w:sz="4" w:space="0" w:color="auto"/>
              <w:bottom w:val="single" w:sz="4" w:space="0" w:color="auto"/>
            </w:tcBorders>
          </w:tcPr>
          <w:p w14:paraId="2C11E8ED" w14:textId="2E8EC181" w:rsidR="00D40099" w:rsidRPr="000A0E1F" w:rsidRDefault="00D40099" w:rsidP="00D40099">
            <w:pPr>
              <w:pStyle w:val="TableText"/>
            </w:pPr>
          </w:p>
        </w:tc>
        <w:tc>
          <w:tcPr>
            <w:tcW w:w="850" w:type="dxa"/>
            <w:tcBorders>
              <w:top w:val="single" w:sz="4" w:space="0" w:color="auto"/>
              <w:bottom w:val="single" w:sz="4" w:space="0" w:color="auto"/>
            </w:tcBorders>
          </w:tcPr>
          <w:p w14:paraId="4621A87C" w14:textId="215C564E" w:rsidR="00D40099" w:rsidRDefault="00D40099" w:rsidP="00D40099">
            <w:pPr>
              <w:pStyle w:val="TableText"/>
            </w:pPr>
            <w:r>
              <w:t>Adult</w:t>
            </w:r>
          </w:p>
        </w:tc>
        <w:tc>
          <w:tcPr>
            <w:tcW w:w="992" w:type="dxa"/>
            <w:tcBorders>
              <w:top w:val="single" w:sz="4" w:space="0" w:color="auto"/>
              <w:bottom w:val="single" w:sz="4" w:space="0" w:color="auto"/>
            </w:tcBorders>
          </w:tcPr>
          <w:p w14:paraId="14497577" w14:textId="1A7C2D82" w:rsidR="00D40099" w:rsidRDefault="00D40099" w:rsidP="00D40099">
            <w:pPr>
              <w:pStyle w:val="TableText"/>
            </w:pPr>
            <w:r>
              <w:t>14</w:t>
            </w:r>
          </w:p>
        </w:tc>
        <w:tc>
          <w:tcPr>
            <w:tcW w:w="1559" w:type="dxa"/>
            <w:tcBorders>
              <w:top w:val="single" w:sz="4" w:space="0" w:color="auto"/>
              <w:bottom w:val="single" w:sz="4" w:space="0" w:color="auto"/>
            </w:tcBorders>
          </w:tcPr>
          <w:p w14:paraId="612C1698" w14:textId="28EAA108" w:rsidR="00D40099" w:rsidRDefault="00D40099" w:rsidP="00D40099">
            <w:pPr>
              <w:pStyle w:val="TableText"/>
            </w:pPr>
            <w:r>
              <w:t>EC20 (abundance)</w:t>
            </w:r>
          </w:p>
        </w:tc>
        <w:tc>
          <w:tcPr>
            <w:tcW w:w="1276" w:type="dxa"/>
            <w:tcBorders>
              <w:top w:val="single" w:sz="4" w:space="0" w:color="auto"/>
              <w:bottom w:val="single" w:sz="4" w:space="0" w:color="auto"/>
            </w:tcBorders>
          </w:tcPr>
          <w:p w14:paraId="736BA02E" w14:textId="77300F57" w:rsidR="00D40099" w:rsidRDefault="00D40099" w:rsidP="00D40099">
            <w:pPr>
              <w:pStyle w:val="TableText"/>
            </w:pPr>
            <w:r w:rsidRPr="00686862">
              <w:t>River water</w:t>
            </w:r>
          </w:p>
        </w:tc>
        <w:tc>
          <w:tcPr>
            <w:tcW w:w="992" w:type="dxa"/>
            <w:tcBorders>
              <w:top w:val="single" w:sz="4" w:space="0" w:color="auto"/>
              <w:bottom w:val="single" w:sz="4" w:space="0" w:color="auto"/>
            </w:tcBorders>
          </w:tcPr>
          <w:p w14:paraId="02ECF22F" w14:textId="665D2133" w:rsidR="00D40099" w:rsidRDefault="00D40099" w:rsidP="00D40099">
            <w:pPr>
              <w:pStyle w:val="TableText"/>
            </w:pPr>
            <w:r>
              <w:t>14.3–14.9</w:t>
            </w:r>
          </w:p>
        </w:tc>
        <w:tc>
          <w:tcPr>
            <w:tcW w:w="1276" w:type="dxa"/>
            <w:tcBorders>
              <w:top w:val="single" w:sz="4" w:space="0" w:color="auto"/>
              <w:bottom w:val="single" w:sz="4" w:space="0" w:color="auto"/>
            </w:tcBorders>
          </w:tcPr>
          <w:p w14:paraId="5713B716" w14:textId="723D8366" w:rsidR="00D40099" w:rsidRDefault="00D40099" w:rsidP="00D40099">
            <w:pPr>
              <w:pStyle w:val="TableText"/>
            </w:pPr>
            <w:r>
              <w:t>31</w:t>
            </w:r>
          </w:p>
        </w:tc>
        <w:tc>
          <w:tcPr>
            <w:tcW w:w="567" w:type="dxa"/>
            <w:tcBorders>
              <w:top w:val="single" w:sz="4" w:space="0" w:color="auto"/>
              <w:bottom w:val="single" w:sz="4" w:space="0" w:color="auto"/>
            </w:tcBorders>
          </w:tcPr>
          <w:p w14:paraId="2A63A1CF" w14:textId="3CE6DDB6" w:rsidR="00D40099" w:rsidRDefault="00D40099" w:rsidP="00D40099">
            <w:pPr>
              <w:pStyle w:val="TableText"/>
            </w:pPr>
            <w:r>
              <w:t>7.4</w:t>
            </w:r>
          </w:p>
        </w:tc>
        <w:tc>
          <w:tcPr>
            <w:tcW w:w="850" w:type="dxa"/>
            <w:tcBorders>
              <w:top w:val="single" w:sz="4" w:space="0" w:color="auto"/>
              <w:bottom w:val="single" w:sz="4" w:space="0" w:color="auto"/>
            </w:tcBorders>
          </w:tcPr>
          <w:p w14:paraId="4B43525F" w14:textId="1DCF7C58" w:rsidR="00D40099" w:rsidRDefault="00D40099" w:rsidP="00D40099">
            <w:pPr>
              <w:pStyle w:val="TableText"/>
            </w:pPr>
            <w:r>
              <w:t>2.5–3.0</w:t>
            </w:r>
          </w:p>
        </w:tc>
        <w:tc>
          <w:tcPr>
            <w:tcW w:w="1417" w:type="dxa"/>
            <w:tcBorders>
              <w:top w:val="single" w:sz="4" w:space="0" w:color="auto"/>
              <w:bottom w:val="single" w:sz="4" w:space="0" w:color="auto"/>
            </w:tcBorders>
          </w:tcPr>
          <w:p w14:paraId="70BBEDFC" w14:textId="3AD75164" w:rsidR="00D40099" w:rsidRDefault="00D40099" w:rsidP="00D40099">
            <w:pPr>
              <w:pStyle w:val="TableText"/>
            </w:pPr>
            <w:r>
              <w:t>694</w:t>
            </w:r>
          </w:p>
        </w:tc>
        <w:tc>
          <w:tcPr>
            <w:tcW w:w="1273" w:type="dxa"/>
            <w:tcBorders>
              <w:top w:val="single" w:sz="4" w:space="0" w:color="auto"/>
              <w:bottom w:val="single" w:sz="4" w:space="0" w:color="auto"/>
            </w:tcBorders>
          </w:tcPr>
          <w:p w14:paraId="74A5D6D4" w14:textId="14EA1AD3" w:rsidR="00D40099" w:rsidRDefault="00D40099" w:rsidP="00D40099">
            <w:pPr>
              <w:pStyle w:val="TableText"/>
            </w:pPr>
            <w:r w:rsidRPr="00FB4B94">
              <w:t>Kotalik et al. (2019)</w:t>
            </w:r>
          </w:p>
        </w:tc>
      </w:tr>
      <w:tr w:rsidR="00D40099" w:rsidRPr="00045A29" w14:paraId="5A98FDEC" w14:textId="77777777" w:rsidTr="00C14C27">
        <w:trPr>
          <w:cantSplit/>
        </w:trPr>
        <w:tc>
          <w:tcPr>
            <w:tcW w:w="1429" w:type="dxa"/>
            <w:tcBorders>
              <w:top w:val="single" w:sz="4" w:space="0" w:color="auto"/>
              <w:bottom w:val="single" w:sz="4" w:space="0" w:color="auto"/>
            </w:tcBorders>
          </w:tcPr>
          <w:p w14:paraId="50E0E2BF" w14:textId="26EB1FB2" w:rsidR="00D40099" w:rsidRDefault="00D40099" w:rsidP="00D40099">
            <w:pPr>
              <w:pStyle w:val="TableText"/>
            </w:pPr>
            <w:r>
              <w:t>Cyanobacteria</w:t>
            </w:r>
          </w:p>
        </w:tc>
        <w:tc>
          <w:tcPr>
            <w:tcW w:w="1553" w:type="dxa"/>
            <w:tcBorders>
              <w:top w:val="single" w:sz="4" w:space="0" w:color="auto"/>
              <w:bottom w:val="single" w:sz="4" w:space="0" w:color="auto"/>
            </w:tcBorders>
          </w:tcPr>
          <w:p w14:paraId="5E679433" w14:textId="1C40E89B" w:rsidR="00D40099" w:rsidRPr="000A0E1F" w:rsidRDefault="00D40099" w:rsidP="00D40099">
            <w:pPr>
              <w:pStyle w:val="TableText"/>
            </w:pPr>
            <w:r>
              <w:t>Blue-green algae</w:t>
            </w:r>
          </w:p>
        </w:tc>
        <w:tc>
          <w:tcPr>
            <w:tcW w:w="850" w:type="dxa"/>
            <w:tcBorders>
              <w:top w:val="single" w:sz="4" w:space="0" w:color="auto"/>
              <w:bottom w:val="single" w:sz="4" w:space="0" w:color="auto"/>
            </w:tcBorders>
          </w:tcPr>
          <w:p w14:paraId="46AD4810" w14:textId="3245C83D" w:rsidR="00D40099" w:rsidRDefault="00D40099" w:rsidP="00D40099">
            <w:pPr>
              <w:pStyle w:val="TableText"/>
            </w:pPr>
            <w:r>
              <w:t>—</w:t>
            </w:r>
          </w:p>
        </w:tc>
        <w:tc>
          <w:tcPr>
            <w:tcW w:w="992" w:type="dxa"/>
            <w:tcBorders>
              <w:top w:val="single" w:sz="4" w:space="0" w:color="auto"/>
              <w:bottom w:val="single" w:sz="4" w:space="0" w:color="auto"/>
            </w:tcBorders>
          </w:tcPr>
          <w:p w14:paraId="00B257FF" w14:textId="6B7C44E9" w:rsidR="00D40099" w:rsidRDefault="00D40099" w:rsidP="00D40099">
            <w:pPr>
              <w:pStyle w:val="TableText"/>
            </w:pPr>
            <w:r>
              <w:t>14</w:t>
            </w:r>
          </w:p>
        </w:tc>
        <w:tc>
          <w:tcPr>
            <w:tcW w:w="1559" w:type="dxa"/>
            <w:tcBorders>
              <w:top w:val="single" w:sz="4" w:space="0" w:color="auto"/>
              <w:bottom w:val="single" w:sz="4" w:space="0" w:color="auto"/>
            </w:tcBorders>
          </w:tcPr>
          <w:p w14:paraId="54E67E5E" w14:textId="5CD89192" w:rsidR="00D40099" w:rsidRDefault="00D40099" w:rsidP="00D40099">
            <w:pPr>
              <w:pStyle w:val="TableText"/>
            </w:pPr>
            <w:r>
              <w:t>EC20 (colonisation biomass)</w:t>
            </w:r>
          </w:p>
        </w:tc>
        <w:tc>
          <w:tcPr>
            <w:tcW w:w="1276" w:type="dxa"/>
            <w:tcBorders>
              <w:top w:val="single" w:sz="4" w:space="0" w:color="auto"/>
              <w:bottom w:val="single" w:sz="4" w:space="0" w:color="auto"/>
            </w:tcBorders>
          </w:tcPr>
          <w:p w14:paraId="298AC6D9" w14:textId="4C95B8AD" w:rsidR="00D40099" w:rsidRDefault="00D40099" w:rsidP="00D40099">
            <w:pPr>
              <w:pStyle w:val="TableText"/>
            </w:pPr>
            <w:r w:rsidRPr="00686862">
              <w:t>River water</w:t>
            </w:r>
          </w:p>
        </w:tc>
        <w:tc>
          <w:tcPr>
            <w:tcW w:w="992" w:type="dxa"/>
            <w:tcBorders>
              <w:top w:val="single" w:sz="4" w:space="0" w:color="auto"/>
              <w:bottom w:val="single" w:sz="4" w:space="0" w:color="auto"/>
            </w:tcBorders>
          </w:tcPr>
          <w:p w14:paraId="4BFB4AF3" w14:textId="3A1F98D0" w:rsidR="00D40099" w:rsidRDefault="00D40099" w:rsidP="00D40099">
            <w:pPr>
              <w:pStyle w:val="TableText"/>
            </w:pPr>
            <w:r>
              <w:t>14.3–14.9</w:t>
            </w:r>
          </w:p>
        </w:tc>
        <w:tc>
          <w:tcPr>
            <w:tcW w:w="1276" w:type="dxa"/>
            <w:tcBorders>
              <w:top w:val="single" w:sz="4" w:space="0" w:color="auto"/>
              <w:bottom w:val="single" w:sz="4" w:space="0" w:color="auto"/>
            </w:tcBorders>
          </w:tcPr>
          <w:p w14:paraId="02771723" w14:textId="5B82C289" w:rsidR="00D40099" w:rsidRDefault="00D40099" w:rsidP="00D40099">
            <w:pPr>
              <w:pStyle w:val="TableText"/>
            </w:pPr>
            <w:r>
              <w:t>31</w:t>
            </w:r>
          </w:p>
        </w:tc>
        <w:tc>
          <w:tcPr>
            <w:tcW w:w="567" w:type="dxa"/>
            <w:tcBorders>
              <w:top w:val="single" w:sz="4" w:space="0" w:color="auto"/>
              <w:bottom w:val="single" w:sz="4" w:space="0" w:color="auto"/>
            </w:tcBorders>
          </w:tcPr>
          <w:p w14:paraId="2DBF3870" w14:textId="426DE62C" w:rsidR="00D40099" w:rsidRDefault="00D40099" w:rsidP="00D40099">
            <w:pPr>
              <w:pStyle w:val="TableText"/>
            </w:pPr>
            <w:r>
              <w:t>7.4</w:t>
            </w:r>
          </w:p>
        </w:tc>
        <w:tc>
          <w:tcPr>
            <w:tcW w:w="850" w:type="dxa"/>
            <w:tcBorders>
              <w:top w:val="single" w:sz="4" w:space="0" w:color="auto"/>
              <w:bottom w:val="single" w:sz="4" w:space="0" w:color="auto"/>
            </w:tcBorders>
          </w:tcPr>
          <w:p w14:paraId="1BE4E64D" w14:textId="6936366E" w:rsidR="00D40099" w:rsidRDefault="00D40099" w:rsidP="00D40099">
            <w:pPr>
              <w:pStyle w:val="TableText"/>
            </w:pPr>
            <w:r>
              <w:t>2.5–3.0</w:t>
            </w:r>
          </w:p>
        </w:tc>
        <w:tc>
          <w:tcPr>
            <w:tcW w:w="1417" w:type="dxa"/>
            <w:tcBorders>
              <w:top w:val="single" w:sz="4" w:space="0" w:color="auto"/>
              <w:bottom w:val="single" w:sz="4" w:space="0" w:color="auto"/>
            </w:tcBorders>
          </w:tcPr>
          <w:p w14:paraId="3763D8A3" w14:textId="39FF9E28" w:rsidR="00D40099" w:rsidRDefault="00D40099" w:rsidP="00D40099">
            <w:pPr>
              <w:pStyle w:val="TableText"/>
            </w:pPr>
            <w:r>
              <w:t>1,935</w:t>
            </w:r>
          </w:p>
        </w:tc>
        <w:tc>
          <w:tcPr>
            <w:tcW w:w="1273" w:type="dxa"/>
            <w:tcBorders>
              <w:top w:val="single" w:sz="4" w:space="0" w:color="auto"/>
              <w:bottom w:val="single" w:sz="4" w:space="0" w:color="auto"/>
            </w:tcBorders>
          </w:tcPr>
          <w:p w14:paraId="0C7AB5B1" w14:textId="766DF3C8" w:rsidR="00D40099" w:rsidRDefault="00D40099" w:rsidP="00D40099">
            <w:pPr>
              <w:pStyle w:val="TableText"/>
            </w:pPr>
            <w:r w:rsidRPr="00FB4B94">
              <w:t>Kotalik et al. (2019)</w:t>
            </w:r>
          </w:p>
        </w:tc>
      </w:tr>
      <w:tr w:rsidR="00D40099" w:rsidRPr="00045A29" w14:paraId="3633A612" w14:textId="77777777" w:rsidTr="00C14C27">
        <w:trPr>
          <w:cantSplit/>
        </w:trPr>
        <w:tc>
          <w:tcPr>
            <w:tcW w:w="1429" w:type="dxa"/>
            <w:tcBorders>
              <w:top w:val="single" w:sz="4" w:space="0" w:color="auto"/>
              <w:bottom w:val="single" w:sz="4" w:space="0" w:color="auto"/>
            </w:tcBorders>
          </w:tcPr>
          <w:p w14:paraId="1D863E5C" w14:textId="1B39790C" w:rsidR="00D40099" w:rsidRDefault="00D40099" w:rsidP="00D40099">
            <w:pPr>
              <w:pStyle w:val="TableText"/>
            </w:pPr>
            <w:r>
              <w:t>Insecta</w:t>
            </w:r>
          </w:p>
        </w:tc>
        <w:tc>
          <w:tcPr>
            <w:tcW w:w="1553" w:type="dxa"/>
            <w:tcBorders>
              <w:top w:val="single" w:sz="4" w:space="0" w:color="auto"/>
              <w:bottom w:val="single" w:sz="4" w:space="0" w:color="auto"/>
            </w:tcBorders>
          </w:tcPr>
          <w:p w14:paraId="42131D46" w14:textId="7F33EADB" w:rsidR="00D40099" w:rsidRPr="000A0E1F" w:rsidRDefault="00D40099" w:rsidP="00D40099">
            <w:pPr>
              <w:pStyle w:val="TableText"/>
            </w:pPr>
            <w:r>
              <w:t>Chironomidae</w:t>
            </w:r>
          </w:p>
        </w:tc>
        <w:tc>
          <w:tcPr>
            <w:tcW w:w="850" w:type="dxa"/>
            <w:tcBorders>
              <w:top w:val="single" w:sz="4" w:space="0" w:color="auto"/>
              <w:bottom w:val="single" w:sz="4" w:space="0" w:color="auto"/>
            </w:tcBorders>
          </w:tcPr>
          <w:p w14:paraId="7256D5B3" w14:textId="05C5C72D" w:rsidR="00D40099" w:rsidRDefault="00D40099" w:rsidP="00D40099">
            <w:pPr>
              <w:pStyle w:val="TableText"/>
            </w:pPr>
            <w:r>
              <w:t>Adult</w:t>
            </w:r>
          </w:p>
        </w:tc>
        <w:tc>
          <w:tcPr>
            <w:tcW w:w="992" w:type="dxa"/>
            <w:tcBorders>
              <w:top w:val="single" w:sz="4" w:space="0" w:color="auto"/>
              <w:bottom w:val="single" w:sz="4" w:space="0" w:color="auto"/>
            </w:tcBorders>
          </w:tcPr>
          <w:p w14:paraId="08513AFA" w14:textId="5AC92A38" w:rsidR="00D40099" w:rsidRDefault="00D40099" w:rsidP="00D40099">
            <w:pPr>
              <w:pStyle w:val="TableText"/>
            </w:pPr>
            <w:r>
              <w:t>14</w:t>
            </w:r>
          </w:p>
        </w:tc>
        <w:tc>
          <w:tcPr>
            <w:tcW w:w="1559" w:type="dxa"/>
            <w:tcBorders>
              <w:top w:val="single" w:sz="4" w:space="0" w:color="auto"/>
              <w:bottom w:val="single" w:sz="4" w:space="0" w:color="auto"/>
            </w:tcBorders>
          </w:tcPr>
          <w:p w14:paraId="2F50418B" w14:textId="3A1D0974" w:rsidR="00D40099" w:rsidRDefault="00D40099" w:rsidP="00D40099">
            <w:pPr>
              <w:pStyle w:val="TableText"/>
            </w:pPr>
            <w:r>
              <w:t>EC20 (abundance)</w:t>
            </w:r>
          </w:p>
        </w:tc>
        <w:tc>
          <w:tcPr>
            <w:tcW w:w="1276" w:type="dxa"/>
            <w:tcBorders>
              <w:top w:val="single" w:sz="4" w:space="0" w:color="auto"/>
              <w:bottom w:val="single" w:sz="4" w:space="0" w:color="auto"/>
            </w:tcBorders>
          </w:tcPr>
          <w:p w14:paraId="34EF383B" w14:textId="2B1DC216" w:rsidR="00D40099" w:rsidRDefault="00D40099" w:rsidP="00D40099">
            <w:pPr>
              <w:pStyle w:val="TableText"/>
            </w:pPr>
            <w:r w:rsidRPr="00686862">
              <w:t>River water</w:t>
            </w:r>
          </w:p>
        </w:tc>
        <w:tc>
          <w:tcPr>
            <w:tcW w:w="992" w:type="dxa"/>
            <w:tcBorders>
              <w:top w:val="single" w:sz="4" w:space="0" w:color="auto"/>
              <w:bottom w:val="single" w:sz="4" w:space="0" w:color="auto"/>
            </w:tcBorders>
          </w:tcPr>
          <w:p w14:paraId="584CF4E4" w14:textId="5FD3161E" w:rsidR="00D40099" w:rsidRDefault="00D40099" w:rsidP="00D40099">
            <w:pPr>
              <w:pStyle w:val="TableText"/>
            </w:pPr>
            <w:r>
              <w:t>14.3–14.9</w:t>
            </w:r>
          </w:p>
        </w:tc>
        <w:tc>
          <w:tcPr>
            <w:tcW w:w="1276" w:type="dxa"/>
            <w:tcBorders>
              <w:top w:val="single" w:sz="4" w:space="0" w:color="auto"/>
              <w:bottom w:val="single" w:sz="4" w:space="0" w:color="auto"/>
            </w:tcBorders>
          </w:tcPr>
          <w:p w14:paraId="1B5BB748" w14:textId="1776FC17" w:rsidR="00D40099" w:rsidRDefault="00D40099" w:rsidP="00D40099">
            <w:pPr>
              <w:pStyle w:val="TableText"/>
            </w:pPr>
            <w:r>
              <w:t>31</w:t>
            </w:r>
          </w:p>
        </w:tc>
        <w:tc>
          <w:tcPr>
            <w:tcW w:w="567" w:type="dxa"/>
            <w:tcBorders>
              <w:top w:val="single" w:sz="4" w:space="0" w:color="auto"/>
              <w:bottom w:val="single" w:sz="4" w:space="0" w:color="auto"/>
            </w:tcBorders>
          </w:tcPr>
          <w:p w14:paraId="28930093" w14:textId="4AB1AE3C" w:rsidR="00D40099" w:rsidRDefault="00D40099" w:rsidP="00D40099">
            <w:pPr>
              <w:pStyle w:val="TableText"/>
            </w:pPr>
            <w:r>
              <w:t>7.4</w:t>
            </w:r>
          </w:p>
        </w:tc>
        <w:tc>
          <w:tcPr>
            <w:tcW w:w="850" w:type="dxa"/>
            <w:tcBorders>
              <w:top w:val="single" w:sz="4" w:space="0" w:color="auto"/>
              <w:bottom w:val="single" w:sz="4" w:space="0" w:color="auto"/>
            </w:tcBorders>
          </w:tcPr>
          <w:p w14:paraId="2A89E2D1" w14:textId="400455EA" w:rsidR="00D40099" w:rsidRDefault="00D40099" w:rsidP="00D40099">
            <w:pPr>
              <w:pStyle w:val="TableText"/>
            </w:pPr>
            <w:r>
              <w:t>2.5–3.0</w:t>
            </w:r>
          </w:p>
        </w:tc>
        <w:tc>
          <w:tcPr>
            <w:tcW w:w="1417" w:type="dxa"/>
            <w:tcBorders>
              <w:top w:val="single" w:sz="4" w:space="0" w:color="auto"/>
              <w:bottom w:val="single" w:sz="4" w:space="0" w:color="auto"/>
            </w:tcBorders>
          </w:tcPr>
          <w:p w14:paraId="06CF367C" w14:textId="4C241EE6" w:rsidR="00D40099" w:rsidRDefault="00D40099" w:rsidP="00D40099">
            <w:pPr>
              <w:pStyle w:val="TableText"/>
            </w:pPr>
            <w:r>
              <w:t>1,009</w:t>
            </w:r>
          </w:p>
        </w:tc>
        <w:tc>
          <w:tcPr>
            <w:tcW w:w="1273" w:type="dxa"/>
            <w:tcBorders>
              <w:top w:val="single" w:sz="4" w:space="0" w:color="auto"/>
              <w:bottom w:val="single" w:sz="4" w:space="0" w:color="auto"/>
            </w:tcBorders>
          </w:tcPr>
          <w:p w14:paraId="5669DC42" w14:textId="4E5503B0" w:rsidR="00D40099" w:rsidRDefault="00D40099" w:rsidP="00D40099">
            <w:pPr>
              <w:pStyle w:val="TableText"/>
            </w:pPr>
            <w:r w:rsidRPr="00FB4B94">
              <w:t>Kotalik et al. (2019)</w:t>
            </w:r>
          </w:p>
        </w:tc>
      </w:tr>
    </w:tbl>
    <w:p w14:paraId="50CF5690" w14:textId="23E9CEC9" w:rsidR="00B33F61" w:rsidRDefault="00690BD7" w:rsidP="00690BD7">
      <w:pPr>
        <w:pStyle w:val="FigureTableNoteSource"/>
        <w:rPr>
          <w:szCs w:val="18"/>
        </w:rPr>
        <w:sectPr w:rsidR="00B33F61" w:rsidSect="00B33F61">
          <w:headerReference w:type="default" r:id="rId46"/>
          <w:footerReference w:type="default" r:id="rId47"/>
          <w:pgSz w:w="16838" w:h="11906" w:orient="landscape" w:code="9"/>
          <w:pgMar w:top="1418" w:right="1418" w:bottom="1418" w:left="1418" w:header="567" w:footer="284" w:gutter="0"/>
          <w:cols w:space="708"/>
          <w:docGrid w:linePitch="360"/>
        </w:sectPr>
      </w:pPr>
      <w:r w:rsidRPr="009F1E05">
        <w:rPr>
          <w:szCs w:val="18"/>
          <w:vertAlign w:val="superscript"/>
        </w:rPr>
        <w:t xml:space="preserve">a </w:t>
      </w:r>
      <w:r>
        <w:rPr>
          <w:szCs w:val="18"/>
        </w:rPr>
        <w:t>Values recalculated by Brix et al. (2023)</w:t>
      </w:r>
      <w:r w:rsidR="00807C7D">
        <w:rPr>
          <w:szCs w:val="18"/>
        </w:rPr>
        <w:t>.</w:t>
      </w:r>
    </w:p>
    <w:p w14:paraId="5CE3283A" w14:textId="77777777" w:rsidR="00606A7B" w:rsidRDefault="00606A7B" w:rsidP="00606A7B">
      <w:pPr>
        <w:pStyle w:val="Heading2"/>
        <w:numPr>
          <w:ilvl w:val="0"/>
          <w:numId w:val="0"/>
        </w:numPr>
        <w:ind w:left="680" w:hanging="680"/>
      </w:pPr>
      <w:bookmarkStart w:id="90" w:name="_Toc4498839"/>
      <w:bookmarkStart w:id="91" w:name="_Toc34822615"/>
      <w:bookmarkStart w:id="92" w:name="_Toc197088525"/>
      <w:bookmarkStart w:id="93" w:name="_Toc197783780"/>
      <w:bookmarkStart w:id="94" w:name="_Toc199424876"/>
      <w:r w:rsidRPr="00585FD8">
        <w:lastRenderedPageBreak/>
        <w:t>References</w:t>
      </w:r>
      <w:bookmarkEnd w:id="90"/>
      <w:bookmarkEnd w:id="91"/>
      <w:bookmarkEnd w:id="92"/>
      <w:bookmarkEnd w:id="93"/>
      <w:bookmarkEnd w:id="94"/>
    </w:p>
    <w:p w14:paraId="118B2532" w14:textId="3BA2D0C1" w:rsidR="00606A7B" w:rsidRDefault="00606A7B" w:rsidP="00606A7B">
      <w:pPr>
        <w:rPr>
          <w:rFonts w:cs="Arial"/>
        </w:rPr>
      </w:pPr>
      <w:r w:rsidRPr="004469B0">
        <w:t>Angel BM, Apte SC, Batley</w:t>
      </w:r>
      <w:r>
        <w:t xml:space="preserve"> GE </w:t>
      </w:r>
      <w:r w:rsidR="006064FF">
        <w:t>and</w:t>
      </w:r>
      <w:r>
        <w:t xml:space="preserve"> Golding LA </w:t>
      </w:r>
      <w:r w:rsidR="006064FF">
        <w:t>(</w:t>
      </w:r>
      <w:r w:rsidR="00BC5300">
        <w:t>2016</w:t>
      </w:r>
      <w:r w:rsidR="006064FF">
        <w:t>)</w:t>
      </w:r>
      <w:r w:rsidRPr="004469B0">
        <w:t xml:space="preserve"> </w:t>
      </w:r>
      <w:r w:rsidR="006064FF">
        <w:t>‘</w:t>
      </w:r>
      <w:hyperlink r:id="rId48" w:history="1">
        <w:r w:rsidRPr="00BF7504">
          <w:rPr>
            <w:rStyle w:val="Hyperlink"/>
          </w:rPr>
          <w:t>Geochemical controls on aluminium concentrations in coastal waters</w:t>
        </w:r>
      </w:hyperlink>
      <w:r w:rsidR="006064FF">
        <w:t>’,</w:t>
      </w:r>
      <w:r w:rsidRPr="004469B0">
        <w:t xml:space="preserve"> </w:t>
      </w:r>
      <w:r w:rsidRPr="002860AC">
        <w:rPr>
          <w:i/>
        </w:rPr>
        <w:t>Environmental Chemistry</w:t>
      </w:r>
      <w:r w:rsidRPr="002860AC">
        <w:t xml:space="preserve">, </w:t>
      </w:r>
      <w:r w:rsidR="00BC5300">
        <w:t>13</w:t>
      </w:r>
      <w:r w:rsidR="006064FF">
        <w:t>:</w:t>
      </w:r>
      <w:r w:rsidR="00BC5300">
        <w:t>111</w:t>
      </w:r>
      <w:r w:rsidR="006064FF">
        <w:t>–</w:t>
      </w:r>
      <w:r w:rsidR="00BC5300">
        <w:t>118</w:t>
      </w:r>
      <w:r w:rsidR="00BF7504">
        <w:t>, doi:</w:t>
      </w:r>
      <w:r w:rsidR="00BF7504" w:rsidRPr="00BF7504">
        <w:t>10.1071/EN15029</w:t>
      </w:r>
      <w:r w:rsidR="00BC5300">
        <w:t>.</w:t>
      </w:r>
    </w:p>
    <w:p w14:paraId="67EDAB9C" w14:textId="77777777" w:rsidR="006064FF" w:rsidRPr="00264744" w:rsidRDefault="006064FF" w:rsidP="006064FF">
      <w:r w:rsidRPr="00264744">
        <w:t>ANZECC</w:t>
      </w:r>
      <w:r>
        <w:t xml:space="preserve"> and </w:t>
      </w:r>
      <w:r w:rsidRPr="00264744">
        <w:t>ARMCANZ</w:t>
      </w:r>
      <w:r>
        <w:t xml:space="preserve"> </w:t>
      </w:r>
      <w:r>
        <w:rPr>
          <w:lang w:eastAsia="ja-JP"/>
        </w:rPr>
        <w:t>(</w:t>
      </w:r>
      <w:r w:rsidRPr="00ED5FCF">
        <w:rPr>
          <w:lang w:eastAsia="ja-JP"/>
        </w:rPr>
        <w:t>Australian and New Zealand Environment and Conservation Council and Agriculture and Resource Management Council of Australia and New Zealand</w:t>
      </w:r>
      <w:r>
        <w:rPr>
          <w:lang w:eastAsia="ja-JP"/>
        </w:rPr>
        <w:t>)</w:t>
      </w:r>
      <w:r w:rsidRPr="00264744">
        <w:t xml:space="preserve"> (2000) </w:t>
      </w:r>
      <w:hyperlink r:id="rId49" w:history="1">
        <w:r w:rsidRPr="00EF5824">
          <w:rPr>
            <w:rStyle w:val="Hyperlink"/>
            <w:i/>
            <w:iCs/>
            <w:noProof/>
          </w:rPr>
          <w:t xml:space="preserve">Australian and New Zealand </w:t>
        </w:r>
        <w:r>
          <w:rPr>
            <w:rStyle w:val="Hyperlink"/>
            <w:i/>
            <w:iCs/>
            <w:noProof/>
          </w:rPr>
          <w:t>G</w:t>
        </w:r>
        <w:r w:rsidRPr="00EF5824">
          <w:rPr>
            <w:rStyle w:val="Hyperlink"/>
            <w:i/>
            <w:iCs/>
            <w:noProof/>
          </w:rPr>
          <w:t xml:space="preserve">uidelines for </w:t>
        </w:r>
        <w:r>
          <w:rPr>
            <w:rStyle w:val="Hyperlink"/>
            <w:i/>
            <w:iCs/>
            <w:noProof/>
          </w:rPr>
          <w:t>F</w:t>
        </w:r>
        <w:r w:rsidRPr="00EF5824">
          <w:rPr>
            <w:rStyle w:val="Hyperlink"/>
            <w:i/>
            <w:iCs/>
            <w:noProof/>
          </w:rPr>
          <w:t xml:space="preserve">resh and </w:t>
        </w:r>
        <w:r>
          <w:rPr>
            <w:rStyle w:val="Hyperlink"/>
            <w:i/>
            <w:iCs/>
            <w:noProof/>
          </w:rPr>
          <w:t>M</w:t>
        </w:r>
        <w:r w:rsidRPr="00EF5824">
          <w:rPr>
            <w:rStyle w:val="Hyperlink"/>
            <w:i/>
            <w:iCs/>
            <w:noProof/>
          </w:rPr>
          <w:t xml:space="preserve">arine </w:t>
        </w:r>
        <w:r>
          <w:rPr>
            <w:rStyle w:val="Hyperlink"/>
            <w:i/>
            <w:iCs/>
            <w:noProof/>
          </w:rPr>
          <w:t>W</w:t>
        </w:r>
        <w:r w:rsidRPr="00EF5824">
          <w:rPr>
            <w:rStyle w:val="Hyperlink"/>
            <w:i/>
            <w:iCs/>
            <w:noProof/>
          </w:rPr>
          <w:t xml:space="preserve">ater </w:t>
        </w:r>
        <w:r>
          <w:rPr>
            <w:rStyle w:val="Hyperlink"/>
            <w:i/>
            <w:iCs/>
            <w:noProof/>
          </w:rPr>
          <w:t>Q</w:t>
        </w:r>
        <w:r w:rsidRPr="00EF5824">
          <w:rPr>
            <w:rStyle w:val="Hyperlink"/>
            <w:i/>
            <w:iCs/>
            <w:noProof/>
          </w:rPr>
          <w:t xml:space="preserve">uality, volume </w:t>
        </w:r>
        <w:r>
          <w:rPr>
            <w:rStyle w:val="Hyperlink"/>
            <w:i/>
            <w:iCs/>
            <w:noProof/>
          </w:rPr>
          <w:t>1</w:t>
        </w:r>
        <w:r w:rsidRPr="00EF5824">
          <w:rPr>
            <w:rStyle w:val="Hyperlink"/>
            <w:i/>
            <w:iCs/>
            <w:noProof/>
          </w:rPr>
          <w:t xml:space="preserve">, </w:t>
        </w:r>
        <w:r>
          <w:rPr>
            <w:rStyle w:val="Hyperlink"/>
            <w:i/>
            <w:iCs/>
            <w:noProof/>
          </w:rPr>
          <w:t>the guidelines</w:t>
        </w:r>
      </w:hyperlink>
      <w:r>
        <w:rPr>
          <w:noProof/>
        </w:rPr>
        <w:t>, ANZECC and ARMCANZ.</w:t>
      </w:r>
    </w:p>
    <w:p w14:paraId="23DD7BD5" w14:textId="77777777" w:rsidR="006064FF" w:rsidRDefault="006064FF" w:rsidP="006064FF">
      <w:pPr>
        <w:rPr>
          <w:noProof/>
        </w:rPr>
      </w:pPr>
      <w:r w:rsidRPr="00380D60">
        <w:rPr>
          <w:noProof/>
        </w:rPr>
        <w:t xml:space="preserve">ANZG </w:t>
      </w:r>
      <w:r>
        <w:rPr>
          <w:noProof/>
        </w:rPr>
        <w:t>(Australian and New Zealand Guidelines) (</w:t>
      </w:r>
      <w:r w:rsidRPr="00380D60">
        <w:rPr>
          <w:noProof/>
        </w:rPr>
        <w:t>2018</w:t>
      </w:r>
      <w:r>
        <w:rPr>
          <w:noProof/>
        </w:rPr>
        <w:t>)</w:t>
      </w:r>
      <w:r w:rsidRPr="00380D60">
        <w:rPr>
          <w:noProof/>
        </w:rPr>
        <w:t xml:space="preserve"> </w:t>
      </w:r>
      <w:hyperlink r:id="rId50" w:history="1">
        <w:r w:rsidRPr="00857C34">
          <w:rPr>
            <w:rStyle w:val="Hyperlink"/>
            <w:i/>
            <w:iCs/>
          </w:rPr>
          <w:t xml:space="preserve">Australian and New Zealand </w:t>
        </w:r>
        <w:r>
          <w:rPr>
            <w:rStyle w:val="Hyperlink"/>
            <w:i/>
            <w:iCs/>
          </w:rPr>
          <w:t>G</w:t>
        </w:r>
        <w:r w:rsidRPr="00857C34">
          <w:rPr>
            <w:rStyle w:val="Hyperlink"/>
            <w:i/>
            <w:iCs/>
          </w:rPr>
          <w:t xml:space="preserve">uidelines for </w:t>
        </w:r>
        <w:r>
          <w:rPr>
            <w:rStyle w:val="Hyperlink"/>
            <w:i/>
            <w:iCs/>
          </w:rPr>
          <w:t>F</w:t>
        </w:r>
        <w:r w:rsidRPr="00857C34">
          <w:rPr>
            <w:rStyle w:val="Hyperlink"/>
            <w:i/>
            <w:iCs/>
          </w:rPr>
          <w:t xml:space="preserve">resh and </w:t>
        </w:r>
        <w:r>
          <w:rPr>
            <w:rStyle w:val="Hyperlink"/>
            <w:i/>
            <w:iCs/>
          </w:rPr>
          <w:t>M</w:t>
        </w:r>
        <w:r w:rsidRPr="00857C34">
          <w:rPr>
            <w:rStyle w:val="Hyperlink"/>
            <w:i/>
            <w:iCs/>
          </w:rPr>
          <w:t xml:space="preserve">arine </w:t>
        </w:r>
        <w:r>
          <w:rPr>
            <w:rStyle w:val="Hyperlink"/>
            <w:i/>
            <w:iCs/>
          </w:rPr>
          <w:t>W</w:t>
        </w:r>
        <w:r w:rsidRPr="00857C34">
          <w:rPr>
            <w:rStyle w:val="Hyperlink"/>
            <w:i/>
            <w:iCs/>
          </w:rPr>
          <w:t xml:space="preserve">ater </w:t>
        </w:r>
        <w:r>
          <w:rPr>
            <w:rStyle w:val="Hyperlink"/>
            <w:i/>
            <w:iCs/>
          </w:rPr>
          <w:t>Q</w:t>
        </w:r>
        <w:r w:rsidRPr="00857C34">
          <w:rPr>
            <w:rStyle w:val="Hyperlink"/>
            <w:i/>
            <w:iCs/>
          </w:rPr>
          <w:t>uality</w:t>
        </w:r>
      </w:hyperlink>
      <w:r>
        <w:rPr>
          <w:noProof/>
        </w:rPr>
        <w:t>,</w:t>
      </w:r>
      <w:r w:rsidRPr="00380D60">
        <w:rPr>
          <w:noProof/>
        </w:rPr>
        <w:t xml:space="preserve"> Australian and New Zealand </w:t>
      </w:r>
      <w:r>
        <w:rPr>
          <w:noProof/>
        </w:rPr>
        <w:t>g</w:t>
      </w:r>
      <w:r w:rsidRPr="00380D60">
        <w:rPr>
          <w:noProof/>
        </w:rPr>
        <w:t>overnments and Australian state and territory governments.</w:t>
      </w:r>
    </w:p>
    <w:p w14:paraId="20D82924" w14:textId="33991A69" w:rsidR="00165642" w:rsidRPr="00EF77E9" w:rsidRDefault="00165642" w:rsidP="00165642">
      <w:r w:rsidRPr="00EF77E9">
        <w:t>ANZG (</w:t>
      </w:r>
      <w:r w:rsidR="00A45926" w:rsidRPr="00EF77E9">
        <w:t>202</w:t>
      </w:r>
      <w:r w:rsidR="00A45926">
        <w:t>5</w:t>
      </w:r>
      <w:r w:rsidRPr="00EF77E9">
        <w:t xml:space="preserve">) </w:t>
      </w:r>
      <w:r w:rsidRPr="00EF77E9">
        <w:rPr>
          <w:i/>
          <w:iCs/>
        </w:rPr>
        <w:t>Optimisation of the US</w:t>
      </w:r>
      <w:r w:rsidR="00BF7504">
        <w:rPr>
          <w:i/>
          <w:iCs/>
        </w:rPr>
        <w:t xml:space="preserve"> </w:t>
      </w:r>
      <w:r w:rsidRPr="00EF77E9">
        <w:rPr>
          <w:i/>
          <w:iCs/>
        </w:rPr>
        <w:t>EPA (1991) pH 2 extraction method for measuring potentially bioavailable iron (iron III)</w:t>
      </w:r>
      <w:r w:rsidRPr="00EF77E9">
        <w:t>, Australian and New Zealand guidelines for fresh and marine water quality. CC BY 4.0. Australian and New Zealand Governments and Australian state and territory governments.</w:t>
      </w:r>
    </w:p>
    <w:p w14:paraId="63A98947" w14:textId="0736EBF4" w:rsidR="006F1BD5" w:rsidRPr="00EC7046" w:rsidRDefault="006F1BD5" w:rsidP="006F1BD5">
      <w:pPr>
        <w:rPr>
          <w:rFonts w:ascii="Calibri" w:hAnsi="Calibri" w:cs="Calibri"/>
          <w:lang w:val="en-GB"/>
        </w:rPr>
      </w:pPr>
      <w:r w:rsidRPr="00EC7046">
        <w:rPr>
          <w:rFonts w:ascii="Calibri" w:hAnsi="Calibri" w:cs="Calibri"/>
          <w:lang w:val="en-GB"/>
        </w:rPr>
        <w:t xml:space="preserve">Arbildua JJ, Villavicencio G, Urrestarazu P, Opazo M, Brix KV, Adams WJ </w:t>
      </w:r>
      <w:r w:rsidR="004B1714">
        <w:rPr>
          <w:rFonts w:ascii="Calibri" w:hAnsi="Calibri" w:cs="Calibri"/>
          <w:lang w:val="en-GB"/>
        </w:rPr>
        <w:t>and</w:t>
      </w:r>
      <w:r w:rsidRPr="00EC7046">
        <w:rPr>
          <w:rFonts w:ascii="Calibri" w:hAnsi="Calibri" w:cs="Calibri"/>
          <w:lang w:val="en-GB"/>
        </w:rPr>
        <w:t xml:space="preserve"> Rodriguez PH </w:t>
      </w:r>
      <w:r w:rsidR="00E44304">
        <w:rPr>
          <w:rFonts w:ascii="Calibri" w:hAnsi="Calibri" w:cs="Calibri"/>
          <w:lang w:val="en-GB"/>
        </w:rPr>
        <w:t>(</w:t>
      </w:r>
      <w:r w:rsidRPr="00EC7046">
        <w:rPr>
          <w:rFonts w:ascii="Calibri" w:hAnsi="Calibri" w:cs="Calibri"/>
          <w:lang w:val="en-GB"/>
        </w:rPr>
        <w:t>2017</w:t>
      </w:r>
      <w:r w:rsidR="00E44304">
        <w:rPr>
          <w:rFonts w:ascii="Calibri" w:hAnsi="Calibri" w:cs="Calibri"/>
          <w:lang w:val="en-GB"/>
        </w:rPr>
        <w:t>)</w:t>
      </w:r>
      <w:r w:rsidRPr="00EC7046">
        <w:rPr>
          <w:rFonts w:ascii="Calibri" w:hAnsi="Calibri" w:cs="Calibri"/>
          <w:lang w:val="en-GB"/>
        </w:rPr>
        <w:t xml:space="preserve"> </w:t>
      </w:r>
      <w:r w:rsidR="00E44304">
        <w:rPr>
          <w:rFonts w:ascii="Calibri" w:hAnsi="Calibri" w:cs="Calibri"/>
          <w:lang w:val="en-GB"/>
        </w:rPr>
        <w:t>‘</w:t>
      </w:r>
      <w:hyperlink r:id="rId51" w:history="1">
        <w:r w:rsidRPr="00DA2193">
          <w:rPr>
            <w:rStyle w:val="Hyperlink"/>
            <w:rFonts w:ascii="Calibri" w:hAnsi="Calibri" w:cs="Calibri"/>
            <w:lang w:val="en-GB"/>
          </w:rPr>
          <w:t xml:space="preserve">Effect of Fe (III) on </w:t>
        </w:r>
        <w:r w:rsidRPr="00DA2193">
          <w:rPr>
            <w:rStyle w:val="Hyperlink"/>
            <w:rFonts w:ascii="Calibri" w:hAnsi="Calibri" w:cs="Calibri"/>
            <w:i/>
            <w:iCs/>
            <w:lang w:val="en-GB"/>
          </w:rPr>
          <w:t>Pseudokirchneriella subcapitata</w:t>
        </w:r>
        <w:r w:rsidRPr="00DA2193">
          <w:rPr>
            <w:rStyle w:val="Hyperlink"/>
            <w:rFonts w:ascii="Calibri" w:hAnsi="Calibri" w:cs="Calibri"/>
            <w:lang w:val="en-GB"/>
          </w:rPr>
          <w:t xml:space="preserve"> at circumneutral pH in standard laboratory tests is explained by nutrient sequestration</w:t>
        </w:r>
      </w:hyperlink>
      <w:r w:rsidR="00E44304">
        <w:rPr>
          <w:rFonts w:ascii="Calibri" w:hAnsi="Calibri" w:cs="Calibri"/>
          <w:lang w:val="en-GB"/>
        </w:rPr>
        <w:t>’,</w:t>
      </w:r>
      <w:r w:rsidRPr="00EC7046">
        <w:rPr>
          <w:rFonts w:ascii="Calibri" w:hAnsi="Calibri" w:cs="Calibri"/>
          <w:lang w:val="en-GB"/>
        </w:rPr>
        <w:t xml:space="preserve"> </w:t>
      </w:r>
      <w:r w:rsidRPr="00EC7046">
        <w:rPr>
          <w:rFonts w:ascii="Calibri" w:hAnsi="Calibri" w:cs="Calibri"/>
          <w:i/>
          <w:iCs/>
          <w:lang w:val="en-GB"/>
        </w:rPr>
        <w:t>Environmental Toxicology and Chemistry</w:t>
      </w:r>
      <w:r w:rsidRPr="00EC7046">
        <w:rPr>
          <w:rFonts w:ascii="Calibri" w:hAnsi="Calibri" w:cs="Calibri"/>
          <w:lang w:val="en-GB"/>
        </w:rPr>
        <w:t>, 36</w:t>
      </w:r>
      <w:r w:rsidR="00E44304">
        <w:rPr>
          <w:rFonts w:ascii="Calibri" w:hAnsi="Calibri" w:cs="Calibri"/>
          <w:lang w:val="en-GB"/>
        </w:rPr>
        <w:t>:</w:t>
      </w:r>
      <w:r w:rsidRPr="00EC7046">
        <w:rPr>
          <w:rFonts w:ascii="Calibri" w:hAnsi="Calibri" w:cs="Calibri"/>
          <w:lang w:val="en-GB"/>
        </w:rPr>
        <w:t>952–958</w:t>
      </w:r>
      <w:r w:rsidR="00DA2193">
        <w:rPr>
          <w:rFonts w:ascii="Calibri" w:hAnsi="Calibri" w:cs="Calibri"/>
          <w:lang w:val="en-GB"/>
        </w:rPr>
        <w:t>, doi:</w:t>
      </w:r>
      <w:r w:rsidR="00DA2193" w:rsidRPr="00DA2193">
        <w:rPr>
          <w:rFonts w:ascii="Calibri" w:hAnsi="Calibri" w:cs="Calibri"/>
          <w:lang w:val="en-GB"/>
        </w:rPr>
        <w:t>10.1002/etc.3609</w:t>
      </w:r>
      <w:r w:rsidRPr="00EC7046">
        <w:rPr>
          <w:rFonts w:ascii="Calibri" w:hAnsi="Calibri" w:cs="Calibri"/>
          <w:lang w:val="en-GB"/>
        </w:rPr>
        <w:t>.</w:t>
      </w:r>
    </w:p>
    <w:p w14:paraId="006960D3" w14:textId="29794705" w:rsidR="004B0554" w:rsidRPr="00FC251C" w:rsidRDefault="004B0554" w:rsidP="007D50AE">
      <w:pPr>
        <w:autoSpaceDE w:val="0"/>
        <w:autoSpaceDN w:val="0"/>
        <w:adjustRightInd w:val="0"/>
        <w:spacing w:after="120" w:line="264" w:lineRule="auto"/>
        <w:rPr>
          <w:rFonts w:ascii="Calibri" w:hAnsi="Calibri" w:cs="Calibri"/>
          <w:lang w:eastAsia="en-AU"/>
        </w:rPr>
      </w:pPr>
      <w:r w:rsidRPr="007B657C">
        <w:rPr>
          <w:rFonts w:ascii="Calibri" w:hAnsi="Calibri" w:cs="Calibri"/>
          <w:bCs/>
        </w:rPr>
        <w:t xml:space="preserve">Balsamo Crespo E, Reichelt-Brushett A, Smith REW, Rose AL </w:t>
      </w:r>
      <w:r w:rsidR="00E44304">
        <w:rPr>
          <w:rFonts w:ascii="Calibri" w:hAnsi="Calibri" w:cs="Calibri"/>
          <w:bCs/>
        </w:rPr>
        <w:t>and</w:t>
      </w:r>
      <w:r w:rsidRPr="007B657C">
        <w:rPr>
          <w:rFonts w:ascii="Calibri" w:hAnsi="Calibri" w:cs="Calibri"/>
          <w:bCs/>
        </w:rPr>
        <w:t xml:space="preserve"> Batley GE </w:t>
      </w:r>
      <w:r w:rsidR="00E44304">
        <w:rPr>
          <w:rFonts w:ascii="Calibri" w:hAnsi="Calibri" w:cs="Calibri"/>
          <w:bCs/>
        </w:rPr>
        <w:t>(</w:t>
      </w:r>
      <w:r w:rsidRPr="007B657C">
        <w:rPr>
          <w:rFonts w:ascii="Calibri" w:hAnsi="Calibri" w:cs="Calibri"/>
          <w:bCs/>
        </w:rPr>
        <w:t>202</w:t>
      </w:r>
      <w:r>
        <w:rPr>
          <w:rFonts w:ascii="Calibri" w:hAnsi="Calibri" w:cs="Calibri"/>
          <w:bCs/>
        </w:rPr>
        <w:t>3</w:t>
      </w:r>
      <w:r w:rsidR="00E44304">
        <w:rPr>
          <w:rFonts w:ascii="Calibri" w:hAnsi="Calibri" w:cs="Calibri"/>
          <w:bCs/>
        </w:rPr>
        <w:t>)</w:t>
      </w:r>
      <w:r w:rsidRPr="007B657C">
        <w:rPr>
          <w:rFonts w:ascii="Calibri" w:hAnsi="Calibri" w:cs="Calibri"/>
          <w:bCs/>
        </w:rPr>
        <w:t xml:space="preserve"> </w:t>
      </w:r>
      <w:r w:rsidR="00E44304">
        <w:rPr>
          <w:rFonts w:ascii="Calibri" w:hAnsi="Calibri" w:cs="Calibri"/>
          <w:bCs/>
        </w:rPr>
        <w:t>‘</w:t>
      </w:r>
      <w:hyperlink r:id="rId52" w:history="1">
        <w:r w:rsidR="00AA469E" w:rsidRPr="00F46B52">
          <w:rPr>
            <w:rStyle w:val="Hyperlink"/>
            <w:rFonts w:ascii="Calibri" w:hAnsi="Calibri" w:cs="Calibri"/>
            <w:bCs/>
          </w:rPr>
          <w:t xml:space="preserve">Improving the measurement of </w:t>
        </w:r>
        <w:r w:rsidRPr="00F46B52">
          <w:rPr>
            <w:rStyle w:val="Hyperlink"/>
            <w:rFonts w:ascii="Calibri" w:hAnsi="Calibri" w:cs="Calibri"/>
            <w:bCs/>
          </w:rPr>
          <w:t>iron(III) bioavailability in freshwater samples</w:t>
        </w:r>
        <w:r w:rsidR="00F46B52" w:rsidRPr="00F46B52">
          <w:rPr>
            <w:rStyle w:val="Hyperlink"/>
            <w:rFonts w:ascii="Calibri" w:hAnsi="Calibri" w:cs="Calibri"/>
            <w:bCs/>
          </w:rPr>
          <w:t>:</w:t>
        </w:r>
        <w:r w:rsidRPr="00F46B52">
          <w:rPr>
            <w:rStyle w:val="Hyperlink"/>
            <w:rFonts w:ascii="Calibri" w:hAnsi="Calibri" w:cs="Calibri"/>
            <w:bCs/>
          </w:rPr>
          <w:t xml:space="preserve"> methods and performance</w:t>
        </w:r>
      </w:hyperlink>
      <w:r w:rsidR="00E44304">
        <w:rPr>
          <w:rFonts w:ascii="Calibri" w:hAnsi="Calibri" w:cs="Calibri"/>
          <w:bCs/>
        </w:rPr>
        <w:t>’,</w:t>
      </w:r>
      <w:r w:rsidRPr="007B657C">
        <w:rPr>
          <w:rFonts w:ascii="Calibri" w:hAnsi="Calibri" w:cs="Calibri"/>
          <w:bCs/>
        </w:rPr>
        <w:t xml:space="preserve"> </w:t>
      </w:r>
      <w:r w:rsidRPr="007D50AE">
        <w:rPr>
          <w:rFonts w:ascii="Calibri" w:hAnsi="Calibri" w:cs="Calibri"/>
          <w:bCs/>
          <w:i/>
          <w:iCs/>
        </w:rPr>
        <w:t>Environmental Toxicology and Chemistry</w:t>
      </w:r>
      <w:r w:rsidR="007D50AE">
        <w:rPr>
          <w:rFonts w:ascii="Calibri" w:hAnsi="Calibri" w:cs="Calibri"/>
          <w:bCs/>
          <w:i/>
          <w:iCs/>
        </w:rPr>
        <w:t>,</w:t>
      </w:r>
      <w:r>
        <w:rPr>
          <w:rFonts w:ascii="Calibri" w:hAnsi="Calibri" w:cs="Calibri"/>
          <w:bCs/>
        </w:rPr>
        <w:t xml:space="preserve"> 42</w:t>
      </w:r>
      <w:r w:rsidR="00E44304">
        <w:rPr>
          <w:rFonts w:ascii="Calibri" w:hAnsi="Calibri" w:cs="Calibri"/>
          <w:bCs/>
        </w:rPr>
        <w:t>:</w:t>
      </w:r>
      <w:r>
        <w:rPr>
          <w:rFonts w:ascii="Calibri" w:hAnsi="Calibri" w:cs="Calibri"/>
          <w:bCs/>
        </w:rPr>
        <w:t>303</w:t>
      </w:r>
      <w:r w:rsidR="00E44304">
        <w:rPr>
          <w:rFonts w:ascii="Calibri" w:hAnsi="Calibri" w:cs="Calibri"/>
          <w:bCs/>
        </w:rPr>
        <w:t>–</w:t>
      </w:r>
      <w:r>
        <w:rPr>
          <w:rFonts w:ascii="Calibri" w:hAnsi="Calibri" w:cs="Calibri"/>
          <w:bCs/>
        </w:rPr>
        <w:t>316</w:t>
      </w:r>
      <w:r w:rsidR="00F46B52">
        <w:rPr>
          <w:rFonts w:ascii="Calibri" w:hAnsi="Calibri" w:cs="Calibri"/>
          <w:bCs/>
        </w:rPr>
        <w:t>, doi:</w:t>
      </w:r>
      <w:r w:rsidR="00F46B52" w:rsidRPr="00F46B52">
        <w:rPr>
          <w:rFonts w:ascii="Calibri" w:hAnsi="Calibri" w:cs="Calibri"/>
          <w:bCs/>
        </w:rPr>
        <w:t>10.1002/etc.5530</w:t>
      </w:r>
      <w:r>
        <w:rPr>
          <w:rFonts w:ascii="Calibri" w:hAnsi="Calibri" w:cs="Calibri"/>
          <w:bCs/>
        </w:rPr>
        <w:t>.</w:t>
      </w:r>
    </w:p>
    <w:p w14:paraId="0CF05824" w14:textId="49519B9C" w:rsidR="00606A7B" w:rsidRPr="00CD4589" w:rsidRDefault="00606A7B" w:rsidP="00606A7B">
      <w:pPr>
        <w:rPr>
          <w:rFonts w:cs="Calibri"/>
        </w:rPr>
      </w:pPr>
      <w:r w:rsidRPr="00CD4589">
        <w:rPr>
          <w:rFonts w:cs="Calibri"/>
        </w:rPr>
        <w:t xml:space="preserve">Batty LC </w:t>
      </w:r>
      <w:r w:rsidR="00E44304">
        <w:rPr>
          <w:rFonts w:cs="Calibri"/>
        </w:rPr>
        <w:t>and</w:t>
      </w:r>
      <w:r>
        <w:rPr>
          <w:rFonts w:cs="Calibri"/>
        </w:rPr>
        <w:t xml:space="preserve"> Younger PL </w:t>
      </w:r>
      <w:r w:rsidR="00E44304">
        <w:rPr>
          <w:rFonts w:cs="Calibri"/>
        </w:rPr>
        <w:t>(</w:t>
      </w:r>
      <w:r>
        <w:rPr>
          <w:rFonts w:cs="Calibri"/>
        </w:rPr>
        <w:t>2002</w:t>
      </w:r>
      <w:r w:rsidR="00E44304">
        <w:rPr>
          <w:rFonts w:cs="Calibri"/>
        </w:rPr>
        <w:t>)</w:t>
      </w:r>
      <w:r w:rsidRPr="00CD4589">
        <w:rPr>
          <w:rFonts w:cs="Calibri"/>
        </w:rPr>
        <w:t xml:space="preserve"> </w:t>
      </w:r>
      <w:r w:rsidR="00E44304">
        <w:rPr>
          <w:rFonts w:cs="Calibri"/>
        </w:rPr>
        <w:t>‘</w:t>
      </w:r>
      <w:hyperlink r:id="rId53" w:history="1">
        <w:r w:rsidRPr="0044794D">
          <w:rPr>
            <w:rStyle w:val="Hyperlink"/>
            <w:rFonts w:cs="Calibri"/>
          </w:rPr>
          <w:t>Critical role of macrophytes in achieving low iron concentrations in mine water treatment wetlands</w:t>
        </w:r>
      </w:hyperlink>
      <w:r w:rsidR="00E44304">
        <w:rPr>
          <w:rFonts w:cs="Calibri"/>
        </w:rPr>
        <w:t>’,</w:t>
      </w:r>
      <w:r w:rsidRPr="00CD4589">
        <w:rPr>
          <w:rFonts w:cs="Calibri"/>
        </w:rPr>
        <w:t xml:space="preserve"> </w:t>
      </w:r>
      <w:r w:rsidRPr="00CD4589">
        <w:rPr>
          <w:rFonts w:cs="Calibri"/>
          <w:i/>
          <w:iCs/>
        </w:rPr>
        <w:t xml:space="preserve">Environmental Science </w:t>
      </w:r>
      <w:r w:rsidR="00E44304">
        <w:rPr>
          <w:rFonts w:cs="Calibri"/>
          <w:i/>
          <w:iCs/>
        </w:rPr>
        <w:t>and</w:t>
      </w:r>
      <w:r w:rsidRPr="00CD4589">
        <w:rPr>
          <w:rFonts w:cs="Calibri"/>
          <w:i/>
          <w:iCs/>
        </w:rPr>
        <w:t xml:space="preserve"> Technology</w:t>
      </w:r>
      <w:r w:rsidRPr="00CD4589">
        <w:rPr>
          <w:rFonts w:cs="Calibri"/>
        </w:rPr>
        <w:t>, 36</w:t>
      </w:r>
      <w:r w:rsidR="00E44304">
        <w:rPr>
          <w:rFonts w:cs="Calibri"/>
        </w:rPr>
        <w:t>:</w:t>
      </w:r>
      <w:r w:rsidRPr="00CD4589">
        <w:rPr>
          <w:rFonts w:cs="Calibri"/>
        </w:rPr>
        <w:t>3997</w:t>
      </w:r>
      <w:r w:rsidR="00E44304">
        <w:rPr>
          <w:rFonts w:cs="Calibri"/>
        </w:rPr>
        <w:t>–</w:t>
      </w:r>
      <w:r w:rsidRPr="00CD4589">
        <w:rPr>
          <w:rFonts w:cs="Calibri"/>
        </w:rPr>
        <w:t>4002</w:t>
      </w:r>
      <w:r w:rsidR="0044794D">
        <w:rPr>
          <w:rFonts w:cs="Calibri"/>
        </w:rPr>
        <w:t>, doi:</w:t>
      </w:r>
      <w:r w:rsidR="0044794D" w:rsidRPr="0044794D">
        <w:rPr>
          <w:rFonts w:cs="Calibri"/>
        </w:rPr>
        <w:t>10.1021/es020033+</w:t>
      </w:r>
      <w:r w:rsidRPr="00CD4589">
        <w:rPr>
          <w:rFonts w:cs="Calibri"/>
        </w:rPr>
        <w:t>.</w:t>
      </w:r>
    </w:p>
    <w:p w14:paraId="7B72139F" w14:textId="2F58F715" w:rsidR="00606A7B" w:rsidRPr="00CD4589" w:rsidRDefault="00606A7B" w:rsidP="00606A7B">
      <w:pPr>
        <w:rPr>
          <w:rFonts w:cs="Calibri"/>
        </w:rPr>
      </w:pPr>
      <w:r w:rsidRPr="00CD4589">
        <w:rPr>
          <w:rFonts w:cs="Calibri"/>
        </w:rPr>
        <w:t xml:space="preserve">Bermingham S, Maltby L </w:t>
      </w:r>
      <w:r w:rsidR="00E44304">
        <w:rPr>
          <w:rFonts w:cs="Calibri"/>
        </w:rPr>
        <w:t>and</w:t>
      </w:r>
      <w:r>
        <w:rPr>
          <w:rFonts w:cs="Calibri"/>
        </w:rPr>
        <w:t xml:space="preserve"> Cooke RC </w:t>
      </w:r>
      <w:r w:rsidR="00E44304">
        <w:rPr>
          <w:rFonts w:cs="Calibri"/>
        </w:rPr>
        <w:t>(</w:t>
      </w:r>
      <w:r>
        <w:rPr>
          <w:rFonts w:cs="Calibri"/>
        </w:rPr>
        <w:t>1996</w:t>
      </w:r>
      <w:r w:rsidR="00E44304">
        <w:rPr>
          <w:rFonts w:cs="Calibri"/>
        </w:rPr>
        <w:t>)</w:t>
      </w:r>
      <w:r w:rsidRPr="00CD4589">
        <w:rPr>
          <w:rFonts w:cs="Calibri"/>
        </w:rPr>
        <w:t xml:space="preserve"> </w:t>
      </w:r>
      <w:r w:rsidR="00E44304">
        <w:rPr>
          <w:rFonts w:cs="Calibri"/>
        </w:rPr>
        <w:t>‘</w:t>
      </w:r>
      <w:hyperlink r:id="rId54" w:history="1">
        <w:r w:rsidRPr="00601421">
          <w:rPr>
            <w:rStyle w:val="Hyperlink"/>
            <w:rFonts w:cs="Calibri"/>
          </w:rPr>
          <w:t>Effects of a coal mine effluent on aquatic hyphomycetes.</w:t>
        </w:r>
        <w:r w:rsidR="00601421" w:rsidRPr="00601421">
          <w:rPr>
            <w:rStyle w:val="Hyperlink"/>
            <w:rFonts w:cs="Calibri"/>
          </w:rPr>
          <w:t xml:space="preserve"> II</w:t>
        </w:r>
        <w:r w:rsidRPr="00601421">
          <w:rPr>
            <w:rStyle w:val="Hyperlink"/>
            <w:rFonts w:cs="Calibri"/>
          </w:rPr>
          <w:t>. Laboratory toxicity experiments</w:t>
        </w:r>
      </w:hyperlink>
      <w:r w:rsidR="00E44304">
        <w:rPr>
          <w:rFonts w:cs="Calibri"/>
        </w:rPr>
        <w:t>’,</w:t>
      </w:r>
      <w:r w:rsidRPr="00CD4589">
        <w:rPr>
          <w:rFonts w:cs="Calibri"/>
        </w:rPr>
        <w:t xml:space="preserve"> </w:t>
      </w:r>
      <w:r w:rsidRPr="00CD4589">
        <w:rPr>
          <w:rFonts w:cs="Calibri"/>
          <w:i/>
          <w:iCs/>
        </w:rPr>
        <w:t>Journal of Applied Ecology</w:t>
      </w:r>
      <w:r w:rsidRPr="00CD4589">
        <w:rPr>
          <w:rFonts w:cs="Calibri"/>
        </w:rPr>
        <w:t>, 33</w:t>
      </w:r>
      <w:r w:rsidR="00E44304">
        <w:rPr>
          <w:rFonts w:cs="Calibri"/>
        </w:rPr>
        <w:t>:</w:t>
      </w:r>
      <w:r w:rsidRPr="00CD4589">
        <w:rPr>
          <w:rFonts w:cs="Calibri"/>
        </w:rPr>
        <w:t>1322</w:t>
      </w:r>
      <w:r w:rsidR="00E44304">
        <w:rPr>
          <w:rFonts w:cs="Calibri"/>
        </w:rPr>
        <w:t>–</w:t>
      </w:r>
      <w:r w:rsidRPr="00CD4589">
        <w:rPr>
          <w:rFonts w:cs="Calibri"/>
        </w:rPr>
        <w:t>1328</w:t>
      </w:r>
      <w:r w:rsidR="00601421">
        <w:rPr>
          <w:rFonts w:cs="Calibri"/>
        </w:rPr>
        <w:t>, doi:</w:t>
      </w:r>
      <w:r w:rsidR="00601421" w:rsidRPr="00601421">
        <w:rPr>
          <w:rFonts w:cs="Calibri"/>
        </w:rPr>
        <w:t>10.2307/2404773</w:t>
      </w:r>
      <w:r w:rsidRPr="00CD4589">
        <w:rPr>
          <w:rFonts w:cs="Calibri"/>
        </w:rPr>
        <w:t>.</w:t>
      </w:r>
    </w:p>
    <w:p w14:paraId="6267C3F4" w14:textId="1A8B7E1A" w:rsidR="00606A7B" w:rsidRPr="00CD4589" w:rsidRDefault="00606A7B" w:rsidP="00606A7B">
      <w:r w:rsidRPr="00CD4589">
        <w:t xml:space="preserve">Biesinger KE </w:t>
      </w:r>
      <w:r w:rsidR="00E44304">
        <w:t>and</w:t>
      </w:r>
      <w:r>
        <w:t xml:space="preserve"> Christensen GM </w:t>
      </w:r>
      <w:r w:rsidR="00E44304">
        <w:t>(</w:t>
      </w:r>
      <w:r>
        <w:t>1972</w:t>
      </w:r>
      <w:r w:rsidR="00E44304">
        <w:t>)</w:t>
      </w:r>
      <w:r w:rsidRPr="00CD4589">
        <w:t xml:space="preserve"> </w:t>
      </w:r>
      <w:r w:rsidR="00DE150D">
        <w:t>‘</w:t>
      </w:r>
      <w:hyperlink r:id="rId55" w:history="1">
        <w:r w:rsidRPr="00DE150D">
          <w:rPr>
            <w:rStyle w:val="Hyperlink"/>
          </w:rPr>
          <w:t xml:space="preserve">Effects of various metals on survival, growth, reproduction, and metabolism of </w:t>
        </w:r>
        <w:r w:rsidRPr="00DE150D">
          <w:rPr>
            <w:rStyle w:val="Hyperlink"/>
            <w:i/>
            <w:iCs/>
          </w:rPr>
          <w:t>Daphnia magna</w:t>
        </w:r>
      </w:hyperlink>
      <w:r w:rsidR="00C27DC3">
        <w:t>’,</w:t>
      </w:r>
      <w:r w:rsidRPr="00CD4589">
        <w:t xml:space="preserve"> </w:t>
      </w:r>
      <w:r w:rsidRPr="00CD4589">
        <w:rPr>
          <w:i/>
          <w:iCs/>
        </w:rPr>
        <w:t>Journal of the Fisheries Research Board of Canada</w:t>
      </w:r>
      <w:r w:rsidRPr="00CD4589">
        <w:t>, 29</w:t>
      </w:r>
      <w:r w:rsidR="00C27DC3">
        <w:t>:</w:t>
      </w:r>
      <w:r w:rsidRPr="00CD4589">
        <w:t>1691</w:t>
      </w:r>
      <w:r w:rsidR="00C27DC3">
        <w:t>–</w:t>
      </w:r>
      <w:r w:rsidRPr="00CD4589">
        <w:t>1700</w:t>
      </w:r>
      <w:r w:rsidR="00DE150D">
        <w:t>, doi:</w:t>
      </w:r>
      <w:r w:rsidR="00DE150D" w:rsidRPr="00DE150D">
        <w:t>10.1139/f72-269</w:t>
      </w:r>
      <w:r w:rsidRPr="00CD4589">
        <w:t>.</w:t>
      </w:r>
    </w:p>
    <w:p w14:paraId="41D557F5" w14:textId="6589DCFD" w:rsidR="00606A7B" w:rsidRPr="00CD4589" w:rsidRDefault="00606A7B" w:rsidP="00606A7B">
      <w:r w:rsidRPr="00CD4589">
        <w:t xml:space="preserve">Birge WJ, Black JA, Westerman AG, Short TM, Taylor SB, Bruser DM </w:t>
      </w:r>
      <w:r w:rsidR="00E44304">
        <w:t>and</w:t>
      </w:r>
      <w:r>
        <w:t xml:space="preserve"> Wallingford ED </w:t>
      </w:r>
      <w:r w:rsidR="00C27DC3">
        <w:t>(</w:t>
      </w:r>
      <w:r w:rsidRPr="00CD4589">
        <w:t>1985</w:t>
      </w:r>
      <w:r w:rsidR="00C27DC3">
        <w:t>)</w:t>
      </w:r>
      <w:r w:rsidRPr="00CD4589">
        <w:t xml:space="preserve"> </w:t>
      </w:r>
      <w:hyperlink r:id="rId56" w:history="1">
        <w:r w:rsidR="0066381D" w:rsidRPr="00515B5D">
          <w:rPr>
            <w:rStyle w:val="Hyperlink"/>
            <w:i/>
            <w:iCs/>
          </w:rPr>
          <w:t>Recommendations on numerical values for regulating iron and chloride concentrations for the purpose of protecting warm water species of aquatic life in the Commonwealth of Kentucky</w:t>
        </w:r>
        <w:r w:rsidR="0066381D" w:rsidRPr="0066381D">
          <w:rPr>
            <w:rStyle w:val="Hyperlink"/>
          </w:rPr>
          <w:t xml:space="preserve"> [PDF 664</w:t>
        </w:r>
        <w:r w:rsidR="0066381D">
          <w:rPr>
            <w:rStyle w:val="Hyperlink"/>
          </w:rPr>
          <w:t> </w:t>
        </w:r>
        <w:r w:rsidR="0066381D" w:rsidRPr="0066381D">
          <w:rPr>
            <w:rStyle w:val="Hyperlink"/>
          </w:rPr>
          <w:t>KB]</w:t>
        </w:r>
      </w:hyperlink>
      <w:r w:rsidR="00C27DC3">
        <w:t>,</w:t>
      </w:r>
      <w:r w:rsidRPr="00CD4589">
        <w:t xml:space="preserve"> Memorandum of Agreement No. 5429, Kentucky Natural Resources and Environmental Protection Cabinet.</w:t>
      </w:r>
    </w:p>
    <w:p w14:paraId="5AD3156B" w14:textId="175980CD" w:rsidR="005A70CB" w:rsidRPr="00EC7046" w:rsidRDefault="005A70CB" w:rsidP="005A70CB">
      <w:pPr>
        <w:rPr>
          <w:rFonts w:ascii="Calibri" w:hAnsi="Calibri" w:cs="Calibri"/>
          <w:lang w:val="en-GB"/>
        </w:rPr>
      </w:pPr>
      <w:r w:rsidRPr="00EC7046">
        <w:rPr>
          <w:rFonts w:ascii="Calibri" w:hAnsi="Calibri" w:cs="Calibri"/>
          <w:lang w:val="en-GB"/>
        </w:rPr>
        <w:t xml:space="preserve">Brix KV, Tear LM, DeForest DK </w:t>
      </w:r>
      <w:r w:rsidR="00E44304">
        <w:rPr>
          <w:rFonts w:ascii="Calibri" w:hAnsi="Calibri" w:cs="Calibri"/>
          <w:lang w:val="en-GB"/>
        </w:rPr>
        <w:t>and</w:t>
      </w:r>
      <w:r w:rsidRPr="00EC7046">
        <w:rPr>
          <w:rFonts w:ascii="Calibri" w:hAnsi="Calibri" w:cs="Calibri"/>
          <w:lang w:val="en-GB"/>
        </w:rPr>
        <w:t xml:space="preserve"> Adams WJ </w:t>
      </w:r>
      <w:r w:rsidR="00C27DC3">
        <w:rPr>
          <w:rFonts w:ascii="Calibri" w:hAnsi="Calibri" w:cs="Calibri"/>
          <w:lang w:val="en-GB"/>
        </w:rPr>
        <w:t>(</w:t>
      </w:r>
      <w:r w:rsidRPr="00EC7046">
        <w:rPr>
          <w:rFonts w:ascii="Calibri" w:hAnsi="Calibri" w:cs="Calibri"/>
          <w:lang w:val="en-GB"/>
        </w:rPr>
        <w:t>2023</w:t>
      </w:r>
      <w:r w:rsidR="00C27DC3">
        <w:rPr>
          <w:rFonts w:ascii="Calibri" w:hAnsi="Calibri" w:cs="Calibri"/>
          <w:lang w:val="en-GB"/>
        </w:rPr>
        <w:t>)</w:t>
      </w:r>
      <w:r w:rsidRPr="00EC7046">
        <w:rPr>
          <w:rFonts w:ascii="Calibri" w:hAnsi="Calibri" w:cs="Calibri"/>
          <w:lang w:val="en-GB"/>
        </w:rPr>
        <w:t xml:space="preserve"> </w:t>
      </w:r>
      <w:r w:rsidR="00C27DC3">
        <w:rPr>
          <w:rFonts w:ascii="Calibri" w:hAnsi="Calibri" w:cs="Calibri"/>
          <w:lang w:val="en-GB"/>
        </w:rPr>
        <w:t>‘</w:t>
      </w:r>
      <w:hyperlink r:id="rId57" w:history="1">
        <w:r w:rsidRPr="00B41787">
          <w:rPr>
            <w:rStyle w:val="Hyperlink"/>
            <w:rFonts w:ascii="Calibri" w:hAnsi="Calibri" w:cs="Calibri"/>
            <w:lang w:val="en-GB"/>
          </w:rPr>
          <w:t>Development of multiple linear regression models for predicting chronic iron toxicity to aquatic organisms</w:t>
        </w:r>
      </w:hyperlink>
      <w:r w:rsidR="00C27DC3">
        <w:rPr>
          <w:rFonts w:ascii="Calibri" w:hAnsi="Calibri" w:cs="Calibri"/>
          <w:lang w:val="en-GB"/>
        </w:rPr>
        <w:t>’,</w:t>
      </w:r>
      <w:r w:rsidRPr="00EC7046">
        <w:rPr>
          <w:rFonts w:ascii="Calibri" w:hAnsi="Calibri" w:cs="Calibri"/>
          <w:lang w:val="en-GB"/>
        </w:rPr>
        <w:t xml:space="preserve"> </w:t>
      </w:r>
      <w:r w:rsidRPr="00EC7046">
        <w:rPr>
          <w:rFonts w:ascii="Calibri" w:hAnsi="Calibri" w:cs="Calibri"/>
          <w:i/>
          <w:iCs/>
          <w:lang w:val="en-GB"/>
        </w:rPr>
        <w:t>Environmental Toxicology and Chemistry</w:t>
      </w:r>
      <w:r w:rsidRPr="00EC7046">
        <w:rPr>
          <w:rFonts w:ascii="Calibri" w:hAnsi="Calibri" w:cs="Calibri"/>
          <w:lang w:val="en-GB"/>
        </w:rPr>
        <w:t>, 42</w:t>
      </w:r>
      <w:r w:rsidR="00C27DC3">
        <w:rPr>
          <w:rFonts w:ascii="Calibri" w:hAnsi="Calibri" w:cs="Calibri"/>
          <w:lang w:val="en-GB"/>
        </w:rPr>
        <w:t>:</w:t>
      </w:r>
      <w:r w:rsidRPr="00EC7046">
        <w:rPr>
          <w:rFonts w:ascii="Calibri" w:hAnsi="Calibri" w:cs="Calibri"/>
          <w:lang w:val="en-GB"/>
        </w:rPr>
        <w:t>1386–1400</w:t>
      </w:r>
      <w:r w:rsidR="00B41787">
        <w:rPr>
          <w:rFonts w:ascii="Calibri" w:hAnsi="Calibri" w:cs="Calibri"/>
          <w:lang w:val="en-GB"/>
        </w:rPr>
        <w:t>, doi:</w:t>
      </w:r>
      <w:r w:rsidR="00B41787" w:rsidRPr="00B41787">
        <w:rPr>
          <w:rFonts w:ascii="Calibri" w:hAnsi="Calibri" w:cs="Calibri"/>
          <w:lang w:val="en-GB"/>
        </w:rPr>
        <w:t>10.1002/etc.5623</w:t>
      </w:r>
      <w:r w:rsidRPr="00EC7046">
        <w:rPr>
          <w:rFonts w:ascii="Calibri" w:hAnsi="Calibri" w:cs="Calibri"/>
          <w:lang w:val="en-GB"/>
        </w:rPr>
        <w:t>.</w:t>
      </w:r>
    </w:p>
    <w:p w14:paraId="309C368F" w14:textId="20C03D6E" w:rsidR="00606A7B" w:rsidRPr="000164C0" w:rsidRDefault="00606A7B" w:rsidP="00606A7B">
      <w:r w:rsidRPr="000164C0">
        <w:lastRenderedPageBreak/>
        <w:t xml:space="preserve">Bury NR, Boyle D </w:t>
      </w:r>
      <w:r w:rsidR="00E44304">
        <w:t>and</w:t>
      </w:r>
      <w:r>
        <w:t xml:space="preserve"> Cooper CA </w:t>
      </w:r>
      <w:r w:rsidR="00C27DC3">
        <w:t>(</w:t>
      </w:r>
      <w:r>
        <w:t>2011</w:t>
      </w:r>
      <w:r w:rsidR="00C27DC3">
        <w:t>)</w:t>
      </w:r>
      <w:r w:rsidRPr="000164C0">
        <w:t xml:space="preserve"> </w:t>
      </w:r>
      <w:r w:rsidR="00C27DC3">
        <w:t>‘</w:t>
      </w:r>
      <w:r w:rsidRPr="000164C0">
        <w:t>Iron</w:t>
      </w:r>
      <w:r w:rsidR="00C27DC3">
        <w:t>’</w:t>
      </w:r>
      <w:r w:rsidR="00B41787">
        <w:t>,</w:t>
      </w:r>
      <w:r w:rsidRPr="000164C0">
        <w:t xml:space="preserve"> </w:t>
      </w:r>
      <w:r w:rsidR="00703B14">
        <w:t xml:space="preserve">in Wood CM (ed) </w:t>
      </w:r>
      <w:r w:rsidR="00703B14" w:rsidRPr="002672B2">
        <w:rPr>
          <w:rStyle w:val="Emphasis"/>
        </w:rPr>
        <w:t xml:space="preserve">Homeostasis and </w:t>
      </w:r>
      <w:r w:rsidR="00703B14">
        <w:rPr>
          <w:rStyle w:val="Emphasis"/>
        </w:rPr>
        <w:t>t</w:t>
      </w:r>
      <w:r w:rsidR="00703B14" w:rsidRPr="002672B2">
        <w:rPr>
          <w:rStyle w:val="Emphasis"/>
        </w:rPr>
        <w:t xml:space="preserve">oxicology of </w:t>
      </w:r>
      <w:r w:rsidR="00703B14">
        <w:rPr>
          <w:rStyle w:val="Emphasis"/>
        </w:rPr>
        <w:t>e</w:t>
      </w:r>
      <w:r w:rsidR="00703B14" w:rsidRPr="002672B2">
        <w:rPr>
          <w:rStyle w:val="Emphasis"/>
        </w:rPr>
        <w:t xml:space="preserve">ssential </w:t>
      </w:r>
      <w:r w:rsidR="00703B14">
        <w:rPr>
          <w:rStyle w:val="Emphasis"/>
        </w:rPr>
        <w:t>m</w:t>
      </w:r>
      <w:r w:rsidR="00703B14" w:rsidRPr="002672B2">
        <w:rPr>
          <w:rStyle w:val="Emphasis"/>
        </w:rPr>
        <w:t>etals. Vol 31</w:t>
      </w:r>
      <w:r w:rsidR="00703B14">
        <w:rPr>
          <w:rStyle w:val="Emphasis"/>
        </w:rPr>
        <w:t>: f</w:t>
      </w:r>
      <w:r w:rsidR="00703B14" w:rsidRPr="002672B2">
        <w:rPr>
          <w:rStyle w:val="Emphasis"/>
        </w:rPr>
        <w:t xml:space="preserve">ish </w:t>
      </w:r>
      <w:r w:rsidR="00703B14">
        <w:rPr>
          <w:rStyle w:val="Emphasis"/>
        </w:rPr>
        <w:t>p</w:t>
      </w:r>
      <w:r w:rsidR="00703B14" w:rsidRPr="002672B2">
        <w:rPr>
          <w:rStyle w:val="Emphasis"/>
        </w:rPr>
        <w:t>hysiology</w:t>
      </w:r>
      <w:r w:rsidR="00703B14">
        <w:t>, Academic Press.</w:t>
      </w:r>
      <w:r w:rsidRPr="000164C0">
        <w:t>.</w:t>
      </w:r>
    </w:p>
    <w:p w14:paraId="42D93FAD" w14:textId="30C6AF0C" w:rsidR="00166992" w:rsidRDefault="00166992" w:rsidP="005A1DAB">
      <w:pPr>
        <w:rPr>
          <w:lang w:val="en-GB"/>
        </w:rPr>
      </w:pPr>
      <w:r w:rsidRPr="00EC7046">
        <w:rPr>
          <w:lang w:val="en-GB"/>
        </w:rPr>
        <w:t xml:space="preserve">Cadmus P, Brinkman SF </w:t>
      </w:r>
      <w:r w:rsidR="00E44304">
        <w:rPr>
          <w:lang w:val="en-GB"/>
        </w:rPr>
        <w:t>and</w:t>
      </w:r>
      <w:r w:rsidRPr="00EC7046">
        <w:rPr>
          <w:lang w:val="en-GB"/>
        </w:rPr>
        <w:t xml:space="preserve"> May MK </w:t>
      </w:r>
      <w:r w:rsidR="00C27DC3">
        <w:rPr>
          <w:lang w:val="en-GB"/>
        </w:rPr>
        <w:t>(</w:t>
      </w:r>
      <w:r w:rsidRPr="00EC7046">
        <w:rPr>
          <w:lang w:val="en-GB"/>
        </w:rPr>
        <w:t>2018</w:t>
      </w:r>
      <w:r w:rsidR="009C4087">
        <w:rPr>
          <w:lang w:val="en-GB"/>
        </w:rPr>
        <w:t>a</w:t>
      </w:r>
      <w:r w:rsidR="00C27DC3">
        <w:rPr>
          <w:lang w:val="en-GB"/>
        </w:rPr>
        <w:t>)</w:t>
      </w:r>
      <w:r w:rsidRPr="00EC7046">
        <w:rPr>
          <w:lang w:val="en-GB"/>
        </w:rPr>
        <w:t xml:space="preserve"> </w:t>
      </w:r>
      <w:r w:rsidR="00C27DC3">
        <w:rPr>
          <w:lang w:val="en-GB"/>
        </w:rPr>
        <w:t>‘</w:t>
      </w:r>
      <w:hyperlink r:id="rId58" w:history="1">
        <w:r w:rsidRPr="0002166F">
          <w:rPr>
            <w:rStyle w:val="Hyperlink"/>
            <w:lang w:val="en-GB"/>
          </w:rPr>
          <w:t xml:space="preserve">Chronic toxicity of ferric iron for North American aquatic organisms: </w:t>
        </w:r>
        <w:r w:rsidR="00C27DC3" w:rsidRPr="0002166F">
          <w:rPr>
            <w:rStyle w:val="Hyperlink"/>
            <w:lang w:val="en-GB"/>
          </w:rPr>
          <w:t>d</w:t>
        </w:r>
        <w:r w:rsidRPr="0002166F">
          <w:rPr>
            <w:rStyle w:val="Hyperlink"/>
            <w:lang w:val="en-GB"/>
          </w:rPr>
          <w:t>erivation of a chronic water quality criterion using single species and mesocosm data</w:t>
        </w:r>
      </w:hyperlink>
      <w:r w:rsidR="00C27DC3">
        <w:rPr>
          <w:lang w:val="en-GB"/>
        </w:rPr>
        <w:t>’,</w:t>
      </w:r>
      <w:r w:rsidRPr="00EC7046">
        <w:rPr>
          <w:lang w:val="en-GB"/>
        </w:rPr>
        <w:t xml:space="preserve"> </w:t>
      </w:r>
      <w:r w:rsidRPr="00EC7046">
        <w:rPr>
          <w:i/>
          <w:iCs/>
          <w:lang w:val="en-GB"/>
        </w:rPr>
        <w:t>Archives of Environmental Contamination and Toxicology</w:t>
      </w:r>
      <w:r w:rsidRPr="00EC7046">
        <w:rPr>
          <w:lang w:val="en-GB"/>
        </w:rPr>
        <w:t>, 74</w:t>
      </w:r>
      <w:r w:rsidR="00C27DC3">
        <w:rPr>
          <w:lang w:val="en-GB"/>
        </w:rPr>
        <w:t>:</w:t>
      </w:r>
      <w:r w:rsidRPr="00EC7046">
        <w:rPr>
          <w:lang w:val="en-GB"/>
        </w:rPr>
        <w:t>605–618</w:t>
      </w:r>
      <w:r w:rsidR="0002166F">
        <w:rPr>
          <w:lang w:val="en-GB"/>
        </w:rPr>
        <w:t>, doi:</w:t>
      </w:r>
      <w:r w:rsidR="0002166F" w:rsidRPr="0002166F">
        <w:rPr>
          <w:lang w:val="en-GB"/>
        </w:rPr>
        <w:t>10.1007/s00244-018-0505-2</w:t>
      </w:r>
      <w:r w:rsidRPr="00EC7046">
        <w:rPr>
          <w:lang w:val="en-GB"/>
        </w:rPr>
        <w:t>.</w:t>
      </w:r>
    </w:p>
    <w:p w14:paraId="7B9E3B6B" w14:textId="19450FF1" w:rsidR="00411337" w:rsidRDefault="00411337" w:rsidP="00515B5D">
      <w:pPr>
        <w:rPr>
          <w:lang w:eastAsia="en-AU"/>
        </w:rPr>
      </w:pPr>
      <w:r w:rsidRPr="0029268D">
        <w:rPr>
          <w:lang w:eastAsia="en-AU"/>
        </w:rPr>
        <w:t xml:space="preserve">Cadmus P, Guasch H, Herdrich AT, Bonet B, Urrea G </w:t>
      </w:r>
      <w:r w:rsidR="00E44304">
        <w:rPr>
          <w:lang w:eastAsia="en-AU"/>
        </w:rPr>
        <w:t>and</w:t>
      </w:r>
      <w:r w:rsidRPr="0029268D">
        <w:rPr>
          <w:lang w:eastAsia="en-AU"/>
        </w:rPr>
        <w:t xml:space="preserve"> Clements WH </w:t>
      </w:r>
      <w:r w:rsidR="00C27DC3">
        <w:rPr>
          <w:lang w:eastAsia="en-AU"/>
        </w:rPr>
        <w:t>(</w:t>
      </w:r>
      <w:r w:rsidRPr="0029268D">
        <w:rPr>
          <w:lang w:eastAsia="en-AU"/>
        </w:rPr>
        <w:t>2018b</w:t>
      </w:r>
      <w:r w:rsidR="00C27DC3">
        <w:rPr>
          <w:lang w:eastAsia="en-AU"/>
        </w:rPr>
        <w:t>)</w:t>
      </w:r>
      <w:r w:rsidRPr="0029268D">
        <w:rPr>
          <w:lang w:eastAsia="en-AU"/>
        </w:rPr>
        <w:t xml:space="preserve"> </w:t>
      </w:r>
      <w:r w:rsidR="00C27DC3">
        <w:rPr>
          <w:lang w:eastAsia="en-AU"/>
        </w:rPr>
        <w:t>‘</w:t>
      </w:r>
      <w:hyperlink r:id="rId59" w:history="1">
        <w:r w:rsidRPr="00052376">
          <w:rPr>
            <w:rStyle w:val="Hyperlink"/>
            <w:lang w:eastAsia="en-AU"/>
          </w:rPr>
          <w:t>Structural and functional re</w:t>
        </w:r>
        <w:r w:rsidR="00007513" w:rsidRPr="00052376">
          <w:rPr>
            <w:rStyle w:val="Hyperlink"/>
            <w:lang w:eastAsia="en-AU"/>
          </w:rPr>
          <w:t>s</w:t>
        </w:r>
        <w:r w:rsidRPr="00052376">
          <w:rPr>
            <w:rStyle w:val="Hyperlink"/>
            <w:lang w:eastAsia="en-AU"/>
          </w:rPr>
          <w:t>ponses of periphyton and macroinvertebrate communities to ferric Fe, Cu, and Zn in stream mesocosms</w:t>
        </w:r>
      </w:hyperlink>
      <w:r w:rsidR="00C27DC3">
        <w:rPr>
          <w:lang w:eastAsia="en-AU"/>
        </w:rPr>
        <w:t>’,</w:t>
      </w:r>
      <w:r w:rsidRPr="0029268D">
        <w:rPr>
          <w:lang w:eastAsia="en-AU"/>
        </w:rPr>
        <w:t xml:space="preserve"> </w:t>
      </w:r>
      <w:r w:rsidRPr="0029268D">
        <w:rPr>
          <w:i/>
          <w:iCs/>
          <w:lang w:eastAsia="en-AU"/>
        </w:rPr>
        <w:t>Environmental Toxicology and Chemistry,</w:t>
      </w:r>
      <w:r w:rsidRPr="0029268D">
        <w:rPr>
          <w:lang w:eastAsia="en-AU"/>
        </w:rPr>
        <w:t xml:space="preserve"> 37</w:t>
      </w:r>
      <w:r w:rsidR="00C27DC3">
        <w:rPr>
          <w:lang w:eastAsia="en-AU"/>
        </w:rPr>
        <w:t>:</w:t>
      </w:r>
      <w:r w:rsidRPr="0029268D">
        <w:rPr>
          <w:lang w:eastAsia="en-AU"/>
        </w:rPr>
        <w:t>1320–1329</w:t>
      </w:r>
      <w:r w:rsidR="00052376">
        <w:rPr>
          <w:lang w:eastAsia="en-AU"/>
        </w:rPr>
        <w:t>, doi:</w:t>
      </w:r>
      <w:r w:rsidR="00052376" w:rsidRPr="00052376">
        <w:rPr>
          <w:lang w:eastAsia="en-AU"/>
        </w:rPr>
        <w:t>10.1002/etc.4070</w:t>
      </w:r>
      <w:r w:rsidRPr="0029268D">
        <w:rPr>
          <w:lang w:eastAsia="en-AU"/>
        </w:rPr>
        <w:t>.</w:t>
      </w:r>
    </w:p>
    <w:p w14:paraId="236C9C47" w14:textId="195F0DCB" w:rsidR="00166992" w:rsidRDefault="00166992" w:rsidP="00515B5D">
      <w:r w:rsidRPr="00EC7046">
        <w:t xml:space="preserve">Cardwell AS, Rodriguez PH, Stubblefield WA, DeForest DK </w:t>
      </w:r>
      <w:r w:rsidR="00E44304">
        <w:t>and</w:t>
      </w:r>
      <w:r w:rsidRPr="00EC7046">
        <w:t xml:space="preserve"> Adams WJ </w:t>
      </w:r>
      <w:r w:rsidR="00C27DC3">
        <w:t>(</w:t>
      </w:r>
      <w:r w:rsidRPr="00EC7046">
        <w:t>2023</w:t>
      </w:r>
      <w:r w:rsidR="00C27DC3">
        <w:t>)</w:t>
      </w:r>
      <w:r w:rsidRPr="00EC7046">
        <w:t xml:space="preserve"> </w:t>
      </w:r>
      <w:r w:rsidR="00C27DC3">
        <w:t>‘</w:t>
      </w:r>
      <w:hyperlink r:id="rId60" w:history="1">
        <w:r w:rsidRPr="006E6C63">
          <w:rPr>
            <w:rStyle w:val="Hyperlink"/>
          </w:rPr>
          <w:t>Chronic toxicity of iron to aquatic organisms under variable pH, hardness, and dissolved organic carbon conditions</w:t>
        </w:r>
      </w:hyperlink>
      <w:r w:rsidR="00C27DC3">
        <w:t>’,</w:t>
      </w:r>
      <w:r w:rsidRPr="00EC7046">
        <w:t xml:space="preserve"> </w:t>
      </w:r>
      <w:r w:rsidRPr="00EC7046">
        <w:rPr>
          <w:i/>
          <w:iCs/>
        </w:rPr>
        <w:t>Environmental Toxicology and Chemistry</w:t>
      </w:r>
      <w:r w:rsidRPr="00EC7046">
        <w:t>, 42</w:t>
      </w:r>
      <w:r w:rsidR="00C27DC3">
        <w:t>:</w:t>
      </w:r>
      <w:r w:rsidRPr="00EC7046">
        <w:t>1371–1385</w:t>
      </w:r>
      <w:r w:rsidR="006E6C63">
        <w:t>, doi:</w:t>
      </w:r>
      <w:r w:rsidR="006E6C63" w:rsidRPr="006E6C63">
        <w:t>10.1002/etc.5627</w:t>
      </w:r>
      <w:r w:rsidRPr="00EC7046">
        <w:t>.</w:t>
      </w:r>
    </w:p>
    <w:p w14:paraId="73E5DCA5" w14:textId="3ED71EBE" w:rsidR="00606A7B" w:rsidRPr="000164C0" w:rsidRDefault="00606A7B" w:rsidP="00515B5D">
      <w:r>
        <w:t>CC</w:t>
      </w:r>
      <w:r w:rsidR="00701306">
        <w:t>REM</w:t>
      </w:r>
      <w:r w:rsidR="00C27DC3">
        <w:t xml:space="preserve"> (Canadian Council of Resource and Environment Ministers)</w:t>
      </w:r>
      <w:r>
        <w:t xml:space="preserve"> </w:t>
      </w:r>
      <w:r w:rsidR="00C27DC3">
        <w:t>(</w:t>
      </w:r>
      <w:r>
        <w:t>1987</w:t>
      </w:r>
      <w:r w:rsidR="00C27DC3">
        <w:t>)</w:t>
      </w:r>
      <w:r w:rsidRPr="000164C0">
        <w:t xml:space="preserve"> </w:t>
      </w:r>
      <w:r w:rsidRPr="00515B5D">
        <w:rPr>
          <w:i/>
          <w:iCs/>
        </w:rPr>
        <w:t xml:space="preserve">Canadian </w:t>
      </w:r>
      <w:r w:rsidR="00C27DC3">
        <w:rPr>
          <w:i/>
          <w:iCs/>
        </w:rPr>
        <w:t>w</w:t>
      </w:r>
      <w:r w:rsidRPr="00515B5D">
        <w:rPr>
          <w:i/>
          <w:iCs/>
        </w:rPr>
        <w:t xml:space="preserve">ater </w:t>
      </w:r>
      <w:r w:rsidR="00C27DC3">
        <w:rPr>
          <w:i/>
          <w:iCs/>
        </w:rPr>
        <w:t>q</w:t>
      </w:r>
      <w:r w:rsidRPr="00515B5D">
        <w:rPr>
          <w:i/>
          <w:iCs/>
        </w:rPr>
        <w:t xml:space="preserve">uality </w:t>
      </w:r>
      <w:r w:rsidR="00C27DC3">
        <w:rPr>
          <w:i/>
          <w:iCs/>
        </w:rPr>
        <w:t>g</w:t>
      </w:r>
      <w:r w:rsidRPr="00515B5D">
        <w:rPr>
          <w:i/>
          <w:iCs/>
        </w:rPr>
        <w:t>uidelines</w:t>
      </w:r>
      <w:r w:rsidR="00C27DC3">
        <w:t>,</w:t>
      </w:r>
      <w:r w:rsidRPr="000164C0">
        <w:t xml:space="preserve"> </w:t>
      </w:r>
      <w:r w:rsidR="00C27DC3">
        <w:t>CCREM</w:t>
      </w:r>
      <w:r w:rsidR="0098274E">
        <w:t>, Inland Water Directorate, Environment Canada, Ottawa</w:t>
      </w:r>
      <w:r w:rsidR="00362DF3">
        <w:t>.</w:t>
      </w:r>
    </w:p>
    <w:p w14:paraId="544E97D5" w14:textId="041DC2F6" w:rsidR="00606A7B" w:rsidRPr="00CD4589" w:rsidRDefault="00606A7B" w:rsidP="00515B5D">
      <w:r w:rsidRPr="00CD4589">
        <w:t xml:space="preserve">Chen PJ, Su CH, Tseng CY, Tan SW </w:t>
      </w:r>
      <w:r w:rsidR="00E44304">
        <w:t>and</w:t>
      </w:r>
      <w:r>
        <w:t xml:space="preserve"> Cheng CH </w:t>
      </w:r>
      <w:r w:rsidR="00C27DC3">
        <w:t>(</w:t>
      </w:r>
      <w:r w:rsidRPr="00CD4589">
        <w:t>2011</w:t>
      </w:r>
      <w:r w:rsidR="00C27DC3">
        <w:t>)</w:t>
      </w:r>
      <w:r w:rsidRPr="00CD4589">
        <w:t xml:space="preserve"> </w:t>
      </w:r>
      <w:r w:rsidR="00C27DC3">
        <w:t>‘</w:t>
      </w:r>
      <w:hyperlink r:id="rId61" w:history="1">
        <w:r w:rsidRPr="00EF76CF">
          <w:rPr>
            <w:rStyle w:val="Hyperlink"/>
          </w:rPr>
          <w:t>Toxicity assessments of nanoscale zerovalent iron and its oxidation products in medaka (</w:t>
        </w:r>
        <w:r w:rsidRPr="00EF76CF">
          <w:rPr>
            <w:rStyle w:val="Hyperlink"/>
            <w:i/>
            <w:iCs/>
          </w:rPr>
          <w:t>Oryzias latipes</w:t>
        </w:r>
        <w:r w:rsidRPr="00EF76CF">
          <w:rPr>
            <w:rStyle w:val="Hyperlink"/>
          </w:rPr>
          <w:t>) fish</w:t>
        </w:r>
      </w:hyperlink>
      <w:r w:rsidR="00C27DC3">
        <w:t>’,</w:t>
      </w:r>
      <w:r w:rsidRPr="00CD4589">
        <w:t xml:space="preserve"> </w:t>
      </w:r>
      <w:r w:rsidRPr="00CD4589">
        <w:rPr>
          <w:i/>
          <w:iCs/>
        </w:rPr>
        <w:t>Marine Pollution Bulletin</w:t>
      </w:r>
      <w:r w:rsidRPr="00CD4589">
        <w:t>, 63</w:t>
      </w:r>
      <w:r w:rsidR="00C27DC3">
        <w:t>:</w:t>
      </w:r>
      <w:r w:rsidRPr="00CD4589">
        <w:t>339</w:t>
      </w:r>
      <w:r w:rsidR="00C27DC3">
        <w:t>–</w:t>
      </w:r>
      <w:r w:rsidRPr="00CD4589">
        <w:t>346</w:t>
      </w:r>
      <w:r w:rsidR="00EF76CF">
        <w:t>, doi:</w:t>
      </w:r>
      <w:r w:rsidR="00EF76CF" w:rsidRPr="00EF76CF">
        <w:t>10.1016/j.marpolbul.2011.02.045</w:t>
      </w:r>
      <w:r w:rsidRPr="00CD4589">
        <w:t>.</w:t>
      </w:r>
    </w:p>
    <w:p w14:paraId="6623A3D0" w14:textId="5CD6A1D8" w:rsidR="00606A7B" w:rsidRPr="000164C0" w:rsidRDefault="00606A7B" w:rsidP="005E73F9">
      <w:pPr>
        <w:spacing w:after="120"/>
      </w:pPr>
      <w:r w:rsidRPr="000164C0">
        <w:t xml:space="preserve">Chester R </w:t>
      </w:r>
      <w:r w:rsidR="00E44304">
        <w:t>and</w:t>
      </w:r>
      <w:r>
        <w:t xml:space="preserve"> Jickells T </w:t>
      </w:r>
      <w:r w:rsidR="00C27DC3">
        <w:t>(</w:t>
      </w:r>
      <w:r>
        <w:t>2012</w:t>
      </w:r>
      <w:r w:rsidR="00C27DC3">
        <w:t>)</w:t>
      </w:r>
      <w:r w:rsidRPr="000164C0">
        <w:t xml:space="preserve"> </w:t>
      </w:r>
      <w:r w:rsidR="00CB71DA">
        <w:t>‘</w:t>
      </w:r>
      <w:hyperlink r:id="rId62" w:history="1">
        <w:r w:rsidRPr="00A244C1">
          <w:rPr>
            <w:rStyle w:val="Hyperlink"/>
          </w:rPr>
          <w:t xml:space="preserve">The </w:t>
        </w:r>
        <w:r w:rsidR="00CB71DA" w:rsidRPr="00A244C1">
          <w:rPr>
            <w:rStyle w:val="Hyperlink"/>
          </w:rPr>
          <w:t>t</w:t>
        </w:r>
        <w:r w:rsidRPr="00A244C1">
          <w:rPr>
            <w:rStyle w:val="Hyperlink"/>
          </w:rPr>
          <w:t xml:space="preserve">ransport of </w:t>
        </w:r>
        <w:r w:rsidR="00A73A9D">
          <w:rPr>
            <w:rStyle w:val="Hyperlink"/>
          </w:rPr>
          <w:t>m</w:t>
        </w:r>
        <w:r w:rsidRPr="00A244C1">
          <w:rPr>
            <w:rStyle w:val="Hyperlink"/>
          </w:rPr>
          <w:t xml:space="preserve">aterial to the Oceans: </w:t>
        </w:r>
        <w:r w:rsidR="00CB71DA" w:rsidRPr="00A244C1">
          <w:rPr>
            <w:rStyle w:val="Hyperlink"/>
          </w:rPr>
          <w:t>t</w:t>
        </w:r>
        <w:r w:rsidRPr="00A244C1">
          <w:rPr>
            <w:rStyle w:val="Hyperlink"/>
          </w:rPr>
          <w:t xml:space="preserve">he </w:t>
        </w:r>
        <w:r w:rsidR="00CB71DA" w:rsidRPr="00A244C1">
          <w:rPr>
            <w:rStyle w:val="Hyperlink"/>
          </w:rPr>
          <w:t>f</w:t>
        </w:r>
        <w:r w:rsidRPr="00A244C1">
          <w:rPr>
            <w:rStyle w:val="Hyperlink"/>
          </w:rPr>
          <w:t xml:space="preserve">luvial </w:t>
        </w:r>
        <w:r w:rsidR="00CB71DA" w:rsidRPr="00A244C1">
          <w:rPr>
            <w:rStyle w:val="Hyperlink"/>
          </w:rPr>
          <w:t>p</w:t>
        </w:r>
        <w:r w:rsidRPr="00A244C1">
          <w:rPr>
            <w:rStyle w:val="Hyperlink"/>
          </w:rPr>
          <w:t>athway</w:t>
        </w:r>
      </w:hyperlink>
      <w:r w:rsidR="00CB71DA">
        <w:t>’, in</w:t>
      </w:r>
      <w:r w:rsidR="00A244C1">
        <w:t xml:space="preserve"> Chester R and Jickells T (eds)</w:t>
      </w:r>
      <w:r w:rsidRPr="000164C0">
        <w:t xml:space="preserve"> </w:t>
      </w:r>
      <w:r w:rsidRPr="00515B5D">
        <w:rPr>
          <w:i/>
          <w:iCs/>
        </w:rPr>
        <w:t xml:space="preserve">Marine </w:t>
      </w:r>
      <w:r w:rsidR="00A244C1">
        <w:rPr>
          <w:i/>
          <w:iCs/>
        </w:rPr>
        <w:t>g</w:t>
      </w:r>
      <w:r w:rsidRPr="00515B5D">
        <w:rPr>
          <w:i/>
          <w:iCs/>
        </w:rPr>
        <w:t>eochemistry</w:t>
      </w:r>
      <w:r w:rsidR="00A244C1">
        <w:t>,</w:t>
      </w:r>
      <w:r w:rsidRPr="000164C0">
        <w:t xml:space="preserve"> John Wiley </w:t>
      </w:r>
      <w:r w:rsidR="00E44304">
        <w:t>and</w:t>
      </w:r>
      <w:r w:rsidRPr="000164C0">
        <w:t xml:space="preserve"> Sons, Ltd</w:t>
      </w:r>
      <w:r w:rsidR="00A244C1">
        <w:t>, doi:</w:t>
      </w:r>
      <w:r w:rsidR="00A244C1" w:rsidRPr="00A244C1">
        <w:t>10.1002/9781118349083.ch3</w:t>
      </w:r>
      <w:r w:rsidRPr="000164C0">
        <w:t>.</w:t>
      </w:r>
    </w:p>
    <w:p w14:paraId="00504FD0" w14:textId="12B88C36" w:rsidR="00606A7B" w:rsidRPr="00CD4589" w:rsidRDefault="00606A7B" w:rsidP="00606A7B">
      <w:pPr>
        <w:rPr>
          <w:rFonts w:cs="Calibri"/>
        </w:rPr>
      </w:pPr>
      <w:r>
        <w:rPr>
          <w:rFonts w:cs="Calibri"/>
        </w:rPr>
        <w:t>CIMM</w:t>
      </w:r>
      <w:r w:rsidR="00A244C1">
        <w:rPr>
          <w:rFonts w:cs="Calibri"/>
        </w:rPr>
        <w:t xml:space="preserve"> (</w:t>
      </w:r>
      <w:r w:rsidR="00A244C1" w:rsidRPr="00CD4589">
        <w:rPr>
          <w:rFonts w:cs="Calibri"/>
        </w:rPr>
        <w:t>Chilean Mining and Metallurgy Research Center</w:t>
      </w:r>
      <w:r w:rsidR="00A244C1">
        <w:rPr>
          <w:rFonts w:cs="Calibri"/>
        </w:rPr>
        <w:t>)</w:t>
      </w:r>
      <w:r>
        <w:rPr>
          <w:rFonts w:cs="Calibri"/>
        </w:rPr>
        <w:t xml:space="preserve"> </w:t>
      </w:r>
      <w:r w:rsidR="00A244C1">
        <w:rPr>
          <w:rFonts w:cs="Calibri"/>
        </w:rPr>
        <w:t>(</w:t>
      </w:r>
      <w:r>
        <w:rPr>
          <w:rFonts w:cs="Calibri"/>
        </w:rPr>
        <w:t>2011</w:t>
      </w:r>
      <w:r w:rsidR="00A244C1">
        <w:rPr>
          <w:rFonts w:cs="Calibri"/>
        </w:rPr>
        <w:t>)</w:t>
      </w:r>
      <w:r w:rsidRPr="00CD4589">
        <w:rPr>
          <w:rFonts w:cs="Calibri"/>
        </w:rPr>
        <w:t xml:space="preserve"> </w:t>
      </w:r>
      <w:r w:rsidR="00A244C1">
        <w:rPr>
          <w:rFonts w:cs="Calibri"/>
        </w:rPr>
        <w:t>‘</w:t>
      </w:r>
      <w:r w:rsidRPr="00515B5D">
        <w:rPr>
          <w:rFonts w:cs="Calibri"/>
          <w:i/>
          <w:iCs/>
        </w:rPr>
        <w:t xml:space="preserve">Iron (III) sulfate hydrate: </w:t>
      </w:r>
      <w:r w:rsidRPr="00515B5D">
        <w:rPr>
          <w:rFonts w:cs="Calibri"/>
        </w:rPr>
        <w:t>Ceriodaphnia dubia</w:t>
      </w:r>
      <w:r w:rsidRPr="00515B5D">
        <w:rPr>
          <w:rFonts w:cs="Calibri"/>
          <w:i/>
          <w:iCs/>
        </w:rPr>
        <w:t xml:space="preserve"> survival and reproduction test at pH 6.3</w:t>
      </w:r>
      <w:r w:rsidR="00A244C1">
        <w:rPr>
          <w:rFonts w:cs="Calibri"/>
        </w:rPr>
        <w:t>’,</w:t>
      </w:r>
      <w:r w:rsidRPr="00CD4589">
        <w:rPr>
          <w:rFonts w:cs="Calibri"/>
        </w:rPr>
        <w:t xml:space="preserve"> CIMM.</w:t>
      </w:r>
    </w:p>
    <w:p w14:paraId="24128B99" w14:textId="2D4A038D" w:rsidR="00606A7B" w:rsidRPr="000164C0" w:rsidRDefault="00606A7B" w:rsidP="00606A7B">
      <w:r w:rsidRPr="000164C0">
        <w:t xml:space="preserve">Crane M, Kwok KWH, Wells C, Whitehouse P </w:t>
      </w:r>
      <w:r w:rsidR="00E44304">
        <w:t>and</w:t>
      </w:r>
      <w:r>
        <w:t xml:space="preserve"> Lui GCS </w:t>
      </w:r>
      <w:r w:rsidR="00034B9A">
        <w:t>(</w:t>
      </w:r>
      <w:r>
        <w:t>2007</w:t>
      </w:r>
      <w:r w:rsidR="00034B9A">
        <w:t>)</w:t>
      </w:r>
      <w:r w:rsidRPr="000164C0">
        <w:t xml:space="preserve"> </w:t>
      </w:r>
      <w:r w:rsidR="00034B9A">
        <w:t>‘</w:t>
      </w:r>
      <w:hyperlink r:id="rId63" w:history="1">
        <w:r w:rsidRPr="0046777B">
          <w:rPr>
            <w:rStyle w:val="Hyperlink"/>
          </w:rPr>
          <w:t>Use of field data to support European Water Framework Directive quality standards for dissolved metals</w:t>
        </w:r>
      </w:hyperlink>
      <w:r w:rsidR="00034B9A">
        <w:t>’,</w:t>
      </w:r>
      <w:r w:rsidRPr="000164C0">
        <w:t xml:space="preserve"> </w:t>
      </w:r>
      <w:r w:rsidRPr="000164C0">
        <w:rPr>
          <w:i/>
          <w:iCs/>
        </w:rPr>
        <w:t>Environmental Science and Technology</w:t>
      </w:r>
      <w:r w:rsidRPr="000164C0">
        <w:t>, 41(14)</w:t>
      </w:r>
      <w:r w:rsidR="00034B9A">
        <w:t>:</w:t>
      </w:r>
      <w:r w:rsidRPr="000164C0">
        <w:t>5014</w:t>
      </w:r>
      <w:r w:rsidR="00034B9A">
        <w:t>–</w:t>
      </w:r>
      <w:r w:rsidRPr="000164C0">
        <w:t>5021</w:t>
      </w:r>
      <w:r w:rsidR="0046777B">
        <w:t>, doi:</w:t>
      </w:r>
      <w:r w:rsidR="0046777B" w:rsidRPr="0046777B">
        <w:t>10.1021/es0629460</w:t>
      </w:r>
      <w:r w:rsidRPr="000164C0">
        <w:t>.</w:t>
      </w:r>
    </w:p>
    <w:p w14:paraId="7682266D" w14:textId="00406962" w:rsidR="00606A7B" w:rsidRDefault="00606A7B" w:rsidP="00606A7B">
      <w:r w:rsidRPr="000164C0">
        <w:t xml:space="preserve">Dalzell D </w:t>
      </w:r>
      <w:r w:rsidR="00E44304">
        <w:t>and</w:t>
      </w:r>
      <w:r>
        <w:t xml:space="preserve"> Macfarlane N </w:t>
      </w:r>
      <w:r w:rsidR="00034B9A">
        <w:t>(</w:t>
      </w:r>
      <w:r>
        <w:t>1999</w:t>
      </w:r>
      <w:r w:rsidR="00034B9A">
        <w:t>)</w:t>
      </w:r>
      <w:r w:rsidRPr="000164C0">
        <w:t xml:space="preserve"> </w:t>
      </w:r>
      <w:r w:rsidR="00034B9A">
        <w:t>‘</w:t>
      </w:r>
      <w:hyperlink r:id="rId64" w:history="1">
        <w:r w:rsidRPr="00244658">
          <w:rPr>
            <w:rStyle w:val="Hyperlink"/>
          </w:rPr>
          <w:t>The toxicity of iron to brown trout and effects on the gills: a comparison of two grades of iron sulphate</w:t>
        </w:r>
      </w:hyperlink>
      <w:r w:rsidR="00034B9A">
        <w:t>’,</w:t>
      </w:r>
      <w:r w:rsidRPr="000164C0">
        <w:t xml:space="preserve"> </w:t>
      </w:r>
      <w:r w:rsidRPr="000164C0">
        <w:rPr>
          <w:i/>
          <w:iCs/>
        </w:rPr>
        <w:t>Journal of Fish Biology</w:t>
      </w:r>
      <w:r w:rsidRPr="000164C0">
        <w:t>, 55</w:t>
      </w:r>
      <w:r w:rsidR="00034B9A">
        <w:t>:</w:t>
      </w:r>
      <w:r w:rsidRPr="000164C0">
        <w:t>301</w:t>
      </w:r>
      <w:r w:rsidR="00034B9A">
        <w:t>–</w:t>
      </w:r>
      <w:r w:rsidRPr="000164C0">
        <w:t>315</w:t>
      </w:r>
      <w:r w:rsidR="00244658">
        <w:t>, doi:</w:t>
      </w:r>
      <w:r w:rsidR="00244658" w:rsidRPr="00244658">
        <w:t>10.1111/j.1095-8649.1999.tb00680.x</w:t>
      </w:r>
      <w:r w:rsidRPr="000164C0">
        <w:t>.</w:t>
      </w:r>
    </w:p>
    <w:p w14:paraId="7A6FECAE" w14:textId="4EA72060" w:rsidR="00577408" w:rsidRDefault="00577408" w:rsidP="00F47486">
      <w:pPr>
        <w:rPr>
          <w:lang w:eastAsia="en-AU"/>
        </w:rPr>
      </w:pPr>
      <w:r w:rsidRPr="00D32436">
        <w:rPr>
          <w:lang w:eastAsia="en-AU"/>
        </w:rPr>
        <w:t>ECCC</w:t>
      </w:r>
      <w:r w:rsidR="00034B9A">
        <w:rPr>
          <w:lang w:eastAsia="en-AU"/>
        </w:rPr>
        <w:t xml:space="preserve"> (</w:t>
      </w:r>
      <w:r w:rsidR="00034B9A" w:rsidRPr="00D32436">
        <w:rPr>
          <w:lang w:eastAsia="en-AU"/>
        </w:rPr>
        <w:t>Environment and Climate Change Canada</w:t>
      </w:r>
      <w:r w:rsidR="00034B9A">
        <w:rPr>
          <w:lang w:eastAsia="en-AU"/>
        </w:rPr>
        <w:t>)</w:t>
      </w:r>
      <w:r w:rsidRPr="00D32436">
        <w:rPr>
          <w:lang w:eastAsia="en-AU"/>
        </w:rPr>
        <w:t xml:space="preserve"> </w:t>
      </w:r>
      <w:r w:rsidR="00034B9A">
        <w:rPr>
          <w:lang w:eastAsia="en-AU"/>
        </w:rPr>
        <w:t>(</w:t>
      </w:r>
      <w:r w:rsidRPr="00D32436">
        <w:rPr>
          <w:lang w:eastAsia="en-AU"/>
        </w:rPr>
        <w:t>2024</w:t>
      </w:r>
      <w:r w:rsidR="00034B9A">
        <w:rPr>
          <w:lang w:eastAsia="en-AU"/>
        </w:rPr>
        <w:t>)</w:t>
      </w:r>
      <w:r w:rsidRPr="00D32436">
        <w:rPr>
          <w:lang w:eastAsia="en-AU"/>
        </w:rPr>
        <w:t xml:space="preserve"> </w:t>
      </w:r>
      <w:r w:rsidRPr="00515B5D">
        <w:rPr>
          <w:i/>
          <w:iCs/>
          <w:lang w:eastAsia="en-AU"/>
        </w:rPr>
        <w:t xml:space="preserve">Federal </w:t>
      </w:r>
      <w:r w:rsidR="006B7BF6" w:rsidRPr="00515B5D">
        <w:rPr>
          <w:i/>
          <w:iCs/>
          <w:lang w:eastAsia="en-AU"/>
        </w:rPr>
        <w:t xml:space="preserve">environmental quality guidelines </w:t>
      </w:r>
      <w:r w:rsidR="00034B9A" w:rsidRPr="00515B5D">
        <w:rPr>
          <w:i/>
          <w:iCs/>
          <w:lang w:eastAsia="en-AU"/>
        </w:rPr>
        <w:t>–</w:t>
      </w:r>
      <w:r w:rsidR="006B7BF6" w:rsidRPr="00515B5D">
        <w:rPr>
          <w:i/>
          <w:iCs/>
          <w:lang w:eastAsia="en-AU"/>
        </w:rPr>
        <w:t xml:space="preserve"> </w:t>
      </w:r>
      <w:r w:rsidR="00034B9A">
        <w:rPr>
          <w:i/>
          <w:iCs/>
          <w:lang w:eastAsia="en-AU"/>
        </w:rPr>
        <w:t>i</w:t>
      </w:r>
      <w:r w:rsidR="006B7BF6" w:rsidRPr="00515B5D">
        <w:rPr>
          <w:i/>
          <w:iCs/>
          <w:lang w:eastAsia="en-AU"/>
        </w:rPr>
        <w:t>ron</w:t>
      </w:r>
      <w:r w:rsidR="00034B9A">
        <w:rPr>
          <w:lang w:eastAsia="en-AU"/>
        </w:rPr>
        <w:t>,</w:t>
      </w:r>
      <w:r w:rsidRPr="00D32436">
        <w:rPr>
          <w:lang w:eastAsia="en-AU"/>
        </w:rPr>
        <w:t xml:space="preserve"> National Guidelines and Standards Office, </w:t>
      </w:r>
      <w:r w:rsidR="00034B9A">
        <w:rPr>
          <w:lang w:eastAsia="en-AU"/>
        </w:rPr>
        <w:t>ECCC</w:t>
      </w:r>
      <w:r w:rsidRPr="00D32436">
        <w:rPr>
          <w:lang w:eastAsia="en-AU"/>
        </w:rPr>
        <w:t>,</w:t>
      </w:r>
      <w:r w:rsidR="00F47486">
        <w:rPr>
          <w:lang w:eastAsia="en-AU"/>
        </w:rPr>
        <w:t xml:space="preserve"> </w:t>
      </w:r>
      <w:r w:rsidRPr="00D32436">
        <w:rPr>
          <w:lang w:eastAsia="en-AU"/>
        </w:rPr>
        <w:t>Gatineau.</w:t>
      </w:r>
    </w:p>
    <w:p w14:paraId="7A091483" w14:textId="74BC93B5" w:rsidR="00606A7B" w:rsidRPr="000164C0" w:rsidRDefault="00606A7B" w:rsidP="00606A7B">
      <w:r>
        <w:t xml:space="preserve">EPRI </w:t>
      </w:r>
      <w:r w:rsidR="00034B9A">
        <w:t>(</w:t>
      </w:r>
      <w:r w:rsidR="00034B9A" w:rsidRPr="000164C0">
        <w:t>Electric Power Research Institute</w:t>
      </w:r>
      <w:r w:rsidR="00034B9A">
        <w:t>) (</w:t>
      </w:r>
      <w:r>
        <w:t>2004</w:t>
      </w:r>
      <w:r w:rsidR="00034B9A">
        <w:t>)</w:t>
      </w:r>
      <w:r w:rsidRPr="000164C0">
        <w:t xml:space="preserve"> </w:t>
      </w:r>
      <w:hyperlink r:id="rId65" w:history="1">
        <w:r w:rsidR="005F55F3" w:rsidRPr="00515B5D">
          <w:rPr>
            <w:rStyle w:val="Hyperlink"/>
            <w:i/>
            <w:iCs/>
          </w:rPr>
          <w:t>Water quality criteria development for iron</w:t>
        </w:r>
        <w:r w:rsidR="005F55F3" w:rsidRPr="005F55F3">
          <w:rPr>
            <w:rStyle w:val="Hyperlink"/>
          </w:rPr>
          <w:t xml:space="preserve"> [PDF 1.78</w:t>
        </w:r>
        <w:r w:rsidR="005F55F3">
          <w:rPr>
            <w:rStyle w:val="Hyperlink"/>
          </w:rPr>
          <w:t> </w:t>
        </w:r>
        <w:r w:rsidR="005F55F3" w:rsidRPr="005F55F3">
          <w:rPr>
            <w:rStyle w:val="Hyperlink"/>
          </w:rPr>
          <w:t>MB]</w:t>
        </w:r>
      </w:hyperlink>
      <w:r w:rsidR="00034B9A">
        <w:t>,</w:t>
      </w:r>
      <w:r w:rsidRPr="000164C0">
        <w:t xml:space="preserve"> EPRI, Palo Alto.</w:t>
      </w:r>
    </w:p>
    <w:p w14:paraId="685ACA66" w14:textId="53F0B6D3" w:rsidR="00370639" w:rsidRDefault="00370639" w:rsidP="00606A7B">
      <w:r w:rsidRPr="009232F5">
        <w:t xml:space="preserve">Freeman JB </w:t>
      </w:r>
      <w:r w:rsidR="00E44304">
        <w:t>and</w:t>
      </w:r>
      <w:r w:rsidRPr="009232F5">
        <w:t xml:space="preserve"> Dale R </w:t>
      </w:r>
      <w:r w:rsidR="00034B9A">
        <w:t>(</w:t>
      </w:r>
      <w:r w:rsidRPr="009232F5">
        <w:t>2013</w:t>
      </w:r>
      <w:r w:rsidR="00034B9A">
        <w:t>)</w:t>
      </w:r>
      <w:r w:rsidRPr="009232F5">
        <w:t xml:space="preserve"> </w:t>
      </w:r>
      <w:r w:rsidR="00034B9A">
        <w:t>‘</w:t>
      </w:r>
      <w:hyperlink r:id="rId66" w:history="1">
        <w:r w:rsidRPr="000A6610">
          <w:rPr>
            <w:rStyle w:val="Hyperlink"/>
          </w:rPr>
          <w:t>Assessing bimodality to detect the presence of a dual cognitive process</w:t>
        </w:r>
      </w:hyperlink>
      <w:r w:rsidR="00C0184F">
        <w:t>’,</w:t>
      </w:r>
      <w:r w:rsidRPr="009232F5">
        <w:t xml:space="preserve"> </w:t>
      </w:r>
      <w:r w:rsidRPr="00EF0809">
        <w:rPr>
          <w:rStyle w:val="Emphasis"/>
        </w:rPr>
        <w:t>Behavior Research Methods</w:t>
      </w:r>
      <w:r w:rsidRPr="009232F5">
        <w:t>, 45</w:t>
      </w:r>
      <w:r w:rsidR="00C0184F">
        <w:t>:</w:t>
      </w:r>
      <w:r w:rsidRPr="009232F5">
        <w:t>83</w:t>
      </w:r>
      <w:r>
        <w:t>–</w:t>
      </w:r>
      <w:r w:rsidRPr="009232F5">
        <w:t>97</w:t>
      </w:r>
      <w:r w:rsidR="000A6610">
        <w:t>, doi:</w:t>
      </w:r>
      <w:r w:rsidR="000A6610" w:rsidRPr="000A6610">
        <w:t>10.3758/s13428-012-0225-x</w:t>
      </w:r>
      <w:r w:rsidRPr="009232F5">
        <w:t>.</w:t>
      </w:r>
    </w:p>
    <w:p w14:paraId="4964DB9A" w14:textId="38490F44" w:rsidR="00606A7B" w:rsidRPr="000164C0" w:rsidRDefault="00606A7B" w:rsidP="00606A7B">
      <w:r>
        <w:t xml:space="preserve">Gerhardt A </w:t>
      </w:r>
      <w:r w:rsidR="00C0184F">
        <w:t>(</w:t>
      </w:r>
      <w:r>
        <w:t>1992</w:t>
      </w:r>
      <w:r w:rsidR="00C0184F">
        <w:t>)</w:t>
      </w:r>
      <w:r w:rsidRPr="000164C0">
        <w:t xml:space="preserve"> </w:t>
      </w:r>
      <w:r w:rsidR="00C0184F">
        <w:t>‘</w:t>
      </w:r>
      <w:hyperlink r:id="rId67" w:history="1">
        <w:r w:rsidRPr="00FE59A9">
          <w:rPr>
            <w:rStyle w:val="Hyperlink"/>
          </w:rPr>
          <w:t xml:space="preserve">Effects of subacute doses of iron (Fe) on </w:t>
        </w:r>
        <w:r w:rsidRPr="00FE59A9">
          <w:rPr>
            <w:rStyle w:val="Hyperlink"/>
            <w:i/>
            <w:iCs/>
          </w:rPr>
          <w:t>Leptophlebia marginata</w:t>
        </w:r>
        <w:r w:rsidRPr="00FE59A9">
          <w:rPr>
            <w:rStyle w:val="Hyperlink"/>
          </w:rPr>
          <w:t xml:space="preserve"> (Insecta: Ephemeroptera)</w:t>
        </w:r>
      </w:hyperlink>
      <w:r w:rsidR="00C0184F">
        <w:t>’,</w:t>
      </w:r>
      <w:r w:rsidRPr="000164C0">
        <w:t xml:space="preserve"> </w:t>
      </w:r>
      <w:r w:rsidRPr="000164C0">
        <w:rPr>
          <w:i/>
          <w:iCs/>
        </w:rPr>
        <w:t>Freshwater Biology</w:t>
      </w:r>
      <w:r w:rsidRPr="000164C0">
        <w:t>, 27</w:t>
      </w:r>
      <w:r w:rsidR="00C0184F">
        <w:t>:</w:t>
      </w:r>
      <w:r w:rsidRPr="000164C0">
        <w:t>79</w:t>
      </w:r>
      <w:r w:rsidR="00C0184F">
        <w:t>–</w:t>
      </w:r>
      <w:r w:rsidRPr="000164C0">
        <w:t>84</w:t>
      </w:r>
      <w:r w:rsidR="00FE59A9">
        <w:t>, doi:</w:t>
      </w:r>
      <w:r w:rsidR="00FE59A9" w:rsidRPr="00FE59A9">
        <w:t>10.1111/j.1365-2427.1992.tb00524.x</w:t>
      </w:r>
      <w:r w:rsidRPr="000164C0">
        <w:t>.</w:t>
      </w:r>
    </w:p>
    <w:p w14:paraId="3D498015" w14:textId="2FACDF6D" w:rsidR="00606A7B" w:rsidRPr="000164C0" w:rsidRDefault="00606A7B" w:rsidP="00606A7B">
      <w:r>
        <w:lastRenderedPageBreak/>
        <w:t xml:space="preserve">Haese RR </w:t>
      </w:r>
      <w:r w:rsidR="00C0184F">
        <w:t>(</w:t>
      </w:r>
      <w:r>
        <w:t>2006</w:t>
      </w:r>
      <w:r w:rsidR="00C0184F">
        <w:t>)</w:t>
      </w:r>
      <w:r w:rsidRPr="000164C0">
        <w:t xml:space="preserve"> </w:t>
      </w:r>
      <w:r w:rsidR="00C0184F">
        <w:t>‘</w:t>
      </w:r>
      <w:r w:rsidRPr="000164C0">
        <w:t>The biogeochemistry of iron</w:t>
      </w:r>
      <w:r w:rsidR="00C0184F">
        <w:t>’,</w:t>
      </w:r>
      <w:r w:rsidRPr="000164C0">
        <w:t xml:space="preserve"> </w:t>
      </w:r>
      <w:r w:rsidR="00C0184F">
        <w:t>i</w:t>
      </w:r>
      <w:r w:rsidRPr="000164C0">
        <w:t xml:space="preserve">n Schulz HD and Zabel M (eds) </w:t>
      </w:r>
      <w:r w:rsidRPr="00515B5D">
        <w:rPr>
          <w:i/>
          <w:iCs/>
        </w:rPr>
        <w:t xml:space="preserve">Marine </w:t>
      </w:r>
      <w:r w:rsidR="00C0184F">
        <w:rPr>
          <w:i/>
          <w:iCs/>
        </w:rPr>
        <w:t>g</w:t>
      </w:r>
      <w:r w:rsidRPr="00515B5D">
        <w:rPr>
          <w:i/>
          <w:iCs/>
        </w:rPr>
        <w:t>eochemistry</w:t>
      </w:r>
      <w:r w:rsidR="0092459F" w:rsidRPr="00515B5D">
        <w:t>,</w:t>
      </w:r>
      <w:r w:rsidRPr="000164C0">
        <w:t xml:space="preserve"> 2nd edn</w:t>
      </w:r>
      <w:r w:rsidR="0092459F">
        <w:t>,</w:t>
      </w:r>
      <w:r w:rsidRPr="000164C0">
        <w:t xml:space="preserve"> Springer Verlag</w:t>
      </w:r>
      <w:r w:rsidR="0092459F">
        <w:t>,</w:t>
      </w:r>
      <w:r w:rsidRPr="000164C0">
        <w:t xml:space="preserve"> Berlin</w:t>
      </w:r>
      <w:r w:rsidR="0092459F">
        <w:t>,</w:t>
      </w:r>
      <w:r w:rsidRPr="000164C0">
        <w:t xml:space="preserve"> Heidelberg.</w:t>
      </w:r>
    </w:p>
    <w:p w14:paraId="5575E428" w14:textId="2E761295" w:rsidR="00C15192" w:rsidRDefault="00C15192" w:rsidP="00A12253">
      <w:r w:rsidRPr="00C15192">
        <w:t>Hernández-Flores S, Santos-Medrano GE, Rubio-Franchini I</w:t>
      </w:r>
      <w:r w:rsidR="00F7471D">
        <w:t xml:space="preserve"> and</w:t>
      </w:r>
      <w:r w:rsidRPr="00C15192">
        <w:t xml:space="preserve"> Rico-Martínez R </w:t>
      </w:r>
      <w:r w:rsidR="00F7471D">
        <w:t>(</w:t>
      </w:r>
      <w:r>
        <w:t>2020</w:t>
      </w:r>
      <w:r w:rsidR="00F7471D">
        <w:t>)</w:t>
      </w:r>
      <w:r w:rsidR="00C85CFC">
        <w:t xml:space="preserve"> </w:t>
      </w:r>
      <w:r w:rsidR="00F7471D">
        <w:t>‘</w:t>
      </w:r>
      <w:hyperlink r:id="rId68" w:history="1">
        <w:r w:rsidRPr="00A12253">
          <w:rPr>
            <w:rStyle w:val="Hyperlink"/>
            <w:rFonts w:cs="Calibri"/>
          </w:rPr>
          <w:t xml:space="preserve">Evaluation of bioconcentration and toxicity of five metals in the freshwater rotifer </w:t>
        </w:r>
        <w:r w:rsidRPr="00A12253">
          <w:rPr>
            <w:rStyle w:val="Hyperlink"/>
            <w:rFonts w:cs="Calibri"/>
            <w:i/>
            <w:iCs/>
          </w:rPr>
          <w:t>Euchlanis dilatata</w:t>
        </w:r>
        <w:r w:rsidRPr="00A12253">
          <w:rPr>
            <w:rStyle w:val="Hyperlink"/>
            <w:rFonts w:cs="Calibri"/>
          </w:rPr>
          <w:t xml:space="preserve"> Ehrenberg, 1832</w:t>
        </w:r>
      </w:hyperlink>
      <w:r w:rsidR="00F7471D">
        <w:rPr>
          <w:i/>
          <w:iCs/>
        </w:rPr>
        <w:t>’,</w:t>
      </w:r>
      <w:r w:rsidRPr="00C85CFC">
        <w:rPr>
          <w:i/>
          <w:iCs/>
        </w:rPr>
        <w:t xml:space="preserve"> Environmental Science and Pollution Research</w:t>
      </w:r>
      <w:r w:rsidR="00C85CFC">
        <w:t xml:space="preserve">, </w:t>
      </w:r>
      <w:r w:rsidRPr="00C15192">
        <w:t>7</w:t>
      </w:r>
      <w:r w:rsidR="00F7471D">
        <w:t>:</w:t>
      </w:r>
      <w:r w:rsidRPr="00C15192">
        <w:t>14058</w:t>
      </w:r>
      <w:r w:rsidR="00F7471D">
        <w:t>–</w:t>
      </w:r>
      <w:r w:rsidR="00532B9A">
        <w:t>1406</w:t>
      </w:r>
      <w:r w:rsidRPr="00C15192">
        <w:t>9</w:t>
      </w:r>
      <w:r w:rsidR="00A12253">
        <w:t>, doi:</w:t>
      </w:r>
      <w:r w:rsidR="00A12253" w:rsidRPr="00A12253">
        <w:t>10.1007/s11356-020-07958-3</w:t>
      </w:r>
      <w:r w:rsidRPr="00C15192">
        <w:t>.</w:t>
      </w:r>
    </w:p>
    <w:p w14:paraId="47C37700" w14:textId="5A20BB7C" w:rsidR="00606A7B" w:rsidRPr="0067628B" w:rsidRDefault="00606A7B" w:rsidP="00606A7B">
      <w:pPr>
        <w:rPr>
          <w:rFonts w:cs="Calibri"/>
        </w:rPr>
      </w:pPr>
      <w:r w:rsidRPr="0067628B">
        <w:rPr>
          <w:rFonts w:cs="Calibri"/>
        </w:rPr>
        <w:t xml:space="preserve">Johnson I, Sorokin N, Atkinson C, Rule K </w:t>
      </w:r>
      <w:r w:rsidR="00E44304">
        <w:rPr>
          <w:rFonts w:cs="Calibri"/>
        </w:rPr>
        <w:t>and</w:t>
      </w:r>
      <w:r>
        <w:rPr>
          <w:rFonts w:cs="Calibri"/>
        </w:rPr>
        <w:t xml:space="preserve"> Hope S-J </w:t>
      </w:r>
      <w:r w:rsidR="00F7471D">
        <w:rPr>
          <w:rFonts w:cs="Calibri"/>
        </w:rPr>
        <w:t>(</w:t>
      </w:r>
      <w:r>
        <w:rPr>
          <w:rFonts w:cs="Calibri"/>
        </w:rPr>
        <w:t>2007</w:t>
      </w:r>
      <w:r w:rsidR="00F7471D">
        <w:rPr>
          <w:rFonts w:cs="Calibri"/>
        </w:rPr>
        <w:t>)</w:t>
      </w:r>
      <w:r w:rsidRPr="0067628B">
        <w:rPr>
          <w:rFonts w:cs="Calibri"/>
        </w:rPr>
        <w:t xml:space="preserve"> </w:t>
      </w:r>
      <w:hyperlink r:id="rId69" w:history="1">
        <w:r w:rsidR="0004503A" w:rsidRPr="00515B5D">
          <w:rPr>
            <w:rStyle w:val="Hyperlink"/>
            <w:rFonts w:cs="Calibri"/>
            <w:i/>
            <w:iCs/>
          </w:rPr>
          <w:t>Proposed EQS for Water Framework Directive Annex VIII substances: iron (total dissolved)</w:t>
        </w:r>
        <w:r w:rsidR="0004503A" w:rsidRPr="0004503A">
          <w:rPr>
            <w:rStyle w:val="Hyperlink"/>
            <w:rFonts w:cs="Calibri"/>
          </w:rPr>
          <w:t xml:space="preserve"> [PDF 396 KB]</w:t>
        </w:r>
      </w:hyperlink>
      <w:r w:rsidR="005E6238">
        <w:rPr>
          <w:rFonts w:cs="Calibri"/>
        </w:rPr>
        <w:t>,</w:t>
      </w:r>
      <w:r w:rsidRPr="0067628B">
        <w:rPr>
          <w:rFonts w:cs="Calibri"/>
        </w:rPr>
        <w:t xml:space="preserve"> Science Report: SC040038/SR9</w:t>
      </w:r>
      <w:r w:rsidR="005E6238">
        <w:rPr>
          <w:rFonts w:cs="Calibri"/>
        </w:rPr>
        <w:t>,</w:t>
      </w:r>
      <w:r w:rsidRPr="0067628B">
        <w:rPr>
          <w:rFonts w:cs="Calibri"/>
        </w:rPr>
        <w:t xml:space="preserve"> SNIFFER Report: WFD52(ix)</w:t>
      </w:r>
      <w:r w:rsidR="00363A83">
        <w:rPr>
          <w:rFonts w:cs="Calibri"/>
        </w:rPr>
        <w:t>.</w:t>
      </w:r>
    </w:p>
    <w:p w14:paraId="647706FF" w14:textId="4597BD6B" w:rsidR="00492F85" w:rsidRDefault="00492F85" w:rsidP="00606A7B">
      <w:r>
        <w:t>K</w:t>
      </w:r>
      <w:r w:rsidRPr="00492F85">
        <w:t>otalik C</w:t>
      </w:r>
      <w:r>
        <w:t>,</w:t>
      </w:r>
      <w:r w:rsidRPr="00492F85">
        <w:t xml:space="preserve"> Cadmus P </w:t>
      </w:r>
      <w:r w:rsidR="00E44304">
        <w:t>and</w:t>
      </w:r>
      <w:r w:rsidRPr="00492F85">
        <w:t xml:space="preserve"> Clements W </w:t>
      </w:r>
      <w:r w:rsidR="005E6238">
        <w:t>(</w:t>
      </w:r>
      <w:r w:rsidRPr="00492F85">
        <w:t>2019</w:t>
      </w:r>
      <w:r w:rsidR="005E6238">
        <w:t>)</w:t>
      </w:r>
      <w:r w:rsidRPr="00492F85">
        <w:t xml:space="preserve"> </w:t>
      </w:r>
      <w:r w:rsidR="005E6238">
        <w:t>‘</w:t>
      </w:r>
      <w:hyperlink r:id="rId70" w:history="1">
        <w:r w:rsidRPr="00471D6A">
          <w:rPr>
            <w:rStyle w:val="Hyperlink"/>
          </w:rPr>
          <w:t>Indirect effects of iron oxide on stream benthic communities: capturing ecological complexity with controlled mesocosm experiments</w:t>
        </w:r>
      </w:hyperlink>
      <w:r w:rsidR="005E6238">
        <w:t>’,</w:t>
      </w:r>
      <w:r w:rsidRPr="00492F85">
        <w:t xml:space="preserve"> </w:t>
      </w:r>
      <w:r w:rsidRPr="00492F85">
        <w:rPr>
          <w:i/>
          <w:iCs/>
        </w:rPr>
        <w:t xml:space="preserve">Environmental Science </w:t>
      </w:r>
      <w:r w:rsidR="00E44304">
        <w:rPr>
          <w:i/>
          <w:iCs/>
        </w:rPr>
        <w:t>and</w:t>
      </w:r>
      <w:r w:rsidRPr="00492F85">
        <w:rPr>
          <w:i/>
          <w:iCs/>
        </w:rPr>
        <w:t xml:space="preserve"> Technology</w:t>
      </w:r>
      <w:r>
        <w:rPr>
          <w:i/>
          <w:iCs/>
        </w:rPr>
        <w:t>,</w:t>
      </w:r>
      <w:r w:rsidRPr="00492F85">
        <w:t xml:space="preserve"> 53</w:t>
      </w:r>
      <w:r w:rsidR="005E6238">
        <w:t>:</w:t>
      </w:r>
      <w:r w:rsidRPr="00492F85">
        <w:t>11532−11540</w:t>
      </w:r>
      <w:r w:rsidR="00471D6A">
        <w:t>, doi:</w:t>
      </w:r>
      <w:r w:rsidR="00471D6A" w:rsidRPr="00471D6A">
        <w:t>10.1021/acs.est.9b04236</w:t>
      </w:r>
      <w:r>
        <w:t>.</w:t>
      </w:r>
    </w:p>
    <w:p w14:paraId="30B91EE1" w14:textId="099D273E" w:rsidR="00606A7B" w:rsidRPr="000164C0" w:rsidRDefault="00606A7B" w:rsidP="00606A7B">
      <w:r w:rsidRPr="000164C0">
        <w:t xml:space="preserve">Linton TK, Pacheco MAW, McIntyre DO, Clement WH </w:t>
      </w:r>
      <w:r w:rsidR="00E44304">
        <w:t>and</w:t>
      </w:r>
      <w:r>
        <w:t xml:space="preserve"> Goodrich-Mahoney J </w:t>
      </w:r>
      <w:r w:rsidR="005E6238">
        <w:t>(</w:t>
      </w:r>
      <w:r>
        <w:t>2007</w:t>
      </w:r>
      <w:r w:rsidR="005E6238">
        <w:t>)</w:t>
      </w:r>
      <w:r w:rsidRPr="000164C0">
        <w:t xml:space="preserve"> </w:t>
      </w:r>
      <w:r w:rsidR="005E6238">
        <w:t>‘</w:t>
      </w:r>
      <w:hyperlink r:id="rId71" w:history="1">
        <w:r w:rsidRPr="001308B4">
          <w:rPr>
            <w:rStyle w:val="Hyperlink"/>
          </w:rPr>
          <w:t>Development of bioassessment-based benchmarks for iron</w:t>
        </w:r>
      </w:hyperlink>
      <w:r w:rsidR="005E6238">
        <w:t>’,</w:t>
      </w:r>
      <w:r w:rsidRPr="000164C0">
        <w:t xml:space="preserve"> </w:t>
      </w:r>
      <w:r w:rsidRPr="000164C0">
        <w:rPr>
          <w:i/>
          <w:iCs/>
        </w:rPr>
        <w:t>Environmental Toxicology and Chemistry</w:t>
      </w:r>
      <w:r w:rsidRPr="000164C0">
        <w:t>, 26</w:t>
      </w:r>
      <w:r w:rsidR="005E6238">
        <w:t>:</w:t>
      </w:r>
      <w:r w:rsidRPr="000164C0">
        <w:t>1291</w:t>
      </w:r>
      <w:r w:rsidR="005E6238">
        <w:t>–</w:t>
      </w:r>
      <w:r w:rsidRPr="000164C0">
        <w:t>1298</w:t>
      </w:r>
      <w:r w:rsidR="001308B4">
        <w:t>, doi:</w:t>
      </w:r>
      <w:r w:rsidR="001308B4" w:rsidRPr="001308B4">
        <w:t>10.1897/06-431.1</w:t>
      </w:r>
      <w:r w:rsidRPr="000164C0">
        <w:t>.</w:t>
      </w:r>
    </w:p>
    <w:p w14:paraId="48E27C73" w14:textId="4FC63AFE" w:rsidR="00606A7B" w:rsidRDefault="00606A7B" w:rsidP="00606A7B">
      <w:pPr>
        <w:rPr>
          <w:rFonts w:cs="Calibri"/>
        </w:rPr>
      </w:pPr>
      <w:r>
        <w:rPr>
          <w:rFonts w:cs="Calibri"/>
        </w:rPr>
        <w:t xml:space="preserve">Liu X </w:t>
      </w:r>
      <w:r w:rsidR="00E44304">
        <w:rPr>
          <w:rFonts w:cs="Calibri"/>
        </w:rPr>
        <w:t>and</w:t>
      </w:r>
      <w:r>
        <w:rPr>
          <w:rFonts w:cs="Calibri"/>
        </w:rPr>
        <w:t xml:space="preserve"> Millero FJ </w:t>
      </w:r>
      <w:r w:rsidR="005E6238">
        <w:rPr>
          <w:rFonts w:cs="Calibri"/>
        </w:rPr>
        <w:t>(</w:t>
      </w:r>
      <w:r>
        <w:rPr>
          <w:rFonts w:cs="Calibri"/>
        </w:rPr>
        <w:t>2002</w:t>
      </w:r>
      <w:r w:rsidR="005E6238">
        <w:rPr>
          <w:rFonts w:cs="Calibri"/>
        </w:rPr>
        <w:t>)</w:t>
      </w:r>
      <w:r w:rsidRPr="00AD09FF">
        <w:rPr>
          <w:rFonts w:cs="Calibri"/>
        </w:rPr>
        <w:t xml:space="preserve"> </w:t>
      </w:r>
      <w:r w:rsidR="005E6238">
        <w:rPr>
          <w:rFonts w:cs="Calibri"/>
        </w:rPr>
        <w:t>‘</w:t>
      </w:r>
      <w:hyperlink r:id="rId72" w:history="1">
        <w:r w:rsidRPr="009764B5">
          <w:rPr>
            <w:rStyle w:val="Hyperlink"/>
            <w:rFonts w:cs="Calibri"/>
          </w:rPr>
          <w:t>The solubility of iron in seawater</w:t>
        </w:r>
      </w:hyperlink>
      <w:r w:rsidR="005E6238">
        <w:rPr>
          <w:rFonts w:cs="Calibri"/>
        </w:rPr>
        <w:t>’,</w:t>
      </w:r>
      <w:r w:rsidRPr="00AD09FF">
        <w:rPr>
          <w:rFonts w:cs="Calibri"/>
        </w:rPr>
        <w:t xml:space="preserve"> </w:t>
      </w:r>
      <w:r w:rsidRPr="00360FC8">
        <w:rPr>
          <w:rFonts w:cs="Calibri"/>
          <w:i/>
          <w:iCs/>
        </w:rPr>
        <w:t>Marine Chemistry</w:t>
      </w:r>
      <w:r>
        <w:rPr>
          <w:rFonts w:cs="Calibri"/>
          <w:i/>
          <w:iCs/>
        </w:rPr>
        <w:t>,</w:t>
      </w:r>
      <w:r w:rsidRPr="00AD09FF">
        <w:rPr>
          <w:rFonts w:cs="Calibri"/>
        </w:rPr>
        <w:t xml:space="preserve"> 77</w:t>
      </w:r>
      <w:r w:rsidR="005E6238">
        <w:rPr>
          <w:rFonts w:cs="Calibri"/>
        </w:rPr>
        <w:t>:</w:t>
      </w:r>
      <w:r w:rsidRPr="00AD09FF">
        <w:rPr>
          <w:rFonts w:cs="Calibri"/>
        </w:rPr>
        <w:t>43</w:t>
      </w:r>
      <w:r w:rsidR="005E6238">
        <w:rPr>
          <w:rFonts w:cs="Calibri"/>
        </w:rPr>
        <w:t>–</w:t>
      </w:r>
      <w:r w:rsidRPr="00AD09FF">
        <w:rPr>
          <w:rFonts w:cs="Calibri"/>
        </w:rPr>
        <w:t>54</w:t>
      </w:r>
      <w:r w:rsidR="009764B5">
        <w:rPr>
          <w:rFonts w:cs="Calibri"/>
        </w:rPr>
        <w:t>, doi:</w:t>
      </w:r>
      <w:r w:rsidR="009764B5" w:rsidRPr="009764B5">
        <w:rPr>
          <w:rFonts w:cs="Calibri"/>
        </w:rPr>
        <w:t>10.1016/S0304-4203(01)00074-3</w:t>
      </w:r>
      <w:r w:rsidRPr="00AD09FF">
        <w:rPr>
          <w:rFonts w:cs="Calibri"/>
        </w:rPr>
        <w:t>.</w:t>
      </w:r>
    </w:p>
    <w:p w14:paraId="33CD1208" w14:textId="11529BAA" w:rsidR="00606A7B" w:rsidRDefault="00606A7B" w:rsidP="00606A7B">
      <w:pPr>
        <w:rPr>
          <w:rFonts w:cs="Arial"/>
        </w:rPr>
      </w:pPr>
      <w:r w:rsidRPr="00BE3CB9">
        <w:rPr>
          <w:rFonts w:cs="Arial"/>
        </w:rPr>
        <w:t>Markich SJ, Brown PR, Bat</w:t>
      </w:r>
      <w:r>
        <w:rPr>
          <w:rFonts w:cs="Arial"/>
        </w:rPr>
        <w:t xml:space="preserve">ley GE, Apte SC </w:t>
      </w:r>
      <w:r w:rsidR="00E44304">
        <w:rPr>
          <w:rFonts w:cs="Arial"/>
        </w:rPr>
        <w:t>and</w:t>
      </w:r>
      <w:r>
        <w:rPr>
          <w:rFonts w:cs="Arial"/>
        </w:rPr>
        <w:t xml:space="preserve"> Stauber JL </w:t>
      </w:r>
      <w:r w:rsidR="005E6238">
        <w:rPr>
          <w:rFonts w:cs="Arial"/>
        </w:rPr>
        <w:t>(</w:t>
      </w:r>
      <w:r>
        <w:rPr>
          <w:rFonts w:cs="Arial"/>
        </w:rPr>
        <w:t>2001</w:t>
      </w:r>
      <w:r w:rsidR="005E6238">
        <w:rPr>
          <w:rFonts w:cs="Arial"/>
        </w:rPr>
        <w:t>)</w:t>
      </w:r>
      <w:r w:rsidRPr="00BE3CB9">
        <w:rPr>
          <w:rFonts w:cs="Arial"/>
        </w:rPr>
        <w:t xml:space="preserve"> </w:t>
      </w:r>
      <w:r w:rsidR="005E6238">
        <w:rPr>
          <w:rFonts w:cs="Arial"/>
        </w:rPr>
        <w:t>‘</w:t>
      </w:r>
      <w:r w:rsidRPr="00BE3CB9">
        <w:rPr>
          <w:rFonts w:cs="Arial"/>
        </w:rPr>
        <w:t>Incorporation of metal speciation and bioavailability into water quality guidelines for protecting aquatic ecosystems</w:t>
      </w:r>
      <w:r w:rsidR="00C16D1C">
        <w:rPr>
          <w:rFonts w:cs="Arial"/>
        </w:rPr>
        <w:t>’</w:t>
      </w:r>
      <w:r w:rsidR="00E739ED">
        <w:rPr>
          <w:rFonts w:cs="Arial"/>
        </w:rPr>
        <w:t>,</w:t>
      </w:r>
      <w:r w:rsidRPr="00BE3CB9">
        <w:rPr>
          <w:rFonts w:cs="Arial"/>
        </w:rPr>
        <w:t xml:space="preserve"> </w:t>
      </w:r>
      <w:r w:rsidRPr="00360FC8">
        <w:rPr>
          <w:rFonts w:cs="Arial"/>
          <w:i/>
        </w:rPr>
        <w:t>Australasian Journal of Ecotoxicology</w:t>
      </w:r>
      <w:r w:rsidRPr="00BE3CB9">
        <w:rPr>
          <w:rFonts w:cs="Arial"/>
        </w:rPr>
        <w:t xml:space="preserve"> 7</w:t>
      </w:r>
      <w:r w:rsidR="00C16D1C">
        <w:rPr>
          <w:rFonts w:cs="Arial"/>
        </w:rPr>
        <w:t>:</w:t>
      </w:r>
      <w:r w:rsidRPr="00BE3CB9">
        <w:rPr>
          <w:rFonts w:cs="Arial"/>
        </w:rPr>
        <w:t>109</w:t>
      </w:r>
      <w:r w:rsidR="00C16D1C">
        <w:rPr>
          <w:rFonts w:cs="Arial"/>
        </w:rPr>
        <w:t>–</w:t>
      </w:r>
      <w:r w:rsidRPr="00BE3CB9">
        <w:rPr>
          <w:rFonts w:cs="Arial"/>
        </w:rPr>
        <w:t>122.</w:t>
      </w:r>
    </w:p>
    <w:p w14:paraId="5D3996F8" w14:textId="60C18BC6" w:rsidR="00606A7B" w:rsidRPr="000164C0" w:rsidRDefault="00606A7B" w:rsidP="00606A7B">
      <w:r w:rsidRPr="000164C0">
        <w:t>Norman L, Cabanes DJE, Blanco-Ameijeiras</w:t>
      </w:r>
      <w:r>
        <w:t xml:space="preserve"> S, Moisset SAM </w:t>
      </w:r>
      <w:r w:rsidR="00E44304">
        <w:t>and</w:t>
      </w:r>
      <w:r>
        <w:t xml:space="preserve"> Hassler CS </w:t>
      </w:r>
      <w:r w:rsidR="00445DF8">
        <w:t>(</w:t>
      </w:r>
      <w:r>
        <w:t>2014</w:t>
      </w:r>
      <w:r w:rsidR="00445DF8">
        <w:t>)</w:t>
      </w:r>
      <w:r w:rsidRPr="000164C0">
        <w:t xml:space="preserve"> </w:t>
      </w:r>
      <w:r w:rsidR="00445DF8">
        <w:t>‘</w:t>
      </w:r>
      <w:hyperlink r:id="rId73" w:history="1">
        <w:r w:rsidRPr="00937F75">
          <w:rPr>
            <w:rStyle w:val="Hyperlink"/>
          </w:rPr>
          <w:t xml:space="preserve">Iron biogeochemistry in aquatic systems: </w:t>
        </w:r>
        <w:r w:rsidR="00445DF8" w:rsidRPr="00937F75">
          <w:rPr>
            <w:rStyle w:val="Hyperlink"/>
          </w:rPr>
          <w:t>f</w:t>
        </w:r>
        <w:r w:rsidRPr="00937F75">
          <w:rPr>
            <w:rStyle w:val="Hyperlink"/>
          </w:rPr>
          <w:t>rom source to bioavailability</w:t>
        </w:r>
      </w:hyperlink>
      <w:r w:rsidR="00445DF8">
        <w:t>’,</w:t>
      </w:r>
      <w:r w:rsidRPr="000164C0">
        <w:t xml:space="preserve"> </w:t>
      </w:r>
      <w:r w:rsidRPr="000164C0">
        <w:rPr>
          <w:i/>
          <w:iCs/>
        </w:rPr>
        <w:t>Chimia</w:t>
      </w:r>
      <w:r w:rsidRPr="000164C0">
        <w:t>, 68</w:t>
      </w:r>
      <w:r w:rsidR="00445DF8">
        <w:t>:</w:t>
      </w:r>
      <w:r w:rsidRPr="000164C0">
        <w:t>764</w:t>
      </w:r>
      <w:r w:rsidR="00445DF8">
        <w:t>–</w:t>
      </w:r>
      <w:r w:rsidRPr="000164C0">
        <w:t>771</w:t>
      </w:r>
      <w:r w:rsidR="00937F75">
        <w:t>, doi:</w:t>
      </w:r>
      <w:r w:rsidR="00937F75" w:rsidRPr="00937F75">
        <w:t>10.2533/chimia.2014.764</w:t>
      </w:r>
      <w:r w:rsidRPr="000164C0">
        <w:t>.</w:t>
      </w:r>
    </w:p>
    <w:p w14:paraId="3AB8A736" w14:textId="49152A36" w:rsidR="00952CD1" w:rsidRDefault="00952CD1" w:rsidP="00606A7B">
      <w:r>
        <w:t>OSU</w:t>
      </w:r>
      <w:r w:rsidR="00445DF8">
        <w:t xml:space="preserve"> (Oregon State University)</w:t>
      </w:r>
      <w:r>
        <w:t xml:space="preserve"> </w:t>
      </w:r>
      <w:r w:rsidR="00445DF8">
        <w:t>(</w:t>
      </w:r>
      <w:r>
        <w:t>2013</w:t>
      </w:r>
      <w:r w:rsidR="00445DF8">
        <w:t>)</w:t>
      </w:r>
      <w:r w:rsidRPr="000164C0">
        <w:t xml:space="preserve"> </w:t>
      </w:r>
      <w:r w:rsidRPr="00515B5D">
        <w:rPr>
          <w:i/>
          <w:iCs/>
        </w:rPr>
        <w:t xml:space="preserve">Toxicity of iron to the fathead minnow, </w:t>
      </w:r>
      <w:r w:rsidRPr="00515B5D">
        <w:t>Pimephales promelas</w:t>
      </w:r>
      <w:r w:rsidRPr="00515B5D">
        <w:rPr>
          <w:i/>
          <w:iCs/>
        </w:rPr>
        <w:t>, under varying pH, hardness, and dissolved organic carbon (DOC) conditions</w:t>
      </w:r>
      <w:r w:rsidR="00445DF8">
        <w:t>,</w:t>
      </w:r>
      <w:r w:rsidRPr="000164C0">
        <w:t xml:space="preserve"> </w:t>
      </w:r>
      <w:r w:rsidR="00445DF8">
        <w:t>p</w:t>
      </w:r>
      <w:r w:rsidRPr="000164C0">
        <w:t xml:space="preserve">repared by </w:t>
      </w:r>
      <w:r w:rsidR="00445DF8">
        <w:t>OSU</w:t>
      </w:r>
      <w:r w:rsidRPr="000164C0">
        <w:t xml:space="preserve"> Aquatic Toxicology Laboratory, Albany</w:t>
      </w:r>
      <w:r w:rsidR="009E5F4B">
        <w:t>.</w:t>
      </w:r>
    </w:p>
    <w:p w14:paraId="0AAB2984" w14:textId="17F8522A" w:rsidR="00606A7B" w:rsidRPr="000164C0" w:rsidRDefault="00606A7B" w:rsidP="00606A7B">
      <w:r>
        <w:t xml:space="preserve">Pehkonen S </w:t>
      </w:r>
      <w:r w:rsidR="00445DF8">
        <w:t>(</w:t>
      </w:r>
      <w:r>
        <w:t>1995</w:t>
      </w:r>
      <w:r w:rsidR="00445DF8">
        <w:t>)</w:t>
      </w:r>
      <w:r w:rsidRPr="000164C0">
        <w:t xml:space="preserve"> </w:t>
      </w:r>
      <w:r w:rsidR="00445DF8">
        <w:t>‘</w:t>
      </w:r>
      <w:hyperlink r:id="rId74" w:history="1">
        <w:r w:rsidRPr="0076586F">
          <w:rPr>
            <w:rStyle w:val="Hyperlink"/>
          </w:rPr>
          <w:t xml:space="preserve">Determination of the oxidation states of iron in natural waters </w:t>
        </w:r>
        <w:r w:rsidR="00445DF8" w:rsidRPr="0076586F">
          <w:rPr>
            <w:rStyle w:val="Hyperlink"/>
          </w:rPr>
          <w:t>–</w:t>
        </w:r>
        <w:r w:rsidRPr="0076586F">
          <w:rPr>
            <w:rStyle w:val="Hyperlink"/>
          </w:rPr>
          <w:t xml:space="preserve"> </w:t>
        </w:r>
        <w:r w:rsidR="00445DF8" w:rsidRPr="0076586F">
          <w:rPr>
            <w:rStyle w:val="Hyperlink"/>
          </w:rPr>
          <w:t>a</w:t>
        </w:r>
        <w:r w:rsidRPr="0076586F">
          <w:rPr>
            <w:rStyle w:val="Hyperlink"/>
          </w:rPr>
          <w:t xml:space="preserve"> review</w:t>
        </w:r>
      </w:hyperlink>
      <w:r w:rsidR="00445DF8">
        <w:t>’,</w:t>
      </w:r>
      <w:r w:rsidRPr="000164C0">
        <w:t xml:space="preserve"> </w:t>
      </w:r>
      <w:r w:rsidRPr="000164C0">
        <w:rPr>
          <w:i/>
          <w:iCs/>
        </w:rPr>
        <w:t>The Analyst</w:t>
      </w:r>
      <w:r w:rsidRPr="000164C0">
        <w:t>, 120</w:t>
      </w:r>
      <w:r w:rsidR="00445DF8">
        <w:t>:</w:t>
      </w:r>
      <w:r w:rsidRPr="000164C0">
        <w:t>2655</w:t>
      </w:r>
      <w:r w:rsidR="00445DF8">
        <w:t>–</w:t>
      </w:r>
      <w:r w:rsidRPr="000164C0">
        <w:t>2663</w:t>
      </w:r>
      <w:r w:rsidR="0076586F">
        <w:t>, doi:</w:t>
      </w:r>
      <w:r w:rsidR="0076586F" w:rsidRPr="0076586F">
        <w:t>10.1039/AN9952002655</w:t>
      </w:r>
      <w:r w:rsidRPr="000164C0">
        <w:t>.</w:t>
      </w:r>
    </w:p>
    <w:p w14:paraId="72D3542D" w14:textId="72254569" w:rsidR="00445DF8" w:rsidRPr="00A40001" w:rsidRDefault="00445DF8" w:rsidP="00445DF8">
      <w:r w:rsidRPr="00AF16D6">
        <w:t xml:space="preserve">Peters A, Merrington G, Simpson P </w:t>
      </w:r>
      <w:r>
        <w:t>and</w:t>
      </w:r>
      <w:r w:rsidRPr="00AF16D6">
        <w:t xml:space="preserve"> Crane M </w:t>
      </w:r>
      <w:r>
        <w:t>(</w:t>
      </w:r>
      <w:r w:rsidRPr="00AF16D6">
        <w:t>2011a</w:t>
      </w:r>
      <w:r>
        <w:t>)</w:t>
      </w:r>
      <w:r w:rsidRPr="00AF16D6">
        <w:t xml:space="preserve"> </w:t>
      </w:r>
      <w:hyperlink r:id="rId75" w:history="1">
        <w:r w:rsidR="0099007E" w:rsidRPr="00515B5D">
          <w:rPr>
            <w:rStyle w:val="Hyperlink"/>
            <w:i/>
            <w:iCs/>
          </w:rPr>
          <w:t>Proposed quality standards for iron in freshwaters based on field evidence (for consultation)</w:t>
        </w:r>
        <w:r w:rsidR="0099007E" w:rsidRPr="0099007E">
          <w:rPr>
            <w:rStyle w:val="Hyperlink"/>
          </w:rPr>
          <w:t xml:space="preserve"> [PDF 1,131 KB]</w:t>
        </w:r>
      </w:hyperlink>
      <w:r>
        <w:t>,</w:t>
      </w:r>
      <w:r w:rsidRPr="00AF16D6">
        <w:t xml:space="preserve"> Water Framework Directive </w:t>
      </w:r>
      <w:r>
        <w:t>–</w:t>
      </w:r>
      <w:r w:rsidRPr="00AF16D6">
        <w:t xml:space="preserve"> United Kingdom Technical Advisory Group (WFD-UKTAG)</w:t>
      </w:r>
      <w:r>
        <w:t>, Edinburgh.</w:t>
      </w:r>
    </w:p>
    <w:p w14:paraId="636455F0" w14:textId="1CA91542" w:rsidR="00606A7B" w:rsidRPr="00AF16D6" w:rsidRDefault="00606A7B" w:rsidP="00606A7B">
      <w:r w:rsidRPr="00AF16D6">
        <w:t xml:space="preserve">Peters A, Crane M </w:t>
      </w:r>
      <w:r w:rsidR="00E44304">
        <w:t>and</w:t>
      </w:r>
      <w:r w:rsidRPr="00AF16D6">
        <w:t xml:space="preserve"> Adams W </w:t>
      </w:r>
      <w:r w:rsidR="00445DF8">
        <w:t>(</w:t>
      </w:r>
      <w:r w:rsidRPr="00AF16D6">
        <w:t>2011b</w:t>
      </w:r>
      <w:r w:rsidR="00445DF8">
        <w:t>)</w:t>
      </w:r>
      <w:r w:rsidRPr="00AF16D6">
        <w:t xml:space="preserve"> </w:t>
      </w:r>
      <w:r w:rsidR="00445DF8">
        <w:t>‘</w:t>
      </w:r>
      <w:hyperlink r:id="rId76" w:history="1">
        <w:r w:rsidRPr="00CD02A3">
          <w:rPr>
            <w:rStyle w:val="Hyperlink"/>
          </w:rPr>
          <w:t>Effects of iron on benthic macroinvertebrate communities in the field</w:t>
        </w:r>
      </w:hyperlink>
      <w:r w:rsidR="00445DF8">
        <w:t>’,</w:t>
      </w:r>
      <w:r w:rsidRPr="00AF16D6">
        <w:t xml:space="preserve"> </w:t>
      </w:r>
      <w:r w:rsidRPr="00AF16D6">
        <w:rPr>
          <w:i/>
          <w:iCs/>
        </w:rPr>
        <w:t>Bulletin of Environmental Contamination and Toxicology</w:t>
      </w:r>
      <w:r w:rsidRPr="00AF16D6">
        <w:t>, 86</w:t>
      </w:r>
      <w:r w:rsidR="00445DF8">
        <w:t>:</w:t>
      </w:r>
      <w:r w:rsidRPr="00AF16D6">
        <w:t>591</w:t>
      </w:r>
      <w:r w:rsidR="00445DF8">
        <w:t>–</w:t>
      </w:r>
      <w:r w:rsidRPr="00AF16D6">
        <w:t>595</w:t>
      </w:r>
      <w:r w:rsidR="00CD02A3">
        <w:t>, doi:</w:t>
      </w:r>
      <w:r w:rsidR="00CD02A3" w:rsidRPr="00CD02A3">
        <w:t>10.1007/s00128-011-0283-2</w:t>
      </w:r>
      <w:r w:rsidRPr="00AF16D6">
        <w:t>.</w:t>
      </w:r>
    </w:p>
    <w:p w14:paraId="4465908C" w14:textId="7A8D7D76" w:rsidR="00606A7B" w:rsidRPr="0067628B" w:rsidRDefault="00606A7B" w:rsidP="00606A7B">
      <w:pPr>
        <w:rPr>
          <w:rFonts w:cs="Calibri"/>
        </w:rPr>
      </w:pPr>
      <w:r w:rsidRPr="00A40001">
        <w:rPr>
          <w:rFonts w:cs="Calibri"/>
        </w:rPr>
        <w:t xml:space="preserve">Phippen BW, Horvath C, Nordin R </w:t>
      </w:r>
      <w:r w:rsidR="00E44304">
        <w:rPr>
          <w:rFonts w:cs="Calibri"/>
        </w:rPr>
        <w:t>and</w:t>
      </w:r>
      <w:r w:rsidRPr="00A40001">
        <w:rPr>
          <w:rFonts w:cs="Calibri"/>
        </w:rPr>
        <w:t xml:space="preserve"> Nagpal N </w:t>
      </w:r>
      <w:r w:rsidR="00445DF8">
        <w:rPr>
          <w:rFonts w:cs="Calibri"/>
        </w:rPr>
        <w:t>(</w:t>
      </w:r>
      <w:r w:rsidRPr="00A40001">
        <w:rPr>
          <w:rFonts w:cs="Calibri"/>
        </w:rPr>
        <w:t>2008</w:t>
      </w:r>
      <w:r w:rsidR="00445DF8">
        <w:rPr>
          <w:rFonts w:cs="Calibri"/>
        </w:rPr>
        <w:t>)</w:t>
      </w:r>
      <w:r w:rsidRPr="00A40001">
        <w:rPr>
          <w:rFonts w:cs="Calibri"/>
        </w:rPr>
        <w:t xml:space="preserve"> </w:t>
      </w:r>
      <w:hyperlink r:id="rId77" w:history="1">
        <w:r w:rsidRPr="00515B5D">
          <w:rPr>
            <w:rStyle w:val="Hyperlink"/>
            <w:i/>
            <w:iCs/>
          </w:rPr>
          <w:t>Ambient water quality guidelines for iro</w:t>
        </w:r>
        <w:r w:rsidR="00F53412">
          <w:rPr>
            <w:rStyle w:val="Hyperlink"/>
            <w:rFonts w:cs="Calibri"/>
            <w:i/>
            <w:iCs/>
          </w:rPr>
          <w:t xml:space="preserve">n </w:t>
        </w:r>
        <w:r w:rsidR="00F53412" w:rsidRPr="00515B5D">
          <w:rPr>
            <w:rStyle w:val="Hyperlink"/>
            <w:rFonts w:cs="Calibri"/>
          </w:rPr>
          <w:t>[PDF 250 KB]</w:t>
        </w:r>
      </w:hyperlink>
      <w:r w:rsidR="00445DF8">
        <w:rPr>
          <w:rFonts w:cs="Calibri"/>
        </w:rPr>
        <w:t>,</w:t>
      </w:r>
      <w:r w:rsidRPr="00A40001">
        <w:rPr>
          <w:rFonts w:cs="Calibri"/>
        </w:rPr>
        <w:t xml:space="preserve"> </w:t>
      </w:r>
      <w:r w:rsidR="00445DF8">
        <w:rPr>
          <w:rFonts w:cs="Calibri"/>
        </w:rPr>
        <w:t>p</w:t>
      </w:r>
      <w:r w:rsidRPr="00A40001">
        <w:rPr>
          <w:rFonts w:cs="Calibri"/>
        </w:rPr>
        <w:t>repared for Science and Information Branch</w:t>
      </w:r>
      <w:r w:rsidR="00445DF8">
        <w:rPr>
          <w:rFonts w:cs="Calibri"/>
        </w:rPr>
        <w:t>,</w:t>
      </w:r>
      <w:r w:rsidRPr="00A40001">
        <w:rPr>
          <w:rFonts w:cs="Calibri"/>
        </w:rPr>
        <w:t xml:space="preserve"> Water Stewardship Division</w:t>
      </w:r>
      <w:r w:rsidR="00445DF8">
        <w:rPr>
          <w:rFonts w:cs="Calibri"/>
        </w:rPr>
        <w:t>,</w:t>
      </w:r>
      <w:r w:rsidRPr="00A40001">
        <w:rPr>
          <w:rFonts w:cs="Calibri"/>
        </w:rPr>
        <w:t xml:space="preserve"> Ministry of Environment</w:t>
      </w:r>
      <w:r w:rsidR="00445DF8">
        <w:rPr>
          <w:rFonts w:cs="Calibri"/>
        </w:rPr>
        <w:t xml:space="preserve">, </w:t>
      </w:r>
      <w:r w:rsidRPr="00A40001">
        <w:rPr>
          <w:rFonts w:cs="Calibri"/>
        </w:rPr>
        <w:t>Province of British Columbia.</w:t>
      </w:r>
    </w:p>
    <w:p w14:paraId="0767315D" w14:textId="4A832413" w:rsidR="00606A7B" w:rsidRDefault="00606A7B" w:rsidP="00FA206A">
      <w:r>
        <w:lastRenderedPageBreak/>
        <w:t xml:space="preserve">Rai D, Eary LE </w:t>
      </w:r>
      <w:r w:rsidR="00E44304">
        <w:t>and</w:t>
      </w:r>
      <w:r>
        <w:t xml:space="preserve"> Zachara JM </w:t>
      </w:r>
      <w:r w:rsidR="00D36875">
        <w:t>(</w:t>
      </w:r>
      <w:r>
        <w:t>1989</w:t>
      </w:r>
      <w:r w:rsidR="00D36875">
        <w:t>)</w:t>
      </w:r>
      <w:r w:rsidRPr="00AD09FF">
        <w:t xml:space="preserve"> </w:t>
      </w:r>
      <w:r w:rsidR="00D36875">
        <w:t>‘</w:t>
      </w:r>
      <w:hyperlink r:id="rId78" w:history="1">
        <w:r w:rsidRPr="00A95B6A">
          <w:rPr>
            <w:rStyle w:val="Hyperlink"/>
            <w:rFonts w:cs="Times New Roman"/>
          </w:rPr>
          <w:t>Environmental chemistry of chromium</w:t>
        </w:r>
      </w:hyperlink>
      <w:r w:rsidR="00D36875">
        <w:t>’,</w:t>
      </w:r>
      <w:r w:rsidRPr="00AD09FF">
        <w:t xml:space="preserve"> </w:t>
      </w:r>
      <w:r w:rsidRPr="00360FC8">
        <w:rPr>
          <w:i/>
        </w:rPr>
        <w:t>Science of the Total Environment</w:t>
      </w:r>
      <w:r>
        <w:rPr>
          <w:i/>
        </w:rPr>
        <w:t>,</w:t>
      </w:r>
      <w:r>
        <w:t xml:space="preserve"> </w:t>
      </w:r>
      <w:r w:rsidRPr="00AD09FF">
        <w:t>86</w:t>
      </w:r>
      <w:r w:rsidR="00D36875">
        <w:t>:</w:t>
      </w:r>
      <w:r w:rsidRPr="00AD09FF">
        <w:t>15</w:t>
      </w:r>
      <w:r w:rsidR="00D36875">
        <w:t>–</w:t>
      </w:r>
      <w:r w:rsidRPr="00AD09FF">
        <w:t>23</w:t>
      </w:r>
      <w:r w:rsidR="00A95B6A">
        <w:t>, doi:</w:t>
      </w:r>
      <w:r w:rsidR="00A95B6A" w:rsidRPr="00A95B6A">
        <w:t>10.1016/0048-9697(89)90189-7</w:t>
      </w:r>
      <w:r w:rsidRPr="00AD09FF">
        <w:t>.</w:t>
      </w:r>
    </w:p>
    <w:p w14:paraId="6CF2677D" w14:textId="120D453D" w:rsidR="00F9599B" w:rsidRDefault="00F9599B" w:rsidP="00AB3499">
      <w:pPr>
        <w:rPr>
          <w:lang w:val="en-US" w:eastAsia="en-AU"/>
        </w:rPr>
      </w:pPr>
      <w:r w:rsidRPr="00180068">
        <w:rPr>
          <w:lang w:eastAsia="en-AU"/>
        </w:rPr>
        <w:t xml:space="preserve">Rodriguez PH, Arbildua JJ, Villavicencio G, Urrestarazu P, Opazo M, Cardwell AS, Stubblefield W, Nordheim E and Adams W </w:t>
      </w:r>
      <w:r w:rsidR="00DB327B">
        <w:rPr>
          <w:lang w:eastAsia="en-AU"/>
        </w:rPr>
        <w:t>(</w:t>
      </w:r>
      <w:r w:rsidRPr="00180068">
        <w:rPr>
          <w:lang w:eastAsia="en-AU"/>
        </w:rPr>
        <w:t>2019</w:t>
      </w:r>
      <w:r w:rsidR="00A6121C">
        <w:rPr>
          <w:lang w:eastAsia="en-AU"/>
        </w:rPr>
        <w:t>)</w:t>
      </w:r>
      <w:r w:rsidRPr="00180068">
        <w:rPr>
          <w:lang w:eastAsia="en-AU"/>
        </w:rPr>
        <w:t xml:space="preserve"> </w:t>
      </w:r>
      <w:r w:rsidR="00DB327B">
        <w:rPr>
          <w:lang w:eastAsia="en-AU"/>
        </w:rPr>
        <w:t>‘</w:t>
      </w:r>
      <w:hyperlink r:id="rId79" w:history="1">
        <w:r w:rsidRPr="00A6121C">
          <w:rPr>
            <w:rStyle w:val="Hyperlink"/>
            <w:lang w:eastAsia="en-AU"/>
          </w:rPr>
          <w:t>Determination of bioavailable aluminum in natural waters in the presence of suspended solids</w:t>
        </w:r>
      </w:hyperlink>
      <w:r w:rsidR="00DB327B">
        <w:rPr>
          <w:lang w:eastAsia="en-AU"/>
        </w:rPr>
        <w:t>’,</w:t>
      </w:r>
      <w:r w:rsidRPr="00180068">
        <w:rPr>
          <w:lang w:eastAsia="en-AU"/>
        </w:rPr>
        <w:t> </w:t>
      </w:r>
      <w:r w:rsidRPr="00F9599B">
        <w:rPr>
          <w:i/>
          <w:iCs/>
          <w:lang w:eastAsia="en-AU"/>
        </w:rPr>
        <w:t>Environmental Toxicology Chemistry</w:t>
      </w:r>
      <w:r>
        <w:rPr>
          <w:lang w:eastAsia="en-AU"/>
        </w:rPr>
        <w:t>,</w:t>
      </w:r>
      <w:r w:rsidRPr="00180068">
        <w:rPr>
          <w:lang w:eastAsia="en-AU"/>
        </w:rPr>
        <w:t> </w:t>
      </w:r>
      <w:r w:rsidRPr="008411EF">
        <w:rPr>
          <w:lang w:eastAsia="en-AU"/>
        </w:rPr>
        <w:t>38</w:t>
      </w:r>
      <w:r>
        <w:rPr>
          <w:lang w:eastAsia="en-AU"/>
        </w:rPr>
        <w:t>:1</w:t>
      </w:r>
      <w:r w:rsidRPr="00180068">
        <w:rPr>
          <w:lang w:eastAsia="en-AU"/>
        </w:rPr>
        <w:t>668</w:t>
      </w:r>
      <w:r w:rsidR="00DB327B">
        <w:rPr>
          <w:lang w:eastAsia="en-AU"/>
        </w:rPr>
        <w:t>–</w:t>
      </w:r>
      <w:r w:rsidRPr="00180068">
        <w:rPr>
          <w:lang w:eastAsia="en-AU"/>
        </w:rPr>
        <w:t>1681</w:t>
      </w:r>
      <w:r w:rsidR="00A6121C">
        <w:rPr>
          <w:lang w:eastAsia="en-AU"/>
        </w:rPr>
        <w:t>, doi:</w:t>
      </w:r>
      <w:r w:rsidR="00A6121C" w:rsidRPr="00A6121C">
        <w:rPr>
          <w:lang w:eastAsia="en-AU"/>
        </w:rPr>
        <w:t>10.1002/etc.4448</w:t>
      </w:r>
      <w:r w:rsidRPr="00180068">
        <w:rPr>
          <w:lang w:eastAsia="en-AU"/>
        </w:rPr>
        <w:t>.</w:t>
      </w:r>
    </w:p>
    <w:p w14:paraId="1CDD82D8" w14:textId="61D340AB" w:rsidR="00606A7B" w:rsidRPr="000164C0" w:rsidRDefault="00606A7B" w:rsidP="00606A7B">
      <w:r w:rsidRPr="000164C0">
        <w:t xml:space="preserve">Shuhaimi-Othman M, Nadzifah </w:t>
      </w:r>
      <w:r>
        <w:t xml:space="preserve">Y, Nur-Amalina R </w:t>
      </w:r>
      <w:r w:rsidR="00E44304">
        <w:t>and</w:t>
      </w:r>
      <w:r>
        <w:t xml:space="preserve"> Umirah NS </w:t>
      </w:r>
      <w:r w:rsidR="00D36875">
        <w:t>(</w:t>
      </w:r>
      <w:r>
        <w:t>2012</w:t>
      </w:r>
      <w:r w:rsidR="00D36875">
        <w:t>)</w:t>
      </w:r>
      <w:r w:rsidRPr="000164C0">
        <w:t xml:space="preserve"> </w:t>
      </w:r>
      <w:r w:rsidR="00D36875">
        <w:t>‘</w:t>
      </w:r>
      <w:hyperlink r:id="rId80" w:history="1">
        <w:r w:rsidRPr="00640F57">
          <w:rPr>
            <w:rStyle w:val="Hyperlink"/>
          </w:rPr>
          <w:t>Deriving freshwater quality criteria for iron, lead, nickel, and zinc for protection of aquatic life in Malaysia</w:t>
        </w:r>
      </w:hyperlink>
      <w:r w:rsidR="00D36875">
        <w:t>’,</w:t>
      </w:r>
      <w:r w:rsidRPr="000164C0">
        <w:t xml:space="preserve"> </w:t>
      </w:r>
      <w:r w:rsidRPr="000164C0">
        <w:rPr>
          <w:i/>
          <w:iCs/>
        </w:rPr>
        <w:t>The Scientific World Journal</w:t>
      </w:r>
      <w:r w:rsidRPr="000164C0">
        <w:t>, Article ID 861576</w:t>
      </w:r>
      <w:r w:rsidR="00640F57">
        <w:t>, doi:</w:t>
      </w:r>
      <w:r w:rsidR="00640F57" w:rsidRPr="00640F57">
        <w:t>10.1100/2012/861576</w:t>
      </w:r>
      <w:r w:rsidRPr="000164C0">
        <w:t>.</w:t>
      </w:r>
    </w:p>
    <w:p w14:paraId="78F16BF0" w14:textId="6AE7AC59" w:rsidR="00606A7B" w:rsidRPr="000164C0" w:rsidRDefault="00606A7B" w:rsidP="00606A7B">
      <w:r>
        <w:t xml:space="preserve">Smith EJ </w:t>
      </w:r>
      <w:r w:rsidR="00E44304">
        <w:t>and</w:t>
      </w:r>
      <w:r>
        <w:t xml:space="preserve"> Sykora JL </w:t>
      </w:r>
      <w:r w:rsidR="00D36875">
        <w:t>(</w:t>
      </w:r>
      <w:r>
        <w:t>1976</w:t>
      </w:r>
      <w:r w:rsidR="00D36875">
        <w:t>)</w:t>
      </w:r>
      <w:r w:rsidRPr="000164C0">
        <w:t xml:space="preserve"> </w:t>
      </w:r>
      <w:r w:rsidR="00D36875">
        <w:t>‘</w:t>
      </w:r>
      <w:hyperlink r:id="rId81" w:history="1">
        <w:r w:rsidRPr="00AF5903">
          <w:rPr>
            <w:rStyle w:val="Hyperlink"/>
          </w:rPr>
          <w:t xml:space="preserve">Early developmental effects of lime-neutralized iron hydroxide suspensions on </w:t>
        </w:r>
        <w:r w:rsidR="00D36875" w:rsidRPr="00AF5903">
          <w:rPr>
            <w:rStyle w:val="Hyperlink"/>
          </w:rPr>
          <w:t>b</w:t>
        </w:r>
        <w:r w:rsidRPr="00AF5903">
          <w:rPr>
            <w:rStyle w:val="Hyperlink"/>
          </w:rPr>
          <w:t xml:space="preserve">rook </w:t>
        </w:r>
        <w:r w:rsidR="00D36875" w:rsidRPr="00AF5903">
          <w:rPr>
            <w:rStyle w:val="Hyperlink"/>
          </w:rPr>
          <w:t>t</w:t>
        </w:r>
        <w:r w:rsidRPr="00AF5903">
          <w:rPr>
            <w:rStyle w:val="Hyperlink"/>
          </w:rPr>
          <w:t xml:space="preserve">rout and </w:t>
        </w:r>
        <w:r w:rsidR="00D36875" w:rsidRPr="00AF5903">
          <w:rPr>
            <w:rStyle w:val="Hyperlink"/>
          </w:rPr>
          <w:t>c</w:t>
        </w:r>
        <w:r w:rsidRPr="00AF5903">
          <w:rPr>
            <w:rStyle w:val="Hyperlink"/>
          </w:rPr>
          <w:t xml:space="preserve">oho </w:t>
        </w:r>
        <w:r w:rsidR="00D36875" w:rsidRPr="00AF5903">
          <w:rPr>
            <w:rStyle w:val="Hyperlink"/>
          </w:rPr>
          <w:t>s</w:t>
        </w:r>
        <w:r w:rsidRPr="00AF5903">
          <w:rPr>
            <w:rStyle w:val="Hyperlink"/>
          </w:rPr>
          <w:t>almon</w:t>
        </w:r>
      </w:hyperlink>
      <w:r w:rsidR="00D36875">
        <w:t>’,</w:t>
      </w:r>
      <w:r w:rsidRPr="000164C0">
        <w:t xml:space="preserve"> </w:t>
      </w:r>
      <w:r w:rsidRPr="000164C0">
        <w:rPr>
          <w:i/>
          <w:iCs/>
        </w:rPr>
        <w:t>Transactions of the American Fisheries Society</w:t>
      </w:r>
      <w:r w:rsidRPr="000164C0">
        <w:t>, 105</w:t>
      </w:r>
      <w:r w:rsidR="00D36875">
        <w:t>:</w:t>
      </w:r>
      <w:r w:rsidRPr="000164C0">
        <w:t>308</w:t>
      </w:r>
      <w:r w:rsidR="00D36875">
        <w:t>–</w:t>
      </w:r>
      <w:r w:rsidRPr="000164C0">
        <w:t>312</w:t>
      </w:r>
      <w:r w:rsidR="00AF5903">
        <w:t>, doi:</w:t>
      </w:r>
      <w:r w:rsidR="00AF5903" w:rsidRPr="00AF5903">
        <w:t>10.1577/1548-8659(1976)105%3C308:edeoli%3E2.0.co;2</w:t>
      </w:r>
      <w:r w:rsidRPr="000164C0">
        <w:t>.</w:t>
      </w:r>
    </w:p>
    <w:p w14:paraId="60C6BD5D" w14:textId="1F4225D8" w:rsidR="00606A7B" w:rsidRPr="000164C0" w:rsidRDefault="00606A7B" w:rsidP="00606A7B">
      <w:r w:rsidRPr="000164C0">
        <w:t>Smit</w:t>
      </w:r>
      <w:r>
        <w:t xml:space="preserve">h EJ, Sykora JL </w:t>
      </w:r>
      <w:r w:rsidR="00E44304">
        <w:t>and</w:t>
      </w:r>
      <w:r>
        <w:t xml:space="preserve"> Shapiro MA </w:t>
      </w:r>
      <w:r w:rsidR="00D36875">
        <w:t>(</w:t>
      </w:r>
      <w:r>
        <w:t>1973</w:t>
      </w:r>
      <w:r w:rsidR="00D36875">
        <w:t>)</w:t>
      </w:r>
      <w:r w:rsidRPr="000164C0">
        <w:t xml:space="preserve"> </w:t>
      </w:r>
      <w:r w:rsidR="00D36875">
        <w:t>‘</w:t>
      </w:r>
      <w:hyperlink r:id="rId82" w:history="1">
        <w:r w:rsidRPr="00F24AA7">
          <w:rPr>
            <w:rStyle w:val="Hyperlink"/>
          </w:rPr>
          <w:t>Effect of lime neutralized iron hydroxide suspensions on survival, growth, and reproduction of the fathead minnow (</w:t>
        </w:r>
        <w:r w:rsidRPr="00F24AA7">
          <w:rPr>
            <w:rStyle w:val="Hyperlink"/>
            <w:i/>
            <w:iCs/>
          </w:rPr>
          <w:t>Pimephales promelas</w:t>
        </w:r>
        <w:r w:rsidRPr="00F24AA7">
          <w:rPr>
            <w:rStyle w:val="Hyperlink"/>
          </w:rPr>
          <w:t>)</w:t>
        </w:r>
      </w:hyperlink>
      <w:r w:rsidR="00D36875">
        <w:t>’,</w:t>
      </w:r>
      <w:r w:rsidRPr="000164C0">
        <w:t xml:space="preserve"> </w:t>
      </w:r>
      <w:r w:rsidRPr="000164C0">
        <w:rPr>
          <w:i/>
          <w:iCs/>
        </w:rPr>
        <w:t>Journal of the Fisheries Research Board of Canada</w:t>
      </w:r>
      <w:r w:rsidRPr="000164C0">
        <w:t>, 30</w:t>
      </w:r>
      <w:r w:rsidR="00D36875">
        <w:t>:</w:t>
      </w:r>
      <w:r w:rsidRPr="000164C0">
        <w:t>1147</w:t>
      </w:r>
      <w:r w:rsidR="00D36875">
        <w:t>–</w:t>
      </w:r>
      <w:r w:rsidRPr="000164C0">
        <w:t>1153</w:t>
      </w:r>
      <w:r w:rsidR="00F24AA7">
        <w:t>, doi:</w:t>
      </w:r>
      <w:r w:rsidR="00F24AA7" w:rsidRPr="00F24AA7">
        <w:t>10.1139/f73-185</w:t>
      </w:r>
      <w:r w:rsidRPr="000164C0">
        <w:t>.</w:t>
      </w:r>
    </w:p>
    <w:p w14:paraId="435B7745" w14:textId="2FD4D13C" w:rsidR="00606A7B" w:rsidRPr="000164C0" w:rsidRDefault="00606A7B" w:rsidP="00606A7B">
      <w:r>
        <w:t xml:space="preserve">Sunda WG </w:t>
      </w:r>
      <w:r w:rsidR="00E44304">
        <w:t>and</w:t>
      </w:r>
      <w:r>
        <w:t xml:space="preserve"> Huntsman SA </w:t>
      </w:r>
      <w:r w:rsidR="00D36875">
        <w:t>(</w:t>
      </w:r>
      <w:r w:rsidRPr="000164C0">
        <w:t>1998</w:t>
      </w:r>
      <w:r w:rsidR="00D36875">
        <w:t>)</w:t>
      </w:r>
      <w:r w:rsidRPr="000164C0">
        <w:t xml:space="preserve"> </w:t>
      </w:r>
      <w:r w:rsidR="00D36875">
        <w:t>‘</w:t>
      </w:r>
      <w:r w:rsidRPr="000164C0">
        <w:t xml:space="preserve">Processes regulating cellular metal accumulation and physiological effects: </w:t>
      </w:r>
      <w:r w:rsidR="00D36875">
        <w:t>p</w:t>
      </w:r>
      <w:r w:rsidRPr="000164C0">
        <w:t>hytoplankton as model systems</w:t>
      </w:r>
      <w:r w:rsidR="00D36875">
        <w:t>’.</w:t>
      </w:r>
      <w:r w:rsidRPr="000164C0">
        <w:t xml:space="preserve"> </w:t>
      </w:r>
      <w:r w:rsidRPr="000164C0">
        <w:rPr>
          <w:i/>
          <w:iCs/>
        </w:rPr>
        <w:t>Science of the Total Environment</w:t>
      </w:r>
      <w:r w:rsidRPr="000164C0">
        <w:t>, 219</w:t>
      </w:r>
      <w:r w:rsidR="00D36875">
        <w:t>:</w:t>
      </w:r>
      <w:r w:rsidRPr="000164C0">
        <w:t>165</w:t>
      </w:r>
      <w:r w:rsidR="00D36875">
        <w:t>–</w:t>
      </w:r>
      <w:r w:rsidRPr="000164C0">
        <w:t>181.</w:t>
      </w:r>
    </w:p>
    <w:p w14:paraId="26FB6DC8" w14:textId="5968E2E0" w:rsidR="00606A7B" w:rsidRPr="00AF16D6" w:rsidRDefault="00606A7B" w:rsidP="00606A7B">
      <w:pPr>
        <w:rPr>
          <w:rFonts w:cs="Calibri"/>
        </w:rPr>
      </w:pPr>
      <w:r w:rsidRPr="00AF16D6">
        <w:rPr>
          <w:rFonts w:cs="Calibri"/>
        </w:rPr>
        <w:t xml:space="preserve">Sykora JL, Smith EJ </w:t>
      </w:r>
      <w:r w:rsidR="00E44304">
        <w:rPr>
          <w:rFonts w:cs="Calibri"/>
        </w:rPr>
        <w:t>and</w:t>
      </w:r>
      <w:r w:rsidRPr="00AF16D6">
        <w:rPr>
          <w:rFonts w:cs="Calibri"/>
        </w:rPr>
        <w:t xml:space="preserve"> Synak M </w:t>
      </w:r>
      <w:r w:rsidR="00D36875">
        <w:rPr>
          <w:rFonts w:cs="Calibri"/>
        </w:rPr>
        <w:t>(</w:t>
      </w:r>
      <w:r w:rsidRPr="00AF16D6">
        <w:rPr>
          <w:rFonts w:cs="Calibri"/>
        </w:rPr>
        <w:t>1972a</w:t>
      </w:r>
      <w:r w:rsidR="00D36875">
        <w:rPr>
          <w:rFonts w:cs="Calibri"/>
        </w:rPr>
        <w:t>)</w:t>
      </w:r>
      <w:r w:rsidRPr="00AF16D6">
        <w:rPr>
          <w:rFonts w:cs="Calibri"/>
        </w:rPr>
        <w:t xml:space="preserve"> </w:t>
      </w:r>
      <w:r w:rsidR="00D36875">
        <w:rPr>
          <w:rFonts w:cs="Calibri"/>
        </w:rPr>
        <w:t>‘</w:t>
      </w:r>
      <w:hyperlink r:id="rId83" w:history="1">
        <w:r w:rsidRPr="00264A68">
          <w:rPr>
            <w:rStyle w:val="Hyperlink"/>
            <w:rFonts w:cs="Calibri"/>
          </w:rPr>
          <w:t>Effect of lime neutralized iron hydroxide suspensions on juvenile brook trout (</w:t>
        </w:r>
        <w:r w:rsidRPr="00264A68">
          <w:rPr>
            <w:rStyle w:val="Hyperlink"/>
            <w:rFonts w:cs="Calibri"/>
            <w:i/>
            <w:iCs/>
          </w:rPr>
          <w:t>Salvelinus fontinalis</w:t>
        </w:r>
        <w:r w:rsidRPr="00264A68">
          <w:rPr>
            <w:rStyle w:val="Hyperlink"/>
            <w:rFonts w:cs="Calibri"/>
          </w:rPr>
          <w:t xml:space="preserve">, </w:t>
        </w:r>
        <w:r w:rsidR="003B337B">
          <w:rPr>
            <w:rStyle w:val="Hyperlink"/>
            <w:rFonts w:cs="Calibri"/>
          </w:rPr>
          <w:t>M</w:t>
        </w:r>
        <w:r w:rsidRPr="00264A68">
          <w:rPr>
            <w:rStyle w:val="Hyperlink"/>
            <w:rFonts w:cs="Calibri"/>
          </w:rPr>
          <w:t>itchill)</w:t>
        </w:r>
      </w:hyperlink>
      <w:r w:rsidR="00D36875">
        <w:rPr>
          <w:rFonts w:cs="Calibri"/>
        </w:rPr>
        <w:t>’,</w:t>
      </w:r>
      <w:r w:rsidRPr="00AF16D6">
        <w:rPr>
          <w:rFonts w:cs="Calibri"/>
        </w:rPr>
        <w:t xml:space="preserve"> </w:t>
      </w:r>
      <w:r w:rsidRPr="00AF16D6">
        <w:rPr>
          <w:rFonts w:cs="Calibri"/>
          <w:i/>
          <w:iCs/>
        </w:rPr>
        <w:t>Water Research</w:t>
      </w:r>
      <w:r w:rsidRPr="00AF16D6">
        <w:rPr>
          <w:rFonts w:cs="Calibri"/>
        </w:rPr>
        <w:t>, 6</w:t>
      </w:r>
      <w:r w:rsidR="00D36875">
        <w:rPr>
          <w:rFonts w:cs="Calibri"/>
        </w:rPr>
        <w:t>:</w:t>
      </w:r>
      <w:r w:rsidRPr="00AF16D6">
        <w:rPr>
          <w:rFonts w:cs="Calibri"/>
        </w:rPr>
        <w:t>935</w:t>
      </w:r>
      <w:r w:rsidR="00D36875">
        <w:rPr>
          <w:rFonts w:cs="Calibri"/>
        </w:rPr>
        <w:t>–</w:t>
      </w:r>
      <w:r w:rsidRPr="00AF16D6">
        <w:rPr>
          <w:rFonts w:cs="Calibri"/>
        </w:rPr>
        <w:t>950</w:t>
      </w:r>
      <w:r w:rsidR="00264A68">
        <w:rPr>
          <w:rFonts w:cs="Calibri"/>
        </w:rPr>
        <w:t>, doi:</w:t>
      </w:r>
      <w:r w:rsidR="00264A68" w:rsidRPr="00264A68">
        <w:rPr>
          <w:rFonts w:cs="Calibri"/>
        </w:rPr>
        <w:t>10.1016/0043-1354(72)90045-0</w:t>
      </w:r>
      <w:r w:rsidRPr="00AF16D6">
        <w:rPr>
          <w:rFonts w:cs="Calibri"/>
        </w:rPr>
        <w:t>.</w:t>
      </w:r>
    </w:p>
    <w:p w14:paraId="16AF51B9" w14:textId="7C2E09B5" w:rsidR="00606A7B" w:rsidRPr="000164C0" w:rsidRDefault="00606A7B" w:rsidP="00606A7B">
      <w:r w:rsidRPr="00AF16D6">
        <w:t xml:space="preserve">Sykora JL, Smith EJ, Shapiro MA </w:t>
      </w:r>
      <w:r w:rsidR="00E44304">
        <w:t>and</w:t>
      </w:r>
      <w:r w:rsidRPr="00AF16D6">
        <w:t xml:space="preserve"> Synak N </w:t>
      </w:r>
      <w:r w:rsidR="003B337B">
        <w:t>(</w:t>
      </w:r>
      <w:r w:rsidRPr="00AF16D6">
        <w:t>1972b</w:t>
      </w:r>
      <w:r w:rsidR="003B337B">
        <w:t>)</w:t>
      </w:r>
      <w:r w:rsidRPr="00AF16D6">
        <w:t xml:space="preserve"> </w:t>
      </w:r>
      <w:r w:rsidR="003B337B">
        <w:t>‘</w:t>
      </w:r>
      <w:r w:rsidRPr="00AF16D6">
        <w:t>Chronic effect of ferric hydroxide on certain species of aquatic animals</w:t>
      </w:r>
      <w:r w:rsidR="003B337B">
        <w:t>’, i</w:t>
      </w:r>
      <w:r w:rsidRPr="00AF16D6">
        <w:t xml:space="preserve">n </w:t>
      </w:r>
      <w:r w:rsidRPr="00515B5D">
        <w:rPr>
          <w:i/>
          <w:iCs/>
        </w:rPr>
        <w:t>Proc</w:t>
      </w:r>
      <w:r w:rsidR="00005B80" w:rsidRPr="00515B5D">
        <w:rPr>
          <w:i/>
          <w:iCs/>
        </w:rPr>
        <w:t xml:space="preserve">eedings of </w:t>
      </w:r>
      <w:r w:rsidR="00CC6BCB" w:rsidRPr="00515B5D">
        <w:rPr>
          <w:i/>
          <w:iCs/>
        </w:rPr>
        <w:t>4</w:t>
      </w:r>
      <w:r w:rsidRPr="00515B5D">
        <w:rPr>
          <w:i/>
          <w:iCs/>
        </w:rPr>
        <w:t>th Symp</w:t>
      </w:r>
      <w:r w:rsidR="00CC6BCB" w:rsidRPr="00515B5D">
        <w:rPr>
          <w:i/>
          <w:iCs/>
        </w:rPr>
        <w:t>osium</w:t>
      </w:r>
      <w:r w:rsidRPr="00515B5D">
        <w:rPr>
          <w:i/>
          <w:iCs/>
        </w:rPr>
        <w:t xml:space="preserve"> on </w:t>
      </w:r>
      <w:r w:rsidR="00B950C7">
        <w:rPr>
          <w:i/>
          <w:iCs/>
        </w:rPr>
        <w:t>C</w:t>
      </w:r>
      <w:r w:rsidRPr="00515B5D">
        <w:rPr>
          <w:i/>
          <w:iCs/>
        </w:rPr>
        <w:t>oal Mine Drainage Research</w:t>
      </w:r>
      <w:r w:rsidRPr="00AF16D6">
        <w:t>, Mellon Institute, Pittsburgh.</w:t>
      </w:r>
    </w:p>
    <w:p w14:paraId="5EDEE54C" w14:textId="58A7F26E" w:rsidR="00606A7B" w:rsidRPr="000164C0" w:rsidRDefault="00606A7B" w:rsidP="00606A7B">
      <w:r w:rsidRPr="000164C0">
        <w:t>Sykora JL, Sm</w:t>
      </w:r>
      <w:r>
        <w:t xml:space="preserve">ith EJ, Synak M and Shapiro MA </w:t>
      </w:r>
      <w:r w:rsidR="00B950C7">
        <w:t>(</w:t>
      </w:r>
      <w:r>
        <w:t>1975</w:t>
      </w:r>
      <w:r w:rsidR="00B950C7">
        <w:t>)</w:t>
      </w:r>
      <w:r w:rsidRPr="000164C0">
        <w:t xml:space="preserve"> </w:t>
      </w:r>
      <w:r w:rsidR="00B950C7">
        <w:t>‘</w:t>
      </w:r>
      <w:hyperlink r:id="rId84" w:history="1">
        <w:r w:rsidRPr="00F64053">
          <w:rPr>
            <w:rStyle w:val="Hyperlink"/>
          </w:rPr>
          <w:t>Some observations on spawning of brook trout (</w:t>
        </w:r>
        <w:r w:rsidRPr="00F64053">
          <w:rPr>
            <w:rStyle w:val="Hyperlink"/>
            <w:i/>
            <w:iCs/>
          </w:rPr>
          <w:t>Salvelinus fontinalis</w:t>
        </w:r>
        <w:r w:rsidRPr="00F64053">
          <w:rPr>
            <w:rStyle w:val="Hyperlink"/>
          </w:rPr>
          <w:t xml:space="preserve"> </w:t>
        </w:r>
        <w:r w:rsidR="007A5DD1" w:rsidRPr="00F64053">
          <w:rPr>
            <w:rStyle w:val="Hyperlink"/>
          </w:rPr>
          <w:t>M</w:t>
        </w:r>
        <w:r w:rsidRPr="00F64053">
          <w:rPr>
            <w:rStyle w:val="Hyperlink"/>
          </w:rPr>
          <w:t>itchill) in lime neutralized iron hydroxide suspensions</w:t>
        </w:r>
      </w:hyperlink>
      <w:r w:rsidR="00B950C7">
        <w:t>’,</w:t>
      </w:r>
      <w:r w:rsidRPr="000164C0">
        <w:t xml:space="preserve"> </w:t>
      </w:r>
      <w:r w:rsidRPr="000164C0">
        <w:rPr>
          <w:i/>
          <w:iCs/>
        </w:rPr>
        <w:t>Water Research</w:t>
      </w:r>
      <w:r w:rsidRPr="000164C0">
        <w:t>, 9</w:t>
      </w:r>
      <w:r w:rsidR="00B950C7">
        <w:t>:</w:t>
      </w:r>
      <w:r w:rsidRPr="000164C0">
        <w:t>451</w:t>
      </w:r>
      <w:r w:rsidR="00B950C7">
        <w:t>–</w:t>
      </w:r>
      <w:r w:rsidRPr="000164C0">
        <w:t>458</w:t>
      </w:r>
      <w:r w:rsidR="00F64053">
        <w:t>, doi:</w:t>
      </w:r>
      <w:r w:rsidR="00F64053" w:rsidRPr="00F64053">
        <w:t>10.1016/0043-1354(75)90192-X</w:t>
      </w:r>
      <w:r w:rsidRPr="000164C0">
        <w:t>.</w:t>
      </w:r>
    </w:p>
    <w:p w14:paraId="280F6C34" w14:textId="5BAB7566" w:rsidR="00606A7B" w:rsidRPr="000164C0" w:rsidRDefault="00606A7B" w:rsidP="00606A7B">
      <w:r w:rsidRPr="000164C0">
        <w:t xml:space="preserve">Teien HC, Garmo ØA, Åtland Å </w:t>
      </w:r>
      <w:r w:rsidR="00E44304">
        <w:t>and</w:t>
      </w:r>
      <w:r w:rsidRPr="000164C0">
        <w:t xml:space="preserve"> Salbu</w:t>
      </w:r>
      <w:r>
        <w:t xml:space="preserve"> B </w:t>
      </w:r>
      <w:r w:rsidR="00B950C7">
        <w:t>(</w:t>
      </w:r>
      <w:r>
        <w:t>2008</w:t>
      </w:r>
      <w:r w:rsidR="00B950C7">
        <w:t>)</w:t>
      </w:r>
      <w:r w:rsidRPr="000164C0">
        <w:t xml:space="preserve"> </w:t>
      </w:r>
      <w:r w:rsidR="00B950C7">
        <w:t>‘</w:t>
      </w:r>
      <w:hyperlink r:id="rId85" w:history="1">
        <w:r w:rsidRPr="00D0632E">
          <w:rPr>
            <w:rStyle w:val="Hyperlink"/>
          </w:rPr>
          <w:t>Transformation of iron species in mixing zones and accumulation on fish gills</w:t>
        </w:r>
      </w:hyperlink>
      <w:r w:rsidR="00B950C7">
        <w:t>’,</w:t>
      </w:r>
      <w:r w:rsidRPr="000164C0">
        <w:t xml:space="preserve"> </w:t>
      </w:r>
      <w:r w:rsidRPr="000164C0">
        <w:rPr>
          <w:i/>
          <w:iCs/>
        </w:rPr>
        <w:t>Environmental Science and Technology</w:t>
      </w:r>
      <w:r w:rsidRPr="000164C0">
        <w:t>, 42</w:t>
      </w:r>
      <w:r w:rsidR="00B950C7">
        <w:t>:</w:t>
      </w:r>
      <w:r w:rsidRPr="000164C0">
        <w:t>1780</w:t>
      </w:r>
      <w:r w:rsidR="00B950C7">
        <w:t>–</w:t>
      </w:r>
      <w:r w:rsidRPr="000164C0">
        <w:t>1786</w:t>
      </w:r>
      <w:r w:rsidR="00D0632E">
        <w:t>, doi:</w:t>
      </w:r>
      <w:r w:rsidR="00D0632E" w:rsidRPr="00D0632E">
        <w:t>10.1021/es071965m</w:t>
      </w:r>
      <w:r w:rsidRPr="000164C0">
        <w:t>.</w:t>
      </w:r>
    </w:p>
    <w:p w14:paraId="72B6C754" w14:textId="4CE738E9" w:rsidR="00606A7B" w:rsidRDefault="00606A7B" w:rsidP="00606A7B">
      <w:pPr>
        <w:rPr>
          <w:rFonts w:cs="Calibri"/>
        </w:rPr>
      </w:pPr>
      <w:r>
        <w:rPr>
          <w:rFonts w:cs="Calibri"/>
        </w:rPr>
        <w:t>US</w:t>
      </w:r>
      <w:r w:rsidR="00B950C7">
        <w:rPr>
          <w:rFonts w:cs="Calibri"/>
        </w:rPr>
        <w:t xml:space="preserve"> </w:t>
      </w:r>
      <w:r>
        <w:rPr>
          <w:rFonts w:cs="Calibri"/>
        </w:rPr>
        <w:t xml:space="preserve">EPA </w:t>
      </w:r>
      <w:r w:rsidR="00B950C7">
        <w:rPr>
          <w:rFonts w:cs="Calibri"/>
        </w:rPr>
        <w:t>(</w:t>
      </w:r>
      <w:r w:rsidR="00B950C7" w:rsidRPr="0067628B">
        <w:rPr>
          <w:rFonts w:cs="Calibri"/>
        </w:rPr>
        <w:t>U</w:t>
      </w:r>
      <w:r w:rsidR="00B950C7">
        <w:rPr>
          <w:rFonts w:cs="Calibri"/>
        </w:rPr>
        <w:t xml:space="preserve">nited </w:t>
      </w:r>
      <w:r w:rsidR="00B950C7" w:rsidRPr="0067628B">
        <w:rPr>
          <w:rFonts w:cs="Calibri"/>
        </w:rPr>
        <w:t>S</w:t>
      </w:r>
      <w:r w:rsidR="00B950C7">
        <w:rPr>
          <w:rFonts w:cs="Calibri"/>
        </w:rPr>
        <w:t>tates</w:t>
      </w:r>
      <w:r w:rsidR="00B950C7" w:rsidRPr="0067628B">
        <w:rPr>
          <w:rFonts w:cs="Calibri"/>
        </w:rPr>
        <w:t xml:space="preserve"> Environmental Protection Agency</w:t>
      </w:r>
      <w:r w:rsidR="00B950C7">
        <w:rPr>
          <w:rFonts w:cs="Calibri"/>
        </w:rPr>
        <w:t>) (</w:t>
      </w:r>
      <w:r>
        <w:rPr>
          <w:rFonts w:cs="Calibri"/>
        </w:rPr>
        <w:t>1986</w:t>
      </w:r>
      <w:r w:rsidR="00B950C7">
        <w:rPr>
          <w:rFonts w:cs="Calibri"/>
        </w:rPr>
        <w:t>)</w:t>
      </w:r>
      <w:r w:rsidRPr="0067628B">
        <w:rPr>
          <w:rFonts w:cs="Calibri"/>
        </w:rPr>
        <w:t xml:space="preserve"> </w:t>
      </w:r>
      <w:hyperlink r:id="rId86" w:history="1">
        <w:r w:rsidR="005E74D2" w:rsidRPr="00515B5D">
          <w:rPr>
            <w:rStyle w:val="Hyperlink"/>
            <w:rFonts w:cs="Calibri"/>
            <w:i/>
            <w:iCs/>
          </w:rPr>
          <w:t>Quality criteria for water</w:t>
        </w:r>
        <w:r w:rsidR="005E74D2" w:rsidRPr="005E74D2">
          <w:rPr>
            <w:rStyle w:val="Hyperlink"/>
            <w:rFonts w:cs="Calibri"/>
          </w:rPr>
          <w:t xml:space="preserve"> [PDF 13.7MB]</w:t>
        </w:r>
      </w:hyperlink>
      <w:r w:rsidR="003358AB">
        <w:rPr>
          <w:rFonts w:cs="Calibri"/>
        </w:rPr>
        <w:t>,</w:t>
      </w:r>
      <w:r w:rsidRPr="0067628B">
        <w:rPr>
          <w:rFonts w:cs="Calibri"/>
        </w:rPr>
        <w:t xml:space="preserve"> US </w:t>
      </w:r>
      <w:r w:rsidR="003358AB">
        <w:rPr>
          <w:rFonts w:cs="Calibri"/>
        </w:rPr>
        <w:t xml:space="preserve">EPA </w:t>
      </w:r>
      <w:r w:rsidRPr="0067628B">
        <w:rPr>
          <w:rFonts w:cs="Calibri"/>
        </w:rPr>
        <w:t>Agency</w:t>
      </w:r>
      <w:r w:rsidR="00005B80">
        <w:rPr>
          <w:rFonts w:cs="Calibri"/>
        </w:rPr>
        <w:t xml:space="preserve"> Report No. </w:t>
      </w:r>
      <w:r w:rsidR="00005B80" w:rsidRPr="0067628B">
        <w:rPr>
          <w:rFonts w:cs="Calibri"/>
        </w:rPr>
        <w:t>EPA 440/5-86-001</w:t>
      </w:r>
      <w:r w:rsidRPr="0067628B">
        <w:rPr>
          <w:rFonts w:cs="Calibri"/>
        </w:rPr>
        <w:t>, Springfield.</w:t>
      </w:r>
    </w:p>
    <w:p w14:paraId="09BE4C13" w14:textId="338007D2" w:rsidR="00F73F7A" w:rsidRDefault="00F73F7A" w:rsidP="00A34B42">
      <w:pPr>
        <w:rPr>
          <w:lang w:eastAsia="en-AU"/>
        </w:rPr>
      </w:pPr>
      <w:r w:rsidRPr="00EF77E9">
        <w:rPr>
          <w:lang w:eastAsia="en-AU"/>
        </w:rPr>
        <w:t>US</w:t>
      </w:r>
      <w:r w:rsidR="003358AB">
        <w:rPr>
          <w:lang w:eastAsia="en-AU"/>
        </w:rPr>
        <w:t xml:space="preserve"> </w:t>
      </w:r>
      <w:r>
        <w:rPr>
          <w:lang w:eastAsia="en-AU"/>
        </w:rPr>
        <w:t xml:space="preserve">EPA </w:t>
      </w:r>
      <w:r w:rsidR="003358AB">
        <w:rPr>
          <w:lang w:eastAsia="en-AU"/>
        </w:rPr>
        <w:t>(</w:t>
      </w:r>
      <w:r>
        <w:rPr>
          <w:lang w:eastAsia="en-AU"/>
        </w:rPr>
        <w:t>1991</w:t>
      </w:r>
      <w:r w:rsidR="003358AB">
        <w:rPr>
          <w:lang w:eastAsia="en-AU"/>
        </w:rPr>
        <w:t>)</w:t>
      </w:r>
      <w:r w:rsidRPr="00EF77E9">
        <w:rPr>
          <w:lang w:eastAsia="en-AU"/>
        </w:rPr>
        <w:t xml:space="preserve"> </w:t>
      </w:r>
      <w:r w:rsidRPr="00515B5D">
        <w:rPr>
          <w:i/>
          <w:iCs/>
          <w:lang w:eastAsia="en-AU"/>
        </w:rPr>
        <w:t xml:space="preserve">Method 200.1 – </w:t>
      </w:r>
      <w:r w:rsidR="003358AB">
        <w:rPr>
          <w:i/>
          <w:iCs/>
          <w:lang w:eastAsia="en-AU"/>
        </w:rPr>
        <w:t>d</w:t>
      </w:r>
      <w:r w:rsidRPr="00515B5D">
        <w:rPr>
          <w:i/>
          <w:iCs/>
          <w:lang w:eastAsia="en-AU"/>
        </w:rPr>
        <w:t>etermination of acid</w:t>
      </w:r>
      <w:r w:rsidR="00DC35DF">
        <w:rPr>
          <w:rFonts w:eastAsia="AdvTT181ea94d.I+20"/>
          <w:i/>
          <w:iCs/>
          <w:lang w:eastAsia="en-AU"/>
        </w:rPr>
        <w:t>-</w:t>
      </w:r>
      <w:r w:rsidRPr="00515B5D">
        <w:rPr>
          <w:i/>
          <w:iCs/>
          <w:lang w:eastAsia="en-AU"/>
        </w:rPr>
        <w:t>soluble metals</w:t>
      </w:r>
      <w:r w:rsidR="003358AB">
        <w:rPr>
          <w:lang w:eastAsia="en-AU"/>
        </w:rPr>
        <w:t>,</w:t>
      </w:r>
      <w:r w:rsidRPr="00EF77E9">
        <w:rPr>
          <w:lang w:eastAsia="en-AU"/>
        </w:rPr>
        <w:t xml:space="preserve"> </w:t>
      </w:r>
      <w:r>
        <w:rPr>
          <w:lang w:eastAsia="en-AU"/>
        </w:rPr>
        <w:t xml:space="preserve">US </w:t>
      </w:r>
      <w:r w:rsidR="003358AB">
        <w:rPr>
          <w:lang w:eastAsia="en-AU"/>
        </w:rPr>
        <w:t>EPA</w:t>
      </w:r>
      <w:r>
        <w:rPr>
          <w:lang w:eastAsia="en-AU"/>
        </w:rPr>
        <w:t xml:space="preserve"> Report No.</w:t>
      </w:r>
      <w:r w:rsidR="000826DF">
        <w:rPr>
          <w:lang w:eastAsia="en-AU"/>
        </w:rPr>
        <w:t xml:space="preserve"> </w:t>
      </w:r>
      <w:r w:rsidRPr="00EF77E9">
        <w:rPr>
          <w:lang w:eastAsia="en-AU"/>
        </w:rPr>
        <w:t>EPA/600/4</w:t>
      </w:r>
      <w:r w:rsidRPr="00EF77E9">
        <w:rPr>
          <w:rFonts w:eastAsia="AdvTTad02f5c0+20"/>
          <w:lang w:eastAsia="en-AU"/>
        </w:rPr>
        <w:t>‐</w:t>
      </w:r>
      <w:r w:rsidRPr="00EF77E9">
        <w:rPr>
          <w:lang w:eastAsia="en-AU"/>
        </w:rPr>
        <w:t>91/010</w:t>
      </w:r>
      <w:r w:rsidR="000826DF">
        <w:rPr>
          <w:lang w:eastAsia="en-AU"/>
        </w:rPr>
        <w:t xml:space="preserve">, </w:t>
      </w:r>
      <w:r w:rsidRPr="00EF77E9">
        <w:rPr>
          <w:lang w:eastAsia="en-AU"/>
        </w:rPr>
        <w:t>Cincinnati.</w:t>
      </w:r>
    </w:p>
    <w:p w14:paraId="4AA3A992" w14:textId="3B5274FE" w:rsidR="00A34B42" w:rsidRPr="00115895" w:rsidRDefault="00A34B42" w:rsidP="00A34B42">
      <w:r w:rsidRPr="00115895">
        <w:t>US</w:t>
      </w:r>
      <w:r w:rsidR="003358AB">
        <w:t xml:space="preserve"> </w:t>
      </w:r>
      <w:r w:rsidRPr="00115895">
        <w:t>EPA</w:t>
      </w:r>
      <w:r>
        <w:t xml:space="preserve"> </w:t>
      </w:r>
      <w:r w:rsidR="003358AB">
        <w:t>(</w:t>
      </w:r>
      <w:r w:rsidRPr="00115895">
        <w:t>1994</w:t>
      </w:r>
      <w:r w:rsidR="003358AB">
        <w:t>)</w:t>
      </w:r>
      <w:r w:rsidRPr="00115895">
        <w:t xml:space="preserve"> </w:t>
      </w:r>
      <w:hyperlink r:id="rId87" w:history="1">
        <w:r w:rsidRPr="00515B5D">
          <w:rPr>
            <w:rStyle w:val="Hyperlink"/>
            <w:i/>
          </w:rPr>
          <w:t xml:space="preserve">Method 200.8: </w:t>
        </w:r>
        <w:r w:rsidR="008029BC" w:rsidRPr="00AF33B7">
          <w:rPr>
            <w:rStyle w:val="Hyperlink"/>
            <w:i/>
          </w:rPr>
          <w:t>d</w:t>
        </w:r>
        <w:r w:rsidRPr="00515B5D">
          <w:rPr>
            <w:rStyle w:val="Hyperlink"/>
            <w:i/>
          </w:rPr>
          <w:t xml:space="preserve">etermination of </w:t>
        </w:r>
        <w:r w:rsidR="008029BC" w:rsidRPr="00AF33B7">
          <w:rPr>
            <w:rStyle w:val="Hyperlink"/>
            <w:i/>
          </w:rPr>
          <w:t>t</w:t>
        </w:r>
        <w:r w:rsidRPr="00515B5D">
          <w:rPr>
            <w:rStyle w:val="Hyperlink"/>
            <w:i/>
          </w:rPr>
          <w:t xml:space="preserve">race </w:t>
        </w:r>
        <w:r w:rsidR="008029BC" w:rsidRPr="00AF33B7">
          <w:rPr>
            <w:rStyle w:val="Hyperlink"/>
            <w:i/>
          </w:rPr>
          <w:t>e</w:t>
        </w:r>
        <w:r w:rsidRPr="00515B5D">
          <w:rPr>
            <w:rStyle w:val="Hyperlink"/>
            <w:i/>
          </w:rPr>
          <w:t xml:space="preserve">lements in </w:t>
        </w:r>
        <w:r w:rsidR="008029BC" w:rsidRPr="00AF33B7">
          <w:rPr>
            <w:rStyle w:val="Hyperlink"/>
            <w:i/>
          </w:rPr>
          <w:t>w</w:t>
        </w:r>
        <w:r w:rsidRPr="00515B5D">
          <w:rPr>
            <w:rStyle w:val="Hyperlink"/>
            <w:i/>
          </w:rPr>
          <w:t xml:space="preserve">aters and </w:t>
        </w:r>
        <w:r w:rsidR="008029BC" w:rsidRPr="00AF33B7">
          <w:rPr>
            <w:rStyle w:val="Hyperlink"/>
            <w:i/>
          </w:rPr>
          <w:t>w</w:t>
        </w:r>
        <w:r w:rsidRPr="00515B5D">
          <w:rPr>
            <w:rStyle w:val="Hyperlink"/>
            <w:i/>
          </w:rPr>
          <w:t xml:space="preserve">astes by </w:t>
        </w:r>
        <w:r w:rsidR="008029BC" w:rsidRPr="00AF33B7">
          <w:rPr>
            <w:rStyle w:val="Hyperlink"/>
            <w:i/>
          </w:rPr>
          <w:t>i</w:t>
        </w:r>
        <w:r w:rsidRPr="00515B5D">
          <w:rPr>
            <w:rStyle w:val="Hyperlink"/>
            <w:i/>
          </w:rPr>
          <w:t xml:space="preserve">nductively </w:t>
        </w:r>
        <w:r w:rsidR="008029BC" w:rsidRPr="00AF33B7">
          <w:rPr>
            <w:rStyle w:val="Hyperlink"/>
            <w:i/>
          </w:rPr>
          <w:t>c</w:t>
        </w:r>
        <w:r w:rsidRPr="00515B5D">
          <w:rPr>
            <w:rStyle w:val="Hyperlink"/>
            <w:i/>
          </w:rPr>
          <w:t xml:space="preserve">oupled </w:t>
        </w:r>
        <w:r w:rsidR="008029BC" w:rsidRPr="00AF33B7">
          <w:rPr>
            <w:rStyle w:val="Hyperlink"/>
            <w:i/>
          </w:rPr>
          <w:t>p</w:t>
        </w:r>
        <w:r w:rsidRPr="00515B5D">
          <w:rPr>
            <w:rStyle w:val="Hyperlink"/>
            <w:i/>
          </w:rPr>
          <w:t>lasma</w:t>
        </w:r>
        <w:r w:rsidR="008029BC" w:rsidRPr="00AF33B7">
          <w:rPr>
            <w:rStyle w:val="Hyperlink"/>
            <w:i/>
          </w:rPr>
          <w:t>–m</w:t>
        </w:r>
        <w:r w:rsidRPr="00515B5D">
          <w:rPr>
            <w:rStyle w:val="Hyperlink"/>
            <w:i/>
          </w:rPr>
          <w:t xml:space="preserve">ass </w:t>
        </w:r>
        <w:r w:rsidR="008029BC" w:rsidRPr="00AF33B7">
          <w:rPr>
            <w:rStyle w:val="Hyperlink"/>
            <w:i/>
          </w:rPr>
          <w:t>s</w:t>
        </w:r>
        <w:r w:rsidRPr="00515B5D">
          <w:rPr>
            <w:rStyle w:val="Hyperlink"/>
            <w:i/>
          </w:rPr>
          <w:t>pectrometry</w:t>
        </w:r>
      </w:hyperlink>
      <w:r>
        <w:rPr>
          <w:iCs/>
        </w:rPr>
        <w:t>, Revision 5.4</w:t>
      </w:r>
      <w:r w:rsidR="008029BC">
        <w:rPr>
          <w:iCs/>
        </w:rPr>
        <w:t>,</w:t>
      </w:r>
      <w:r w:rsidRPr="00115895">
        <w:t xml:space="preserve"> Cincinnati.</w:t>
      </w:r>
    </w:p>
    <w:p w14:paraId="26087141" w14:textId="4F01FAB7" w:rsidR="00A34B42" w:rsidRPr="00115895" w:rsidRDefault="00A34B42" w:rsidP="00A34B42">
      <w:r w:rsidRPr="00115895">
        <w:lastRenderedPageBreak/>
        <w:t>US</w:t>
      </w:r>
      <w:r w:rsidR="003358AB">
        <w:t xml:space="preserve"> </w:t>
      </w:r>
      <w:r w:rsidRPr="00115895">
        <w:t>EPA</w:t>
      </w:r>
      <w:r>
        <w:t xml:space="preserve"> </w:t>
      </w:r>
      <w:r w:rsidR="008029BC">
        <w:t>(</w:t>
      </w:r>
      <w:r w:rsidRPr="00115895">
        <w:t>2002</w:t>
      </w:r>
      <w:r w:rsidR="008029BC">
        <w:t>)</w:t>
      </w:r>
      <w:r w:rsidRPr="00115895">
        <w:t xml:space="preserve"> </w:t>
      </w:r>
      <w:hyperlink r:id="rId88" w:history="1">
        <w:r w:rsidR="00E4254A" w:rsidRPr="00515B5D">
          <w:rPr>
            <w:rStyle w:val="Hyperlink"/>
            <w:i/>
            <w:iCs/>
          </w:rPr>
          <w:t>Short-term methods for estimating the chronic toxicity of effluents and receiving waters to freshwater organisms</w:t>
        </w:r>
        <w:r w:rsidR="00E4254A" w:rsidRPr="00E4254A">
          <w:rPr>
            <w:rStyle w:val="Hyperlink"/>
          </w:rPr>
          <w:t xml:space="preserve"> [PDF 4.7 MB]</w:t>
        </w:r>
      </w:hyperlink>
      <w:r>
        <w:rPr>
          <w:iCs/>
        </w:rPr>
        <w:t xml:space="preserve">, </w:t>
      </w:r>
      <w:r w:rsidR="008029BC">
        <w:rPr>
          <w:iCs/>
        </w:rPr>
        <w:t>4th e</w:t>
      </w:r>
      <w:r>
        <w:rPr>
          <w:iCs/>
        </w:rPr>
        <w:t>dn</w:t>
      </w:r>
      <w:r w:rsidR="008029BC">
        <w:rPr>
          <w:iCs/>
        </w:rPr>
        <w:t>,</w:t>
      </w:r>
      <w:r>
        <w:rPr>
          <w:iCs/>
        </w:rPr>
        <w:t xml:space="preserve"> </w:t>
      </w:r>
      <w:r>
        <w:rPr>
          <w:lang w:eastAsia="en-AU"/>
        </w:rPr>
        <w:t xml:space="preserve">US </w:t>
      </w:r>
      <w:r w:rsidR="008029BC">
        <w:rPr>
          <w:lang w:eastAsia="en-AU"/>
        </w:rPr>
        <w:t xml:space="preserve">EPA </w:t>
      </w:r>
      <w:r>
        <w:rPr>
          <w:lang w:eastAsia="en-AU"/>
        </w:rPr>
        <w:t xml:space="preserve">Report No. </w:t>
      </w:r>
      <w:r w:rsidRPr="00EF77E9">
        <w:rPr>
          <w:lang w:eastAsia="en-AU"/>
        </w:rPr>
        <w:t>EPA</w:t>
      </w:r>
      <w:r>
        <w:rPr>
          <w:lang w:eastAsia="en-AU"/>
        </w:rPr>
        <w:t>-821-R-02-013</w:t>
      </w:r>
      <w:r w:rsidR="008029BC">
        <w:rPr>
          <w:lang w:eastAsia="en-AU"/>
        </w:rPr>
        <w:t>,</w:t>
      </w:r>
      <w:r w:rsidRPr="00115895">
        <w:t xml:space="preserve"> Office of Science and Technology</w:t>
      </w:r>
      <w:r>
        <w:t>,</w:t>
      </w:r>
      <w:r w:rsidRPr="00115895">
        <w:t xml:space="preserve"> Washington DC.</w:t>
      </w:r>
    </w:p>
    <w:p w14:paraId="6909C372" w14:textId="5485E71B" w:rsidR="00606A7B" w:rsidRPr="000164C0" w:rsidRDefault="00606A7B" w:rsidP="00606A7B">
      <w:r>
        <w:t xml:space="preserve">Vuori KM </w:t>
      </w:r>
      <w:r w:rsidR="008029BC">
        <w:t>(</w:t>
      </w:r>
      <w:r>
        <w:t>1995</w:t>
      </w:r>
      <w:r w:rsidR="008029BC">
        <w:t>)</w:t>
      </w:r>
      <w:r w:rsidRPr="000164C0">
        <w:t xml:space="preserve"> </w:t>
      </w:r>
      <w:r w:rsidR="008029BC">
        <w:t>‘</w:t>
      </w:r>
      <w:hyperlink r:id="rId89" w:history="1">
        <w:r w:rsidR="00A01A36" w:rsidRPr="00A01A36">
          <w:rPr>
            <w:rStyle w:val="Hyperlink"/>
          </w:rPr>
          <w:t>Direct and indirect effects of iron on river ecosystems [PDF 3.3 MB]</w:t>
        </w:r>
      </w:hyperlink>
      <w:r w:rsidR="008029BC">
        <w:t>’,</w:t>
      </w:r>
      <w:r w:rsidRPr="000164C0">
        <w:t xml:space="preserve"> </w:t>
      </w:r>
      <w:r w:rsidRPr="000164C0">
        <w:rPr>
          <w:i/>
          <w:iCs/>
        </w:rPr>
        <w:t>Annales Zoologici Fennici</w:t>
      </w:r>
      <w:r w:rsidRPr="000164C0">
        <w:t>, 32</w:t>
      </w:r>
      <w:r w:rsidR="00E84A77">
        <w:t>:</w:t>
      </w:r>
      <w:r w:rsidRPr="000164C0">
        <w:t>317</w:t>
      </w:r>
      <w:r w:rsidR="00E84A77">
        <w:t>–</w:t>
      </w:r>
      <w:r w:rsidRPr="000164C0">
        <w:t>329.</w:t>
      </w:r>
    </w:p>
    <w:p w14:paraId="75FE1DCD" w14:textId="77777777" w:rsidR="0005256D" w:rsidRDefault="0005256D" w:rsidP="0005256D">
      <w:r w:rsidRPr="00264744">
        <w:t>Warne MS</w:t>
      </w:r>
      <w:r>
        <w:t xml:space="preserve">tJ, </w:t>
      </w:r>
      <w:r w:rsidRPr="00264744">
        <w:t>Batley GE</w:t>
      </w:r>
      <w:r>
        <w:t xml:space="preserve">, </w:t>
      </w:r>
      <w:r w:rsidRPr="00264744">
        <w:t>van Dam RA</w:t>
      </w:r>
      <w:r>
        <w:t xml:space="preserve">, </w:t>
      </w:r>
      <w:r w:rsidRPr="00264744">
        <w:t>Chapman JC</w:t>
      </w:r>
      <w:r>
        <w:t xml:space="preserve">, </w:t>
      </w:r>
      <w:r w:rsidRPr="00264744">
        <w:t>Fox DR</w:t>
      </w:r>
      <w:r>
        <w:t xml:space="preserve">, </w:t>
      </w:r>
      <w:r w:rsidRPr="00264744">
        <w:t>Hickey CW</w:t>
      </w:r>
      <w:r>
        <w:t xml:space="preserve"> and </w:t>
      </w:r>
      <w:r w:rsidRPr="00264744">
        <w:t xml:space="preserve">Stauber JL (2018) </w:t>
      </w:r>
      <w:hyperlink r:id="rId90" w:history="1">
        <w:r w:rsidRPr="00582E47">
          <w:rPr>
            <w:rStyle w:val="Hyperlink"/>
            <w:i/>
            <w:iCs/>
          </w:rPr>
          <w:t>Revised method for deriving Australian and New Zealand water quality guideline values for toxicants</w:t>
        </w:r>
      </w:hyperlink>
      <w:r>
        <w:t>, report p</w:t>
      </w:r>
      <w:r w:rsidRPr="00264744">
        <w:t>repared for the Australian and New Zealand Guidelines for Fresh and Marine Water Quality</w:t>
      </w:r>
      <w:r>
        <w:t>,</w:t>
      </w:r>
      <w:r w:rsidRPr="00264744">
        <w:t xml:space="preserve"> Australian and New Zealand </w:t>
      </w:r>
      <w:r>
        <w:t>g</w:t>
      </w:r>
      <w:r w:rsidRPr="00264744">
        <w:t>overnments and Australian state and territory governments.</w:t>
      </w:r>
    </w:p>
    <w:p w14:paraId="0FE1587F" w14:textId="4562E0EB" w:rsidR="001C0D1C" w:rsidRDefault="009B2BC4" w:rsidP="00606A7B">
      <w:r w:rsidRPr="00A40001">
        <w:t xml:space="preserve">Warne MStJ, Batley GE, van Dam RA, Chapman JC, Fox DR, Hickey CW </w:t>
      </w:r>
      <w:r w:rsidR="00E44304">
        <w:t>and</w:t>
      </w:r>
      <w:r>
        <w:t xml:space="preserve"> Stauber </w:t>
      </w:r>
      <w:r w:rsidRPr="009B2BC4">
        <w:t>JL</w:t>
      </w:r>
      <w:r w:rsidR="00606A7B" w:rsidRPr="00E00D37">
        <w:t xml:space="preserve"> </w:t>
      </w:r>
      <w:r w:rsidR="00FB57A2">
        <w:t>(</w:t>
      </w:r>
      <w:r w:rsidR="003864A9" w:rsidRPr="00E00D37">
        <w:t>20</w:t>
      </w:r>
      <w:r w:rsidR="003864A9">
        <w:t>24</w:t>
      </w:r>
      <w:r w:rsidR="00FB57A2">
        <w:t>)</w:t>
      </w:r>
      <w:r w:rsidR="00606A7B" w:rsidRPr="00E00D37">
        <w:t xml:space="preserve"> </w:t>
      </w:r>
      <w:r w:rsidR="00606A7B" w:rsidRPr="00515B5D">
        <w:rPr>
          <w:i/>
          <w:iCs/>
        </w:rPr>
        <w:t xml:space="preserve">Revised </w:t>
      </w:r>
      <w:r w:rsidR="00FB57A2">
        <w:rPr>
          <w:i/>
          <w:iCs/>
        </w:rPr>
        <w:t>m</w:t>
      </w:r>
      <w:r w:rsidR="00606A7B" w:rsidRPr="00515B5D">
        <w:rPr>
          <w:i/>
          <w:iCs/>
        </w:rPr>
        <w:t xml:space="preserve">ethod for </w:t>
      </w:r>
      <w:r w:rsidR="00FB57A2">
        <w:rPr>
          <w:i/>
          <w:iCs/>
        </w:rPr>
        <w:t>d</w:t>
      </w:r>
      <w:r w:rsidR="00606A7B" w:rsidRPr="00515B5D">
        <w:rPr>
          <w:i/>
          <w:iCs/>
        </w:rPr>
        <w:t xml:space="preserve">eriving Australian and New Zealand </w:t>
      </w:r>
      <w:r w:rsidR="00FB57A2">
        <w:rPr>
          <w:i/>
          <w:iCs/>
        </w:rPr>
        <w:t>w</w:t>
      </w:r>
      <w:r w:rsidR="00606A7B" w:rsidRPr="00515B5D">
        <w:rPr>
          <w:i/>
          <w:iCs/>
        </w:rPr>
        <w:t xml:space="preserve">ater </w:t>
      </w:r>
      <w:r w:rsidR="00FB57A2">
        <w:rPr>
          <w:i/>
          <w:iCs/>
        </w:rPr>
        <w:t>q</w:t>
      </w:r>
      <w:r w:rsidR="00606A7B" w:rsidRPr="00515B5D">
        <w:rPr>
          <w:i/>
          <w:iCs/>
        </w:rPr>
        <w:t xml:space="preserve">uality </w:t>
      </w:r>
      <w:r w:rsidR="00FB57A2">
        <w:rPr>
          <w:i/>
          <w:iCs/>
        </w:rPr>
        <w:t>g</w:t>
      </w:r>
      <w:r w:rsidR="00606A7B" w:rsidRPr="00515B5D">
        <w:rPr>
          <w:i/>
          <w:iCs/>
        </w:rPr>
        <w:t xml:space="preserve">uideline </w:t>
      </w:r>
      <w:r w:rsidR="00FB57A2">
        <w:rPr>
          <w:i/>
          <w:iCs/>
        </w:rPr>
        <w:t>v</w:t>
      </w:r>
      <w:r w:rsidR="00606A7B" w:rsidRPr="00515B5D">
        <w:rPr>
          <w:i/>
          <w:iCs/>
        </w:rPr>
        <w:t xml:space="preserve">alues for </w:t>
      </w:r>
      <w:r w:rsidR="00FB57A2">
        <w:rPr>
          <w:i/>
          <w:iCs/>
        </w:rPr>
        <w:t>t</w:t>
      </w:r>
      <w:r w:rsidR="00606A7B" w:rsidRPr="00515B5D">
        <w:rPr>
          <w:i/>
          <w:iCs/>
        </w:rPr>
        <w:t xml:space="preserve">oxicants – update of </w:t>
      </w:r>
      <w:r w:rsidR="003864A9" w:rsidRPr="00515B5D">
        <w:rPr>
          <w:i/>
          <w:iCs/>
        </w:rPr>
        <w:t xml:space="preserve">2018 </w:t>
      </w:r>
      <w:r w:rsidR="00606A7B" w:rsidRPr="00515B5D">
        <w:rPr>
          <w:i/>
          <w:iCs/>
        </w:rPr>
        <w:t>version</w:t>
      </w:r>
      <w:r w:rsidR="00FB57A2">
        <w:t>,</w:t>
      </w:r>
      <w:r w:rsidR="00606A7B">
        <w:t xml:space="preserve"> </w:t>
      </w:r>
      <w:r w:rsidR="00FB57A2">
        <w:t>p</w:t>
      </w:r>
      <w:r w:rsidR="00606A7B">
        <w:t>repared for the revision of the Australian and New Zealand Guidelines for Fresh and Marine Water Quality</w:t>
      </w:r>
      <w:r w:rsidR="000B3B87">
        <w:t>,</w:t>
      </w:r>
      <w:r w:rsidR="00606A7B">
        <w:t xml:space="preserve"> Australian and New Zealand </w:t>
      </w:r>
      <w:r w:rsidR="000B3B87">
        <w:t>g</w:t>
      </w:r>
      <w:r w:rsidR="00606A7B">
        <w:t>overnments and Australian state and territory governments.</w:t>
      </w:r>
    </w:p>
    <w:sectPr w:rsidR="001C0D1C" w:rsidSect="00B33F61">
      <w:headerReference w:type="even" r:id="rId91"/>
      <w:footerReference w:type="even" r:id="rId92"/>
      <w:footerReference w:type="default" r:id="rId93"/>
      <w:headerReference w:type="first" r:id="rId94"/>
      <w:footerReference w:type="first" r:id="rId95"/>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1706" w14:textId="77777777" w:rsidR="00AB735D" w:rsidRDefault="00AB735D">
      <w:pPr>
        <w:spacing w:after="0" w:line="240" w:lineRule="auto"/>
      </w:pPr>
      <w:r>
        <w:separator/>
      </w:r>
    </w:p>
    <w:p w14:paraId="7D49268E" w14:textId="77777777" w:rsidR="00AB735D" w:rsidRDefault="00AB735D"/>
  </w:endnote>
  <w:endnote w:type="continuationSeparator" w:id="0">
    <w:p w14:paraId="454427F6" w14:textId="77777777" w:rsidR="00AB735D" w:rsidRDefault="00AB735D">
      <w:pPr>
        <w:spacing w:after="0" w:line="240" w:lineRule="auto"/>
      </w:pPr>
      <w:r>
        <w:continuationSeparator/>
      </w:r>
    </w:p>
    <w:p w14:paraId="62BDE9FF" w14:textId="77777777" w:rsidR="00AB735D" w:rsidRDefault="00AB735D"/>
  </w:endnote>
  <w:endnote w:type="continuationNotice" w:id="1">
    <w:p w14:paraId="28124E1E" w14:textId="77777777" w:rsidR="00AB735D" w:rsidRDefault="00AB735D">
      <w:pPr>
        <w:pStyle w:val="Footer"/>
        <w:jc w:val="left"/>
      </w:pPr>
    </w:p>
    <w:p w14:paraId="614BA3B9" w14:textId="77777777" w:rsidR="00AB735D" w:rsidRDefault="00AB7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AdvTT181ea94d.I+20">
    <w:altName w:val="Yu Gothic"/>
    <w:panose1 w:val="00000000000000000000"/>
    <w:charset w:val="80"/>
    <w:family w:val="auto"/>
    <w:notTrueType/>
    <w:pitch w:val="default"/>
    <w:sig w:usb0="00000001" w:usb1="08070000" w:usb2="00000010" w:usb3="00000000" w:csb0="00020000" w:csb1="00000000"/>
  </w:font>
  <w:font w:name="AdvTTad02f5c0+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7F3B" w14:textId="319E52E9" w:rsidR="00AD562A" w:rsidRDefault="00872E9B" w:rsidP="00011E1A">
    <w:pPr>
      <w:pStyle w:val="Footer"/>
      <w:framePr w:wrap="none" w:vAnchor="text" w:hAnchor="margin" w:xAlign="right" w:y="1"/>
      <w:rPr>
        <w:rStyle w:val="PageNumber"/>
      </w:rPr>
    </w:pPr>
    <w:r>
      <w:rPr>
        <w:noProof/>
      </w:rPr>
      <mc:AlternateContent>
        <mc:Choice Requires="wps">
          <w:drawing>
            <wp:anchor distT="0" distB="0" distL="0" distR="0" simplePos="0" relativeHeight="251658260" behindDoc="0" locked="0" layoutInCell="1" allowOverlap="1" wp14:anchorId="21DF7B75" wp14:editId="30873A67">
              <wp:simplePos x="635" y="635"/>
              <wp:positionH relativeFrom="page">
                <wp:align>center</wp:align>
              </wp:positionH>
              <wp:positionV relativeFrom="page">
                <wp:align>bottom</wp:align>
              </wp:positionV>
              <wp:extent cx="551815" cy="404495"/>
              <wp:effectExtent l="0" t="0" r="635" b="0"/>
              <wp:wrapNone/>
              <wp:docPr id="20899476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B3118C"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F7B75" id="_x0000_t202" coordsize="21600,21600" o:spt="202" path="m,l,21600r21600,l21600,xe">
              <v:stroke joinstyle="miter"/>
              <v:path gradientshapeok="t" o:connecttype="rect"/>
            </v:shapetype>
            <v:shape id="Text Box 17" o:spid="_x0000_s1027" type="#_x0000_t202" alt="OFFICIAL" style="position:absolute;left:0;text-align:left;margin-left:0;margin-top:0;width:43.45pt;height:31.8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75B3118C"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p>
  <w:sdt>
    <w:sdtPr>
      <w:rPr>
        <w:rStyle w:val="PageNumber"/>
      </w:rPr>
      <w:id w:val="-114524834"/>
      <w:docPartObj>
        <w:docPartGallery w:val="Page Numbers (Bottom of Page)"/>
        <w:docPartUnique/>
      </w:docPartObj>
    </w:sdtPr>
    <w:sdtContent>
      <w:p w14:paraId="7330B76F" w14:textId="77777777" w:rsidR="00AD562A" w:rsidRDefault="00AD562A" w:rsidP="00011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55B7E" w14:textId="77777777" w:rsidR="00AD562A" w:rsidRDefault="00AD562A" w:rsidP="00AD562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5E2D" w14:textId="7187C18D" w:rsidR="00872E9B" w:rsidRDefault="00872E9B">
    <w:pPr>
      <w:pStyle w:val="Footer"/>
    </w:pPr>
    <w:r>
      <w:rPr>
        <w:noProof/>
      </w:rPr>
      <mc:AlternateContent>
        <mc:Choice Requires="wps">
          <w:drawing>
            <wp:anchor distT="0" distB="0" distL="0" distR="0" simplePos="0" relativeHeight="251658274" behindDoc="0" locked="0" layoutInCell="1" allowOverlap="1" wp14:anchorId="0019234E" wp14:editId="6B5C3CCD">
              <wp:simplePos x="635" y="635"/>
              <wp:positionH relativeFrom="page">
                <wp:align>center</wp:align>
              </wp:positionH>
              <wp:positionV relativeFrom="page">
                <wp:align>bottom</wp:align>
              </wp:positionV>
              <wp:extent cx="551815" cy="404495"/>
              <wp:effectExtent l="0" t="0" r="635" b="0"/>
              <wp:wrapNone/>
              <wp:docPr id="574394815"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CD8C06"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19234E" id="_x0000_t202" coordsize="21600,21600" o:spt="202" path="m,l,21600r21600,l21600,xe">
              <v:stroke joinstyle="miter"/>
              <v:path gradientshapeok="t" o:connecttype="rect"/>
            </v:shapetype>
            <v:shape id="Text Box 26" o:spid="_x0000_s1039" type="#_x0000_t202" alt="OFFICIAL" style="position:absolute;left:0;text-align:left;margin-left:0;margin-top:0;width:43.45pt;height:31.85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AXDwIAAB0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bG7r+O7W+hPuJUDoaFe8tXLdZeMx+emMMN4yCo&#10;2vCIh1TQVRROFiUNuN8f+WM+Eo9RSjpUTEUNSpoS9dPgQqK4RsONxjYZxU0+yzFu9voOUIcFPgnL&#10;k4leF9RoSgf6BfW8jIUwxAzHchXdjuZdGKSL74GL5TIloY4sC2uzsTxCR74imc/9C3P2xHjAVT3A&#10;KCdWviF+yI03vV3uA9KfthK5HYg8UY4aTHs9vZco8tf/Kevyqhd/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ELAUBcPAgAA&#10;HQQAAA4AAAAAAAAAAAAAAAAALgIAAGRycy9lMm9Eb2MueG1sUEsBAi0AFAAGAAgAAAAhAB9Vog3b&#10;AAAAAwEAAA8AAAAAAAAAAAAAAAAAaQQAAGRycy9kb3ducmV2LnhtbFBLBQYAAAAABAAEAPMAAABx&#10;BQAAAAA=&#10;" filled="f" stroked="f">
              <v:textbox style="mso-fit-shape-to-text:t" inset="0,0,0,15pt">
                <w:txbxContent>
                  <w:p w14:paraId="44CD8C06"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4E4A" w14:textId="3315565A" w:rsidR="00846C26" w:rsidRDefault="00872E9B" w:rsidP="00515B5D">
    <w:pPr>
      <w:pStyle w:val="Footer"/>
      <w:tabs>
        <w:tab w:val="clear" w:pos="4536"/>
        <w:tab w:val="right" w:pos="13892"/>
      </w:tabs>
      <w:ind w:right="360"/>
      <w:jc w:val="left"/>
    </w:pPr>
    <w:r>
      <w:rPr>
        <w:noProof/>
      </w:rPr>
      <mc:AlternateContent>
        <mc:Choice Requires="wps">
          <w:drawing>
            <wp:anchor distT="0" distB="0" distL="0" distR="0" simplePos="0" relativeHeight="251658265" behindDoc="0" locked="0" layoutInCell="1" allowOverlap="1" wp14:anchorId="0B69EE47" wp14:editId="549E7B22">
              <wp:simplePos x="635" y="635"/>
              <wp:positionH relativeFrom="page">
                <wp:align>center</wp:align>
              </wp:positionH>
              <wp:positionV relativeFrom="page">
                <wp:align>bottom</wp:align>
              </wp:positionV>
              <wp:extent cx="551815" cy="404495"/>
              <wp:effectExtent l="0" t="0" r="6985" b="1905"/>
              <wp:wrapNone/>
              <wp:docPr id="1572848771"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E6B6FA"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anchor>
          </w:drawing>
        </mc:Choice>
        <mc:Fallback>
          <w:pict>
            <v:shapetype w14:anchorId="0B69EE47" id="_x0000_t202" coordsize="21600,21600" o:spt="202" path="m,l,21600r21600,l21600,xe">
              <v:stroke joinstyle="miter"/>
              <v:path gradientshapeok="t" o:connecttype="rect"/>
            </v:shapetype>
            <v:shape id="Text Box 27" o:spid="_x0000_s1040" type="#_x0000_t202" alt="OFFICIAL" style="position:absolute;margin-left:0;margin-top:0;width:43.45pt;height:31.8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kaCQIAABgEAAAOAAAAZHJzL2Uyb0RvYy54bWysU8Fu2zAMvQ/YPwi6L3aKZOiMOEXWIsOA&#10;oC2QDj0rshQbkEWBUmJnXz9KjpOu22nYRaZJ6pF8fFrc9a1hR4W+AVvy6STnTFkJVWP3Jf/xsv50&#10;y5kPwlbCgFUlPynP75YfPyw6V6gbqMFUChmBWF90ruR1CK7IMi9r1Qo/AacsBTVgKwL94j6rUHSE&#10;3prsJs8/Zx1g5RCk8p68D0OQLxO+1kqGJ629CsyUnHoL6cR07uKZLRei2KNwdSPPbYh/6KIVjaWi&#10;F6gHEQQ7YPMHVNtIBA86TCS0GWjdSJVmoGmm+btptrVwKs1C5Hh3ocn/P1j5eNy6Z2Sh/wo9LTAS&#10;0jlfeHLGeXqNbfxSp4ziROHpQpvqA5PknM+nt9M5Z5JCs3w2+zKPKNn1skMfviloWTRKjrSVRJY4&#10;bnwYUseUWMvCujEmbcbY3xyEGT3ZtcNohX7Xs6ai7mdj+zuoTjQVwrBw7+S6odob4cOzQNowDUKq&#10;DU90aANdyeFscVYD/vybP+YT8RTlrCPFlNySpDkz3y0tJIprNHA0dqNhD+09kASn9BqcTCZdwGBG&#10;UyO0ryTlVaxBIWElVSr5bjTvw6BaegpSrVYpiSTkRNjYrZMROlIVeXzpXwW6M9mBtvQIo5JE8Y7z&#10;ITfe9G51CMR8WkikdeDwzDbJL630/FSivt/+p6zrg17+AgAA//8DAFBLAwQUAAYACAAAACEAXQDQ&#10;2NkAAAADAQAADwAAAGRycy9kb3ducmV2LnhtbEyPQUvDQBCF70L/wzIFb3ZjhRhjJqVUvAqNBfG2&#10;zY5JaHZ2yW6a5N+7etHLwOM93vum2M2mF1cafGcZ4X6TgCCure64QTi9v95lIHxQrFVvmRAW8rAr&#10;VzeFyrWd+EjXKjQilrDPFUIbgsul9HVLRvmNdcTR+7KDUSHKoZF6UFMsN73cJkkqjeo4LrTK0aGl&#10;+lKNBuHzqLfZxVn+eEuXFzdPFY3Lgni7nvfPIALN4S8MP/gRHcrIdLYjay96hPhI+L3Ry9InEGeE&#10;9OERZFnI/+zlNwAAAP//AwBQSwECLQAUAAYACAAAACEAtoM4kv4AAADhAQAAEwAAAAAAAAAAAAAA&#10;AAAAAAAAW0NvbnRlbnRfVHlwZXNdLnhtbFBLAQItABQABgAIAAAAIQA4/SH/1gAAAJQBAAALAAAA&#10;AAAAAAAAAAAAAC8BAABfcmVscy8ucmVsc1BLAQItABQABgAIAAAAIQCpBHkaCQIAABgEAAAOAAAA&#10;AAAAAAAAAAAAAC4CAABkcnMvZTJvRG9jLnhtbFBLAQItABQABgAIAAAAIQBdANDY2QAAAAMBAAAP&#10;AAAAAAAAAAAAAAAAAGMEAABkcnMvZG93bnJldi54bWxQSwUGAAAAAAQABADzAAAAaQUAAAAA&#10;" filled="f" stroked="f">
              <v:textbox style="mso-fit-shape-to-text:t" inset="0,0,0,0">
                <w:txbxContent>
                  <w:p w14:paraId="6CE6B6FA"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sdt>
      <w:sdtPr>
        <w:id w:val="132219732"/>
        <w:docPartObj>
          <w:docPartGallery w:val="Page Numbers (Bottom of Page)"/>
          <w:docPartUnique/>
        </w:docPartObj>
      </w:sdtPr>
      <w:sdtEndPr>
        <w:rPr>
          <w:noProof/>
        </w:rPr>
      </w:sdtEndPr>
      <w:sdtContent>
        <w:r w:rsidR="00846C26">
          <w:t>Australian and New Zealand Guidelines for Fresh and Marine Water Quality</w:t>
        </w:r>
      </w:sdtContent>
    </w:sdt>
    <w:r w:rsidR="00846C26">
      <w:rPr>
        <w:noProof/>
      </w:rPr>
      <w:tab/>
    </w:r>
    <w:r w:rsidR="00846C26">
      <w:rPr>
        <w:noProof/>
      </w:rPr>
      <w:fldChar w:fldCharType="begin"/>
    </w:r>
    <w:r w:rsidR="00846C26">
      <w:rPr>
        <w:noProof/>
      </w:rPr>
      <w:instrText xml:space="preserve"> PAGE  \* MERGEFORMAT </w:instrText>
    </w:r>
    <w:r w:rsidR="00846C26">
      <w:rPr>
        <w:noProof/>
      </w:rPr>
      <w:fldChar w:fldCharType="separate"/>
    </w:r>
    <w:r w:rsidR="00846C26">
      <w:rPr>
        <w:noProof/>
      </w:rPr>
      <w:t>iii</w:t>
    </w:r>
    <w:r w:rsidR="00846C26">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6D73" w14:textId="24CFCCED" w:rsidR="00872E9B" w:rsidRDefault="00872E9B">
    <w:pPr>
      <w:pStyle w:val="Footer"/>
    </w:pPr>
    <w:r>
      <w:rPr>
        <w:noProof/>
      </w:rPr>
      <mc:AlternateContent>
        <mc:Choice Requires="wps">
          <w:drawing>
            <wp:anchor distT="0" distB="0" distL="0" distR="0" simplePos="0" relativeHeight="251658275" behindDoc="0" locked="0" layoutInCell="1" allowOverlap="1" wp14:anchorId="52F55C0A" wp14:editId="14671FB2">
              <wp:simplePos x="635" y="635"/>
              <wp:positionH relativeFrom="page">
                <wp:align>center</wp:align>
              </wp:positionH>
              <wp:positionV relativeFrom="page">
                <wp:align>bottom</wp:align>
              </wp:positionV>
              <wp:extent cx="551815" cy="404495"/>
              <wp:effectExtent l="0" t="0" r="635" b="0"/>
              <wp:wrapNone/>
              <wp:docPr id="166468634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4FE64E"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55C0A" id="_x0000_t202" coordsize="21600,21600" o:spt="202" path="m,l,21600r21600,l21600,xe">
              <v:stroke joinstyle="miter"/>
              <v:path gradientshapeok="t" o:connecttype="rect"/>
            </v:shapetype>
            <v:shape id="Text Box 25" o:spid="_x0000_s1043" type="#_x0000_t202" alt="OFFICIAL" style="position:absolute;left:0;text-align:left;margin-left:0;margin-top:0;width:43.45pt;height:31.85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rhDwIAAB0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bG7r+N7W+hPuJUDoaFe8tXLdZeMx+emMMN4yCo&#10;2vCIh1TQVRROFiUNuN8f+WM+Eo9RSjpUTEUNSpoS9dPgQqK4RsONxjYZxU0+yzFu9voOUIcFPgnL&#10;k4leF9RoSgf6BfW8jIUwxAzHchXdjuZdGKSL74GL5TIloY4sC2uzsTxCR74imc/9C3P2xHjAVT3A&#10;KCdWviF+yI03vV3uA9KfthK5HYg8UY4aTHs9vZco8tf/Kevyqhd/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PY9muEPAgAA&#10;HQQAAA4AAAAAAAAAAAAAAAAALgIAAGRycy9lMm9Eb2MueG1sUEsBAi0AFAAGAAgAAAAhAB9Vog3b&#10;AAAAAwEAAA8AAAAAAAAAAAAAAAAAaQQAAGRycy9kb3ducmV2LnhtbFBLBQYAAAAABAAEAPMAAABx&#10;BQAAAAA=&#10;" filled="f" stroked="f">
              <v:textbox style="mso-fit-shape-to-text:t" inset="0,0,0,15pt">
                <w:txbxContent>
                  <w:p w14:paraId="034FE64E"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A229" w14:textId="49F8A200" w:rsidR="000F108C" w:rsidRDefault="000F108C" w:rsidP="00515B5D">
    <w:pPr>
      <w:pStyle w:val="Footer"/>
      <w:tabs>
        <w:tab w:val="clear" w:pos="4536"/>
        <w:tab w:val="right" w:pos="13892"/>
      </w:tabs>
      <w:ind w:right="360"/>
      <w:jc w:val="left"/>
    </w:pPr>
    <w:r>
      <w:rPr>
        <w:noProof/>
      </w:rPr>
      <mc:AlternateContent>
        <mc:Choice Requires="wps">
          <w:drawing>
            <wp:anchor distT="0" distB="0" distL="0" distR="0" simplePos="0" relativeHeight="251683880" behindDoc="0" locked="0" layoutInCell="1" allowOverlap="1" wp14:anchorId="2F72756D" wp14:editId="626BB9FB">
              <wp:simplePos x="0" y="0"/>
              <wp:positionH relativeFrom="page">
                <wp:posOffset>3505200</wp:posOffset>
              </wp:positionH>
              <wp:positionV relativeFrom="page">
                <wp:posOffset>10401300</wp:posOffset>
              </wp:positionV>
              <wp:extent cx="550800" cy="187200"/>
              <wp:effectExtent l="0" t="0" r="6985" b="4445"/>
              <wp:wrapNone/>
              <wp:docPr id="63238554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0800" cy="187200"/>
                      </a:xfrm>
                      <a:prstGeom prst="rect">
                        <a:avLst/>
                      </a:prstGeom>
                      <a:noFill/>
                      <a:ln>
                        <a:noFill/>
                      </a:ln>
                    </wps:spPr>
                    <wps:txbx>
                      <w:txbxContent>
                        <w:p w14:paraId="4E6BAD0B" w14:textId="77777777" w:rsidR="000F108C" w:rsidRPr="00E3798A" w:rsidRDefault="000F108C" w:rsidP="00E92014">
                          <w:pPr>
                            <w:spacing w:after="0" w:line="240" w:lineRule="auto"/>
                            <w:rPr>
                              <w:rFonts w:ascii="Calibri" w:eastAsia="Calibri" w:hAnsi="Calibri" w:cs="Calibri"/>
                              <w:noProof/>
                              <w:color w:val="FF0000"/>
                              <w:sz w:val="24"/>
                              <w:szCs w:val="24"/>
                            </w:rPr>
                          </w:pPr>
                          <w:r w:rsidRPr="00E3798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72756D" id="_x0000_t202" coordsize="21600,21600" o:spt="202" path="m,l,21600r21600,l21600,xe">
              <v:stroke joinstyle="miter"/>
              <v:path gradientshapeok="t" o:connecttype="rect"/>
            </v:shapetype>
            <v:shape id="Text Box 30" o:spid="_x0000_s1044" type="#_x0000_t202" alt="OFFICIAL" style="position:absolute;margin-left:276pt;margin-top:819pt;width:43.35pt;height:14.75pt;z-index:2516838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b2BgIAABgEAAAOAAAAZHJzL2Uyb0RvYy54bWysU99r2zAQfh/sfxB6X+wUugUTp2QtGYPQ&#10;FtLRZ0WWY4OkEycldvbX7yTbSdftaexFPt+d7sf3fVre9Uazk0Lfgi35fJZzpqyEqrWHkv942Xxa&#10;cOaDsJXQYFXJz8rzu9XHD8vOFeoGGtCVQkZFrC86V/ImBFdkmZeNMsLPwClLwRrQiEC/eMgqFB1V&#10;Nzq7yfPPWQdYOQSpvCfvwxDkq1S/rpUMT3XtVWC65DRbSCemcx/PbLUUxQGFa1o5jiH+YQojWktN&#10;L6UeRBDsiO0fpUwrETzUYSbBZFDXrVRpB9pmnr/bZtcIp9IuBI53F5j8/ysrH08794ws9F+hJwIj&#10;IJ3zhSdn3Kev0cQvTcooThCeL7CpPjBJztvbfJFTRFJovvhCtMQq2fWyQx++KTAsGiVHYiWBJU5b&#10;H4bUKSX2srBptU7MaPubg2pGT3adMFqh3/esrWLzafw9VGfaCmEg3Du5aan3VvjwLJAYpnFJteGJ&#10;jlpDV3IYLc4awJ9/88d8Ap6inHWkmJJbkjRn+rslQqK4JgMnYz8Z9mjugSQ4p9fgZDLpAgY9mTWC&#10;eSUpr2MPCgkrqVPJ95N5HwbV0lOQar1OSSQhJ8LW7pyMpSNUEceX/lWgG8EOxNIjTEoSxTvMh9x4&#10;07v1MRDyiZAI64DhiDbJL1E6PpWo77f/Kev6oFe/AAAA//8DAFBLAwQUAAYACAAAACEAkBsQG90A&#10;AAANAQAADwAAAGRycy9kb3ducmV2LnhtbExPwWqDQBS8F/oPywv01qyxaMS6htLSayE2UHrbuK8q&#10;cd+Ku0b9+76c2tvMm2HeTHFYbC+uOPrOkYLdNgKBVDvTUaPg9Pn+mIHwQZPRvSNUsKKHQ3l/V+jc&#10;uJmOeK1CIziEfK4VtCEMuZS+btFqv3UDEms/brQ6MB0baUY9c7jtZRxFqbS6I/7Q6gFfW6wv1WQV&#10;fB9NnF0GR18f6fo2LHOF07oq9bBZXp5BBFzCnxlu9bk6lNzp7CYyXvQKkiTmLYGF9CljxBYGexDn&#10;2yndJyDLQv5fUf4CAAD//wMAUEsBAi0AFAAGAAgAAAAhALaDOJL+AAAA4QEAABMAAAAAAAAAAAAA&#10;AAAAAAAAAFtDb250ZW50X1R5cGVzXS54bWxQSwECLQAUAAYACAAAACEAOP0h/9YAAACUAQAACwAA&#10;AAAAAAAAAAAAAAAvAQAAX3JlbHMvLnJlbHNQSwECLQAUAAYACAAAACEAhBD29gYCAAAYBAAADgAA&#10;AAAAAAAAAAAAAAAuAgAAZHJzL2Uyb0RvYy54bWxQSwECLQAUAAYACAAAACEAkBsQG90AAAANAQAA&#10;DwAAAAAAAAAAAAAAAABgBAAAZHJzL2Rvd25yZXYueG1sUEsFBgAAAAAEAAQA8wAAAGoFAAAAAA==&#10;" filled="f" stroked="f">
              <v:textbox style="mso-fit-shape-to-text:t" inset="0,0,0,0">
                <w:txbxContent>
                  <w:p w14:paraId="4E6BAD0B" w14:textId="77777777" w:rsidR="000F108C" w:rsidRPr="00E3798A" w:rsidRDefault="000F108C" w:rsidP="00E92014">
                    <w:pPr>
                      <w:spacing w:after="0" w:line="240" w:lineRule="auto"/>
                      <w:rPr>
                        <w:rFonts w:ascii="Calibri" w:eastAsia="Calibri" w:hAnsi="Calibri" w:cs="Calibri"/>
                        <w:noProof/>
                        <w:color w:val="FF0000"/>
                        <w:sz w:val="24"/>
                        <w:szCs w:val="24"/>
                      </w:rPr>
                    </w:pPr>
                    <w:r w:rsidRPr="00E3798A">
                      <w:rPr>
                        <w:rFonts w:ascii="Calibri" w:eastAsia="Calibri" w:hAnsi="Calibri" w:cs="Calibri"/>
                        <w:noProof/>
                        <w:color w:val="FF0000"/>
                        <w:sz w:val="24"/>
                        <w:szCs w:val="24"/>
                      </w:rPr>
                      <w:t>OFFICIAL</w:t>
                    </w:r>
                  </w:p>
                </w:txbxContent>
              </v:textbox>
              <w10:wrap anchorx="page" anchory="page"/>
            </v:shape>
          </w:pict>
        </mc:Fallback>
      </mc:AlternateContent>
    </w:r>
    <w:sdt>
      <w:sdtPr>
        <w:id w:val="1346673066"/>
        <w:docPartObj>
          <w:docPartGallery w:val="Page Numbers (Bottom of Page)"/>
          <w:docPartUnique/>
        </w:docPartObj>
      </w:sdtPr>
      <w:sdtEndPr>
        <w:rPr>
          <w:noProof/>
        </w:rPr>
      </w:sdtEndPr>
      <w:sdtContent>
        <w:r>
          <w:t>Australian and New Zealand Guidelines for Fresh and Marine Water Quality</w:t>
        </w:r>
      </w:sdtContent>
    </w:sdt>
    <w:r>
      <w:rPr>
        <w:noProof/>
      </w:rPr>
      <w:tab/>
    </w:r>
    <w:r>
      <w:rPr>
        <w:noProof/>
      </w:rPr>
      <w:fldChar w:fldCharType="begin"/>
    </w:r>
    <w:r>
      <w:rPr>
        <w:noProof/>
      </w:rPr>
      <w:instrText xml:space="preserve"> PAGE  \* MERGEFORMAT </w:instrText>
    </w:r>
    <w:r>
      <w:rPr>
        <w:noProof/>
      </w:rPr>
      <w:fldChar w:fldCharType="separate"/>
    </w:r>
    <w:r>
      <w:rPr>
        <w:noProof/>
      </w:rPr>
      <w:t>iii</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1BAD" w14:textId="6D0C8885" w:rsidR="00872E9B" w:rsidRDefault="00872E9B">
    <w:pPr>
      <w:pStyle w:val="Footer"/>
    </w:pPr>
    <w:r>
      <w:rPr>
        <w:noProof/>
      </w:rPr>
      <mc:AlternateContent>
        <mc:Choice Requires="wps">
          <w:drawing>
            <wp:anchor distT="0" distB="0" distL="0" distR="0" simplePos="0" relativeHeight="251658278" behindDoc="0" locked="0" layoutInCell="1" allowOverlap="1" wp14:anchorId="14DE4789" wp14:editId="4AA7D42A">
              <wp:simplePos x="635" y="635"/>
              <wp:positionH relativeFrom="page">
                <wp:align>center</wp:align>
              </wp:positionH>
              <wp:positionV relativeFrom="page">
                <wp:align>bottom</wp:align>
              </wp:positionV>
              <wp:extent cx="551815" cy="404495"/>
              <wp:effectExtent l="0" t="0" r="635" b="0"/>
              <wp:wrapNone/>
              <wp:docPr id="1949712687"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639589" w14:textId="7F6C82AE"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E4789" id="_x0000_t202" coordsize="21600,21600" o:spt="202" path="m,l,21600r21600,l21600,xe">
              <v:stroke joinstyle="miter"/>
              <v:path gradientshapeok="t" o:connecttype="rect"/>
            </v:shapetype>
            <v:shape id="Text Box 29" o:spid="_x0000_s1046" type="#_x0000_t202" alt="OFFICIAL" style="position:absolute;left:0;text-align:left;margin-left:0;margin-top:0;width:43.45pt;height:31.85pt;z-index:2516582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QEDgIAAB0EAAAOAAAAZHJzL2Uyb0RvYy54bWysU01v2zAMvQ/YfxB0X2wHydAacYqsRYYB&#10;RVsgHXpWZCk2YIkCpcTOfv0oJU62bqdhF5kmKX6897S4G0zHDgp9C7bixSTnTFkJdWt3Ff/+uv50&#10;w5kPwtaiA6sqflSe3y0/flj0rlRTaKCrFTIqYn3Zu4o3Ibgyy7xslBF+Ak5ZCmpAIwL94i6rUfRU&#10;3XTZNM8/Zz1g7RCk8p68D6cgX6b6WisZnrX2KrCu4jRbSCemcxvPbLkQ5Q6Fa1p5HkP8wxRGtJaa&#10;Xko9iCDYHts/SplWInjQYSLBZKB1K1XagbYp8nfbbBrhVNqFwPHuApP/f2Xl02HjXpCF4QsMRGAE&#10;pHe+9OSM+wwaTfzSpIziBOHxApsaApPknM+Lm2LOmaTQLJ/NbuexSna97NCHrwoMi0bFkVhJYInD&#10;ow+n1DEl9rKwbrsuMdPZ3xxUM3qy64TRCsN2YG1d8WniM7q2UB9pK4QT4d7JdUu9H4UPLwKJYVqE&#10;VBue6dAd9BWHs8VZA/jjb/6YT8BTlLOeFFNxS5LmrPtmiZAortHA0dgmo7jN5znF7d7cA+mwoCfh&#10;ZDLJi6EbTY1g3kjPq9iIQsJKalfx7Wjeh5N06T1ItVqlJNKRE+HRbpyMpSNeEczX4U2gOyMeiKon&#10;GOUkynfAn3LjTe9W+0DwJ1auQJ4hJw0mXs/vJYr81/+UdX3Vy5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G/DEBA4CAAAd&#10;BAAADgAAAAAAAAAAAAAAAAAuAgAAZHJzL2Uyb0RvYy54bWxQSwECLQAUAAYACAAAACEAH1WiDdsA&#10;AAADAQAADwAAAAAAAAAAAAAAAABoBAAAZHJzL2Rvd25yZXYueG1sUEsFBgAAAAAEAAQA8wAAAHAF&#10;AAAAAA==&#10;" filled="f" stroked="f">
              <v:textbox style="mso-fit-shape-to-text:t" inset="0,0,0,15pt">
                <w:txbxContent>
                  <w:p w14:paraId="58639589" w14:textId="7F6C82AE"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4B89" w14:textId="7D829E7B" w:rsidR="00846C26" w:rsidRDefault="00000000" w:rsidP="00515B5D">
    <w:pPr>
      <w:pStyle w:val="Footer"/>
      <w:tabs>
        <w:tab w:val="clear" w:pos="4536"/>
        <w:tab w:val="right" w:pos="8931"/>
        <w:tab w:val="right" w:pos="13892"/>
      </w:tabs>
      <w:ind w:right="360"/>
      <w:jc w:val="left"/>
    </w:pPr>
    <w:sdt>
      <w:sdtPr>
        <w:id w:val="669442322"/>
        <w:docPartObj>
          <w:docPartGallery w:val="Page Numbers (Bottom of Page)"/>
          <w:docPartUnique/>
        </w:docPartObj>
      </w:sdtPr>
      <w:sdtEndPr>
        <w:rPr>
          <w:noProof/>
        </w:rPr>
      </w:sdtEndPr>
      <w:sdtContent>
        <w:r w:rsidR="00846C26">
          <w:t>Australian and New Zealand Guidelines for Fresh and Marine Water Quality</w:t>
        </w:r>
      </w:sdtContent>
    </w:sdt>
    <w:r w:rsidR="00846C26">
      <w:rPr>
        <w:noProof/>
      </w:rPr>
      <w:tab/>
    </w:r>
    <w:r w:rsidR="00846C26">
      <w:rPr>
        <w:noProof/>
      </w:rPr>
      <w:fldChar w:fldCharType="begin"/>
    </w:r>
    <w:r w:rsidR="00846C26">
      <w:rPr>
        <w:noProof/>
      </w:rPr>
      <w:instrText xml:space="preserve"> PAGE  \* MERGEFORMAT </w:instrText>
    </w:r>
    <w:r w:rsidR="00846C26">
      <w:rPr>
        <w:noProof/>
      </w:rPr>
      <w:fldChar w:fldCharType="separate"/>
    </w:r>
    <w:r w:rsidR="00846C26">
      <w:rPr>
        <w:noProof/>
      </w:rPr>
      <w:t>iii</w:t>
    </w:r>
    <w:r w:rsidR="00846C26">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4BBA" w14:textId="03598296" w:rsidR="00872E9B" w:rsidRDefault="00872E9B">
    <w:pPr>
      <w:pStyle w:val="Footer"/>
    </w:pPr>
    <w:r>
      <w:rPr>
        <w:noProof/>
      </w:rPr>
      <mc:AlternateContent>
        <mc:Choice Requires="wps">
          <w:drawing>
            <wp:anchor distT="0" distB="0" distL="0" distR="0" simplePos="0" relativeHeight="251658280" behindDoc="0" locked="0" layoutInCell="1" allowOverlap="1" wp14:anchorId="1BF37396" wp14:editId="1E803B82">
              <wp:simplePos x="635" y="635"/>
              <wp:positionH relativeFrom="page">
                <wp:align>center</wp:align>
              </wp:positionH>
              <wp:positionV relativeFrom="page">
                <wp:align>bottom</wp:align>
              </wp:positionV>
              <wp:extent cx="551815" cy="404495"/>
              <wp:effectExtent l="0" t="0" r="635" b="0"/>
              <wp:wrapNone/>
              <wp:docPr id="2113614716"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C492DF" w14:textId="1F435E5D"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37396" id="_x0000_t202" coordsize="21600,21600" o:spt="202" path="m,l,21600r21600,l21600,xe">
              <v:stroke joinstyle="miter"/>
              <v:path gradientshapeok="t" o:connecttype="rect"/>
            </v:shapetype>
            <v:shape id="Text Box 28" o:spid="_x0000_s1048" type="#_x0000_t202" alt="OFFICIAL" style="position:absolute;left:0;text-align:left;margin-left:0;margin-top:0;width:43.45pt;height:31.85pt;z-index:251658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F/DwIAAB0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U7H9ndQn3AqB8PCveXrFmtvmA8vzOGGcRBU&#10;bXjGQyroKgpni5IG3M9/+WM+Eo9RSjpUTEUNSpoS9d3gQqK4RsONxi4ZxW0+zzFuDvoBUIcFPgnL&#10;k4leF9RoSgf6DfW8ioUwxAzHchXdjeZDGKSL74GL1SoloY4sCxuztTxCR74ima/9G3P2zHjAVT3B&#10;KCdWviN+yI03vV0dAtKfthK5HYg8U44aTHs9v5co8t//U9b1VS9/AQ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MGOoX8PAgAA&#10;HQQAAA4AAAAAAAAAAAAAAAAALgIAAGRycy9lMm9Eb2MueG1sUEsBAi0AFAAGAAgAAAAhAB9Vog3b&#10;AAAAAwEAAA8AAAAAAAAAAAAAAAAAaQQAAGRycy9kb3ducmV2LnhtbFBLBQYAAAAABAAEAPMAAABx&#10;BQAAAAA=&#10;" filled="f" stroked="f">
              <v:textbox style="mso-fit-shape-to-text:t" inset="0,0,0,15pt">
                <w:txbxContent>
                  <w:p w14:paraId="5BC492DF" w14:textId="1F435E5D"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CB46" w14:textId="09D4A6B7" w:rsidR="00EB7C12" w:rsidRDefault="00EB7C12" w:rsidP="0053547C">
    <w:pPr>
      <w:pStyle w:val="Footer"/>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068A" w14:textId="471C69F9" w:rsidR="001D3789" w:rsidRDefault="00872E9B">
    <w:pPr>
      <w:pStyle w:val="Footer"/>
    </w:pPr>
    <w:r>
      <w:rPr>
        <w:noProof/>
      </w:rPr>
      <mc:AlternateContent>
        <mc:Choice Requires="wps">
          <w:drawing>
            <wp:anchor distT="0" distB="0" distL="0" distR="0" simplePos="0" relativeHeight="251658259" behindDoc="0" locked="0" layoutInCell="1" allowOverlap="1" wp14:anchorId="281A4914" wp14:editId="12593188">
              <wp:simplePos x="635" y="635"/>
              <wp:positionH relativeFrom="page">
                <wp:align>center</wp:align>
              </wp:positionH>
              <wp:positionV relativeFrom="page">
                <wp:align>bottom</wp:align>
              </wp:positionV>
              <wp:extent cx="551815" cy="404495"/>
              <wp:effectExtent l="0" t="0" r="635" b="0"/>
              <wp:wrapNone/>
              <wp:docPr id="136710415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44B468B"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1A4914" id="_x0000_t202" coordsize="21600,21600" o:spt="202" path="m,l,21600r21600,l21600,xe">
              <v:stroke joinstyle="miter"/>
              <v:path gradientshapeok="t" o:connecttype="rect"/>
            </v:shapetype>
            <v:shape id="Text Box 16" o:spid="_x0000_s1029" type="#_x0000_t202" alt="OFFICIAL" style="position:absolute;left:0;text-align:left;margin-left:0;margin-top:0;width:43.45pt;height:31.8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44B468B"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DF80" w14:textId="68560D29" w:rsidR="00872E9B" w:rsidRDefault="00872E9B">
    <w:pPr>
      <w:pStyle w:val="Footer"/>
    </w:pPr>
    <w:r>
      <w:rPr>
        <w:noProof/>
      </w:rPr>
      <mc:AlternateContent>
        <mc:Choice Requires="wps">
          <w:drawing>
            <wp:anchor distT="0" distB="0" distL="0" distR="0" simplePos="0" relativeHeight="251658268" behindDoc="0" locked="0" layoutInCell="1" allowOverlap="1" wp14:anchorId="4843BFE7" wp14:editId="5B806EF1">
              <wp:simplePos x="635" y="635"/>
              <wp:positionH relativeFrom="page">
                <wp:align>center</wp:align>
              </wp:positionH>
              <wp:positionV relativeFrom="page">
                <wp:align>bottom</wp:align>
              </wp:positionV>
              <wp:extent cx="551815" cy="404495"/>
              <wp:effectExtent l="0" t="0" r="635" b="0"/>
              <wp:wrapNone/>
              <wp:docPr id="141497509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4E907B"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43BFE7" id="_x0000_t202" coordsize="21600,21600" o:spt="202" path="m,l,21600r21600,l21600,xe">
              <v:stroke joinstyle="miter"/>
              <v:path gradientshapeok="t" o:connecttype="rect"/>
            </v:shapetype>
            <v:shape id="Text Box 20" o:spid="_x0000_s1031" type="#_x0000_t202" alt="OFFICIAL" style="position:absolute;left:0;text-align:left;margin-left:0;margin-top:0;width:43.45pt;height:31.8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E4E907B"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3E06" w14:textId="267916A5" w:rsidR="00F4214F" w:rsidRPr="00684428" w:rsidRDefault="00000000" w:rsidP="00684428">
    <w:pPr>
      <w:pStyle w:val="Footer"/>
      <w:tabs>
        <w:tab w:val="right" w:pos="9049"/>
      </w:tabs>
      <w:ind w:right="360"/>
      <w:jc w:val="left"/>
    </w:pPr>
    <w:sdt>
      <w:sdtPr>
        <w:id w:val="1882749514"/>
        <w:docPartObj>
          <w:docPartGallery w:val="Page Numbers (Bottom of Page)"/>
          <w:docPartUnique/>
        </w:docPartObj>
      </w:sdtPr>
      <w:sdtEndPr>
        <w:rPr>
          <w:noProof/>
        </w:rPr>
      </w:sdtEndPr>
      <w:sdtContent>
        <w:r w:rsidR="00684428">
          <w:t>Australian and New Zealand Guidelines for Fresh and Marine Water Quality</w:t>
        </w:r>
      </w:sdtContent>
    </w:sdt>
    <w:r w:rsidR="00684428">
      <w:rPr>
        <w:noProof/>
      </w:rPr>
      <w:tab/>
    </w:r>
    <w:r w:rsidR="00684428">
      <w:rPr>
        <w:noProof/>
      </w:rPr>
      <w:fldChar w:fldCharType="begin"/>
    </w:r>
    <w:r w:rsidR="00684428">
      <w:rPr>
        <w:noProof/>
      </w:rPr>
      <w:instrText xml:space="preserve"> PAGE  \* MERGEFORMAT </w:instrText>
    </w:r>
    <w:r w:rsidR="00684428">
      <w:rPr>
        <w:noProof/>
      </w:rPr>
      <w:fldChar w:fldCharType="separate"/>
    </w:r>
    <w:r w:rsidR="00684428">
      <w:rPr>
        <w:noProof/>
      </w:rPr>
      <w:t>iii</w:t>
    </w:r>
    <w:r w:rsidR="00684428">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A0E8" w14:textId="08877AED" w:rsidR="00872E9B" w:rsidRDefault="00872E9B">
    <w:pPr>
      <w:pStyle w:val="Footer"/>
    </w:pPr>
    <w:r>
      <w:rPr>
        <w:noProof/>
      </w:rPr>
      <mc:AlternateContent>
        <mc:Choice Requires="wps">
          <w:drawing>
            <wp:anchor distT="0" distB="0" distL="0" distR="0" simplePos="0" relativeHeight="251658270" behindDoc="0" locked="0" layoutInCell="1" allowOverlap="1" wp14:anchorId="50837F88" wp14:editId="24A19153">
              <wp:simplePos x="635" y="635"/>
              <wp:positionH relativeFrom="page">
                <wp:align>center</wp:align>
              </wp:positionH>
              <wp:positionV relativeFrom="page">
                <wp:align>bottom</wp:align>
              </wp:positionV>
              <wp:extent cx="551815" cy="404495"/>
              <wp:effectExtent l="0" t="0" r="635" b="0"/>
              <wp:wrapNone/>
              <wp:docPr id="1279477847"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F3DAA78"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37F88" id="_x0000_t202" coordsize="21600,21600" o:spt="202" path="m,l,21600r21600,l21600,xe">
              <v:stroke joinstyle="miter"/>
              <v:path gradientshapeok="t" o:connecttype="rect"/>
            </v:shapetype>
            <v:shape id="Text Box 19" o:spid="_x0000_s1033" type="#_x0000_t202" alt="OFFICIAL" style="position:absolute;left:0;text-align:left;margin-left:0;margin-top:0;width:43.45pt;height:31.85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77DwIAABw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au6L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BnaLvsPAgAA&#10;HAQAAA4AAAAAAAAAAAAAAAAALgIAAGRycy9lMm9Eb2MueG1sUEsBAi0AFAAGAAgAAAAhAB9Vog3b&#10;AAAAAwEAAA8AAAAAAAAAAAAAAAAAaQQAAGRycy9kb3ducmV2LnhtbFBLBQYAAAAABAAEAPMAAABx&#10;BQAAAAA=&#10;" filled="f" stroked="f">
              <v:textbox style="mso-fit-shape-to-text:t" inset="0,0,0,15pt">
                <w:txbxContent>
                  <w:p w14:paraId="4F3DAA78"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C497" w14:textId="4ADFE725" w:rsidR="00872E9B" w:rsidRDefault="00872E9B">
    <w:pPr>
      <w:pStyle w:val="Footer"/>
    </w:pPr>
    <w:r>
      <w:rPr>
        <w:noProof/>
      </w:rPr>
      <mc:AlternateContent>
        <mc:Choice Requires="wps">
          <w:drawing>
            <wp:anchor distT="0" distB="0" distL="0" distR="0" simplePos="0" relativeHeight="251658272" behindDoc="0" locked="0" layoutInCell="1" allowOverlap="1" wp14:anchorId="0AB3517C" wp14:editId="0B5C0057">
              <wp:simplePos x="635" y="635"/>
              <wp:positionH relativeFrom="page">
                <wp:align>center</wp:align>
              </wp:positionH>
              <wp:positionV relativeFrom="page">
                <wp:align>bottom</wp:align>
              </wp:positionV>
              <wp:extent cx="551815" cy="404495"/>
              <wp:effectExtent l="0" t="0" r="635" b="0"/>
              <wp:wrapNone/>
              <wp:docPr id="36216837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6B17EF"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B3517C" id="_x0000_t202" coordsize="21600,21600" o:spt="202" path="m,l,21600r21600,l21600,xe">
              <v:stroke joinstyle="miter"/>
              <v:path gradientshapeok="t" o:connecttype="rect"/>
            </v:shapetype>
            <v:shape id="Text Box 23" o:spid="_x0000_s1035" type="#_x0000_t202" alt="OFFICIAL" style="position:absolute;left:0;text-align:left;margin-left:0;margin-top:0;width:43.45pt;height:31.85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textbox style="mso-fit-shape-to-text:t" inset="0,0,0,15pt">
                <w:txbxContent>
                  <w:p w14:paraId="4A6B17EF"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5AAD" w14:textId="25172DA9" w:rsidR="004C0221" w:rsidRDefault="00000000" w:rsidP="00515B5D">
    <w:pPr>
      <w:pStyle w:val="Footer"/>
      <w:tabs>
        <w:tab w:val="clear" w:pos="4536"/>
        <w:tab w:val="right" w:pos="13892"/>
      </w:tabs>
      <w:ind w:right="360"/>
      <w:jc w:val="left"/>
    </w:pPr>
    <w:sdt>
      <w:sdtPr>
        <w:id w:val="-1619220784"/>
        <w:docPartObj>
          <w:docPartGallery w:val="Page Numbers (Bottom of Page)"/>
          <w:docPartUnique/>
        </w:docPartObj>
      </w:sdtPr>
      <w:sdtEndPr>
        <w:rPr>
          <w:noProof/>
        </w:rPr>
      </w:sdtEndPr>
      <w:sdtContent>
        <w:r w:rsidR="004C0221">
          <w:t>Australian and New Zealand Guidelines for Fresh and Marine Water Quality</w:t>
        </w:r>
      </w:sdtContent>
    </w:sdt>
    <w:r w:rsidR="004C0221">
      <w:rPr>
        <w:noProof/>
      </w:rPr>
      <w:tab/>
    </w:r>
    <w:r w:rsidR="004C0221">
      <w:rPr>
        <w:noProof/>
      </w:rPr>
      <w:fldChar w:fldCharType="begin"/>
    </w:r>
    <w:r w:rsidR="004C0221">
      <w:rPr>
        <w:noProof/>
      </w:rPr>
      <w:instrText xml:space="preserve"> PAGE  \* MERGEFORMAT </w:instrText>
    </w:r>
    <w:r w:rsidR="004C0221">
      <w:rPr>
        <w:noProof/>
      </w:rPr>
      <w:fldChar w:fldCharType="separate"/>
    </w:r>
    <w:r w:rsidR="004C0221">
      <w:rPr>
        <w:noProof/>
      </w:rPr>
      <w:t>iii</w:t>
    </w:r>
    <w:r w:rsidR="004C0221">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CA95" w14:textId="24384BD7" w:rsidR="002449D1" w:rsidRDefault="00872E9B">
    <w:pPr>
      <w:pStyle w:val="Footer"/>
      <w:tabs>
        <w:tab w:val="clear" w:pos="4536"/>
        <w:tab w:val="left" w:pos="8647"/>
        <w:tab w:val="left" w:pos="14034"/>
      </w:tabs>
      <w:spacing w:before="120"/>
      <w:jc w:val="left"/>
    </w:pPr>
    <w:r>
      <w:rPr>
        <w:noProof/>
      </w:rPr>
      <mc:AlternateContent>
        <mc:Choice Requires="wps">
          <w:drawing>
            <wp:anchor distT="0" distB="0" distL="0" distR="0" simplePos="0" relativeHeight="251658263" behindDoc="0" locked="0" layoutInCell="1" allowOverlap="1" wp14:anchorId="1EC23FB7" wp14:editId="3C300D32">
              <wp:simplePos x="635" y="635"/>
              <wp:positionH relativeFrom="page">
                <wp:align>center</wp:align>
              </wp:positionH>
              <wp:positionV relativeFrom="page">
                <wp:align>bottom</wp:align>
              </wp:positionV>
              <wp:extent cx="551815" cy="404495"/>
              <wp:effectExtent l="0" t="0" r="635" b="0"/>
              <wp:wrapNone/>
              <wp:docPr id="194884173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B354DA7"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23FB7" id="_x0000_t202" coordsize="21600,21600" o:spt="202" path="m,l,21600r21600,l21600,xe">
              <v:stroke joinstyle="miter"/>
              <v:path gradientshapeok="t" o:connecttype="rect"/>
            </v:shapetype>
            <v:shape id="Text Box 22" o:spid="_x0000_s1037" type="#_x0000_t202" alt="OFFICIAL" style="position:absolute;margin-left:0;margin-top:0;width:43.45pt;height:31.8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4B354DA7"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r w:rsidR="002449D1">
      <w:t>Australian and New Zealand Guidelines for Fresh and Marine Water Quality</w:t>
    </w:r>
    <w:r w:rsidR="002449D1">
      <w:tab/>
    </w:r>
    <w:r w:rsidR="002449D1">
      <w:fldChar w:fldCharType="begin"/>
    </w:r>
    <w:r w:rsidR="002449D1">
      <w:instrText xml:space="preserve"> PAGE   \* MERGEFORMAT </w:instrText>
    </w:r>
    <w:r w:rsidR="002449D1">
      <w:fldChar w:fldCharType="separate"/>
    </w:r>
    <w:r w:rsidR="002449D1">
      <w:rPr>
        <w:noProof/>
      </w:rPr>
      <w:t>14</w:t>
    </w:r>
    <w:r w:rsidR="002449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DDC3" w14:textId="77777777" w:rsidR="00AB735D" w:rsidRDefault="00AB735D">
      <w:pPr>
        <w:spacing w:after="0" w:line="240" w:lineRule="auto"/>
      </w:pPr>
      <w:r>
        <w:separator/>
      </w:r>
    </w:p>
    <w:p w14:paraId="1DCA3279" w14:textId="77777777" w:rsidR="00AB735D" w:rsidRDefault="00AB735D"/>
  </w:footnote>
  <w:footnote w:type="continuationSeparator" w:id="0">
    <w:p w14:paraId="00F07EA1" w14:textId="77777777" w:rsidR="00AB735D" w:rsidRDefault="00AB735D">
      <w:pPr>
        <w:spacing w:after="0" w:line="240" w:lineRule="auto"/>
      </w:pPr>
      <w:r>
        <w:continuationSeparator/>
      </w:r>
    </w:p>
    <w:p w14:paraId="2536A68E" w14:textId="77777777" w:rsidR="00AB735D" w:rsidRDefault="00AB735D"/>
  </w:footnote>
  <w:footnote w:type="continuationNotice" w:id="1">
    <w:p w14:paraId="6DDD53F0" w14:textId="77777777" w:rsidR="00AB735D" w:rsidRDefault="00AB735D">
      <w:pPr>
        <w:pStyle w:val="Footer"/>
      </w:pPr>
    </w:p>
    <w:p w14:paraId="5EEA13AC" w14:textId="77777777" w:rsidR="00AB735D" w:rsidRDefault="00AB7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8521" w14:textId="03533336" w:rsidR="002449D1" w:rsidRDefault="00872E9B">
    <w:pPr>
      <w:pStyle w:val="Header"/>
    </w:pPr>
    <w:r>
      <w:rPr>
        <w:noProof/>
      </w:rPr>
      <mc:AlternateContent>
        <mc:Choice Requires="wps">
          <w:drawing>
            <wp:anchor distT="0" distB="0" distL="0" distR="0" simplePos="0" relativeHeight="251658252" behindDoc="0" locked="0" layoutInCell="1" allowOverlap="1" wp14:anchorId="29E04F06" wp14:editId="4E00115D">
              <wp:simplePos x="635" y="635"/>
              <wp:positionH relativeFrom="page">
                <wp:align>center</wp:align>
              </wp:positionH>
              <wp:positionV relativeFrom="page">
                <wp:align>top</wp:align>
              </wp:positionV>
              <wp:extent cx="551815" cy="404495"/>
              <wp:effectExtent l="0" t="0" r="635" b="14605"/>
              <wp:wrapNone/>
              <wp:docPr id="6376598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B3360E" w14:textId="4F2D7A99"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E04F0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DB3360E" w14:textId="4F2D7A99"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614A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29737" o:spid="_x0000_s1033" type="#_x0000_t136" alt="" style="position:absolute;left:0;text-align:left;margin-left:0;margin-top:0;width:577.2pt;height:62.15pt;rotation:315;z-index:-251658237;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Post public comment draft"/>
          <w10:wrap anchorx="margin" anchory="margin"/>
        </v:shape>
      </w:pict>
    </w:r>
  </w:p>
  <w:p w14:paraId="5A016CE5" w14:textId="77777777" w:rsidR="00EB7C12" w:rsidRDefault="00EB7C1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AFAE" w14:textId="754C80B7" w:rsidR="002449D1" w:rsidRDefault="00872E9B">
    <w:pPr>
      <w:pStyle w:val="Header"/>
    </w:pPr>
    <w:r>
      <w:rPr>
        <w:noProof/>
      </w:rPr>
      <mc:AlternateContent>
        <mc:Choice Requires="wps">
          <w:drawing>
            <wp:anchor distT="0" distB="0" distL="0" distR="0" simplePos="0" relativeHeight="251658258" behindDoc="0" locked="0" layoutInCell="1" allowOverlap="1" wp14:anchorId="12F2DA7A" wp14:editId="126448E3">
              <wp:simplePos x="635" y="635"/>
              <wp:positionH relativeFrom="page">
                <wp:align>center</wp:align>
              </wp:positionH>
              <wp:positionV relativeFrom="page">
                <wp:align>top</wp:align>
              </wp:positionV>
              <wp:extent cx="551815" cy="404495"/>
              <wp:effectExtent l="0" t="0" r="635" b="14605"/>
              <wp:wrapNone/>
              <wp:docPr id="1399353425"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B2FA78"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F2DA7A" id="_x0000_t202" coordsize="21600,21600" o:spt="202" path="m,l,21600r21600,l21600,xe">
              <v:stroke joinstyle="miter"/>
              <v:path gradientshapeok="t" o:connecttype="rect"/>
            </v:shapetype>
            <v:shape id="Text Box 11" o:spid="_x0000_s1038" type="#_x0000_t202" alt="OFFICIAL" style="position:absolute;left:0;text-align:left;margin-left:0;margin-top:0;width:43.45pt;height:31.8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OeDgIAAB0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bY/XRsfwf1CadyMCzcW75usfaG+fDCHG4YB0HV&#10;hmc8pIKuonC2KGnA/fyXP+Yj8RilpEPFVNSgpClR3w0uJIorGcVtPs/x5kb3bjTMQT8A6rDAJ2F5&#10;MmNeUKMpHeg31PMqFsIQMxzLVTSM5kMYpIvvgYvVKiWhjiwLG7O1PEJHviKZr/0bc/bMeMBVPcEo&#10;J1a+I37IjX96uzoEpD9tJXI7EHmmHDWY9np+L1Hkv99T1vVVL38B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xuLOeDgIAAB0E&#10;AAAOAAAAAAAAAAAAAAAAAC4CAABkcnMvZTJvRG9jLnhtbFBLAQItABQABgAIAAAAIQD8pn6y2gAA&#10;AAMBAAAPAAAAAAAAAAAAAAAAAGgEAABkcnMvZG93bnJldi54bWxQSwUGAAAAAAQABADzAAAAbwUA&#10;AAAA&#10;" filled="f" stroked="f">
              <v:textbox style="mso-fit-shape-to-text:t" inset="0,15pt,0,0">
                <w:txbxContent>
                  <w:p w14:paraId="6EB2FA78"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r w:rsidR="00000000">
      <w:rPr>
        <w:noProof/>
      </w:rPr>
      <w:pict w14:anchorId="57706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29743" o:spid="_x0000_s1027" type="#_x0000_t136" alt="" style="position:absolute;left:0;text-align:left;margin-left:0;margin-top:0;width:577.2pt;height:62.15pt;rotation:315;z-index:-251658233;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Post public comment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E6E5" w14:textId="6E0CEEAC" w:rsidR="002449D1" w:rsidRDefault="00872E9B" w:rsidP="00F36B1C">
    <w:pPr>
      <w:pStyle w:val="Header"/>
    </w:pPr>
    <w:r>
      <w:rPr>
        <w:noProof/>
      </w:rPr>
      <mc:AlternateContent>
        <mc:Choice Requires="wps">
          <w:drawing>
            <wp:anchor distT="0" distB="0" distL="0" distR="0" simplePos="0" relativeHeight="251658257" behindDoc="0" locked="0" layoutInCell="1" allowOverlap="1" wp14:anchorId="012D3F9D" wp14:editId="3E34C073">
              <wp:simplePos x="635" y="635"/>
              <wp:positionH relativeFrom="page">
                <wp:align>center</wp:align>
              </wp:positionH>
              <wp:positionV relativeFrom="page">
                <wp:align>top</wp:align>
              </wp:positionV>
              <wp:extent cx="551815" cy="404495"/>
              <wp:effectExtent l="0" t="0" r="635" b="14605"/>
              <wp:wrapNone/>
              <wp:docPr id="63596495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25D4A9"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2D3F9D" id="_x0000_t202" coordsize="21600,21600" o:spt="202" path="m,l,21600r21600,l21600,xe">
              <v:stroke joinstyle="miter"/>
              <v:path gradientshapeok="t" o:connecttype="rect"/>
            </v:shapetype>
            <v:shape id="Text Box 10" o:spid="_x0000_s1041" type="#_x0000_t202" alt="OFFICIAL" style="position:absolute;left:0;text-align:left;margin-left:0;margin-top:0;width:43.45pt;height:31.8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4uDAIAAB0EAAAOAAAAZHJzL2Uyb0RvYy54bWysU8Fu2zAMvQ/YPwi6L7aLZGiNOEXWIsOA&#10;oC2QDj0rshQbkEVBYmJnXz9KiZOt22nYRaZI+pF8fJrfD51hB+VDC7bixSTnTFkJdWt3Ff/+uvp0&#10;y1lAYWthwKqKH1Xg94uPH+a9K9UNNGBq5RmB2FD2ruINoiuzLMhGdSJMwClLQQ2+E0hXv8tqL3pC&#10;70x2k+efsx587TxIFQJ5H09Bvkj4WiuJz1oHhcxUnHrDdPp0buOZLeai3Hnhmlae2xD/0EUnWktF&#10;L1CPAgXb+/YPqK6VHgJonEjoMtC6lSrNQNMU+btpNo1wKs1C5AR3oSn8P1j5dNi4F89w+AIDLTAS&#10;0rtQBnLGeQbtu/ilThnFicLjhTY1IJPknM2K22LGmaTQNJ9O72YRJbv+7HzArwo6Fo2Ke9pKIksc&#10;1gFPqWNKrGVh1RqTNmPsbw7CjJ7s2mG0cNgOrK2p+1Q4urZQH2kqD6eFBydXLdVei4AvwtOGaRBS&#10;LT7ToQ30FYezxVkD/sff/DGfiKcoZz0ppuKWJM2Z+WZpIVFcySju8llONz+6t6Nh990DkA4LehJO&#10;JjPmoRlN7aF7Iz0vYyEKCSupXMVxNB/wJF16D1ItlymJdOQEru3GyQgd+Ypkvg5vwrsz40ireoJR&#10;TqJ8R/wpN/4Z3HKPRH/aypXIM+WkwbTX83uJIv/1nrKur3rxEw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soSuLgwCAAAdBAAA&#10;DgAAAAAAAAAAAAAAAAAuAgAAZHJzL2Uyb0RvYy54bWxQSwECLQAUAAYACAAAACEA/KZ+stoAAAAD&#10;AQAADwAAAAAAAAAAAAAAAABmBAAAZHJzL2Rvd25yZXYueG1sUEsFBgAAAAAEAAQA8wAAAG0FAAAA&#10;AA==&#10;" filled="f" stroked="f">
              <v:textbox style="mso-fit-shape-to-text:t" inset="0,15pt,0,0">
                <w:txbxContent>
                  <w:p w14:paraId="1725D4A9"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r w:rsidR="00000000">
      <w:rPr>
        <w:noProof/>
      </w:rPr>
      <w:pict w14:anchorId="2CE53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29742" o:spid="_x0000_s1026" type="#_x0000_t136" alt="" style="position:absolute;left:0;text-align:left;margin-left:0;margin-top:0;width:577.2pt;height:62.15pt;rotation:315;z-index:-251658234;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Post public comment draft"/>
          <w10:wrap anchorx="margin" anchory="margin"/>
        </v:shape>
      </w:pict>
    </w:r>
    <w:r w:rsidR="00D33E7F">
      <w:rPr>
        <w:noProof/>
      </w:rPr>
      <mc:AlternateContent>
        <mc:Choice Requires="wps">
          <w:drawing>
            <wp:anchor distT="0" distB="0" distL="114300" distR="114300" simplePos="0" relativeHeight="251658240" behindDoc="1" locked="0" layoutInCell="0" allowOverlap="1" wp14:anchorId="771CB970" wp14:editId="579F472E">
              <wp:simplePos x="0" y="0"/>
              <wp:positionH relativeFrom="margin">
                <wp:align>center</wp:align>
              </wp:positionH>
              <wp:positionV relativeFrom="margin">
                <wp:align>center</wp:align>
              </wp:positionV>
              <wp:extent cx="5683885" cy="2435860"/>
              <wp:effectExtent l="0" t="0" r="0" b="0"/>
              <wp:wrapNone/>
              <wp:docPr id="207409906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683885" cy="2435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1622AC" w14:textId="77777777" w:rsidR="00D33E7F" w:rsidRDefault="00D33E7F" w:rsidP="00D33E7F">
                          <w:pPr>
                            <w:jc w:val="center"/>
                            <w:rPr>
                              <w:rFonts w:ascii="Calibri" w:hAnsi="Calibri" w:cs="Calibri"/>
                              <w:color w:val="A6A6A6" w:themeColor="background1" w:themeShade="A6"/>
                              <w:sz w:val="16"/>
                              <w:szCs w:val="16"/>
                              <w:lang w:val="en-GB"/>
                              <w14:textFill>
                                <w14:solidFill>
                                  <w14:schemeClr w14:val="bg1">
                                    <w14:alpha w14:val="50000"/>
                                    <w14:lumMod w14:val="65000"/>
                                  </w14:scheme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71CB970" id="WordArt 1" o:spid="_x0000_s1042" type="#_x0000_t202" style="position:absolute;left:0;text-align:left;margin-left:0;margin-top:0;width:447.55pt;height:19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B32QEAAJEDAAAOAAAAZHJzL2Uyb0RvYy54bWysU1tv0zAUfkfiP1h+p0k7WmVR02kwwcuA&#10;Sdu0Z9eXJhD7GB+3Sf89x25o0XhD5MGK7ePP3+V4fTPanh10wA5cw+ezkjPtJKjO7Rr+/PTpXcUZ&#10;RuGU6MHphh818pvN2zfrwdd6AS30SgdGIA7rwTe8jdHXRYGy1VbgDLx2tGkgWBFpGnaFCmIgdNsX&#10;i7JcFQME5QNIjUird6dNvsn4xmgZvxmDOrK+4cQt5jHkcZvGYrMW9S4I33ZyoiH+gYUVnaNLz1B3&#10;Igq2D91fULaTARBMnEmwBRjTSZ01kJp5+UrNYyu8zlrIHPRnm/D/wcqvh0f/EFgcP8BIAWYR6O9B&#10;/kDyphg81lNN8hRrTNXb4QsoSlPsI+QTowmWBSB759V1mb68TPoYoZLxx7PZeoxM0uJyVV1V1ZIz&#10;SXuL91fLapXjKESd0JKZPmD8rMGy9NPwQGlmWHG4x5jYXUomqondiWcctyPrFBFapZAT9S2oI5Ef&#10;KO2G48+9CJozt7cfgZpjzpkJYF+onW5D0pFvShc/jS8i+IlDJPoP/e+0M5Ecu2JO2OSI+k5Atqcm&#10;OoieLbMVJ6pT8UT6hJrOOrglG02XFV14Tooo9yx06tHUWH/Oc9XlJW1+AQAA//8DAFBLAwQUAAYA&#10;CAAAACEA1d5E6doAAAAFAQAADwAAAGRycy9kb3ducmV2LnhtbEyPzU7DMBCE70i8g7VI3KjTlpYk&#10;xKkQElcEhQdw480PtXcj221Dnx7DhV5WGs1o5ttqMzkrjujDwKRgPstAIDVsBuoUfH683OUgQtRk&#10;tGVCBd8YYFNfX1W6NHyidzxuYydSCYVSK+hjHEspQ9Oj02HGI1LyWvZOxyR9J43Xp1TurFxk2Vo6&#10;PVBa6PWIzz02++3BKbD3+7eHRWsKv/oqWs/y/Cr5rNTtzfT0CCLiFP/D8Iuf0KFOTDs+kAnCKkiP&#10;xL+bvLxYzUHsFCzz5RpkXclL+voHAAD//wMAUEsBAi0AFAAGAAgAAAAhALaDOJL+AAAA4QEAABMA&#10;AAAAAAAAAAAAAAAAAAAAAFtDb250ZW50X1R5cGVzXS54bWxQSwECLQAUAAYACAAAACEAOP0h/9YA&#10;AACUAQAACwAAAAAAAAAAAAAAAAAvAQAAX3JlbHMvLnJlbHNQSwECLQAUAAYACAAAACEA8o3gd9kB&#10;AACRAwAADgAAAAAAAAAAAAAAAAAuAgAAZHJzL2Uyb0RvYy54bWxQSwECLQAUAAYACAAAACEA1d5E&#10;6doAAAAFAQAADwAAAAAAAAAAAAAAAAAzBAAAZHJzL2Rvd25yZXYueG1sUEsFBgAAAAAEAAQA8wAA&#10;ADoFAAAAAA==&#10;" o:allowincell="f" filled="f" stroked="f">
              <v:stroke joinstyle="round"/>
              <v:path arrowok="t"/>
              <v:textbox>
                <w:txbxContent>
                  <w:p w14:paraId="5D1622AC" w14:textId="77777777" w:rsidR="00D33E7F" w:rsidRDefault="00D33E7F" w:rsidP="00D33E7F">
                    <w:pPr>
                      <w:jc w:val="center"/>
                      <w:rPr>
                        <w:rFonts w:ascii="Calibri" w:hAnsi="Calibri" w:cs="Calibri"/>
                        <w:color w:val="A6A6A6" w:themeColor="background1" w:themeShade="A6"/>
                        <w:sz w:val="16"/>
                        <w:szCs w:val="16"/>
                        <w:lang w:val="en-GB"/>
                        <w14:textFill>
                          <w14:solidFill>
                            <w14:schemeClr w14:val="bg1">
                              <w14:alpha w14:val="50000"/>
                              <w14:lumMod w14:val="65000"/>
                            </w14:schemeClr>
                          </w14:solidFill>
                        </w14:textFill>
                      </w:rPr>
                    </w:pPr>
                  </w:p>
                </w:txbxContent>
              </v:textbox>
              <w10:wrap anchorx="margin" anchory="margin"/>
            </v:shape>
          </w:pict>
        </mc:Fallback>
      </mc:AlternateContent>
    </w:r>
    <w:r w:rsidR="002449D1">
      <w:t xml:space="preserve">Toxicant default guideline values for aquatic ecosystem protection: </w:t>
    </w:r>
    <w:r w:rsidR="002449D1" w:rsidRPr="00E00D37">
      <w:rPr>
        <w:highlight w:val="yellow"/>
      </w:rPr>
      <w:t>Total iron in fresh water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2F25" w14:textId="59CAC62C" w:rsidR="00E92014" w:rsidRDefault="00E92014" w:rsidP="0053547C">
    <w:pPr>
      <w:pStyle w:val="Header"/>
      <w:jc w:val="left"/>
    </w:pPr>
    <w:r>
      <w:t>Toxicant default guideline values for aquatic ecosystem protection: I</w:t>
    </w:r>
    <w:r w:rsidRPr="003D0EF9">
      <w:t>ron in freshwater</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FE2E" w14:textId="780C64F6" w:rsidR="00872E9B" w:rsidRDefault="00872E9B">
    <w:pPr>
      <w:pStyle w:val="Header"/>
    </w:pPr>
    <w:r>
      <w:rPr>
        <w:noProof/>
      </w:rPr>
      <mc:AlternateContent>
        <mc:Choice Requires="wps">
          <w:drawing>
            <wp:anchor distT="0" distB="0" distL="0" distR="0" simplePos="0" relativeHeight="251658276" behindDoc="0" locked="0" layoutInCell="1" allowOverlap="1" wp14:anchorId="0E8A3492" wp14:editId="7F375454">
              <wp:simplePos x="635" y="635"/>
              <wp:positionH relativeFrom="page">
                <wp:align>center</wp:align>
              </wp:positionH>
              <wp:positionV relativeFrom="page">
                <wp:align>top</wp:align>
              </wp:positionV>
              <wp:extent cx="551815" cy="404495"/>
              <wp:effectExtent l="0" t="0" r="635" b="14605"/>
              <wp:wrapNone/>
              <wp:docPr id="989746445"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B233574" w14:textId="50C67BDB"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8A3492" id="_x0000_t202" coordsize="21600,21600" o:spt="202" path="m,l,21600r21600,l21600,xe">
              <v:stroke joinstyle="miter"/>
              <v:path gradientshapeok="t" o:connecttype="rect"/>
            </v:shapetype>
            <v:shape id="Text Box 14" o:spid="_x0000_s1045" type="#_x0000_t202" alt="OFFICIAL" style="position:absolute;left:0;text-align:left;margin-left:0;margin-top:0;width:43.45pt;height:31.85pt;z-index:251658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DuDgIAAB0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2x+/nY/g7qE07lYFi4t3zdYu0N8+GFOdwwDoKq&#10;Dc94SAVdReFsUdKA+/kvf8xH4jFKSYeKqahBSVOivhtcSBRXMop5Psvx5kb3bjTMQT8A6rDAJ2F5&#10;MmNeUKMpHeg31PMqFsIQMxzLVTSM5kMYpIvvgYvVKiWhjiwLG7O1PEJHviKZr/0bc/bMeMBVPcEo&#10;J1a+I37IjX96uzoEpD9tJXI7EHmmHDWY9np+L1Hkv99T1vVVL38B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vhIDuDgIAAB0E&#10;AAAOAAAAAAAAAAAAAAAAAC4CAABkcnMvZTJvRG9jLnhtbFBLAQItABQABgAIAAAAIQD8pn6y2gAA&#10;AAMBAAAPAAAAAAAAAAAAAAAAAGgEAABkcnMvZG93bnJldi54bWxQSwUGAAAAAAQABADzAAAAbwUA&#10;AAAA&#10;" filled="f" stroked="f">
              <v:textbox style="mso-fit-shape-to-text:t" inset="0,15pt,0,0">
                <w:txbxContent>
                  <w:p w14:paraId="3B233574" w14:textId="50C67BDB"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2231" w14:textId="0CEFD4F1" w:rsidR="00872E9B" w:rsidRDefault="00872E9B">
    <w:pPr>
      <w:pStyle w:val="Header"/>
    </w:pPr>
    <w:r>
      <w:rPr>
        <w:noProof/>
      </w:rPr>
      <mc:AlternateContent>
        <mc:Choice Requires="wps">
          <w:drawing>
            <wp:anchor distT="0" distB="0" distL="0" distR="0" simplePos="0" relativeHeight="251658279" behindDoc="0" locked="0" layoutInCell="1" allowOverlap="1" wp14:anchorId="67C8D241" wp14:editId="50B31191">
              <wp:simplePos x="635" y="635"/>
              <wp:positionH relativeFrom="page">
                <wp:align>center</wp:align>
              </wp:positionH>
              <wp:positionV relativeFrom="page">
                <wp:align>top</wp:align>
              </wp:positionV>
              <wp:extent cx="551815" cy="404495"/>
              <wp:effectExtent l="0" t="0" r="635" b="14605"/>
              <wp:wrapNone/>
              <wp:docPr id="92434724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44453C" w14:textId="0020E9C4"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C8D241" id="_x0000_t202" coordsize="21600,21600" o:spt="202" path="m,l,21600r21600,l21600,xe">
              <v:stroke joinstyle="miter"/>
              <v:path gradientshapeok="t" o:connecttype="rect"/>
            </v:shapetype>
            <v:shape id="Text Box 13" o:spid="_x0000_s1047" type="#_x0000_t202" alt="OFFICIAL" style="position:absolute;left:0;text-align:left;margin-left:0;margin-top:0;width:43.45pt;height:31.85pt;z-index:251658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eNDgIAAB0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V7a30F9wqkcDAv3lq9brL1hPrwwhxvGQVC1&#10;4RkPqaCrKJwtShpwP//lj/lIPEYp6VAxFTUoaUrUd4MLieJKRnGbz3O8udG9Gw1z0A+AOizwSVie&#10;zJgX1GhKB/oN9byKhTDEDMdyFQ2j+RAG6eJ74GK1SkmoI8vCxmwtj9CRr0jma//GnD0zHnBVTzDK&#10;iZXviB9y45/erg4B6U9bidwORJ4pRw2mvZ7fSxT57/eUdX3Vy1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oiCeNDgIAAB0E&#10;AAAOAAAAAAAAAAAAAAAAAC4CAABkcnMvZTJvRG9jLnhtbFBLAQItABQABgAIAAAAIQD8pn6y2gAA&#10;AAMBAAAPAAAAAAAAAAAAAAAAAGgEAABkcnMvZG93bnJldi54bWxQSwUGAAAAAAQABADzAAAAbwUA&#10;AAAA&#10;" filled="f" stroked="f">
              <v:textbox style="mso-fit-shape-to-text:t" inset="0,15pt,0,0">
                <w:txbxContent>
                  <w:p w14:paraId="3244453C" w14:textId="0020E9C4" w:rsidR="00872E9B" w:rsidRPr="00872E9B" w:rsidRDefault="00872E9B" w:rsidP="00872E9B">
                    <w:pPr>
                      <w:spacing w:after="0"/>
                      <w:rPr>
                        <w:rFonts w:ascii="Calibri" w:eastAsia="Calibri" w:hAnsi="Calibri" w:cs="Calibri"/>
                        <w:noProof/>
                        <w:color w:val="FF0000"/>
                        <w:sz w:val="24"/>
                        <w:szCs w:val="24"/>
                      </w:rPr>
                    </w:pPr>
                    <w:r w:rsidRPr="00872E9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F964" w14:textId="62F6B02F" w:rsidR="00EB7C12" w:rsidRDefault="004C0221" w:rsidP="0053547C">
    <w:pPr>
      <w:pStyle w:val="Header"/>
      <w:jc w:val="left"/>
    </w:pPr>
    <w:r>
      <w:rPr>
        <w:noProof/>
        <w:lang w:eastAsia="en-AU"/>
      </w:rPr>
      <w:drawing>
        <wp:anchor distT="0" distB="0" distL="114300" distR="114300" simplePos="0" relativeHeight="251658250" behindDoc="1" locked="0" layoutInCell="1" allowOverlap="1" wp14:anchorId="04FC6508" wp14:editId="38A976A1">
          <wp:simplePos x="0" y="0"/>
          <wp:positionH relativeFrom="page">
            <wp:align>left</wp:align>
          </wp:positionH>
          <wp:positionV relativeFrom="page">
            <wp:align>top</wp:align>
          </wp:positionV>
          <wp:extent cx="7556400" cy="10688400"/>
          <wp:effectExtent l="0" t="0" r="635" b="5080"/>
          <wp:wrapNone/>
          <wp:docPr id="475349518" name="Picture 475349518"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1163" w14:textId="3022DAF2" w:rsidR="002449D1" w:rsidRPr="001303C0" w:rsidRDefault="00872E9B" w:rsidP="001303C0">
    <w:pPr>
      <w:pStyle w:val="Header"/>
    </w:pPr>
    <w:r>
      <w:rPr>
        <w:noProof/>
      </w:rPr>
      <mc:AlternateContent>
        <mc:Choice Requires="wps">
          <w:drawing>
            <wp:anchor distT="0" distB="0" distL="0" distR="0" simplePos="0" relativeHeight="251658251" behindDoc="0" locked="0" layoutInCell="1" allowOverlap="1" wp14:anchorId="44363DEC" wp14:editId="1629F8D4">
              <wp:simplePos x="635" y="635"/>
              <wp:positionH relativeFrom="page">
                <wp:align>center</wp:align>
              </wp:positionH>
              <wp:positionV relativeFrom="page">
                <wp:align>top</wp:align>
              </wp:positionV>
              <wp:extent cx="551815" cy="404495"/>
              <wp:effectExtent l="0" t="0" r="635" b="14605"/>
              <wp:wrapNone/>
              <wp:docPr id="19725930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C1648A"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63DEC"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31.8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5AC1648A"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r w:rsidR="00000000">
      <w:rPr>
        <w:noProof/>
      </w:rPr>
      <w:pict w14:anchorId="4F65A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29736" o:spid="_x0000_s1032" type="#_x0000_t136" alt="" style="position:absolute;left:0;text-align:left;margin-left:0;margin-top:0;width:577.2pt;height:62.15pt;rotation:315;z-index:-25165823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Post public comment draft"/>
          <w10:wrap anchorx="margin" anchory="margin"/>
        </v:shape>
      </w:pict>
    </w:r>
    <w:r w:rsidR="002449D1">
      <w:rPr>
        <w:noProof/>
        <w:lang w:eastAsia="en-AU"/>
      </w:rPr>
      <w:drawing>
        <wp:anchor distT="0" distB="0" distL="114300" distR="114300" simplePos="0" relativeHeight="251658241" behindDoc="1" locked="0" layoutInCell="1" allowOverlap="1" wp14:anchorId="44026EE4" wp14:editId="07CAB189">
          <wp:simplePos x="0" y="0"/>
          <wp:positionH relativeFrom="page">
            <wp:align>right</wp:align>
          </wp:positionH>
          <wp:positionV relativeFrom="page">
            <wp:align>top</wp:align>
          </wp:positionV>
          <wp:extent cx="7556400" cy="10688400"/>
          <wp:effectExtent l="0" t="0" r="635" b="5080"/>
          <wp:wrapNone/>
          <wp:docPr id="2051049463" name="Picture 2051049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p w14:paraId="32343422" w14:textId="77777777" w:rsidR="00EB7C12" w:rsidRDefault="00EB7C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C1BA" w14:textId="649AF5C6" w:rsidR="00872E9B" w:rsidRDefault="00872E9B">
    <w:pPr>
      <w:pStyle w:val="Header"/>
    </w:pPr>
    <w:r>
      <w:rPr>
        <w:noProof/>
      </w:rPr>
      <mc:AlternateContent>
        <mc:Choice Requires="wps">
          <w:drawing>
            <wp:anchor distT="0" distB="0" distL="0" distR="0" simplePos="0" relativeHeight="251658267" behindDoc="0" locked="0" layoutInCell="1" allowOverlap="1" wp14:anchorId="27D390BC" wp14:editId="422BE874">
              <wp:simplePos x="635" y="635"/>
              <wp:positionH relativeFrom="page">
                <wp:align>center</wp:align>
              </wp:positionH>
              <wp:positionV relativeFrom="page">
                <wp:align>top</wp:align>
              </wp:positionV>
              <wp:extent cx="551815" cy="404495"/>
              <wp:effectExtent l="0" t="0" r="635" b="14605"/>
              <wp:wrapNone/>
              <wp:docPr id="48110100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0EF6A4"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D390BC" id="_x0000_t202" coordsize="21600,21600" o:spt="202" path="m,l,21600r21600,l21600,xe">
              <v:stroke joinstyle="miter"/>
              <v:path gradientshapeok="t" o:connecttype="rect"/>
            </v:shapetype>
            <v:shape id="Text Box 5" o:spid="_x0000_s1030" type="#_x0000_t202" alt="OFFICIAL" style="position:absolute;left:0;text-align:left;margin-left:0;margin-top:0;width:43.45pt;height:31.85pt;z-index:251658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00EF6A4"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5A79" w14:textId="671C5242" w:rsidR="00F4214F" w:rsidRDefault="00F4214F" w:rsidP="0053547C">
    <w:pPr>
      <w:pStyle w:val="Header"/>
      <w:jc w:val="left"/>
    </w:pPr>
    <w:r>
      <w:t>Toxicant default guideline values for aquatic ecosystem protection: I</w:t>
    </w:r>
    <w:r w:rsidRPr="003D0EF9">
      <w:t>ron in freshwater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E649" w14:textId="3DE40E70" w:rsidR="00872E9B" w:rsidRDefault="00872E9B">
    <w:pPr>
      <w:pStyle w:val="Header"/>
    </w:pPr>
    <w:r>
      <w:rPr>
        <w:noProof/>
      </w:rPr>
      <mc:AlternateContent>
        <mc:Choice Requires="wps">
          <w:drawing>
            <wp:anchor distT="0" distB="0" distL="0" distR="0" simplePos="0" relativeHeight="251658269" behindDoc="0" locked="0" layoutInCell="1" allowOverlap="1" wp14:anchorId="710ABD52" wp14:editId="75E92B32">
              <wp:simplePos x="635" y="635"/>
              <wp:positionH relativeFrom="page">
                <wp:align>center</wp:align>
              </wp:positionH>
              <wp:positionV relativeFrom="page">
                <wp:align>top</wp:align>
              </wp:positionV>
              <wp:extent cx="551815" cy="404495"/>
              <wp:effectExtent l="0" t="0" r="635" b="14605"/>
              <wp:wrapNone/>
              <wp:docPr id="158644104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03CBA7"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0ABD52" id="_x0000_t202" coordsize="21600,21600" o:spt="202" path="m,l,21600r21600,l21600,xe">
              <v:stroke joinstyle="miter"/>
              <v:path gradientshapeok="t" o:connecttype="rect"/>
            </v:shapetype>
            <v:shape id="Text Box 4" o:spid="_x0000_s1032" type="#_x0000_t202" alt="OFFICIAL" style="position:absolute;left:0;text-align:left;margin-left:0;margin-top:0;width:43.45pt;height:31.85pt;z-index:251658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7003CBA7"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F8B2" w14:textId="59B7473C" w:rsidR="002449D1" w:rsidRDefault="00872E9B">
    <w:pPr>
      <w:pStyle w:val="Header"/>
    </w:pPr>
    <w:r>
      <w:rPr>
        <w:noProof/>
      </w:rPr>
      <mc:AlternateContent>
        <mc:Choice Requires="wps">
          <w:drawing>
            <wp:anchor distT="0" distB="0" distL="0" distR="0" simplePos="0" relativeHeight="251658256" behindDoc="0" locked="0" layoutInCell="1" allowOverlap="1" wp14:anchorId="6734AA0D" wp14:editId="6BE9B48E">
              <wp:simplePos x="635" y="635"/>
              <wp:positionH relativeFrom="page">
                <wp:align>center</wp:align>
              </wp:positionH>
              <wp:positionV relativeFrom="page">
                <wp:align>top</wp:align>
              </wp:positionV>
              <wp:extent cx="551815" cy="404495"/>
              <wp:effectExtent l="0" t="0" r="635" b="14605"/>
              <wp:wrapNone/>
              <wp:docPr id="201383640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CF52DD6"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34AA0D" id="_x0000_t202" coordsize="21600,21600" o:spt="202" path="m,l,21600r21600,l21600,xe">
              <v:stroke joinstyle="miter"/>
              <v:path gradientshapeok="t" o:connecttype="rect"/>
            </v:shapetype>
            <v:shape id="Text Box 8" o:spid="_x0000_s1034" type="#_x0000_t202" alt="OFFICIAL" style="position:absolute;left:0;text-align:left;margin-left:0;margin-top:0;width:43.45pt;height:31.8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bJDgIAABwEAAAOAAAAZHJzL2Uyb0RvYy54bWysU8Fu2zAMvQ/YPwi6L7aLZEiNOEXaIsOA&#10;oC2QDj0rshQbkERBUmJnXz9KjpOt22noRaZI+pF8fFrc9VqRo3C+BVPRYpJTIgyHujX7iv54XX+Z&#10;U+IDMzVTYERFT8LTu+XnT4vOluIGGlC1cARBjC87W9EmBFtmmeeN0MxPwAqDQQlOs4BXt89qxzpE&#10;1yq7yfOvWQeutg648B69j0OQLhO+lIKHZym9CERVFHsL6XTp3MUzWy5YuXfMNi0/t8H+owvNWoNF&#10;L1CPLDBycO1fULrlDjzIMOGgM5Cy5SLNgNMU+btptg2zIs2C5Hh7ocl/HCx/Om7tiyOhv4ceFxgJ&#10;6awvPTrjPL10On6xU4JxpPB0oU30gXB0zmbFvJhRwjE0zafT21lEya4/W+fDNwGaRKOiDreSyGLH&#10;jQ9D6pgSaxlYt0qlzSjzhwMxoye7dhit0O960tYVnY/d76A+4VAOhn17y9ctlt4wH16YwwXjHCja&#10;8IyHVNBVFM4WJQ24n//yx3zkHaOUdCiYihpUNCXqu8F9RG0lo7jN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t3IbJDgIAABwE&#10;AAAOAAAAAAAAAAAAAAAAAC4CAABkcnMvZTJvRG9jLnhtbFBLAQItABQABgAIAAAAIQD8pn6y2gAA&#10;AAMBAAAPAAAAAAAAAAAAAAAAAGgEAABkcnMvZG93bnJldi54bWxQSwUGAAAAAAQABADzAAAAbwUA&#10;AAAA&#10;" filled="f" stroked="f">
              <v:textbox style="mso-fit-shape-to-text:t" inset="0,15pt,0,0">
                <w:txbxContent>
                  <w:p w14:paraId="1CF52DD6"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r w:rsidR="00000000">
      <w:rPr>
        <w:noProof/>
      </w:rPr>
      <w:pict w14:anchorId="13DFB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29740" o:spid="_x0000_s1030" type="#_x0000_t136" alt="" style="position:absolute;left:0;text-align:left;margin-left:0;margin-top:0;width:577.2pt;height:62.15pt;rotation:315;z-index:-251658235;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Post public comment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FA82" w14:textId="053F78C0" w:rsidR="00E92014" w:rsidRDefault="00E92014" w:rsidP="0053547C">
    <w:pPr>
      <w:pStyle w:val="Header"/>
      <w:jc w:val="left"/>
    </w:pPr>
    <w:r>
      <w:t>Toxicant default guideline values for aquatic ecosystem protection: I</w:t>
    </w:r>
    <w:r w:rsidRPr="003D0EF9">
      <w:t>ron in freshwater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1BAA" w14:textId="2FE4954E" w:rsidR="002449D1" w:rsidRPr="000756BD" w:rsidRDefault="00872E9B" w:rsidP="000756BD">
    <w:pPr>
      <w:pStyle w:val="Header"/>
    </w:pPr>
    <w:r>
      <w:rPr>
        <w:noProof/>
      </w:rPr>
      <mc:AlternateContent>
        <mc:Choice Requires="wps">
          <w:drawing>
            <wp:anchor distT="0" distB="0" distL="0" distR="0" simplePos="0" relativeHeight="251658255" behindDoc="0" locked="0" layoutInCell="1" allowOverlap="1" wp14:anchorId="6F40A6AD" wp14:editId="7E1540CB">
              <wp:simplePos x="635" y="635"/>
              <wp:positionH relativeFrom="page">
                <wp:align>center</wp:align>
              </wp:positionH>
              <wp:positionV relativeFrom="page">
                <wp:align>top</wp:align>
              </wp:positionV>
              <wp:extent cx="551815" cy="404495"/>
              <wp:effectExtent l="0" t="0" r="635" b="14605"/>
              <wp:wrapNone/>
              <wp:docPr id="130323145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B94F6C0" w14:textId="77777777" w:rsidR="00872E9B" w:rsidRPr="00872E9B" w:rsidRDefault="00872E9B" w:rsidP="00872E9B">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40A6AD" id="_x0000_t202" coordsize="21600,21600" o:spt="202" path="m,l,21600r21600,l21600,xe">
              <v:stroke joinstyle="miter"/>
              <v:path gradientshapeok="t" o:connecttype="rect"/>
            </v:shapetype>
            <v:shape id="Text Box 7" o:spid="_x0000_s1036" type="#_x0000_t202" alt="OFFICIAL" style="position:absolute;left:0;text-align:left;margin-left:0;margin-top:0;width:43.45pt;height:31.8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4B94F6C0" w14:textId="77777777" w:rsidR="00872E9B" w:rsidRPr="00872E9B" w:rsidRDefault="00872E9B" w:rsidP="00872E9B">
                    <w:pPr>
                      <w:spacing w:after="0"/>
                      <w:rPr>
                        <w:rFonts w:ascii="Calibri" w:eastAsia="Calibri" w:hAnsi="Calibri" w:cs="Calibri"/>
                        <w:noProof/>
                        <w:color w:val="FF0000"/>
                        <w:sz w:val="24"/>
                        <w:szCs w:val="24"/>
                      </w:rPr>
                    </w:pPr>
                  </w:p>
                </w:txbxContent>
              </v:textbox>
              <w10:wrap anchorx="page" anchory="page"/>
            </v:shape>
          </w:pict>
        </mc:Fallback>
      </mc:AlternateContent>
    </w:r>
    <w:r w:rsidR="00000000">
      <w:rPr>
        <w:noProof/>
      </w:rPr>
      <w:pict w14:anchorId="715F8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29739" o:spid="_x0000_s1028" type="#_x0000_t136" alt="" style="position:absolute;left:0;text-align:left;margin-left:0;margin-top:0;width:577.2pt;height:62.15pt;rotation:315;z-index:-251658236;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Post public comment draft"/>
          <w10:wrap anchorx="margin" anchory="margin"/>
        </v:shape>
      </w:pict>
    </w:r>
    <w:r w:rsidR="002449D1">
      <w:t xml:space="preserve">Toxicant default guideline values for aquatic ecosystem protection: </w:t>
    </w:r>
    <w:r w:rsidR="002449D1">
      <w:rPr>
        <w:highlight w:val="yellow"/>
      </w:rPr>
      <w:t>Total i</w:t>
    </w:r>
    <w:r w:rsidR="002449D1" w:rsidRPr="00E00D37">
      <w:rPr>
        <w:highlight w:val="yellow"/>
      </w:rPr>
      <w:t>ron in fresh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5A6"/>
    <w:multiLevelType w:val="hybridMultilevel"/>
    <w:tmpl w:val="287C7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54006D"/>
    <w:multiLevelType w:val="hybridMultilevel"/>
    <w:tmpl w:val="1EC0E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1531"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4" w15:restartNumberingAfterBreak="0">
    <w:nsid w:val="17FA091E"/>
    <w:multiLevelType w:val="multilevel"/>
    <w:tmpl w:val="757ED760"/>
    <w:numStyleLink w:val="Style1"/>
  </w:abstractNum>
  <w:abstractNum w:abstractNumId="5" w15:restartNumberingAfterBreak="0">
    <w:nsid w:val="18495C63"/>
    <w:multiLevelType w:val="hybridMultilevel"/>
    <w:tmpl w:val="953A4B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44DB5"/>
    <w:multiLevelType w:val="singleLevel"/>
    <w:tmpl w:val="9800B092"/>
    <w:lvl w:ilvl="0">
      <w:start w:val="1"/>
      <w:numFmt w:val="decimal"/>
      <w:lvlText w:val="%1."/>
      <w:legacy w:legacy="1" w:legacySpace="0" w:legacyIndent="720"/>
      <w:lvlJc w:val="left"/>
      <w:pPr>
        <w:ind w:left="1146" w:hanging="720"/>
      </w:pPr>
      <w:rPr>
        <w:rFonts w:ascii="Calibri" w:hAnsi="Calibri" w:cs="Arial" w:hint="default"/>
        <w:b w:val="0"/>
        <w:i w:val="0"/>
        <w:sz w:val="22"/>
        <w:szCs w:val="22"/>
      </w:rPr>
    </w:lvl>
  </w:abstractNum>
  <w:abstractNum w:abstractNumId="8" w15:restartNumberingAfterBreak="0">
    <w:nsid w:val="2453399E"/>
    <w:multiLevelType w:val="multilevel"/>
    <w:tmpl w:val="88964F4C"/>
    <w:numStyleLink w:val="heading"/>
  </w:abstractNum>
  <w:abstractNum w:abstractNumId="9" w15:restartNumberingAfterBreak="0">
    <w:nsid w:val="27495CBA"/>
    <w:multiLevelType w:val="hybridMultilevel"/>
    <w:tmpl w:val="22684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2D595B46"/>
    <w:multiLevelType w:val="multilevel"/>
    <w:tmpl w:val="C32AB9AA"/>
    <w:numStyleLink w:val="ListNumber1"/>
  </w:abstractNum>
  <w:abstractNum w:abstractNumId="12"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36D54222"/>
    <w:multiLevelType w:val="multilevel"/>
    <w:tmpl w:val="757ED760"/>
    <w:numStyleLink w:val="Style1"/>
  </w:abstractNum>
  <w:abstractNum w:abstractNumId="14" w15:restartNumberingAfterBreak="0">
    <w:nsid w:val="375444C6"/>
    <w:multiLevelType w:val="hybridMultilevel"/>
    <w:tmpl w:val="D6621810"/>
    <w:lvl w:ilvl="0" w:tplc="FFFFFFFF">
      <w:start w:val="1"/>
      <w:numFmt w:val="decimal"/>
      <w:lvlText w:val="%1."/>
      <w:lvlJc w:val="left"/>
      <w:pPr>
        <w:ind w:left="720" w:hanging="360"/>
      </w:pPr>
      <w:rPr>
        <w:b w:val="0"/>
        <w:bCs/>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48262B"/>
    <w:multiLevelType w:val="hybridMultilevel"/>
    <w:tmpl w:val="DD906360"/>
    <w:lvl w:ilvl="0" w:tplc="ADE248FC">
      <w:start w:val="10"/>
      <w:numFmt w:val="decimal"/>
      <w:lvlText w:val="%1."/>
      <w:lvlJc w:val="left"/>
      <w:pPr>
        <w:ind w:left="720" w:hanging="360"/>
      </w:pPr>
      <w:rPr>
        <w:b w:val="0"/>
        <w:bCs/>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8" w15:restartNumberingAfterBreak="0">
    <w:nsid w:val="40F232B4"/>
    <w:multiLevelType w:val="hybridMultilevel"/>
    <w:tmpl w:val="B14A0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04521B"/>
    <w:multiLevelType w:val="hybridMultilevel"/>
    <w:tmpl w:val="1B5845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4B33774"/>
    <w:multiLevelType w:val="hybridMultilevel"/>
    <w:tmpl w:val="15F0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E4583"/>
    <w:multiLevelType w:val="hybridMultilevel"/>
    <w:tmpl w:val="E28A5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4" w15:restartNumberingAfterBreak="0">
    <w:nsid w:val="4D2B2157"/>
    <w:multiLevelType w:val="hybridMultilevel"/>
    <w:tmpl w:val="A0D24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6744D9"/>
    <w:multiLevelType w:val="hybridMultilevel"/>
    <w:tmpl w:val="1A326F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36387C"/>
    <w:multiLevelType w:val="multilevel"/>
    <w:tmpl w:val="6346ED0E"/>
    <w:numStyleLink w:val="listbullets"/>
  </w:abstractNum>
  <w:num w:numId="1" w16cid:durableId="99760429">
    <w:abstractNumId w:val="22"/>
  </w:num>
  <w:num w:numId="2" w16cid:durableId="319120877">
    <w:abstractNumId w:val="6"/>
  </w:num>
  <w:num w:numId="3" w16cid:durableId="651788168">
    <w:abstractNumId w:val="25"/>
  </w:num>
  <w:num w:numId="4" w16cid:durableId="1285505510">
    <w:abstractNumId w:val="10"/>
  </w:num>
  <w:num w:numId="5" w16cid:durableId="150370657">
    <w:abstractNumId w:val="12"/>
  </w:num>
  <w:num w:numId="6" w16cid:durableId="1079524324">
    <w:abstractNumId w:val="23"/>
  </w:num>
  <w:num w:numId="7" w16cid:durableId="856845629">
    <w:abstractNumId w:val="27"/>
  </w:num>
  <w:num w:numId="8" w16cid:durableId="1606814836">
    <w:abstractNumId w:val="17"/>
  </w:num>
  <w:num w:numId="9" w16cid:durableId="1760639327">
    <w:abstractNumId w:val="11"/>
  </w:num>
  <w:num w:numId="10" w16cid:durableId="1689990947">
    <w:abstractNumId w:val="2"/>
  </w:num>
  <w:num w:numId="11" w16cid:durableId="1713119127">
    <w:abstractNumId w:val="8"/>
  </w:num>
  <w:num w:numId="12" w16cid:durableId="442306361">
    <w:abstractNumId w:val="15"/>
  </w:num>
  <w:num w:numId="13" w16cid:durableId="823469894">
    <w:abstractNumId w:val="3"/>
  </w:num>
  <w:num w:numId="14" w16cid:durableId="1697271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7784005">
    <w:abstractNumId w:val="13"/>
  </w:num>
  <w:num w:numId="16" w16cid:durableId="561335495">
    <w:abstractNumId w:val="4"/>
  </w:num>
  <w:num w:numId="17" w16cid:durableId="1423642859">
    <w:abstractNumId w:val="4"/>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416902287">
    <w:abstractNumId w:val="18"/>
  </w:num>
  <w:num w:numId="19" w16cid:durableId="1974826825">
    <w:abstractNumId w:val="4"/>
  </w:num>
  <w:num w:numId="20" w16cid:durableId="735861114">
    <w:abstractNumId w:val="4"/>
  </w:num>
  <w:num w:numId="21" w16cid:durableId="61683612">
    <w:abstractNumId w:val="4"/>
  </w:num>
  <w:num w:numId="22" w16cid:durableId="235356728">
    <w:abstractNumId w:val="26"/>
  </w:num>
  <w:num w:numId="23" w16cid:durableId="819537670">
    <w:abstractNumId w:val="7"/>
  </w:num>
  <w:num w:numId="24" w16cid:durableId="1179394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7647582">
    <w:abstractNumId w:val="21"/>
  </w:num>
  <w:num w:numId="26" w16cid:durableId="1209994979">
    <w:abstractNumId w:val="24"/>
  </w:num>
  <w:num w:numId="27" w16cid:durableId="320620589">
    <w:abstractNumId w:val="9"/>
  </w:num>
  <w:num w:numId="28" w16cid:durableId="522941678">
    <w:abstractNumId w:val="0"/>
  </w:num>
  <w:num w:numId="29" w16cid:durableId="1714886710">
    <w:abstractNumId w:val="1"/>
  </w:num>
  <w:num w:numId="30" w16cid:durableId="925517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523505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9911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5115059">
    <w:abstractNumId w:val="5"/>
  </w:num>
  <w:num w:numId="34" w16cid:durableId="89588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9263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25AC"/>
    <w:rsid w:val="00003BF6"/>
    <w:rsid w:val="000059A1"/>
    <w:rsid w:val="00005B80"/>
    <w:rsid w:val="00005FDE"/>
    <w:rsid w:val="00007513"/>
    <w:rsid w:val="0000766F"/>
    <w:rsid w:val="00007AC1"/>
    <w:rsid w:val="00010464"/>
    <w:rsid w:val="00010F5B"/>
    <w:rsid w:val="00012AB9"/>
    <w:rsid w:val="00012C70"/>
    <w:rsid w:val="00015875"/>
    <w:rsid w:val="00016FFE"/>
    <w:rsid w:val="00020995"/>
    <w:rsid w:val="00020F97"/>
    <w:rsid w:val="000213B3"/>
    <w:rsid w:val="0002166F"/>
    <w:rsid w:val="00021CC1"/>
    <w:rsid w:val="000223A8"/>
    <w:rsid w:val="0002317F"/>
    <w:rsid w:val="000233E1"/>
    <w:rsid w:val="00023409"/>
    <w:rsid w:val="00023509"/>
    <w:rsid w:val="000238A8"/>
    <w:rsid w:val="000240C2"/>
    <w:rsid w:val="00024F36"/>
    <w:rsid w:val="00025A75"/>
    <w:rsid w:val="00026804"/>
    <w:rsid w:val="00026A91"/>
    <w:rsid w:val="000270C8"/>
    <w:rsid w:val="00027CB8"/>
    <w:rsid w:val="00030937"/>
    <w:rsid w:val="0003165D"/>
    <w:rsid w:val="0003271F"/>
    <w:rsid w:val="000329AC"/>
    <w:rsid w:val="00034B9A"/>
    <w:rsid w:val="00035EA0"/>
    <w:rsid w:val="000365C8"/>
    <w:rsid w:val="0003682D"/>
    <w:rsid w:val="000368EC"/>
    <w:rsid w:val="00040656"/>
    <w:rsid w:val="000408E9"/>
    <w:rsid w:val="000411B0"/>
    <w:rsid w:val="00042C98"/>
    <w:rsid w:val="000446CA"/>
    <w:rsid w:val="0004503A"/>
    <w:rsid w:val="000463CB"/>
    <w:rsid w:val="000473AB"/>
    <w:rsid w:val="000473EF"/>
    <w:rsid w:val="00050652"/>
    <w:rsid w:val="00050E12"/>
    <w:rsid w:val="00051D43"/>
    <w:rsid w:val="00052376"/>
    <w:rsid w:val="0005256D"/>
    <w:rsid w:val="00052CE7"/>
    <w:rsid w:val="00052FDD"/>
    <w:rsid w:val="00053475"/>
    <w:rsid w:val="000538DD"/>
    <w:rsid w:val="00055E40"/>
    <w:rsid w:val="0005619B"/>
    <w:rsid w:val="00056596"/>
    <w:rsid w:val="00056CA0"/>
    <w:rsid w:val="00057040"/>
    <w:rsid w:val="00061882"/>
    <w:rsid w:val="00062058"/>
    <w:rsid w:val="000628FF"/>
    <w:rsid w:val="000631A4"/>
    <w:rsid w:val="00063A8D"/>
    <w:rsid w:val="00064D0D"/>
    <w:rsid w:val="000669A7"/>
    <w:rsid w:val="00067BC2"/>
    <w:rsid w:val="000709DF"/>
    <w:rsid w:val="00071A52"/>
    <w:rsid w:val="00075009"/>
    <w:rsid w:val="0007518A"/>
    <w:rsid w:val="0007560F"/>
    <w:rsid w:val="000756BD"/>
    <w:rsid w:val="00075A4E"/>
    <w:rsid w:val="00075F8E"/>
    <w:rsid w:val="0007663D"/>
    <w:rsid w:val="000771F9"/>
    <w:rsid w:val="00080EFF"/>
    <w:rsid w:val="00081425"/>
    <w:rsid w:val="00081DEE"/>
    <w:rsid w:val="000826DF"/>
    <w:rsid w:val="000828E1"/>
    <w:rsid w:val="000845DA"/>
    <w:rsid w:val="00090D3F"/>
    <w:rsid w:val="00091F07"/>
    <w:rsid w:val="000931E1"/>
    <w:rsid w:val="00093429"/>
    <w:rsid w:val="00093696"/>
    <w:rsid w:val="00093E49"/>
    <w:rsid w:val="00094E31"/>
    <w:rsid w:val="00095229"/>
    <w:rsid w:val="0009522E"/>
    <w:rsid w:val="00096032"/>
    <w:rsid w:val="000968E7"/>
    <w:rsid w:val="00096D8C"/>
    <w:rsid w:val="0009755D"/>
    <w:rsid w:val="000A041A"/>
    <w:rsid w:val="000A0E1F"/>
    <w:rsid w:val="000A18A4"/>
    <w:rsid w:val="000A3702"/>
    <w:rsid w:val="000A4F8E"/>
    <w:rsid w:val="000A6610"/>
    <w:rsid w:val="000A68FE"/>
    <w:rsid w:val="000A7D2E"/>
    <w:rsid w:val="000B0804"/>
    <w:rsid w:val="000B0AE0"/>
    <w:rsid w:val="000B2B11"/>
    <w:rsid w:val="000B2E7A"/>
    <w:rsid w:val="000B3B87"/>
    <w:rsid w:val="000B435A"/>
    <w:rsid w:val="000B5D7D"/>
    <w:rsid w:val="000C1356"/>
    <w:rsid w:val="000C1755"/>
    <w:rsid w:val="000C183B"/>
    <w:rsid w:val="000C1F58"/>
    <w:rsid w:val="000C36F2"/>
    <w:rsid w:val="000C4F7F"/>
    <w:rsid w:val="000C583A"/>
    <w:rsid w:val="000C59A6"/>
    <w:rsid w:val="000C6021"/>
    <w:rsid w:val="000C7A8D"/>
    <w:rsid w:val="000C7FC7"/>
    <w:rsid w:val="000D0519"/>
    <w:rsid w:val="000D112F"/>
    <w:rsid w:val="000D2AAD"/>
    <w:rsid w:val="000D40B4"/>
    <w:rsid w:val="000D5497"/>
    <w:rsid w:val="000D565B"/>
    <w:rsid w:val="000D6374"/>
    <w:rsid w:val="000D6472"/>
    <w:rsid w:val="000D662F"/>
    <w:rsid w:val="000D6D92"/>
    <w:rsid w:val="000D74B0"/>
    <w:rsid w:val="000E02D7"/>
    <w:rsid w:val="000E2EC3"/>
    <w:rsid w:val="000E40C1"/>
    <w:rsid w:val="000E544D"/>
    <w:rsid w:val="000F0C3E"/>
    <w:rsid w:val="000F0E3F"/>
    <w:rsid w:val="000F108C"/>
    <w:rsid w:val="000F115F"/>
    <w:rsid w:val="000F120D"/>
    <w:rsid w:val="000F1CAB"/>
    <w:rsid w:val="000F2209"/>
    <w:rsid w:val="000F269B"/>
    <w:rsid w:val="000F2C56"/>
    <w:rsid w:val="000F3E5A"/>
    <w:rsid w:val="000F4C8C"/>
    <w:rsid w:val="000F5245"/>
    <w:rsid w:val="000F5807"/>
    <w:rsid w:val="000F5F23"/>
    <w:rsid w:val="000F61F9"/>
    <w:rsid w:val="000F6C5D"/>
    <w:rsid w:val="000F6F23"/>
    <w:rsid w:val="000F7144"/>
    <w:rsid w:val="000F71F7"/>
    <w:rsid w:val="000F7DFD"/>
    <w:rsid w:val="0010136B"/>
    <w:rsid w:val="00101434"/>
    <w:rsid w:val="00102AEE"/>
    <w:rsid w:val="00102BC7"/>
    <w:rsid w:val="00102F90"/>
    <w:rsid w:val="0010434F"/>
    <w:rsid w:val="00104456"/>
    <w:rsid w:val="00105D4A"/>
    <w:rsid w:val="00106EB9"/>
    <w:rsid w:val="001074C8"/>
    <w:rsid w:val="0011190E"/>
    <w:rsid w:val="0011263C"/>
    <w:rsid w:val="001142FE"/>
    <w:rsid w:val="001146FD"/>
    <w:rsid w:val="00114C0D"/>
    <w:rsid w:val="00115D25"/>
    <w:rsid w:val="0012052C"/>
    <w:rsid w:val="00120615"/>
    <w:rsid w:val="00120D55"/>
    <w:rsid w:val="00120DDE"/>
    <w:rsid w:val="00121721"/>
    <w:rsid w:val="00123D34"/>
    <w:rsid w:val="00124B3A"/>
    <w:rsid w:val="00125357"/>
    <w:rsid w:val="00125565"/>
    <w:rsid w:val="00125BDC"/>
    <w:rsid w:val="00126426"/>
    <w:rsid w:val="00127592"/>
    <w:rsid w:val="001303C0"/>
    <w:rsid w:val="001306DD"/>
    <w:rsid w:val="001308B4"/>
    <w:rsid w:val="001310C9"/>
    <w:rsid w:val="001328A9"/>
    <w:rsid w:val="001335CB"/>
    <w:rsid w:val="00134A12"/>
    <w:rsid w:val="00135592"/>
    <w:rsid w:val="0013616A"/>
    <w:rsid w:val="001364F3"/>
    <w:rsid w:val="00141CDD"/>
    <w:rsid w:val="001421F5"/>
    <w:rsid w:val="0014258D"/>
    <w:rsid w:val="001438C1"/>
    <w:rsid w:val="0014427E"/>
    <w:rsid w:val="00144ECF"/>
    <w:rsid w:val="001451AD"/>
    <w:rsid w:val="00145CDE"/>
    <w:rsid w:val="001465C2"/>
    <w:rsid w:val="0015096C"/>
    <w:rsid w:val="00156E25"/>
    <w:rsid w:val="0016134C"/>
    <w:rsid w:val="001621F8"/>
    <w:rsid w:val="00163E24"/>
    <w:rsid w:val="00165642"/>
    <w:rsid w:val="00165BAE"/>
    <w:rsid w:val="00166992"/>
    <w:rsid w:val="0016731F"/>
    <w:rsid w:val="0016777B"/>
    <w:rsid w:val="00167AF5"/>
    <w:rsid w:val="00171BDE"/>
    <w:rsid w:val="0017342B"/>
    <w:rsid w:val="00174573"/>
    <w:rsid w:val="001775A8"/>
    <w:rsid w:val="00181ABD"/>
    <w:rsid w:val="00181B11"/>
    <w:rsid w:val="00182482"/>
    <w:rsid w:val="00182C1B"/>
    <w:rsid w:val="00184A2E"/>
    <w:rsid w:val="00184B56"/>
    <w:rsid w:val="00186791"/>
    <w:rsid w:val="00192372"/>
    <w:rsid w:val="001935B6"/>
    <w:rsid w:val="00193B4F"/>
    <w:rsid w:val="001966F1"/>
    <w:rsid w:val="00196840"/>
    <w:rsid w:val="00197CA0"/>
    <w:rsid w:val="001A0755"/>
    <w:rsid w:val="001A1EEB"/>
    <w:rsid w:val="001A22A3"/>
    <w:rsid w:val="001A26FA"/>
    <w:rsid w:val="001A27F5"/>
    <w:rsid w:val="001A5751"/>
    <w:rsid w:val="001A64CB"/>
    <w:rsid w:val="001A76D8"/>
    <w:rsid w:val="001B015E"/>
    <w:rsid w:val="001B0AAB"/>
    <w:rsid w:val="001B1DB2"/>
    <w:rsid w:val="001B491F"/>
    <w:rsid w:val="001B5264"/>
    <w:rsid w:val="001B73D5"/>
    <w:rsid w:val="001B75FD"/>
    <w:rsid w:val="001B7626"/>
    <w:rsid w:val="001C0430"/>
    <w:rsid w:val="001C0D1C"/>
    <w:rsid w:val="001C1F00"/>
    <w:rsid w:val="001C36B9"/>
    <w:rsid w:val="001C5BE5"/>
    <w:rsid w:val="001C64A7"/>
    <w:rsid w:val="001C6ED1"/>
    <w:rsid w:val="001C7296"/>
    <w:rsid w:val="001D0278"/>
    <w:rsid w:val="001D0750"/>
    <w:rsid w:val="001D0DE1"/>
    <w:rsid w:val="001D0F3E"/>
    <w:rsid w:val="001D10CB"/>
    <w:rsid w:val="001D1A45"/>
    <w:rsid w:val="001D1E23"/>
    <w:rsid w:val="001D26DB"/>
    <w:rsid w:val="001D3789"/>
    <w:rsid w:val="001D39CB"/>
    <w:rsid w:val="001D3C70"/>
    <w:rsid w:val="001D5301"/>
    <w:rsid w:val="001D5F61"/>
    <w:rsid w:val="001D6715"/>
    <w:rsid w:val="001D7428"/>
    <w:rsid w:val="001E3430"/>
    <w:rsid w:val="001E385A"/>
    <w:rsid w:val="001E3BCD"/>
    <w:rsid w:val="001E3F06"/>
    <w:rsid w:val="001E49DF"/>
    <w:rsid w:val="001E4AC7"/>
    <w:rsid w:val="001E7BA1"/>
    <w:rsid w:val="001F293A"/>
    <w:rsid w:val="001F3631"/>
    <w:rsid w:val="001F4207"/>
    <w:rsid w:val="001F4343"/>
    <w:rsid w:val="001F58B1"/>
    <w:rsid w:val="001F6154"/>
    <w:rsid w:val="001F63EE"/>
    <w:rsid w:val="00201734"/>
    <w:rsid w:val="0020267C"/>
    <w:rsid w:val="0020447B"/>
    <w:rsid w:val="002045B0"/>
    <w:rsid w:val="00205E96"/>
    <w:rsid w:val="00212607"/>
    <w:rsid w:val="00213241"/>
    <w:rsid w:val="00214C78"/>
    <w:rsid w:val="00215865"/>
    <w:rsid w:val="00220BB1"/>
    <w:rsid w:val="00222864"/>
    <w:rsid w:val="00222CA1"/>
    <w:rsid w:val="00223242"/>
    <w:rsid w:val="00223388"/>
    <w:rsid w:val="002249AD"/>
    <w:rsid w:val="0022649A"/>
    <w:rsid w:val="00226747"/>
    <w:rsid w:val="00227129"/>
    <w:rsid w:val="00227B25"/>
    <w:rsid w:val="0023049C"/>
    <w:rsid w:val="002319C3"/>
    <w:rsid w:val="00231F81"/>
    <w:rsid w:val="0023419D"/>
    <w:rsid w:val="0023532D"/>
    <w:rsid w:val="00235711"/>
    <w:rsid w:val="00235E83"/>
    <w:rsid w:val="0023675F"/>
    <w:rsid w:val="00236CB2"/>
    <w:rsid w:val="00240D28"/>
    <w:rsid w:val="00242906"/>
    <w:rsid w:val="00242CF3"/>
    <w:rsid w:val="00242E96"/>
    <w:rsid w:val="0024405F"/>
    <w:rsid w:val="00244146"/>
    <w:rsid w:val="00244658"/>
    <w:rsid w:val="0024465F"/>
    <w:rsid w:val="0024497E"/>
    <w:rsid w:val="002449D1"/>
    <w:rsid w:val="0024579F"/>
    <w:rsid w:val="0025324F"/>
    <w:rsid w:val="0025338F"/>
    <w:rsid w:val="0025369B"/>
    <w:rsid w:val="00254310"/>
    <w:rsid w:val="00254B66"/>
    <w:rsid w:val="00255605"/>
    <w:rsid w:val="002558C1"/>
    <w:rsid w:val="00255E6D"/>
    <w:rsid w:val="00255E88"/>
    <w:rsid w:val="00256F26"/>
    <w:rsid w:val="00257155"/>
    <w:rsid w:val="00257B0C"/>
    <w:rsid w:val="002604F9"/>
    <w:rsid w:val="00260B1C"/>
    <w:rsid w:val="00261D18"/>
    <w:rsid w:val="00262456"/>
    <w:rsid w:val="00262CE2"/>
    <w:rsid w:val="00262FE9"/>
    <w:rsid w:val="00263C93"/>
    <w:rsid w:val="00263F45"/>
    <w:rsid w:val="00264935"/>
    <w:rsid w:val="00264A68"/>
    <w:rsid w:val="00265A5A"/>
    <w:rsid w:val="00265BE3"/>
    <w:rsid w:val="0026694C"/>
    <w:rsid w:val="00274F2C"/>
    <w:rsid w:val="00275365"/>
    <w:rsid w:val="00276CC8"/>
    <w:rsid w:val="00276D11"/>
    <w:rsid w:val="00280B4D"/>
    <w:rsid w:val="00281025"/>
    <w:rsid w:val="0028128A"/>
    <w:rsid w:val="002819F4"/>
    <w:rsid w:val="00282957"/>
    <w:rsid w:val="00285248"/>
    <w:rsid w:val="00285B67"/>
    <w:rsid w:val="00286E01"/>
    <w:rsid w:val="0029222F"/>
    <w:rsid w:val="0029268D"/>
    <w:rsid w:val="00292ADA"/>
    <w:rsid w:val="00295EF1"/>
    <w:rsid w:val="00296B23"/>
    <w:rsid w:val="00297AFB"/>
    <w:rsid w:val="002A15DE"/>
    <w:rsid w:val="002A25D6"/>
    <w:rsid w:val="002A342C"/>
    <w:rsid w:val="002A384E"/>
    <w:rsid w:val="002A3D94"/>
    <w:rsid w:val="002A479B"/>
    <w:rsid w:val="002A5C78"/>
    <w:rsid w:val="002A6141"/>
    <w:rsid w:val="002A66EA"/>
    <w:rsid w:val="002A67F2"/>
    <w:rsid w:val="002A6D7F"/>
    <w:rsid w:val="002B0479"/>
    <w:rsid w:val="002B087D"/>
    <w:rsid w:val="002B3362"/>
    <w:rsid w:val="002B44B2"/>
    <w:rsid w:val="002B6397"/>
    <w:rsid w:val="002B75DE"/>
    <w:rsid w:val="002C0F6F"/>
    <w:rsid w:val="002C15BB"/>
    <w:rsid w:val="002C2BF1"/>
    <w:rsid w:val="002C2F4A"/>
    <w:rsid w:val="002C3D34"/>
    <w:rsid w:val="002C54A8"/>
    <w:rsid w:val="002C6FD8"/>
    <w:rsid w:val="002C7682"/>
    <w:rsid w:val="002C7C6C"/>
    <w:rsid w:val="002D03C9"/>
    <w:rsid w:val="002D11C1"/>
    <w:rsid w:val="002D3344"/>
    <w:rsid w:val="002D45D2"/>
    <w:rsid w:val="002D5C1D"/>
    <w:rsid w:val="002D7C03"/>
    <w:rsid w:val="002E05AB"/>
    <w:rsid w:val="002E24A4"/>
    <w:rsid w:val="002E4BDB"/>
    <w:rsid w:val="002E5210"/>
    <w:rsid w:val="002E588F"/>
    <w:rsid w:val="002E663E"/>
    <w:rsid w:val="002E7B8D"/>
    <w:rsid w:val="002F224F"/>
    <w:rsid w:val="002F310B"/>
    <w:rsid w:val="002F63AF"/>
    <w:rsid w:val="002F7C66"/>
    <w:rsid w:val="003028D4"/>
    <w:rsid w:val="003028E4"/>
    <w:rsid w:val="00304153"/>
    <w:rsid w:val="003053E2"/>
    <w:rsid w:val="003058A9"/>
    <w:rsid w:val="00306073"/>
    <w:rsid w:val="00306C2F"/>
    <w:rsid w:val="00307560"/>
    <w:rsid w:val="00310830"/>
    <w:rsid w:val="00312378"/>
    <w:rsid w:val="0031266C"/>
    <w:rsid w:val="00314A07"/>
    <w:rsid w:val="0031627A"/>
    <w:rsid w:val="003171C7"/>
    <w:rsid w:val="00317729"/>
    <w:rsid w:val="00317CF1"/>
    <w:rsid w:val="00320135"/>
    <w:rsid w:val="0032021A"/>
    <w:rsid w:val="003205E5"/>
    <w:rsid w:val="00321E39"/>
    <w:rsid w:val="003232C1"/>
    <w:rsid w:val="00323AC9"/>
    <w:rsid w:val="00324203"/>
    <w:rsid w:val="00324DA3"/>
    <w:rsid w:val="00326AD5"/>
    <w:rsid w:val="0032714C"/>
    <w:rsid w:val="003271E6"/>
    <w:rsid w:val="0033270E"/>
    <w:rsid w:val="0033290E"/>
    <w:rsid w:val="00334309"/>
    <w:rsid w:val="003353DC"/>
    <w:rsid w:val="003355DE"/>
    <w:rsid w:val="003358AB"/>
    <w:rsid w:val="00335F63"/>
    <w:rsid w:val="0033651B"/>
    <w:rsid w:val="00336EAA"/>
    <w:rsid w:val="0034140A"/>
    <w:rsid w:val="00341BCD"/>
    <w:rsid w:val="00341F1B"/>
    <w:rsid w:val="00343147"/>
    <w:rsid w:val="00343A14"/>
    <w:rsid w:val="003461CB"/>
    <w:rsid w:val="00346317"/>
    <w:rsid w:val="00346F39"/>
    <w:rsid w:val="003475C7"/>
    <w:rsid w:val="00350998"/>
    <w:rsid w:val="00350F3C"/>
    <w:rsid w:val="00351269"/>
    <w:rsid w:val="00353981"/>
    <w:rsid w:val="00355BFB"/>
    <w:rsid w:val="00356165"/>
    <w:rsid w:val="003572F4"/>
    <w:rsid w:val="00357792"/>
    <w:rsid w:val="00357905"/>
    <w:rsid w:val="00360214"/>
    <w:rsid w:val="00361A01"/>
    <w:rsid w:val="003623F3"/>
    <w:rsid w:val="00362683"/>
    <w:rsid w:val="00362708"/>
    <w:rsid w:val="00362DF3"/>
    <w:rsid w:val="00363A83"/>
    <w:rsid w:val="00363C9F"/>
    <w:rsid w:val="00363E85"/>
    <w:rsid w:val="00364100"/>
    <w:rsid w:val="003650FB"/>
    <w:rsid w:val="003654B2"/>
    <w:rsid w:val="00365D63"/>
    <w:rsid w:val="0036603B"/>
    <w:rsid w:val="003671BB"/>
    <w:rsid w:val="00367D77"/>
    <w:rsid w:val="00370639"/>
    <w:rsid w:val="003715CC"/>
    <w:rsid w:val="00371672"/>
    <w:rsid w:val="003738E1"/>
    <w:rsid w:val="003753F8"/>
    <w:rsid w:val="00380269"/>
    <w:rsid w:val="003805C9"/>
    <w:rsid w:val="00380F10"/>
    <w:rsid w:val="003816B1"/>
    <w:rsid w:val="0038203C"/>
    <w:rsid w:val="00382592"/>
    <w:rsid w:val="00382F33"/>
    <w:rsid w:val="003843EB"/>
    <w:rsid w:val="003864A9"/>
    <w:rsid w:val="00386786"/>
    <w:rsid w:val="003876F4"/>
    <w:rsid w:val="00387B68"/>
    <w:rsid w:val="0039016D"/>
    <w:rsid w:val="003915C0"/>
    <w:rsid w:val="003924FF"/>
    <w:rsid w:val="00392AC8"/>
    <w:rsid w:val="00394E27"/>
    <w:rsid w:val="00395497"/>
    <w:rsid w:val="003957A8"/>
    <w:rsid w:val="003A0E9E"/>
    <w:rsid w:val="003A2703"/>
    <w:rsid w:val="003A2D4B"/>
    <w:rsid w:val="003A36B4"/>
    <w:rsid w:val="003B04BB"/>
    <w:rsid w:val="003B1EB3"/>
    <w:rsid w:val="003B24DB"/>
    <w:rsid w:val="003B337B"/>
    <w:rsid w:val="003B3BF3"/>
    <w:rsid w:val="003B4C9D"/>
    <w:rsid w:val="003B68F3"/>
    <w:rsid w:val="003B6DD9"/>
    <w:rsid w:val="003B6F4D"/>
    <w:rsid w:val="003B74DE"/>
    <w:rsid w:val="003C3518"/>
    <w:rsid w:val="003C3D55"/>
    <w:rsid w:val="003C3E86"/>
    <w:rsid w:val="003C4D43"/>
    <w:rsid w:val="003C533B"/>
    <w:rsid w:val="003C5AC6"/>
    <w:rsid w:val="003C5B29"/>
    <w:rsid w:val="003C5F87"/>
    <w:rsid w:val="003C655F"/>
    <w:rsid w:val="003D006B"/>
    <w:rsid w:val="003D0EF9"/>
    <w:rsid w:val="003D1EAC"/>
    <w:rsid w:val="003D21DD"/>
    <w:rsid w:val="003D39D2"/>
    <w:rsid w:val="003D4650"/>
    <w:rsid w:val="003D4A96"/>
    <w:rsid w:val="003D5331"/>
    <w:rsid w:val="003D5B3B"/>
    <w:rsid w:val="003D660A"/>
    <w:rsid w:val="003D6A27"/>
    <w:rsid w:val="003D6B43"/>
    <w:rsid w:val="003E0545"/>
    <w:rsid w:val="003E0D02"/>
    <w:rsid w:val="003E12F4"/>
    <w:rsid w:val="003E3E09"/>
    <w:rsid w:val="003E3EFB"/>
    <w:rsid w:val="003E51F2"/>
    <w:rsid w:val="003E668E"/>
    <w:rsid w:val="003E761D"/>
    <w:rsid w:val="003F1457"/>
    <w:rsid w:val="003F22CB"/>
    <w:rsid w:val="003F4E0F"/>
    <w:rsid w:val="003F66ED"/>
    <w:rsid w:val="003F79FC"/>
    <w:rsid w:val="00401410"/>
    <w:rsid w:val="00401C43"/>
    <w:rsid w:val="00402432"/>
    <w:rsid w:val="004052B7"/>
    <w:rsid w:val="00405680"/>
    <w:rsid w:val="00405C1C"/>
    <w:rsid w:val="0040625F"/>
    <w:rsid w:val="00406552"/>
    <w:rsid w:val="00407ED7"/>
    <w:rsid w:val="00407FBB"/>
    <w:rsid w:val="004109E8"/>
    <w:rsid w:val="00411031"/>
    <w:rsid w:val="004111D8"/>
    <w:rsid w:val="00411337"/>
    <w:rsid w:val="00412816"/>
    <w:rsid w:val="00413C91"/>
    <w:rsid w:val="00413D93"/>
    <w:rsid w:val="004143F7"/>
    <w:rsid w:val="00415288"/>
    <w:rsid w:val="004162AB"/>
    <w:rsid w:val="00422133"/>
    <w:rsid w:val="004236B7"/>
    <w:rsid w:val="00424617"/>
    <w:rsid w:val="00425079"/>
    <w:rsid w:val="00425B39"/>
    <w:rsid w:val="00425D0D"/>
    <w:rsid w:val="004277E4"/>
    <w:rsid w:val="004314A9"/>
    <w:rsid w:val="00434534"/>
    <w:rsid w:val="00434B6A"/>
    <w:rsid w:val="00436E12"/>
    <w:rsid w:val="0044005A"/>
    <w:rsid w:val="00440946"/>
    <w:rsid w:val="00442232"/>
    <w:rsid w:val="0044319A"/>
    <w:rsid w:val="00443362"/>
    <w:rsid w:val="00443E8E"/>
    <w:rsid w:val="00444016"/>
    <w:rsid w:val="00444F2F"/>
    <w:rsid w:val="0044521F"/>
    <w:rsid w:val="00445DF8"/>
    <w:rsid w:val="00446B3E"/>
    <w:rsid w:val="004470F7"/>
    <w:rsid w:val="004476B4"/>
    <w:rsid w:val="0044794D"/>
    <w:rsid w:val="004509F8"/>
    <w:rsid w:val="00451BAA"/>
    <w:rsid w:val="00452277"/>
    <w:rsid w:val="00452502"/>
    <w:rsid w:val="0045304C"/>
    <w:rsid w:val="00454D8B"/>
    <w:rsid w:val="00455CF5"/>
    <w:rsid w:val="00456250"/>
    <w:rsid w:val="00456AEB"/>
    <w:rsid w:val="00460761"/>
    <w:rsid w:val="004611B4"/>
    <w:rsid w:val="004612D6"/>
    <w:rsid w:val="00461E7E"/>
    <w:rsid w:val="0046290C"/>
    <w:rsid w:val="0046325A"/>
    <w:rsid w:val="004652FA"/>
    <w:rsid w:val="00465812"/>
    <w:rsid w:val="00466B4F"/>
    <w:rsid w:val="0046777B"/>
    <w:rsid w:val="004708A4"/>
    <w:rsid w:val="00470A7E"/>
    <w:rsid w:val="00471600"/>
    <w:rsid w:val="00471D6A"/>
    <w:rsid w:val="00472AF6"/>
    <w:rsid w:val="00473218"/>
    <w:rsid w:val="00474008"/>
    <w:rsid w:val="0047480D"/>
    <w:rsid w:val="00475BB5"/>
    <w:rsid w:val="004767BD"/>
    <w:rsid w:val="00477313"/>
    <w:rsid w:val="00477C07"/>
    <w:rsid w:val="00477E12"/>
    <w:rsid w:val="00484663"/>
    <w:rsid w:val="00484AA8"/>
    <w:rsid w:val="00486B34"/>
    <w:rsid w:val="00486C96"/>
    <w:rsid w:val="00492F85"/>
    <w:rsid w:val="0049371E"/>
    <w:rsid w:val="004958F8"/>
    <w:rsid w:val="004966F7"/>
    <w:rsid w:val="00496FBF"/>
    <w:rsid w:val="00497610"/>
    <w:rsid w:val="004A107B"/>
    <w:rsid w:val="004A3032"/>
    <w:rsid w:val="004A5DAA"/>
    <w:rsid w:val="004A5E00"/>
    <w:rsid w:val="004A669A"/>
    <w:rsid w:val="004A6E76"/>
    <w:rsid w:val="004B0554"/>
    <w:rsid w:val="004B1714"/>
    <w:rsid w:val="004B42C3"/>
    <w:rsid w:val="004B4797"/>
    <w:rsid w:val="004B6044"/>
    <w:rsid w:val="004B62CB"/>
    <w:rsid w:val="004B69A4"/>
    <w:rsid w:val="004B6FCA"/>
    <w:rsid w:val="004C000D"/>
    <w:rsid w:val="004C0221"/>
    <w:rsid w:val="004C04C8"/>
    <w:rsid w:val="004C067D"/>
    <w:rsid w:val="004C1BBA"/>
    <w:rsid w:val="004C2373"/>
    <w:rsid w:val="004C2990"/>
    <w:rsid w:val="004C43BE"/>
    <w:rsid w:val="004C4F0B"/>
    <w:rsid w:val="004C54FC"/>
    <w:rsid w:val="004C6E18"/>
    <w:rsid w:val="004C779C"/>
    <w:rsid w:val="004C7A88"/>
    <w:rsid w:val="004D0E1F"/>
    <w:rsid w:val="004D3030"/>
    <w:rsid w:val="004D52CE"/>
    <w:rsid w:val="004D56D8"/>
    <w:rsid w:val="004D647D"/>
    <w:rsid w:val="004D664D"/>
    <w:rsid w:val="004D77B6"/>
    <w:rsid w:val="004E083C"/>
    <w:rsid w:val="004E0A9C"/>
    <w:rsid w:val="004E17DE"/>
    <w:rsid w:val="004E38FE"/>
    <w:rsid w:val="004E4953"/>
    <w:rsid w:val="004E5CA7"/>
    <w:rsid w:val="004E5CF8"/>
    <w:rsid w:val="004E65F8"/>
    <w:rsid w:val="004E690D"/>
    <w:rsid w:val="004E78A6"/>
    <w:rsid w:val="004F0263"/>
    <w:rsid w:val="004F120E"/>
    <w:rsid w:val="004F4491"/>
    <w:rsid w:val="004F4879"/>
    <w:rsid w:val="004F502D"/>
    <w:rsid w:val="004F5D68"/>
    <w:rsid w:val="004F6114"/>
    <w:rsid w:val="004F6665"/>
    <w:rsid w:val="0050094B"/>
    <w:rsid w:val="00501AA9"/>
    <w:rsid w:val="00503E43"/>
    <w:rsid w:val="00504207"/>
    <w:rsid w:val="00505662"/>
    <w:rsid w:val="0050577A"/>
    <w:rsid w:val="00506239"/>
    <w:rsid w:val="00506F53"/>
    <w:rsid w:val="00507CF0"/>
    <w:rsid w:val="00510C93"/>
    <w:rsid w:val="005134AA"/>
    <w:rsid w:val="005155A9"/>
    <w:rsid w:val="005156F4"/>
    <w:rsid w:val="00515B5D"/>
    <w:rsid w:val="005165FF"/>
    <w:rsid w:val="00516A4E"/>
    <w:rsid w:val="0051757C"/>
    <w:rsid w:val="00517D00"/>
    <w:rsid w:val="00520033"/>
    <w:rsid w:val="00520085"/>
    <w:rsid w:val="00520C44"/>
    <w:rsid w:val="00522003"/>
    <w:rsid w:val="005221CF"/>
    <w:rsid w:val="00522EF7"/>
    <w:rsid w:val="00523499"/>
    <w:rsid w:val="00524030"/>
    <w:rsid w:val="00524721"/>
    <w:rsid w:val="00524D65"/>
    <w:rsid w:val="00525B63"/>
    <w:rsid w:val="005276A3"/>
    <w:rsid w:val="00530A2C"/>
    <w:rsid w:val="00530DE3"/>
    <w:rsid w:val="00531AAF"/>
    <w:rsid w:val="005329E0"/>
    <w:rsid w:val="00532B9A"/>
    <w:rsid w:val="0053312A"/>
    <w:rsid w:val="005347DF"/>
    <w:rsid w:val="0053547C"/>
    <w:rsid w:val="00536766"/>
    <w:rsid w:val="005367CF"/>
    <w:rsid w:val="00541C23"/>
    <w:rsid w:val="00541CC2"/>
    <w:rsid w:val="00541D00"/>
    <w:rsid w:val="00543467"/>
    <w:rsid w:val="00543BEB"/>
    <w:rsid w:val="00544C46"/>
    <w:rsid w:val="00545414"/>
    <w:rsid w:val="00550070"/>
    <w:rsid w:val="005503CB"/>
    <w:rsid w:val="005509BC"/>
    <w:rsid w:val="00550CEF"/>
    <w:rsid w:val="005526E3"/>
    <w:rsid w:val="00553E95"/>
    <w:rsid w:val="00554CF0"/>
    <w:rsid w:val="00554FB5"/>
    <w:rsid w:val="005555C4"/>
    <w:rsid w:val="00555A5C"/>
    <w:rsid w:val="00557258"/>
    <w:rsid w:val="00557E6A"/>
    <w:rsid w:val="0056014C"/>
    <w:rsid w:val="00560EB8"/>
    <w:rsid w:val="00561113"/>
    <w:rsid w:val="00561B0D"/>
    <w:rsid w:val="00563717"/>
    <w:rsid w:val="005644E6"/>
    <w:rsid w:val="0056582E"/>
    <w:rsid w:val="00565A32"/>
    <w:rsid w:val="00565C3F"/>
    <w:rsid w:val="00566732"/>
    <w:rsid w:val="00567376"/>
    <w:rsid w:val="005673DF"/>
    <w:rsid w:val="00567689"/>
    <w:rsid w:val="0057043C"/>
    <w:rsid w:val="00570912"/>
    <w:rsid w:val="00570CEB"/>
    <w:rsid w:val="00570FA7"/>
    <w:rsid w:val="00570FEC"/>
    <w:rsid w:val="005744C0"/>
    <w:rsid w:val="005755B2"/>
    <w:rsid w:val="00577408"/>
    <w:rsid w:val="00577565"/>
    <w:rsid w:val="0057792E"/>
    <w:rsid w:val="005779B8"/>
    <w:rsid w:val="005806EE"/>
    <w:rsid w:val="00580BAD"/>
    <w:rsid w:val="00580C18"/>
    <w:rsid w:val="005812DD"/>
    <w:rsid w:val="005824D9"/>
    <w:rsid w:val="00583FB8"/>
    <w:rsid w:val="00584F4B"/>
    <w:rsid w:val="00585496"/>
    <w:rsid w:val="0058555C"/>
    <w:rsid w:val="00587F35"/>
    <w:rsid w:val="0059136E"/>
    <w:rsid w:val="0059415E"/>
    <w:rsid w:val="00594FB9"/>
    <w:rsid w:val="005966FA"/>
    <w:rsid w:val="00597C79"/>
    <w:rsid w:val="005A18A1"/>
    <w:rsid w:val="005A1DAB"/>
    <w:rsid w:val="005A26B7"/>
    <w:rsid w:val="005A2F51"/>
    <w:rsid w:val="005A324F"/>
    <w:rsid w:val="005A37CE"/>
    <w:rsid w:val="005A4232"/>
    <w:rsid w:val="005A709F"/>
    <w:rsid w:val="005A70CB"/>
    <w:rsid w:val="005B00FC"/>
    <w:rsid w:val="005B0B4C"/>
    <w:rsid w:val="005B247E"/>
    <w:rsid w:val="005B26C0"/>
    <w:rsid w:val="005B44D1"/>
    <w:rsid w:val="005B4EED"/>
    <w:rsid w:val="005B5A9C"/>
    <w:rsid w:val="005B681B"/>
    <w:rsid w:val="005B6A2A"/>
    <w:rsid w:val="005B760F"/>
    <w:rsid w:val="005B78AC"/>
    <w:rsid w:val="005B7E44"/>
    <w:rsid w:val="005C06F5"/>
    <w:rsid w:val="005C0B2B"/>
    <w:rsid w:val="005C1167"/>
    <w:rsid w:val="005C264B"/>
    <w:rsid w:val="005C2D20"/>
    <w:rsid w:val="005C3595"/>
    <w:rsid w:val="005C4F4F"/>
    <w:rsid w:val="005C6622"/>
    <w:rsid w:val="005D02F2"/>
    <w:rsid w:val="005D03E5"/>
    <w:rsid w:val="005D07CB"/>
    <w:rsid w:val="005D17DB"/>
    <w:rsid w:val="005D1CA5"/>
    <w:rsid w:val="005D1F98"/>
    <w:rsid w:val="005D2156"/>
    <w:rsid w:val="005D34DB"/>
    <w:rsid w:val="005D3DEF"/>
    <w:rsid w:val="005D4231"/>
    <w:rsid w:val="005D4A7E"/>
    <w:rsid w:val="005D4BB2"/>
    <w:rsid w:val="005D5582"/>
    <w:rsid w:val="005D6CD6"/>
    <w:rsid w:val="005D6F99"/>
    <w:rsid w:val="005D75D9"/>
    <w:rsid w:val="005D7C1D"/>
    <w:rsid w:val="005D7E1F"/>
    <w:rsid w:val="005E051B"/>
    <w:rsid w:val="005E0A95"/>
    <w:rsid w:val="005E16E7"/>
    <w:rsid w:val="005E2A22"/>
    <w:rsid w:val="005E59F0"/>
    <w:rsid w:val="005E6238"/>
    <w:rsid w:val="005E6978"/>
    <w:rsid w:val="005E73F9"/>
    <w:rsid w:val="005E74D2"/>
    <w:rsid w:val="005E77EC"/>
    <w:rsid w:val="005E7C11"/>
    <w:rsid w:val="005F0DEE"/>
    <w:rsid w:val="005F0F65"/>
    <w:rsid w:val="005F1F6F"/>
    <w:rsid w:val="005F26E4"/>
    <w:rsid w:val="005F36C7"/>
    <w:rsid w:val="005F55F3"/>
    <w:rsid w:val="005F5C55"/>
    <w:rsid w:val="005F5D32"/>
    <w:rsid w:val="005F721D"/>
    <w:rsid w:val="005F734D"/>
    <w:rsid w:val="006000F2"/>
    <w:rsid w:val="00600FE9"/>
    <w:rsid w:val="00601421"/>
    <w:rsid w:val="006014C0"/>
    <w:rsid w:val="00601746"/>
    <w:rsid w:val="006031A0"/>
    <w:rsid w:val="006035B8"/>
    <w:rsid w:val="00604527"/>
    <w:rsid w:val="006045A7"/>
    <w:rsid w:val="006057E2"/>
    <w:rsid w:val="006064FF"/>
    <w:rsid w:val="00606A7B"/>
    <w:rsid w:val="00610664"/>
    <w:rsid w:val="006127EE"/>
    <w:rsid w:val="00612F5C"/>
    <w:rsid w:val="0061358D"/>
    <w:rsid w:val="00614C99"/>
    <w:rsid w:val="006154ED"/>
    <w:rsid w:val="00615569"/>
    <w:rsid w:val="00615C91"/>
    <w:rsid w:val="00620280"/>
    <w:rsid w:val="006205E1"/>
    <w:rsid w:val="00622875"/>
    <w:rsid w:val="006229EC"/>
    <w:rsid w:val="00622A52"/>
    <w:rsid w:val="00625D1F"/>
    <w:rsid w:val="006302A9"/>
    <w:rsid w:val="006316E5"/>
    <w:rsid w:val="00631C82"/>
    <w:rsid w:val="00631E57"/>
    <w:rsid w:val="0063325C"/>
    <w:rsid w:val="00633BBC"/>
    <w:rsid w:val="00633F7B"/>
    <w:rsid w:val="00634274"/>
    <w:rsid w:val="006377C7"/>
    <w:rsid w:val="00637A10"/>
    <w:rsid w:val="0064021D"/>
    <w:rsid w:val="00640AD3"/>
    <w:rsid w:val="00640F57"/>
    <w:rsid w:val="0064224E"/>
    <w:rsid w:val="00642AD2"/>
    <w:rsid w:val="00642C16"/>
    <w:rsid w:val="0064344A"/>
    <w:rsid w:val="006446C0"/>
    <w:rsid w:val="00645338"/>
    <w:rsid w:val="00650982"/>
    <w:rsid w:val="00650AC8"/>
    <w:rsid w:val="006512DB"/>
    <w:rsid w:val="00651717"/>
    <w:rsid w:val="00651FD5"/>
    <w:rsid w:val="00652069"/>
    <w:rsid w:val="00653032"/>
    <w:rsid w:val="0065437D"/>
    <w:rsid w:val="00654C35"/>
    <w:rsid w:val="0065668F"/>
    <w:rsid w:val="00656B7E"/>
    <w:rsid w:val="00657566"/>
    <w:rsid w:val="006613FA"/>
    <w:rsid w:val="006619C1"/>
    <w:rsid w:val="00661B28"/>
    <w:rsid w:val="0066304D"/>
    <w:rsid w:val="006631F2"/>
    <w:rsid w:val="006634CF"/>
    <w:rsid w:val="0066381D"/>
    <w:rsid w:val="00663953"/>
    <w:rsid w:val="006660D7"/>
    <w:rsid w:val="00666667"/>
    <w:rsid w:val="00666F44"/>
    <w:rsid w:val="00666FD4"/>
    <w:rsid w:val="006704FE"/>
    <w:rsid w:val="00670933"/>
    <w:rsid w:val="006711A9"/>
    <w:rsid w:val="00671BE7"/>
    <w:rsid w:val="00672130"/>
    <w:rsid w:val="00673601"/>
    <w:rsid w:val="006748C5"/>
    <w:rsid w:val="00680767"/>
    <w:rsid w:val="00680AB5"/>
    <w:rsid w:val="00682AC5"/>
    <w:rsid w:val="00683707"/>
    <w:rsid w:val="00683C0C"/>
    <w:rsid w:val="00684428"/>
    <w:rsid w:val="00684A3B"/>
    <w:rsid w:val="00685D4E"/>
    <w:rsid w:val="00686997"/>
    <w:rsid w:val="00690BD7"/>
    <w:rsid w:val="00691BB3"/>
    <w:rsid w:val="00691DBA"/>
    <w:rsid w:val="00691ED1"/>
    <w:rsid w:val="00692F89"/>
    <w:rsid w:val="00694E75"/>
    <w:rsid w:val="00696256"/>
    <w:rsid w:val="00697274"/>
    <w:rsid w:val="006973B9"/>
    <w:rsid w:val="006975DE"/>
    <w:rsid w:val="006A0F95"/>
    <w:rsid w:val="006A1182"/>
    <w:rsid w:val="006A155E"/>
    <w:rsid w:val="006A1BC5"/>
    <w:rsid w:val="006A2552"/>
    <w:rsid w:val="006A4A5A"/>
    <w:rsid w:val="006A4C9F"/>
    <w:rsid w:val="006A7045"/>
    <w:rsid w:val="006B07CF"/>
    <w:rsid w:val="006B2CE8"/>
    <w:rsid w:val="006B59E5"/>
    <w:rsid w:val="006B6968"/>
    <w:rsid w:val="006B6A33"/>
    <w:rsid w:val="006B6EA8"/>
    <w:rsid w:val="006B78D7"/>
    <w:rsid w:val="006B7BF6"/>
    <w:rsid w:val="006C1524"/>
    <w:rsid w:val="006C1599"/>
    <w:rsid w:val="006C2630"/>
    <w:rsid w:val="006C3E32"/>
    <w:rsid w:val="006C5CE2"/>
    <w:rsid w:val="006C613F"/>
    <w:rsid w:val="006C6E96"/>
    <w:rsid w:val="006D1798"/>
    <w:rsid w:val="006D4439"/>
    <w:rsid w:val="006D4742"/>
    <w:rsid w:val="006D522E"/>
    <w:rsid w:val="006D5D9E"/>
    <w:rsid w:val="006E334A"/>
    <w:rsid w:val="006E4E95"/>
    <w:rsid w:val="006E61BD"/>
    <w:rsid w:val="006E6C63"/>
    <w:rsid w:val="006F0681"/>
    <w:rsid w:val="006F0805"/>
    <w:rsid w:val="006F0AE5"/>
    <w:rsid w:val="006F1BD5"/>
    <w:rsid w:val="006F37E1"/>
    <w:rsid w:val="006F39E6"/>
    <w:rsid w:val="006F65F1"/>
    <w:rsid w:val="006F75EC"/>
    <w:rsid w:val="00701306"/>
    <w:rsid w:val="0070186D"/>
    <w:rsid w:val="00701D98"/>
    <w:rsid w:val="00703B14"/>
    <w:rsid w:val="00704B4A"/>
    <w:rsid w:val="00706398"/>
    <w:rsid w:val="00706799"/>
    <w:rsid w:val="00707C39"/>
    <w:rsid w:val="00711DD5"/>
    <w:rsid w:val="00713B75"/>
    <w:rsid w:val="00714019"/>
    <w:rsid w:val="00714697"/>
    <w:rsid w:val="00714872"/>
    <w:rsid w:val="00715F3F"/>
    <w:rsid w:val="00717A85"/>
    <w:rsid w:val="00720C0D"/>
    <w:rsid w:val="00721846"/>
    <w:rsid w:val="00722CB2"/>
    <w:rsid w:val="00724382"/>
    <w:rsid w:val="0072516C"/>
    <w:rsid w:val="0072533A"/>
    <w:rsid w:val="00725DCB"/>
    <w:rsid w:val="0072632D"/>
    <w:rsid w:val="0072642B"/>
    <w:rsid w:val="00727A43"/>
    <w:rsid w:val="007300DE"/>
    <w:rsid w:val="00733066"/>
    <w:rsid w:val="007336AC"/>
    <w:rsid w:val="0073404D"/>
    <w:rsid w:val="00734430"/>
    <w:rsid w:val="00734ADD"/>
    <w:rsid w:val="00735E38"/>
    <w:rsid w:val="00737164"/>
    <w:rsid w:val="0074035D"/>
    <w:rsid w:val="00740624"/>
    <w:rsid w:val="0074072A"/>
    <w:rsid w:val="00740AC7"/>
    <w:rsid w:val="00741FE7"/>
    <w:rsid w:val="007431D7"/>
    <w:rsid w:val="00743EDD"/>
    <w:rsid w:val="00744712"/>
    <w:rsid w:val="00745428"/>
    <w:rsid w:val="00745D1E"/>
    <w:rsid w:val="0074614F"/>
    <w:rsid w:val="00746324"/>
    <w:rsid w:val="00746787"/>
    <w:rsid w:val="00750BC3"/>
    <w:rsid w:val="00751723"/>
    <w:rsid w:val="00751CF9"/>
    <w:rsid w:val="0075437A"/>
    <w:rsid w:val="00754B64"/>
    <w:rsid w:val="007556F5"/>
    <w:rsid w:val="00756443"/>
    <w:rsid w:val="0075663E"/>
    <w:rsid w:val="0075765A"/>
    <w:rsid w:val="0076047F"/>
    <w:rsid w:val="007611A0"/>
    <w:rsid w:val="00761255"/>
    <w:rsid w:val="00763496"/>
    <w:rsid w:val="00764D8F"/>
    <w:rsid w:val="00765655"/>
    <w:rsid w:val="0076586F"/>
    <w:rsid w:val="00765FCC"/>
    <w:rsid w:val="0076632E"/>
    <w:rsid w:val="007671E7"/>
    <w:rsid w:val="00770E9B"/>
    <w:rsid w:val="00772929"/>
    <w:rsid w:val="007739AA"/>
    <w:rsid w:val="007753A9"/>
    <w:rsid w:val="007756C9"/>
    <w:rsid w:val="00775A8C"/>
    <w:rsid w:val="0078014D"/>
    <w:rsid w:val="007805C9"/>
    <w:rsid w:val="007809F9"/>
    <w:rsid w:val="00781585"/>
    <w:rsid w:val="00782AEA"/>
    <w:rsid w:val="00783AFD"/>
    <w:rsid w:val="00784644"/>
    <w:rsid w:val="007903A7"/>
    <w:rsid w:val="00791DF3"/>
    <w:rsid w:val="00793F71"/>
    <w:rsid w:val="00795699"/>
    <w:rsid w:val="00795F74"/>
    <w:rsid w:val="007978DE"/>
    <w:rsid w:val="007A066C"/>
    <w:rsid w:val="007A161A"/>
    <w:rsid w:val="007A18FB"/>
    <w:rsid w:val="007A524C"/>
    <w:rsid w:val="007A58C1"/>
    <w:rsid w:val="007A5DD1"/>
    <w:rsid w:val="007A64FF"/>
    <w:rsid w:val="007A6AE4"/>
    <w:rsid w:val="007A6D13"/>
    <w:rsid w:val="007B095F"/>
    <w:rsid w:val="007B1B25"/>
    <w:rsid w:val="007B20FF"/>
    <w:rsid w:val="007B2E8D"/>
    <w:rsid w:val="007B3193"/>
    <w:rsid w:val="007B3F58"/>
    <w:rsid w:val="007B46E4"/>
    <w:rsid w:val="007B5576"/>
    <w:rsid w:val="007C0818"/>
    <w:rsid w:val="007C1387"/>
    <w:rsid w:val="007C209F"/>
    <w:rsid w:val="007C22D4"/>
    <w:rsid w:val="007C2EE0"/>
    <w:rsid w:val="007C3ABC"/>
    <w:rsid w:val="007C3BD5"/>
    <w:rsid w:val="007C3EFE"/>
    <w:rsid w:val="007C4847"/>
    <w:rsid w:val="007D06A2"/>
    <w:rsid w:val="007D1588"/>
    <w:rsid w:val="007D1A42"/>
    <w:rsid w:val="007D1AAF"/>
    <w:rsid w:val="007D481B"/>
    <w:rsid w:val="007D4E9E"/>
    <w:rsid w:val="007D50AE"/>
    <w:rsid w:val="007D59B5"/>
    <w:rsid w:val="007D5B7C"/>
    <w:rsid w:val="007D6CED"/>
    <w:rsid w:val="007E67C5"/>
    <w:rsid w:val="007E748C"/>
    <w:rsid w:val="007F063C"/>
    <w:rsid w:val="007F12F1"/>
    <w:rsid w:val="007F16E3"/>
    <w:rsid w:val="007F2950"/>
    <w:rsid w:val="007F2A91"/>
    <w:rsid w:val="007F2B34"/>
    <w:rsid w:val="007F2B4E"/>
    <w:rsid w:val="007F2E5A"/>
    <w:rsid w:val="007F4A9E"/>
    <w:rsid w:val="007F5A6B"/>
    <w:rsid w:val="007F625E"/>
    <w:rsid w:val="007F67D0"/>
    <w:rsid w:val="007F7222"/>
    <w:rsid w:val="007F7549"/>
    <w:rsid w:val="00800506"/>
    <w:rsid w:val="00800533"/>
    <w:rsid w:val="00801F97"/>
    <w:rsid w:val="008029BC"/>
    <w:rsid w:val="008034CE"/>
    <w:rsid w:val="00806678"/>
    <w:rsid w:val="00807C2C"/>
    <w:rsid w:val="00807C7D"/>
    <w:rsid w:val="00810806"/>
    <w:rsid w:val="00811A0A"/>
    <w:rsid w:val="00811D1A"/>
    <w:rsid w:val="00812755"/>
    <w:rsid w:val="00812814"/>
    <w:rsid w:val="00814E56"/>
    <w:rsid w:val="0081593A"/>
    <w:rsid w:val="00815F9E"/>
    <w:rsid w:val="00820238"/>
    <w:rsid w:val="00820949"/>
    <w:rsid w:val="00821037"/>
    <w:rsid w:val="008216B0"/>
    <w:rsid w:val="00821D05"/>
    <w:rsid w:val="00823E00"/>
    <w:rsid w:val="00824535"/>
    <w:rsid w:val="00824850"/>
    <w:rsid w:val="00826520"/>
    <w:rsid w:val="0082726A"/>
    <w:rsid w:val="00832AB7"/>
    <w:rsid w:val="0084062A"/>
    <w:rsid w:val="0084206A"/>
    <w:rsid w:val="008426B1"/>
    <w:rsid w:val="00842A2A"/>
    <w:rsid w:val="00843913"/>
    <w:rsid w:val="00844BE5"/>
    <w:rsid w:val="00844C1B"/>
    <w:rsid w:val="008455F8"/>
    <w:rsid w:val="00845FD5"/>
    <w:rsid w:val="00846260"/>
    <w:rsid w:val="00846C26"/>
    <w:rsid w:val="00847BB4"/>
    <w:rsid w:val="0085014A"/>
    <w:rsid w:val="00850B30"/>
    <w:rsid w:val="00851A80"/>
    <w:rsid w:val="00852451"/>
    <w:rsid w:val="008527E8"/>
    <w:rsid w:val="008540D3"/>
    <w:rsid w:val="008549E1"/>
    <w:rsid w:val="00854C01"/>
    <w:rsid w:val="008552AC"/>
    <w:rsid w:val="0085606F"/>
    <w:rsid w:val="008572A9"/>
    <w:rsid w:val="00857481"/>
    <w:rsid w:val="00860D31"/>
    <w:rsid w:val="00861153"/>
    <w:rsid w:val="00863B22"/>
    <w:rsid w:val="00865D67"/>
    <w:rsid w:val="00866568"/>
    <w:rsid w:val="00867D83"/>
    <w:rsid w:val="008700EE"/>
    <w:rsid w:val="008707E6"/>
    <w:rsid w:val="008708AD"/>
    <w:rsid w:val="00870A40"/>
    <w:rsid w:val="00870DEC"/>
    <w:rsid w:val="00871AA9"/>
    <w:rsid w:val="00871CFB"/>
    <w:rsid w:val="00871F72"/>
    <w:rsid w:val="008723CE"/>
    <w:rsid w:val="008725E3"/>
    <w:rsid w:val="00872E9B"/>
    <w:rsid w:val="0087392B"/>
    <w:rsid w:val="008739E0"/>
    <w:rsid w:val="00873AFC"/>
    <w:rsid w:val="008742D2"/>
    <w:rsid w:val="008745D1"/>
    <w:rsid w:val="0087648C"/>
    <w:rsid w:val="00876F54"/>
    <w:rsid w:val="0088068F"/>
    <w:rsid w:val="00880E93"/>
    <w:rsid w:val="008831FE"/>
    <w:rsid w:val="0088493D"/>
    <w:rsid w:val="008859F5"/>
    <w:rsid w:val="00885AAE"/>
    <w:rsid w:val="0088677C"/>
    <w:rsid w:val="00887039"/>
    <w:rsid w:val="008870CA"/>
    <w:rsid w:val="00887155"/>
    <w:rsid w:val="008876EE"/>
    <w:rsid w:val="0089089A"/>
    <w:rsid w:val="00891983"/>
    <w:rsid w:val="0089249C"/>
    <w:rsid w:val="0089295F"/>
    <w:rsid w:val="00892CAB"/>
    <w:rsid w:val="008934A6"/>
    <w:rsid w:val="008937AC"/>
    <w:rsid w:val="00893D51"/>
    <w:rsid w:val="00896792"/>
    <w:rsid w:val="0089681C"/>
    <w:rsid w:val="008A0358"/>
    <w:rsid w:val="008A1CAE"/>
    <w:rsid w:val="008A30E8"/>
    <w:rsid w:val="008A3937"/>
    <w:rsid w:val="008A4DA1"/>
    <w:rsid w:val="008A6C7E"/>
    <w:rsid w:val="008B047C"/>
    <w:rsid w:val="008B06FD"/>
    <w:rsid w:val="008B09A3"/>
    <w:rsid w:val="008B0BC5"/>
    <w:rsid w:val="008B122E"/>
    <w:rsid w:val="008B1E33"/>
    <w:rsid w:val="008B2320"/>
    <w:rsid w:val="008B3548"/>
    <w:rsid w:val="008C031C"/>
    <w:rsid w:val="008C035F"/>
    <w:rsid w:val="008C297E"/>
    <w:rsid w:val="008C5610"/>
    <w:rsid w:val="008C730B"/>
    <w:rsid w:val="008C73DB"/>
    <w:rsid w:val="008D0CB0"/>
    <w:rsid w:val="008D11AF"/>
    <w:rsid w:val="008D1E5D"/>
    <w:rsid w:val="008D253C"/>
    <w:rsid w:val="008D4F73"/>
    <w:rsid w:val="008D50C0"/>
    <w:rsid w:val="008D56F2"/>
    <w:rsid w:val="008D65BF"/>
    <w:rsid w:val="008D6B91"/>
    <w:rsid w:val="008D6FBB"/>
    <w:rsid w:val="008D76FD"/>
    <w:rsid w:val="008D7833"/>
    <w:rsid w:val="008E28DC"/>
    <w:rsid w:val="008E2ABF"/>
    <w:rsid w:val="008E302F"/>
    <w:rsid w:val="008E3147"/>
    <w:rsid w:val="008E3A0A"/>
    <w:rsid w:val="008E52C1"/>
    <w:rsid w:val="008E56E5"/>
    <w:rsid w:val="008E5F3A"/>
    <w:rsid w:val="008F0419"/>
    <w:rsid w:val="008F11CB"/>
    <w:rsid w:val="008F1529"/>
    <w:rsid w:val="008F2D39"/>
    <w:rsid w:val="008F35A0"/>
    <w:rsid w:val="008F3AD9"/>
    <w:rsid w:val="008F5544"/>
    <w:rsid w:val="008F5A5A"/>
    <w:rsid w:val="008F66D8"/>
    <w:rsid w:val="008F763B"/>
    <w:rsid w:val="00900404"/>
    <w:rsid w:val="00902496"/>
    <w:rsid w:val="00902B5A"/>
    <w:rsid w:val="00902D4E"/>
    <w:rsid w:val="00903125"/>
    <w:rsid w:val="0090454F"/>
    <w:rsid w:val="00904F54"/>
    <w:rsid w:val="009114A6"/>
    <w:rsid w:val="009117F8"/>
    <w:rsid w:val="00911E54"/>
    <w:rsid w:val="00912C55"/>
    <w:rsid w:val="00914EB4"/>
    <w:rsid w:val="00916F42"/>
    <w:rsid w:val="00917C5A"/>
    <w:rsid w:val="009204ED"/>
    <w:rsid w:val="00920637"/>
    <w:rsid w:val="00920886"/>
    <w:rsid w:val="00920F00"/>
    <w:rsid w:val="0092103C"/>
    <w:rsid w:val="00921BD9"/>
    <w:rsid w:val="00921C07"/>
    <w:rsid w:val="0092299D"/>
    <w:rsid w:val="0092459F"/>
    <w:rsid w:val="009248F9"/>
    <w:rsid w:val="00925866"/>
    <w:rsid w:val="0092713A"/>
    <w:rsid w:val="009300F5"/>
    <w:rsid w:val="00930ABC"/>
    <w:rsid w:val="00930CA2"/>
    <w:rsid w:val="00931BFE"/>
    <w:rsid w:val="00932A8B"/>
    <w:rsid w:val="00933406"/>
    <w:rsid w:val="0093480C"/>
    <w:rsid w:val="00934F88"/>
    <w:rsid w:val="00936A18"/>
    <w:rsid w:val="00937F75"/>
    <w:rsid w:val="009409B2"/>
    <w:rsid w:val="0094202A"/>
    <w:rsid w:val="009423C6"/>
    <w:rsid w:val="00942971"/>
    <w:rsid w:val="00943E43"/>
    <w:rsid w:val="00944476"/>
    <w:rsid w:val="00944F5C"/>
    <w:rsid w:val="00945A13"/>
    <w:rsid w:val="009477FA"/>
    <w:rsid w:val="00950F03"/>
    <w:rsid w:val="009514AF"/>
    <w:rsid w:val="00951FE2"/>
    <w:rsid w:val="00952113"/>
    <w:rsid w:val="009524B9"/>
    <w:rsid w:val="00952CD1"/>
    <w:rsid w:val="00952E90"/>
    <w:rsid w:val="0095334D"/>
    <w:rsid w:val="0095542E"/>
    <w:rsid w:val="0095782E"/>
    <w:rsid w:val="00957CC6"/>
    <w:rsid w:val="00960D43"/>
    <w:rsid w:val="00961A93"/>
    <w:rsid w:val="00961CF6"/>
    <w:rsid w:val="00962FDD"/>
    <w:rsid w:val="0096454C"/>
    <w:rsid w:val="0096520B"/>
    <w:rsid w:val="009656C3"/>
    <w:rsid w:val="00966BBB"/>
    <w:rsid w:val="00967277"/>
    <w:rsid w:val="00967A20"/>
    <w:rsid w:val="00970334"/>
    <w:rsid w:val="009730B2"/>
    <w:rsid w:val="00973534"/>
    <w:rsid w:val="0097590D"/>
    <w:rsid w:val="009764B5"/>
    <w:rsid w:val="009774B3"/>
    <w:rsid w:val="00980C7A"/>
    <w:rsid w:val="0098110A"/>
    <w:rsid w:val="00981370"/>
    <w:rsid w:val="0098274E"/>
    <w:rsid w:val="0098353C"/>
    <w:rsid w:val="009869BA"/>
    <w:rsid w:val="009876FC"/>
    <w:rsid w:val="00987868"/>
    <w:rsid w:val="0099007E"/>
    <w:rsid w:val="00990657"/>
    <w:rsid w:val="009906F5"/>
    <w:rsid w:val="00990ADF"/>
    <w:rsid w:val="00990DC1"/>
    <w:rsid w:val="00992439"/>
    <w:rsid w:val="0099298A"/>
    <w:rsid w:val="00992F54"/>
    <w:rsid w:val="00993BB6"/>
    <w:rsid w:val="00994FD4"/>
    <w:rsid w:val="00996784"/>
    <w:rsid w:val="00996BAF"/>
    <w:rsid w:val="009A031D"/>
    <w:rsid w:val="009A1067"/>
    <w:rsid w:val="009A1311"/>
    <w:rsid w:val="009A19B9"/>
    <w:rsid w:val="009A2070"/>
    <w:rsid w:val="009A4049"/>
    <w:rsid w:val="009A499B"/>
    <w:rsid w:val="009A6133"/>
    <w:rsid w:val="009A6FFB"/>
    <w:rsid w:val="009B2BC4"/>
    <w:rsid w:val="009B6563"/>
    <w:rsid w:val="009B681A"/>
    <w:rsid w:val="009B7C49"/>
    <w:rsid w:val="009C1EB1"/>
    <w:rsid w:val="009C20FB"/>
    <w:rsid w:val="009C260B"/>
    <w:rsid w:val="009C3856"/>
    <w:rsid w:val="009C4087"/>
    <w:rsid w:val="009C4ECE"/>
    <w:rsid w:val="009C5809"/>
    <w:rsid w:val="009C5D30"/>
    <w:rsid w:val="009C778F"/>
    <w:rsid w:val="009C79DA"/>
    <w:rsid w:val="009D07D8"/>
    <w:rsid w:val="009D54BA"/>
    <w:rsid w:val="009D6478"/>
    <w:rsid w:val="009D7F74"/>
    <w:rsid w:val="009E0B4D"/>
    <w:rsid w:val="009E16F5"/>
    <w:rsid w:val="009E2A59"/>
    <w:rsid w:val="009E444D"/>
    <w:rsid w:val="009E4AA9"/>
    <w:rsid w:val="009E4D19"/>
    <w:rsid w:val="009E5F4B"/>
    <w:rsid w:val="009E6FE7"/>
    <w:rsid w:val="009E71EA"/>
    <w:rsid w:val="009E7AD3"/>
    <w:rsid w:val="009E7F5B"/>
    <w:rsid w:val="009F10F2"/>
    <w:rsid w:val="009F1E05"/>
    <w:rsid w:val="009F2584"/>
    <w:rsid w:val="009F4336"/>
    <w:rsid w:val="009F44D9"/>
    <w:rsid w:val="009F4AFF"/>
    <w:rsid w:val="009F56EB"/>
    <w:rsid w:val="009F6CB5"/>
    <w:rsid w:val="00A01A36"/>
    <w:rsid w:val="00A021CF"/>
    <w:rsid w:val="00A03D66"/>
    <w:rsid w:val="00A043EC"/>
    <w:rsid w:val="00A04659"/>
    <w:rsid w:val="00A05972"/>
    <w:rsid w:val="00A066E5"/>
    <w:rsid w:val="00A06F80"/>
    <w:rsid w:val="00A07BCC"/>
    <w:rsid w:val="00A07CC1"/>
    <w:rsid w:val="00A10828"/>
    <w:rsid w:val="00A11206"/>
    <w:rsid w:val="00A11F91"/>
    <w:rsid w:val="00A12253"/>
    <w:rsid w:val="00A1246D"/>
    <w:rsid w:val="00A12DE9"/>
    <w:rsid w:val="00A14E67"/>
    <w:rsid w:val="00A2183D"/>
    <w:rsid w:val="00A21F8C"/>
    <w:rsid w:val="00A2222D"/>
    <w:rsid w:val="00A22360"/>
    <w:rsid w:val="00A22702"/>
    <w:rsid w:val="00A23580"/>
    <w:rsid w:val="00A235CE"/>
    <w:rsid w:val="00A244C1"/>
    <w:rsid w:val="00A244F7"/>
    <w:rsid w:val="00A246BE"/>
    <w:rsid w:val="00A24706"/>
    <w:rsid w:val="00A24CC1"/>
    <w:rsid w:val="00A25877"/>
    <w:rsid w:val="00A2589D"/>
    <w:rsid w:val="00A25C50"/>
    <w:rsid w:val="00A27094"/>
    <w:rsid w:val="00A300BD"/>
    <w:rsid w:val="00A31048"/>
    <w:rsid w:val="00A317F5"/>
    <w:rsid w:val="00A34B42"/>
    <w:rsid w:val="00A34BA8"/>
    <w:rsid w:val="00A3500F"/>
    <w:rsid w:val="00A37998"/>
    <w:rsid w:val="00A400C7"/>
    <w:rsid w:val="00A4047B"/>
    <w:rsid w:val="00A4052C"/>
    <w:rsid w:val="00A407BC"/>
    <w:rsid w:val="00A4094F"/>
    <w:rsid w:val="00A40D66"/>
    <w:rsid w:val="00A4145D"/>
    <w:rsid w:val="00A42100"/>
    <w:rsid w:val="00A422A3"/>
    <w:rsid w:val="00A42BF1"/>
    <w:rsid w:val="00A44B21"/>
    <w:rsid w:val="00A44B24"/>
    <w:rsid w:val="00A4533D"/>
    <w:rsid w:val="00A453DE"/>
    <w:rsid w:val="00A45926"/>
    <w:rsid w:val="00A47617"/>
    <w:rsid w:val="00A479F5"/>
    <w:rsid w:val="00A51569"/>
    <w:rsid w:val="00A521B0"/>
    <w:rsid w:val="00A52B18"/>
    <w:rsid w:val="00A5312C"/>
    <w:rsid w:val="00A5339E"/>
    <w:rsid w:val="00A5500B"/>
    <w:rsid w:val="00A55DF4"/>
    <w:rsid w:val="00A5651D"/>
    <w:rsid w:val="00A572E8"/>
    <w:rsid w:val="00A6062D"/>
    <w:rsid w:val="00A6121C"/>
    <w:rsid w:val="00A62CDD"/>
    <w:rsid w:val="00A6436D"/>
    <w:rsid w:val="00A64540"/>
    <w:rsid w:val="00A64B7F"/>
    <w:rsid w:val="00A65A76"/>
    <w:rsid w:val="00A6721C"/>
    <w:rsid w:val="00A6779B"/>
    <w:rsid w:val="00A6789E"/>
    <w:rsid w:val="00A70E39"/>
    <w:rsid w:val="00A71E81"/>
    <w:rsid w:val="00A721A9"/>
    <w:rsid w:val="00A73A9D"/>
    <w:rsid w:val="00A7402E"/>
    <w:rsid w:val="00A753A5"/>
    <w:rsid w:val="00A75ADE"/>
    <w:rsid w:val="00A75F84"/>
    <w:rsid w:val="00A763AF"/>
    <w:rsid w:val="00A778B0"/>
    <w:rsid w:val="00A80459"/>
    <w:rsid w:val="00A80ED4"/>
    <w:rsid w:val="00A83BE5"/>
    <w:rsid w:val="00A84A19"/>
    <w:rsid w:val="00A86149"/>
    <w:rsid w:val="00A862DF"/>
    <w:rsid w:val="00A86536"/>
    <w:rsid w:val="00A86608"/>
    <w:rsid w:val="00A87541"/>
    <w:rsid w:val="00A87E1E"/>
    <w:rsid w:val="00A9047D"/>
    <w:rsid w:val="00A91F9B"/>
    <w:rsid w:val="00A933ED"/>
    <w:rsid w:val="00A93C9E"/>
    <w:rsid w:val="00A94168"/>
    <w:rsid w:val="00A95776"/>
    <w:rsid w:val="00A95B6A"/>
    <w:rsid w:val="00A96501"/>
    <w:rsid w:val="00A97191"/>
    <w:rsid w:val="00A97AB3"/>
    <w:rsid w:val="00AA0812"/>
    <w:rsid w:val="00AA10DD"/>
    <w:rsid w:val="00AA2C58"/>
    <w:rsid w:val="00AA3CA2"/>
    <w:rsid w:val="00AA469E"/>
    <w:rsid w:val="00AA4E17"/>
    <w:rsid w:val="00AA4FA2"/>
    <w:rsid w:val="00AA66BB"/>
    <w:rsid w:val="00AB146B"/>
    <w:rsid w:val="00AB1557"/>
    <w:rsid w:val="00AB1EAB"/>
    <w:rsid w:val="00AB286B"/>
    <w:rsid w:val="00AB3499"/>
    <w:rsid w:val="00AB43D8"/>
    <w:rsid w:val="00AB5884"/>
    <w:rsid w:val="00AB5DF3"/>
    <w:rsid w:val="00AB735D"/>
    <w:rsid w:val="00AC30CD"/>
    <w:rsid w:val="00AC3C49"/>
    <w:rsid w:val="00AC4773"/>
    <w:rsid w:val="00AC48BA"/>
    <w:rsid w:val="00AC4F3A"/>
    <w:rsid w:val="00AC526F"/>
    <w:rsid w:val="00AC5E22"/>
    <w:rsid w:val="00AC6378"/>
    <w:rsid w:val="00AC70FF"/>
    <w:rsid w:val="00AD0F5A"/>
    <w:rsid w:val="00AD250F"/>
    <w:rsid w:val="00AD309A"/>
    <w:rsid w:val="00AD5029"/>
    <w:rsid w:val="00AD562A"/>
    <w:rsid w:val="00AD62A1"/>
    <w:rsid w:val="00AE0255"/>
    <w:rsid w:val="00AE1586"/>
    <w:rsid w:val="00AE2496"/>
    <w:rsid w:val="00AE347E"/>
    <w:rsid w:val="00AE3E38"/>
    <w:rsid w:val="00AE431F"/>
    <w:rsid w:val="00AE4FB4"/>
    <w:rsid w:val="00AE5594"/>
    <w:rsid w:val="00AE6016"/>
    <w:rsid w:val="00AE6775"/>
    <w:rsid w:val="00AF06D0"/>
    <w:rsid w:val="00AF1066"/>
    <w:rsid w:val="00AF2170"/>
    <w:rsid w:val="00AF33B7"/>
    <w:rsid w:val="00AF5903"/>
    <w:rsid w:val="00B02DDD"/>
    <w:rsid w:val="00B0419B"/>
    <w:rsid w:val="00B058B7"/>
    <w:rsid w:val="00B06B8B"/>
    <w:rsid w:val="00B1008F"/>
    <w:rsid w:val="00B1067F"/>
    <w:rsid w:val="00B1097D"/>
    <w:rsid w:val="00B12AE6"/>
    <w:rsid w:val="00B12D88"/>
    <w:rsid w:val="00B13489"/>
    <w:rsid w:val="00B13772"/>
    <w:rsid w:val="00B13CCB"/>
    <w:rsid w:val="00B14DA3"/>
    <w:rsid w:val="00B151F6"/>
    <w:rsid w:val="00B1530F"/>
    <w:rsid w:val="00B15EC2"/>
    <w:rsid w:val="00B162A1"/>
    <w:rsid w:val="00B166BC"/>
    <w:rsid w:val="00B170E4"/>
    <w:rsid w:val="00B20AAE"/>
    <w:rsid w:val="00B20C46"/>
    <w:rsid w:val="00B25772"/>
    <w:rsid w:val="00B309FD"/>
    <w:rsid w:val="00B313BB"/>
    <w:rsid w:val="00B32AB3"/>
    <w:rsid w:val="00B33B5A"/>
    <w:rsid w:val="00B33BD3"/>
    <w:rsid w:val="00B33F61"/>
    <w:rsid w:val="00B34113"/>
    <w:rsid w:val="00B34515"/>
    <w:rsid w:val="00B378D7"/>
    <w:rsid w:val="00B40229"/>
    <w:rsid w:val="00B41787"/>
    <w:rsid w:val="00B419B0"/>
    <w:rsid w:val="00B43324"/>
    <w:rsid w:val="00B455C6"/>
    <w:rsid w:val="00B45968"/>
    <w:rsid w:val="00B45D86"/>
    <w:rsid w:val="00B46A28"/>
    <w:rsid w:val="00B47BC6"/>
    <w:rsid w:val="00B521B9"/>
    <w:rsid w:val="00B53B55"/>
    <w:rsid w:val="00B5556D"/>
    <w:rsid w:val="00B55DB2"/>
    <w:rsid w:val="00B55FF4"/>
    <w:rsid w:val="00B56892"/>
    <w:rsid w:val="00B60F70"/>
    <w:rsid w:val="00B61305"/>
    <w:rsid w:val="00B61974"/>
    <w:rsid w:val="00B6274E"/>
    <w:rsid w:val="00B64F89"/>
    <w:rsid w:val="00B65ACB"/>
    <w:rsid w:val="00B65E15"/>
    <w:rsid w:val="00B66465"/>
    <w:rsid w:val="00B67681"/>
    <w:rsid w:val="00B6770E"/>
    <w:rsid w:val="00B72F85"/>
    <w:rsid w:val="00B737F9"/>
    <w:rsid w:val="00B745CA"/>
    <w:rsid w:val="00B77CAD"/>
    <w:rsid w:val="00B813FF"/>
    <w:rsid w:val="00B81595"/>
    <w:rsid w:val="00B81803"/>
    <w:rsid w:val="00B8363D"/>
    <w:rsid w:val="00B83F95"/>
    <w:rsid w:val="00B8419D"/>
    <w:rsid w:val="00B84A78"/>
    <w:rsid w:val="00B84EFD"/>
    <w:rsid w:val="00B8585B"/>
    <w:rsid w:val="00B90C1E"/>
    <w:rsid w:val="00B91214"/>
    <w:rsid w:val="00B9187C"/>
    <w:rsid w:val="00B918EB"/>
    <w:rsid w:val="00B94168"/>
    <w:rsid w:val="00B94FB5"/>
    <w:rsid w:val="00B95085"/>
    <w:rsid w:val="00B950C7"/>
    <w:rsid w:val="00BA1E99"/>
    <w:rsid w:val="00BA1ED9"/>
    <w:rsid w:val="00BA32B4"/>
    <w:rsid w:val="00BA3354"/>
    <w:rsid w:val="00BA3F33"/>
    <w:rsid w:val="00BA52AA"/>
    <w:rsid w:val="00BA556A"/>
    <w:rsid w:val="00BA575C"/>
    <w:rsid w:val="00BA6D1C"/>
    <w:rsid w:val="00BA756E"/>
    <w:rsid w:val="00BB0ACE"/>
    <w:rsid w:val="00BB0D7E"/>
    <w:rsid w:val="00BB24D9"/>
    <w:rsid w:val="00BB3041"/>
    <w:rsid w:val="00BB39BF"/>
    <w:rsid w:val="00BB4055"/>
    <w:rsid w:val="00BB574A"/>
    <w:rsid w:val="00BB6FD2"/>
    <w:rsid w:val="00BC0526"/>
    <w:rsid w:val="00BC117F"/>
    <w:rsid w:val="00BC125A"/>
    <w:rsid w:val="00BC3305"/>
    <w:rsid w:val="00BC33DB"/>
    <w:rsid w:val="00BC484D"/>
    <w:rsid w:val="00BC4A84"/>
    <w:rsid w:val="00BC5300"/>
    <w:rsid w:val="00BC5869"/>
    <w:rsid w:val="00BC5D6D"/>
    <w:rsid w:val="00BC6C80"/>
    <w:rsid w:val="00BD1D78"/>
    <w:rsid w:val="00BD4B66"/>
    <w:rsid w:val="00BD4FD7"/>
    <w:rsid w:val="00BD5BD4"/>
    <w:rsid w:val="00BD633F"/>
    <w:rsid w:val="00BD649D"/>
    <w:rsid w:val="00BD65C8"/>
    <w:rsid w:val="00BD6780"/>
    <w:rsid w:val="00BD6ADF"/>
    <w:rsid w:val="00BD6BED"/>
    <w:rsid w:val="00BD6E45"/>
    <w:rsid w:val="00BD75D0"/>
    <w:rsid w:val="00BE1C05"/>
    <w:rsid w:val="00BE5F7D"/>
    <w:rsid w:val="00BE605C"/>
    <w:rsid w:val="00BE7317"/>
    <w:rsid w:val="00BE734A"/>
    <w:rsid w:val="00BE7535"/>
    <w:rsid w:val="00BF0280"/>
    <w:rsid w:val="00BF15B6"/>
    <w:rsid w:val="00BF1BCB"/>
    <w:rsid w:val="00BF2B78"/>
    <w:rsid w:val="00BF3FF8"/>
    <w:rsid w:val="00BF630D"/>
    <w:rsid w:val="00BF7504"/>
    <w:rsid w:val="00BF7EAE"/>
    <w:rsid w:val="00BF7F4F"/>
    <w:rsid w:val="00C00478"/>
    <w:rsid w:val="00C0184F"/>
    <w:rsid w:val="00C02F46"/>
    <w:rsid w:val="00C03235"/>
    <w:rsid w:val="00C05E0F"/>
    <w:rsid w:val="00C060E6"/>
    <w:rsid w:val="00C0762F"/>
    <w:rsid w:val="00C07D83"/>
    <w:rsid w:val="00C111A6"/>
    <w:rsid w:val="00C114CF"/>
    <w:rsid w:val="00C11AF4"/>
    <w:rsid w:val="00C13EC9"/>
    <w:rsid w:val="00C14C27"/>
    <w:rsid w:val="00C1504E"/>
    <w:rsid w:val="00C15192"/>
    <w:rsid w:val="00C155FD"/>
    <w:rsid w:val="00C156BB"/>
    <w:rsid w:val="00C1611F"/>
    <w:rsid w:val="00C16906"/>
    <w:rsid w:val="00C16D1C"/>
    <w:rsid w:val="00C172FF"/>
    <w:rsid w:val="00C20043"/>
    <w:rsid w:val="00C20B4C"/>
    <w:rsid w:val="00C223CA"/>
    <w:rsid w:val="00C235A1"/>
    <w:rsid w:val="00C23DDB"/>
    <w:rsid w:val="00C23E86"/>
    <w:rsid w:val="00C24A04"/>
    <w:rsid w:val="00C24EE0"/>
    <w:rsid w:val="00C2589B"/>
    <w:rsid w:val="00C265F9"/>
    <w:rsid w:val="00C26EBA"/>
    <w:rsid w:val="00C2752D"/>
    <w:rsid w:val="00C27C1F"/>
    <w:rsid w:val="00C27DC3"/>
    <w:rsid w:val="00C30754"/>
    <w:rsid w:val="00C3091F"/>
    <w:rsid w:val="00C310BF"/>
    <w:rsid w:val="00C327A1"/>
    <w:rsid w:val="00C34CEC"/>
    <w:rsid w:val="00C357FB"/>
    <w:rsid w:val="00C3610C"/>
    <w:rsid w:val="00C42626"/>
    <w:rsid w:val="00C42B05"/>
    <w:rsid w:val="00C43093"/>
    <w:rsid w:val="00C43205"/>
    <w:rsid w:val="00C43280"/>
    <w:rsid w:val="00C45156"/>
    <w:rsid w:val="00C45DB1"/>
    <w:rsid w:val="00C47116"/>
    <w:rsid w:val="00C474EA"/>
    <w:rsid w:val="00C47C05"/>
    <w:rsid w:val="00C5220F"/>
    <w:rsid w:val="00C53B25"/>
    <w:rsid w:val="00C53F15"/>
    <w:rsid w:val="00C57242"/>
    <w:rsid w:val="00C6032B"/>
    <w:rsid w:val="00C60D12"/>
    <w:rsid w:val="00C61041"/>
    <w:rsid w:val="00C6184C"/>
    <w:rsid w:val="00C61ED0"/>
    <w:rsid w:val="00C629AC"/>
    <w:rsid w:val="00C64085"/>
    <w:rsid w:val="00C6446D"/>
    <w:rsid w:val="00C66455"/>
    <w:rsid w:val="00C664E8"/>
    <w:rsid w:val="00C6729C"/>
    <w:rsid w:val="00C706C2"/>
    <w:rsid w:val="00C71739"/>
    <w:rsid w:val="00C7401C"/>
    <w:rsid w:val="00C77862"/>
    <w:rsid w:val="00C77F68"/>
    <w:rsid w:val="00C81112"/>
    <w:rsid w:val="00C82179"/>
    <w:rsid w:val="00C8514D"/>
    <w:rsid w:val="00C85CFC"/>
    <w:rsid w:val="00C86360"/>
    <w:rsid w:val="00C86D94"/>
    <w:rsid w:val="00C86F3A"/>
    <w:rsid w:val="00C92C79"/>
    <w:rsid w:val="00C942AA"/>
    <w:rsid w:val="00C945D9"/>
    <w:rsid w:val="00C95599"/>
    <w:rsid w:val="00C958E2"/>
    <w:rsid w:val="00C970F9"/>
    <w:rsid w:val="00C971D9"/>
    <w:rsid w:val="00C97502"/>
    <w:rsid w:val="00CA083F"/>
    <w:rsid w:val="00CA3831"/>
    <w:rsid w:val="00CA3839"/>
    <w:rsid w:val="00CA6BDF"/>
    <w:rsid w:val="00CA6E57"/>
    <w:rsid w:val="00CA724D"/>
    <w:rsid w:val="00CB1FD8"/>
    <w:rsid w:val="00CB21A5"/>
    <w:rsid w:val="00CB46D6"/>
    <w:rsid w:val="00CB5748"/>
    <w:rsid w:val="00CB6759"/>
    <w:rsid w:val="00CB685C"/>
    <w:rsid w:val="00CB7130"/>
    <w:rsid w:val="00CB71DA"/>
    <w:rsid w:val="00CB7349"/>
    <w:rsid w:val="00CB7AD6"/>
    <w:rsid w:val="00CC1269"/>
    <w:rsid w:val="00CC1DB5"/>
    <w:rsid w:val="00CC2838"/>
    <w:rsid w:val="00CC3BF5"/>
    <w:rsid w:val="00CC3F69"/>
    <w:rsid w:val="00CC447C"/>
    <w:rsid w:val="00CC49D1"/>
    <w:rsid w:val="00CC6502"/>
    <w:rsid w:val="00CC68AE"/>
    <w:rsid w:val="00CC6BCB"/>
    <w:rsid w:val="00CD0041"/>
    <w:rsid w:val="00CD02A3"/>
    <w:rsid w:val="00CD0C1A"/>
    <w:rsid w:val="00CD1EEE"/>
    <w:rsid w:val="00CD30E3"/>
    <w:rsid w:val="00CD4648"/>
    <w:rsid w:val="00CD4D87"/>
    <w:rsid w:val="00CD52BD"/>
    <w:rsid w:val="00CD699A"/>
    <w:rsid w:val="00CE08E0"/>
    <w:rsid w:val="00CE15C3"/>
    <w:rsid w:val="00CE173A"/>
    <w:rsid w:val="00CE2AB9"/>
    <w:rsid w:val="00CE30B0"/>
    <w:rsid w:val="00CE3F6F"/>
    <w:rsid w:val="00CE3FF4"/>
    <w:rsid w:val="00CE5542"/>
    <w:rsid w:val="00CE6636"/>
    <w:rsid w:val="00CE7253"/>
    <w:rsid w:val="00CE74BD"/>
    <w:rsid w:val="00CE7588"/>
    <w:rsid w:val="00CE76B8"/>
    <w:rsid w:val="00CE7DF0"/>
    <w:rsid w:val="00CF087F"/>
    <w:rsid w:val="00CF1983"/>
    <w:rsid w:val="00CF25DE"/>
    <w:rsid w:val="00CF4769"/>
    <w:rsid w:val="00CF5631"/>
    <w:rsid w:val="00CF62E4"/>
    <w:rsid w:val="00CF6531"/>
    <w:rsid w:val="00D0084F"/>
    <w:rsid w:val="00D01607"/>
    <w:rsid w:val="00D050D2"/>
    <w:rsid w:val="00D05695"/>
    <w:rsid w:val="00D05DE5"/>
    <w:rsid w:val="00D0632E"/>
    <w:rsid w:val="00D1468E"/>
    <w:rsid w:val="00D146F3"/>
    <w:rsid w:val="00D14E1B"/>
    <w:rsid w:val="00D155B8"/>
    <w:rsid w:val="00D15ADC"/>
    <w:rsid w:val="00D1603C"/>
    <w:rsid w:val="00D174B5"/>
    <w:rsid w:val="00D17C45"/>
    <w:rsid w:val="00D2058C"/>
    <w:rsid w:val="00D210CD"/>
    <w:rsid w:val="00D21B9F"/>
    <w:rsid w:val="00D24E9B"/>
    <w:rsid w:val="00D25080"/>
    <w:rsid w:val="00D27D79"/>
    <w:rsid w:val="00D3081D"/>
    <w:rsid w:val="00D3105A"/>
    <w:rsid w:val="00D31DDE"/>
    <w:rsid w:val="00D329E3"/>
    <w:rsid w:val="00D33E7F"/>
    <w:rsid w:val="00D343AC"/>
    <w:rsid w:val="00D34B3E"/>
    <w:rsid w:val="00D350B0"/>
    <w:rsid w:val="00D35B53"/>
    <w:rsid w:val="00D36106"/>
    <w:rsid w:val="00D36875"/>
    <w:rsid w:val="00D3781F"/>
    <w:rsid w:val="00D40011"/>
    <w:rsid w:val="00D40099"/>
    <w:rsid w:val="00D44E99"/>
    <w:rsid w:val="00D47F84"/>
    <w:rsid w:val="00D501C5"/>
    <w:rsid w:val="00D50F3B"/>
    <w:rsid w:val="00D546A7"/>
    <w:rsid w:val="00D5484F"/>
    <w:rsid w:val="00D55B4D"/>
    <w:rsid w:val="00D55B9E"/>
    <w:rsid w:val="00D61243"/>
    <w:rsid w:val="00D614DF"/>
    <w:rsid w:val="00D6308E"/>
    <w:rsid w:val="00D67207"/>
    <w:rsid w:val="00D67671"/>
    <w:rsid w:val="00D70273"/>
    <w:rsid w:val="00D71A9B"/>
    <w:rsid w:val="00D74413"/>
    <w:rsid w:val="00D766FB"/>
    <w:rsid w:val="00D76BCB"/>
    <w:rsid w:val="00D76C41"/>
    <w:rsid w:val="00D76DD4"/>
    <w:rsid w:val="00D77666"/>
    <w:rsid w:val="00D776A7"/>
    <w:rsid w:val="00D800E5"/>
    <w:rsid w:val="00D805E5"/>
    <w:rsid w:val="00D82315"/>
    <w:rsid w:val="00D82BC9"/>
    <w:rsid w:val="00D84C6D"/>
    <w:rsid w:val="00D862FC"/>
    <w:rsid w:val="00D86F85"/>
    <w:rsid w:val="00D92080"/>
    <w:rsid w:val="00D931E5"/>
    <w:rsid w:val="00D935A0"/>
    <w:rsid w:val="00D950B7"/>
    <w:rsid w:val="00D95F70"/>
    <w:rsid w:val="00D9667F"/>
    <w:rsid w:val="00DA0BB9"/>
    <w:rsid w:val="00DA1433"/>
    <w:rsid w:val="00DA2193"/>
    <w:rsid w:val="00DA2885"/>
    <w:rsid w:val="00DA3A98"/>
    <w:rsid w:val="00DA436A"/>
    <w:rsid w:val="00DA442C"/>
    <w:rsid w:val="00DA4C76"/>
    <w:rsid w:val="00DA67E2"/>
    <w:rsid w:val="00DA6B67"/>
    <w:rsid w:val="00DA7537"/>
    <w:rsid w:val="00DB00A4"/>
    <w:rsid w:val="00DB0143"/>
    <w:rsid w:val="00DB085E"/>
    <w:rsid w:val="00DB09F3"/>
    <w:rsid w:val="00DB0D6F"/>
    <w:rsid w:val="00DB1AD6"/>
    <w:rsid w:val="00DB26B1"/>
    <w:rsid w:val="00DB2CBA"/>
    <w:rsid w:val="00DB31E8"/>
    <w:rsid w:val="00DB327B"/>
    <w:rsid w:val="00DB4382"/>
    <w:rsid w:val="00DB7404"/>
    <w:rsid w:val="00DC0E3A"/>
    <w:rsid w:val="00DC1FC3"/>
    <w:rsid w:val="00DC2CC5"/>
    <w:rsid w:val="00DC35DF"/>
    <w:rsid w:val="00DC41D6"/>
    <w:rsid w:val="00DC4E65"/>
    <w:rsid w:val="00DC518E"/>
    <w:rsid w:val="00DC5C19"/>
    <w:rsid w:val="00DC63A3"/>
    <w:rsid w:val="00DC651F"/>
    <w:rsid w:val="00DC6E39"/>
    <w:rsid w:val="00DC7C10"/>
    <w:rsid w:val="00DD1987"/>
    <w:rsid w:val="00DD258F"/>
    <w:rsid w:val="00DD2F03"/>
    <w:rsid w:val="00DD3102"/>
    <w:rsid w:val="00DD44D9"/>
    <w:rsid w:val="00DD4B70"/>
    <w:rsid w:val="00DD5428"/>
    <w:rsid w:val="00DD660F"/>
    <w:rsid w:val="00DD6788"/>
    <w:rsid w:val="00DD7301"/>
    <w:rsid w:val="00DE0C1F"/>
    <w:rsid w:val="00DE150D"/>
    <w:rsid w:val="00DE3147"/>
    <w:rsid w:val="00DE3A08"/>
    <w:rsid w:val="00DE3E18"/>
    <w:rsid w:val="00DE5978"/>
    <w:rsid w:val="00DE7BA0"/>
    <w:rsid w:val="00DF1801"/>
    <w:rsid w:val="00DF1A80"/>
    <w:rsid w:val="00DF244E"/>
    <w:rsid w:val="00DF3C0E"/>
    <w:rsid w:val="00DF5F24"/>
    <w:rsid w:val="00DF612D"/>
    <w:rsid w:val="00E001E1"/>
    <w:rsid w:val="00E00BBD"/>
    <w:rsid w:val="00E00D37"/>
    <w:rsid w:val="00E00DC7"/>
    <w:rsid w:val="00E01119"/>
    <w:rsid w:val="00E013C0"/>
    <w:rsid w:val="00E019F9"/>
    <w:rsid w:val="00E01B11"/>
    <w:rsid w:val="00E01C56"/>
    <w:rsid w:val="00E056B3"/>
    <w:rsid w:val="00E06CA4"/>
    <w:rsid w:val="00E120BE"/>
    <w:rsid w:val="00E13443"/>
    <w:rsid w:val="00E13CB5"/>
    <w:rsid w:val="00E13E56"/>
    <w:rsid w:val="00E158D3"/>
    <w:rsid w:val="00E161DD"/>
    <w:rsid w:val="00E16C68"/>
    <w:rsid w:val="00E16F0E"/>
    <w:rsid w:val="00E17011"/>
    <w:rsid w:val="00E20168"/>
    <w:rsid w:val="00E20343"/>
    <w:rsid w:val="00E2084D"/>
    <w:rsid w:val="00E20FB4"/>
    <w:rsid w:val="00E21C25"/>
    <w:rsid w:val="00E23772"/>
    <w:rsid w:val="00E2407D"/>
    <w:rsid w:val="00E2437C"/>
    <w:rsid w:val="00E25C00"/>
    <w:rsid w:val="00E26496"/>
    <w:rsid w:val="00E265BF"/>
    <w:rsid w:val="00E27798"/>
    <w:rsid w:val="00E300F3"/>
    <w:rsid w:val="00E30660"/>
    <w:rsid w:val="00E3118E"/>
    <w:rsid w:val="00E3119C"/>
    <w:rsid w:val="00E31AB2"/>
    <w:rsid w:val="00E329C8"/>
    <w:rsid w:val="00E342CC"/>
    <w:rsid w:val="00E34909"/>
    <w:rsid w:val="00E34C03"/>
    <w:rsid w:val="00E34D35"/>
    <w:rsid w:val="00E352A0"/>
    <w:rsid w:val="00E40454"/>
    <w:rsid w:val="00E4059A"/>
    <w:rsid w:val="00E41E45"/>
    <w:rsid w:val="00E4254A"/>
    <w:rsid w:val="00E44304"/>
    <w:rsid w:val="00E449B7"/>
    <w:rsid w:val="00E45FE3"/>
    <w:rsid w:val="00E46217"/>
    <w:rsid w:val="00E46895"/>
    <w:rsid w:val="00E50A35"/>
    <w:rsid w:val="00E529B3"/>
    <w:rsid w:val="00E53335"/>
    <w:rsid w:val="00E53479"/>
    <w:rsid w:val="00E547AD"/>
    <w:rsid w:val="00E549E7"/>
    <w:rsid w:val="00E55B1C"/>
    <w:rsid w:val="00E55CA2"/>
    <w:rsid w:val="00E55E7D"/>
    <w:rsid w:val="00E56543"/>
    <w:rsid w:val="00E56629"/>
    <w:rsid w:val="00E56E66"/>
    <w:rsid w:val="00E56FD8"/>
    <w:rsid w:val="00E61572"/>
    <w:rsid w:val="00E62E40"/>
    <w:rsid w:val="00E6368B"/>
    <w:rsid w:val="00E638EA"/>
    <w:rsid w:val="00E63D90"/>
    <w:rsid w:val="00E64075"/>
    <w:rsid w:val="00E650B7"/>
    <w:rsid w:val="00E6666C"/>
    <w:rsid w:val="00E66C55"/>
    <w:rsid w:val="00E67622"/>
    <w:rsid w:val="00E7033D"/>
    <w:rsid w:val="00E72945"/>
    <w:rsid w:val="00E739ED"/>
    <w:rsid w:val="00E75A0E"/>
    <w:rsid w:val="00E75DE9"/>
    <w:rsid w:val="00E76353"/>
    <w:rsid w:val="00E76AAE"/>
    <w:rsid w:val="00E805A7"/>
    <w:rsid w:val="00E818C0"/>
    <w:rsid w:val="00E821E2"/>
    <w:rsid w:val="00E828F8"/>
    <w:rsid w:val="00E82C6A"/>
    <w:rsid w:val="00E8301C"/>
    <w:rsid w:val="00E833EB"/>
    <w:rsid w:val="00E84A77"/>
    <w:rsid w:val="00E86C35"/>
    <w:rsid w:val="00E906B5"/>
    <w:rsid w:val="00E91815"/>
    <w:rsid w:val="00E92014"/>
    <w:rsid w:val="00E92048"/>
    <w:rsid w:val="00E9485A"/>
    <w:rsid w:val="00E94AA0"/>
    <w:rsid w:val="00E94D1E"/>
    <w:rsid w:val="00E957DC"/>
    <w:rsid w:val="00E96BF3"/>
    <w:rsid w:val="00E971FE"/>
    <w:rsid w:val="00E97795"/>
    <w:rsid w:val="00EA01BE"/>
    <w:rsid w:val="00EA076D"/>
    <w:rsid w:val="00EA34ED"/>
    <w:rsid w:val="00EA3650"/>
    <w:rsid w:val="00EA471B"/>
    <w:rsid w:val="00EA6246"/>
    <w:rsid w:val="00EA648A"/>
    <w:rsid w:val="00EA694A"/>
    <w:rsid w:val="00EB02B5"/>
    <w:rsid w:val="00EB3792"/>
    <w:rsid w:val="00EB3EAB"/>
    <w:rsid w:val="00EB3FFF"/>
    <w:rsid w:val="00EB591F"/>
    <w:rsid w:val="00EB6423"/>
    <w:rsid w:val="00EB6AEE"/>
    <w:rsid w:val="00EB6F16"/>
    <w:rsid w:val="00EB7A45"/>
    <w:rsid w:val="00EB7C12"/>
    <w:rsid w:val="00EC1638"/>
    <w:rsid w:val="00EC27B8"/>
    <w:rsid w:val="00EC2DAE"/>
    <w:rsid w:val="00EC391C"/>
    <w:rsid w:val="00EC7465"/>
    <w:rsid w:val="00ED02C2"/>
    <w:rsid w:val="00ED096E"/>
    <w:rsid w:val="00ED14F7"/>
    <w:rsid w:val="00ED23B1"/>
    <w:rsid w:val="00ED3BAF"/>
    <w:rsid w:val="00ED59F5"/>
    <w:rsid w:val="00ED5BEC"/>
    <w:rsid w:val="00ED6E8F"/>
    <w:rsid w:val="00ED7135"/>
    <w:rsid w:val="00EE2B41"/>
    <w:rsid w:val="00EE2F0A"/>
    <w:rsid w:val="00EE347F"/>
    <w:rsid w:val="00EE3DA2"/>
    <w:rsid w:val="00EE4ADC"/>
    <w:rsid w:val="00EE5983"/>
    <w:rsid w:val="00EE5C6B"/>
    <w:rsid w:val="00EE6760"/>
    <w:rsid w:val="00EE68EC"/>
    <w:rsid w:val="00EE7040"/>
    <w:rsid w:val="00EF19BA"/>
    <w:rsid w:val="00EF3358"/>
    <w:rsid w:val="00EF7581"/>
    <w:rsid w:val="00EF76CF"/>
    <w:rsid w:val="00EF77E9"/>
    <w:rsid w:val="00EF7851"/>
    <w:rsid w:val="00F02A69"/>
    <w:rsid w:val="00F0365D"/>
    <w:rsid w:val="00F05287"/>
    <w:rsid w:val="00F0574D"/>
    <w:rsid w:val="00F05A64"/>
    <w:rsid w:val="00F05DE0"/>
    <w:rsid w:val="00F06E9D"/>
    <w:rsid w:val="00F107B4"/>
    <w:rsid w:val="00F113F9"/>
    <w:rsid w:val="00F11742"/>
    <w:rsid w:val="00F117DB"/>
    <w:rsid w:val="00F11CA8"/>
    <w:rsid w:val="00F1336A"/>
    <w:rsid w:val="00F1348C"/>
    <w:rsid w:val="00F15EA2"/>
    <w:rsid w:val="00F16683"/>
    <w:rsid w:val="00F16DBF"/>
    <w:rsid w:val="00F2128A"/>
    <w:rsid w:val="00F225A6"/>
    <w:rsid w:val="00F233FE"/>
    <w:rsid w:val="00F23D21"/>
    <w:rsid w:val="00F24AA7"/>
    <w:rsid w:val="00F25411"/>
    <w:rsid w:val="00F255E0"/>
    <w:rsid w:val="00F2579E"/>
    <w:rsid w:val="00F25835"/>
    <w:rsid w:val="00F26834"/>
    <w:rsid w:val="00F2684E"/>
    <w:rsid w:val="00F304EF"/>
    <w:rsid w:val="00F312C6"/>
    <w:rsid w:val="00F31439"/>
    <w:rsid w:val="00F315EE"/>
    <w:rsid w:val="00F321E2"/>
    <w:rsid w:val="00F32769"/>
    <w:rsid w:val="00F327C5"/>
    <w:rsid w:val="00F337C3"/>
    <w:rsid w:val="00F33966"/>
    <w:rsid w:val="00F33C4E"/>
    <w:rsid w:val="00F33DA3"/>
    <w:rsid w:val="00F341D4"/>
    <w:rsid w:val="00F343EE"/>
    <w:rsid w:val="00F355E6"/>
    <w:rsid w:val="00F35C92"/>
    <w:rsid w:val="00F36B1C"/>
    <w:rsid w:val="00F37A86"/>
    <w:rsid w:val="00F40F3F"/>
    <w:rsid w:val="00F4214F"/>
    <w:rsid w:val="00F428F2"/>
    <w:rsid w:val="00F43A1B"/>
    <w:rsid w:val="00F43E4D"/>
    <w:rsid w:val="00F4418B"/>
    <w:rsid w:val="00F44607"/>
    <w:rsid w:val="00F46B52"/>
    <w:rsid w:val="00F47486"/>
    <w:rsid w:val="00F47FEB"/>
    <w:rsid w:val="00F50CB2"/>
    <w:rsid w:val="00F50E45"/>
    <w:rsid w:val="00F5226B"/>
    <w:rsid w:val="00F53012"/>
    <w:rsid w:val="00F531A1"/>
    <w:rsid w:val="00F53412"/>
    <w:rsid w:val="00F54198"/>
    <w:rsid w:val="00F5513E"/>
    <w:rsid w:val="00F55549"/>
    <w:rsid w:val="00F55E68"/>
    <w:rsid w:val="00F560EF"/>
    <w:rsid w:val="00F57060"/>
    <w:rsid w:val="00F600C9"/>
    <w:rsid w:val="00F605BF"/>
    <w:rsid w:val="00F60FAA"/>
    <w:rsid w:val="00F6247E"/>
    <w:rsid w:val="00F6249F"/>
    <w:rsid w:val="00F626A2"/>
    <w:rsid w:val="00F64053"/>
    <w:rsid w:val="00F6407C"/>
    <w:rsid w:val="00F6551F"/>
    <w:rsid w:val="00F65BD3"/>
    <w:rsid w:val="00F70A20"/>
    <w:rsid w:val="00F70FEE"/>
    <w:rsid w:val="00F71AB7"/>
    <w:rsid w:val="00F725CD"/>
    <w:rsid w:val="00F72646"/>
    <w:rsid w:val="00F73E3D"/>
    <w:rsid w:val="00F73F7A"/>
    <w:rsid w:val="00F7471D"/>
    <w:rsid w:val="00F74CFC"/>
    <w:rsid w:val="00F76257"/>
    <w:rsid w:val="00F76311"/>
    <w:rsid w:val="00F80167"/>
    <w:rsid w:val="00F802B5"/>
    <w:rsid w:val="00F80951"/>
    <w:rsid w:val="00F80A02"/>
    <w:rsid w:val="00F82842"/>
    <w:rsid w:val="00F8336C"/>
    <w:rsid w:val="00F83E24"/>
    <w:rsid w:val="00F8417F"/>
    <w:rsid w:val="00F84639"/>
    <w:rsid w:val="00F8518B"/>
    <w:rsid w:val="00F87B02"/>
    <w:rsid w:val="00F87CB0"/>
    <w:rsid w:val="00F90AFE"/>
    <w:rsid w:val="00F90F34"/>
    <w:rsid w:val="00F910D5"/>
    <w:rsid w:val="00F91561"/>
    <w:rsid w:val="00F91E7F"/>
    <w:rsid w:val="00F933FB"/>
    <w:rsid w:val="00F9372A"/>
    <w:rsid w:val="00F9599B"/>
    <w:rsid w:val="00F968A3"/>
    <w:rsid w:val="00F96CBD"/>
    <w:rsid w:val="00F96D9C"/>
    <w:rsid w:val="00F973A5"/>
    <w:rsid w:val="00FA035B"/>
    <w:rsid w:val="00FA052F"/>
    <w:rsid w:val="00FA0625"/>
    <w:rsid w:val="00FA0A06"/>
    <w:rsid w:val="00FA206A"/>
    <w:rsid w:val="00FA24A2"/>
    <w:rsid w:val="00FA2EB1"/>
    <w:rsid w:val="00FA5BE1"/>
    <w:rsid w:val="00FA61AE"/>
    <w:rsid w:val="00FA6672"/>
    <w:rsid w:val="00FA6E4E"/>
    <w:rsid w:val="00FB1647"/>
    <w:rsid w:val="00FB1DFC"/>
    <w:rsid w:val="00FB20FA"/>
    <w:rsid w:val="00FB2260"/>
    <w:rsid w:val="00FB2D7B"/>
    <w:rsid w:val="00FB30B4"/>
    <w:rsid w:val="00FB3442"/>
    <w:rsid w:val="00FB3C84"/>
    <w:rsid w:val="00FB4DE9"/>
    <w:rsid w:val="00FB4E61"/>
    <w:rsid w:val="00FB5461"/>
    <w:rsid w:val="00FB57A2"/>
    <w:rsid w:val="00FB7DB1"/>
    <w:rsid w:val="00FC127A"/>
    <w:rsid w:val="00FC1A8D"/>
    <w:rsid w:val="00FC1F4D"/>
    <w:rsid w:val="00FC3385"/>
    <w:rsid w:val="00FC69AC"/>
    <w:rsid w:val="00FC7FC0"/>
    <w:rsid w:val="00FD1619"/>
    <w:rsid w:val="00FD1D20"/>
    <w:rsid w:val="00FD24FD"/>
    <w:rsid w:val="00FD2FC0"/>
    <w:rsid w:val="00FD3B58"/>
    <w:rsid w:val="00FD3C47"/>
    <w:rsid w:val="00FD3FB5"/>
    <w:rsid w:val="00FD4B57"/>
    <w:rsid w:val="00FD4C7C"/>
    <w:rsid w:val="00FD6E86"/>
    <w:rsid w:val="00FD705A"/>
    <w:rsid w:val="00FD7499"/>
    <w:rsid w:val="00FD7D81"/>
    <w:rsid w:val="00FE0556"/>
    <w:rsid w:val="00FE1BC9"/>
    <w:rsid w:val="00FE1EBD"/>
    <w:rsid w:val="00FE2244"/>
    <w:rsid w:val="00FE298C"/>
    <w:rsid w:val="00FE33DD"/>
    <w:rsid w:val="00FE4028"/>
    <w:rsid w:val="00FE4473"/>
    <w:rsid w:val="00FE4E40"/>
    <w:rsid w:val="00FE59A9"/>
    <w:rsid w:val="00FE62EF"/>
    <w:rsid w:val="00FE6580"/>
    <w:rsid w:val="00FE6F70"/>
    <w:rsid w:val="00FE76B8"/>
    <w:rsid w:val="00FF002C"/>
    <w:rsid w:val="00FF36BB"/>
    <w:rsid w:val="00FF5E39"/>
    <w:rsid w:val="00FF6A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0F4C578F-39D5-4557-8034-D41242FE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7A18FB"/>
    <w:pPr>
      <w:keepNext/>
      <w:keepLines/>
      <w:pageBreakBefore/>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98353C"/>
    <w:pPr>
      <w:keepNext/>
      <w:keepLines/>
      <w:numPr>
        <w:ilvl w:val="1"/>
        <w:numId w:val="16"/>
      </w:numPr>
      <w:spacing w:before="240" w:after="240"/>
      <w:ind w:left="68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663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34"/>
    <w:qFormat/>
    <w:pPr>
      <w:ind w:left="720"/>
    </w:pPr>
  </w:style>
  <w:style w:type="character" w:customStyle="1" w:styleId="Heading2Char">
    <w:name w:val="Heading 2 Char"/>
    <w:basedOn w:val="DefaultParagraphFont"/>
    <w:link w:val="Heading2"/>
    <w:uiPriority w:val="3"/>
    <w:rsid w:val="007A18FB"/>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98353C"/>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sid w:val="000D0519"/>
    <w:pPr>
      <w:outlineLvl w:val="0"/>
    </w:pPr>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aliases w:val="Subheading"/>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aliases w:val="Subheading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sid w:val="00AC4F3A"/>
    <w:pPr>
      <w:outlineLvl w:val="1"/>
    </w:pPr>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character" w:customStyle="1" w:styleId="UnresolvedMention1">
    <w:name w:val="Unresolved Mention1"/>
    <w:basedOn w:val="DefaultParagraphFont"/>
    <w:uiPriority w:val="99"/>
    <w:semiHidden/>
    <w:unhideWhenUsed/>
    <w:rsid w:val="00920637"/>
    <w:rPr>
      <w:color w:val="605E5C"/>
      <w:shd w:val="clear" w:color="auto" w:fill="E1DFDD"/>
    </w:rPr>
  </w:style>
  <w:style w:type="character" w:customStyle="1" w:styleId="Heading9Char">
    <w:name w:val="Heading 9 Char"/>
    <w:basedOn w:val="DefaultParagraphFont"/>
    <w:link w:val="Heading9"/>
    <w:uiPriority w:val="9"/>
    <w:semiHidden/>
    <w:rsid w:val="0007663D"/>
    <w:rPr>
      <w:rFonts w:asciiTheme="majorHAnsi" w:eastAsiaTheme="majorEastAsia" w:hAnsiTheme="majorHAnsi" w:cstheme="majorBidi"/>
      <w:i/>
      <w:iCs/>
      <w:color w:val="272727" w:themeColor="text1" w:themeTint="D8"/>
      <w:sz w:val="21"/>
      <w:szCs w:val="21"/>
      <w:lang w:eastAsia="en-US"/>
    </w:rPr>
  </w:style>
  <w:style w:type="character" w:customStyle="1" w:styleId="ListParagraphChar">
    <w:name w:val="List Paragraph Char"/>
    <w:basedOn w:val="DefaultParagraphFont"/>
    <w:link w:val="ListParagraph"/>
    <w:uiPriority w:val="34"/>
    <w:locked/>
    <w:rsid w:val="008B06FD"/>
    <w:rPr>
      <w:rFonts w:asciiTheme="minorHAnsi" w:eastAsiaTheme="minorHAnsi" w:hAnsiTheme="minorHAnsi" w:cstheme="minorBidi"/>
      <w:sz w:val="22"/>
      <w:szCs w:val="22"/>
      <w:lang w:eastAsia="en-US"/>
    </w:rPr>
  </w:style>
  <w:style w:type="table" w:customStyle="1" w:styleId="TableGrid0">
    <w:name w:val="TableGrid"/>
    <w:rsid w:val="009423C6"/>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AD562A"/>
  </w:style>
  <w:style w:type="character" w:styleId="UnresolvedMention">
    <w:name w:val="Unresolved Mention"/>
    <w:basedOn w:val="DefaultParagraphFont"/>
    <w:uiPriority w:val="99"/>
    <w:semiHidden/>
    <w:unhideWhenUsed/>
    <w:rsid w:val="00255E6D"/>
    <w:rPr>
      <w:color w:val="605E5C"/>
      <w:shd w:val="clear" w:color="auto" w:fill="E1DFDD"/>
    </w:rPr>
  </w:style>
  <w:style w:type="paragraph" w:customStyle="1" w:styleId="EndNoteBibliography">
    <w:name w:val="EndNote Bibliography"/>
    <w:basedOn w:val="Normal"/>
    <w:link w:val="EndNoteBibliographyChar"/>
    <w:rsid w:val="00A34B42"/>
    <w:pPr>
      <w:spacing w:after="16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34B42"/>
    <w:rPr>
      <w:rFonts w:ascii="Calibri" w:eastAsiaTheme="minorHAnsi" w:hAnsi="Calibri" w:cs="Calibri"/>
      <w:noProof/>
      <w:sz w:val="22"/>
      <w:szCs w:val="22"/>
      <w:lang w:val="en-US" w:eastAsia="en-US"/>
    </w:rPr>
  </w:style>
  <w:style w:type="paragraph" w:customStyle="1" w:styleId="AppendixTablecaption">
    <w:name w:val="Appendix Table caption"/>
    <w:basedOn w:val="Caption"/>
    <w:qFormat/>
    <w:rsid w:val="0072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197014854">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269057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1363898">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8593943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s://creativecommons.org/licenses/by/4.0/legalcode" TargetMode="External"/><Relationship Id="rId42" Type="http://schemas.openxmlformats.org/officeDocument/2006/relationships/footer" Target="footer10.xml"/><Relationship Id="rId47" Type="http://schemas.openxmlformats.org/officeDocument/2006/relationships/footer" Target="footer13.xml"/><Relationship Id="rId63" Type="http://schemas.openxmlformats.org/officeDocument/2006/relationships/hyperlink" Target="https://doi.org/10.1021/es0629460" TargetMode="External"/><Relationship Id="rId68" Type="http://schemas.openxmlformats.org/officeDocument/2006/relationships/hyperlink" Target="https://doi.org/10.1007/s11356-020-07958-3" TargetMode="External"/><Relationship Id="rId84" Type="http://schemas.openxmlformats.org/officeDocument/2006/relationships/hyperlink" Target="https://doi.org/10.1016/0043-1354(75)90192-X" TargetMode="External"/><Relationship Id="rId89" Type="http://schemas.openxmlformats.org/officeDocument/2006/relationships/hyperlink" Target="https://www.sekj.org/PDF/anzf32/anz32-317-329.pdf" TargetMode="External"/><Relationship Id="rId16" Type="http://schemas.openxmlformats.org/officeDocument/2006/relationships/footer" Target="footer2.xml"/><Relationship Id="rId11" Type="http://schemas.openxmlformats.org/officeDocument/2006/relationships/footnotes" Target="footnotes.xml"/><Relationship Id="rId32" Type="http://schemas.openxmlformats.org/officeDocument/2006/relationships/hyperlink" Target="http://www.waterquality.gov.au/anz-guidelines" TargetMode="External"/><Relationship Id="rId37" Type="http://schemas.openxmlformats.org/officeDocument/2006/relationships/footer" Target="footer7.xml"/><Relationship Id="rId53" Type="http://schemas.openxmlformats.org/officeDocument/2006/relationships/hyperlink" Target="https://doi.org/10.1021/es020033+" TargetMode="External"/><Relationship Id="rId58" Type="http://schemas.openxmlformats.org/officeDocument/2006/relationships/hyperlink" Target="https://doi.org/10.1007/s00244-018-0505-2" TargetMode="External"/><Relationship Id="rId74" Type="http://schemas.openxmlformats.org/officeDocument/2006/relationships/hyperlink" Target="https://doi.org/10.1039/AN9952002655" TargetMode="External"/><Relationship Id="rId79" Type="http://schemas.openxmlformats.org/officeDocument/2006/relationships/hyperlink" Target="https://doi.org/10.1002/etc.4448" TargetMode="External"/><Relationship Id="rId5" Type="http://schemas.openxmlformats.org/officeDocument/2006/relationships/customXml" Target="../customXml/item5.xml"/><Relationship Id="rId90" Type="http://schemas.openxmlformats.org/officeDocument/2006/relationships/hyperlink" Target="https://www.waterquality.gov.au/anz-guidelines/guideline-values/derive/warne-method-derive" TargetMode="External"/><Relationship Id="rId95" Type="http://schemas.openxmlformats.org/officeDocument/2006/relationships/footer" Target="footer16.xml"/><Relationship Id="rId22" Type="http://schemas.openxmlformats.org/officeDocument/2006/relationships/hyperlink" Target="mailto:copyright@dcceew.gov.au" TargetMode="External"/><Relationship Id="rId27" Type="http://schemas.openxmlformats.org/officeDocument/2006/relationships/header" Target="header5.xml"/><Relationship Id="rId43" Type="http://schemas.openxmlformats.org/officeDocument/2006/relationships/footer" Target="footer11.xml"/><Relationship Id="rId48" Type="http://schemas.openxmlformats.org/officeDocument/2006/relationships/hyperlink" Target="http://dx.doi.org/10.1071/EN15029" TargetMode="External"/><Relationship Id="rId64" Type="http://schemas.openxmlformats.org/officeDocument/2006/relationships/hyperlink" Target="https://doi.org/10.1111/j.1095-8649.1999.tb00680.x" TargetMode="External"/><Relationship Id="rId69" Type="http://schemas.openxmlformats.org/officeDocument/2006/relationships/hyperlink" Target="https://www.wfduk.org/sites/default/files/Media/iron.pdf" TargetMode="External"/><Relationship Id="rId80" Type="http://schemas.openxmlformats.org/officeDocument/2006/relationships/hyperlink" Target="https://doi.org/10.1100/2012/861576" TargetMode="External"/><Relationship Id="rId85" Type="http://schemas.openxmlformats.org/officeDocument/2006/relationships/hyperlink" Target="https://doi.org/10.1021/es071965m" TargetMode="Externa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3.jpg"/><Relationship Id="rId33" Type="http://schemas.openxmlformats.org/officeDocument/2006/relationships/image" Target="media/image4.png"/><Relationship Id="rId38" Type="http://schemas.openxmlformats.org/officeDocument/2006/relationships/footer" Target="footer8.xml"/><Relationship Id="rId46" Type="http://schemas.openxmlformats.org/officeDocument/2006/relationships/header" Target="header12.xml"/><Relationship Id="rId59" Type="http://schemas.openxmlformats.org/officeDocument/2006/relationships/hyperlink" Target="https://doi.org/10.1002/etc.4070" TargetMode="External"/><Relationship Id="rId67" Type="http://schemas.openxmlformats.org/officeDocument/2006/relationships/hyperlink" Target="https://doi.org/10.1111/j.1365-2427.1992.tb00524.x" TargetMode="External"/><Relationship Id="rId20" Type="http://schemas.openxmlformats.org/officeDocument/2006/relationships/hyperlink" Target="https://creativecommons.org/licenses/by/4.0/" TargetMode="External"/><Relationship Id="rId41" Type="http://schemas.openxmlformats.org/officeDocument/2006/relationships/header" Target="header10.xml"/><Relationship Id="rId54" Type="http://schemas.openxmlformats.org/officeDocument/2006/relationships/hyperlink" Target="https://doi.org/10.2307/2404773" TargetMode="External"/><Relationship Id="rId62" Type="http://schemas.openxmlformats.org/officeDocument/2006/relationships/hyperlink" Target="https://doi.org/10.1002/9781118349083.ch3" TargetMode="External"/><Relationship Id="rId70" Type="http://schemas.openxmlformats.org/officeDocument/2006/relationships/hyperlink" Target="https://doi.org/10.1021/acs.est.9b04236" TargetMode="External"/><Relationship Id="rId75" Type="http://schemas.openxmlformats.org/officeDocument/2006/relationships/hyperlink" Target="https://wfduk.org/sites/default/files/Media/Iron%20-%20UKTAG.pdf" TargetMode="External"/><Relationship Id="rId83" Type="http://schemas.openxmlformats.org/officeDocument/2006/relationships/hyperlink" Target="https://doi.org/10.1016/0043-1354(72)90045-0" TargetMode="External"/><Relationship Id="rId88" Type="http://schemas.openxmlformats.org/officeDocument/2006/relationships/hyperlink" Target="https://www.epa.gov/sites/default/files/2015-08/documents/short-term-chronic-freshwater-wet-manual_2002.pdf" TargetMode="External"/><Relationship Id="rId91" Type="http://schemas.openxmlformats.org/officeDocument/2006/relationships/header" Target="header13.xml"/><Relationship Id="rId96" Type="http://schemas.openxmlformats.org/officeDocument/2006/relationships/fontTable" Target="fontTable.xml"/><Relationship Id="rId1" Type="http://schemas.openxmlformats.org/officeDocument/2006/relationships/customXml" Target="../customXml/item1.xml"/><Relationship Id="rId15" Type="http://schemas.openxmlformats.org/officeDocument/2006/relationships/footer" Target="footer1.xml"/><Relationship Id="rId23" Type="http://schemas.openxmlformats.org/officeDocument/2006/relationships/hyperlink" Target="http://www.waterquality.gov.au/anz-guidelines/guideline-values/default/water-quality-toxicants/toxicants" TargetMode="External"/><Relationship Id="rId28" Type="http://schemas.openxmlformats.org/officeDocument/2006/relationships/footer" Target="footer4.xml"/><Relationship Id="rId36" Type="http://schemas.openxmlformats.org/officeDocument/2006/relationships/header" Target="header8.xml"/><Relationship Id="rId49" Type="http://schemas.openxmlformats.org/officeDocument/2006/relationships/hyperlink" Target="https://www.waterquality.gov.au/sites/default/files/documents/anzecc-armcanz-2000-guidelines-vol1.pdf" TargetMode="External"/><Relationship Id="rId57" Type="http://schemas.openxmlformats.org/officeDocument/2006/relationships/hyperlink" Target="https://doi.org/10.1002/etc.5623" TargetMode="External"/><Relationship Id="rId10" Type="http://schemas.openxmlformats.org/officeDocument/2006/relationships/webSettings" Target="webSettings.xml"/><Relationship Id="rId31" Type="http://schemas.openxmlformats.org/officeDocument/2006/relationships/footer" Target="footer6.xml"/><Relationship Id="rId44" Type="http://schemas.openxmlformats.org/officeDocument/2006/relationships/header" Target="header11.xml"/><Relationship Id="rId52" Type="http://schemas.openxmlformats.org/officeDocument/2006/relationships/hyperlink" Target="https://doi.org/10.1002/etc.5530" TargetMode="External"/><Relationship Id="rId60" Type="http://schemas.openxmlformats.org/officeDocument/2006/relationships/hyperlink" Target="https://doi.org/10.1002/etc.5627" TargetMode="External"/><Relationship Id="rId65" Type="http://schemas.openxmlformats.org/officeDocument/2006/relationships/hyperlink" Target="https://restservice.epri.com/publicdownload/000000000001008466/0/Product" TargetMode="External"/><Relationship Id="rId73" Type="http://schemas.openxmlformats.org/officeDocument/2006/relationships/hyperlink" Target="http://dx.doi.org/10.2533/chimia.2014.764" TargetMode="External"/><Relationship Id="rId78" Type="http://schemas.openxmlformats.org/officeDocument/2006/relationships/hyperlink" Target="https://doi.org/10.1016/0048-9697(89)90189-7" TargetMode="External"/><Relationship Id="rId81" Type="http://schemas.openxmlformats.org/officeDocument/2006/relationships/hyperlink" Target="https://doi.org/10.1577/1548-8659(1976)105%3C308:edeoli%3E2.0.co;2" TargetMode="External"/><Relationship Id="rId86" Type="http://schemas.openxmlformats.org/officeDocument/2006/relationships/hyperlink" Target="https://www.epa.gov/sites/default/files/2018-10/documents/quality-criteria-water-1986.pdf" TargetMode="External"/><Relationship Id="rId9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9.xml"/><Relationship Id="rId34" Type="http://schemas.openxmlformats.org/officeDocument/2006/relationships/hyperlink" Target="http://www.waterquality.gov.au/anz-guidelines" TargetMode="External"/><Relationship Id="rId50" Type="http://schemas.openxmlformats.org/officeDocument/2006/relationships/hyperlink" Target="https://www.waterquality.gov.au/anz-guidelines" TargetMode="External"/><Relationship Id="rId55" Type="http://schemas.openxmlformats.org/officeDocument/2006/relationships/hyperlink" Target="https://doi.org/10.1139/f72-269" TargetMode="External"/><Relationship Id="rId76" Type="http://schemas.openxmlformats.org/officeDocument/2006/relationships/hyperlink" Target="https://doi.org/10.1007/s00128-011-0283-2" TargetMode="External"/><Relationship Id="rId97"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doi.org/10.1897/06-431.1" TargetMode="External"/><Relationship Id="rId92" Type="http://schemas.openxmlformats.org/officeDocument/2006/relationships/footer" Target="footer14.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yperlink" Target="mailto:waterquality@dcceew.gov.au" TargetMode="External"/><Relationship Id="rId40" Type="http://schemas.openxmlformats.org/officeDocument/2006/relationships/footer" Target="footer9.xml"/><Relationship Id="rId45" Type="http://schemas.openxmlformats.org/officeDocument/2006/relationships/footer" Target="footer12.xml"/><Relationship Id="rId66" Type="http://schemas.openxmlformats.org/officeDocument/2006/relationships/hyperlink" Target="https://doi.org/10.3758/s13428-012-0225-x" TargetMode="External"/><Relationship Id="rId87" Type="http://schemas.openxmlformats.org/officeDocument/2006/relationships/hyperlink" Target="https://www.epa.gov/esam/epa-method-2008-determination-trace-elements-waters-and-wastes-inductively-coupled-plasma-mass" TargetMode="External"/><Relationship Id="rId61" Type="http://schemas.openxmlformats.org/officeDocument/2006/relationships/hyperlink" Target="https://doi.org/10.1016/j.marpolbul.2011.02.045" TargetMode="External"/><Relationship Id="rId82" Type="http://schemas.openxmlformats.org/officeDocument/2006/relationships/hyperlink" Target="https://doi.org/10.1139/f73-185" TargetMode="External"/><Relationship Id="rId19" Type="http://schemas.openxmlformats.org/officeDocument/2006/relationships/image" Target="media/image2.png"/><Relationship Id="rId14" Type="http://schemas.openxmlformats.org/officeDocument/2006/relationships/header" Target="header2.xml"/><Relationship Id="rId30" Type="http://schemas.openxmlformats.org/officeDocument/2006/relationships/header" Target="header6.xml"/><Relationship Id="rId35" Type="http://schemas.openxmlformats.org/officeDocument/2006/relationships/header" Target="header7.xml"/><Relationship Id="rId56" Type="http://schemas.openxmlformats.org/officeDocument/2006/relationships/hyperlink" Target="https://eec.ky.gov/Environmental-Protection/Water/Reports/Reports/1985-IronChlorideRec.pdf" TargetMode="External"/><Relationship Id="rId77" Type="http://schemas.openxmlformats.org/officeDocument/2006/relationships/hyperlink" Target="https://www2.gov.bc.ca/assets/gov/environment/air-land-water/water/waterquality/water-quality-guidelines/approved-wqgs/iron-tech.pdf" TargetMode="External"/><Relationship Id="rId8" Type="http://schemas.openxmlformats.org/officeDocument/2006/relationships/styles" Target="styles.xml"/><Relationship Id="rId51" Type="http://schemas.openxmlformats.org/officeDocument/2006/relationships/hyperlink" Target="https://doi.org/10.1002/etc.3609" TargetMode="External"/><Relationship Id="rId72" Type="http://schemas.openxmlformats.org/officeDocument/2006/relationships/hyperlink" Target="https://doi.org/10.1016/S0304-4203(01)00074-3" TargetMode="External"/><Relationship Id="rId93" Type="http://schemas.openxmlformats.org/officeDocument/2006/relationships/footer" Target="footer1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18E0BDD1F7314546A944FB163ACEB71C" ma:contentTypeVersion="10" ma:contentTypeDescription="SPIRE Document" ma:contentTypeScope="" ma:versionID="9517c3cd7426ed7f9780ddff4aab9e73">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a5ccb46502d7f67011865d302baaff3"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2.xml><?xml version="1.0" encoding="utf-8"?>
<ds:datastoreItem xmlns:ds="http://schemas.openxmlformats.org/officeDocument/2006/customXml" ds:itemID="{866E5310-9493-4D49-9525-A6CA85AC93D9}">
  <ds:schemaRefs>
    <ds:schemaRef ds:uri="http://schemas.openxmlformats.org/officeDocument/2006/bibliography"/>
  </ds:schemaRefs>
</ds:datastoreItem>
</file>

<file path=customXml/itemProps3.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4.xml><?xml version="1.0" encoding="utf-8"?>
<ds:datastoreItem xmlns:ds="http://schemas.openxmlformats.org/officeDocument/2006/customXml" ds:itemID="{A1D323EF-822C-4E4A-9DA5-304476EA7B2B}">
  <ds:schemaRefs>
    <ds:schemaRef ds:uri="http://schemas.microsoft.com/office/2006/metadata/properties"/>
    <ds:schemaRef ds:uri="c25cb30a-de11-40ab-bdcc-f1d56023b01d"/>
    <ds:schemaRef ds:uri="http://schemas.microsoft.com/sharepoint/v4"/>
  </ds:schemaRefs>
</ds:datastoreItem>
</file>

<file path=customXml/itemProps5.xml><?xml version="1.0" encoding="utf-8"?>
<ds:datastoreItem xmlns:ds="http://schemas.openxmlformats.org/officeDocument/2006/customXml" ds:itemID="{5D06419F-E1EB-41E5-98EB-E8F40202629A}"/>
</file>

<file path=customXml/itemProps6.xml><?xml version="1.0" encoding="utf-8"?>
<ds:datastoreItem xmlns:ds="http://schemas.openxmlformats.org/officeDocument/2006/customXml" ds:itemID="{632F51C3-4D88-4C23-BA06-1DA6BB0D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8</TotalTime>
  <Pages>36</Pages>
  <Words>13311</Words>
  <Characters>75875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Total iron in fresh water</vt:lpstr>
    </vt:vector>
  </TitlesOfParts>
  <Company/>
  <LinksUpToDate>false</LinksUpToDate>
  <CharactersWithSpaces>89008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Total iron in fresh water</dc:title>
  <dc:creator>Australian Governmenet</dc:creator>
  <cp:lastModifiedBy>Lien NGUYEN</cp:lastModifiedBy>
  <cp:revision>29</cp:revision>
  <cp:lastPrinted>2025-09-09T21:34:00Z</cp:lastPrinted>
  <dcterms:created xsi:type="dcterms:W3CDTF">2025-09-08T04:09:00Z</dcterms:created>
  <dcterms:modified xsi:type="dcterms:W3CDTF">2025-09-15T02:31:00Z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759361b8,2601eac3,68243eb3,5e8f2b59,1cad04d1,2c3f0dc,4dadbbdb,7808b475,6095a4eb,25e80e1f,53687051,6d8d87d2,37186b6d,3afe550d,8c737b8</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517c5a97,c7501d1,42371d3,4c434857,5456ce73,47ce10be,7428f703,15964036,55a1292f,6339190b,223c91bf,5dbfc483,7dfb337c,7436412f,15730608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ies>
</file>