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96C7" w14:textId="77777777" w:rsidR="009B29DC" w:rsidRDefault="009B29DC" w:rsidP="00C5274D">
      <w:pPr>
        <w:pStyle w:val="Heading3"/>
      </w:pPr>
      <w:bookmarkStart w:id="0" w:name="_Toc194911456"/>
    </w:p>
    <w:p w14:paraId="78B9B924" w14:textId="042A4840" w:rsidR="009B29DC" w:rsidRPr="00C5274D" w:rsidRDefault="009B29DC" w:rsidP="00C5274D">
      <w:pPr>
        <w:pStyle w:val="Heading3"/>
        <w:rPr>
          <w:rStyle w:val="Emphasis"/>
          <w:b/>
          <w:bCs w:val="0"/>
          <w:sz w:val="40"/>
          <w:szCs w:val="40"/>
        </w:rPr>
      </w:pPr>
      <w:r w:rsidRPr="00C5274D">
        <w:t xml:space="preserve">Response to public submissions on draft default guideline values for </w:t>
      </w:r>
      <w:r w:rsidR="00016AD4" w:rsidRPr="00C5274D">
        <w:t>iron</w:t>
      </w:r>
      <w:r w:rsidRPr="00C5274D">
        <w:t xml:space="preserve"> in freshwater</w:t>
      </w:r>
      <w:bookmarkEnd w:id="0"/>
      <w:r w:rsidRPr="00C5274D">
        <w:t xml:space="preserve"> </w:t>
      </w:r>
    </w:p>
    <w:p w14:paraId="080085AE" w14:textId="4B09178F" w:rsidR="009B29DC" w:rsidRPr="004E6A7F" w:rsidRDefault="009B29DC" w:rsidP="009B29DC">
      <w:pPr>
        <w:pStyle w:val="Subtitle"/>
        <w:rPr>
          <w:color w:val="auto"/>
        </w:rPr>
      </w:pPr>
      <w:r>
        <w:rPr>
          <w:color w:val="auto"/>
        </w:rPr>
        <w:t>September 2025</w:t>
      </w:r>
    </w:p>
    <w:p w14:paraId="17151165" w14:textId="77777777" w:rsidR="009B29DC" w:rsidRDefault="009B29DC" w:rsidP="009B29DC"/>
    <w:p w14:paraId="1E49177A" w14:textId="60688B37" w:rsidR="009B29DC" w:rsidRPr="00A60014" w:rsidRDefault="009B29DC" w:rsidP="009B29DC">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Draft default guideline values (DGVs) for </w:t>
      </w:r>
      <w:r>
        <w:rPr>
          <w:rFonts w:asciiTheme="minorHAnsi" w:hAnsiTheme="minorHAnsi" w:cstheme="minorHAnsi"/>
          <w:sz w:val="22"/>
          <w:szCs w:val="22"/>
        </w:rPr>
        <w:t>iron in freshwater</w:t>
      </w:r>
      <w:r w:rsidRPr="004E6A7F">
        <w:rPr>
          <w:rFonts w:asciiTheme="minorHAnsi" w:hAnsiTheme="minorHAnsi" w:cstheme="minorHAnsi"/>
          <w:sz w:val="22"/>
          <w:szCs w:val="22"/>
        </w:rPr>
        <w:t xml:space="preserve"> </w:t>
      </w:r>
      <w:r w:rsidRPr="00A60014">
        <w:rPr>
          <w:rFonts w:asciiTheme="minorHAnsi" w:hAnsiTheme="minorHAnsi" w:cstheme="minorHAnsi"/>
          <w:sz w:val="22"/>
          <w:szCs w:val="22"/>
        </w:rPr>
        <w:t>were published on the Water Quality Guidelines website for a</w:t>
      </w:r>
      <w:r w:rsidRPr="004E6A7F">
        <w:rPr>
          <w:rFonts w:asciiTheme="minorHAnsi" w:hAnsiTheme="minorHAnsi" w:cstheme="minorHAnsi"/>
          <w:sz w:val="22"/>
          <w:szCs w:val="22"/>
        </w:rPr>
        <w:t xml:space="preserve"> 3-month </w:t>
      </w:r>
      <w:r w:rsidRPr="00A60014">
        <w:rPr>
          <w:rFonts w:asciiTheme="minorHAnsi" w:hAnsiTheme="minorHAnsi" w:cstheme="minorHAnsi"/>
          <w:sz w:val="22"/>
          <w:szCs w:val="22"/>
        </w:rPr>
        <w:t xml:space="preserve">public consultation period. During this period, comments for the draft DGVs for </w:t>
      </w:r>
      <w:r w:rsidR="00016AD4">
        <w:rPr>
          <w:rFonts w:asciiTheme="minorHAnsi" w:hAnsiTheme="minorHAnsi" w:cstheme="minorHAnsi"/>
          <w:sz w:val="22"/>
          <w:szCs w:val="22"/>
        </w:rPr>
        <w:t xml:space="preserve">iron </w:t>
      </w:r>
      <w:r>
        <w:rPr>
          <w:rFonts w:asciiTheme="minorHAnsi" w:hAnsiTheme="minorHAnsi" w:cstheme="minorHAnsi"/>
          <w:sz w:val="22"/>
          <w:szCs w:val="22"/>
        </w:rPr>
        <w:t>in freshwater</w:t>
      </w:r>
      <w:r w:rsidRPr="004E6A7F">
        <w:rPr>
          <w:rFonts w:asciiTheme="minorHAnsi" w:hAnsiTheme="minorHAnsi" w:cstheme="minorHAnsi"/>
          <w:sz w:val="22"/>
          <w:szCs w:val="22"/>
        </w:rPr>
        <w:t xml:space="preserve"> </w:t>
      </w:r>
      <w:r w:rsidRPr="00A60014">
        <w:rPr>
          <w:rFonts w:asciiTheme="minorHAnsi" w:hAnsiTheme="minorHAnsi" w:cstheme="minorHAnsi"/>
          <w:sz w:val="22"/>
          <w:szCs w:val="22"/>
        </w:rPr>
        <w:t>were received via public submission.</w:t>
      </w:r>
    </w:p>
    <w:p w14:paraId="7516573E" w14:textId="0FB1AC36" w:rsidR="009B29DC" w:rsidRPr="00A60014" w:rsidRDefault="009B29DC" w:rsidP="009B29DC">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Responses to comments and any associated edits to the draft DGV technical brief are outlined in </w:t>
      </w:r>
      <w:r>
        <w:rPr>
          <w:rFonts w:asciiTheme="minorHAnsi" w:hAnsiTheme="minorHAnsi" w:cstheme="minorHAnsi"/>
          <w:sz w:val="22"/>
          <w:szCs w:val="22"/>
        </w:rPr>
        <w:t>Attachment A</w:t>
      </w:r>
      <w:r w:rsidRPr="00A60014">
        <w:rPr>
          <w:rFonts w:asciiTheme="minorHAnsi" w:hAnsiTheme="minorHAnsi" w:cstheme="minorHAnsi"/>
          <w:sz w:val="22"/>
          <w:szCs w:val="22"/>
        </w:rPr>
        <w:t xml:space="preserve">, de-identified for public record. The responses and revisions have been approved by the original peer </w:t>
      </w:r>
      <w:r w:rsidRPr="00524363">
        <w:rPr>
          <w:rFonts w:asciiTheme="minorHAnsi" w:hAnsiTheme="minorHAnsi" w:cstheme="minorHAnsi"/>
          <w:sz w:val="22"/>
          <w:szCs w:val="22"/>
        </w:rPr>
        <w:t>reviewers</w:t>
      </w:r>
      <w:r w:rsidRPr="00CD2FA9">
        <w:rPr>
          <w:rStyle w:val="CommentReference"/>
          <w:rFonts w:ascii="Calibri" w:eastAsia="Calibri" w:hAnsi="Calibri"/>
          <w:sz w:val="22"/>
          <w:szCs w:val="22"/>
          <w:lang w:eastAsia="en-US"/>
        </w:rPr>
        <w:t xml:space="preserve"> and</w:t>
      </w:r>
      <w:r>
        <w:rPr>
          <w:rStyle w:val="CommentReference"/>
          <w:rFonts w:ascii="Calibri" w:eastAsia="Calibri" w:hAnsi="Calibri"/>
          <w:lang w:eastAsia="en-US"/>
        </w:rPr>
        <w:t xml:space="preserve"> </w:t>
      </w:r>
      <w:r w:rsidRPr="00A60014">
        <w:rPr>
          <w:rFonts w:asciiTheme="minorHAnsi" w:hAnsiTheme="minorHAnsi" w:cstheme="minorHAnsi"/>
          <w:sz w:val="22"/>
          <w:szCs w:val="22"/>
        </w:rPr>
        <w:t>the jurisdictional technical and policy oversight group</w:t>
      </w:r>
      <w:r w:rsidRPr="00D354D0">
        <w:rPr>
          <w:rFonts w:asciiTheme="minorHAnsi" w:hAnsiTheme="minorHAnsi" w:cstheme="minorHAnsi"/>
          <w:sz w:val="22"/>
          <w:szCs w:val="22"/>
        </w:rPr>
        <w:t xml:space="preserve">s, and noted by the National Water Reform Committee. </w:t>
      </w:r>
    </w:p>
    <w:p w14:paraId="751DE101" w14:textId="717F58A6" w:rsidR="009B29DC" w:rsidRDefault="009B29DC" w:rsidP="009B29DC">
      <w:r>
        <w:t xml:space="preserve">The default guideline values for </w:t>
      </w:r>
      <w:r>
        <w:rPr>
          <w:rFonts w:cstheme="minorHAnsi"/>
        </w:rPr>
        <w:t>iron in freshwater</w:t>
      </w:r>
      <w:r w:rsidRPr="004E6A7F">
        <w:rPr>
          <w:rFonts w:cstheme="minorHAnsi"/>
        </w:rPr>
        <w:t xml:space="preserve"> </w:t>
      </w:r>
      <w:r>
        <w:t xml:space="preserve">are now published as final. For additional information on the publication process, please refer to the </w:t>
      </w:r>
      <w:hyperlink r:id="rId8" w:history="1">
        <w:r w:rsidRPr="004040B5">
          <w:rPr>
            <w:rStyle w:val="Hyperlink"/>
          </w:rPr>
          <w:t>pathway for toxicant default guideline value publication</w:t>
        </w:r>
      </w:hyperlink>
      <w:r>
        <w:t>.</w:t>
      </w:r>
    </w:p>
    <w:p w14:paraId="164DCA64" w14:textId="77777777" w:rsidR="009B29DC" w:rsidRPr="00A60014" w:rsidRDefault="009B29DC" w:rsidP="009B29DC">
      <w:r w:rsidRPr="00A60014">
        <w:t>The Water Quality Guidelines Improvement Program thanks all submissions for their valuable contribution to the development of default guideline values for the protection of aquatic ecosystems.</w:t>
      </w:r>
    </w:p>
    <w:p w14:paraId="67273EB8" w14:textId="77777777" w:rsidR="009B29DC" w:rsidRDefault="009B29DC" w:rsidP="009B29DC">
      <w:pPr>
        <w:tabs>
          <w:tab w:val="left" w:pos="7520"/>
        </w:tabs>
      </w:pPr>
    </w:p>
    <w:p w14:paraId="679E08B6" w14:textId="77777777" w:rsidR="009B29DC" w:rsidRDefault="009B29DC" w:rsidP="009B29DC">
      <w:pPr>
        <w:tabs>
          <w:tab w:val="left" w:pos="7520"/>
        </w:tabs>
        <w:sectPr w:rsidR="009B29DC" w:rsidSect="009B29D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03E64359" w14:textId="7665A787" w:rsidR="00646FBA" w:rsidRPr="009B29DC" w:rsidRDefault="00646FBA" w:rsidP="00C5274D">
      <w:pPr>
        <w:pStyle w:val="Heading3"/>
      </w:pPr>
      <w:r w:rsidRPr="009B29DC">
        <w:lastRenderedPageBreak/>
        <w:t>Response to public submissions on draft default guideline values</w:t>
      </w:r>
    </w:p>
    <w:p w14:paraId="5FC81962" w14:textId="77777777" w:rsidR="00646FBA" w:rsidRPr="00C93289" w:rsidRDefault="00646FBA" w:rsidP="00646FBA">
      <w:pPr>
        <w:rPr>
          <w:b/>
          <w:bCs/>
        </w:rPr>
      </w:pPr>
      <w:r w:rsidRPr="00C93289">
        <w:rPr>
          <w:b/>
          <w:bCs/>
        </w:rPr>
        <w:t xml:space="preserve">Toxicant: </w:t>
      </w:r>
      <w:r>
        <w:rPr>
          <w:b/>
          <w:bCs/>
        </w:rPr>
        <w:t>Iron in freshwater</w:t>
      </w:r>
    </w:p>
    <w:tbl>
      <w:tblPr>
        <w:tblStyle w:val="TableGrid"/>
        <w:tblW w:w="0" w:type="auto"/>
        <w:tblLook w:val="04A0" w:firstRow="1" w:lastRow="0" w:firstColumn="1" w:lastColumn="0" w:noHBand="0" w:noVBand="1"/>
      </w:tblPr>
      <w:tblGrid>
        <w:gridCol w:w="1196"/>
        <w:gridCol w:w="5603"/>
        <w:gridCol w:w="4395"/>
        <w:gridCol w:w="2756"/>
      </w:tblGrid>
      <w:tr w:rsidR="00CF4573" w:rsidRPr="00D257E8" w14:paraId="0BD73FDA" w14:textId="77777777" w:rsidTr="00A9070C">
        <w:trPr>
          <w:tblHeader/>
        </w:trPr>
        <w:tc>
          <w:tcPr>
            <w:tcW w:w="1196" w:type="dxa"/>
          </w:tcPr>
          <w:p w14:paraId="63311D76" w14:textId="1AE15922" w:rsidR="00CF4573" w:rsidRPr="00D257E8" w:rsidRDefault="00CF4573" w:rsidP="0034326B">
            <w:pPr>
              <w:spacing w:before="60" w:after="60" w:line="240" w:lineRule="auto"/>
              <w:jc w:val="center"/>
              <w:rPr>
                <w:b/>
                <w:bCs/>
                <w:sz w:val="18"/>
                <w:szCs w:val="18"/>
                <w:lang w:val="en-GB"/>
              </w:rPr>
            </w:pPr>
            <w:r>
              <w:rPr>
                <w:b/>
                <w:bCs/>
                <w:sz w:val="18"/>
                <w:szCs w:val="18"/>
                <w:lang w:val="en-GB"/>
              </w:rPr>
              <w:t>Submitter</w:t>
            </w:r>
          </w:p>
        </w:tc>
        <w:tc>
          <w:tcPr>
            <w:tcW w:w="5603" w:type="dxa"/>
          </w:tcPr>
          <w:p w14:paraId="5A4686BE" w14:textId="15ABAC0E" w:rsidR="00CF4573" w:rsidRPr="00D257E8" w:rsidRDefault="006B3EAB" w:rsidP="00D257E8">
            <w:pPr>
              <w:spacing w:before="60" w:after="60" w:line="240" w:lineRule="auto"/>
              <w:rPr>
                <w:b/>
                <w:bCs/>
                <w:sz w:val="18"/>
                <w:szCs w:val="18"/>
                <w:lang w:val="en-GB"/>
              </w:rPr>
            </w:pPr>
            <w:r>
              <w:rPr>
                <w:b/>
                <w:bCs/>
                <w:sz w:val="18"/>
                <w:szCs w:val="18"/>
                <w:lang w:val="en-GB"/>
              </w:rPr>
              <w:t>C</w:t>
            </w:r>
            <w:r w:rsidR="00CF4573" w:rsidRPr="00D257E8">
              <w:rPr>
                <w:b/>
                <w:bCs/>
                <w:sz w:val="18"/>
                <w:szCs w:val="18"/>
                <w:lang w:val="en-GB"/>
              </w:rPr>
              <w:t>omment</w:t>
            </w:r>
          </w:p>
        </w:tc>
        <w:tc>
          <w:tcPr>
            <w:tcW w:w="4395" w:type="dxa"/>
          </w:tcPr>
          <w:p w14:paraId="2341506D" w14:textId="5552C3E9" w:rsidR="00CF4573" w:rsidRPr="00D257E8" w:rsidRDefault="006B3EAB" w:rsidP="00D257E8">
            <w:pPr>
              <w:spacing w:before="60" w:after="60" w:line="240" w:lineRule="auto"/>
              <w:rPr>
                <w:b/>
                <w:bCs/>
                <w:sz w:val="18"/>
                <w:szCs w:val="18"/>
                <w:lang w:val="en-GB"/>
              </w:rPr>
            </w:pPr>
            <w:r>
              <w:rPr>
                <w:b/>
                <w:bCs/>
                <w:sz w:val="18"/>
                <w:szCs w:val="18"/>
                <w:lang w:val="en-GB"/>
              </w:rPr>
              <w:t>Response</w:t>
            </w:r>
          </w:p>
        </w:tc>
        <w:tc>
          <w:tcPr>
            <w:tcW w:w="2756" w:type="dxa"/>
          </w:tcPr>
          <w:p w14:paraId="5EAC1CBC" w14:textId="4254531C" w:rsidR="00CF4573" w:rsidRPr="00D257E8" w:rsidRDefault="006B3EAB" w:rsidP="00D257E8">
            <w:pPr>
              <w:spacing w:before="60" w:after="60" w:line="240" w:lineRule="auto"/>
              <w:rPr>
                <w:b/>
                <w:bCs/>
                <w:sz w:val="18"/>
                <w:szCs w:val="18"/>
                <w:lang w:val="en-GB"/>
              </w:rPr>
            </w:pPr>
            <w:r>
              <w:rPr>
                <w:b/>
                <w:bCs/>
                <w:sz w:val="18"/>
                <w:szCs w:val="18"/>
                <w:lang w:val="en-GB"/>
              </w:rPr>
              <w:t>Action taken</w:t>
            </w:r>
          </w:p>
        </w:tc>
      </w:tr>
      <w:tr w:rsidR="00CF4573" w:rsidRPr="00D257E8" w14:paraId="06DE3AD4" w14:textId="77777777" w:rsidTr="00A9070C">
        <w:tc>
          <w:tcPr>
            <w:tcW w:w="1196" w:type="dxa"/>
          </w:tcPr>
          <w:p w14:paraId="14A8C95F" w14:textId="5E677AE9" w:rsidR="00CF4573" w:rsidRPr="006F7717" w:rsidRDefault="00CF4573" w:rsidP="0034326B">
            <w:pPr>
              <w:spacing w:before="60" w:after="60" w:line="240" w:lineRule="auto"/>
              <w:jc w:val="center"/>
              <w:rPr>
                <w:b/>
                <w:bCs/>
                <w:sz w:val="18"/>
                <w:szCs w:val="18"/>
                <w:lang w:val="en-GB"/>
              </w:rPr>
            </w:pPr>
            <w:r w:rsidRPr="006F7717">
              <w:rPr>
                <w:b/>
                <w:bCs/>
                <w:sz w:val="18"/>
                <w:szCs w:val="18"/>
                <w:lang w:val="en-GB"/>
              </w:rPr>
              <w:t>1</w:t>
            </w:r>
            <w:r w:rsidR="00A9070C" w:rsidRPr="006F7717">
              <w:rPr>
                <w:b/>
                <w:bCs/>
                <w:sz w:val="18"/>
                <w:szCs w:val="18"/>
                <w:lang w:val="en-GB"/>
              </w:rPr>
              <w:t>.</w:t>
            </w:r>
          </w:p>
        </w:tc>
        <w:tc>
          <w:tcPr>
            <w:tcW w:w="5603" w:type="dxa"/>
          </w:tcPr>
          <w:p w14:paraId="3B0A46E0" w14:textId="68BAC9B7" w:rsidR="00CF4573" w:rsidRPr="00B34C4A" w:rsidRDefault="00CF4573" w:rsidP="007439DF">
            <w:pPr>
              <w:pStyle w:val="ListParagraph"/>
              <w:numPr>
                <w:ilvl w:val="0"/>
                <w:numId w:val="7"/>
              </w:numPr>
              <w:spacing w:before="60" w:after="60" w:line="240" w:lineRule="auto"/>
              <w:ind w:left="460" w:hanging="460"/>
              <w:rPr>
                <w:sz w:val="18"/>
                <w:szCs w:val="18"/>
                <w:lang w:val="en-GB"/>
              </w:rPr>
            </w:pPr>
            <w:r w:rsidRPr="00CF4573">
              <w:rPr>
                <w:iCs/>
                <w:sz w:val="18"/>
                <w:szCs w:val="18"/>
                <w:lang w:val="en-GB"/>
              </w:rPr>
              <w:t xml:space="preserve">The draft Australian &amp; New Zealand guideline for iron has made notable advancement in describing freshwater iron toxicity for aquatic life and has captured the available toxicity data, except for the green algae, </w:t>
            </w:r>
            <w:r w:rsidRPr="00CF4573">
              <w:rPr>
                <w:i/>
                <w:sz w:val="18"/>
                <w:szCs w:val="18"/>
                <w:lang w:val="en-GB"/>
              </w:rPr>
              <w:t>Pseudokirchneriella subcapitata</w:t>
            </w:r>
            <w:r w:rsidRPr="00CF4573">
              <w:rPr>
                <w:iCs/>
                <w:sz w:val="18"/>
                <w:szCs w:val="18"/>
                <w:lang w:val="en-GB"/>
              </w:rPr>
              <w:t>, study by the Chilean Mining and Metallurgy Research Center (CIMM 11).</w:t>
            </w:r>
          </w:p>
        </w:tc>
        <w:tc>
          <w:tcPr>
            <w:tcW w:w="4395" w:type="dxa"/>
          </w:tcPr>
          <w:p w14:paraId="5E714FB9" w14:textId="2496298D" w:rsidR="00CF4573" w:rsidRDefault="00CF4573" w:rsidP="00D257E8">
            <w:pPr>
              <w:spacing w:before="60" w:after="60" w:line="240" w:lineRule="auto"/>
              <w:rPr>
                <w:sz w:val="18"/>
                <w:szCs w:val="18"/>
              </w:rPr>
            </w:pPr>
            <w:r w:rsidRPr="00CF4573">
              <w:rPr>
                <w:bCs/>
                <w:sz w:val="18"/>
                <w:szCs w:val="18"/>
              </w:rPr>
              <w:t xml:space="preserve">The data for </w:t>
            </w:r>
            <w:r w:rsidRPr="00CF4573">
              <w:rPr>
                <w:i/>
                <w:sz w:val="18"/>
                <w:szCs w:val="18"/>
                <w:lang w:val="en-GB"/>
              </w:rPr>
              <w:t>Pseudokirchneriella subcapitata</w:t>
            </w:r>
            <w:r w:rsidRPr="00CF4573">
              <w:rPr>
                <w:iCs/>
                <w:sz w:val="18"/>
                <w:szCs w:val="18"/>
                <w:lang w:val="en-GB"/>
              </w:rPr>
              <w:t xml:space="preserve"> were not publicly available </w:t>
            </w:r>
            <w:r w:rsidRPr="00CF4573">
              <w:rPr>
                <w:iCs/>
                <w:sz w:val="18"/>
                <w:szCs w:val="18"/>
              </w:rPr>
              <w:t xml:space="preserve">at the time the draft iron DGVs technical brief was drafted. However, some data from the study has since been published (Arbildua et al. 2017) and </w:t>
            </w:r>
            <w:r w:rsidR="006B3EAB">
              <w:rPr>
                <w:iCs/>
                <w:sz w:val="18"/>
                <w:szCs w:val="18"/>
              </w:rPr>
              <w:t>subsequently updated (Cardwell et al. 2023)</w:t>
            </w:r>
            <w:r w:rsidRPr="00CF4573">
              <w:rPr>
                <w:iCs/>
                <w:sz w:val="18"/>
                <w:szCs w:val="18"/>
              </w:rPr>
              <w:t>.</w:t>
            </w:r>
            <w:r w:rsidR="006B3EAB">
              <w:rPr>
                <w:iCs/>
                <w:sz w:val="18"/>
                <w:szCs w:val="18"/>
              </w:rPr>
              <w:t xml:space="preserve"> </w:t>
            </w:r>
            <w:r w:rsidR="006B3EAB">
              <w:rPr>
                <w:sz w:val="18"/>
                <w:szCs w:val="18"/>
              </w:rPr>
              <w:t>As noted in the revised technical brief, the paper by Cardwell et al. (2023) updated previously published data (</w:t>
            </w:r>
            <w:r w:rsidR="006B3EAB" w:rsidRPr="00A20FAB">
              <w:rPr>
                <w:rFonts w:eastAsia="Cambria" w:cstheme="minorHAnsi"/>
                <w:sz w:val="18"/>
                <w:szCs w:val="18"/>
                <w:lang w:eastAsia="en-AU"/>
              </w:rPr>
              <w:t>CIMM 1011, OSU 2013, Arbildua et al. 2017)</w:t>
            </w:r>
            <w:r w:rsidR="006B3EAB">
              <w:rPr>
                <w:rFonts w:eastAsia="Cambria" w:cstheme="minorHAnsi"/>
                <w:sz w:val="18"/>
                <w:szCs w:val="18"/>
                <w:lang w:eastAsia="en-AU"/>
              </w:rPr>
              <w:t xml:space="preserve"> by Cardwell’s co-authors.  This was confirmed in writing by Cardwell.</w:t>
            </w:r>
            <w:r w:rsidR="006B3EAB">
              <w:rPr>
                <w:rFonts w:eastAsia="Cambria" w:cstheme="minorHAnsi"/>
                <w:lang w:eastAsia="en-AU"/>
              </w:rPr>
              <w:t xml:space="preserve">  </w:t>
            </w:r>
          </w:p>
        </w:tc>
        <w:tc>
          <w:tcPr>
            <w:tcW w:w="2756" w:type="dxa"/>
          </w:tcPr>
          <w:p w14:paraId="144DC729" w14:textId="5C92C75D" w:rsidR="00CF4573" w:rsidRPr="00F42B4D" w:rsidRDefault="000019EB" w:rsidP="00D257E8">
            <w:pPr>
              <w:spacing w:before="60" w:after="60" w:line="240" w:lineRule="auto"/>
              <w:rPr>
                <w:iCs/>
                <w:sz w:val="18"/>
                <w:szCs w:val="18"/>
              </w:rPr>
            </w:pPr>
            <w:r w:rsidRPr="00F61428">
              <w:rPr>
                <w:rFonts w:eastAsia="Cambria" w:cstheme="minorHAnsi"/>
                <w:sz w:val="18"/>
                <w:szCs w:val="18"/>
                <w:lang w:eastAsia="en-AU"/>
              </w:rPr>
              <w:t>The technical brief has been appropriately updated</w:t>
            </w:r>
            <w:r w:rsidR="006B3EAB">
              <w:rPr>
                <w:rFonts w:eastAsia="Cambria" w:cstheme="minorHAnsi"/>
                <w:sz w:val="18"/>
                <w:szCs w:val="18"/>
                <w:lang w:eastAsia="en-AU"/>
              </w:rPr>
              <w:t xml:space="preserve"> to include data for </w:t>
            </w:r>
            <w:r w:rsidR="006B3EAB" w:rsidRPr="00CF4573">
              <w:rPr>
                <w:i/>
                <w:sz w:val="18"/>
                <w:szCs w:val="18"/>
                <w:lang w:val="en-GB"/>
              </w:rPr>
              <w:t>Pseudokirchneriella subcapitata</w:t>
            </w:r>
            <w:r w:rsidR="006B3EAB">
              <w:rPr>
                <w:i/>
                <w:sz w:val="18"/>
                <w:szCs w:val="18"/>
                <w:lang w:val="en-GB"/>
              </w:rPr>
              <w:t>.</w:t>
            </w:r>
          </w:p>
        </w:tc>
      </w:tr>
      <w:tr w:rsidR="00CF4573" w:rsidRPr="00D257E8" w14:paraId="27C133EC" w14:textId="77777777" w:rsidTr="00A9070C">
        <w:tc>
          <w:tcPr>
            <w:tcW w:w="1196" w:type="dxa"/>
          </w:tcPr>
          <w:p w14:paraId="43822FFD" w14:textId="77777777" w:rsidR="00CF4573" w:rsidRPr="0034326B" w:rsidRDefault="00CF4573" w:rsidP="0034326B">
            <w:pPr>
              <w:spacing w:before="60" w:after="60" w:line="240" w:lineRule="auto"/>
              <w:jc w:val="center"/>
              <w:rPr>
                <w:sz w:val="18"/>
                <w:szCs w:val="18"/>
                <w:lang w:val="en-GB"/>
              </w:rPr>
            </w:pPr>
          </w:p>
        </w:tc>
        <w:tc>
          <w:tcPr>
            <w:tcW w:w="5603" w:type="dxa"/>
          </w:tcPr>
          <w:p w14:paraId="16837CB5" w14:textId="4291B972" w:rsidR="00CF4573" w:rsidRPr="0063601F" w:rsidRDefault="00CF4573" w:rsidP="007439DF">
            <w:pPr>
              <w:pStyle w:val="ListParagraph"/>
              <w:numPr>
                <w:ilvl w:val="0"/>
                <w:numId w:val="7"/>
              </w:numPr>
              <w:spacing w:before="60" w:after="60" w:line="240" w:lineRule="auto"/>
              <w:ind w:left="460" w:hanging="460"/>
              <w:rPr>
                <w:sz w:val="18"/>
                <w:szCs w:val="18"/>
                <w:lang w:val="en-GB"/>
              </w:rPr>
            </w:pPr>
            <w:r w:rsidRPr="00E30BCD">
              <w:rPr>
                <w:sz w:val="18"/>
                <w:szCs w:val="18"/>
                <w:lang w:val="en-GB"/>
              </w:rPr>
              <w:t xml:space="preserve">Although a detailed discussion is provided on toxicity modifying factors affecting iron toxicity to aquatic species, no specific conclusions could be drawn for </w:t>
            </w:r>
            <w:r w:rsidRPr="00E30BCD">
              <w:rPr>
                <w:i/>
                <w:iCs/>
                <w:sz w:val="18"/>
                <w:szCs w:val="18"/>
                <w:lang w:val="en-GB"/>
              </w:rPr>
              <w:t>Ceriodaphnia dubia</w:t>
            </w:r>
            <w:r w:rsidRPr="00E30BCD">
              <w:rPr>
                <w:sz w:val="18"/>
                <w:szCs w:val="18"/>
                <w:lang w:val="en-GB"/>
              </w:rPr>
              <w:t xml:space="preserve"> and </w:t>
            </w:r>
            <w:r w:rsidRPr="00E30BCD">
              <w:rPr>
                <w:i/>
                <w:iCs/>
                <w:sz w:val="18"/>
                <w:szCs w:val="18"/>
                <w:lang w:val="en-GB"/>
              </w:rPr>
              <w:t>Pimephales promelas</w:t>
            </w:r>
            <w:r w:rsidRPr="00E30BCD">
              <w:rPr>
                <w:sz w:val="18"/>
                <w:szCs w:val="18"/>
                <w:lang w:val="en-GB"/>
              </w:rPr>
              <w:t xml:space="preserve"> that could have assisted in deriving the site-specific guidelines for total iron. It would be helpful for the jurisdiction to apply the multiple linear regression (MLR) for evaluating the role of DOC, pH and hardness on iron toxicity, as one or more of these parameters have been shown to have important influence on iron bioavailability. Sufficient toxicity data are available for a range of pH, DOC and hardness values for running MLRs for both </w:t>
            </w:r>
            <w:r w:rsidRPr="00E30BCD">
              <w:rPr>
                <w:i/>
                <w:iCs/>
                <w:sz w:val="18"/>
                <w:szCs w:val="18"/>
                <w:lang w:val="en-GB"/>
              </w:rPr>
              <w:t>C. dubia</w:t>
            </w:r>
            <w:r w:rsidRPr="00E30BCD">
              <w:rPr>
                <w:sz w:val="18"/>
                <w:szCs w:val="18"/>
                <w:lang w:val="en-GB"/>
              </w:rPr>
              <w:t xml:space="preserve"> and </w:t>
            </w:r>
            <w:r w:rsidRPr="00E30BCD">
              <w:rPr>
                <w:i/>
                <w:iCs/>
                <w:sz w:val="18"/>
                <w:szCs w:val="18"/>
                <w:lang w:val="en-GB"/>
              </w:rPr>
              <w:t>P. promelas</w:t>
            </w:r>
            <w:r w:rsidRPr="00E30BCD">
              <w:rPr>
                <w:sz w:val="18"/>
                <w:szCs w:val="18"/>
                <w:lang w:val="en-GB"/>
              </w:rPr>
              <w:t xml:space="preserve">. Also, consider MLR analysis for </w:t>
            </w:r>
            <w:r w:rsidRPr="00E30BCD">
              <w:rPr>
                <w:i/>
                <w:iCs/>
                <w:sz w:val="18"/>
                <w:szCs w:val="18"/>
                <w:lang w:val="en-GB"/>
              </w:rPr>
              <w:t>P. subcapitata</w:t>
            </w:r>
            <w:r w:rsidRPr="00E30BCD">
              <w:rPr>
                <w:sz w:val="18"/>
                <w:szCs w:val="18"/>
                <w:lang w:val="en-GB"/>
              </w:rPr>
              <w:t xml:space="preserve">. Subsequently, you can combine individual MLR models into a pooled MLR model, incorporating all toxicity endpoints for </w:t>
            </w:r>
            <w:r w:rsidRPr="00E30BCD">
              <w:rPr>
                <w:i/>
                <w:iCs/>
                <w:sz w:val="18"/>
                <w:szCs w:val="18"/>
                <w:lang w:val="en-GB"/>
              </w:rPr>
              <w:t>C. dubia</w:t>
            </w:r>
            <w:r w:rsidRPr="00E30BCD">
              <w:rPr>
                <w:sz w:val="18"/>
                <w:szCs w:val="18"/>
                <w:lang w:val="en-GB"/>
              </w:rPr>
              <w:t xml:space="preserve">, </w:t>
            </w:r>
            <w:r w:rsidRPr="00E30BCD">
              <w:rPr>
                <w:i/>
                <w:iCs/>
                <w:sz w:val="18"/>
                <w:szCs w:val="18"/>
                <w:lang w:val="en-GB"/>
              </w:rPr>
              <w:t>P. promelas</w:t>
            </w:r>
            <w:r w:rsidRPr="00E30BCD">
              <w:rPr>
                <w:sz w:val="18"/>
                <w:szCs w:val="18"/>
                <w:lang w:val="en-GB"/>
              </w:rPr>
              <w:t xml:space="preserve"> and P</w:t>
            </w:r>
            <w:r w:rsidRPr="00E30BCD">
              <w:rPr>
                <w:i/>
                <w:iCs/>
                <w:sz w:val="18"/>
                <w:szCs w:val="18"/>
                <w:lang w:val="en-GB"/>
              </w:rPr>
              <w:t>. subcapitata</w:t>
            </w:r>
            <w:r w:rsidRPr="00E30BCD">
              <w:rPr>
                <w:sz w:val="18"/>
                <w:szCs w:val="18"/>
                <w:lang w:val="en-GB"/>
              </w:rPr>
              <w:t>.</w:t>
            </w:r>
          </w:p>
        </w:tc>
        <w:tc>
          <w:tcPr>
            <w:tcW w:w="4395" w:type="dxa"/>
          </w:tcPr>
          <w:p w14:paraId="39CD3756" w14:textId="12C75624" w:rsidR="00646FBA" w:rsidRDefault="00CF4573" w:rsidP="00CF4573">
            <w:pPr>
              <w:spacing w:before="60" w:after="60" w:line="240" w:lineRule="auto"/>
              <w:rPr>
                <w:iCs/>
                <w:sz w:val="18"/>
                <w:szCs w:val="18"/>
              </w:rPr>
            </w:pPr>
            <w:r w:rsidRPr="00CF4573">
              <w:rPr>
                <w:iCs/>
                <w:sz w:val="18"/>
                <w:szCs w:val="18"/>
              </w:rPr>
              <w:t xml:space="preserve">The iron MLR information was not publicly available at the time the draft iron DGVs technical brief was drafted. </w:t>
            </w:r>
            <w:r w:rsidR="00646FBA">
              <w:rPr>
                <w:iCs/>
                <w:sz w:val="18"/>
                <w:szCs w:val="18"/>
              </w:rPr>
              <w:t>We note that the Canadian guideline for iron in freshwater has since been published (ECCC 2024), while the MLR models that were used in the Canadian guideline were published in Brix et al. (2023).</w:t>
            </w:r>
            <w:r w:rsidRPr="00CF4573">
              <w:rPr>
                <w:iCs/>
                <w:sz w:val="18"/>
                <w:szCs w:val="18"/>
              </w:rPr>
              <w:t xml:space="preserve"> </w:t>
            </w:r>
          </w:p>
          <w:p w14:paraId="02E4011D" w14:textId="2142B294" w:rsidR="00CF4573" w:rsidRPr="00CF4573" w:rsidRDefault="00CF4573" w:rsidP="00CF4573">
            <w:pPr>
              <w:spacing w:before="60" w:after="60" w:line="240" w:lineRule="auto"/>
              <w:rPr>
                <w:iCs/>
                <w:sz w:val="18"/>
                <w:szCs w:val="18"/>
              </w:rPr>
            </w:pPr>
            <w:r w:rsidRPr="00CF4573">
              <w:rPr>
                <w:iCs/>
                <w:sz w:val="18"/>
                <w:szCs w:val="18"/>
              </w:rPr>
              <w:t xml:space="preserve">Current policy for ANZG DGVs is that any bioavailability models that have been developed elsewhere (e.g. Nth America, Europe) need to be validated for Aust/NZ water quality types and species before they can be adopted here. Such validation work would take </w:t>
            </w:r>
            <w:r w:rsidR="00646FBA">
              <w:rPr>
                <w:iCs/>
                <w:sz w:val="18"/>
                <w:szCs w:val="18"/>
              </w:rPr>
              <w:t>several</w:t>
            </w:r>
            <w:r w:rsidRPr="00CF4573">
              <w:rPr>
                <w:iCs/>
                <w:sz w:val="18"/>
                <w:szCs w:val="18"/>
              </w:rPr>
              <w:t xml:space="preserve"> years to complete and publish, and would require significant funding. In correspondence with the primary author of the Brix et al. (2023) paper (Kevin Brix</w:t>
            </w:r>
            <w:r w:rsidR="00646FBA">
              <w:rPr>
                <w:iCs/>
                <w:sz w:val="18"/>
                <w:szCs w:val="18"/>
              </w:rPr>
              <w:t xml:space="preserve">, </w:t>
            </w:r>
            <w:r w:rsidR="00646FBA" w:rsidRPr="00646FBA">
              <w:rPr>
                <w:iCs/>
                <w:sz w:val="18"/>
                <w:szCs w:val="18"/>
              </w:rPr>
              <w:t>pers comm, 28 March 2024</w:t>
            </w:r>
            <w:r w:rsidRPr="00CF4573">
              <w:rPr>
                <w:iCs/>
                <w:sz w:val="18"/>
                <w:szCs w:val="18"/>
              </w:rPr>
              <w:t xml:space="preserve">), Brix indicated strong support for such validation work, and noted that there are certain water types in Aust/NZ that he believes are not captured by the current MLRs and which would need to be assessed and the models potentially refined for Aust/NZ conditions (as was required and done for the draft nickel freshwater DGVs). Moreover, he believes </w:t>
            </w:r>
            <w:r w:rsidRPr="00CF4573">
              <w:rPr>
                <w:iCs/>
                <w:sz w:val="18"/>
                <w:szCs w:val="18"/>
              </w:rPr>
              <w:lastRenderedPageBreak/>
              <w:t xml:space="preserve">that the current MLR for invertebrates may not be broadly applicable for this broad taxa grouping, and that validation with additional invertebrates would be valuable. </w:t>
            </w:r>
          </w:p>
          <w:p w14:paraId="000B6771" w14:textId="3C286FC0" w:rsidR="00CF4573" w:rsidRPr="00CF4573" w:rsidRDefault="00CF4573" w:rsidP="00CF4573">
            <w:pPr>
              <w:spacing w:before="60" w:after="60" w:line="240" w:lineRule="auto"/>
              <w:rPr>
                <w:iCs/>
                <w:sz w:val="18"/>
                <w:szCs w:val="18"/>
              </w:rPr>
            </w:pPr>
            <w:r w:rsidRPr="00CF4573">
              <w:rPr>
                <w:iCs/>
                <w:sz w:val="18"/>
                <w:szCs w:val="18"/>
              </w:rPr>
              <w:t>Several Aust</w:t>
            </w:r>
            <w:r w:rsidR="00095B9C">
              <w:rPr>
                <w:iCs/>
                <w:sz w:val="18"/>
                <w:szCs w:val="18"/>
              </w:rPr>
              <w:t xml:space="preserve">ralian and New Zealand </w:t>
            </w:r>
            <w:r w:rsidRPr="00CF4573">
              <w:rPr>
                <w:iCs/>
                <w:sz w:val="18"/>
                <w:szCs w:val="18"/>
              </w:rPr>
              <w:t xml:space="preserve">metals toxicity experts were consulted on this issue, with </w:t>
            </w:r>
            <w:r w:rsidR="00646FBA">
              <w:rPr>
                <w:iCs/>
                <w:sz w:val="18"/>
                <w:szCs w:val="18"/>
              </w:rPr>
              <w:t>the majority</w:t>
            </w:r>
            <w:r w:rsidRPr="00CF4573">
              <w:rPr>
                <w:iCs/>
                <w:sz w:val="18"/>
                <w:szCs w:val="18"/>
              </w:rPr>
              <w:t xml:space="preserve"> in strong favour of progressing the iron freshwater DGVs in the absence of locally validated MLRs, with a view to update the DGVs if the validation work can be completed. The general view is that the updated DGVs will be markedly better than the ANZECC/ARMCANZ (2000) GV (which was based on an interim Canadian value), especially given that the refined pH 2 extraction method has been validated/developed and incorporated into guidance accompanying the new DGV (see response to comment 5). </w:t>
            </w:r>
          </w:p>
          <w:p w14:paraId="3F4C7BFF" w14:textId="7F11908F" w:rsidR="00CF4573" w:rsidRPr="00D257E8" w:rsidRDefault="00CF4573" w:rsidP="00CF4573">
            <w:pPr>
              <w:spacing w:before="60" w:after="60" w:line="240" w:lineRule="auto"/>
              <w:rPr>
                <w:sz w:val="18"/>
                <w:szCs w:val="18"/>
                <w:lang w:val="en-GB"/>
              </w:rPr>
            </w:pPr>
            <w:r w:rsidRPr="00CF4573">
              <w:rPr>
                <w:iCs/>
                <w:sz w:val="18"/>
                <w:szCs w:val="18"/>
              </w:rPr>
              <w:t xml:space="preserve">The </w:t>
            </w:r>
            <w:r w:rsidR="00646FBA">
              <w:rPr>
                <w:iCs/>
                <w:sz w:val="18"/>
                <w:szCs w:val="18"/>
              </w:rPr>
              <w:t>preferred approach was</w:t>
            </w:r>
            <w:r w:rsidRPr="00CF4573">
              <w:rPr>
                <w:iCs/>
                <w:sz w:val="18"/>
                <w:szCs w:val="18"/>
              </w:rPr>
              <w:t xml:space="preserve"> to proceed with the finalising the derivation without the MLRs (i.e. so, no ability to correct for toxicity modifying factors), and update the DGVs if/once the necessary validation work is undertaken and published.</w:t>
            </w:r>
            <w:r w:rsidR="00A4061E">
              <w:rPr>
                <w:iCs/>
                <w:sz w:val="18"/>
                <w:szCs w:val="18"/>
              </w:rPr>
              <w:t xml:space="preserve"> Finally, it is worth noting that Aust/NZ now has DGVs for iron in freshwater that have a </w:t>
            </w:r>
            <w:r w:rsidR="00A4061E" w:rsidRPr="00A4061E">
              <w:rPr>
                <w:i/>
                <w:sz w:val="18"/>
                <w:szCs w:val="18"/>
              </w:rPr>
              <w:t>Very high</w:t>
            </w:r>
            <w:r w:rsidR="00A4061E">
              <w:rPr>
                <w:iCs/>
                <w:sz w:val="18"/>
                <w:szCs w:val="18"/>
              </w:rPr>
              <w:t xml:space="preserve"> reliability classification, compared to ANZECC/ARMCANZ (2000), in which the 1987 Canadian guideline value was recommended as </w:t>
            </w:r>
            <w:r w:rsidR="00A4061E" w:rsidRPr="00A4061E">
              <w:rPr>
                <w:bCs/>
                <w:iCs/>
                <w:sz w:val="18"/>
                <w:szCs w:val="18"/>
              </w:rPr>
              <w:t>an interim indicative working level</w:t>
            </w:r>
            <w:r w:rsidR="00A4061E">
              <w:rPr>
                <w:bCs/>
                <w:iCs/>
                <w:sz w:val="18"/>
                <w:szCs w:val="18"/>
              </w:rPr>
              <w:t>.</w:t>
            </w:r>
            <w:r w:rsidR="00B36488">
              <w:rPr>
                <w:bCs/>
                <w:iCs/>
                <w:sz w:val="18"/>
                <w:szCs w:val="18"/>
              </w:rPr>
              <w:t xml:space="preserve"> The decision to proceed with the DGVs based on the current knowledge is consistent with the precautionary principle.</w:t>
            </w:r>
          </w:p>
        </w:tc>
        <w:tc>
          <w:tcPr>
            <w:tcW w:w="2756" w:type="dxa"/>
          </w:tcPr>
          <w:p w14:paraId="7C6B4213" w14:textId="70164BC6" w:rsidR="00F26DCE" w:rsidRPr="00D257E8" w:rsidRDefault="00646FBA" w:rsidP="00F26DCE">
            <w:pPr>
              <w:spacing w:before="60" w:after="60" w:line="240" w:lineRule="auto"/>
              <w:rPr>
                <w:sz w:val="18"/>
                <w:szCs w:val="18"/>
                <w:lang w:val="en-GB"/>
              </w:rPr>
            </w:pPr>
            <w:r>
              <w:rPr>
                <w:iCs/>
                <w:sz w:val="18"/>
                <w:szCs w:val="18"/>
              </w:rPr>
              <w:lastRenderedPageBreak/>
              <w:t>The DGVs have not been updated to incorporate toxicity modifying factors. Justification for this has been included in the technical brief.</w:t>
            </w:r>
          </w:p>
          <w:p w14:paraId="4D53ED3E" w14:textId="470B9547" w:rsidR="00CF4573" w:rsidRPr="00D257E8" w:rsidRDefault="00CF4573" w:rsidP="00CF4573">
            <w:pPr>
              <w:spacing w:before="60" w:after="60" w:line="240" w:lineRule="auto"/>
              <w:rPr>
                <w:sz w:val="18"/>
                <w:szCs w:val="18"/>
                <w:lang w:val="en-GB"/>
              </w:rPr>
            </w:pPr>
          </w:p>
        </w:tc>
      </w:tr>
      <w:tr w:rsidR="00CF4573" w:rsidRPr="00D257E8" w14:paraId="64FB9CDE" w14:textId="77777777" w:rsidTr="00A9070C">
        <w:tc>
          <w:tcPr>
            <w:tcW w:w="1196" w:type="dxa"/>
          </w:tcPr>
          <w:p w14:paraId="3716F729" w14:textId="77777777" w:rsidR="00CF4573" w:rsidRPr="0034326B" w:rsidRDefault="00CF4573" w:rsidP="0034326B">
            <w:pPr>
              <w:spacing w:before="60" w:after="60" w:line="240" w:lineRule="auto"/>
              <w:jc w:val="center"/>
              <w:rPr>
                <w:sz w:val="18"/>
                <w:szCs w:val="18"/>
                <w:lang w:val="en-GB"/>
              </w:rPr>
            </w:pPr>
          </w:p>
        </w:tc>
        <w:tc>
          <w:tcPr>
            <w:tcW w:w="5603" w:type="dxa"/>
          </w:tcPr>
          <w:p w14:paraId="39F1BAC1" w14:textId="6C8CA0CA" w:rsidR="00CF4573" w:rsidRPr="0063601F" w:rsidRDefault="00A9070C" w:rsidP="007439DF">
            <w:pPr>
              <w:pStyle w:val="ListParagraph"/>
              <w:numPr>
                <w:ilvl w:val="0"/>
                <w:numId w:val="7"/>
              </w:numPr>
              <w:spacing w:before="60" w:after="60" w:line="240" w:lineRule="auto"/>
              <w:ind w:left="459" w:hanging="459"/>
              <w:rPr>
                <w:sz w:val="18"/>
                <w:szCs w:val="18"/>
                <w:lang w:val="en-GB"/>
              </w:rPr>
            </w:pPr>
            <w:r w:rsidRPr="00A9070C">
              <w:rPr>
                <w:sz w:val="18"/>
                <w:szCs w:val="18"/>
                <w:lang w:val="en-GB"/>
              </w:rPr>
              <w:t>The National Guidelines and Standard Office of Environment and Climate Change Canada developed a draft freshwater quality guideline for iron last year</w:t>
            </w:r>
            <w:r w:rsidR="00083119">
              <w:rPr>
                <w:sz w:val="18"/>
                <w:szCs w:val="18"/>
                <w:lang w:val="en-GB"/>
              </w:rPr>
              <w:t xml:space="preserve"> (2019). </w:t>
            </w:r>
            <w:r w:rsidRPr="00A9070C">
              <w:rPr>
                <w:sz w:val="18"/>
                <w:szCs w:val="18"/>
                <w:lang w:val="en-GB"/>
              </w:rPr>
              <w:t>In response to public review comments, we hope to have additional toxicity data soon for improving the existing MLR models and developing a pooled MLR model, similar to what we did for lead. We hope our iron guidelines work would be helpful and please let us know if you have any questions.</w:t>
            </w:r>
          </w:p>
        </w:tc>
        <w:tc>
          <w:tcPr>
            <w:tcW w:w="4395" w:type="dxa"/>
          </w:tcPr>
          <w:p w14:paraId="196BCF14" w14:textId="757EBBEF" w:rsidR="00CF32BB" w:rsidRDefault="00CF32BB" w:rsidP="00D257E8">
            <w:pPr>
              <w:spacing w:before="60" w:after="60" w:line="240" w:lineRule="auto"/>
              <w:rPr>
                <w:iCs/>
                <w:sz w:val="18"/>
                <w:szCs w:val="18"/>
              </w:rPr>
            </w:pPr>
            <w:r>
              <w:rPr>
                <w:iCs/>
                <w:sz w:val="18"/>
                <w:szCs w:val="18"/>
              </w:rPr>
              <w:t>Thank you for providing the links. They were useful.</w:t>
            </w:r>
          </w:p>
          <w:p w14:paraId="7DFED2F9" w14:textId="7A7C9BA4" w:rsidR="00CF4573" w:rsidRPr="00D257E8" w:rsidRDefault="00A9070C" w:rsidP="00D257E8">
            <w:pPr>
              <w:spacing w:before="60" w:after="60" w:line="240" w:lineRule="auto"/>
              <w:rPr>
                <w:sz w:val="18"/>
                <w:szCs w:val="18"/>
                <w:lang w:val="en-GB"/>
              </w:rPr>
            </w:pPr>
            <w:r>
              <w:rPr>
                <w:iCs/>
                <w:sz w:val="18"/>
                <w:szCs w:val="18"/>
              </w:rPr>
              <w:t xml:space="preserve">See </w:t>
            </w:r>
            <w:r w:rsidR="00D35AF9">
              <w:rPr>
                <w:iCs/>
                <w:sz w:val="18"/>
                <w:szCs w:val="18"/>
              </w:rPr>
              <w:t>response to</w:t>
            </w:r>
            <w:r>
              <w:rPr>
                <w:iCs/>
                <w:sz w:val="18"/>
                <w:szCs w:val="18"/>
              </w:rPr>
              <w:t xml:space="preserve"> comment 2.</w:t>
            </w:r>
          </w:p>
        </w:tc>
        <w:tc>
          <w:tcPr>
            <w:tcW w:w="2756" w:type="dxa"/>
          </w:tcPr>
          <w:p w14:paraId="099645AC" w14:textId="6C3F96B8" w:rsidR="00CF4573" w:rsidRPr="00D257E8" w:rsidRDefault="00A9070C" w:rsidP="00D257E8">
            <w:pPr>
              <w:spacing w:before="60" w:after="60" w:line="240" w:lineRule="auto"/>
              <w:rPr>
                <w:sz w:val="18"/>
                <w:szCs w:val="18"/>
                <w:lang w:val="en-GB"/>
              </w:rPr>
            </w:pPr>
            <w:r>
              <w:rPr>
                <w:sz w:val="18"/>
                <w:szCs w:val="18"/>
              </w:rPr>
              <w:t xml:space="preserve">See action </w:t>
            </w:r>
            <w:r w:rsidR="00D35AF9">
              <w:rPr>
                <w:sz w:val="18"/>
                <w:szCs w:val="18"/>
              </w:rPr>
              <w:t xml:space="preserve">taken </w:t>
            </w:r>
            <w:r>
              <w:rPr>
                <w:sz w:val="18"/>
                <w:szCs w:val="18"/>
              </w:rPr>
              <w:t>for comment 2.</w:t>
            </w:r>
          </w:p>
        </w:tc>
      </w:tr>
      <w:tr w:rsidR="00CF4573" w:rsidRPr="00D257E8" w14:paraId="78A802DD" w14:textId="77777777" w:rsidTr="00A9070C">
        <w:tc>
          <w:tcPr>
            <w:tcW w:w="1196" w:type="dxa"/>
          </w:tcPr>
          <w:p w14:paraId="404BBCCC" w14:textId="51A5BD99" w:rsidR="00CF4573" w:rsidRPr="006F7717" w:rsidRDefault="00A9070C" w:rsidP="0034326B">
            <w:pPr>
              <w:spacing w:before="60" w:after="60" w:line="240" w:lineRule="auto"/>
              <w:jc w:val="center"/>
              <w:rPr>
                <w:b/>
                <w:bCs/>
                <w:sz w:val="18"/>
                <w:szCs w:val="18"/>
                <w:lang w:val="en-GB"/>
              </w:rPr>
            </w:pPr>
            <w:r w:rsidRPr="006F7717">
              <w:rPr>
                <w:b/>
                <w:bCs/>
                <w:sz w:val="18"/>
                <w:szCs w:val="18"/>
                <w:lang w:val="en-GB"/>
              </w:rPr>
              <w:lastRenderedPageBreak/>
              <w:t>2.</w:t>
            </w:r>
          </w:p>
        </w:tc>
        <w:tc>
          <w:tcPr>
            <w:tcW w:w="5603" w:type="dxa"/>
          </w:tcPr>
          <w:p w14:paraId="06197C16" w14:textId="77777777" w:rsidR="00A9070C" w:rsidRPr="000A4F9C" w:rsidRDefault="00A9070C" w:rsidP="007439DF">
            <w:pPr>
              <w:pStyle w:val="ListParagraph"/>
              <w:numPr>
                <w:ilvl w:val="0"/>
                <w:numId w:val="11"/>
              </w:numPr>
              <w:spacing w:before="60" w:after="60" w:line="240" w:lineRule="auto"/>
              <w:ind w:left="395" w:hanging="395"/>
              <w:rPr>
                <w:iCs/>
                <w:sz w:val="18"/>
                <w:szCs w:val="18"/>
              </w:rPr>
            </w:pPr>
            <w:r w:rsidRPr="000A4F9C">
              <w:rPr>
                <w:iCs/>
                <w:sz w:val="18"/>
                <w:szCs w:val="18"/>
              </w:rPr>
              <w:t xml:space="preserve">The MCA supports the inclusion of iron as part of the process for new and revised toxicant DVGs to ensure that allowable values are accurate, reliable and appropriately protective of our aquatic ecosystems. However, the establishment of guideline values at this time is premature. It is therefore recommended that this assessment process for iron be paused. </w:t>
            </w:r>
          </w:p>
          <w:p w14:paraId="1ABA13F0" w14:textId="77777777" w:rsidR="00A9070C" w:rsidRPr="00466BB7" w:rsidRDefault="00A9070C" w:rsidP="000A4F9C">
            <w:pPr>
              <w:spacing w:before="60" w:after="60" w:line="240" w:lineRule="auto"/>
              <w:ind w:left="395"/>
              <w:rPr>
                <w:iCs/>
                <w:sz w:val="18"/>
                <w:szCs w:val="18"/>
              </w:rPr>
            </w:pPr>
            <w:r w:rsidRPr="00466BB7">
              <w:rPr>
                <w:iCs/>
                <w:sz w:val="18"/>
                <w:szCs w:val="18"/>
              </w:rPr>
              <w:t xml:space="preserve">The science related to iron toxicity in fresh and marine waters is still building. Significant international research is currently underway in the US, Canada and Europe to better understand the toxicity of bioavailable forms of iron, with expanded species toxicity testing across ranges of pH, DOC and water hardness using the Multiple Linear Regression (MLR) Model for Bioavailability.  This work is expected to conclude by mid-2021. </w:t>
            </w:r>
          </w:p>
          <w:p w14:paraId="6F9B9DA6" w14:textId="77777777" w:rsidR="00A9070C" w:rsidRPr="00466BB7" w:rsidRDefault="00A9070C" w:rsidP="000A4F9C">
            <w:pPr>
              <w:spacing w:before="60" w:after="60" w:line="240" w:lineRule="auto"/>
              <w:ind w:left="395"/>
              <w:rPr>
                <w:iCs/>
                <w:sz w:val="18"/>
                <w:szCs w:val="18"/>
              </w:rPr>
            </w:pPr>
            <w:r w:rsidRPr="00466BB7">
              <w:rPr>
                <w:iCs/>
                <w:sz w:val="18"/>
                <w:szCs w:val="18"/>
              </w:rPr>
              <w:t xml:space="preserve">Given that extensive detailed research is due to become available in the near-term which directly informs the current gaps in data, the MCA considers it would be appropriate to delay the finalisation of this DVG until findings from this research are released. </w:t>
            </w:r>
          </w:p>
          <w:p w14:paraId="3FFBE3BD" w14:textId="77777777" w:rsidR="00A9070C" w:rsidRDefault="00A9070C" w:rsidP="000A4F9C">
            <w:pPr>
              <w:spacing w:before="60" w:after="60" w:line="240" w:lineRule="auto"/>
              <w:ind w:left="395"/>
              <w:rPr>
                <w:iCs/>
                <w:sz w:val="18"/>
                <w:szCs w:val="18"/>
              </w:rPr>
            </w:pPr>
            <w:r w:rsidRPr="00466BB7">
              <w:rPr>
                <w:iCs/>
                <w:sz w:val="18"/>
                <w:szCs w:val="18"/>
              </w:rPr>
              <w:t>Guideline values inform regulatory values set for industry. Accordingly, finalising a DVG for iron in fresh and marine water prior to accessing the full suite of data may cause significant unnecessary impact to industry.</w:t>
            </w:r>
          </w:p>
          <w:p w14:paraId="23BDD222" w14:textId="3D5C9BDB" w:rsidR="00CF4573" w:rsidRPr="00A9070C" w:rsidRDefault="00A9070C" w:rsidP="000A4F9C">
            <w:pPr>
              <w:spacing w:before="60" w:after="60" w:line="240" w:lineRule="auto"/>
              <w:ind w:left="395"/>
              <w:rPr>
                <w:sz w:val="18"/>
                <w:szCs w:val="18"/>
                <w:lang w:val="en-GB"/>
              </w:rPr>
            </w:pPr>
            <w:r w:rsidRPr="00A9070C">
              <w:rPr>
                <w:iCs/>
                <w:sz w:val="18"/>
                <w:szCs w:val="18"/>
              </w:rPr>
              <w:t>This is of particular concern where these values are translated to regulatory compliance thresholds, resulting in unnecessary non-compliances and affecting industry operation. Accordingly, DGVs should be evidence based to allow an informed assessment of actual environmental risk.</w:t>
            </w:r>
          </w:p>
        </w:tc>
        <w:tc>
          <w:tcPr>
            <w:tcW w:w="4395" w:type="dxa"/>
          </w:tcPr>
          <w:p w14:paraId="597A5DEA" w14:textId="2CDE76AB" w:rsidR="00A9070C" w:rsidRPr="00A9070C" w:rsidRDefault="00A9070C" w:rsidP="00A9070C">
            <w:pPr>
              <w:spacing w:before="60" w:after="60" w:line="240" w:lineRule="auto"/>
              <w:rPr>
                <w:iCs/>
                <w:sz w:val="18"/>
                <w:szCs w:val="18"/>
              </w:rPr>
            </w:pPr>
            <w:r w:rsidRPr="00A9070C">
              <w:rPr>
                <w:iCs/>
                <w:sz w:val="18"/>
                <w:szCs w:val="18"/>
              </w:rPr>
              <w:t xml:space="preserve">See </w:t>
            </w:r>
            <w:r w:rsidR="006E2548">
              <w:rPr>
                <w:iCs/>
                <w:sz w:val="18"/>
                <w:szCs w:val="18"/>
              </w:rPr>
              <w:t>response to</w:t>
            </w:r>
            <w:r w:rsidR="00596D7B">
              <w:rPr>
                <w:iCs/>
                <w:sz w:val="18"/>
                <w:szCs w:val="18"/>
              </w:rPr>
              <w:t xml:space="preserve"> c</w:t>
            </w:r>
            <w:r w:rsidRPr="00A9070C">
              <w:rPr>
                <w:iCs/>
                <w:sz w:val="18"/>
                <w:szCs w:val="18"/>
              </w:rPr>
              <w:t>omment 2.</w:t>
            </w:r>
          </w:p>
          <w:p w14:paraId="33FF1822" w14:textId="77777777" w:rsidR="00CF4573" w:rsidRDefault="00A9070C" w:rsidP="006E2548">
            <w:pPr>
              <w:spacing w:before="60" w:after="60" w:line="240" w:lineRule="auto"/>
              <w:rPr>
                <w:iCs/>
                <w:sz w:val="18"/>
                <w:szCs w:val="18"/>
              </w:rPr>
            </w:pPr>
            <w:r w:rsidRPr="00A9070C">
              <w:rPr>
                <w:iCs/>
                <w:sz w:val="18"/>
                <w:szCs w:val="18"/>
              </w:rPr>
              <w:t>Also, since the draft iron freshwater DGVs were derived, more toxicity data have been published</w:t>
            </w:r>
            <w:r w:rsidR="006E2548">
              <w:rPr>
                <w:iCs/>
                <w:sz w:val="18"/>
                <w:szCs w:val="18"/>
              </w:rPr>
              <w:t>. These data were</w:t>
            </w:r>
            <w:r w:rsidRPr="00A9070C">
              <w:rPr>
                <w:iCs/>
                <w:sz w:val="18"/>
                <w:szCs w:val="18"/>
              </w:rPr>
              <w:t xml:space="preserve"> assessed </w:t>
            </w:r>
            <w:r w:rsidR="006E2548">
              <w:rPr>
                <w:iCs/>
                <w:sz w:val="18"/>
                <w:szCs w:val="18"/>
              </w:rPr>
              <w:t>for quality and</w:t>
            </w:r>
            <w:r w:rsidRPr="00A9070C">
              <w:rPr>
                <w:iCs/>
                <w:sz w:val="18"/>
                <w:szCs w:val="18"/>
              </w:rPr>
              <w:t xml:space="preserve"> inclu</w:t>
            </w:r>
            <w:r w:rsidR="006E2548">
              <w:rPr>
                <w:iCs/>
                <w:sz w:val="18"/>
                <w:szCs w:val="18"/>
              </w:rPr>
              <w:t>ded</w:t>
            </w:r>
            <w:r w:rsidRPr="00A9070C">
              <w:rPr>
                <w:iCs/>
                <w:sz w:val="18"/>
                <w:szCs w:val="18"/>
              </w:rPr>
              <w:t xml:space="preserve"> in the DGVs </w:t>
            </w:r>
            <w:r w:rsidR="006E2548">
              <w:rPr>
                <w:iCs/>
                <w:sz w:val="18"/>
                <w:szCs w:val="18"/>
              </w:rPr>
              <w:t>where of acceptable quality</w:t>
            </w:r>
            <w:r w:rsidRPr="00A9070C">
              <w:rPr>
                <w:iCs/>
                <w:sz w:val="18"/>
                <w:szCs w:val="18"/>
              </w:rPr>
              <w:t>.</w:t>
            </w:r>
            <w:r w:rsidR="006E2548">
              <w:rPr>
                <w:iCs/>
                <w:sz w:val="18"/>
                <w:szCs w:val="18"/>
              </w:rPr>
              <w:t xml:space="preserve"> </w:t>
            </w:r>
          </w:p>
          <w:p w14:paraId="5D4D22A0" w14:textId="77777777" w:rsidR="006E2548" w:rsidRDefault="006E2548" w:rsidP="006E2548">
            <w:pPr>
              <w:spacing w:before="60" w:after="60" w:line="240" w:lineRule="auto"/>
              <w:rPr>
                <w:bCs/>
                <w:iCs/>
                <w:sz w:val="18"/>
                <w:szCs w:val="18"/>
              </w:rPr>
            </w:pPr>
            <w:r>
              <w:rPr>
                <w:bCs/>
                <w:iCs/>
                <w:sz w:val="18"/>
                <w:szCs w:val="18"/>
              </w:rPr>
              <w:t>In addition to single species data that were included in the DGVs derivation, some mesocosm and field data were used to help validate the DGVs.</w:t>
            </w:r>
          </w:p>
          <w:p w14:paraId="31DA0697" w14:textId="41AA8304" w:rsidR="008F5443" w:rsidRPr="00A9070C" w:rsidRDefault="008F5443" w:rsidP="006E2548">
            <w:pPr>
              <w:spacing w:before="60" w:after="60" w:line="240" w:lineRule="auto"/>
              <w:rPr>
                <w:bCs/>
                <w:sz w:val="18"/>
                <w:szCs w:val="18"/>
              </w:rPr>
            </w:pPr>
            <w:r>
              <w:rPr>
                <w:bCs/>
                <w:sz w:val="18"/>
                <w:szCs w:val="18"/>
              </w:rPr>
              <w:t xml:space="preserve">Also, and as already noted in response to comment 2, the new DGVs are a marked improvement to the </w:t>
            </w:r>
            <w:r w:rsidRPr="00A4061E">
              <w:rPr>
                <w:bCs/>
                <w:iCs/>
                <w:sz w:val="18"/>
                <w:szCs w:val="18"/>
              </w:rPr>
              <w:t>interim indicative working leve</w:t>
            </w:r>
            <w:r>
              <w:rPr>
                <w:bCs/>
                <w:iCs/>
                <w:sz w:val="18"/>
                <w:szCs w:val="18"/>
              </w:rPr>
              <w:t>l</w:t>
            </w:r>
            <w:r>
              <w:rPr>
                <w:bCs/>
                <w:sz w:val="18"/>
                <w:szCs w:val="18"/>
              </w:rPr>
              <w:t xml:space="preserve"> that was recommended in ANZECC/ARMCANZ (2000).</w:t>
            </w:r>
          </w:p>
        </w:tc>
        <w:tc>
          <w:tcPr>
            <w:tcW w:w="2756" w:type="dxa"/>
          </w:tcPr>
          <w:p w14:paraId="443321E4" w14:textId="418E2156" w:rsidR="00A9070C" w:rsidRPr="00D257E8" w:rsidRDefault="006E2548" w:rsidP="00A9070C">
            <w:pPr>
              <w:spacing w:before="60" w:after="60" w:line="240" w:lineRule="auto"/>
              <w:rPr>
                <w:sz w:val="18"/>
                <w:szCs w:val="18"/>
                <w:lang w:val="en-GB"/>
              </w:rPr>
            </w:pPr>
            <w:r>
              <w:rPr>
                <w:sz w:val="18"/>
                <w:szCs w:val="18"/>
              </w:rPr>
              <w:t>Where new data were of acceptable quality and met the requirements of the Warne et al. (2018) derivation method, they were included in the DGVs derivation or to help validate the DGVs</w:t>
            </w:r>
          </w:p>
        </w:tc>
      </w:tr>
      <w:tr w:rsidR="00CF4573" w:rsidRPr="00D257E8" w14:paraId="0B78DF30" w14:textId="77777777" w:rsidTr="00A9070C">
        <w:tc>
          <w:tcPr>
            <w:tcW w:w="1196" w:type="dxa"/>
          </w:tcPr>
          <w:p w14:paraId="15FBECDD" w14:textId="77777777" w:rsidR="00CF4573" w:rsidRPr="00B34C4A" w:rsidRDefault="00CF4573" w:rsidP="0034326B">
            <w:pPr>
              <w:spacing w:before="60" w:after="60" w:line="240" w:lineRule="auto"/>
              <w:jc w:val="center"/>
              <w:rPr>
                <w:sz w:val="18"/>
                <w:szCs w:val="18"/>
                <w:lang w:val="en-GB"/>
              </w:rPr>
            </w:pPr>
          </w:p>
        </w:tc>
        <w:tc>
          <w:tcPr>
            <w:tcW w:w="5603" w:type="dxa"/>
          </w:tcPr>
          <w:p w14:paraId="166C6810" w14:textId="77777777" w:rsidR="000A4F9C" w:rsidRPr="000A4F9C" w:rsidRDefault="000A4F9C" w:rsidP="007439DF">
            <w:pPr>
              <w:pStyle w:val="ListParagraph"/>
              <w:numPr>
                <w:ilvl w:val="0"/>
                <w:numId w:val="11"/>
              </w:numPr>
              <w:spacing w:before="60" w:after="60" w:line="240" w:lineRule="auto"/>
              <w:ind w:left="395" w:hanging="395"/>
              <w:rPr>
                <w:sz w:val="18"/>
                <w:szCs w:val="18"/>
              </w:rPr>
            </w:pPr>
            <w:r w:rsidRPr="000A4F9C">
              <w:rPr>
                <w:sz w:val="18"/>
                <w:szCs w:val="18"/>
              </w:rPr>
              <w:t xml:space="preserve">While the guiding process for the formulation of the current DGVs for iron is clear, the derived values are immature as they are currently based on incomplete data.  Both the freshwater and marine water technical briefs acknowledge the complexity of deriving defensible guideline values for iron. This complexity arises as iron can exist in soluble, colloidal, particulate, adsorbed and mineral forms in environmental waters and toxicity may occur as a result of chemical or physical stresses. Mineral forms of iron are not toxic. </w:t>
            </w:r>
          </w:p>
          <w:p w14:paraId="57E0E149" w14:textId="77777777" w:rsidR="000A4F9C" w:rsidRPr="00466BB7" w:rsidRDefault="000A4F9C" w:rsidP="000A4F9C">
            <w:pPr>
              <w:spacing w:before="60" w:after="60" w:line="240" w:lineRule="auto"/>
              <w:ind w:left="395"/>
              <w:rPr>
                <w:sz w:val="18"/>
                <w:szCs w:val="18"/>
              </w:rPr>
            </w:pPr>
            <w:r w:rsidRPr="00466BB7">
              <w:rPr>
                <w:sz w:val="18"/>
                <w:szCs w:val="18"/>
              </w:rPr>
              <w:lastRenderedPageBreak/>
              <w:t>Given this complexity, the recommendation of the 95 per cent protection level for freshwater (700 µg/L) and marine water (180 µg/L), for slight to moderately disturbed ecosystems cannot be justified.</w:t>
            </w:r>
          </w:p>
          <w:p w14:paraId="692FA58D" w14:textId="77777777" w:rsidR="000A4F9C" w:rsidRPr="00466BB7" w:rsidRDefault="000A4F9C" w:rsidP="000A4F9C">
            <w:pPr>
              <w:spacing w:before="60" w:after="60" w:line="240" w:lineRule="auto"/>
              <w:ind w:left="395"/>
              <w:rPr>
                <w:sz w:val="18"/>
                <w:szCs w:val="18"/>
              </w:rPr>
            </w:pPr>
            <w:r w:rsidRPr="00466BB7">
              <w:rPr>
                <w:sz w:val="18"/>
                <w:szCs w:val="18"/>
              </w:rPr>
              <w:t>As iron is a sparingly soluble metal, filtration at 0.45 µm is not recommended to provide a full understanding of possible iron toxicity as it excludes precipitated and mineralised forms. In Appendix C (freshwater) and Appendix B (marine water), sample treatment by acid extraction at pH 2 is ‘considered adequate at this stage’. However, recent research has found that extraction at a pH of 4 is best suited to derivation of the toxic fraction for aluminium</w:t>
            </w:r>
            <w:r>
              <w:rPr>
                <w:sz w:val="18"/>
                <w:szCs w:val="18"/>
                <w:vertAlign w:val="superscript"/>
              </w:rPr>
              <w:t xml:space="preserve"> [1]</w:t>
            </w:r>
            <w:r w:rsidRPr="00466BB7">
              <w:rPr>
                <w:sz w:val="18"/>
                <w:szCs w:val="18"/>
              </w:rPr>
              <w:t xml:space="preserve">. This may also be the case for iron. </w:t>
            </w:r>
          </w:p>
          <w:p w14:paraId="63EF11F9" w14:textId="77777777" w:rsidR="000A4F9C" w:rsidRPr="00466BB7" w:rsidRDefault="000A4F9C" w:rsidP="000A4F9C">
            <w:pPr>
              <w:spacing w:before="60" w:after="60" w:line="240" w:lineRule="auto"/>
              <w:ind w:left="395"/>
              <w:rPr>
                <w:sz w:val="18"/>
                <w:szCs w:val="18"/>
              </w:rPr>
            </w:pPr>
            <w:r w:rsidRPr="00466BB7">
              <w:rPr>
                <w:sz w:val="18"/>
                <w:szCs w:val="18"/>
              </w:rPr>
              <w:t>It has also been suggested that use of a reducing agent (hydroxylamine hydrochloride) may be preferred to acid extraction to avoid dissolving suspended solids. Additional research is needed to confirm that extraction of iron at pH 2 is not overly conservative or under protective. Studies that correlate toxicity with pH 2 extraction are needed.</w:t>
            </w:r>
          </w:p>
          <w:p w14:paraId="6591720B" w14:textId="77777777" w:rsidR="000A4F9C" w:rsidRPr="00466BB7" w:rsidRDefault="000A4F9C" w:rsidP="000A4F9C">
            <w:pPr>
              <w:spacing w:before="60" w:after="60" w:line="240" w:lineRule="auto"/>
              <w:ind w:left="395"/>
              <w:rPr>
                <w:sz w:val="18"/>
                <w:szCs w:val="18"/>
              </w:rPr>
            </w:pPr>
            <w:r w:rsidRPr="00466BB7">
              <w:rPr>
                <w:sz w:val="18"/>
                <w:szCs w:val="18"/>
              </w:rPr>
              <w:t xml:space="preserve">As referred to above, research is currently underway in the US, Canada and Europe to better understand the toxicity of bioavailable forms of iron, with expanded species toxicity testing across ranges of pH, DOC and water hardness using the Multiple Linear Regression (MLR) Model for Bioavailability.  This work is expected to conclude mid-2021.  </w:t>
            </w:r>
          </w:p>
          <w:p w14:paraId="17D1021D" w14:textId="77777777" w:rsidR="000A4F9C" w:rsidRPr="00466BB7" w:rsidRDefault="000A4F9C" w:rsidP="000A4F9C">
            <w:pPr>
              <w:spacing w:before="60" w:after="60" w:line="240" w:lineRule="auto"/>
              <w:ind w:left="395"/>
              <w:rPr>
                <w:sz w:val="18"/>
                <w:szCs w:val="18"/>
              </w:rPr>
            </w:pPr>
            <w:r w:rsidRPr="00466BB7">
              <w:rPr>
                <w:sz w:val="18"/>
                <w:szCs w:val="18"/>
              </w:rPr>
              <w:t>The MCA requests additional information on the proposed development of algorithm/s for incorporation of pH &amp; DOC to assess bioavailability.</w:t>
            </w:r>
          </w:p>
          <w:p w14:paraId="484ADE83" w14:textId="77777777" w:rsidR="000A4F9C" w:rsidRDefault="000A4F9C" w:rsidP="000A4F9C">
            <w:pPr>
              <w:spacing w:before="60" w:after="60" w:line="240" w:lineRule="auto"/>
              <w:ind w:left="395"/>
              <w:rPr>
                <w:sz w:val="18"/>
                <w:szCs w:val="18"/>
              </w:rPr>
            </w:pPr>
            <w:r w:rsidRPr="00466BB7">
              <w:rPr>
                <w:sz w:val="18"/>
                <w:szCs w:val="18"/>
              </w:rPr>
              <w:t>Once evidence-based values are drafted, their application should also be considered in the context of the Australian environment (e.g. major iron mineralised provinces) and recommend any necessary adjustments in their application.</w:t>
            </w:r>
          </w:p>
          <w:p w14:paraId="6082CCB9" w14:textId="7B472878" w:rsidR="00CF4573" w:rsidRPr="00B34C4A" w:rsidRDefault="000A4F9C" w:rsidP="000A4F9C">
            <w:pPr>
              <w:spacing w:before="60" w:after="60" w:line="240" w:lineRule="auto"/>
              <w:rPr>
                <w:sz w:val="18"/>
                <w:szCs w:val="18"/>
                <w:lang w:val="en-GB"/>
              </w:rPr>
            </w:pPr>
            <w:r w:rsidRPr="00A4079A">
              <w:rPr>
                <w:sz w:val="16"/>
                <w:szCs w:val="16"/>
              </w:rPr>
              <w:t xml:space="preserve">[1] </w:t>
            </w:r>
            <w:r w:rsidRPr="00A4079A">
              <w:rPr>
                <w:sz w:val="16"/>
                <w:szCs w:val="16"/>
                <w:lang w:val="en-US"/>
              </w:rPr>
              <w:t xml:space="preserve">Rodriguez PH,  Arbildua JJ, Villavicencio G, Urrestarazu P, Opazo M, Cardwell AS, Stubblefield W, Nordheim E &amp; Adams W 2019 </w:t>
            </w:r>
            <w:r w:rsidRPr="00A4079A">
              <w:rPr>
                <w:i/>
                <w:sz w:val="16"/>
                <w:szCs w:val="16"/>
                <w:lang w:val="en-US"/>
              </w:rPr>
              <w:t>Determination of bioavailable aluminum in natural waters in the presence of suspended solids</w:t>
            </w:r>
            <w:r w:rsidRPr="00A4079A">
              <w:rPr>
                <w:sz w:val="16"/>
                <w:szCs w:val="16"/>
                <w:lang w:val="en-US"/>
              </w:rPr>
              <w:t xml:space="preserve"> Environmental Toxicology and Chemistry, 38, 1668–1681.</w:t>
            </w:r>
          </w:p>
        </w:tc>
        <w:tc>
          <w:tcPr>
            <w:tcW w:w="4395" w:type="dxa"/>
          </w:tcPr>
          <w:p w14:paraId="2BD9EDA2" w14:textId="01EDB9FC" w:rsidR="000A4F9C" w:rsidRPr="000A4F9C" w:rsidRDefault="000A4F9C" w:rsidP="000A4F9C">
            <w:pPr>
              <w:spacing w:before="60" w:after="60" w:line="240" w:lineRule="auto"/>
              <w:rPr>
                <w:iCs/>
                <w:sz w:val="18"/>
                <w:szCs w:val="18"/>
              </w:rPr>
            </w:pPr>
            <w:r w:rsidRPr="000A4F9C">
              <w:rPr>
                <w:iCs/>
                <w:sz w:val="18"/>
                <w:szCs w:val="18"/>
              </w:rPr>
              <w:lastRenderedPageBreak/>
              <w:t>The USEPA (1991) pH 2 extraction method has recently been refined and validated for iron in freshwater and marine water (Balsamo-Crespo et al. 2023, ANZG 202</w:t>
            </w:r>
            <w:r w:rsidR="00D91119">
              <w:rPr>
                <w:iCs/>
                <w:sz w:val="18"/>
                <w:szCs w:val="18"/>
              </w:rPr>
              <w:t>5</w:t>
            </w:r>
            <w:r w:rsidRPr="000A4F9C">
              <w:rPr>
                <w:iCs/>
                <w:sz w:val="18"/>
                <w:szCs w:val="18"/>
              </w:rPr>
              <w:t>). It measures potentially bioavailable iron</w:t>
            </w:r>
            <w:r w:rsidR="0002454F">
              <w:rPr>
                <w:iCs/>
                <w:sz w:val="18"/>
                <w:szCs w:val="18"/>
              </w:rPr>
              <w:t xml:space="preserve"> (i.e. dissolved, colloidal and precipitated iron)</w:t>
            </w:r>
            <w:r w:rsidRPr="000A4F9C">
              <w:rPr>
                <w:iCs/>
                <w:sz w:val="18"/>
                <w:szCs w:val="18"/>
              </w:rPr>
              <w:t xml:space="preserve">. Additional research to correlate iron toxicity with the pH 2 extraction measurement </w:t>
            </w:r>
            <w:r w:rsidR="0093407C">
              <w:rPr>
                <w:iCs/>
                <w:sz w:val="18"/>
                <w:szCs w:val="18"/>
              </w:rPr>
              <w:t>was completed</w:t>
            </w:r>
            <w:r w:rsidR="0002454F">
              <w:rPr>
                <w:iCs/>
                <w:sz w:val="18"/>
                <w:szCs w:val="18"/>
              </w:rPr>
              <w:t xml:space="preserve"> </w:t>
            </w:r>
            <w:r w:rsidRPr="000A4F9C">
              <w:rPr>
                <w:iCs/>
                <w:sz w:val="18"/>
                <w:szCs w:val="18"/>
              </w:rPr>
              <w:t xml:space="preserve">as part of </w:t>
            </w:r>
            <w:r w:rsidR="0002454F">
              <w:rPr>
                <w:iCs/>
                <w:sz w:val="18"/>
                <w:szCs w:val="18"/>
              </w:rPr>
              <w:t xml:space="preserve">a </w:t>
            </w:r>
            <w:r w:rsidRPr="000A4F9C">
              <w:rPr>
                <w:iCs/>
                <w:sz w:val="18"/>
                <w:szCs w:val="18"/>
              </w:rPr>
              <w:t xml:space="preserve">PhD project </w:t>
            </w:r>
            <w:r w:rsidR="0002454F">
              <w:rPr>
                <w:iCs/>
                <w:sz w:val="18"/>
                <w:szCs w:val="18"/>
              </w:rPr>
              <w:t>at Southern Cross University</w:t>
            </w:r>
            <w:r w:rsidR="00BD55B3">
              <w:rPr>
                <w:iCs/>
                <w:sz w:val="18"/>
                <w:szCs w:val="18"/>
              </w:rPr>
              <w:t xml:space="preserve"> (by Balsamo-Crespo)</w:t>
            </w:r>
            <w:r w:rsidRPr="000A4F9C">
              <w:rPr>
                <w:iCs/>
                <w:sz w:val="18"/>
                <w:szCs w:val="18"/>
              </w:rPr>
              <w:t xml:space="preserve">. </w:t>
            </w:r>
            <w:r w:rsidR="007054EC">
              <w:rPr>
                <w:iCs/>
                <w:sz w:val="18"/>
                <w:szCs w:val="18"/>
              </w:rPr>
              <w:t>Although the research is yet to be published,</w:t>
            </w:r>
            <w:r w:rsidR="007054EC" w:rsidRPr="007054EC">
              <w:rPr>
                <w:iCs/>
                <w:sz w:val="18"/>
                <w:szCs w:val="18"/>
              </w:rPr>
              <w:t xml:space="preserve"> a short summary of </w:t>
            </w:r>
            <w:r w:rsidR="007054EC" w:rsidRPr="007054EC">
              <w:rPr>
                <w:iCs/>
                <w:sz w:val="18"/>
                <w:szCs w:val="18"/>
              </w:rPr>
              <w:lastRenderedPageBreak/>
              <w:t xml:space="preserve">the findings </w:t>
            </w:r>
            <w:r w:rsidR="007054EC">
              <w:rPr>
                <w:iCs/>
                <w:sz w:val="18"/>
                <w:szCs w:val="18"/>
              </w:rPr>
              <w:t xml:space="preserve">has been included in </w:t>
            </w:r>
            <w:r w:rsidR="007054EC" w:rsidRPr="007054EC">
              <w:rPr>
                <w:iCs/>
                <w:sz w:val="18"/>
                <w:szCs w:val="18"/>
              </w:rPr>
              <w:t xml:space="preserve">Appendix </w:t>
            </w:r>
            <w:r w:rsidR="0093407C">
              <w:rPr>
                <w:iCs/>
                <w:sz w:val="18"/>
                <w:szCs w:val="18"/>
              </w:rPr>
              <w:t>B</w:t>
            </w:r>
            <w:r w:rsidR="007054EC" w:rsidRPr="007054EC">
              <w:rPr>
                <w:iCs/>
                <w:sz w:val="18"/>
                <w:szCs w:val="18"/>
              </w:rPr>
              <w:t xml:space="preserve">, while explicitly acknowledging that the work is currently unpublished but expected to be published in 2025. The results were positive in that the pH 2 method was a better predictor of toxicity than either a standard 0.45 um filtered or total recoverable iron method. This </w:t>
            </w:r>
            <w:r w:rsidR="007054EC">
              <w:rPr>
                <w:iCs/>
                <w:sz w:val="18"/>
                <w:szCs w:val="18"/>
              </w:rPr>
              <w:t xml:space="preserve">further </w:t>
            </w:r>
            <w:r w:rsidR="007054EC" w:rsidRPr="007054EC">
              <w:rPr>
                <w:iCs/>
                <w:sz w:val="18"/>
                <w:szCs w:val="18"/>
              </w:rPr>
              <w:t>supports the use of the pH 2 method</w:t>
            </w:r>
            <w:r w:rsidRPr="000A4F9C">
              <w:rPr>
                <w:iCs/>
                <w:sz w:val="18"/>
                <w:szCs w:val="18"/>
              </w:rPr>
              <w:t xml:space="preserve">. </w:t>
            </w:r>
          </w:p>
          <w:p w14:paraId="4C6DCCBF" w14:textId="371A89C5" w:rsidR="00CF4573" w:rsidRPr="00D257E8" w:rsidRDefault="000A4F9C" w:rsidP="000A4F9C">
            <w:pPr>
              <w:spacing w:before="60" w:after="60" w:line="240" w:lineRule="auto"/>
              <w:rPr>
                <w:sz w:val="18"/>
                <w:szCs w:val="18"/>
                <w:lang w:val="en-GB"/>
              </w:rPr>
            </w:pPr>
            <w:r w:rsidRPr="000A4F9C">
              <w:rPr>
                <w:iCs/>
                <w:sz w:val="18"/>
                <w:szCs w:val="18"/>
              </w:rPr>
              <w:t xml:space="preserve">With regards to the recently-developed MLRs for iron toxicity, see </w:t>
            </w:r>
            <w:r w:rsidR="00A42232">
              <w:rPr>
                <w:iCs/>
                <w:sz w:val="18"/>
                <w:szCs w:val="18"/>
              </w:rPr>
              <w:t>response to</w:t>
            </w:r>
            <w:r w:rsidR="006514AC">
              <w:rPr>
                <w:iCs/>
                <w:sz w:val="18"/>
                <w:szCs w:val="18"/>
              </w:rPr>
              <w:t xml:space="preserve"> </w:t>
            </w:r>
            <w:r w:rsidRPr="000A4F9C">
              <w:rPr>
                <w:iCs/>
                <w:sz w:val="18"/>
                <w:szCs w:val="18"/>
              </w:rPr>
              <w:t>comment 2.</w:t>
            </w:r>
          </w:p>
        </w:tc>
        <w:tc>
          <w:tcPr>
            <w:tcW w:w="2756" w:type="dxa"/>
          </w:tcPr>
          <w:p w14:paraId="5D24B304" w14:textId="05020F1C" w:rsidR="003F2809" w:rsidRDefault="00B82DE3" w:rsidP="000A4F9C">
            <w:pPr>
              <w:spacing w:before="60" w:after="60" w:line="240" w:lineRule="auto"/>
              <w:rPr>
                <w:sz w:val="18"/>
                <w:szCs w:val="18"/>
              </w:rPr>
            </w:pPr>
            <w:r>
              <w:rPr>
                <w:sz w:val="18"/>
                <w:szCs w:val="18"/>
              </w:rPr>
              <w:lastRenderedPageBreak/>
              <w:t>The</w:t>
            </w:r>
            <w:r w:rsidR="000A4F9C" w:rsidRPr="000A4F9C">
              <w:rPr>
                <w:sz w:val="18"/>
                <w:szCs w:val="18"/>
              </w:rPr>
              <w:t xml:space="preserve"> DGV technical brief (particularly Appendix </w:t>
            </w:r>
            <w:r w:rsidR="0093407C">
              <w:rPr>
                <w:sz w:val="18"/>
                <w:szCs w:val="18"/>
              </w:rPr>
              <w:t>B</w:t>
            </w:r>
            <w:r w:rsidR="000A4F9C" w:rsidRPr="000A4F9C">
              <w:rPr>
                <w:sz w:val="18"/>
                <w:szCs w:val="18"/>
              </w:rPr>
              <w:t xml:space="preserve">) </w:t>
            </w:r>
            <w:r>
              <w:rPr>
                <w:sz w:val="18"/>
                <w:szCs w:val="18"/>
              </w:rPr>
              <w:t xml:space="preserve">has been updated </w:t>
            </w:r>
            <w:r w:rsidR="000A4F9C" w:rsidRPr="000A4F9C">
              <w:rPr>
                <w:sz w:val="18"/>
                <w:szCs w:val="18"/>
              </w:rPr>
              <w:t xml:space="preserve">to reflect the refined and validated pH 2 method </w:t>
            </w:r>
            <w:r w:rsidR="0093407C">
              <w:rPr>
                <w:sz w:val="18"/>
                <w:szCs w:val="18"/>
              </w:rPr>
              <w:t xml:space="preserve">(ANZG 2025) </w:t>
            </w:r>
            <w:r w:rsidR="000A4F9C" w:rsidRPr="000A4F9C">
              <w:rPr>
                <w:sz w:val="18"/>
                <w:szCs w:val="18"/>
              </w:rPr>
              <w:t xml:space="preserve">and how this should be used in conjunction with the iron freshwater DGVs. </w:t>
            </w:r>
          </w:p>
          <w:p w14:paraId="1BE77DEB" w14:textId="0C3B61D4" w:rsidR="00CF4573" w:rsidRDefault="002F3B7B" w:rsidP="000A4F9C">
            <w:pPr>
              <w:spacing w:before="60" w:after="60" w:line="240" w:lineRule="auto"/>
              <w:rPr>
                <w:sz w:val="18"/>
                <w:szCs w:val="18"/>
              </w:rPr>
            </w:pPr>
            <w:r>
              <w:rPr>
                <w:sz w:val="18"/>
                <w:szCs w:val="18"/>
              </w:rPr>
              <w:lastRenderedPageBreak/>
              <w:t>I</w:t>
            </w:r>
            <w:r w:rsidR="000A4F9C" w:rsidRPr="000A4F9C">
              <w:rPr>
                <w:sz w:val="18"/>
                <w:szCs w:val="18"/>
              </w:rPr>
              <w:t xml:space="preserve">nformation on </w:t>
            </w:r>
            <w:r w:rsidR="00053436">
              <w:rPr>
                <w:sz w:val="18"/>
                <w:szCs w:val="18"/>
              </w:rPr>
              <w:t xml:space="preserve">the fraction of iron recovered by the </w:t>
            </w:r>
            <w:r w:rsidR="000A4F9C" w:rsidRPr="000A4F9C">
              <w:rPr>
                <w:sz w:val="18"/>
                <w:szCs w:val="18"/>
              </w:rPr>
              <w:t xml:space="preserve">pH 2 method, </w:t>
            </w:r>
            <w:r w:rsidR="00173D62">
              <w:rPr>
                <w:sz w:val="18"/>
                <w:szCs w:val="18"/>
              </w:rPr>
              <w:t>is included.</w:t>
            </w:r>
          </w:p>
          <w:p w14:paraId="14F4B964" w14:textId="1215E2BE" w:rsidR="00D13320" w:rsidRPr="003F2809" w:rsidRDefault="003F2809" w:rsidP="000A4F9C">
            <w:pPr>
              <w:spacing w:before="60" w:after="60" w:line="240" w:lineRule="auto"/>
              <w:rPr>
                <w:iCs/>
                <w:sz w:val="18"/>
                <w:szCs w:val="18"/>
              </w:rPr>
            </w:pPr>
            <w:r>
              <w:rPr>
                <w:iCs/>
                <w:sz w:val="18"/>
                <w:szCs w:val="18"/>
              </w:rPr>
              <w:t>J</w:t>
            </w:r>
            <w:r w:rsidR="008C75B9">
              <w:rPr>
                <w:iCs/>
                <w:sz w:val="18"/>
                <w:szCs w:val="18"/>
              </w:rPr>
              <w:t xml:space="preserve">ustification has been provided </w:t>
            </w:r>
            <w:r w:rsidR="00BE3928">
              <w:rPr>
                <w:iCs/>
                <w:sz w:val="18"/>
                <w:szCs w:val="18"/>
              </w:rPr>
              <w:t>in the paper by Bals</w:t>
            </w:r>
            <w:r>
              <w:rPr>
                <w:iCs/>
                <w:sz w:val="18"/>
                <w:szCs w:val="18"/>
              </w:rPr>
              <w:t>a</w:t>
            </w:r>
            <w:r w:rsidR="00BE3928">
              <w:rPr>
                <w:iCs/>
                <w:sz w:val="18"/>
                <w:szCs w:val="18"/>
              </w:rPr>
              <w:t xml:space="preserve">mo Crespo et al. for the use of pH 2 rather than </w:t>
            </w:r>
            <w:r w:rsidR="00545B5A">
              <w:rPr>
                <w:iCs/>
                <w:sz w:val="18"/>
                <w:szCs w:val="18"/>
              </w:rPr>
              <w:t>pH 4 extractions and this is included in the discussions.</w:t>
            </w:r>
          </w:p>
        </w:tc>
      </w:tr>
      <w:tr w:rsidR="00CF4573" w:rsidRPr="00D257E8" w14:paraId="17217B4D" w14:textId="77777777" w:rsidTr="00A9070C">
        <w:tc>
          <w:tcPr>
            <w:tcW w:w="1196" w:type="dxa"/>
          </w:tcPr>
          <w:p w14:paraId="054D17AD" w14:textId="77777777" w:rsidR="00CF4573" w:rsidRPr="0034326B" w:rsidRDefault="00CF4573" w:rsidP="0034326B">
            <w:pPr>
              <w:spacing w:before="60" w:after="60" w:line="240" w:lineRule="auto"/>
              <w:ind w:left="35"/>
              <w:jc w:val="center"/>
              <w:rPr>
                <w:sz w:val="18"/>
                <w:szCs w:val="18"/>
                <w:lang w:val="en-GB"/>
              </w:rPr>
            </w:pPr>
          </w:p>
        </w:tc>
        <w:tc>
          <w:tcPr>
            <w:tcW w:w="5603" w:type="dxa"/>
          </w:tcPr>
          <w:p w14:paraId="7477A2BD" w14:textId="77777777" w:rsidR="00E87712" w:rsidRPr="00E87712" w:rsidRDefault="00E87712" w:rsidP="007439DF">
            <w:pPr>
              <w:pStyle w:val="ListParagraph"/>
              <w:numPr>
                <w:ilvl w:val="0"/>
                <w:numId w:val="11"/>
              </w:numPr>
              <w:spacing w:before="60" w:after="60"/>
              <w:ind w:left="395" w:hanging="395"/>
              <w:rPr>
                <w:b/>
                <w:bCs/>
                <w:sz w:val="18"/>
                <w:szCs w:val="18"/>
              </w:rPr>
            </w:pPr>
            <w:r w:rsidRPr="00E87712">
              <w:rPr>
                <w:b/>
                <w:bCs/>
                <w:sz w:val="18"/>
                <w:szCs w:val="18"/>
              </w:rPr>
              <w:t>Overall recommendations</w:t>
            </w:r>
          </w:p>
          <w:p w14:paraId="2CAB15DC" w14:textId="77777777" w:rsidR="00E87712" w:rsidRPr="006F6961" w:rsidRDefault="00E87712" w:rsidP="00E87712">
            <w:pPr>
              <w:spacing w:before="60" w:after="60" w:line="240" w:lineRule="auto"/>
              <w:ind w:left="397"/>
              <w:rPr>
                <w:sz w:val="18"/>
                <w:szCs w:val="18"/>
              </w:rPr>
            </w:pPr>
            <w:r w:rsidRPr="006F6961">
              <w:rPr>
                <w:sz w:val="18"/>
                <w:szCs w:val="18"/>
              </w:rPr>
              <w:lastRenderedPageBreak/>
              <w:t xml:space="preserve">The MCA recommends that proposed changes to the toxicant default guideline values for iron in fresh and marine waters (as contained in the Technical Briefs) should be postponed, pending the results of further research, to be completed in 2021. </w:t>
            </w:r>
          </w:p>
          <w:p w14:paraId="4A3C684F" w14:textId="3A7273A9" w:rsidR="00CF4573" w:rsidRPr="000A4F9C" w:rsidRDefault="00E87712" w:rsidP="00E87712">
            <w:pPr>
              <w:spacing w:before="60" w:after="60" w:line="240" w:lineRule="auto"/>
              <w:ind w:left="397"/>
              <w:rPr>
                <w:sz w:val="18"/>
                <w:szCs w:val="18"/>
                <w:lang w:val="en-GB"/>
              </w:rPr>
            </w:pPr>
            <w:r w:rsidRPr="00466BB7">
              <w:rPr>
                <w:sz w:val="18"/>
                <w:szCs w:val="18"/>
              </w:rPr>
              <w:t>The MCA would welcome the opportunity to work with the Australian Government to help complete guideline values for iron that are accurate, reliable and appropriately protective of our aquatic ecosystems.</w:t>
            </w:r>
          </w:p>
        </w:tc>
        <w:tc>
          <w:tcPr>
            <w:tcW w:w="4395" w:type="dxa"/>
          </w:tcPr>
          <w:p w14:paraId="664F8ADA" w14:textId="385A1B7C" w:rsidR="00CF4573" w:rsidRPr="000419A4" w:rsidRDefault="00E87712" w:rsidP="00040781">
            <w:pPr>
              <w:spacing w:before="60" w:after="60" w:line="240" w:lineRule="auto"/>
              <w:rPr>
                <w:iCs/>
                <w:sz w:val="18"/>
                <w:szCs w:val="18"/>
              </w:rPr>
            </w:pPr>
            <w:r>
              <w:rPr>
                <w:iCs/>
                <w:sz w:val="18"/>
                <w:szCs w:val="18"/>
              </w:rPr>
              <w:lastRenderedPageBreak/>
              <w:t xml:space="preserve">See </w:t>
            </w:r>
            <w:r w:rsidR="00A42232">
              <w:rPr>
                <w:iCs/>
                <w:sz w:val="18"/>
                <w:szCs w:val="18"/>
              </w:rPr>
              <w:t>response to</w:t>
            </w:r>
            <w:r w:rsidR="006F7717">
              <w:rPr>
                <w:iCs/>
                <w:sz w:val="18"/>
                <w:szCs w:val="18"/>
              </w:rPr>
              <w:t xml:space="preserve"> </w:t>
            </w:r>
            <w:r>
              <w:rPr>
                <w:iCs/>
                <w:sz w:val="18"/>
                <w:szCs w:val="18"/>
              </w:rPr>
              <w:t>comments 4 and 5.</w:t>
            </w:r>
          </w:p>
        </w:tc>
        <w:tc>
          <w:tcPr>
            <w:tcW w:w="2756" w:type="dxa"/>
          </w:tcPr>
          <w:p w14:paraId="0A7A7685" w14:textId="29244360" w:rsidR="00CF4573" w:rsidRPr="000419A4" w:rsidRDefault="00E87712" w:rsidP="00040781">
            <w:pPr>
              <w:spacing w:before="60" w:after="60" w:line="240" w:lineRule="auto"/>
              <w:rPr>
                <w:iCs/>
                <w:sz w:val="18"/>
                <w:szCs w:val="18"/>
              </w:rPr>
            </w:pPr>
            <w:r>
              <w:rPr>
                <w:iCs/>
                <w:sz w:val="18"/>
                <w:szCs w:val="18"/>
              </w:rPr>
              <w:t xml:space="preserve">Refer to </w:t>
            </w:r>
            <w:r w:rsidR="00A42232">
              <w:rPr>
                <w:iCs/>
                <w:sz w:val="18"/>
                <w:szCs w:val="18"/>
              </w:rPr>
              <w:t>action taken for</w:t>
            </w:r>
            <w:r>
              <w:rPr>
                <w:iCs/>
                <w:sz w:val="18"/>
                <w:szCs w:val="18"/>
              </w:rPr>
              <w:t xml:space="preserve"> comments 4 and 5.</w:t>
            </w:r>
          </w:p>
        </w:tc>
      </w:tr>
      <w:tr w:rsidR="00CF4573" w:rsidRPr="00D257E8" w14:paraId="53AEC664" w14:textId="77777777" w:rsidTr="00A9070C">
        <w:tc>
          <w:tcPr>
            <w:tcW w:w="1196" w:type="dxa"/>
          </w:tcPr>
          <w:p w14:paraId="3E97BB7C" w14:textId="618F30B0" w:rsidR="00CF4573" w:rsidRPr="006F7717" w:rsidRDefault="006F7717" w:rsidP="0034326B">
            <w:pPr>
              <w:spacing w:before="60" w:after="60" w:line="240" w:lineRule="auto"/>
              <w:jc w:val="center"/>
              <w:rPr>
                <w:b/>
                <w:sz w:val="18"/>
                <w:szCs w:val="18"/>
              </w:rPr>
            </w:pPr>
            <w:r>
              <w:rPr>
                <w:b/>
                <w:sz w:val="18"/>
                <w:szCs w:val="18"/>
              </w:rPr>
              <w:t>3.</w:t>
            </w:r>
          </w:p>
        </w:tc>
        <w:tc>
          <w:tcPr>
            <w:tcW w:w="5603" w:type="dxa"/>
          </w:tcPr>
          <w:p w14:paraId="6CBC07D7" w14:textId="77777777" w:rsidR="006F7717" w:rsidRPr="006F7717" w:rsidRDefault="006F7717" w:rsidP="007439DF">
            <w:pPr>
              <w:pStyle w:val="ListParagraph"/>
              <w:numPr>
                <w:ilvl w:val="0"/>
                <w:numId w:val="11"/>
              </w:numPr>
              <w:spacing w:before="60" w:after="60"/>
              <w:ind w:left="395" w:hanging="395"/>
              <w:rPr>
                <w:b/>
                <w:bCs/>
                <w:iCs/>
                <w:sz w:val="18"/>
                <w:szCs w:val="18"/>
                <w:lang w:val="en-GB"/>
              </w:rPr>
            </w:pPr>
            <w:r w:rsidRPr="006F7717">
              <w:rPr>
                <w:b/>
                <w:bCs/>
                <w:iCs/>
                <w:sz w:val="18"/>
                <w:szCs w:val="18"/>
                <w:lang w:val="en-GB"/>
              </w:rPr>
              <w:t xml:space="preserve">Factors that influence the bioavailability of Iron: </w:t>
            </w:r>
          </w:p>
          <w:p w14:paraId="0485C111" w14:textId="77777777" w:rsidR="006F7717" w:rsidRPr="00A4079A" w:rsidRDefault="006F7717" w:rsidP="006F7717">
            <w:pPr>
              <w:spacing w:before="60" w:after="60" w:line="240" w:lineRule="auto"/>
              <w:ind w:left="397"/>
              <w:rPr>
                <w:iCs/>
                <w:sz w:val="18"/>
                <w:szCs w:val="18"/>
                <w:lang w:val="en-GB"/>
              </w:rPr>
            </w:pPr>
            <w:r w:rsidRPr="00A4079A">
              <w:rPr>
                <w:iCs/>
                <w:sz w:val="18"/>
                <w:szCs w:val="18"/>
                <w:lang w:val="en-GB"/>
              </w:rPr>
              <w:t xml:space="preserve">The role of DOC and pH (and potentially hardness) have been shown to influence iron bioavailability and toxicity. Given the high variability of iron complexes depending on the geology and land use it is recommended that further studies are undertaken characterising the bioavailability of iron in tandem with DOC and pH (and hardness) to decrease uncertainty and improve model reliability. </w:t>
            </w:r>
          </w:p>
          <w:p w14:paraId="1A4C5A42" w14:textId="77777777" w:rsidR="006F7717" w:rsidRDefault="006F7717" w:rsidP="006F7717">
            <w:pPr>
              <w:spacing w:before="60" w:after="60" w:line="240" w:lineRule="auto"/>
              <w:ind w:left="397"/>
              <w:rPr>
                <w:iCs/>
                <w:sz w:val="18"/>
                <w:szCs w:val="18"/>
                <w:lang w:val="en-GB"/>
              </w:rPr>
            </w:pPr>
            <w:r w:rsidRPr="00A4079A">
              <w:rPr>
                <w:iCs/>
                <w:sz w:val="18"/>
                <w:szCs w:val="18"/>
                <w:lang w:val="en-GB"/>
              </w:rPr>
              <w:t>Further, given the local variability of inland waters in Northern Australia taking into account geology and land use and variability in modifying factors such as pH and Dissolved Organic Carbon (DOC), it is proposed that an assessment is undertaken to investigate the feasibility of applying a formula to calculate site specific guideline values where users can enter site specific DOC and pH factors to the guideline equation to output a site specific guideline value protective, this approach would be consistent with the proposed iron toxicity guidelines for Canada (Draft Federal Environmental Quality Guidelines, May 2019)</w:t>
            </w:r>
            <w:r>
              <w:rPr>
                <w:iCs/>
                <w:sz w:val="18"/>
                <w:szCs w:val="18"/>
                <w:lang w:val="en-GB"/>
              </w:rPr>
              <w:t>.</w:t>
            </w:r>
          </w:p>
          <w:p w14:paraId="4DAF2FB6" w14:textId="7E2F487A" w:rsidR="00CF4573" w:rsidRPr="006F7717" w:rsidRDefault="006F7717" w:rsidP="006F7717">
            <w:pPr>
              <w:spacing w:before="60" w:after="60" w:line="240" w:lineRule="auto"/>
              <w:ind w:left="397"/>
              <w:rPr>
                <w:bCs/>
                <w:sz w:val="18"/>
                <w:szCs w:val="18"/>
              </w:rPr>
            </w:pPr>
            <w:r w:rsidRPr="00A4079A">
              <w:rPr>
                <w:iCs/>
                <w:sz w:val="18"/>
                <w:szCs w:val="18"/>
                <w:lang w:val="en-GB"/>
              </w:rPr>
              <w:t>It is proposed that an assessment is undertaken to determine the value of establishing a guideline value for dissolved (&lt;0.45µm filtered) iron as a secondary line of evidence when total iron GV is exceeded. This may be considered in situations where baseline monitoring has measured dissolved iron as per previous recommendations. Or in situations where for example, total iron DGV may be exceeded due to environmental factors such as first flush events where high load of suspended materials and high flow conditions exist. In these cases, the dissolved iron guideline may be referred</w:t>
            </w:r>
            <w:r>
              <w:rPr>
                <w:iCs/>
                <w:sz w:val="18"/>
                <w:szCs w:val="18"/>
                <w:lang w:val="en-GB"/>
              </w:rPr>
              <w:t xml:space="preserve"> </w:t>
            </w:r>
            <w:r w:rsidRPr="00A4079A">
              <w:rPr>
                <w:iCs/>
                <w:sz w:val="18"/>
                <w:szCs w:val="18"/>
                <w:lang w:val="en-GB"/>
              </w:rPr>
              <w:t>to as an indicator for aquatic organisms.</w:t>
            </w:r>
          </w:p>
        </w:tc>
        <w:tc>
          <w:tcPr>
            <w:tcW w:w="4395" w:type="dxa"/>
          </w:tcPr>
          <w:p w14:paraId="12A1DA69" w14:textId="02051B53" w:rsidR="006F7717" w:rsidRDefault="006F7717" w:rsidP="006F7717">
            <w:pPr>
              <w:spacing w:before="60" w:after="60"/>
              <w:rPr>
                <w:iCs/>
                <w:sz w:val="18"/>
                <w:szCs w:val="18"/>
              </w:rPr>
            </w:pPr>
            <w:r>
              <w:rPr>
                <w:iCs/>
                <w:sz w:val="18"/>
                <w:szCs w:val="18"/>
              </w:rPr>
              <w:t xml:space="preserve">See </w:t>
            </w:r>
            <w:r w:rsidR="00A42232">
              <w:rPr>
                <w:iCs/>
                <w:sz w:val="18"/>
                <w:szCs w:val="18"/>
              </w:rPr>
              <w:t>response to</w:t>
            </w:r>
            <w:r>
              <w:rPr>
                <w:iCs/>
                <w:sz w:val="18"/>
                <w:szCs w:val="18"/>
              </w:rPr>
              <w:t xml:space="preserve"> comment 2. </w:t>
            </w:r>
          </w:p>
          <w:p w14:paraId="44D23A95" w14:textId="293C8192" w:rsidR="00CF4573" w:rsidRPr="00D257E8" w:rsidRDefault="006F7717" w:rsidP="006F7717">
            <w:pPr>
              <w:spacing w:before="60" w:after="60" w:line="240" w:lineRule="auto"/>
              <w:rPr>
                <w:sz w:val="18"/>
                <w:szCs w:val="18"/>
                <w:lang w:val="en-GB"/>
              </w:rPr>
            </w:pPr>
            <w:r>
              <w:rPr>
                <w:bCs/>
                <w:sz w:val="18"/>
                <w:szCs w:val="18"/>
              </w:rPr>
              <w:t>Regarding the suggestion to assess the value of “…</w:t>
            </w:r>
            <w:r w:rsidRPr="00A4079A">
              <w:rPr>
                <w:iCs/>
                <w:sz w:val="18"/>
                <w:szCs w:val="18"/>
                <w:lang w:val="en-GB"/>
              </w:rPr>
              <w:t>establishing a guideline value for dissolved (&lt;0.45µm filtered) iron as a secondary line of evidence when total iron GV is exceeded</w:t>
            </w:r>
            <w:r>
              <w:rPr>
                <w:iCs/>
                <w:sz w:val="18"/>
                <w:szCs w:val="18"/>
                <w:lang w:val="en-GB"/>
              </w:rPr>
              <w:t xml:space="preserve">.”, this is unlikely to work given the low solubility of iron. Moreover, the recently validated pH 2 extraction method for iron </w:t>
            </w:r>
            <w:r w:rsidR="002737B8">
              <w:rPr>
                <w:iCs/>
                <w:sz w:val="18"/>
                <w:szCs w:val="18"/>
                <w:lang w:val="en-GB"/>
              </w:rPr>
              <w:t xml:space="preserve">(ANZG 2025) </w:t>
            </w:r>
            <w:r>
              <w:rPr>
                <w:iCs/>
                <w:sz w:val="18"/>
                <w:szCs w:val="18"/>
                <w:lang w:val="en-GB"/>
              </w:rPr>
              <w:t>(see response to comment 5) should negate the need for different DGVs based on different fractions.</w:t>
            </w:r>
          </w:p>
        </w:tc>
        <w:tc>
          <w:tcPr>
            <w:tcW w:w="2756" w:type="dxa"/>
          </w:tcPr>
          <w:p w14:paraId="54C63A13" w14:textId="7F17D50C" w:rsidR="00CF4573" w:rsidRPr="00D257E8" w:rsidRDefault="006F7717" w:rsidP="00040781">
            <w:pPr>
              <w:spacing w:before="60" w:after="60" w:line="240" w:lineRule="auto"/>
              <w:rPr>
                <w:sz w:val="18"/>
                <w:szCs w:val="18"/>
                <w:lang w:val="en-GB"/>
              </w:rPr>
            </w:pPr>
            <w:r>
              <w:rPr>
                <w:sz w:val="18"/>
                <w:szCs w:val="18"/>
              </w:rPr>
              <w:t xml:space="preserve">Refer to </w:t>
            </w:r>
            <w:r w:rsidR="00A42232">
              <w:rPr>
                <w:sz w:val="18"/>
                <w:szCs w:val="18"/>
              </w:rPr>
              <w:t>action taken for</w:t>
            </w:r>
            <w:r>
              <w:rPr>
                <w:sz w:val="18"/>
                <w:szCs w:val="18"/>
              </w:rPr>
              <w:t xml:space="preserve"> comments 2 and 5.</w:t>
            </w:r>
          </w:p>
        </w:tc>
      </w:tr>
      <w:tr w:rsidR="00CF4573" w:rsidRPr="00D257E8" w14:paraId="78D3BA01" w14:textId="77777777" w:rsidTr="00A9070C">
        <w:tc>
          <w:tcPr>
            <w:tcW w:w="1196" w:type="dxa"/>
          </w:tcPr>
          <w:p w14:paraId="502CD2FB" w14:textId="77777777" w:rsidR="00CF4573" w:rsidRPr="0034326B" w:rsidRDefault="00CF4573" w:rsidP="0034326B">
            <w:pPr>
              <w:spacing w:before="60" w:after="60" w:line="240" w:lineRule="auto"/>
              <w:jc w:val="center"/>
              <w:rPr>
                <w:sz w:val="18"/>
                <w:szCs w:val="18"/>
                <w:lang w:val="en-GB"/>
              </w:rPr>
            </w:pPr>
          </w:p>
        </w:tc>
        <w:tc>
          <w:tcPr>
            <w:tcW w:w="5603" w:type="dxa"/>
          </w:tcPr>
          <w:p w14:paraId="77CFB993" w14:textId="77777777" w:rsidR="00BF5763" w:rsidRPr="00BF5763" w:rsidRDefault="00BF5763" w:rsidP="007439DF">
            <w:pPr>
              <w:pStyle w:val="ListParagraph"/>
              <w:numPr>
                <w:ilvl w:val="0"/>
                <w:numId w:val="11"/>
              </w:numPr>
              <w:spacing w:before="60" w:after="60" w:line="240" w:lineRule="auto"/>
              <w:ind w:left="395" w:hanging="395"/>
              <w:rPr>
                <w:b/>
                <w:bCs/>
                <w:sz w:val="18"/>
                <w:szCs w:val="18"/>
                <w:lang w:val="en-GB"/>
              </w:rPr>
            </w:pPr>
            <w:r w:rsidRPr="00BF5763">
              <w:rPr>
                <w:b/>
                <w:bCs/>
                <w:sz w:val="18"/>
                <w:szCs w:val="18"/>
                <w:lang w:val="en-GB"/>
              </w:rPr>
              <w:t xml:space="preserve">Proposed analytical methodology </w:t>
            </w:r>
          </w:p>
          <w:p w14:paraId="5648B628" w14:textId="770F3BB4" w:rsidR="00CF4573" w:rsidRPr="000A4F9C" w:rsidRDefault="00BF5763" w:rsidP="00BF5763">
            <w:pPr>
              <w:spacing w:before="60" w:after="60" w:line="240" w:lineRule="auto"/>
              <w:ind w:left="395"/>
              <w:rPr>
                <w:sz w:val="18"/>
                <w:szCs w:val="18"/>
                <w:lang w:val="en-GB"/>
              </w:rPr>
            </w:pPr>
            <w:r w:rsidRPr="00BF5763">
              <w:rPr>
                <w:sz w:val="18"/>
                <w:szCs w:val="18"/>
                <w:lang w:val="en-GB"/>
              </w:rPr>
              <w:t>It is considered that further evidence should be presented and compared to other analytical methods, to justify that the proposed methodology for total iron is the most reliable and suitable for determination of bioavailable iron in complex freshwater systems and that the methodology can readily measure the bioavailable fraction in iron. This is to ensure that the analytical method provides a measure of the bioavailable fraction not a default analytical method that provides a conservative estimate of bioavailable Iron.</w:t>
            </w:r>
          </w:p>
        </w:tc>
        <w:tc>
          <w:tcPr>
            <w:tcW w:w="4395" w:type="dxa"/>
          </w:tcPr>
          <w:p w14:paraId="31B453D9" w14:textId="41E4A446" w:rsidR="00CF4573" w:rsidRPr="00C93577" w:rsidRDefault="00BF5763" w:rsidP="00040781">
            <w:pPr>
              <w:spacing w:before="60" w:after="60" w:line="240" w:lineRule="auto"/>
              <w:rPr>
                <w:iCs/>
                <w:sz w:val="18"/>
                <w:szCs w:val="18"/>
              </w:rPr>
            </w:pPr>
            <w:r>
              <w:rPr>
                <w:iCs/>
                <w:sz w:val="18"/>
                <w:szCs w:val="18"/>
              </w:rPr>
              <w:t xml:space="preserve">See </w:t>
            </w:r>
            <w:r w:rsidR="00CE4DCF">
              <w:rPr>
                <w:iCs/>
                <w:sz w:val="18"/>
                <w:szCs w:val="18"/>
              </w:rPr>
              <w:t>response to</w:t>
            </w:r>
            <w:r>
              <w:rPr>
                <w:iCs/>
                <w:sz w:val="18"/>
                <w:szCs w:val="18"/>
              </w:rPr>
              <w:t xml:space="preserve"> comment 5</w:t>
            </w:r>
            <w:r w:rsidR="00E26A02">
              <w:rPr>
                <w:iCs/>
                <w:sz w:val="18"/>
                <w:szCs w:val="18"/>
              </w:rPr>
              <w:t>.</w:t>
            </w:r>
          </w:p>
        </w:tc>
        <w:tc>
          <w:tcPr>
            <w:tcW w:w="2756" w:type="dxa"/>
          </w:tcPr>
          <w:p w14:paraId="3E811371" w14:textId="35ED51D1" w:rsidR="00CF4573" w:rsidRPr="00C93577" w:rsidRDefault="00BF5763" w:rsidP="00040781">
            <w:pPr>
              <w:spacing w:before="60" w:after="60" w:line="240" w:lineRule="auto"/>
              <w:rPr>
                <w:iCs/>
                <w:sz w:val="18"/>
                <w:szCs w:val="18"/>
              </w:rPr>
            </w:pPr>
            <w:r>
              <w:rPr>
                <w:sz w:val="18"/>
                <w:szCs w:val="18"/>
              </w:rPr>
              <w:t xml:space="preserve">Refer to </w:t>
            </w:r>
            <w:r w:rsidR="00CE4DCF">
              <w:rPr>
                <w:sz w:val="18"/>
                <w:szCs w:val="18"/>
              </w:rPr>
              <w:t>action taken for</w:t>
            </w:r>
            <w:r>
              <w:rPr>
                <w:sz w:val="18"/>
                <w:szCs w:val="18"/>
              </w:rPr>
              <w:t xml:space="preserve"> comment 5.</w:t>
            </w:r>
          </w:p>
        </w:tc>
      </w:tr>
      <w:tr w:rsidR="00CF4573" w:rsidRPr="00D257E8" w14:paraId="3A8D491C" w14:textId="77777777" w:rsidTr="00A9070C">
        <w:tc>
          <w:tcPr>
            <w:tcW w:w="1196" w:type="dxa"/>
          </w:tcPr>
          <w:p w14:paraId="317C255D" w14:textId="77777777" w:rsidR="00CF4573" w:rsidRPr="00D257E8" w:rsidRDefault="00CF4573" w:rsidP="0034326B">
            <w:pPr>
              <w:spacing w:before="60" w:after="60" w:line="240" w:lineRule="auto"/>
              <w:jc w:val="center"/>
              <w:rPr>
                <w:sz w:val="18"/>
                <w:szCs w:val="18"/>
                <w:lang w:val="en-GB"/>
              </w:rPr>
            </w:pPr>
          </w:p>
        </w:tc>
        <w:tc>
          <w:tcPr>
            <w:tcW w:w="5603" w:type="dxa"/>
          </w:tcPr>
          <w:p w14:paraId="24D049C7" w14:textId="77777777" w:rsidR="00FA5049" w:rsidRPr="00FA5049" w:rsidRDefault="00FA5049" w:rsidP="007439DF">
            <w:pPr>
              <w:pStyle w:val="ListParagraph"/>
              <w:numPr>
                <w:ilvl w:val="0"/>
                <w:numId w:val="11"/>
              </w:numPr>
              <w:spacing w:before="60" w:after="60" w:line="240" w:lineRule="auto"/>
              <w:ind w:left="395" w:hanging="395"/>
              <w:rPr>
                <w:sz w:val="18"/>
                <w:szCs w:val="18"/>
                <w:lang w:val="en-GB"/>
              </w:rPr>
            </w:pPr>
            <w:r w:rsidRPr="00FA5049">
              <w:rPr>
                <w:sz w:val="18"/>
                <w:szCs w:val="18"/>
                <w:lang w:val="en-GB"/>
              </w:rPr>
              <w:t xml:space="preserve">In conclusion, it is recommended that further research and / or validation of above-mentioned limitations is conducted, specifically: </w:t>
            </w:r>
          </w:p>
          <w:p w14:paraId="65AB231E" w14:textId="1BA7550D" w:rsidR="00FA5049" w:rsidRPr="00FA5049" w:rsidRDefault="00FA5049" w:rsidP="007439DF">
            <w:pPr>
              <w:pStyle w:val="ListParagraph"/>
              <w:numPr>
                <w:ilvl w:val="0"/>
                <w:numId w:val="12"/>
              </w:numPr>
              <w:spacing w:before="60" w:after="60" w:line="240" w:lineRule="auto"/>
              <w:ind w:left="821" w:hanging="284"/>
              <w:rPr>
                <w:sz w:val="18"/>
                <w:szCs w:val="18"/>
                <w:lang w:val="en-GB"/>
              </w:rPr>
            </w:pPr>
            <w:r w:rsidRPr="00FA5049">
              <w:rPr>
                <w:sz w:val="18"/>
                <w:szCs w:val="18"/>
                <w:lang w:val="en-GB"/>
              </w:rPr>
              <w:t xml:space="preserve">Investigation to characterise the bioavailability of iron in tandem with modifying factors (for example DOC and pH (and hardness)) to decrease uncertainty and improve model reliability, including investigation into the application of site-specific formula; and </w:t>
            </w:r>
          </w:p>
          <w:p w14:paraId="716F2F34" w14:textId="476F9E39" w:rsidR="00FA5049" w:rsidRPr="00FA5049" w:rsidRDefault="00FA5049" w:rsidP="007439DF">
            <w:pPr>
              <w:pStyle w:val="ListParagraph"/>
              <w:numPr>
                <w:ilvl w:val="0"/>
                <w:numId w:val="12"/>
              </w:numPr>
              <w:spacing w:before="60" w:after="60" w:line="240" w:lineRule="auto"/>
              <w:ind w:left="821" w:hanging="284"/>
              <w:rPr>
                <w:sz w:val="18"/>
                <w:szCs w:val="18"/>
                <w:lang w:val="en-GB"/>
              </w:rPr>
            </w:pPr>
            <w:r w:rsidRPr="00FA5049">
              <w:rPr>
                <w:sz w:val="18"/>
                <w:szCs w:val="18"/>
                <w:lang w:val="en-GB"/>
              </w:rPr>
              <w:t xml:space="preserve">Research and/or further presentation of evidence for proposed analytical methodology to ensure the methodology can readily measure the bioavailable fraction of iron. </w:t>
            </w:r>
          </w:p>
          <w:p w14:paraId="1D545EB0" w14:textId="5172E104" w:rsidR="00CF4573" w:rsidRPr="00D257E8" w:rsidRDefault="00FA5049" w:rsidP="00FA5049">
            <w:pPr>
              <w:spacing w:before="60" w:after="60" w:line="240" w:lineRule="auto"/>
              <w:ind w:left="395"/>
              <w:rPr>
                <w:sz w:val="18"/>
                <w:szCs w:val="18"/>
                <w:lang w:val="en-GB"/>
              </w:rPr>
            </w:pPr>
            <w:r w:rsidRPr="00FA5049">
              <w:rPr>
                <w:sz w:val="18"/>
                <w:szCs w:val="18"/>
                <w:lang w:val="en-GB"/>
              </w:rPr>
              <w:t>Accordingly, it is recommended to defer the adoption of toxicant DGV for iron until such research/ validation has been completed.</w:t>
            </w:r>
          </w:p>
        </w:tc>
        <w:tc>
          <w:tcPr>
            <w:tcW w:w="4395" w:type="dxa"/>
          </w:tcPr>
          <w:p w14:paraId="7B62B531" w14:textId="77777777" w:rsidR="00CF4573" w:rsidRDefault="00E26A02" w:rsidP="00040781">
            <w:pPr>
              <w:spacing w:before="60" w:after="60" w:line="240" w:lineRule="auto"/>
              <w:rPr>
                <w:iCs/>
                <w:sz w:val="18"/>
                <w:szCs w:val="18"/>
              </w:rPr>
            </w:pPr>
            <w:r>
              <w:rPr>
                <w:iCs/>
                <w:sz w:val="18"/>
                <w:szCs w:val="18"/>
              </w:rPr>
              <w:t xml:space="preserve">See </w:t>
            </w:r>
            <w:r w:rsidR="00CE4DCF">
              <w:rPr>
                <w:iCs/>
                <w:sz w:val="18"/>
                <w:szCs w:val="18"/>
              </w:rPr>
              <w:t>responses to</w:t>
            </w:r>
            <w:r>
              <w:rPr>
                <w:iCs/>
                <w:sz w:val="18"/>
                <w:szCs w:val="18"/>
              </w:rPr>
              <w:t xml:space="preserve"> comments 2 and 5.</w:t>
            </w:r>
          </w:p>
          <w:p w14:paraId="488F2A65" w14:textId="2C2031E2" w:rsidR="00B36488" w:rsidRPr="000419A4" w:rsidRDefault="00B36488" w:rsidP="00040781">
            <w:pPr>
              <w:spacing w:before="60" w:after="60" w:line="240" w:lineRule="auto"/>
              <w:rPr>
                <w:iCs/>
                <w:sz w:val="18"/>
                <w:szCs w:val="18"/>
              </w:rPr>
            </w:pPr>
          </w:p>
        </w:tc>
        <w:tc>
          <w:tcPr>
            <w:tcW w:w="2756" w:type="dxa"/>
          </w:tcPr>
          <w:p w14:paraId="48C14BFF" w14:textId="09DCFF0C" w:rsidR="00CF4573" w:rsidRPr="000419A4" w:rsidRDefault="00E26A02" w:rsidP="00040781">
            <w:pPr>
              <w:spacing w:before="60" w:after="60" w:line="240" w:lineRule="auto"/>
              <w:rPr>
                <w:iCs/>
                <w:sz w:val="18"/>
                <w:szCs w:val="18"/>
              </w:rPr>
            </w:pPr>
            <w:r>
              <w:rPr>
                <w:sz w:val="18"/>
                <w:szCs w:val="18"/>
              </w:rPr>
              <w:t xml:space="preserve">Refer to </w:t>
            </w:r>
            <w:r w:rsidR="00CE4DCF">
              <w:rPr>
                <w:sz w:val="18"/>
                <w:szCs w:val="18"/>
              </w:rPr>
              <w:t>actions taken for</w:t>
            </w:r>
            <w:r w:rsidR="006C5BD8">
              <w:rPr>
                <w:sz w:val="18"/>
                <w:szCs w:val="18"/>
              </w:rPr>
              <w:t xml:space="preserve"> </w:t>
            </w:r>
            <w:r w:rsidR="00D77594">
              <w:rPr>
                <w:sz w:val="18"/>
                <w:szCs w:val="18"/>
              </w:rPr>
              <w:t>comments 2 and 5</w:t>
            </w:r>
          </w:p>
        </w:tc>
      </w:tr>
    </w:tbl>
    <w:p w14:paraId="25C8EBD2" w14:textId="77777777" w:rsidR="00D257E8" w:rsidRDefault="00D257E8" w:rsidP="005F16F6">
      <w:pPr>
        <w:rPr>
          <w:lang w:val="en-GB"/>
        </w:rPr>
      </w:pPr>
    </w:p>
    <w:p w14:paraId="3CE8DABA" w14:textId="77777777" w:rsidR="00BC0D16" w:rsidRDefault="00BC0D16">
      <w:pPr>
        <w:spacing w:before="60" w:after="60" w:line="240" w:lineRule="auto"/>
        <w:rPr>
          <w:lang w:val="en-GB"/>
        </w:rPr>
      </w:pPr>
      <w:r>
        <w:rPr>
          <w:lang w:val="en-GB"/>
        </w:rPr>
        <w:br w:type="page"/>
      </w:r>
    </w:p>
    <w:p w14:paraId="7F86C96E" w14:textId="32352C14" w:rsidR="00DB5AC0" w:rsidRPr="00CF08F1" w:rsidRDefault="00DB5AC0" w:rsidP="00DB5AC0">
      <w:pPr>
        <w:rPr>
          <w:b/>
          <w:bCs/>
        </w:rPr>
      </w:pPr>
      <w:r w:rsidRPr="00CF08F1">
        <w:rPr>
          <w:b/>
          <w:bCs/>
        </w:rPr>
        <w:lastRenderedPageBreak/>
        <w:t xml:space="preserve">Additional </w:t>
      </w:r>
      <w:r>
        <w:rPr>
          <w:b/>
          <w:bCs/>
        </w:rPr>
        <w:t>improvements made</w:t>
      </w:r>
      <w:r w:rsidRPr="00CF08F1">
        <w:rPr>
          <w:b/>
          <w:bCs/>
        </w:rPr>
        <w:t xml:space="preserve"> while addressing public comments</w:t>
      </w:r>
    </w:p>
    <w:tbl>
      <w:tblPr>
        <w:tblStyle w:val="TableGrid"/>
        <w:tblW w:w="0" w:type="auto"/>
        <w:tblLook w:val="04A0" w:firstRow="1" w:lastRow="0" w:firstColumn="1" w:lastColumn="0" w:noHBand="0" w:noVBand="1"/>
      </w:tblPr>
      <w:tblGrid>
        <w:gridCol w:w="3823"/>
        <w:gridCol w:w="6520"/>
        <w:gridCol w:w="3605"/>
      </w:tblGrid>
      <w:tr w:rsidR="00DB5AC0" w:rsidRPr="00CF08F1" w14:paraId="6FE1ED54" w14:textId="77777777" w:rsidTr="00BC0D16">
        <w:trPr>
          <w:tblHeader/>
        </w:trPr>
        <w:tc>
          <w:tcPr>
            <w:tcW w:w="3823" w:type="dxa"/>
          </w:tcPr>
          <w:p w14:paraId="70EA8595" w14:textId="77777777" w:rsidR="00DB5AC0" w:rsidRPr="00CF08F1" w:rsidRDefault="00DB5AC0" w:rsidP="00894464">
            <w:pPr>
              <w:spacing w:before="60" w:after="60"/>
              <w:rPr>
                <w:sz w:val="18"/>
                <w:szCs w:val="18"/>
              </w:rPr>
            </w:pPr>
            <w:r>
              <w:rPr>
                <w:rFonts w:cstheme="minorHAnsi"/>
                <w:b/>
                <w:bCs/>
                <w:sz w:val="20"/>
                <w:szCs w:val="20"/>
              </w:rPr>
              <w:t>Issue</w:t>
            </w:r>
          </w:p>
        </w:tc>
        <w:tc>
          <w:tcPr>
            <w:tcW w:w="6520" w:type="dxa"/>
          </w:tcPr>
          <w:p w14:paraId="7013924C" w14:textId="77777777" w:rsidR="00DB5AC0" w:rsidRPr="00CF08F1" w:rsidRDefault="00DB5AC0" w:rsidP="00894464">
            <w:pPr>
              <w:spacing w:before="60" w:after="60"/>
              <w:rPr>
                <w:sz w:val="18"/>
                <w:szCs w:val="18"/>
              </w:rPr>
            </w:pPr>
            <w:r w:rsidRPr="00B745B2">
              <w:rPr>
                <w:rFonts w:cstheme="minorHAnsi"/>
                <w:b/>
                <w:bCs/>
                <w:sz w:val="20"/>
                <w:szCs w:val="20"/>
              </w:rPr>
              <w:t>Response</w:t>
            </w:r>
          </w:p>
        </w:tc>
        <w:tc>
          <w:tcPr>
            <w:tcW w:w="3605" w:type="dxa"/>
          </w:tcPr>
          <w:p w14:paraId="39E0607A" w14:textId="77777777" w:rsidR="00DB5AC0" w:rsidRPr="00CF08F1" w:rsidRDefault="00DB5AC0" w:rsidP="00894464">
            <w:pPr>
              <w:spacing w:before="60" w:after="60"/>
              <w:rPr>
                <w:sz w:val="18"/>
                <w:szCs w:val="18"/>
              </w:rPr>
            </w:pPr>
            <w:r w:rsidRPr="00B745B2">
              <w:rPr>
                <w:rFonts w:cstheme="minorHAnsi"/>
                <w:b/>
                <w:bCs/>
                <w:sz w:val="20"/>
                <w:szCs w:val="20"/>
              </w:rPr>
              <w:t>Action taken</w:t>
            </w:r>
          </w:p>
        </w:tc>
      </w:tr>
      <w:tr w:rsidR="004A7FE5" w:rsidRPr="000A09AC" w14:paraId="1FC5FFA7" w14:textId="77777777" w:rsidTr="00894464">
        <w:tc>
          <w:tcPr>
            <w:tcW w:w="3823" w:type="dxa"/>
          </w:tcPr>
          <w:p w14:paraId="2FFE966F" w14:textId="5414EC63" w:rsidR="004A7FE5" w:rsidRPr="000A09AC" w:rsidRDefault="005E4688" w:rsidP="00894464">
            <w:pPr>
              <w:spacing w:before="60" w:after="60"/>
              <w:rPr>
                <w:rFonts w:cstheme="minorHAnsi"/>
                <w:sz w:val="18"/>
                <w:szCs w:val="18"/>
              </w:rPr>
            </w:pPr>
            <w:r w:rsidRPr="000A09AC">
              <w:rPr>
                <w:rFonts w:cstheme="minorHAnsi"/>
                <w:sz w:val="18"/>
                <w:szCs w:val="18"/>
              </w:rPr>
              <w:t xml:space="preserve">The original draft iron freshwater DGVs technical brief, which was drafted in 2020, was not as detailed as more recently drafted DGV technical briefs. </w:t>
            </w:r>
          </w:p>
        </w:tc>
        <w:tc>
          <w:tcPr>
            <w:tcW w:w="6520" w:type="dxa"/>
          </w:tcPr>
          <w:p w14:paraId="0673E050" w14:textId="129945DB" w:rsidR="004A7FE5" w:rsidRPr="000A09AC" w:rsidRDefault="005E4688" w:rsidP="00894464">
            <w:pPr>
              <w:spacing w:before="60" w:after="60"/>
              <w:rPr>
                <w:rFonts w:cstheme="minorHAnsi"/>
                <w:sz w:val="18"/>
                <w:szCs w:val="18"/>
              </w:rPr>
            </w:pPr>
            <w:r w:rsidRPr="000A09AC">
              <w:rPr>
                <w:rFonts w:cstheme="minorHAnsi"/>
                <w:sz w:val="18"/>
                <w:szCs w:val="18"/>
              </w:rPr>
              <w:t xml:space="preserve">Additional information was added to the technical brief to make the level of detail more consistent with </w:t>
            </w:r>
            <w:r w:rsidR="00C600E4" w:rsidRPr="000A09AC">
              <w:rPr>
                <w:rFonts w:cstheme="minorHAnsi"/>
                <w:sz w:val="18"/>
                <w:szCs w:val="18"/>
              </w:rPr>
              <w:t xml:space="preserve">that in </w:t>
            </w:r>
            <w:r w:rsidRPr="000A09AC">
              <w:rPr>
                <w:rFonts w:cstheme="minorHAnsi"/>
                <w:sz w:val="18"/>
                <w:szCs w:val="18"/>
              </w:rPr>
              <w:t>more recently drafted DGV technical briefs. This included, but was not limited to:</w:t>
            </w:r>
          </w:p>
          <w:p w14:paraId="6F79FBAE" w14:textId="2C1E034C" w:rsidR="005E4688" w:rsidRPr="000A09AC" w:rsidRDefault="005E4688" w:rsidP="005E4688">
            <w:pPr>
              <w:pStyle w:val="ListParagraph"/>
              <w:numPr>
                <w:ilvl w:val="0"/>
                <w:numId w:val="28"/>
              </w:numPr>
              <w:spacing w:before="60" w:after="60"/>
              <w:rPr>
                <w:rFonts w:cstheme="minorHAnsi"/>
                <w:sz w:val="18"/>
                <w:szCs w:val="18"/>
              </w:rPr>
            </w:pPr>
            <w:r w:rsidRPr="000A09AC">
              <w:rPr>
                <w:rFonts w:cstheme="minorHAnsi"/>
                <w:sz w:val="18"/>
                <w:szCs w:val="18"/>
              </w:rPr>
              <w:t xml:space="preserve">The content of the Summary was improved. </w:t>
            </w:r>
          </w:p>
          <w:p w14:paraId="14AD725C" w14:textId="7C130A24" w:rsidR="005E4688" w:rsidRPr="000A09AC" w:rsidRDefault="005E4688" w:rsidP="005E4688">
            <w:pPr>
              <w:pStyle w:val="ListParagraph"/>
              <w:numPr>
                <w:ilvl w:val="0"/>
                <w:numId w:val="28"/>
              </w:numPr>
              <w:spacing w:before="60" w:after="60"/>
              <w:rPr>
                <w:rFonts w:cstheme="minorHAnsi"/>
                <w:sz w:val="18"/>
                <w:szCs w:val="18"/>
              </w:rPr>
            </w:pPr>
            <w:r w:rsidRPr="000A09AC">
              <w:rPr>
                <w:rFonts w:cstheme="minorHAnsi"/>
                <w:sz w:val="18"/>
                <w:szCs w:val="18"/>
              </w:rPr>
              <w:t xml:space="preserve">Section 2.3 on general toxicity was expanded, including description </w:t>
            </w:r>
            <w:r w:rsidR="006F79C7">
              <w:rPr>
                <w:rFonts w:cstheme="minorHAnsi"/>
                <w:sz w:val="18"/>
                <w:szCs w:val="18"/>
              </w:rPr>
              <w:t xml:space="preserve">of/summarising </w:t>
            </w:r>
            <w:r w:rsidRPr="000A09AC">
              <w:rPr>
                <w:rFonts w:cstheme="minorHAnsi"/>
                <w:sz w:val="18"/>
                <w:szCs w:val="18"/>
              </w:rPr>
              <w:t>two mesocosm studies (Cadmus et al. 2018a, b; Kotalik et al. 2019) and a field study (Peters et al. 2011).</w:t>
            </w:r>
          </w:p>
          <w:p w14:paraId="137018AD" w14:textId="5E04A0D8" w:rsidR="00674BC6" w:rsidRPr="000A09AC" w:rsidRDefault="00674BC6" w:rsidP="005E4688">
            <w:pPr>
              <w:pStyle w:val="ListParagraph"/>
              <w:numPr>
                <w:ilvl w:val="0"/>
                <w:numId w:val="28"/>
              </w:numPr>
              <w:spacing w:before="60" w:after="60"/>
              <w:rPr>
                <w:rFonts w:cstheme="minorHAnsi"/>
                <w:sz w:val="18"/>
                <w:szCs w:val="18"/>
              </w:rPr>
            </w:pPr>
            <w:r w:rsidRPr="000A09AC">
              <w:rPr>
                <w:rFonts w:cstheme="minorHAnsi"/>
                <w:sz w:val="18"/>
                <w:szCs w:val="18"/>
              </w:rPr>
              <w:t>A modality assessment was added to Section 4.1.</w:t>
            </w:r>
          </w:p>
          <w:p w14:paraId="10F290EB" w14:textId="4EB80498" w:rsidR="00674BC6" w:rsidRPr="000A09AC" w:rsidRDefault="00674BC6" w:rsidP="005E4688">
            <w:pPr>
              <w:pStyle w:val="ListParagraph"/>
              <w:numPr>
                <w:ilvl w:val="0"/>
                <w:numId w:val="28"/>
              </w:numPr>
              <w:spacing w:before="60" w:after="60"/>
              <w:rPr>
                <w:rFonts w:cstheme="minorHAnsi"/>
                <w:sz w:val="18"/>
                <w:szCs w:val="18"/>
              </w:rPr>
            </w:pPr>
            <w:r w:rsidRPr="000A09AC">
              <w:rPr>
                <w:rFonts w:cstheme="minorHAnsi"/>
                <w:sz w:val="18"/>
                <w:szCs w:val="18"/>
              </w:rPr>
              <w:t>In Section 4.3, the mesocosm and field studies were used to help validate the DGVS.</w:t>
            </w:r>
          </w:p>
          <w:p w14:paraId="54DDFFC8" w14:textId="69A2164D" w:rsidR="005E4688" w:rsidRPr="000A09AC" w:rsidRDefault="004908F5" w:rsidP="004908F5">
            <w:pPr>
              <w:pStyle w:val="ListParagraph"/>
              <w:numPr>
                <w:ilvl w:val="0"/>
                <w:numId w:val="28"/>
              </w:numPr>
              <w:spacing w:before="60" w:after="60"/>
              <w:rPr>
                <w:rFonts w:cstheme="minorHAnsi"/>
                <w:sz w:val="18"/>
                <w:szCs w:val="18"/>
              </w:rPr>
            </w:pPr>
            <w:r w:rsidRPr="000A09AC">
              <w:rPr>
                <w:rFonts w:cstheme="minorHAnsi"/>
                <w:sz w:val="18"/>
                <w:szCs w:val="18"/>
              </w:rPr>
              <w:t xml:space="preserve">A second table was added to </w:t>
            </w:r>
            <w:r w:rsidR="00674BC6" w:rsidRPr="000A09AC">
              <w:rPr>
                <w:rFonts w:cstheme="minorHAnsi"/>
                <w:sz w:val="18"/>
                <w:szCs w:val="18"/>
              </w:rPr>
              <w:t xml:space="preserve">Appendix </w:t>
            </w:r>
            <w:r w:rsidR="00F3618E" w:rsidRPr="000A09AC">
              <w:rPr>
                <w:rFonts w:cstheme="minorHAnsi"/>
                <w:sz w:val="18"/>
                <w:szCs w:val="18"/>
              </w:rPr>
              <w:t>B with details of the mesocosm toxicity data reported by Cadmus et al. (2018a, b) and Kotalik et al. (2019).</w:t>
            </w:r>
          </w:p>
        </w:tc>
        <w:tc>
          <w:tcPr>
            <w:tcW w:w="3605" w:type="dxa"/>
          </w:tcPr>
          <w:p w14:paraId="63AA853A" w14:textId="0B08F599" w:rsidR="004A7FE5" w:rsidRPr="000A09AC" w:rsidRDefault="003917D0" w:rsidP="00894464">
            <w:pPr>
              <w:spacing w:before="60" w:after="60"/>
              <w:rPr>
                <w:rFonts w:cstheme="minorHAnsi"/>
                <w:sz w:val="18"/>
                <w:szCs w:val="18"/>
              </w:rPr>
            </w:pPr>
            <w:r w:rsidRPr="000A09AC">
              <w:rPr>
                <w:rFonts w:cstheme="minorHAnsi"/>
                <w:sz w:val="18"/>
                <w:szCs w:val="18"/>
              </w:rPr>
              <w:t xml:space="preserve">As detailed in </w:t>
            </w:r>
            <w:r w:rsidR="004908F5" w:rsidRPr="000A09AC">
              <w:rPr>
                <w:rFonts w:cstheme="minorHAnsi"/>
                <w:sz w:val="18"/>
                <w:szCs w:val="18"/>
              </w:rPr>
              <w:t xml:space="preserve">the </w:t>
            </w:r>
            <w:r w:rsidRPr="000A09AC">
              <w:rPr>
                <w:rFonts w:cstheme="minorHAnsi"/>
                <w:sz w:val="18"/>
                <w:szCs w:val="18"/>
              </w:rPr>
              <w:t>“Response”</w:t>
            </w:r>
            <w:r w:rsidR="009F59F8">
              <w:rPr>
                <w:rFonts w:cstheme="minorHAnsi"/>
                <w:sz w:val="18"/>
                <w:szCs w:val="18"/>
              </w:rPr>
              <w:t xml:space="preserve"> column</w:t>
            </w:r>
            <w:r w:rsidRPr="000A09AC">
              <w:rPr>
                <w:rFonts w:cstheme="minorHAnsi"/>
                <w:sz w:val="18"/>
                <w:szCs w:val="18"/>
              </w:rPr>
              <w:t>.</w:t>
            </w:r>
          </w:p>
        </w:tc>
      </w:tr>
    </w:tbl>
    <w:p w14:paraId="5CA6A14C" w14:textId="77777777" w:rsidR="00DB5AC0" w:rsidRDefault="00DB5AC0" w:rsidP="005F16F6">
      <w:pPr>
        <w:rPr>
          <w:lang w:val="en-GB"/>
        </w:rPr>
      </w:pPr>
    </w:p>
    <w:p w14:paraId="3DDC5661" w14:textId="77777777" w:rsidR="007B3A5D" w:rsidRDefault="007B3A5D" w:rsidP="005F16F6">
      <w:pPr>
        <w:rPr>
          <w:lang w:val="en-GB"/>
        </w:rPr>
      </w:pPr>
    </w:p>
    <w:p w14:paraId="6B4749C3" w14:textId="77777777" w:rsidR="003C1402" w:rsidRDefault="003C1402" w:rsidP="005F16F6">
      <w:pPr>
        <w:rPr>
          <w:lang w:val="en-GB"/>
        </w:rPr>
        <w:sectPr w:rsidR="003C1402" w:rsidSect="00484C4F">
          <w:headerReference w:type="even" r:id="rId15"/>
          <w:headerReference w:type="default" r:id="rId16"/>
          <w:footerReference w:type="even" r:id="rId17"/>
          <w:footerReference w:type="default" r:id="rId18"/>
          <w:headerReference w:type="first" r:id="rId19"/>
          <w:footerReference w:type="first" r:id="rId20"/>
          <w:pgSz w:w="16840" w:h="11900" w:orient="landscape"/>
          <w:pgMar w:top="1440" w:right="1440" w:bottom="1440" w:left="1440" w:header="708" w:footer="708" w:gutter="0"/>
          <w:cols w:space="708"/>
          <w:docGrid w:linePitch="360"/>
        </w:sectPr>
      </w:pPr>
    </w:p>
    <w:p w14:paraId="0C128F21" w14:textId="77777777" w:rsidR="003C1402" w:rsidRPr="001B00B9" w:rsidRDefault="003C1402" w:rsidP="00C5274D">
      <w:pPr>
        <w:pStyle w:val="Heading3"/>
      </w:pPr>
      <w:r w:rsidRPr="001B00B9">
        <w:lastRenderedPageBreak/>
        <w:t>References</w:t>
      </w:r>
    </w:p>
    <w:p w14:paraId="0C98E11F" w14:textId="77777777" w:rsidR="009C20F4" w:rsidRPr="009C20F4" w:rsidRDefault="009C20F4" w:rsidP="009C20F4">
      <w:pPr>
        <w:rPr>
          <w:sz w:val="18"/>
          <w:szCs w:val="18"/>
          <w:lang w:val="en-GB"/>
        </w:rPr>
      </w:pPr>
      <w:r w:rsidRPr="009C20F4">
        <w:rPr>
          <w:sz w:val="18"/>
          <w:szCs w:val="18"/>
          <w:lang w:val="en-GB"/>
        </w:rPr>
        <w:t>ANZECC/ARMCANZ 2000. Australian and New Zealand guidelines for fresh and marine water quality. Canberra (AU). National Water Quality Management Strategy Paper No 4.</w:t>
      </w:r>
    </w:p>
    <w:p w14:paraId="3F09A61A" w14:textId="2C33D813" w:rsidR="003C1402" w:rsidRDefault="003C1402" w:rsidP="003C1402">
      <w:pPr>
        <w:rPr>
          <w:sz w:val="18"/>
          <w:szCs w:val="18"/>
        </w:rPr>
      </w:pPr>
      <w:r w:rsidRPr="00757688">
        <w:rPr>
          <w:sz w:val="18"/>
          <w:szCs w:val="18"/>
        </w:rPr>
        <w:t xml:space="preserve">ANZG </w:t>
      </w:r>
      <w:r>
        <w:rPr>
          <w:sz w:val="18"/>
          <w:szCs w:val="18"/>
        </w:rPr>
        <w:t>(</w:t>
      </w:r>
      <w:r w:rsidRPr="00757688">
        <w:rPr>
          <w:sz w:val="18"/>
          <w:szCs w:val="18"/>
        </w:rPr>
        <w:t>202</w:t>
      </w:r>
      <w:r w:rsidR="00D91119">
        <w:rPr>
          <w:sz w:val="18"/>
          <w:szCs w:val="18"/>
        </w:rPr>
        <w:t>5</w:t>
      </w:r>
      <w:r>
        <w:rPr>
          <w:sz w:val="18"/>
          <w:szCs w:val="18"/>
        </w:rPr>
        <w:t>)</w:t>
      </w:r>
      <w:r w:rsidRPr="00757688">
        <w:rPr>
          <w:sz w:val="18"/>
          <w:szCs w:val="18"/>
        </w:rPr>
        <w:t xml:space="preserve"> </w:t>
      </w:r>
      <w:hyperlink r:id="rId21" w:history="1">
        <w:r w:rsidRPr="00C5274D">
          <w:rPr>
            <w:rStyle w:val="Hyperlink"/>
            <w:i/>
            <w:iCs/>
            <w:sz w:val="18"/>
            <w:szCs w:val="18"/>
          </w:rPr>
          <w:t>Optimisation of the USEPA (1991) pH 2 extraction method for measuring potentially bioavailable iron (iron III)</w:t>
        </w:r>
      </w:hyperlink>
      <w:r w:rsidRPr="00C5274D">
        <w:rPr>
          <w:sz w:val="18"/>
          <w:szCs w:val="18"/>
        </w:rPr>
        <w:t>, Australian and New Zealand guidelines for fresh and marine water quality</w:t>
      </w:r>
      <w:r w:rsidRPr="00757688">
        <w:rPr>
          <w:sz w:val="18"/>
          <w:szCs w:val="18"/>
        </w:rPr>
        <w:t>. CC BY 4.0. Australian and New Zealand Governments and Australian state and territory governments, Canberra, ACT, Australia.</w:t>
      </w:r>
    </w:p>
    <w:p w14:paraId="63C56568" w14:textId="77777777" w:rsidR="003C1402" w:rsidRPr="00221B99" w:rsidRDefault="003C1402" w:rsidP="003C1402">
      <w:pPr>
        <w:rPr>
          <w:sz w:val="18"/>
          <w:szCs w:val="18"/>
        </w:rPr>
      </w:pPr>
      <w:r w:rsidRPr="00221B99">
        <w:rPr>
          <w:sz w:val="18"/>
          <w:szCs w:val="18"/>
        </w:rPr>
        <w:t>Balsamo Crespo E, Reichelt</w:t>
      </w:r>
      <w:r w:rsidRPr="00221B99">
        <w:rPr>
          <w:rFonts w:ascii="Cambria Math" w:hAnsi="Cambria Math" w:cs="Cambria Math"/>
          <w:sz w:val="18"/>
          <w:szCs w:val="18"/>
        </w:rPr>
        <w:t>‐</w:t>
      </w:r>
      <w:r w:rsidRPr="00221B99">
        <w:rPr>
          <w:sz w:val="18"/>
          <w:szCs w:val="18"/>
        </w:rPr>
        <w:t>Brushett</w:t>
      </w:r>
      <w:r>
        <w:rPr>
          <w:sz w:val="18"/>
          <w:szCs w:val="18"/>
        </w:rPr>
        <w:t xml:space="preserve"> </w:t>
      </w:r>
      <w:r w:rsidRPr="00221B99">
        <w:rPr>
          <w:sz w:val="18"/>
          <w:szCs w:val="18"/>
        </w:rPr>
        <w:t>A, Smith RE, Rose AL &amp; Batley GE 2023. Improving the measurement of iron (III) bioavailability in freshwater samples: Methods and performance.</w:t>
      </w:r>
      <w:r>
        <w:rPr>
          <w:sz w:val="18"/>
          <w:szCs w:val="18"/>
        </w:rPr>
        <w:t xml:space="preserve"> </w:t>
      </w:r>
      <w:r w:rsidRPr="00221B99">
        <w:rPr>
          <w:i/>
          <w:iCs/>
          <w:sz w:val="18"/>
          <w:szCs w:val="18"/>
        </w:rPr>
        <w:t>Environmental Toxicology and Chemistry</w:t>
      </w:r>
      <w:r w:rsidRPr="00221B99">
        <w:rPr>
          <w:sz w:val="18"/>
          <w:szCs w:val="18"/>
        </w:rPr>
        <w:t>,</w:t>
      </w:r>
      <w:r>
        <w:rPr>
          <w:sz w:val="18"/>
          <w:szCs w:val="18"/>
        </w:rPr>
        <w:t xml:space="preserve"> </w:t>
      </w:r>
      <w:r w:rsidRPr="00221B99">
        <w:rPr>
          <w:sz w:val="18"/>
          <w:szCs w:val="18"/>
        </w:rPr>
        <w:t>42, 303-316.</w:t>
      </w:r>
    </w:p>
    <w:p w14:paraId="26D032E8" w14:textId="77777777" w:rsidR="003C1402" w:rsidRDefault="003C1402" w:rsidP="003C1402">
      <w:pPr>
        <w:rPr>
          <w:sz w:val="18"/>
          <w:szCs w:val="18"/>
          <w:lang w:val="en-GB"/>
        </w:rPr>
      </w:pPr>
      <w:r w:rsidRPr="0005795F">
        <w:rPr>
          <w:sz w:val="18"/>
          <w:szCs w:val="18"/>
          <w:lang w:val="en-GB"/>
        </w:rPr>
        <w:t>Brix KV, Tear LM, DeForest DK &amp; Adams WJ 2023. Development</w:t>
      </w:r>
      <w:r>
        <w:rPr>
          <w:sz w:val="18"/>
          <w:szCs w:val="18"/>
          <w:lang w:val="en-GB"/>
        </w:rPr>
        <w:t xml:space="preserve"> </w:t>
      </w:r>
      <w:r w:rsidRPr="0005795F">
        <w:rPr>
          <w:sz w:val="18"/>
          <w:szCs w:val="18"/>
          <w:lang w:val="en-GB"/>
        </w:rPr>
        <w:t>of multiple linear regression models for predicting chronic iron toxicity</w:t>
      </w:r>
      <w:r>
        <w:rPr>
          <w:sz w:val="18"/>
          <w:szCs w:val="18"/>
          <w:lang w:val="en-GB"/>
        </w:rPr>
        <w:t xml:space="preserve"> </w:t>
      </w:r>
      <w:r w:rsidRPr="0005795F">
        <w:rPr>
          <w:sz w:val="18"/>
          <w:szCs w:val="18"/>
          <w:lang w:val="en-GB"/>
        </w:rPr>
        <w:t xml:space="preserve">to aquatic organisms. </w:t>
      </w:r>
      <w:r w:rsidRPr="0005795F">
        <w:rPr>
          <w:i/>
          <w:iCs/>
          <w:sz w:val="18"/>
          <w:szCs w:val="18"/>
          <w:lang w:val="en-GB"/>
        </w:rPr>
        <w:t>Environmental Toxicology and Chemistry</w:t>
      </w:r>
      <w:r w:rsidRPr="0005795F">
        <w:rPr>
          <w:sz w:val="18"/>
          <w:szCs w:val="18"/>
          <w:lang w:val="en-GB"/>
        </w:rPr>
        <w:t>, 42(6),</w:t>
      </w:r>
      <w:r>
        <w:rPr>
          <w:sz w:val="18"/>
          <w:szCs w:val="18"/>
          <w:lang w:val="en-GB"/>
        </w:rPr>
        <w:t xml:space="preserve"> </w:t>
      </w:r>
      <w:r w:rsidRPr="0005795F">
        <w:rPr>
          <w:sz w:val="18"/>
          <w:szCs w:val="18"/>
          <w:lang w:val="en-GB"/>
        </w:rPr>
        <w:t xml:space="preserve">1386–1400. </w:t>
      </w:r>
    </w:p>
    <w:p w14:paraId="290A9281" w14:textId="2D98B30B" w:rsidR="00E07E27" w:rsidRDefault="00E07E27" w:rsidP="00E07E27">
      <w:pPr>
        <w:rPr>
          <w:sz w:val="18"/>
          <w:szCs w:val="18"/>
        </w:rPr>
      </w:pPr>
      <w:r w:rsidRPr="00E07E27">
        <w:rPr>
          <w:sz w:val="18"/>
          <w:szCs w:val="18"/>
        </w:rPr>
        <w:t>Cadmus P, Guasch H, Herdrich AT, Bonet B, Urrea G &amp; Clements W H 2018</w:t>
      </w:r>
      <w:r>
        <w:rPr>
          <w:sz w:val="18"/>
          <w:szCs w:val="18"/>
        </w:rPr>
        <w:t>a</w:t>
      </w:r>
      <w:r w:rsidRPr="00E07E27">
        <w:rPr>
          <w:sz w:val="18"/>
          <w:szCs w:val="18"/>
        </w:rPr>
        <w:t>. Structural and functional re</w:t>
      </w:r>
      <w:r>
        <w:rPr>
          <w:sz w:val="18"/>
          <w:szCs w:val="18"/>
        </w:rPr>
        <w:t>s</w:t>
      </w:r>
      <w:r w:rsidRPr="00E07E27">
        <w:rPr>
          <w:sz w:val="18"/>
          <w:szCs w:val="18"/>
        </w:rPr>
        <w:t xml:space="preserve">ponses of periphyton and macroinvertebrate communities to ferric Fe, Cu, and Zn in stream mesocosms. </w:t>
      </w:r>
      <w:r w:rsidRPr="00E07E27">
        <w:rPr>
          <w:i/>
          <w:iCs/>
          <w:sz w:val="18"/>
          <w:szCs w:val="18"/>
        </w:rPr>
        <w:t>Environmental Toxicology and Chemistry,</w:t>
      </w:r>
      <w:r w:rsidRPr="00E07E27">
        <w:rPr>
          <w:sz w:val="18"/>
          <w:szCs w:val="18"/>
        </w:rPr>
        <w:t xml:space="preserve"> 37, 1320–1329.</w:t>
      </w:r>
    </w:p>
    <w:p w14:paraId="6ED13E78" w14:textId="29F4D2BC" w:rsidR="005E4688" w:rsidRDefault="005E4688" w:rsidP="003C1402">
      <w:pPr>
        <w:rPr>
          <w:sz w:val="18"/>
          <w:szCs w:val="18"/>
          <w:lang w:val="en-GB"/>
        </w:rPr>
      </w:pPr>
      <w:r w:rsidRPr="005E4688">
        <w:rPr>
          <w:sz w:val="18"/>
          <w:szCs w:val="18"/>
          <w:lang w:val="en-GB"/>
        </w:rPr>
        <w:t>Cadmus P, Brinkman SF &amp; May MK 2018</w:t>
      </w:r>
      <w:r w:rsidR="00E07E27">
        <w:rPr>
          <w:sz w:val="18"/>
          <w:szCs w:val="18"/>
          <w:lang w:val="en-GB"/>
        </w:rPr>
        <w:t>b</w:t>
      </w:r>
      <w:r w:rsidRPr="005E4688">
        <w:rPr>
          <w:sz w:val="18"/>
          <w:szCs w:val="18"/>
          <w:lang w:val="en-GB"/>
        </w:rPr>
        <w:t xml:space="preserve">. Chronic toxicity of ferric iron for North American aquatic organisms: Derivation of a chronic water quality criterion using single species and mesocosm data. </w:t>
      </w:r>
      <w:r w:rsidRPr="005E4688">
        <w:rPr>
          <w:i/>
          <w:iCs/>
          <w:sz w:val="18"/>
          <w:szCs w:val="18"/>
          <w:lang w:val="en-GB"/>
        </w:rPr>
        <w:t>Archives of Environmental Contamination and Toxicology</w:t>
      </w:r>
      <w:r w:rsidRPr="005E4688">
        <w:rPr>
          <w:sz w:val="18"/>
          <w:szCs w:val="18"/>
          <w:lang w:val="en-GB"/>
        </w:rPr>
        <w:t>, 74, 605–618.</w:t>
      </w:r>
    </w:p>
    <w:p w14:paraId="2D83882F" w14:textId="33774C35" w:rsidR="003C1402" w:rsidRDefault="003C1402" w:rsidP="003C1402">
      <w:pPr>
        <w:rPr>
          <w:sz w:val="18"/>
          <w:szCs w:val="18"/>
          <w:lang w:val="en-GB"/>
        </w:rPr>
      </w:pPr>
      <w:r>
        <w:rPr>
          <w:sz w:val="18"/>
          <w:szCs w:val="18"/>
          <w:lang w:val="en-GB"/>
        </w:rPr>
        <w:t xml:space="preserve">ECCC 2019. </w:t>
      </w:r>
      <w:r w:rsidRPr="0005795F">
        <w:rPr>
          <w:sz w:val="18"/>
          <w:szCs w:val="18"/>
          <w:lang w:val="en-GB"/>
        </w:rPr>
        <w:t>Federal Environmental Quality Guidelines</w:t>
      </w:r>
      <w:r>
        <w:rPr>
          <w:sz w:val="18"/>
          <w:szCs w:val="18"/>
          <w:lang w:val="en-GB"/>
        </w:rPr>
        <w:t xml:space="preserve"> – </w:t>
      </w:r>
      <w:r w:rsidRPr="0005795F">
        <w:rPr>
          <w:sz w:val="18"/>
          <w:szCs w:val="18"/>
          <w:lang w:val="en-GB"/>
        </w:rPr>
        <w:t>Iron</w:t>
      </w:r>
      <w:r>
        <w:rPr>
          <w:sz w:val="18"/>
          <w:szCs w:val="18"/>
          <w:lang w:val="en-GB"/>
        </w:rPr>
        <w:t xml:space="preserve">. </w:t>
      </w:r>
      <w:r w:rsidRPr="0005795F">
        <w:rPr>
          <w:sz w:val="18"/>
          <w:szCs w:val="18"/>
          <w:lang w:val="en-GB"/>
        </w:rPr>
        <w:t>Canadian Environmental Protection Act, 1999</w:t>
      </w:r>
      <w:r>
        <w:rPr>
          <w:sz w:val="18"/>
          <w:szCs w:val="18"/>
          <w:lang w:val="en-GB"/>
        </w:rPr>
        <w:t xml:space="preserve">, Environment and Climate Change Canada. Draft for public comment. </w:t>
      </w:r>
      <w:hyperlink r:id="rId22" w:history="1">
        <w:r w:rsidRPr="001665F9">
          <w:rPr>
            <w:rStyle w:val="Hyperlink"/>
            <w:sz w:val="18"/>
            <w:szCs w:val="18"/>
            <w:lang w:val="en-GB"/>
          </w:rPr>
          <w:t>https://www.canada.ca/en/environment-climate-change/services/evaluating-existing-substances/federal-environmental-quality-guidelines-iron.html</w:t>
        </w:r>
      </w:hyperlink>
      <w:r>
        <w:rPr>
          <w:sz w:val="18"/>
          <w:szCs w:val="18"/>
          <w:lang w:val="en-GB"/>
        </w:rPr>
        <w:t xml:space="preserve">. </w:t>
      </w:r>
    </w:p>
    <w:p w14:paraId="44D6F696" w14:textId="77777777" w:rsidR="005E4688" w:rsidRDefault="005E4688" w:rsidP="005E4688">
      <w:pPr>
        <w:rPr>
          <w:sz w:val="18"/>
          <w:szCs w:val="18"/>
          <w:lang w:val="en-GB"/>
        </w:rPr>
      </w:pPr>
      <w:r w:rsidRPr="005E4688">
        <w:rPr>
          <w:sz w:val="18"/>
          <w:szCs w:val="18"/>
          <w:lang w:val="en-GB"/>
        </w:rPr>
        <w:t xml:space="preserve">Kotalik CJ, Cadmus P &amp; Clements WH 2019. Indirect effects of iron oxide on stream benthic communities: capturing ecological complexity with controlled mesocosm experiments. </w:t>
      </w:r>
      <w:r w:rsidRPr="005E4688">
        <w:rPr>
          <w:i/>
          <w:iCs/>
          <w:sz w:val="18"/>
          <w:szCs w:val="18"/>
          <w:lang w:val="en-GB"/>
        </w:rPr>
        <w:t>Environmental Science &amp; Technology</w:t>
      </w:r>
      <w:r w:rsidRPr="005E4688">
        <w:rPr>
          <w:sz w:val="18"/>
          <w:szCs w:val="18"/>
          <w:lang w:val="en-GB"/>
        </w:rPr>
        <w:t>, 53, 11532-11540.</w:t>
      </w:r>
    </w:p>
    <w:p w14:paraId="2AAABCEB" w14:textId="3E3ED97B" w:rsidR="0006679A" w:rsidRPr="005E4688" w:rsidRDefault="0006679A" w:rsidP="005E4688">
      <w:pPr>
        <w:rPr>
          <w:sz w:val="18"/>
          <w:szCs w:val="18"/>
          <w:lang w:val="en-GB"/>
        </w:rPr>
      </w:pPr>
      <w:r w:rsidRPr="0006679A">
        <w:rPr>
          <w:sz w:val="18"/>
          <w:szCs w:val="18"/>
        </w:rPr>
        <w:t xml:space="preserve">Peters A, Crane M &amp; Adams W 2011. Effects of iron on benthic macroinvertebrate communities in the field. </w:t>
      </w:r>
      <w:r w:rsidRPr="0006679A">
        <w:rPr>
          <w:i/>
          <w:iCs/>
          <w:sz w:val="18"/>
          <w:szCs w:val="18"/>
        </w:rPr>
        <w:t>Bulletin of Environmental Contamination and Toxicology</w:t>
      </w:r>
      <w:r w:rsidRPr="0006679A">
        <w:rPr>
          <w:sz w:val="18"/>
          <w:szCs w:val="18"/>
        </w:rPr>
        <w:t>, 86, 591-595.</w:t>
      </w:r>
    </w:p>
    <w:p w14:paraId="001C814C" w14:textId="77777777" w:rsidR="009C20F4" w:rsidRPr="009C20F4" w:rsidRDefault="009C20F4" w:rsidP="009C20F4">
      <w:pPr>
        <w:rPr>
          <w:sz w:val="18"/>
          <w:szCs w:val="18"/>
        </w:rPr>
      </w:pPr>
      <w:r w:rsidRPr="009C20F4">
        <w:rPr>
          <w:sz w:val="18"/>
          <w:szCs w:val="18"/>
          <w:lang w:val="en-GB"/>
        </w:rPr>
        <w:t>Warne MStJ, Batley GE, van Dam RA, Chapman JC, Fox DR, Hickey CW &amp;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3E514209" w14:textId="77777777" w:rsidR="009C20F4" w:rsidRPr="009C20F4" w:rsidRDefault="009C20F4" w:rsidP="005F16F6">
      <w:pPr>
        <w:rPr>
          <w:sz w:val="18"/>
          <w:szCs w:val="18"/>
          <w:lang w:val="en-GB"/>
        </w:rPr>
      </w:pPr>
    </w:p>
    <w:sectPr w:rsidR="009C20F4" w:rsidRPr="009C20F4" w:rsidSect="00484C4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FED2A" w14:textId="77777777" w:rsidR="00535DE3" w:rsidRDefault="00535DE3" w:rsidP="00296C62">
      <w:pPr>
        <w:spacing w:after="0" w:line="240" w:lineRule="auto"/>
      </w:pPr>
      <w:r>
        <w:separator/>
      </w:r>
    </w:p>
  </w:endnote>
  <w:endnote w:type="continuationSeparator" w:id="0">
    <w:p w14:paraId="52AE8DCA" w14:textId="77777777" w:rsidR="00535DE3" w:rsidRDefault="00535DE3" w:rsidP="0029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A297" w14:textId="77777777" w:rsidR="009B29DC" w:rsidRDefault="009B29DC" w:rsidP="008A644F">
    <w:pPr>
      <w:pStyle w:val="Footer"/>
      <w:framePr w:wrap="none" w:vAnchor="text" w:hAnchor="margin" w:xAlign="right" w:y="1"/>
      <w:rPr>
        <w:rStyle w:val="PageNumber"/>
      </w:rPr>
    </w:pPr>
    <w:r>
      <w:rPr>
        <w:noProof/>
      </w:rPr>
      <mc:AlternateContent>
        <mc:Choice Requires="wps">
          <w:drawing>
            <wp:anchor distT="0" distB="0" distL="0" distR="0" simplePos="0" relativeHeight="251664392" behindDoc="0" locked="0" layoutInCell="1" allowOverlap="1" wp14:anchorId="3CDE6D72" wp14:editId="3C19913F">
              <wp:simplePos x="635" y="635"/>
              <wp:positionH relativeFrom="page">
                <wp:align>center</wp:align>
              </wp:positionH>
              <wp:positionV relativeFrom="page">
                <wp:align>bottom</wp:align>
              </wp:positionV>
              <wp:extent cx="551815" cy="480695"/>
              <wp:effectExtent l="0" t="0" r="635" b="0"/>
              <wp:wrapNone/>
              <wp:docPr id="113091110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030FB82" w14:textId="77777777" w:rsidR="009B29DC" w:rsidRPr="00C55983" w:rsidRDefault="009B29DC" w:rsidP="00C55983">
                          <w:pPr>
                            <w:spacing w:after="0"/>
                            <w:rPr>
                              <w:rFonts w:cs="Calibri"/>
                              <w:noProof/>
                              <w:color w:val="FF0000"/>
                            </w:rPr>
                          </w:pPr>
                          <w:r w:rsidRPr="00C55983">
                            <w:rPr>
                              <w:rFonts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E6D72" id="_x0000_t202" coordsize="21600,21600" o:spt="202" path="m,l,21600r21600,l21600,xe">
              <v:stroke joinstyle="miter"/>
              <v:path gradientshapeok="t" o:connecttype="rect"/>
            </v:shapetype>
            <v:shape id="Text Box 11" o:spid="_x0000_s1028" type="#_x0000_t202" alt="OFFICIAL" style="position:absolute;margin-left:0;margin-top:0;width:43.45pt;height:37.85pt;z-index:251664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5030FB82" w14:textId="77777777" w:rsidR="009B29DC" w:rsidRPr="00C55983" w:rsidRDefault="009B29DC" w:rsidP="00C55983">
                    <w:pPr>
                      <w:spacing w:after="0"/>
                      <w:rPr>
                        <w:rFonts w:cs="Calibri"/>
                        <w:noProof/>
                        <w:color w:val="FF0000"/>
                      </w:rPr>
                    </w:pPr>
                    <w:r w:rsidRPr="00C55983">
                      <w:rPr>
                        <w:rFonts w:cs="Calibri"/>
                        <w:noProof/>
                        <w:color w:val="FF0000"/>
                      </w:rPr>
                      <w:t>OFFICIAL</w:t>
                    </w:r>
                  </w:p>
                </w:txbxContent>
              </v:textbox>
              <w10:wrap anchorx="page" anchory="page"/>
            </v:shape>
          </w:pict>
        </mc:Fallback>
      </mc:AlternateContent>
    </w:r>
  </w:p>
  <w:sdt>
    <w:sdtPr>
      <w:rPr>
        <w:rStyle w:val="PageNumber"/>
      </w:rPr>
      <w:id w:val="-1667009440"/>
      <w:docPartObj>
        <w:docPartGallery w:val="Page Numbers (Bottom of Page)"/>
        <w:docPartUnique/>
      </w:docPartObj>
    </w:sdtPr>
    <w:sdtContent>
      <w:p w14:paraId="43454AF4" w14:textId="77777777" w:rsidR="009B29DC" w:rsidRDefault="009B29DC" w:rsidP="008A64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95326" w14:textId="77777777" w:rsidR="009B29DC" w:rsidRDefault="009B29DC" w:rsidP="00336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38B7" w14:textId="77777777" w:rsidR="009B29DC" w:rsidRDefault="009B29DC" w:rsidP="00FB3DCB">
    <w:pPr>
      <w:pStyle w:val="Footer"/>
      <w:jc w:val="right"/>
    </w:pPr>
    <w:r>
      <w:rPr>
        <w:noProof/>
      </w:rPr>
      <mc:AlternateContent>
        <mc:Choice Requires="wps">
          <w:drawing>
            <wp:anchor distT="0" distB="0" distL="0" distR="0" simplePos="0" relativeHeight="251665416" behindDoc="0" locked="0" layoutInCell="1" allowOverlap="1" wp14:anchorId="3BE5E7C4" wp14:editId="7DF927C9">
              <wp:simplePos x="915035" y="6425565"/>
              <wp:positionH relativeFrom="page">
                <wp:align>center</wp:align>
              </wp:positionH>
              <wp:positionV relativeFrom="page">
                <wp:align>bottom</wp:align>
              </wp:positionV>
              <wp:extent cx="551815" cy="480695"/>
              <wp:effectExtent l="0" t="0" r="635" b="0"/>
              <wp:wrapNone/>
              <wp:docPr id="68847586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A49AE28" w14:textId="77777777" w:rsidR="009B29DC" w:rsidRPr="00C55983" w:rsidRDefault="009B29DC" w:rsidP="00C55983">
                          <w:pPr>
                            <w:spacing w:after="0"/>
                            <w:rPr>
                              <w:rFonts w:cs="Calibri"/>
                              <w:noProof/>
                              <w:color w:val="FF0000"/>
                            </w:rPr>
                          </w:pPr>
                          <w:r w:rsidRPr="00C55983">
                            <w:rPr>
                              <w:rFonts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5E7C4"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7.85pt;z-index:251665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2A49AE28" w14:textId="77777777" w:rsidR="009B29DC" w:rsidRPr="00C55983" w:rsidRDefault="009B29DC" w:rsidP="00C55983">
                    <w:pPr>
                      <w:spacing w:after="0"/>
                      <w:rPr>
                        <w:rFonts w:cs="Calibri"/>
                        <w:noProof/>
                        <w:color w:val="FF0000"/>
                      </w:rPr>
                    </w:pPr>
                    <w:r w:rsidRPr="00C55983">
                      <w:rPr>
                        <w:rFonts w:cs="Calibri"/>
                        <w:noProof/>
                        <w:color w:val="FF0000"/>
                      </w:rPr>
                      <w:t>OFFICIAL</w:t>
                    </w:r>
                  </w:p>
                </w:txbxContent>
              </v:textbox>
              <w10:wrap anchorx="page" anchory="page"/>
            </v:shape>
          </w:pict>
        </mc:Fallback>
      </mc:AlternateContent>
    </w:r>
  </w:p>
  <w:sdt>
    <w:sdtPr>
      <w:id w:val="1653562080"/>
      <w:docPartObj>
        <w:docPartGallery w:val="Page Numbers (Bottom of Page)"/>
        <w:docPartUnique/>
      </w:docPartObj>
    </w:sdtPr>
    <w:sdtContent>
      <w:sdt>
        <w:sdtPr>
          <w:id w:val="-1784957734"/>
          <w:docPartObj>
            <w:docPartGallery w:val="Page Numbers (Top of Page)"/>
            <w:docPartUnique/>
          </w:docPartObj>
        </w:sdtPr>
        <w:sdtContent>
          <w:p w14:paraId="3294B40D" w14:textId="77777777" w:rsidR="009B29DC" w:rsidRDefault="009B29DC" w:rsidP="00FB3DCB">
            <w:pPr>
              <w:pStyle w:val="Footer"/>
              <w:jc w:val="right"/>
            </w:pPr>
          </w:p>
          <w:p w14:paraId="0DCC32F6" w14:textId="7C711CBC" w:rsidR="009B29DC" w:rsidRDefault="009B29DC" w:rsidP="00B745B2">
            <w:pPr>
              <w:pStyle w:val="Footer"/>
              <w:jc w:val="both"/>
            </w:pPr>
            <w:r>
              <w:t xml:space="preserve">Response to public submissions on draft default guidelines for </w:t>
            </w:r>
            <w:r w:rsidR="00EE453B">
              <w:rPr>
                <w:rFonts w:cstheme="minorHAnsi"/>
              </w:rPr>
              <w:t>iron</w:t>
            </w:r>
            <w:r>
              <w:rPr>
                <w:rFonts w:cstheme="minorHAnsi"/>
              </w:rPr>
              <w:t xml:space="preserve"> in freshwater</w:t>
            </w:r>
            <w:r w:rsidRPr="004E6A7F">
              <w:tab/>
              <w:t xml:space="preserve">                                                                                                       </w:t>
            </w:r>
            <w:r>
              <w:t xml:space="preserve">Page </w:t>
            </w:r>
            <w:r>
              <w:rPr>
                <w:b/>
                <w:bCs/>
              </w:rPr>
              <w:fldChar w:fldCharType="begin"/>
            </w:r>
            <w:r>
              <w:rPr>
                <w:b/>
                <w:bCs/>
              </w:rPr>
              <w:instrText xml:space="preserve"> PAGE </w:instrText>
            </w:r>
            <w:r>
              <w:rPr>
                <w:b/>
                <w:bCs/>
              </w:rPr>
              <w:fldChar w:fldCharType="separate"/>
            </w:r>
            <w:r>
              <w:rPr>
                <w:b/>
                <w:bCs/>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10</w:t>
            </w:r>
            <w:r>
              <w:rPr>
                <w:b/>
                <w:bCs/>
              </w:rPr>
              <w:fldChar w:fldCharType="end"/>
            </w:r>
          </w:p>
        </w:sdtContent>
      </w:sdt>
    </w:sdtContent>
  </w:sdt>
  <w:p w14:paraId="6DCBD1D8" w14:textId="77777777" w:rsidR="009B29DC" w:rsidRDefault="009B2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498088776"/>
      <w:docPartObj>
        <w:docPartGallery w:val="Page Numbers (Bottom of Page)"/>
        <w:docPartUnique/>
      </w:docPartObj>
    </w:sdtPr>
    <w:sdtContent>
      <w:p w14:paraId="242957FA" w14:textId="6AE90970" w:rsidR="00C0259E" w:rsidRPr="00C0259E" w:rsidRDefault="00C0259E" w:rsidP="00B73A7E">
        <w:pPr>
          <w:pStyle w:val="Footer"/>
          <w:framePr w:wrap="none" w:vAnchor="text" w:hAnchor="margin" w:xAlign="right" w:y="1"/>
          <w:rPr>
            <w:rStyle w:val="PageNumber"/>
            <w:sz w:val="20"/>
            <w:szCs w:val="20"/>
          </w:rPr>
        </w:pPr>
        <w:r w:rsidRPr="00C0259E">
          <w:rPr>
            <w:rStyle w:val="PageNumber"/>
            <w:sz w:val="20"/>
            <w:szCs w:val="20"/>
          </w:rPr>
          <w:fldChar w:fldCharType="begin"/>
        </w:r>
        <w:r w:rsidRPr="00C0259E">
          <w:rPr>
            <w:rStyle w:val="PageNumber"/>
            <w:sz w:val="20"/>
            <w:szCs w:val="20"/>
          </w:rPr>
          <w:instrText xml:space="preserve"> PAGE </w:instrText>
        </w:r>
        <w:r w:rsidRPr="00C0259E">
          <w:rPr>
            <w:rStyle w:val="PageNumber"/>
            <w:sz w:val="20"/>
            <w:szCs w:val="20"/>
          </w:rPr>
          <w:fldChar w:fldCharType="separate"/>
        </w:r>
        <w:r w:rsidRPr="00C0259E">
          <w:rPr>
            <w:rStyle w:val="PageNumber"/>
            <w:noProof/>
            <w:sz w:val="20"/>
            <w:szCs w:val="20"/>
          </w:rPr>
          <w:t>1</w:t>
        </w:r>
        <w:r w:rsidRPr="00C0259E">
          <w:rPr>
            <w:rStyle w:val="PageNumber"/>
            <w:sz w:val="20"/>
            <w:szCs w:val="20"/>
          </w:rPr>
          <w:fldChar w:fldCharType="end"/>
        </w:r>
      </w:p>
    </w:sdtContent>
  </w:sdt>
  <w:p w14:paraId="23FD7137" w14:textId="0378FDCD" w:rsidR="009B29DC" w:rsidRDefault="009B29DC" w:rsidP="00C0259E">
    <w:pPr>
      <w:pStyle w:val="Footer"/>
      <w:ind w:right="360"/>
      <w:jc w:val="right"/>
    </w:pPr>
  </w:p>
  <w:p w14:paraId="4CED1B74" w14:textId="77777777" w:rsidR="009B29DC" w:rsidRDefault="009B29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00FA" w14:textId="280DF5C4" w:rsidR="00296C62" w:rsidRDefault="0029266D" w:rsidP="001665F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A9A19D3" wp14:editId="0B640679">
              <wp:simplePos x="635" y="635"/>
              <wp:positionH relativeFrom="page">
                <wp:align>center</wp:align>
              </wp:positionH>
              <wp:positionV relativeFrom="page">
                <wp:align>bottom</wp:align>
              </wp:positionV>
              <wp:extent cx="551815" cy="376555"/>
              <wp:effectExtent l="0" t="0" r="635" b="0"/>
              <wp:wrapNone/>
              <wp:docPr id="7433231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96B3EA0" w14:textId="324E5E03"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A19D3" id="_x0000_t202" coordsize="21600,21600" o:spt="202" path="m,l,21600r21600,l21600,xe">
              <v:stroke joinstyle="miter"/>
              <v:path gradientshapeok="t" o:connecttype="rect"/>
            </v:shapetype>
            <v:shape id="Text Box 5" o:spid="_x0000_s1031"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496B3EA0" w14:textId="324E5E03"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v:textbox>
              <w10:wrap anchorx="page" anchory="page"/>
            </v:shape>
          </w:pict>
        </mc:Fallback>
      </mc:AlternateContent>
    </w:r>
  </w:p>
  <w:sdt>
    <w:sdtPr>
      <w:rPr>
        <w:rStyle w:val="PageNumber"/>
      </w:rPr>
      <w:id w:val="450592366"/>
      <w:docPartObj>
        <w:docPartGallery w:val="Page Numbers (Bottom of Page)"/>
        <w:docPartUnique/>
      </w:docPartObj>
    </w:sdtPr>
    <w:sdtContent>
      <w:p w14:paraId="6BD9D178" w14:textId="77777777" w:rsidR="00296C62" w:rsidRDefault="00296C62" w:rsidP="001665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FEAE3" w14:textId="77777777" w:rsidR="00296C62" w:rsidRDefault="00296C62" w:rsidP="00296C6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A273" w14:textId="4B55FCF9" w:rsidR="00296C62" w:rsidRPr="00296C62" w:rsidRDefault="0029266D" w:rsidP="001665F9">
    <w:pPr>
      <w:pStyle w:val="Footer"/>
      <w:framePr w:wrap="none" w:vAnchor="text" w:hAnchor="margin" w:xAlign="right" w:y="1"/>
      <w:rPr>
        <w:rStyle w:val="PageNumber"/>
        <w:sz w:val="20"/>
        <w:szCs w:val="20"/>
      </w:rPr>
    </w:pPr>
    <w:r>
      <w:rPr>
        <w:noProof/>
        <w:sz w:val="20"/>
        <w:szCs w:val="20"/>
      </w:rPr>
      <mc:AlternateContent>
        <mc:Choice Requires="wps">
          <w:drawing>
            <wp:anchor distT="0" distB="0" distL="0" distR="0" simplePos="0" relativeHeight="251658247" behindDoc="0" locked="0" layoutInCell="1" allowOverlap="1" wp14:anchorId="3CD6B339" wp14:editId="6806031D">
              <wp:simplePos x="9715500" y="6924675"/>
              <wp:positionH relativeFrom="page">
                <wp:align>center</wp:align>
              </wp:positionH>
              <wp:positionV relativeFrom="page">
                <wp:align>bottom</wp:align>
              </wp:positionV>
              <wp:extent cx="551815" cy="376555"/>
              <wp:effectExtent l="0" t="0" r="635" b="0"/>
              <wp:wrapNone/>
              <wp:docPr id="11502805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3552C6" w14:textId="2EB538B1"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6B339" id="_x0000_t202" coordsize="21600,21600" o:spt="202" path="m,l,21600r21600,l21600,xe">
              <v:stroke joinstyle="miter"/>
              <v:path gradientshapeok="t" o:connecttype="rect"/>
            </v:shapetype>
            <v:shape id="Text Box 6" o:spid="_x0000_s1032"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0E3552C6" w14:textId="2EB538B1"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v:textbox>
              <w10:wrap anchorx="page" anchory="page"/>
            </v:shape>
          </w:pict>
        </mc:Fallback>
      </mc:AlternateContent>
    </w:r>
    <w:sdt>
      <w:sdtPr>
        <w:rPr>
          <w:rStyle w:val="PageNumber"/>
          <w:sz w:val="20"/>
          <w:szCs w:val="20"/>
        </w:rPr>
        <w:id w:val="794112038"/>
        <w:docPartObj>
          <w:docPartGallery w:val="Page Numbers (Bottom of Page)"/>
          <w:docPartUnique/>
        </w:docPartObj>
      </w:sdtPr>
      <w:sdtContent>
        <w:r w:rsidR="00296C62" w:rsidRPr="00296C62">
          <w:rPr>
            <w:rStyle w:val="PageNumber"/>
            <w:sz w:val="20"/>
            <w:szCs w:val="20"/>
          </w:rPr>
          <w:fldChar w:fldCharType="begin"/>
        </w:r>
        <w:r w:rsidR="00296C62" w:rsidRPr="00296C62">
          <w:rPr>
            <w:rStyle w:val="PageNumber"/>
            <w:sz w:val="20"/>
            <w:szCs w:val="20"/>
          </w:rPr>
          <w:instrText xml:space="preserve"> PAGE </w:instrText>
        </w:r>
        <w:r w:rsidR="00296C62" w:rsidRPr="00296C62">
          <w:rPr>
            <w:rStyle w:val="PageNumber"/>
            <w:sz w:val="20"/>
            <w:szCs w:val="20"/>
          </w:rPr>
          <w:fldChar w:fldCharType="separate"/>
        </w:r>
        <w:r w:rsidR="00296C62" w:rsidRPr="00296C62">
          <w:rPr>
            <w:rStyle w:val="PageNumber"/>
            <w:noProof/>
            <w:sz w:val="20"/>
            <w:szCs w:val="20"/>
          </w:rPr>
          <w:t>1</w:t>
        </w:r>
        <w:r w:rsidR="00296C62" w:rsidRPr="00296C62">
          <w:rPr>
            <w:rStyle w:val="PageNumber"/>
            <w:sz w:val="20"/>
            <w:szCs w:val="20"/>
          </w:rPr>
          <w:fldChar w:fldCharType="end"/>
        </w:r>
      </w:sdtContent>
    </w:sdt>
  </w:p>
  <w:p w14:paraId="4DAE32DA" w14:textId="77777777" w:rsidR="00296C62" w:rsidRDefault="00296C62" w:rsidP="00296C6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5964" w14:textId="76B0F4F8" w:rsidR="0029266D" w:rsidRDefault="0029266D">
    <w:pPr>
      <w:pStyle w:val="Footer"/>
    </w:pPr>
    <w:r>
      <w:rPr>
        <w:noProof/>
      </w:rPr>
      <mc:AlternateContent>
        <mc:Choice Requires="wps">
          <w:drawing>
            <wp:anchor distT="0" distB="0" distL="0" distR="0" simplePos="0" relativeHeight="251658248" behindDoc="0" locked="0" layoutInCell="1" allowOverlap="1" wp14:anchorId="7DB2CB5F" wp14:editId="15767990">
              <wp:simplePos x="635" y="635"/>
              <wp:positionH relativeFrom="page">
                <wp:align>center</wp:align>
              </wp:positionH>
              <wp:positionV relativeFrom="page">
                <wp:align>bottom</wp:align>
              </wp:positionV>
              <wp:extent cx="551815" cy="376555"/>
              <wp:effectExtent l="0" t="0" r="635" b="0"/>
              <wp:wrapNone/>
              <wp:docPr id="5365985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DD4B0D" w14:textId="2B94E93F"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B2CB5F" id="_x0000_t202" coordsize="21600,21600" o:spt="202" path="m,l,21600r21600,l21600,xe">
              <v:stroke joinstyle="miter"/>
              <v:path gradientshapeok="t" o:connecttype="rect"/>
            </v:shapetype>
            <v:shape id="Text Box 4" o:spid="_x0000_s1034"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textbox style="mso-fit-shape-to-text:t" inset="0,0,0,15pt">
                <w:txbxContent>
                  <w:p w14:paraId="13DD4B0D" w14:textId="2B94E93F"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D265" w14:textId="77777777" w:rsidR="00535DE3" w:rsidRDefault="00535DE3" w:rsidP="00296C62">
      <w:pPr>
        <w:spacing w:after="0" w:line="240" w:lineRule="auto"/>
      </w:pPr>
      <w:r>
        <w:separator/>
      </w:r>
    </w:p>
  </w:footnote>
  <w:footnote w:type="continuationSeparator" w:id="0">
    <w:p w14:paraId="63287DBB" w14:textId="77777777" w:rsidR="00535DE3" w:rsidRDefault="00535DE3" w:rsidP="0029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0DDD" w14:textId="77777777" w:rsidR="009B29DC" w:rsidRDefault="009B29DC">
    <w:pPr>
      <w:pStyle w:val="Header"/>
    </w:pPr>
    <w:r>
      <w:rPr>
        <w:noProof/>
      </w:rPr>
      <mc:AlternateContent>
        <mc:Choice Requires="wps">
          <w:drawing>
            <wp:anchor distT="0" distB="0" distL="0" distR="0" simplePos="0" relativeHeight="251666440" behindDoc="0" locked="0" layoutInCell="1" allowOverlap="1" wp14:anchorId="0A81CB6D" wp14:editId="3065DA5B">
              <wp:simplePos x="635" y="635"/>
              <wp:positionH relativeFrom="page">
                <wp:align>center</wp:align>
              </wp:positionH>
              <wp:positionV relativeFrom="page">
                <wp:align>top</wp:align>
              </wp:positionV>
              <wp:extent cx="551815" cy="480695"/>
              <wp:effectExtent l="0" t="0" r="635" b="14605"/>
              <wp:wrapNone/>
              <wp:docPr id="4243984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4C10F3A" w14:textId="77777777" w:rsidR="009B29DC" w:rsidRPr="00C55983" w:rsidRDefault="009B29DC" w:rsidP="00C55983">
                          <w:pPr>
                            <w:spacing w:after="0"/>
                            <w:rPr>
                              <w:rFonts w:cs="Calibri"/>
                              <w:noProof/>
                              <w:color w:val="FF0000"/>
                            </w:rPr>
                          </w:pPr>
                          <w:r w:rsidRPr="00C55983">
                            <w:rPr>
                              <w:rFonts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81CB6D"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6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34C10F3A" w14:textId="77777777" w:rsidR="009B29DC" w:rsidRPr="00C55983" w:rsidRDefault="009B29DC" w:rsidP="00C55983">
                    <w:pPr>
                      <w:spacing w:after="0"/>
                      <w:rPr>
                        <w:rFonts w:cs="Calibri"/>
                        <w:noProof/>
                        <w:color w:val="FF0000"/>
                      </w:rPr>
                    </w:pPr>
                    <w:r w:rsidRPr="00C55983">
                      <w:rPr>
                        <w:rFonts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C80B" w14:textId="77777777" w:rsidR="009B29DC" w:rsidRPr="00336CD6" w:rsidRDefault="009B29DC">
    <w:pPr>
      <w:pStyle w:val="Header"/>
      <w:rPr>
        <w:b/>
        <w:bCs/>
      </w:rPr>
    </w:pPr>
    <w:r>
      <w:rPr>
        <w:b/>
        <w:bCs/>
        <w:noProof/>
      </w:rPr>
      <mc:AlternateContent>
        <mc:Choice Requires="wps">
          <w:drawing>
            <wp:anchor distT="0" distB="0" distL="0" distR="0" simplePos="0" relativeHeight="251662344" behindDoc="0" locked="0" layoutInCell="1" allowOverlap="1" wp14:anchorId="4E76B305" wp14:editId="3ABE981D">
              <wp:simplePos x="915035" y="450215"/>
              <wp:positionH relativeFrom="page">
                <wp:align>center</wp:align>
              </wp:positionH>
              <wp:positionV relativeFrom="page">
                <wp:align>top</wp:align>
              </wp:positionV>
              <wp:extent cx="551815" cy="480695"/>
              <wp:effectExtent l="0" t="0" r="635" b="14605"/>
              <wp:wrapNone/>
              <wp:docPr id="11960159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5BCCCA2" w14:textId="77777777" w:rsidR="009B29DC" w:rsidRPr="00C55983" w:rsidRDefault="009B29DC" w:rsidP="00C55983">
                          <w:pPr>
                            <w:spacing w:after="0"/>
                            <w:rPr>
                              <w:rFonts w:cs="Calibri"/>
                              <w:noProof/>
                              <w:color w:val="FF0000"/>
                            </w:rPr>
                          </w:pPr>
                          <w:r w:rsidRPr="00C55983">
                            <w:rPr>
                              <w:rFonts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6B305"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2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45BCCCA2" w14:textId="77777777" w:rsidR="009B29DC" w:rsidRPr="00C55983" w:rsidRDefault="009B29DC" w:rsidP="00C55983">
                    <w:pPr>
                      <w:spacing w:after="0"/>
                      <w:rPr>
                        <w:rFonts w:cs="Calibri"/>
                        <w:noProof/>
                        <w:color w:val="FF0000"/>
                      </w:rPr>
                    </w:pPr>
                    <w:r w:rsidRPr="00C55983">
                      <w:rPr>
                        <w:rFonts w:cs="Calibri"/>
                        <w:noProof/>
                        <w:color w:val="FF0000"/>
                      </w:rPr>
                      <w:t>OFFICIAL</w:t>
                    </w:r>
                  </w:p>
                </w:txbxContent>
              </v:textbox>
              <w10:wrap anchorx="page" anchory="page"/>
            </v:shape>
          </w:pict>
        </mc:Fallback>
      </mc:AlternateContent>
    </w:r>
    <w:r w:rsidRPr="00336CD6">
      <w:rPr>
        <w:b/>
        <w:bCs/>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B4FA" w14:textId="389A144C" w:rsidR="009B29DC" w:rsidRDefault="009B29DC">
    <w:pPr>
      <w:pStyle w:val="Header"/>
    </w:pPr>
    <w:r>
      <w:rPr>
        <w:noProof/>
      </w:rPr>
      <w:drawing>
        <wp:anchor distT="0" distB="0" distL="114300" distR="114300" simplePos="0" relativeHeight="251668488" behindDoc="0" locked="0" layoutInCell="1" allowOverlap="1" wp14:anchorId="3F398058" wp14:editId="1BFD8D7B">
          <wp:simplePos x="0" y="0"/>
          <wp:positionH relativeFrom="margin">
            <wp:posOffset>0</wp:posOffset>
          </wp:positionH>
          <wp:positionV relativeFrom="margin">
            <wp:posOffset>-279400</wp:posOffset>
          </wp:positionV>
          <wp:extent cx="2393950" cy="497205"/>
          <wp:effectExtent l="0" t="0" r="6350" b="0"/>
          <wp:wrapSquare wrapText="bothSides"/>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31065"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93950" cy="497205"/>
                  </a:xfrm>
                  <a:prstGeom prst="rect">
                    <a:avLst/>
                  </a:prstGeom>
                  <a:ln>
                    <a:noFill/>
                  </a:ln>
                  <a:extLst>
                    <a:ext uri="{53640926-AAD7-44d8-BBD7-CCE9431645EC}">
                      <a14:shadowObscured xmlns="" xmlns:a14="http://schemas.microsoft.com/office/drawing/2010/main" xmlns:arto="http://schemas.microsoft.com/office/word/2006/arto" xmlns:lc="http://schemas.openxmlformats.org/drawingml/2006/lockedCanvas"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anchor>
      </w:drawing>
    </w:r>
    <w:r>
      <w:rPr>
        <w:noProof/>
      </w:rPr>
      <w:drawing>
        <wp:anchor distT="0" distB="0" distL="114300" distR="114300" simplePos="0" relativeHeight="251660296" behindDoc="1" locked="0" layoutInCell="1" allowOverlap="1" wp14:anchorId="4E2C31F4" wp14:editId="6F080FD9">
          <wp:simplePos x="0" y="0"/>
          <wp:positionH relativeFrom="margin">
            <wp:align>right</wp:align>
          </wp:positionH>
          <wp:positionV relativeFrom="paragraph">
            <wp:posOffset>-136737</wp:posOffset>
          </wp:positionV>
          <wp:extent cx="2184400" cy="1092200"/>
          <wp:effectExtent l="0" t="0" r="6350" b="0"/>
          <wp:wrapTight wrapText="bothSides">
            <wp:wrapPolygon edited="0">
              <wp:start x="5463" y="2260"/>
              <wp:lineTo x="3202" y="3014"/>
              <wp:lineTo x="377" y="6405"/>
              <wp:lineTo x="377" y="10926"/>
              <wp:lineTo x="942" y="15070"/>
              <wp:lineTo x="4333" y="18837"/>
              <wp:lineTo x="5463" y="18837"/>
              <wp:lineTo x="8477" y="18084"/>
              <wp:lineTo x="20909" y="15823"/>
              <wp:lineTo x="21474" y="5274"/>
              <wp:lineTo x="20344" y="4898"/>
              <wp:lineTo x="7347" y="2260"/>
              <wp:lineTo x="5463" y="226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844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44D2" w14:textId="11BDA93C" w:rsidR="00566F9D" w:rsidRDefault="0029266D">
    <w:pPr>
      <w:pStyle w:val="Header"/>
    </w:pPr>
    <w:r>
      <w:rPr>
        <w:noProof/>
      </w:rPr>
      <mc:AlternateContent>
        <mc:Choice Requires="wps">
          <w:drawing>
            <wp:anchor distT="0" distB="0" distL="0" distR="0" simplePos="0" relativeHeight="251658244" behindDoc="0" locked="0" layoutInCell="1" allowOverlap="1" wp14:anchorId="2139F918" wp14:editId="2CE410F2">
              <wp:simplePos x="635" y="635"/>
              <wp:positionH relativeFrom="page">
                <wp:align>center</wp:align>
              </wp:positionH>
              <wp:positionV relativeFrom="page">
                <wp:align>top</wp:align>
              </wp:positionV>
              <wp:extent cx="551815" cy="376555"/>
              <wp:effectExtent l="0" t="0" r="635" b="4445"/>
              <wp:wrapNone/>
              <wp:docPr id="2595566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F8CFDD" w14:textId="7F4B3C81"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39F918" id="_x0000_t202" coordsize="21600,21600" o:spt="202" path="m,l,21600r21600,l21600,xe">
              <v:stroke joinstyle="miter"/>
              <v:path gradientshapeok="t" o:connecttype="rect"/>
            </v:shapetype>
            <v:shape id="_x0000_s1030"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57F8CFDD" w14:textId="7F4B3C81"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5E68" w14:textId="26644EEC" w:rsidR="00566F9D" w:rsidRDefault="009B29DC">
    <w:pPr>
      <w:pStyle w:val="Header"/>
    </w:pPr>
    <w:r w:rsidRPr="00336CD6">
      <w:rPr>
        <w:b/>
        <w:bCs/>
      </w:rPr>
      <w:t>Attachment A</w:t>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BC16" w14:textId="2F37FBA5" w:rsidR="00566F9D" w:rsidRDefault="0029266D">
    <w:pPr>
      <w:pStyle w:val="Header"/>
    </w:pPr>
    <w:r>
      <w:rPr>
        <w:noProof/>
      </w:rPr>
      <mc:AlternateContent>
        <mc:Choice Requires="wps">
          <w:drawing>
            <wp:anchor distT="0" distB="0" distL="0" distR="0" simplePos="0" relativeHeight="251658243" behindDoc="0" locked="0" layoutInCell="1" allowOverlap="1" wp14:anchorId="0461E62D" wp14:editId="11A36141">
              <wp:simplePos x="635" y="635"/>
              <wp:positionH relativeFrom="page">
                <wp:align>center</wp:align>
              </wp:positionH>
              <wp:positionV relativeFrom="page">
                <wp:align>top</wp:align>
              </wp:positionV>
              <wp:extent cx="551815" cy="376555"/>
              <wp:effectExtent l="0" t="0" r="635" b="4445"/>
              <wp:wrapNone/>
              <wp:docPr id="13976532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15A167" w14:textId="15DDCC41"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1E62D" id="_x0000_t202" coordsize="21600,21600" o:spt="202" path="m,l,21600r21600,l21600,xe">
              <v:stroke joinstyle="miter"/>
              <v:path gradientshapeok="t" o:connecttype="rect"/>
            </v:shapetype>
            <v:shape id="Text Box 1" o:spid="_x0000_s1033"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6115A167" w14:textId="15DDCC41" w:rsidR="0029266D" w:rsidRPr="0029266D" w:rsidRDefault="0029266D" w:rsidP="0029266D">
                    <w:pPr>
                      <w:spacing w:after="0"/>
                      <w:rPr>
                        <w:rFonts w:ascii="Calibri" w:eastAsia="Calibri" w:hAnsi="Calibri" w:cs="Calibri"/>
                        <w:noProof/>
                        <w:color w:val="FF0000"/>
                      </w:rPr>
                    </w:pPr>
                    <w:r w:rsidRPr="0029266D">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143C"/>
    <w:multiLevelType w:val="hybridMultilevel"/>
    <w:tmpl w:val="5DD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517FF"/>
    <w:multiLevelType w:val="multilevel"/>
    <w:tmpl w:val="83E67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4227A4"/>
    <w:multiLevelType w:val="hybridMultilevel"/>
    <w:tmpl w:val="EF08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82741"/>
    <w:multiLevelType w:val="hybridMultilevel"/>
    <w:tmpl w:val="32369C2C"/>
    <w:lvl w:ilvl="0" w:tplc="339C33F6">
      <w:start w:val="12"/>
      <w:numFmt w:val="decimal"/>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4" w15:restartNumberingAfterBreak="0">
    <w:nsid w:val="0BFF732C"/>
    <w:multiLevelType w:val="multilevel"/>
    <w:tmpl w:val="838A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E281D"/>
    <w:multiLevelType w:val="hybridMultilevel"/>
    <w:tmpl w:val="54BA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708DA"/>
    <w:multiLevelType w:val="hybridMultilevel"/>
    <w:tmpl w:val="C85C1E02"/>
    <w:lvl w:ilvl="0" w:tplc="E7A0A2E8">
      <w:start w:val="4"/>
      <w:numFmt w:val="decimal"/>
      <w:lvlText w:val="%1."/>
      <w:lvlJc w:val="left"/>
      <w:pPr>
        <w:ind w:left="720"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7" w15:restartNumberingAfterBreak="0">
    <w:nsid w:val="12213B7E"/>
    <w:multiLevelType w:val="hybridMultilevel"/>
    <w:tmpl w:val="6082CA4E"/>
    <w:lvl w:ilvl="0" w:tplc="4A2C0350">
      <w:start w:val="14"/>
      <w:numFmt w:val="decimal"/>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8" w15:restartNumberingAfterBreak="0">
    <w:nsid w:val="133F1073"/>
    <w:multiLevelType w:val="multilevel"/>
    <w:tmpl w:val="8B40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F158D"/>
    <w:multiLevelType w:val="multilevel"/>
    <w:tmpl w:val="00FAF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E14B4F"/>
    <w:multiLevelType w:val="hybridMultilevel"/>
    <w:tmpl w:val="BC56DF72"/>
    <w:lvl w:ilvl="0" w:tplc="88161F3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F4083"/>
    <w:multiLevelType w:val="hybridMultilevel"/>
    <w:tmpl w:val="4630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02DE8"/>
    <w:multiLevelType w:val="multilevel"/>
    <w:tmpl w:val="A0D0D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94D81"/>
    <w:multiLevelType w:val="hybridMultilevel"/>
    <w:tmpl w:val="3B4E77C6"/>
    <w:lvl w:ilvl="0" w:tplc="5E4AB162">
      <w:start w:val="1"/>
      <w:numFmt w:val="bullet"/>
      <w:lvlText w:val=""/>
      <w:lvlJc w:val="left"/>
      <w:pPr>
        <w:ind w:left="720" w:hanging="360"/>
      </w:pPr>
      <w:rPr>
        <w:rFonts w:ascii="Symbol" w:hAnsi="Symbol" w:hint="default"/>
      </w:rPr>
    </w:lvl>
    <w:lvl w:ilvl="1" w:tplc="96E43220" w:tentative="1">
      <w:start w:val="1"/>
      <w:numFmt w:val="bullet"/>
      <w:lvlText w:val="o"/>
      <w:lvlJc w:val="left"/>
      <w:pPr>
        <w:ind w:left="1440" w:hanging="360"/>
      </w:pPr>
      <w:rPr>
        <w:rFonts w:ascii="Courier New" w:hAnsi="Courier New" w:cs="Courier New" w:hint="default"/>
      </w:rPr>
    </w:lvl>
    <w:lvl w:ilvl="2" w:tplc="4E6E3E60" w:tentative="1">
      <w:start w:val="1"/>
      <w:numFmt w:val="bullet"/>
      <w:lvlText w:val=""/>
      <w:lvlJc w:val="left"/>
      <w:pPr>
        <w:ind w:left="2160" w:hanging="360"/>
      </w:pPr>
      <w:rPr>
        <w:rFonts w:ascii="Wingdings" w:hAnsi="Wingdings" w:hint="default"/>
      </w:rPr>
    </w:lvl>
    <w:lvl w:ilvl="3" w:tplc="76CC0778" w:tentative="1">
      <w:start w:val="1"/>
      <w:numFmt w:val="bullet"/>
      <w:lvlText w:val=""/>
      <w:lvlJc w:val="left"/>
      <w:pPr>
        <w:ind w:left="2880" w:hanging="360"/>
      </w:pPr>
      <w:rPr>
        <w:rFonts w:ascii="Symbol" w:hAnsi="Symbol" w:hint="default"/>
      </w:rPr>
    </w:lvl>
    <w:lvl w:ilvl="4" w:tplc="00B6AF64" w:tentative="1">
      <w:start w:val="1"/>
      <w:numFmt w:val="bullet"/>
      <w:lvlText w:val="o"/>
      <w:lvlJc w:val="left"/>
      <w:pPr>
        <w:ind w:left="3600" w:hanging="360"/>
      </w:pPr>
      <w:rPr>
        <w:rFonts w:ascii="Courier New" w:hAnsi="Courier New" w:cs="Courier New" w:hint="default"/>
      </w:rPr>
    </w:lvl>
    <w:lvl w:ilvl="5" w:tplc="17A0C456" w:tentative="1">
      <w:start w:val="1"/>
      <w:numFmt w:val="bullet"/>
      <w:lvlText w:val=""/>
      <w:lvlJc w:val="left"/>
      <w:pPr>
        <w:ind w:left="4320" w:hanging="360"/>
      </w:pPr>
      <w:rPr>
        <w:rFonts w:ascii="Wingdings" w:hAnsi="Wingdings" w:hint="default"/>
      </w:rPr>
    </w:lvl>
    <w:lvl w:ilvl="6" w:tplc="9EDCCDD0" w:tentative="1">
      <w:start w:val="1"/>
      <w:numFmt w:val="bullet"/>
      <w:lvlText w:val=""/>
      <w:lvlJc w:val="left"/>
      <w:pPr>
        <w:ind w:left="5040" w:hanging="360"/>
      </w:pPr>
      <w:rPr>
        <w:rFonts w:ascii="Symbol" w:hAnsi="Symbol" w:hint="default"/>
      </w:rPr>
    </w:lvl>
    <w:lvl w:ilvl="7" w:tplc="1FEAB97C" w:tentative="1">
      <w:start w:val="1"/>
      <w:numFmt w:val="bullet"/>
      <w:lvlText w:val="o"/>
      <w:lvlJc w:val="left"/>
      <w:pPr>
        <w:ind w:left="5760" w:hanging="360"/>
      </w:pPr>
      <w:rPr>
        <w:rFonts w:ascii="Courier New" w:hAnsi="Courier New" w:cs="Courier New" w:hint="default"/>
      </w:rPr>
    </w:lvl>
    <w:lvl w:ilvl="8" w:tplc="82880A9A" w:tentative="1">
      <w:start w:val="1"/>
      <w:numFmt w:val="bullet"/>
      <w:lvlText w:val=""/>
      <w:lvlJc w:val="left"/>
      <w:pPr>
        <w:ind w:left="6480" w:hanging="360"/>
      </w:pPr>
      <w:rPr>
        <w:rFonts w:ascii="Wingdings" w:hAnsi="Wingdings" w:hint="default"/>
      </w:rPr>
    </w:lvl>
  </w:abstractNum>
  <w:abstractNum w:abstractNumId="14" w15:restartNumberingAfterBreak="0">
    <w:nsid w:val="3B847587"/>
    <w:multiLevelType w:val="hybridMultilevel"/>
    <w:tmpl w:val="97F0674E"/>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15" w15:restartNumberingAfterBreak="0">
    <w:nsid w:val="40E37D46"/>
    <w:multiLevelType w:val="hybridMultilevel"/>
    <w:tmpl w:val="C4AA6196"/>
    <w:lvl w:ilvl="0" w:tplc="6E3C6FD2">
      <w:start w:val="10"/>
      <w:numFmt w:val="decimal"/>
      <w:lvlText w:val="%1."/>
      <w:lvlJc w:val="left"/>
      <w:pPr>
        <w:ind w:left="8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62595"/>
    <w:multiLevelType w:val="hybridMultilevel"/>
    <w:tmpl w:val="14209344"/>
    <w:lvl w:ilvl="0" w:tplc="6ED8DAD0">
      <w:start w:val="13"/>
      <w:numFmt w:val="decimal"/>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17" w15:restartNumberingAfterBreak="0">
    <w:nsid w:val="502264DB"/>
    <w:multiLevelType w:val="hybridMultilevel"/>
    <w:tmpl w:val="DF9A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C0A91"/>
    <w:multiLevelType w:val="hybridMultilevel"/>
    <w:tmpl w:val="F6E0B458"/>
    <w:lvl w:ilvl="0" w:tplc="92E84E4C">
      <w:start w:val="1"/>
      <w:numFmt w:val="bullet"/>
      <w:lvlText w:val=""/>
      <w:lvlJc w:val="left"/>
      <w:pPr>
        <w:ind w:left="720" w:hanging="360"/>
      </w:pPr>
      <w:rPr>
        <w:rFonts w:ascii="Symbol" w:hAnsi="Symbol" w:hint="default"/>
      </w:rPr>
    </w:lvl>
    <w:lvl w:ilvl="1" w:tplc="47329C46">
      <w:start w:val="1"/>
      <w:numFmt w:val="bullet"/>
      <w:lvlText w:val="o"/>
      <w:lvlJc w:val="left"/>
      <w:pPr>
        <w:ind w:left="1440" w:hanging="360"/>
      </w:pPr>
      <w:rPr>
        <w:rFonts w:ascii="Courier New" w:hAnsi="Courier New" w:cs="Courier New" w:hint="default"/>
      </w:rPr>
    </w:lvl>
    <w:lvl w:ilvl="2" w:tplc="9A32E372">
      <w:start w:val="1"/>
      <w:numFmt w:val="bullet"/>
      <w:lvlText w:val=""/>
      <w:lvlJc w:val="left"/>
      <w:pPr>
        <w:ind w:left="2160" w:hanging="360"/>
      </w:pPr>
      <w:rPr>
        <w:rFonts w:ascii="Wingdings" w:hAnsi="Wingdings" w:hint="default"/>
      </w:rPr>
    </w:lvl>
    <w:lvl w:ilvl="3" w:tplc="0E4A8A68">
      <w:start w:val="1"/>
      <w:numFmt w:val="bullet"/>
      <w:lvlText w:val=""/>
      <w:lvlJc w:val="left"/>
      <w:pPr>
        <w:ind w:left="2880" w:hanging="360"/>
      </w:pPr>
      <w:rPr>
        <w:rFonts w:ascii="Symbol" w:hAnsi="Symbol" w:hint="default"/>
      </w:rPr>
    </w:lvl>
    <w:lvl w:ilvl="4" w:tplc="51709236">
      <w:start w:val="1"/>
      <w:numFmt w:val="bullet"/>
      <w:lvlText w:val="o"/>
      <w:lvlJc w:val="left"/>
      <w:pPr>
        <w:ind w:left="3600" w:hanging="360"/>
      </w:pPr>
      <w:rPr>
        <w:rFonts w:ascii="Courier New" w:hAnsi="Courier New" w:cs="Courier New" w:hint="default"/>
      </w:rPr>
    </w:lvl>
    <w:lvl w:ilvl="5" w:tplc="CBF4C358">
      <w:start w:val="1"/>
      <w:numFmt w:val="bullet"/>
      <w:lvlText w:val=""/>
      <w:lvlJc w:val="left"/>
      <w:pPr>
        <w:ind w:left="4320" w:hanging="360"/>
      </w:pPr>
      <w:rPr>
        <w:rFonts w:ascii="Wingdings" w:hAnsi="Wingdings" w:hint="default"/>
      </w:rPr>
    </w:lvl>
    <w:lvl w:ilvl="6" w:tplc="C2D61894">
      <w:start w:val="1"/>
      <w:numFmt w:val="bullet"/>
      <w:lvlText w:val=""/>
      <w:lvlJc w:val="left"/>
      <w:pPr>
        <w:ind w:left="5040" w:hanging="360"/>
      </w:pPr>
      <w:rPr>
        <w:rFonts w:ascii="Symbol" w:hAnsi="Symbol" w:hint="default"/>
      </w:rPr>
    </w:lvl>
    <w:lvl w:ilvl="7" w:tplc="58D8D89A">
      <w:start w:val="1"/>
      <w:numFmt w:val="bullet"/>
      <w:lvlText w:val="o"/>
      <w:lvlJc w:val="left"/>
      <w:pPr>
        <w:ind w:left="5760" w:hanging="360"/>
      </w:pPr>
      <w:rPr>
        <w:rFonts w:ascii="Courier New" w:hAnsi="Courier New" w:cs="Courier New" w:hint="default"/>
      </w:rPr>
    </w:lvl>
    <w:lvl w:ilvl="8" w:tplc="05DE5B26">
      <w:start w:val="1"/>
      <w:numFmt w:val="bullet"/>
      <w:lvlText w:val=""/>
      <w:lvlJc w:val="left"/>
      <w:pPr>
        <w:ind w:left="6480" w:hanging="360"/>
      </w:pPr>
      <w:rPr>
        <w:rFonts w:ascii="Wingdings" w:hAnsi="Wingdings" w:hint="default"/>
      </w:rPr>
    </w:lvl>
  </w:abstractNum>
  <w:abstractNum w:abstractNumId="19" w15:restartNumberingAfterBreak="0">
    <w:nsid w:val="6207717A"/>
    <w:multiLevelType w:val="multilevel"/>
    <w:tmpl w:val="103C249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D5D4A96"/>
    <w:multiLevelType w:val="hybridMultilevel"/>
    <w:tmpl w:val="D8DAB598"/>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9A1BB1"/>
    <w:multiLevelType w:val="multilevel"/>
    <w:tmpl w:val="36BADD2A"/>
    <w:styleLink w:val="CurrentList1"/>
    <w:lvl w:ilvl="0">
      <w:start w:val="4"/>
      <w:numFmt w:val="decimal"/>
      <w:lvlText w:val="%1."/>
      <w:lvlJc w:val="left"/>
      <w:pPr>
        <w:ind w:left="756" w:hanging="360"/>
      </w:pPr>
      <w:rPr>
        <w:rFonts w:hint="default"/>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22" w15:restartNumberingAfterBreak="0">
    <w:nsid w:val="727541D7"/>
    <w:multiLevelType w:val="hybridMultilevel"/>
    <w:tmpl w:val="81ECB7E6"/>
    <w:lvl w:ilvl="0" w:tplc="A8E04C4E">
      <w:start w:val="7"/>
      <w:numFmt w:val="decimal"/>
      <w:lvlText w:val="%1."/>
      <w:lvlJc w:val="left"/>
      <w:pPr>
        <w:ind w:left="8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09791F"/>
    <w:multiLevelType w:val="hybridMultilevel"/>
    <w:tmpl w:val="EA18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D43EB"/>
    <w:multiLevelType w:val="hybridMultilevel"/>
    <w:tmpl w:val="D97E3B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9E29C9"/>
    <w:multiLevelType w:val="multilevel"/>
    <w:tmpl w:val="0809001D"/>
    <w:styleLink w:val="Recommenda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64095B"/>
    <w:multiLevelType w:val="hybridMultilevel"/>
    <w:tmpl w:val="38F20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965361"/>
    <w:multiLevelType w:val="hybridMultilevel"/>
    <w:tmpl w:val="D31A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751548">
    <w:abstractNumId w:val="25"/>
  </w:num>
  <w:num w:numId="2" w16cid:durableId="1209033308">
    <w:abstractNumId w:val="19"/>
    <w:lvlOverride w:ilvl="0">
      <w:startOverride w:val="2"/>
    </w:lvlOverride>
    <w:lvlOverride w:ilvl="1">
      <w:startOverride w:val="2"/>
    </w:lvlOverride>
    <w:lvlOverride w:ilvl="2">
      <w:startOverride w:val="2"/>
    </w:lvlOverride>
  </w:num>
  <w:num w:numId="3" w16cid:durableId="915550701">
    <w:abstractNumId w:val="1"/>
  </w:num>
  <w:num w:numId="4" w16cid:durableId="1030255752">
    <w:abstractNumId w:val="19"/>
  </w:num>
  <w:num w:numId="5" w16cid:durableId="325281142">
    <w:abstractNumId w:val="5"/>
  </w:num>
  <w:num w:numId="6" w16cid:durableId="232399206">
    <w:abstractNumId w:val="26"/>
  </w:num>
  <w:num w:numId="7" w16cid:durableId="757749698">
    <w:abstractNumId w:val="0"/>
  </w:num>
  <w:num w:numId="8" w16cid:durableId="1354191976">
    <w:abstractNumId w:val="23"/>
  </w:num>
  <w:num w:numId="9" w16cid:durableId="874467547">
    <w:abstractNumId w:val="4"/>
  </w:num>
  <w:num w:numId="10" w16cid:durableId="1600062773">
    <w:abstractNumId w:val="17"/>
  </w:num>
  <w:num w:numId="11" w16cid:durableId="18285753">
    <w:abstractNumId w:val="6"/>
  </w:num>
  <w:num w:numId="12" w16cid:durableId="1561866300">
    <w:abstractNumId w:val="27"/>
  </w:num>
  <w:num w:numId="13" w16cid:durableId="589656285">
    <w:abstractNumId w:val="9"/>
  </w:num>
  <w:num w:numId="14" w16cid:durableId="1262034746">
    <w:abstractNumId w:val="14"/>
  </w:num>
  <w:num w:numId="15" w16cid:durableId="533544387">
    <w:abstractNumId w:val="2"/>
  </w:num>
  <w:num w:numId="16" w16cid:durableId="1198355595">
    <w:abstractNumId w:val="21"/>
  </w:num>
  <w:num w:numId="17" w16cid:durableId="1565677236">
    <w:abstractNumId w:val="10"/>
  </w:num>
  <w:num w:numId="18" w16cid:durableId="474184137">
    <w:abstractNumId w:val="22"/>
  </w:num>
  <w:num w:numId="19" w16cid:durableId="908733865">
    <w:abstractNumId w:val="18"/>
  </w:num>
  <w:num w:numId="20" w16cid:durableId="1144851172">
    <w:abstractNumId w:val="13"/>
  </w:num>
  <w:num w:numId="21" w16cid:durableId="1768768887">
    <w:abstractNumId w:val="15"/>
  </w:num>
  <w:num w:numId="22" w16cid:durableId="2062090737">
    <w:abstractNumId w:val="3"/>
  </w:num>
  <w:num w:numId="23" w16cid:durableId="622881439">
    <w:abstractNumId w:val="16"/>
  </w:num>
  <w:num w:numId="24" w16cid:durableId="1844202635">
    <w:abstractNumId w:val="7"/>
  </w:num>
  <w:num w:numId="25" w16cid:durableId="21516903">
    <w:abstractNumId w:val="24"/>
  </w:num>
  <w:num w:numId="26" w16cid:durableId="1693796776">
    <w:abstractNumId w:val="8"/>
  </w:num>
  <w:num w:numId="27" w16cid:durableId="478768065">
    <w:abstractNumId w:val="12"/>
  </w:num>
  <w:num w:numId="28" w16cid:durableId="764573245">
    <w:abstractNumId w:val="11"/>
  </w:num>
  <w:num w:numId="29" w16cid:durableId="3927743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F6"/>
    <w:rsid w:val="000019EB"/>
    <w:rsid w:val="0000652D"/>
    <w:rsid w:val="00010C27"/>
    <w:rsid w:val="00016AD4"/>
    <w:rsid w:val="0002320C"/>
    <w:rsid w:val="0002454F"/>
    <w:rsid w:val="0002702D"/>
    <w:rsid w:val="000419A4"/>
    <w:rsid w:val="00046F3B"/>
    <w:rsid w:val="00053436"/>
    <w:rsid w:val="000556C2"/>
    <w:rsid w:val="0006679A"/>
    <w:rsid w:val="000823DE"/>
    <w:rsid w:val="00083119"/>
    <w:rsid w:val="0008567B"/>
    <w:rsid w:val="0009141E"/>
    <w:rsid w:val="00095B9C"/>
    <w:rsid w:val="000A09AC"/>
    <w:rsid w:val="000A286C"/>
    <w:rsid w:val="000A4F9C"/>
    <w:rsid w:val="000B21FF"/>
    <w:rsid w:val="000B67A4"/>
    <w:rsid w:val="000C19AA"/>
    <w:rsid w:val="000E3F63"/>
    <w:rsid w:val="00100819"/>
    <w:rsid w:val="001071D8"/>
    <w:rsid w:val="00116C1B"/>
    <w:rsid w:val="001203A1"/>
    <w:rsid w:val="001218F1"/>
    <w:rsid w:val="00141CDD"/>
    <w:rsid w:val="001465C2"/>
    <w:rsid w:val="00153072"/>
    <w:rsid w:val="00173D62"/>
    <w:rsid w:val="00180BB6"/>
    <w:rsid w:val="00180DB1"/>
    <w:rsid w:val="001850F2"/>
    <w:rsid w:val="001B621D"/>
    <w:rsid w:val="001C53F5"/>
    <w:rsid w:val="001E742E"/>
    <w:rsid w:val="001F4A5D"/>
    <w:rsid w:val="001F5BC2"/>
    <w:rsid w:val="00214540"/>
    <w:rsid w:val="00214874"/>
    <w:rsid w:val="00217307"/>
    <w:rsid w:val="00224071"/>
    <w:rsid w:val="00247577"/>
    <w:rsid w:val="002507D0"/>
    <w:rsid w:val="002507E9"/>
    <w:rsid w:val="0025731E"/>
    <w:rsid w:val="0027035C"/>
    <w:rsid w:val="002718D4"/>
    <w:rsid w:val="002737B8"/>
    <w:rsid w:val="00280190"/>
    <w:rsid w:val="00280D93"/>
    <w:rsid w:val="0029266D"/>
    <w:rsid w:val="00296C62"/>
    <w:rsid w:val="002A45D8"/>
    <w:rsid w:val="002A5BEF"/>
    <w:rsid w:val="002A66EA"/>
    <w:rsid w:val="002A72FC"/>
    <w:rsid w:val="002A7E63"/>
    <w:rsid w:val="002B7BFA"/>
    <w:rsid w:val="002D70AD"/>
    <w:rsid w:val="002E7C4F"/>
    <w:rsid w:val="002F38FD"/>
    <w:rsid w:val="002F3B7B"/>
    <w:rsid w:val="00300773"/>
    <w:rsid w:val="003111D4"/>
    <w:rsid w:val="003114C6"/>
    <w:rsid w:val="003118F4"/>
    <w:rsid w:val="003150A1"/>
    <w:rsid w:val="003234B0"/>
    <w:rsid w:val="003364C6"/>
    <w:rsid w:val="00336637"/>
    <w:rsid w:val="0034326B"/>
    <w:rsid w:val="00346662"/>
    <w:rsid w:val="003469F3"/>
    <w:rsid w:val="00382EBE"/>
    <w:rsid w:val="003917D0"/>
    <w:rsid w:val="003925C5"/>
    <w:rsid w:val="00392AC8"/>
    <w:rsid w:val="003A0E9E"/>
    <w:rsid w:val="003A4E60"/>
    <w:rsid w:val="003B1000"/>
    <w:rsid w:val="003C1402"/>
    <w:rsid w:val="003C1B72"/>
    <w:rsid w:val="003D2D93"/>
    <w:rsid w:val="003F236C"/>
    <w:rsid w:val="003F2809"/>
    <w:rsid w:val="003F546D"/>
    <w:rsid w:val="0040362F"/>
    <w:rsid w:val="004105A7"/>
    <w:rsid w:val="00413721"/>
    <w:rsid w:val="00413A32"/>
    <w:rsid w:val="00413FB9"/>
    <w:rsid w:val="004173D4"/>
    <w:rsid w:val="00427F18"/>
    <w:rsid w:val="00433431"/>
    <w:rsid w:val="00444149"/>
    <w:rsid w:val="004625D6"/>
    <w:rsid w:val="00481D68"/>
    <w:rsid w:val="00484C4F"/>
    <w:rsid w:val="004908F5"/>
    <w:rsid w:val="00496641"/>
    <w:rsid w:val="004A0684"/>
    <w:rsid w:val="004A10C0"/>
    <w:rsid w:val="004A4339"/>
    <w:rsid w:val="004A7FE5"/>
    <w:rsid w:val="004D010E"/>
    <w:rsid w:val="004D1C3E"/>
    <w:rsid w:val="004E083C"/>
    <w:rsid w:val="004F1C7C"/>
    <w:rsid w:val="004F744B"/>
    <w:rsid w:val="005125C3"/>
    <w:rsid w:val="00513270"/>
    <w:rsid w:val="005263E8"/>
    <w:rsid w:val="00533E3C"/>
    <w:rsid w:val="00534D03"/>
    <w:rsid w:val="00535C06"/>
    <w:rsid w:val="00535DE3"/>
    <w:rsid w:val="005366A1"/>
    <w:rsid w:val="005419C4"/>
    <w:rsid w:val="00545B5A"/>
    <w:rsid w:val="005537B1"/>
    <w:rsid w:val="00566F9D"/>
    <w:rsid w:val="0057052F"/>
    <w:rsid w:val="00574701"/>
    <w:rsid w:val="00596D7B"/>
    <w:rsid w:val="005A330B"/>
    <w:rsid w:val="005A3C87"/>
    <w:rsid w:val="005A7D9D"/>
    <w:rsid w:val="005C07C9"/>
    <w:rsid w:val="005D001B"/>
    <w:rsid w:val="005E4688"/>
    <w:rsid w:val="005E705E"/>
    <w:rsid w:val="005F14E6"/>
    <w:rsid w:val="005F16F6"/>
    <w:rsid w:val="005F43E1"/>
    <w:rsid w:val="0060073D"/>
    <w:rsid w:val="00616DF7"/>
    <w:rsid w:val="0063601F"/>
    <w:rsid w:val="00641368"/>
    <w:rsid w:val="00646FBA"/>
    <w:rsid w:val="006514AC"/>
    <w:rsid w:val="00655C91"/>
    <w:rsid w:val="00660584"/>
    <w:rsid w:val="006634CF"/>
    <w:rsid w:val="00671AA8"/>
    <w:rsid w:val="00674BC6"/>
    <w:rsid w:val="0067645F"/>
    <w:rsid w:val="00677567"/>
    <w:rsid w:val="006B3A5D"/>
    <w:rsid w:val="006B3EAB"/>
    <w:rsid w:val="006C4AD5"/>
    <w:rsid w:val="006C5BD8"/>
    <w:rsid w:val="006D02D1"/>
    <w:rsid w:val="006E2548"/>
    <w:rsid w:val="006F7717"/>
    <w:rsid w:val="006F79C7"/>
    <w:rsid w:val="0070086F"/>
    <w:rsid w:val="007033B2"/>
    <w:rsid w:val="007054EC"/>
    <w:rsid w:val="007439DF"/>
    <w:rsid w:val="00760F38"/>
    <w:rsid w:val="00765AB5"/>
    <w:rsid w:val="00770D5C"/>
    <w:rsid w:val="007A14CC"/>
    <w:rsid w:val="007B3A5D"/>
    <w:rsid w:val="007C5263"/>
    <w:rsid w:val="007E2854"/>
    <w:rsid w:val="007E443D"/>
    <w:rsid w:val="007F0BC5"/>
    <w:rsid w:val="00803040"/>
    <w:rsid w:val="008065AB"/>
    <w:rsid w:val="00816D7A"/>
    <w:rsid w:val="00823C7A"/>
    <w:rsid w:val="008279D4"/>
    <w:rsid w:val="00827ED4"/>
    <w:rsid w:val="008325DA"/>
    <w:rsid w:val="00847165"/>
    <w:rsid w:val="008505C4"/>
    <w:rsid w:val="0085639D"/>
    <w:rsid w:val="00874350"/>
    <w:rsid w:val="00876C0F"/>
    <w:rsid w:val="0088068F"/>
    <w:rsid w:val="00891246"/>
    <w:rsid w:val="008A1D19"/>
    <w:rsid w:val="008B7ACC"/>
    <w:rsid w:val="008C75B9"/>
    <w:rsid w:val="008D622E"/>
    <w:rsid w:val="008F1CDD"/>
    <w:rsid w:val="008F38F8"/>
    <w:rsid w:val="008F5443"/>
    <w:rsid w:val="0091336F"/>
    <w:rsid w:val="00913E68"/>
    <w:rsid w:val="009174BB"/>
    <w:rsid w:val="00923421"/>
    <w:rsid w:val="009263DF"/>
    <w:rsid w:val="00930AD9"/>
    <w:rsid w:val="0093407C"/>
    <w:rsid w:val="00967CB8"/>
    <w:rsid w:val="009715A9"/>
    <w:rsid w:val="0097389B"/>
    <w:rsid w:val="00993DDD"/>
    <w:rsid w:val="009A02A0"/>
    <w:rsid w:val="009A711A"/>
    <w:rsid w:val="009A78EB"/>
    <w:rsid w:val="009B24C7"/>
    <w:rsid w:val="009B29DC"/>
    <w:rsid w:val="009C20F4"/>
    <w:rsid w:val="009C4A9B"/>
    <w:rsid w:val="009C5162"/>
    <w:rsid w:val="009D7E78"/>
    <w:rsid w:val="009F000C"/>
    <w:rsid w:val="009F0B3A"/>
    <w:rsid w:val="009F59F8"/>
    <w:rsid w:val="00A10A4D"/>
    <w:rsid w:val="00A131F8"/>
    <w:rsid w:val="00A20FAB"/>
    <w:rsid w:val="00A34000"/>
    <w:rsid w:val="00A362E3"/>
    <w:rsid w:val="00A4061E"/>
    <w:rsid w:val="00A42232"/>
    <w:rsid w:val="00A43B7A"/>
    <w:rsid w:val="00A45CB1"/>
    <w:rsid w:val="00A479F3"/>
    <w:rsid w:val="00A47E2D"/>
    <w:rsid w:val="00A5570F"/>
    <w:rsid w:val="00A618C5"/>
    <w:rsid w:val="00A65BE5"/>
    <w:rsid w:val="00A71416"/>
    <w:rsid w:val="00A75285"/>
    <w:rsid w:val="00A76DF8"/>
    <w:rsid w:val="00A8680A"/>
    <w:rsid w:val="00A9070C"/>
    <w:rsid w:val="00A93DE2"/>
    <w:rsid w:val="00A95B34"/>
    <w:rsid w:val="00AA62A2"/>
    <w:rsid w:val="00AB01C9"/>
    <w:rsid w:val="00AD1942"/>
    <w:rsid w:val="00AD4CD0"/>
    <w:rsid w:val="00AD674D"/>
    <w:rsid w:val="00AE3DB6"/>
    <w:rsid w:val="00AE6905"/>
    <w:rsid w:val="00B15F5D"/>
    <w:rsid w:val="00B20876"/>
    <w:rsid w:val="00B27022"/>
    <w:rsid w:val="00B302F9"/>
    <w:rsid w:val="00B34C4A"/>
    <w:rsid w:val="00B3504D"/>
    <w:rsid w:val="00B36488"/>
    <w:rsid w:val="00B4624F"/>
    <w:rsid w:val="00B51F85"/>
    <w:rsid w:val="00B7107C"/>
    <w:rsid w:val="00B75F17"/>
    <w:rsid w:val="00B82DE3"/>
    <w:rsid w:val="00B90DB5"/>
    <w:rsid w:val="00B91248"/>
    <w:rsid w:val="00B9125B"/>
    <w:rsid w:val="00B92604"/>
    <w:rsid w:val="00BA15B9"/>
    <w:rsid w:val="00BA6265"/>
    <w:rsid w:val="00BC0503"/>
    <w:rsid w:val="00BC0D16"/>
    <w:rsid w:val="00BC1068"/>
    <w:rsid w:val="00BC3C2D"/>
    <w:rsid w:val="00BC5794"/>
    <w:rsid w:val="00BD4FD7"/>
    <w:rsid w:val="00BD55B3"/>
    <w:rsid w:val="00BE0033"/>
    <w:rsid w:val="00BE3928"/>
    <w:rsid w:val="00BF5763"/>
    <w:rsid w:val="00C0259E"/>
    <w:rsid w:val="00C044CE"/>
    <w:rsid w:val="00C049DF"/>
    <w:rsid w:val="00C05CFC"/>
    <w:rsid w:val="00C1084E"/>
    <w:rsid w:val="00C22D6F"/>
    <w:rsid w:val="00C274B3"/>
    <w:rsid w:val="00C47109"/>
    <w:rsid w:val="00C5274D"/>
    <w:rsid w:val="00C54597"/>
    <w:rsid w:val="00C600E4"/>
    <w:rsid w:val="00C6533F"/>
    <w:rsid w:val="00C70511"/>
    <w:rsid w:val="00C70727"/>
    <w:rsid w:val="00C91302"/>
    <w:rsid w:val="00C93577"/>
    <w:rsid w:val="00C94660"/>
    <w:rsid w:val="00CC3116"/>
    <w:rsid w:val="00CD45EA"/>
    <w:rsid w:val="00CD5A5E"/>
    <w:rsid w:val="00CE0D25"/>
    <w:rsid w:val="00CE2A87"/>
    <w:rsid w:val="00CE30F2"/>
    <w:rsid w:val="00CE4DCF"/>
    <w:rsid w:val="00CF32BB"/>
    <w:rsid w:val="00CF3F48"/>
    <w:rsid w:val="00CF4573"/>
    <w:rsid w:val="00CF66F7"/>
    <w:rsid w:val="00D13320"/>
    <w:rsid w:val="00D257E8"/>
    <w:rsid w:val="00D267C4"/>
    <w:rsid w:val="00D279AE"/>
    <w:rsid w:val="00D35AF9"/>
    <w:rsid w:val="00D45F4C"/>
    <w:rsid w:val="00D5406C"/>
    <w:rsid w:val="00D72FBF"/>
    <w:rsid w:val="00D75E3A"/>
    <w:rsid w:val="00D77594"/>
    <w:rsid w:val="00D84DE6"/>
    <w:rsid w:val="00D91119"/>
    <w:rsid w:val="00D95199"/>
    <w:rsid w:val="00DA5DB9"/>
    <w:rsid w:val="00DB5AC0"/>
    <w:rsid w:val="00DC0329"/>
    <w:rsid w:val="00DC31A4"/>
    <w:rsid w:val="00DD2ED9"/>
    <w:rsid w:val="00DE3F7A"/>
    <w:rsid w:val="00E04921"/>
    <w:rsid w:val="00E07E27"/>
    <w:rsid w:val="00E109C9"/>
    <w:rsid w:val="00E170BB"/>
    <w:rsid w:val="00E2364F"/>
    <w:rsid w:val="00E25206"/>
    <w:rsid w:val="00E26A02"/>
    <w:rsid w:val="00E30E96"/>
    <w:rsid w:val="00E407AA"/>
    <w:rsid w:val="00E44DEA"/>
    <w:rsid w:val="00E44EAA"/>
    <w:rsid w:val="00E74B53"/>
    <w:rsid w:val="00E77CBA"/>
    <w:rsid w:val="00E87712"/>
    <w:rsid w:val="00EA5868"/>
    <w:rsid w:val="00EA7A37"/>
    <w:rsid w:val="00EB085F"/>
    <w:rsid w:val="00EB777B"/>
    <w:rsid w:val="00EC4BB7"/>
    <w:rsid w:val="00EC5529"/>
    <w:rsid w:val="00EC751E"/>
    <w:rsid w:val="00ED64C4"/>
    <w:rsid w:val="00EE453B"/>
    <w:rsid w:val="00EE7733"/>
    <w:rsid w:val="00EE78A5"/>
    <w:rsid w:val="00F00091"/>
    <w:rsid w:val="00F07DA5"/>
    <w:rsid w:val="00F26DCE"/>
    <w:rsid w:val="00F3618E"/>
    <w:rsid w:val="00F42B4D"/>
    <w:rsid w:val="00F46E01"/>
    <w:rsid w:val="00F61428"/>
    <w:rsid w:val="00F83B1B"/>
    <w:rsid w:val="00F83E15"/>
    <w:rsid w:val="00F863A5"/>
    <w:rsid w:val="00F87704"/>
    <w:rsid w:val="00F9770A"/>
    <w:rsid w:val="00FA5049"/>
    <w:rsid w:val="00FA759F"/>
    <w:rsid w:val="00FD2470"/>
    <w:rsid w:val="00FE5885"/>
    <w:rsid w:val="00FE76A9"/>
    <w:rsid w:val="00FF38A1"/>
    <w:rsid w:val="00FF43E2"/>
    <w:rsid w:val="00FF6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EE8C"/>
  <w15:chartTrackingRefBased/>
  <w15:docId w15:val="{F47A94AF-E8E9-2D43-9E97-F2EAFC25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A0"/>
    <w:pPr>
      <w:spacing w:before="0" w:after="120" w:line="280" w:lineRule="atLeast"/>
    </w:pPr>
  </w:style>
  <w:style w:type="paragraph" w:styleId="Heading1">
    <w:name w:val="heading 1"/>
    <w:basedOn w:val="Normal"/>
    <w:next w:val="Normal"/>
    <w:link w:val="Heading1Char"/>
    <w:autoRedefine/>
    <w:uiPriority w:val="9"/>
    <w:qFormat/>
    <w:rsid w:val="005F16F6"/>
    <w:pPr>
      <w:keepNext/>
      <w:keepLines/>
      <w:numPr>
        <w:numId w:val="2"/>
      </w:numPr>
      <w:adjustRightInd w:val="0"/>
      <w:spacing w:after="240"/>
      <w:ind w:left="431" w:hanging="431"/>
      <w:outlineLvl w:val="0"/>
    </w:pPr>
    <w:rPr>
      <w:rFonts w:ascii="Arial" w:eastAsiaTheme="majorEastAsia" w:hAnsi="Arial" w:cstheme="majorBidi"/>
      <w:bCs/>
      <w:color w:val="0A2F41" w:themeColor="accent1" w:themeShade="80"/>
      <w:spacing w:val="-40"/>
      <w:sz w:val="48"/>
      <w:szCs w:val="54"/>
      <w:lang w:val="en-GB"/>
    </w:rPr>
  </w:style>
  <w:style w:type="paragraph" w:styleId="Heading2">
    <w:name w:val="heading 2"/>
    <w:basedOn w:val="Normal"/>
    <w:next w:val="Normal"/>
    <w:link w:val="Heading2Char"/>
    <w:autoRedefine/>
    <w:uiPriority w:val="9"/>
    <w:unhideWhenUsed/>
    <w:qFormat/>
    <w:rsid w:val="00336637"/>
    <w:pPr>
      <w:keepNext/>
      <w:keepLines/>
      <w:adjustRightInd w:val="0"/>
      <w:spacing w:before="480" w:after="160"/>
      <w:outlineLvl w:val="1"/>
    </w:pPr>
    <w:rPr>
      <w:rFonts w:ascii="Arial" w:eastAsiaTheme="majorEastAsia" w:hAnsi="Arial" w:cstheme="majorBidi"/>
      <w:b/>
      <w:color w:val="0F4761" w:themeColor="accent1" w:themeShade="BF"/>
      <w:sz w:val="36"/>
      <w:szCs w:val="26"/>
    </w:rPr>
  </w:style>
  <w:style w:type="paragraph" w:styleId="Heading3">
    <w:name w:val="heading 3"/>
    <w:basedOn w:val="Normal"/>
    <w:next w:val="Normal"/>
    <w:link w:val="Heading3Char"/>
    <w:autoRedefine/>
    <w:uiPriority w:val="9"/>
    <w:unhideWhenUsed/>
    <w:qFormat/>
    <w:rsid w:val="00C5274D"/>
    <w:pPr>
      <w:keepNext/>
      <w:keepLines/>
      <w:adjustRightInd w:val="0"/>
      <w:spacing w:before="240" w:line="288" w:lineRule="auto"/>
      <w:outlineLvl w:val="2"/>
    </w:pPr>
    <w:rPr>
      <w:rFonts w:ascii="Calibri" w:eastAsiaTheme="majorEastAsia" w:hAnsi="Calibri" w:cs="Calibri"/>
      <w:bCs/>
      <w:color w:val="156082" w:themeColor="accent1"/>
      <w:sz w:val="36"/>
      <w:szCs w:val="36"/>
      <w:lang w:val="en-GB"/>
    </w:rPr>
  </w:style>
  <w:style w:type="paragraph" w:styleId="Heading4">
    <w:name w:val="heading 4"/>
    <w:basedOn w:val="Normal"/>
    <w:next w:val="Normal"/>
    <w:link w:val="Heading4Char"/>
    <w:uiPriority w:val="9"/>
    <w:unhideWhenUsed/>
    <w:qFormat/>
    <w:rsid w:val="00B92604"/>
    <w:pPr>
      <w:keepNext/>
      <w:keepLines/>
      <w:numPr>
        <w:ilvl w:val="3"/>
        <w:numId w:val="3"/>
      </w:numPr>
      <w:spacing w:before="40"/>
      <w:ind w:left="864" w:hanging="864"/>
      <w:outlineLvl w:val="3"/>
    </w:pPr>
    <w:rPr>
      <w:rFonts w:asciiTheme="majorHAnsi" w:eastAsiaTheme="majorEastAsia" w:hAnsiTheme="majorHAnsi" w:cstheme="majorBidi"/>
      <w:i/>
      <w:iCs/>
      <w:color w:val="77206D" w:themeColor="accent5" w:themeShade="BF"/>
    </w:rPr>
  </w:style>
  <w:style w:type="paragraph" w:styleId="Heading5">
    <w:name w:val="heading 5"/>
    <w:basedOn w:val="Normal"/>
    <w:next w:val="Normal"/>
    <w:link w:val="Heading5Char"/>
    <w:uiPriority w:val="9"/>
    <w:unhideWhenUsed/>
    <w:qFormat/>
    <w:rsid w:val="00B92604"/>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5F16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6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6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6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commendation">
    <w:name w:val="Recommendation"/>
    <w:basedOn w:val="NoList"/>
    <w:uiPriority w:val="99"/>
    <w:rsid w:val="00816D7A"/>
    <w:pPr>
      <w:numPr>
        <w:numId w:val="1"/>
      </w:numPr>
    </w:pPr>
  </w:style>
  <w:style w:type="character" w:customStyle="1" w:styleId="Heading1Char">
    <w:name w:val="Heading 1 Char"/>
    <w:basedOn w:val="DefaultParagraphFont"/>
    <w:link w:val="Heading1"/>
    <w:uiPriority w:val="9"/>
    <w:rsid w:val="005F16F6"/>
    <w:rPr>
      <w:rFonts w:ascii="Arial" w:eastAsiaTheme="majorEastAsia" w:hAnsi="Arial" w:cstheme="majorBidi"/>
      <w:bCs/>
      <w:color w:val="0A2F41" w:themeColor="accent1" w:themeShade="80"/>
      <w:spacing w:val="-40"/>
      <w:sz w:val="48"/>
      <w:szCs w:val="54"/>
      <w:lang w:val="en-GB"/>
    </w:rPr>
  </w:style>
  <w:style w:type="character" w:customStyle="1" w:styleId="Heading2Char">
    <w:name w:val="Heading 2 Char"/>
    <w:basedOn w:val="DefaultParagraphFont"/>
    <w:link w:val="Heading2"/>
    <w:uiPriority w:val="9"/>
    <w:rsid w:val="00336637"/>
    <w:rPr>
      <w:rFonts w:ascii="Arial" w:eastAsiaTheme="majorEastAsia" w:hAnsi="Arial" w:cstheme="majorBidi"/>
      <w:b/>
      <w:color w:val="0F4761" w:themeColor="accent1" w:themeShade="BF"/>
      <w:sz w:val="36"/>
      <w:szCs w:val="26"/>
    </w:rPr>
  </w:style>
  <w:style w:type="character" w:customStyle="1" w:styleId="Heading3Char">
    <w:name w:val="Heading 3 Char"/>
    <w:basedOn w:val="DefaultParagraphFont"/>
    <w:link w:val="Heading3"/>
    <w:uiPriority w:val="9"/>
    <w:rsid w:val="00C5274D"/>
    <w:rPr>
      <w:rFonts w:ascii="Calibri" w:eastAsiaTheme="majorEastAsia" w:hAnsi="Calibri" w:cs="Calibri"/>
      <w:bCs/>
      <w:color w:val="156082" w:themeColor="accent1"/>
      <w:sz w:val="36"/>
      <w:szCs w:val="36"/>
      <w:lang w:val="en-GB"/>
    </w:rPr>
  </w:style>
  <w:style w:type="character" w:customStyle="1" w:styleId="Heading4Char">
    <w:name w:val="Heading 4 Char"/>
    <w:basedOn w:val="DefaultParagraphFont"/>
    <w:link w:val="Heading4"/>
    <w:uiPriority w:val="9"/>
    <w:rsid w:val="00B92604"/>
    <w:rPr>
      <w:rFonts w:asciiTheme="majorHAnsi" w:eastAsiaTheme="majorEastAsia" w:hAnsiTheme="majorHAnsi" w:cstheme="majorBidi"/>
      <w:i/>
      <w:iCs/>
      <w:color w:val="77206D" w:themeColor="accent5" w:themeShade="BF"/>
    </w:rPr>
  </w:style>
  <w:style w:type="paragraph" w:styleId="Caption">
    <w:name w:val="caption"/>
    <w:basedOn w:val="Normal"/>
    <w:next w:val="Normal"/>
    <w:link w:val="CaptionChar"/>
    <w:unhideWhenUsed/>
    <w:qFormat/>
    <w:rsid w:val="009A02A0"/>
    <w:pPr>
      <w:spacing w:before="120"/>
    </w:pPr>
    <w:rPr>
      <w:b/>
      <w:iCs/>
      <w:color w:val="000000" w:themeColor="text1"/>
      <w:sz w:val="20"/>
      <w:szCs w:val="18"/>
    </w:rPr>
  </w:style>
  <w:style w:type="character" w:customStyle="1" w:styleId="CaptionChar">
    <w:name w:val="Caption Char"/>
    <w:basedOn w:val="Heading1Char"/>
    <w:link w:val="Caption"/>
    <w:rsid w:val="009A02A0"/>
    <w:rPr>
      <w:rFonts w:ascii="Arial" w:eastAsiaTheme="majorEastAsia" w:hAnsi="Arial" w:cstheme="majorBidi"/>
      <w:b w:val="0"/>
      <w:bCs w:val="0"/>
      <w:iCs/>
      <w:color w:val="000000" w:themeColor="text1"/>
      <w:spacing w:val="-40"/>
      <w:sz w:val="20"/>
      <w:szCs w:val="18"/>
      <w:lang w:val="en-GB"/>
    </w:rPr>
  </w:style>
  <w:style w:type="character" w:customStyle="1" w:styleId="Heading5Char">
    <w:name w:val="Heading 5 Char"/>
    <w:basedOn w:val="DefaultParagraphFont"/>
    <w:link w:val="Heading5"/>
    <w:uiPriority w:val="9"/>
    <w:rsid w:val="00B92604"/>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5F1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6F6"/>
    <w:rPr>
      <w:rFonts w:eastAsiaTheme="majorEastAsia" w:cstheme="majorBidi"/>
      <w:color w:val="272727" w:themeColor="text1" w:themeTint="D8"/>
    </w:rPr>
  </w:style>
  <w:style w:type="paragraph" w:styleId="Title">
    <w:name w:val="Title"/>
    <w:basedOn w:val="Normal"/>
    <w:next w:val="Normal"/>
    <w:link w:val="TitleChar"/>
    <w:uiPriority w:val="10"/>
    <w:qFormat/>
    <w:rsid w:val="005F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6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6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16F6"/>
    <w:rPr>
      <w:i/>
      <w:iCs/>
      <w:color w:val="404040" w:themeColor="text1" w:themeTint="BF"/>
    </w:rPr>
  </w:style>
  <w:style w:type="paragraph" w:styleId="ListParagraph">
    <w:name w:val="List Paragraph"/>
    <w:basedOn w:val="Normal"/>
    <w:uiPriority w:val="34"/>
    <w:qFormat/>
    <w:rsid w:val="005F16F6"/>
    <w:pPr>
      <w:ind w:left="720"/>
      <w:contextualSpacing/>
    </w:pPr>
  </w:style>
  <w:style w:type="character" w:styleId="IntenseEmphasis">
    <w:name w:val="Intense Emphasis"/>
    <w:basedOn w:val="DefaultParagraphFont"/>
    <w:uiPriority w:val="21"/>
    <w:qFormat/>
    <w:rsid w:val="005F16F6"/>
    <w:rPr>
      <w:i/>
      <w:iCs/>
      <w:color w:val="0F4761" w:themeColor="accent1" w:themeShade="BF"/>
    </w:rPr>
  </w:style>
  <w:style w:type="paragraph" w:styleId="IntenseQuote">
    <w:name w:val="Intense Quote"/>
    <w:basedOn w:val="Normal"/>
    <w:next w:val="Normal"/>
    <w:link w:val="IntenseQuoteChar"/>
    <w:uiPriority w:val="30"/>
    <w:qFormat/>
    <w:rsid w:val="005F1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6F6"/>
    <w:rPr>
      <w:i/>
      <w:iCs/>
      <w:color w:val="0F4761" w:themeColor="accent1" w:themeShade="BF"/>
    </w:rPr>
  </w:style>
  <w:style w:type="character" w:styleId="IntenseReference">
    <w:name w:val="Intense Reference"/>
    <w:basedOn w:val="DefaultParagraphFont"/>
    <w:uiPriority w:val="32"/>
    <w:qFormat/>
    <w:rsid w:val="005F16F6"/>
    <w:rPr>
      <w:b/>
      <w:bCs/>
      <w:smallCaps/>
      <w:color w:val="0F4761" w:themeColor="accent1" w:themeShade="BF"/>
      <w:spacing w:val="5"/>
    </w:rPr>
  </w:style>
  <w:style w:type="table" w:styleId="TableGrid">
    <w:name w:val="Table Grid"/>
    <w:basedOn w:val="TableNormal"/>
    <w:uiPriority w:val="39"/>
    <w:rsid w:val="00D257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C62"/>
  </w:style>
  <w:style w:type="character" w:styleId="PageNumber">
    <w:name w:val="page number"/>
    <w:basedOn w:val="DefaultParagraphFont"/>
    <w:uiPriority w:val="99"/>
    <w:semiHidden/>
    <w:unhideWhenUsed/>
    <w:rsid w:val="00296C62"/>
  </w:style>
  <w:style w:type="paragraph" w:styleId="Header">
    <w:name w:val="header"/>
    <w:basedOn w:val="Normal"/>
    <w:link w:val="HeaderChar"/>
    <w:uiPriority w:val="99"/>
    <w:unhideWhenUsed/>
    <w:rsid w:val="00296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C62"/>
  </w:style>
  <w:style w:type="character" w:styleId="CommentReference">
    <w:name w:val="annotation reference"/>
    <w:basedOn w:val="DefaultParagraphFont"/>
    <w:uiPriority w:val="99"/>
    <w:semiHidden/>
    <w:unhideWhenUsed/>
    <w:rsid w:val="00C22D6F"/>
    <w:rPr>
      <w:sz w:val="16"/>
      <w:szCs w:val="16"/>
    </w:rPr>
  </w:style>
  <w:style w:type="paragraph" w:styleId="CommentText">
    <w:name w:val="annotation text"/>
    <w:basedOn w:val="Normal"/>
    <w:link w:val="CommentTextChar"/>
    <w:uiPriority w:val="99"/>
    <w:unhideWhenUsed/>
    <w:rsid w:val="00C22D6F"/>
    <w:pPr>
      <w:spacing w:before="12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C22D6F"/>
    <w:rPr>
      <w:rFonts w:ascii="Calibri" w:eastAsia="Calibri" w:hAnsi="Calibri" w:cs="Times New Roman"/>
      <w:kern w:val="0"/>
      <w:sz w:val="20"/>
      <w:szCs w:val="20"/>
      <w14:ligatures w14:val="none"/>
    </w:rPr>
  </w:style>
  <w:style w:type="paragraph" w:customStyle="1" w:styleId="Default">
    <w:name w:val="Default"/>
    <w:rsid w:val="00FE76A9"/>
    <w:pPr>
      <w:autoSpaceDE w:val="0"/>
      <w:autoSpaceDN w:val="0"/>
      <w:adjustRightInd w:val="0"/>
      <w:spacing w:before="0" w:after="0"/>
    </w:pPr>
    <w:rPr>
      <w:rFonts w:ascii="Calibri" w:hAnsi="Calibri" w:cs="Calibri"/>
      <w:color w:val="000000"/>
      <w:kern w:val="0"/>
      <w:lang w:val="en-GB"/>
      <w14:ligatures w14:val="none"/>
    </w:rPr>
  </w:style>
  <w:style w:type="character" w:styleId="Hyperlink">
    <w:name w:val="Hyperlink"/>
    <w:basedOn w:val="DefaultParagraphFont"/>
    <w:uiPriority w:val="99"/>
    <w:unhideWhenUsed/>
    <w:rsid w:val="00A9070C"/>
    <w:rPr>
      <w:color w:val="467886" w:themeColor="hyperlink"/>
      <w:u w:val="single"/>
    </w:rPr>
  </w:style>
  <w:style w:type="character" w:styleId="UnresolvedMention">
    <w:name w:val="Unresolved Mention"/>
    <w:basedOn w:val="DefaultParagraphFont"/>
    <w:uiPriority w:val="99"/>
    <w:semiHidden/>
    <w:unhideWhenUsed/>
    <w:rsid w:val="00A9070C"/>
    <w:rPr>
      <w:color w:val="605E5C"/>
      <w:shd w:val="clear" w:color="auto" w:fill="E1DFDD"/>
    </w:rPr>
  </w:style>
  <w:style w:type="paragraph" w:styleId="FootnoteText">
    <w:name w:val="footnote text"/>
    <w:aliases w:val="BCA Footnote Text,Char Char,Footnote Text Char Char Char,Footnote Text Char Char Char Char,Footnote Text Char Char Char Char Char1,Footnote Text Char Char1,Footnote Text Char Char1 Char,Footnote Text Char1,Footnote Text Char1 Char,fn"/>
    <w:basedOn w:val="Normal"/>
    <w:link w:val="FootnoteTextChar"/>
    <w:uiPriority w:val="99"/>
    <w:unhideWhenUsed/>
    <w:qFormat/>
    <w:rsid w:val="00A9070C"/>
    <w:pPr>
      <w:spacing w:after="0" w:line="240" w:lineRule="auto"/>
    </w:pPr>
    <w:rPr>
      <w:rFonts w:ascii="Arial" w:hAnsi="Arial"/>
      <w:kern w:val="0"/>
      <w:sz w:val="20"/>
      <w:szCs w:val="20"/>
      <w14:ligatures w14:val="none"/>
    </w:rPr>
  </w:style>
  <w:style w:type="character" w:customStyle="1" w:styleId="FootnoteTextChar">
    <w:name w:val="Footnote Text Char"/>
    <w:aliases w:val="BCA Footnote Text Char,Char Char Char,Footnote Text Char Char Char Char1,Footnote Text Char Char Char Char Char,Footnote Text Char Char Char Char Char1 Char,Footnote Text Char Char1 Char1,Footnote Text Char Char1 Char Char,fn Char"/>
    <w:basedOn w:val="DefaultParagraphFont"/>
    <w:link w:val="FootnoteText"/>
    <w:uiPriority w:val="99"/>
    <w:rsid w:val="00A9070C"/>
    <w:rPr>
      <w:rFonts w:ascii="Arial" w:hAnsi="Arial"/>
      <w:kern w:val="0"/>
      <w:sz w:val="20"/>
      <w:szCs w:val="20"/>
      <w14:ligatures w14:val="none"/>
    </w:rPr>
  </w:style>
  <w:style w:type="numbering" w:customStyle="1" w:styleId="CurrentList1">
    <w:name w:val="Current List1"/>
    <w:uiPriority w:val="99"/>
    <w:rsid w:val="00E30E96"/>
    <w:pPr>
      <w:numPr>
        <w:numId w:val="16"/>
      </w:numPr>
    </w:pPr>
  </w:style>
  <w:style w:type="character" w:styleId="FootnoteReference">
    <w:name w:val="footnote reference"/>
    <w:basedOn w:val="DefaultParagraphFont"/>
    <w:uiPriority w:val="99"/>
    <w:semiHidden/>
    <w:unhideWhenUsed/>
    <w:rsid w:val="00B27022"/>
    <w:rPr>
      <w:vertAlign w:val="superscript"/>
    </w:rPr>
  </w:style>
  <w:style w:type="character" w:styleId="Emphasis">
    <w:name w:val="Emphasis"/>
    <w:basedOn w:val="DefaultParagraphFont"/>
    <w:uiPriority w:val="20"/>
    <w:qFormat/>
    <w:rsid w:val="002D70AD"/>
    <w:rPr>
      <w:i/>
      <w:iCs/>
    </w:rPr>
  </w:style>
  <w:style w:type="paragraph" w:styleId="CommentSubject">
    <w:name w:val="annotation subject"/>
    <w:basedOn w:val="CommentText"/>
    <w:next w:val="CommentText"/>
    <w:link w:val="CommentSubjectChar"/>
    <w:uiPriority w:val="99"/>
    <w:semiHidden/>
    <w:unhideWhenUsed/>
    <w:rsid w:val="00677567"/>
    <w:pPr>
      <w:spacing w:before="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77567"/>
    <w:rPr>
      <w:rFonts w:ascii="Calibri" w:eastAsia="Calibri" w:hAnsi="Calibri" w:cs="Times New Roman"/>
      <w:b/>
      <w:bCs/>
      <w:kern w:val="0"/>
      <w:sz w:val="20"/>
      <w:szCs w:val="20"/>
      <w14:ligatures w14:val="none"/>
    </w:rPr>
  </w:style>
  <w:style w:type="paragraph" w:styleId="Revision">
    <w:name w:val="Revision"/>
    <w:hidden/>
    <w:uiPriority w:val="99"/>
    <w:semiHidden/>
    <w:rsid w:val="00A4061E"/>
    <w:pPr>
      <w:spacing w:before="0" w:after="0"/>
    </w:pPr>
  </w:style>
  <w:style w:type="paragraph" w:styleId="NormalWeb">
    <w:name w:val="Normal (Web)"/>
    <w:basedOn w:val="Normal"/>
    <w:uiPriority w:val="99"/>
    <w:semiHidden/>
    <w:unhideWhenUsed/>
    <w:rsid w:val="009B29DC"/>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4435">
      <w:bodyDiv w:val="1"/>
      <w:marLeft w:val="0"/>
      <w:marRight w:val="0"/>
      <w:marTop w:val="0"/>
      <w:marBottom w:val="0"/>
      <w:divBdr>
        <w:top w:val="none" w:sz="0" w:space="0" w:color="auto"/>
        <w:left w:val="none" w:sz="0" w:space="0" w:color="auto"/>
        <w:bottom w:val="none" w:sz="0" w:space="0" w:color="auto"/>
        <w:right w:val="none" w:sz="0" w:space="0" w:color="auto"/>
      </w:divBdr>
    </w:div>
    <w:div w:id="558132781">
      <w:bodyDiv w:val="1"/>
      <w:marLeft w:val="0"/>
      <w:marRight w:val="0"/>
      <w:marTop w:val="0"/>
      <w:marBottom w:val="0"/>
      <w:divBdr>
        <w:top w:val="none" w:sz="0" w:space="0" w:color="auto"/>
        <w:left w:val="none" w:sz="0" w:space="0" w:color="auto"/>
        <w:bottom w:val="none" w:sz="0" w:space="0" w:color="auto"/>
        <w:right w:val="none" w:sz="0" w:space="0" w:color="auto"/>
      </w:divBdr>
    </w:div>
    <w:div w:id="721828165">
      <w:bodyDiv w:val="1"/>
      <w:marLeft w:val="0"/>
      <w:marRight w:val="0"/>
      <w:marTop w:val="0"/>
      <w:marBottom w:val="0"/>
      <w:divBdr>
        <w:top w:val="none" w:sz="0" w:space="0" w:color="auto"/>
        <w:left w:val="none" w:sz="0" w:space="0" w:color="auto"/>
        <w:bottom w:val="none" w:sz="0" w:space="0" w:color="auto"/>
        <w:right w:val="none" w:sz="0" w:space="0" w:color="auto"/>
      </w:divBdr>
    </w:div>
    <w:div w:id="825975835">
      <w:bodyDiv w:val="1"/>
      <w:marLeft w:val="0"/>
      <w:marRight w:val="0"/>
      <w:marTop w:val="0"/>
      <w:marBottom w:val="0"/>
      <w:divBdr>
        <w:top w:val="none" w:sz="0" w:space="0" w:color="auto"/>
        <w:left w:val="none" w:sz="0" w:space="0" w:color="auto"/>
        <w:bottom w:val="none" w:sz="0" w:space="0" w:color="auto"/>
        <w:right w:val="none" w:sz="0" w:space="0" w:color="auto"/>
      </w:divBdr>
    </w:div>
    <w:div w:id="984241656">
      <w:bodyDiv w:val="1"/>
      <w:marLeft w:val="0"/>
      <w:marRight w:val="0"/>
      <w:marTop w:val="0"/>
      <w:marBottom w:val="0"/>
      <w:divBdr>
        <w:top w:val="none" w:sz="0" w:space="0" w:color="auto"/>
        <w:left w:val="none" w:sz="0" w:space="0" w:color="auto"/>
        <w:bottom w:val="none" w:sz="0" w:space="0" w:color="auto"/>
        <w:right w:val="none" w:sz="0" w:space="0" w:color="auto"/>
      </w:divBdr>
    </w:div>
    <w:div w:id="16154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quality.gov.au/anz-guidelines/guideline-values/default/draft-dgvs"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waterquality.gov.au/anz-guidelines/resources/publications/optimisation-us-epa-1991-ph-2-extraction-method-measuring-potentially-bioavailable-iron-202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anada.ca/en/environment-climate-change/services/evaluating-existing-substances/federal-environmental-quality-guidelines-iron.html" TargetMode="External"/><Relationship Id="rId27"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F57CB1C2-2487-4C40-A2B0-A9074A9043F4}">
  <ds:schemaRefs>
    <ds:schemaRef ds:uri="http://schemas.openxmlformats.org/officeDocument/2006/bibliography"/>
  </ds:schemaRefs>
</ds:datastoreItem>
</file>

<file path=customXml/itemProps2.xml><?xml version="1.0" encoding="utf-8"?>
<ds:datastoreItem xmlns:ds="http://schemas.openxmlformats.org/officeDocument/2006/customXml" ds:itemID="{D46EBC62-7A6C-43B4-AAF7-4353BA15B8A7}"/>
</file>

<file path=customXml/itemProps3.xml><?xml version="1.0" encoding="utf-8"?>
<ds:datastoreItem xmlns:ds="http://schemas.openxmlformats.org/officeDocument/2006/customXml" ds:itemID="{5C753253-4E84-425C-979E-E4DEF38F8A54}"/>
</file>

<file path=customXml/itemProps4.xml><?xml version="1.0" encoding="utf-8"?>
<ds:datastoreItem xmlns:ds="http://schemas.openxmlformats.org/officeDocument/2006/customXml" ds:itemID="{27E86864-2C2E-4D71-BC50-0415AAA8C5C8}"/>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Iron in freshwater DGVs response to public submissions</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in freshwater DGVs response to public submissions</dc:title>
  <dc:subject/>
  <dc:creator>Australian Government</dc:creator>
  <cp:keywords/>
  <dc:description/>
  <cp:lastModifiedBy>Lien NGUYEN</cp:lastModifiedBy>
  <cp:revision>24</cp:revision>
  <cp:lastPrinted>2025-09-10T00:06:00Z</cp:lastPrinted>
  <dcterms:created xsi:type="dcterms:W3CDTF">2025-09-09T23:32:00Z</dcterms:created>
  <dcterms:modified xsi:type="dcterms:W3CDTF">2025-09-15T02:30:00Z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534e7ee6,f78851a,539550e6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1ffbd835,2c4e363b,448fe34e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ies>
</file>